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02A7B" w14:textId="28DC2B63" w:rsidR="00F60F29" w:rsidRDefault="00F60F29" w:rsidP="00F60F29">
      <w:pPr>
        <w:jc w:val="both"/>
        <w:rPr>
          <w:rFonts w:ascii="Verdana" w:hAnsi="Verdana" w:cs="Arial"/>
          <w:b/>
        </w:rPr>
      </w:pPr>
      <w:bookmarkStart w:id="0" w:name="_Hlk143780582"/>
      <w:r w:rsidRPr="00F60F29">
        <w:rPr>
          <w:rFonts w:ascii="Verdana" w:hAnsi="Verdana" w:cs="Arial"/>
          <w:b/>
          <w:lang w:val="es-ES_tradnl"/>
        </w:rPr>
        <w:t>ANTICIPO – Regulación normativa</w:t>
      </w:r>
      <w:r w:rsidRPr="00F60F29">
        <w:rPr>
          <w:rFonts w:ascii="Verdana" w:eastAsia="Calibri" w:hAnsi="Verdana" w:cs="Arial"/>
          <w:b/>
          <w:lang w:val="es-ES" w:eastAsia="es-ES"/>
        </w:rPr>
        <w:t xml:space="preserve"> </w:t>
      </w:r>
      <w:r w:rsidR="005A5ED3" w:rsidRPr="005A5ED3">
        <w:rPr>
          <w:rFonts w:ascii="Verdana" w:eastAsia="Calibri" w:hAnsi="Verdana" w:cs="Arial"/>
          <w:b/>
          <w:bCs/>
          <w:lang w:eastAsia="es-ES"/>
        </w:rPr>
        <w:t>–</w:t>
      </w:r>
      <w:r w:rsidRPr="00F60F29">
        <w:rPr>
          <w:rFonts w:ascii="Verdana" w:eastAsia="Calibri" w:hAnsi="Verdana" w:cs="Arial"/>
          <w:b/>
          <w:lang w:val="es-ES" w:eastAsia="es-ES"/>
        </w:rPr>
        <w:t xml:space="preserve"> </w:t>
      </w:r>
      <w:r w:rsidRPr="00F60F29">
        <w:rPr>
          <w:rFonts w:ascii="Verdana" w:hAnsi="Verdana" w:cs="Arial"/>
          <w:b/>
        </w:rPr>
        <w:t>ANTICIPO – Definición jurisprudencial</w:t>
      </w:r>
    </w:p>
    <w:p w14:paraId="675D6F2E" w14:textId="7B220AA8" w:rsidR="00F60F29" w:rsidRPr="005A5ED3" w:rsidRDefault="00F60F29" w:rsidP="00F60F29">
      <w:pPr>
        <w:spacing w:line="240" w:lineRule="auto"/>
        <w:jc w:val="both"/>
        <w:rPr>
          <w:rFonts w:ascii="Verdana" w:eastAsia="Calibri" w:hAnsi="Verdana" w:cs="Arial"/>
          <w:sz w:val="20"/>
          <w:szCs w:val="20"/>
          <w:lang w:val="es-ES"/>
        </w:rPr>
      </w:pPr>
      <w:r w:rsidRPr="005A5ED3">
        <w:rPr>
          <w:rFonts w:ascii="Verdana" w:eastAsia="Calibri" w:hAnsi="Verdana" w:cs="Arial"/>
          <w:sz w:val="20"/>
          <w:szCs w:val="20"/>
          <w:lang w:val="es-ES"/>
        </w:rPr>
        <w:t>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w:t>
      </w:r>
    </w:p>
    <w:p w14:paraId="401279D2" w14:textId="5D7307F6" w:rsidR="00F60F29" w:rsidRPr="005A5ED3" w:rsidRDefault="00F60F29" w:rsidP="00F60F29">
      <w:pPr>
        <w:jc w:val="both"/>
        <w:rPr>
          <w:rFonts w:ascii="Verdana" w:eastAsia="Calibri" w:hAnsi="Verdana" w:cs="Arial"/>
          <w:sz w:val="20"/>
          <w:szCs w:val="20"/>
          <w:lang w:val="es-ES"/>
        </w:rPr>
      </w:pPr>
      <w:r w:rsidRPr="005A5ED3">
        <w:rPr>
          <w:rFonts w:ascii="Verdana" w:eastAsia="Calibri" w:hAnsi="Verdana" w:cs="Arial"/>
          <w:sz w:val="20"/>
          <w:szCs w:val="20"/>
          <w:lang w:val="es-ES"/>
        </w:rPr>
        <w:t xml:space="preserve">[…] </w:t>
      </w:r>
    </w:p>
    <w:p w14:paraId="78D6FD67" w14:textId="0AF7412A" w:rsidR="00F60F29" w:rsidRPr="005A5ED3" w:rsidRDefault="00F60F29" w:rsidP="00F60F29">
      <w:pPr>
        <w:spacing w:line="240" w:lineRule="auto"/>
        <w:jc w:val="both"/>
        <w:rPr>
          <w:rFonts w:ascii="Verdana" w:eastAsia="Geomanist Light" w:hAnsi="Verdana" w:cs="Arial"/>
          <w:b/>
          <w:color w:val="000000" w:themeColor="text1"/>
          <w:sz w:val="20"/>
          <w:szCs w:val="20"/>
          <w:lang w:val="es-MX"/>
        </w:rPr>
      </w:pPr>
      <w:r w:rsidRPr="005A5ED3">
        <w:rPr>
          <w:rFonts w:ascii="Verdana" w:eastAsia="Calibri" w:hAnsi="Verdana" w:cs="Arial"/>
          <w:sz w:val="20"/>
          <w:szCs w:val="20"/>
          <w:lang w:val="es-ES"/>
        </w:rPr>
        <w:t xml:space="preserve">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w:t>
      </w:r>
      <w:proofErr w:type="spellStart"/>
      <w:r w:rsidRPr="005A5ED3">
        <w:rPr>
          <w:rFonts w:ascii="Verdana" w:eastAsia="Calibri" w:hAnsi="Verdana" w:cs="Arial"/>
          <w:sz w:val="20"/>
          <w:szCs w:val="20"/>
          <w:lang w:val="es-ES"/>
        </w:rPr>
        <w:t>ii</w:t>
      </w:r>
      <w:proofErr w:type="spellEnd"/>
      <w:r w:rsidRPr="005A5ED3">
        <w:rPr>
          <w:rFonts w:ascii="Verdana" w:eastAsia="Calibri" w:hAnsi="Verdana" w:cs="Arial"/>
          <w:sz w:val="20"/>
          <w:szCs w:val="20"/>
          <w:lang w:val="es-ES"/>
        </w:rPr>
        <w:t>)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sidRPr="005A5ED3">
        <w:rPr>
          <w:rFonts w:ascii="Verdana" w:hAnsi="Verdana" w:cs="Arial"/>
          <w:sz w:val="20"/>
          <w:szCs w:val="20"/>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retribución parcial que el contratista recibe en los contratos de ejecución sucesiva. </w:t>
      </w:r>
    </w:p>
    <w:p w14:paraId="0D86BB67" w14:textId="77777777" w:rsidR="00F60F29" w:rsidRPr="00F60F29" w:rsidRDefault="00F60F29" w:rsidP="00F60F29">
      <w:pPr>
        <w:spacing w:line="276" w:lineRule="auto"/>
        <w:jc w:val="both"/>
        <w:rPr>
          <w:rFonts w:ascii="Verdana" w:eastAsia="Calibri" w:hAnsi="Verdana" w:cs="Arial"/>
          <w:b/>
        </w:rPr>
      </w:pPr>
      <w:r w:rsidRPr="00F60F29">
        <w:rPr>
          <w:rFonts w:ascii="Verdana" w:eastAsia="Calibri" w:hAnsi="Verdana" w:cs="Arial"/>
          <w:b/>
        </w:rPr>
        <w:t xml:space="preserve">PAGO ANTICIPADO Y/O ANTICIPO – Límites – Aplicación – Tipo contractual – Amortización </w:t>
      </w:r>
    </w:p>
    <w:p w14:paraId="3309017A" w14:textId="062387C5" w:rsidR="00F60F29" w:rsidRPr="005A5ED3" w:rsidRDefault="00F60F29" w:rsidP="00F60F29">
      <w:pPr>
        <w:tabs>
          <w:tab w:val="left" w:pos="709"/>
        </w:tabs>
        <w:snapToGrid w:val="0"/>
        <w:spacing w:after="120" w:line="240" w:lineRule="auto"/>
        <w:jc w:val="both"/>
        <w:rPr>
          <w:rFonts w:ascii="Verdana" w:eastAsia="Calibri" w:hAnsi="Verdana" w:cs="Arial"/>
          <w:sz w:val="20"/>
          <w:szCs w:val="20"/>
          <w:lang w:val="es-ES"/>
        </w:rPr>
      </w:pPr>
      <w:r w:rsidRPr="005A5ED3">
        <w:rPr>
          <w:rFonts w:ascii="Verdana" w:eastAsia="Calibri" w:hAnsi="Verdana" w:cs="Times New Roman"/>
          <w:sz w:val="20"/>
          <w:szCs w:val="20"/>
        </w:rPr>
        <w:t xml:space="preserve">[…] es importante precisarse que, </w:t>
      </w:r>
      <w:r w:rsidRPr="005A5ED3">
        <w:rPr>
          <w:rFonts w:ascii="Verdana" w:eastAsia="Calibri" w:hAnsi="Verdana" w:cs="Arial"/>
          <w:sz w:val="20"/>
          <w:szCs w:val="20"/>
          <w:lang w:val="es-ES"/>
        </w:rPr>
        <w:t xml:space="preserve">el pago anticipado es un pago efectivo del precio que se efectúa y se causa en forma anticipada. Por tanto, los recursos se integran al patrimonio del contratista desde su desembolso.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 </w:t>
      </w:r>
    </w:p>
    <w:p w14:paraId="7B8A8167" w14:textId="77777777" w:rsidR="00F60F29" w:rsidRPr="005A5ED3" w:rsidRDefault="00F60F29" w:rsidP="00F60F29">
      <w:pPr>
        <w:tabs>
          <w:tab w:val="left" w:pos="709"/>
        </w:tabs>
        <w:snapToGrid w:val="0"/>
        <w:spacing w:after="120" w:line="240" w:lineRule="auto"/>
        <w:jc w:val="both"/>
        <w:rPr>
          <w:rFonts w:ascii="Verdana" w:eastAsia="Calibri" w:hAnsi="Verdana" w:cs="Arial"/>
          <w:sz w:val="20"/>
          <w:szCs w:val="20"/>
        </w:rPr>
      </w:pPr>
      <w:r w:rsidRPr="005A5ED3">
        <w:rPr>
          <w:rFonts w:ascii="Verdana" w:eastAsia="Calibri" w:hAnsi="Verdana" w:cs="Arial"/>
          <w:sz w:val="20"/>
          <w:szCs w:val="20"/>
          <w:lang w:val="es-ES"/>
        </w:rPr>
        <w:t xml:space="preserve">De las dos definiciones precedentes, esta Agencia debe recalcar que una de las principales diferencias entre ellas, es que en mientras el pago anticipado entra al patrimonio del contratista como retribución del servicio prestado en la ejecución del contrato, el anticipo se utiliza como un adelanto en aras de apalancar al contratista para la correcta ejecución del contrato, el cual es amortizado por parte de la entidad en aras de retribución y/o recuperación de lo pagado. </w:t>
      </w:r>
      <w:r w:rsidRPr="005A5ED3">
        <w:rPr>
          <w:rFonts w:ascii="Verdana" w:eastAsia="Calibri" w:hAnsi="Verdana" w:cs="Arial"/>
          <w:sz w:val="20"/>
          <w:szCs w:val="20"/>
        </w:rPr>
        <w:t xml:space="preserve">En conclusión, es fundamental diferenciar las figuras del anticipo y el pago anticipado, dado que su naturaleza jurídica y efectos </w:t>
      </w:r>
      <w:r w:rsidRPr="005A5ED3">
        <w:rPr>
          <w:rFonts w:ascii="Verdana" w:eastAsia="Calibri" w:hAnsi="Verdana" w:cs="Arial"/>
          <w:sz w:val="20"/>
          <w:szCs w:val="20"/>
        </w:rPr>
        <w:lastRenderedPageBreak/>
        <w:t>son distintos en el marco de la contratación estatal, tema que será abordado en la parte considerativa del presente concepto.</w:t>
      </w:r>
    </w:p>
    <w:p w14:paraId="0B9355B1" w14:textId="77777777" w:rsidR="00F60F29" w:rsidRPr="005A5ED3" w:rsidRDefault="00F60F29" w:rsidP="00F60F29">
      <w:pPr>
        <w:tabs>
          <w:tab w:val="left" w:pos="709"/>
        </w:tabs>
        <w:snapToGrid w:val="0"/>
        <w:spacing w:after="120" w:line="240" w:lineRule="auto"/>
        <w:jc w:val="both"/>
        <w:rPr>
          <w:rFonts w:ascii="Verdana" w:eastAsia="Calibri" w:hAnsi="Verdana" w:cs="Arial"/>
          <w:sz w:val="20"/>
          <w:szCs w:val="20"/>
        </w:rPr>
      </w:pPr>
      <w:r w:rsidRPr="005A5ED3">
        <w:rPr>
          <w:rFonts w:ascii="Verdana" w:eastAsia="Calibri" w:hAnsi="Verdana" w:cs="Arial"/>
          <w:sz w:val="20"/>
          <w:szCs w:val="20"/>
        </w:rPr>
        <w:t xml:space="preserve">Conforme a lo anterior, si en un contrato no se pactó un anticipo, sino un pago anticipado, el contratista no está habilitado para solicitar la amortización </w:t>
      </w:r>
      <w:proofErr w:type="gramStart"/>
      <w:r w:rsidRPr="005A5ED3">
        <w:rPr>
          <w:rFonts w:ascii="Verdana" w:eastAsia="Calibri" w:hAnsi="Verdana" w:cs="Arial"/>
          <w:sz w:val="20"/>
          <w:szCs w:val="20"/>
        </w:rPr>
        <w:t>del mismo</w:t>
      </w:r>
      <w:proofErr w:type="gramEnd"/>
      <w:r w:rsidRPr="005A5ED3">
        <w:rPr>
          <w:rFonts w:ascii="Verdana" w:eastAsia="Calibri" w:hAnsi="Verdana" w:cs="Arial"/>
          <w:sz w:val="20"/>
          <w:szCs w:val="20"/>
        </w:rPr>
        <w:t xml:space="preserve"> dentro de las actas parciales. Pretender amortizarlo implicaría desconocer la naturaleza jurídica del pago anticipado y modificar, de facto, la forma de pago pactada contractualmente. En consecuencia, tratándose de un pago anticipado del cincuenta por ciento (50%), la entidad únicamente está facultada para reconocer nuevos pagos cuando el avance ejecutado supere el valor ya pagado, es decir, cuando la ejecución represente más del cincuenta por ciento (50%) del contrato.</w:t>
      </w:r>
    </w:p>
    <w:p w14:paraId="25D85F9F" w14:textId="77777777" w:rsidR="00F60F29" w:rsidRPr="00F60F29" w:rsidRDefault="00F60F29" w:rsidP="00F60F29">
      <w:pPr>
        <w:spacing w:line="240" w:lineRule="auto"/>
        <w:rPr>
          <w:rFonts w:ascii="Verdana" w:eastAsia="Geomanist Light" w:hAnsi="Verdana" w:cs="Arial"/>
          <w:color w:val="000000" w:themeColor="text1"/>
          <w:sz w:val="21"/>
          <w:szCs w:val="21"/>
        </w:rPr>
      </w:pPr>
    </w:p>
    <w:p w14:paraId="6B5682EB" w14:textId="77777777" w:rsidR="00F60F29" w:rsidRPr="00F60F29" w:rsidRDefault="00F60F29" w:rsidP="00F60F29">
      <w:pPr>
        <w:spacing w:line="240" w:lineRule="auto"/>
        <w:rPr>
          <w:rFonts w:ascii="Verdana" w:eastAsia="Geomanist Light" w:hAnsi="Verdana" w:cs="Arial"/>
          <w:color w:val="000000" w:themeColor="text1"/>
          <w:sz w:val="21"/>
          <w:szCs w:val="21"/>
          <w:lang w:val="es-MX"/>
        </w:rPr>
      </w:pPr>
    </w:p>
    <w:p w14:paraId="40F2BC17" w14:textId="77777777" w:rsidR="00F60F29" w:rsidRDefault="00F60F29" w:rsidP="00371C3F">
      <w:pPr>
        <w:rPr>
          <w:rFonts w:ascii="Verdana" w:eastAsia="Geomanist Light" w:hAnsi="Verdana" w:cs="Arial"/>
          <w:color w:val="000000" w:themeColor="text1"/>
          <w:lang w:val="es-MX"/>
        </w:rPr>
      </w:pPr>
    </w:p>
    <w:p w14:paraId="63861C0F" w14:textId="77777777" w:rsidR="00F60F29" w:rsidRDefault="00F60F29" w:rsidP="00371C3F">
      <w:pPr>
        <w:rPr>
          <w:rFonts w:ascii="Verdana" w:eastAsia="Geomanist Light" w:hAnsi="Verdana" w:cs="Arial"/>
          <w:color w:val="000000" w:themeColor="text1"/>
          <w:lang w:val="es-MX"/>
        </w:rPr>
      </w:pPr>
    </w:p>
    <w:p w14:paraId="677FB8BC" w14:textId="77777777" w:rsidR="00F60F29" w:rsidRDefault="00F60F29" w:rsidP="00371C3F">
      <w:pPr>
        <w:rPr>
          <w:rFonts w:ascii="Verdana" w:eastAsia="Geomanist Light" w:hAnsi="Verdana" w:cs="Arial"/>
          <w:color w:val="000000" w:themeColor="text1"/>
          <w:lang w:val="es-MX"/>
        </w:rPr>
      </w:pPr>
    </w:p>
    <w:p w14:paraId="02419142" w14:textId="77777777" w:rsidR="00F60F29" w:rsidRDefault="00F60F29" w:rsidP="00371C3F">
      <w:pPr>
        <w:rPr>
          <w:rFonts w:ascii="Verdana" w:eastAsia="Geomanist Light" w:hAnsi="Verdana" w:cs="Arial"/>
          <w:color w:val="000000" w:themeColor="text1"/>
          <w:lang w:val="es-MX"/>
        </w:rPr>
      </w:pPr>
    </w:p>
    <w:p w14:paraId="65BEB710" w14:textId="77777777" w:rsidR="00F60F29" w:rsidRDefault="00F60F29" w:rsidP="00371C3F">
      <w:pPr>
        <w:rPr>
          <w:rFonts w:ascii="Verdana" w:eastAsia="Geomanist Light" w:hAnsi="Verdana" w:cs="Arial"/>
          <w:color w:val="000000" w:themeColor="text1"/>
          <w:lang w:val="es-MX"/>
        </w:rPr>
      </w:pPr>
    </w:p>
    <w:p w14:paraId="6F4F9A93" w14:textId="77777777" w:rsidR="00F60F29" w:rsidRDefault="00F60F29" w:rsidP="00371C3F">
      <w:pPr>
        <w:rPr>
          <w:rFonts w:ascii="Verdana" w:eastAsia="Geomanist Light" w:hAnsi="Verdana" w:cs="Arial"/>
          <w:color w:val="000000" w:themeColor="text1"/>
          <w:lang w:val="es-MX"/>
        </w:rPr>
      </w:pPr>
    </w:p>
    <w:p w14:paraId="700867D8" w14:textId="77777777" w:rsidR="00F60F29" w:rsidRDefault="00F60F29" w:rsidP="00371C3F">
      <w:pPr>
        <w:rPr>
          <w:rFonts w:ascii="Verdana" w:eastAsia="Geomanist Light" w:hAnsi="Verdana" w:cs="Arial"/>
          <w:color w:val="000000" w:themeColor="text1"/>
          <w:lang w:val="es-MX"/>
        </w:rPr>
      </w:pPr>
    </w:p>
    <w:p w14:paraId="02F33992" w14:textId="77777777" w:rsidR="00F60F29" w:rsidRDefault="00F60F29" w:rsidP="00371C3F">
      <w:pPr>
        <w:rPr>
          <w:rFonts w:ascii="Verdana" w:eastAsia="Geomanist Light" w:hAnsi="Verdana" w:cs="Arial"/>
          <w:color w:val="000000" w:themeColor="text1"/>
          <w:lang w:val="es-MX"/>
        </w:rPr>
      </w:pPr>
    </w:p>
    <w:p w14:paraId="2EA6B0E1" w14:textId="77777777" w:rsidR="00F60F29" w:rsidRDefault="00F60F29" w:rsidP="00371C3F">
      <w:pPr>
        <w:rPr>
          <w:rFonts w:ascii="Verdana" w:eastAsia="Geomanist Light" w:hAnsi="Verdana" w:cs="Arial"/>
          <w:color w:val="000000" w:themeColor="text1"/>
          <w:lang w:val="es-MX"/>
        </w:rPr>
      </w:pPr>
    </w:p>
    <w:p w14:paraId="42C0D33C" w14:textId="77777777" w:rsidR="00F60F29" w:rsidRDefault="00F60F29" w:rsidP="00371C3F">
      <w:pPr>
        <w:rPr>
          <w:rFonts w:ascii="Verdana" w:eastAsia="Geomanist Light" w:hAnsi="Verdana" w:cs="Arial"/>
          <w:color w:val="000000" w:themeColor="text1"/>
          <w:lang w:val="es-MX"/>
        </w:rPr>
      </w:pPr>
    </w:p>
    <w:p w14:paraId="5470B6D9" w14:textId="77777777" w:rsidR="00F60F29" w:rsidRDefault="00F60F29" w:rsidP="00371C3F">
      <w:pPr>
        <w:rPr>
          <w:rFonts w:ascii="Verdana" w:eastAsia="Geomanist Light" w:hAnsi="Verdana" w:cs="Arial"/>
          <w:color w:val="000000" w:themeColor="text1"/>
          <w:lang w:val="es-MX"/>
        </w:rPr>
      </w:pPr>
    </w:p>
    <w:p w14:paraId="46C9473A" w14:textId="77777777" w:rsidR="00F60F29" w:rsidRDefault="00F60F29" w:rsidP="00371C3F">
      <w:pPr>
        <w:rPr>
          <w:rFonts w:ascii="Verdana" w:eastAsia="Geomanist Light" w:hAnsi="Verdana" w:cs="Arial"/>
          <w:color w:val="000000" w:themeColor="text1"/>
          <w:lang w:val="es-MX"/>
        </w:rPr>
      </w:pPr>
    </w:p>
    <w:p w14:paraId="2A84F5D9" w14:textId="77777777" w:rsidR="00F60F29" w:rsidRDefault="00F60F29" w:rsidP="00371C3F">
      <w:pPr>
        <w:rPr>
          <w:rFonts w:ascii="Verdana" w:eastAsia="Geomanist Light" w:hAnsi="Verdana" w:cs="Arial"/>
          <w:color w:val="000000" w:themeColor="text1"/>
          <w:lang w:val="es-MX"/>
        </w:rPr>
      </w:pPr>
    </w:p>
    <w:p w14:paraId="4F72EB5C" w14:textId="77777777" w:rsidR="00F60F29" w:rsidRDefault="00F60F29" w:rsidP="00371C3F">
      <w:pPr>
        <w:rPr>
          <w:rFonts w:ascii="Verdana" w:eastAsia="Geomanist Light" w:hAnsi="Verdana" w:cs="Arial"/>
          <w:color w:val="000000" w:themeColor="text1"/>
          <w:lang w:val="es-MX"/>
        </w:rPr>
      </w:pPr>
    </w:p>
    <w:p w14:paraId="73CD7820" w14:textId="77777777" w:rsidR="00F60F29" w:rsidRDefault="00F60F29" w:rsidP="00371C3F">
      <w:pPr>
        <w:rPr>
          <w:rFonts w:ascii="Verdana" w:eastAsia="Geomanist Light" w:hAnsi="Verdana" w:cs="Arial"/>
          <w:color w:val="000000" w:themeColor="text1"/>
          <w:lang w:val="es-MX"/>
        </w:rPr>
      </w:pPr>
    </w:p>
    <w:p w14:paraId="2213ADD5" w14:textId="77777777" w:rsidR="005A5ED3" w:rsidRDefault="005A5ED3" w:rsidP="00371C3F">
      <w:pPr>
        <w:rPr>
          <w:rFonts w:ascii="Verdana" w:eastAsia="Geomanist Light" w:hAnsi="Verdana" w:cs="Arial"/>
          <w:color w:val="000000" w:themeColor="text1"/>
          <w:lang w:val="es-MX"/>
        </w:rPr>
      </w:pPr>
    </w:p>
    <w:p w14:paraId="777E21A5" w14:textId="77777777" w:rsidR="005A5ED3" w:rsidRDefault="005A5ED3" w:rsidP="00371C3F">
      <w:pPr>
        <w:rPr>
          <w:rFonts w:ascii="Verdana" w:eastAsia="Geomanist Light" w:hAnsi="Verdana" w:cs="Arial"/>
          <w:color w:val="000000" w:themeColor="text1"/>
          <w:lang w:val="es-MX"/>
        </w:rPr>
      </w:pPr>
    </w:p>
    <w:p w14:paraId="3EAC8AA5" w14:textId="68008869" w:rsidR="00371C3F" w:rsidRPr="00D30EFC" w:rsidRDefault="00371C3F" w:rsidP="00371C3F">
      <w:pPr>
        <w:rPr>
          <w:rFonts w:ascii="Verdana" w:eastAsia="Geomanist Light" w:hAnsi="Verdana" w:cs="Arial"/>
          <w:color w:val="201F1E"/>
          <w:lang w:val="es-MX"/>
        </w:rPr>
      </w:pPr>
      <w:r w:rsidRPr="00E959BB">
        <w:rPr>
          <w:rFonts w:ascii="Verdana" w:eastAsia="Geomanist Light" w:hAnsi="Verdana" w:cs="Arial"/>
          <w:color w:val="000000" w:themeColor="text1"/>
          <w:lang w:val="es-MX"/>
        </w:rPr>
        <w:lastRenderedPageBreak/>
        <w:t>Bogotá D.C., </w:t>
      </w:r>
      <w:r w:rsidR="00F60F29">
        <w:rPr>
          <w:rFonts w:ascii="Verdana" w:eastAsia="Geomanist Light" w:hAnsi="Verdana" w:cs="Arial"/>
          <w:color w:val="201F1E"/>
          <w:lang w:val="es-MX"/>
        </w:rPr>
        <w:t>09</w:t>
      </w:r>
      <w:r w:rsidRPr="00E959BB">
        <w:rPr>
          <w:rFonts w:ascii="Verdana" w:eastAsia="Geomanist Light" w:hAnsi="Verdana" w:cs="Arial"/>
          <w:color w:val="201F1E"/>
          <w:lang w:val="es-MX"/>
        </w:rPr>
        <w:t xml:space="preserve"> de </w:t>
      </w:r>
      <w:r w:rsidR="00F60F29">
        <w:rPr>
          <w:rFonts w:ascii="Verdana" w:eastAsia="Geomanist Light" w:hAnsi="Verdana" w:cs="Arial"/>
          <w:color w:val="201F1E"/>
          <w:lang w:val="es-MX"/>
        </w:rPr>
        <w:t>marzo</w:t>
      </w:r>
      <w:r w:rsidRPr="00E959BB">
        <w:rPr>
          <w:rFonts w:ascii="Verdana" w:eastAsia="Geomanist Light" w:hAnsi="Verdana" w:cs="Arial"/>
          <w:color w:val="201F1E"/>
          <w:lang w:val="es-MX"/>
        </w:rPr>
        <w:t xml:space="preserve"> de </w:t>
      </w:r>
      <w:r w:rsidR="00F60F29">
        <w:rPr>
          <w:rFonts w:ascii="Verdana" w:eastAsia="Geomanist Light" w:hAnsi="Verdana" w:cs="Arial"/>
          <w:color w:val="201F1E"/>
          <w:lang w:val="es-MX"/>
        </w:rPr>
        <w:t>2026</w:t>
      </w:r>
    </w:p>
    <w:p w14:paraId="7C4FA2AC" w14:textId="1B113E04" w:rsidR="00371C3F" w:rsidRPr="00722B5E" w:rsidRDefault="00371C3F" w:rsidP="00F60F29">
      <w:pPr>
        <w:spacing w:after="0" w:line="240" w:lineRule="auto"/>
        <w:ind w:left="5664"/>
        <w:rPr>
          <w:rFonts w:ascii="Verdana" w:hAnsi="Verdana" w:cs="Arial"/>
          <w:bCs/>
          <w:lang w:val="es-MX" w:eastAsia="es-ES" w:bidi="es-ES"/>
        </w:rPr>
      </w:pPr>
    </w:p>
    <w:p w14:paraId="16208C4F" w14:textId="7F84DA58" w:rsidR="00371C3F" w:rsidRPr="00D30EFC" w:rsidRDefault="00997FCE" w:rsidP="00371C3F">
      <w:pPr>
        <w:spacing w:after="0" w:line="240" w:lineRule="auto"/>
        <w:jc w:val="both"/>
        <w:rPr>
          <w:rFonts w:ascii="Verdana" w:hAnsi="Verdana" w:cs="Arial"/>
          <w:bCs/>
          <w:lang w:val="pt-PT" w:eastAsia="es-ES" w:bidi="es-ES"/>
        </w:rPr>
      </w:pPr>
      <w:r w:rsidRPr="00F60F29">
        <w:rPr>
          <w:rFonts w:ascii="Verdana" w:hAnsi="Verdana" w:cs="Arial"/>
          <w:bCs/>
          <w:noProof/>
          <w:lang w:val="es-MX" w:eastAsia="es-ES" w:bidi="es-ES"/>
        </w:rPr>
        <w:drawing>
          <wp:anchor distT="0" distB="0" distL="114300" distR="114300" simplePos="0" relativeHeight="251658240" behindDoc="0" locked="0" layoutInCell="1" allowOverlap="1" wp14:anchorId="2E7C5FBB" wp14:editId="26B95955">
            <wp:simplePos x="0" y="0"/>
            <wp:positionH relativeFrom="margin">
              <wp:align>right</wp:align>
            </wp:positionH>
            <wp:positionV relativeFrom="paragraph">
              <wp:posOffset>9525</wp:posOffset>
            </wp:positionV>
            <wp:extent cx="2553056" cy="828791"/>
            <wp:effectExtent l="0" t="0" r="0" b="9525"/>
            <wp:wrapSquare wrapText="bothSides"/>
            <wp:docPr id="6248634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863427" name=""/>
                    <pic:cNvPicPr/>
                  </pic:nvPicPr>
                  <pic:blipFill>
                    <a:blip r:embed="rId10">
                      <a:extLst>
                        <a:ext uri="{28A0092B-C50C-407E-A947-70E740481C1C}">
                          <a14:useLocalDpi xmlns:a14="http://schemas.microsoft.com/office/drawing/2010/main" val="0"/>
                        </a:ext>
                      </a:extLst>
                    </a:blip>
                    <a:stretch>
                      <a:fillRect/>
                    </a:stretch>
                  </pic:blipFill>
                  <pic:spPr>
                    <a:xfrm>
                      <a:off x="0" y="0"/>
                      <a:ext cx="2553056" cy="828791"/>
                    </a:xfrm>
                    <a:prstGeom prst="rect">
                      <a:avLst/>
                    </a:prstGeom>
                  </pic:spPr>
                </pic:pic>
              </a:graphicData>
            </a:graphic>
          </wp:anchor>
        </w:drawing>
      </w:r>
      <w:r w:rsidR="00371C3F" w:rsidRPr="00D30EFC">
        <w:rPr>
          <w:rFonts w:ascii="Verdana" w:hAnsi="Verdana" w:cs="Arial"/>
          <w:bCs/>
          <w:lang w:val="pt-PT" w:eastAsia="es-ES" w:bidi="es-ES"/>
        </w:rPr>
        <w:t>Señora</w:t>
      </w:r>
    </w:p>
    <w:p w14:paraId="79B374DC" w14:textId="0449EED1" w:rsidR="00371C3F" w:rsidRPr="00D30EFC" w:rsidRDefault="00BF338E" w:rsidP="00371C3F">
      <w:pPr>
        <w:spacing w:after="0" w:line="240" w:lineRule="auto"/>
        <w:jc w:val="both"/>
        <w:rPr>
          <w:rFonts w:ascii="Verdana" w:hAnsi="Verdana" w:cs="Arial"/>
          <w:b/>
          <w:bCs/>
          <w:lang w:val="pt-PT" w:eastAsia="es-ES" w:bidi="es-ES"/>
        </w:rPr>
      </w:pPr>
      <w:r w:rsidRPr="00D30EFC">
        <w:rPr>
          <w:rFonts w:ascii="Verdana" w:hAnsi="Verdana" w:cs="Arial"/>
          <w:b/>
          <w:bCs/>
          <w:lang w:val="pt-PT" w:eastAsia="es-ES" w:bidi="es-ES"/>
        </w:rPr>
        <w:t>Maria Fernanda Vergara Velilla</w:t>
      </w:r>
    </w:p>
    <w:p w14:paraId="749704AB" w14:textId="3161CECF" w:rsidR="00371C3F" w:rsidRPr="00D30EFC" w:rsidRDefault="00371C3F" w:rsidP="00371C3F">
      <w:pPr>
        <w:spacing w:after="0" w:line="240" w:lineRule="auto"/>
        <w:jc w:val="both"/>
        <w:rPr>
          <w:rFonts w:ascii="Verdana" w:hAnsi="Verdana"/>
          <w:lang w:val="pt-PT"/>
        </w:rPr>
      </w:pPr>
      <w:r w:rsidRPr="005645E6">
        <w:rPr>
          <w:rFonts w:ascii="Verdana" w:hAnsi="Verdana"/>
          <w:lang w:val="pt-PT"/>
        </w:rPr>
        <w:t>Vergaravelilla.maria@gmail.com</w:t>
      </w:r>
    </w:p>
    <w:p w14:paraId="609B11ED" w14:textId="77777777" w:rsidR="00371C3F" w:rsidRPr="004C6B7F" w:rsidRDefault="00371C3F" w:rsidP="00371C3F">
      <w:pPr>
        <w:spacing w:after="0" w:line="240" w:lineRule="auto"/>
        <w:jc w:val="both"/>
        <w:rPr>
          <w:rFonts w:ascii="Verdana" w:hAnsi="Verdana" w:cs="Arial"/>
          <w:bCs/>
          <w:lang w:val="es-MX" w:eastAsia="es-ES" w:bidi="es-ES"/>
        </w:rPr>
      </w:pPr>
      <w:r>
        <w:rPr>
          <w:rFonts w:ascii="Verdana" w:hAnsi="Verdana" w:cs="Arial"/>
          <w:bCs/>
          <w:lang w:val="es-MX" w:eastAsia="es-ES" w:bidi="es-ES"/>
        </w:rPr>
        <w:t>Sincelejo, Sucre</w:t>
      </w:r>
    </w:p>
    <w:p w14:paraId="380B8A0A" w14:textId="77777777" w:rsidR="00371C3F" w:rsidRPr="004C6B7F" w:rsidRDefault="00371C3F" w:rsidP="00371C3F">
      <w:pPr>
        <w:spacing w:after="0" w:line="240" w:lineRule="auto"/>
        <w:jc w:val="both"/>
        <w:rPr>
          <w:rFonts w:ascii="Verdana" w:hAnsi="Verdana" w:cs="Arial"/>
          <w:b/>
          <w:bCs/>
          <w:lang w:val="es-ES_tradnl" w:eastAsia="es-ES" w:bidi="es-ES"/>
        </w:rPr>
      </w:pPr>
    </w:p>
    <w:p w14:paraId="2DBB6C6A" w14:textId="77777777" w:rsidR="00371C3F" w:rsidRPr="004C6B7F" w:rsidRDefault="00371C3F" w:rsidP="00371C3F">
      <w:pPr>
        <w:tabs>
          <w:tab w:val="left" w:pos="7184"/>
        </w:tabs>
        <w:spacing w:after="0" w:line="240" w:lineRule="auto"/>
        <w:jc w:val="both"/>
        <w:rPr>
          <w:rFonts w:ascii="Verdana" w:hAnsi="Verdana" w:cs="Arial"/>
          <w:b/>
          <w:bCs/>
          <w:lang w:val="es-ES_tradnl" w:eastAsia="es-ES" w:bidi="es-ES"/>
        </w:rPr>
      </w:pPr>
      <w:r w:rsidRPr="004C6B7F">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371C3F" w:rsidRPr="004C6B7F" w14:paraId="3468B251" w14:textId="77777777" w:rsidTr="007F553A">
        <w:trPr>
          <w:trHeight w:val="312"/>
        </w:trPr>
        <w:tc>
          <w:tcPr>
            <w:tcW w:w="2689" w:type="dxa"/>
          </w:tcPr>
          <w:p w14:paraId="0A3ADCA1" w14:textId="77777777" w:rsidR="00371C3F" w:rsidRPr="004C6B7F" w:rsidRDefault="00371C3F" w:rsidP="007F553A">
            <w:pPr>
              <w:jc w:val="both"/>
              <w:rPr>
                <w:rFonts w:ascii="Verdana" w:hAnsi="Verdana" w:cs="Arial"/>
                <w:b/>
                <w:bCs/>
                <w:lang w:val="es-ES_tradnl" w:eastAsia="es-ES" w:bidi="es-ES"/>
              </w:rPr>
            </w:pPr>
          </w:p>
        </w:tc>
        <w:tc>
          <w:tcPr>
            <w:tcW w:w="6242" w:type="dxa"/>
          </w:tcPr>
          <w:p w14:paraId="0F2EAFDC" w14:textId="77777777" w:rsidR="00371C3F" w:rsidRPr="004C6B7F" w:rsidRDefault="00371C3F" w:rsidP="007F553A">
            <w:pPr>
              <w:tabs>
                <w:tab w:val="right" w:pos="6242"/>
              </w:tabs>
              <w:jc w:val="both"/>
              <w:rPr>
                <w:rFonts w:ascii="Verdana" w:hAnsi="Verdana" w:cs="Arial"/>
                <w:b/>
                <w:bCs/>
                <w:lang w:val="es-MX" w:eastAsia="es-ES" w:bidi="es-ES"/>
              </w:rPr>
            </w:pPr>
            <w:r w:rsidRPr="004C6B7F">
              <w:rPr>
                <w:rFonts w:ascii="Verdana" w:hAnsi="Verdana" w:cs="Arial"/>
                <w:b/>
                <w:bCs/>
                <w:lang w:val="es-MX" w:eastAsia="es-ES" w:bidi="es-ES"/>
              </w:rPr>
              <w:t xml:space="preserve">Concepto C- </w:t>
            </w:r>
            <w:r>
              <w:rPr>
                <w:rFonts w:ascii="Verdana" w:hAnsi="Verdana" w:cs="Arial"/>
                <w:b/>
                <w:bCs/>
                <w:lang w:val="es-MX" w:eastAsia="es-ES" w:bidi="es-ES"/>
              </w:rPr>
              <w:t>122</w:t>
            </w:r>
            <w:r w:rsidRPr="004C6B7F">
              <w:rPr>
                <w:rFonts w:ascii="Verdana" w:hAnsi="Verdana" w:cs="Arial"/>
                <w:b/>
                <w:bCs/>
                <w:lang w:val="es-MX" w:eastAsia="es-ES" w:bidi="es-ES"/>
              </w:rPr>
              <w:t xml:space="preserve"> de 202</w:t>
            </w:r>
            <w:r>
              <w:rPr>
                <w:rFonts w:ascii="Verdana" w:hAnsi="Verdana" w:cs="Arial"/>
                <w:b/>
                <w:bCs/>
                <w:lang w:val="es-MX" w:eastAsia="es-ES" w:bidi="es-ES"/>
              </w:rPr>
              <w:t>6</w:t>
            </w:r>
            <w:r w:rsidRPr="004C6B7F">
              <w:rPr>
                <w:rFonts w:ascii="Verdana" w:hAnsi="Verdana" w:cs="Arial"/>
                <w:b/>
                <w:bCs/>
                <w:lang w:val="es-MX" w:eastAsia="es-ES" w:bidi="es-ES"/>
              </w:rPr>
              <w:tab/>
            </w:r>
          </w:p>
          <w:p w14:paraId="0D1D3436" w14:textId="77777777" w:rsidR="00371C3F" w:rsidRPr="004C6B7F" w:rsidRDefault="00371C3F" w:rsidP="007F553A">
            <w:pPr>
              <w:jc w:val="both"/>
              <w:rPr>
                <w:rFonts w:ascii="Verdana" w:hAnsi="Verdana" w:cs="Arial"/>
                <w:b/>
                <w:bCs/>
                <w:lang w:val="es-MX" w:eastAsia="es-ES" w:bidi="es-ES"/>
              </w:rPr>
            </w:pPr>
          </w:p>
        </w:tc>
      </w:tr>
      <w:tr w:rsidR="00371C3F" w:rsidRPr="004C6B7F" w14:paraId="54421628" w14:textId="77777777" w:rsidTr="007F553A">
        <w:trPr>
          <w:trHeight w:val="884"/>
        </w:trPr>
        <w:tc>
          <w:tcPr>
            <w:tcW w:w="2689" w:type="dxa"/>
          </w:tcPr>
          <w:p w14:paraId="2F8D97D5" w14:textId="77777777" w:rsidR="00371C3F" w:rsidRPr="004C6B7F" w:rsidRDefault="00371C3F" w:rsidP="007F553A">
            <w:pPr>
              <w:jc w:val="both"/>
              <w:rPr>
                <w:rFonts w:ascii="Verdana" w:hAnsi="Verdana" w:cs="Arial"/>
                <w:bCs/>
                <w:lang w:val="es-MX" w:eastAsia="es-ES" w:bidi="es-ES"/>
              </w:rPr>
            </w:pPr>
            <w:r w:rsidRPr="004C6B7F">
              <w:rPr>
                <w:rFonts w:ascii="Verdana" w:hAnsi="Verdana" w:cs="Arial"/>
                <w:bCs/>
                <w:lang w:val="es-MX" w:eastAsia="es-ES" w:bidi="es-ES"/>
              </w:rPr>
              <w:t xml:space="preserve">Temas:                   </w:t>
            </w:r>
          </w:p>
        </w:tc>
        <w:tc>
          <w:tcPr>
            <w:tcW w:w="6242" w:type="dxa"/>
          </w:tcPr>
          <w:p w14:paraId="66068804" w14:textId="77777777" w:rsidR="00371C3F" w:rsidRDefault="00371C3F" w:rsidP="007F553A">
            <w:pPr>
              <w:spacing w:line="276" w:lineRule="auto"/>
              <w:jc w:val="both"/>
              <w:rPr>
                <w:rFonts w:ascii="Verdana" w:eastAsia="Calibri" w:hAnsi="Verdana" w:cs="Arial"/>
                <w:bCs/>
              </w:rPr>
            </w:pPr>
            <w:r w:rsidRPr="00921FBC">
              <w:rPr>
                <w:rFonts w:ascii="Verdana" w:hAnsi="Verdana" w:cs="Arial"/>
                <w:bCs/>
                <w:lang w:val="es-ES_tradnl"/>
              </w:rPr>
              <w:t>ANTICIPO – Regulación normativa</w:t>
            </w:r>
            <w:r w:rsidRPr="00921FBC">
              <w:rPr>
                <w:rFonts w:ascii="Verdana" w:eastAsia="Calibri" w:hAnsi="Verdana" w:cs="Arial"/>
                <w:bCs/>
                <w:lang w:val="es-ES" w:eastAsia="es-ES"/>
              </w:rPr>
              <w:t xml:space="preserve"> / </w:t>
            </w:r>
            <w:r w:rsidRPr="00921FBC">
              <w:rPr>
                <w:rFonts w:ascii="Verdana" w:hAnsi="Verdana" w:cs="Arial"/>
                <w:bCs/>
              </w:rPr>
              <w:t xml:space="preserve">ANTICIPO – Definición jurisprudencial / </w:t>
            </w:r>
            <w:r w:rsidRPr="00921FBC">
              <w:rPr>
                <w:rFonts w:ascii="Verdana" w:eastAsia="Calibri" w:hAnsi="Verdana" w:cs="Arial"/>
                <w:bCs/>
              </w:rPr>
              <w:t>PAGO ANTICIPADO Y/O ANTICIPO – Límites – Aplicación – Tipo contractual</w:t>
            </w:r>
            <w:r w:rsidRPr="004C6B7F">
              <w:rPr>
                <w:rFonts w:ascii="Verdana" w:eastAsia="Calibri" w:hAnsi="Verdana" w:cs="Arial"/>
                <w:bCs/>
              </w:rPr>
              <w:t xml:space="preserve"> </w:t>
            </w:r>
            <w:r>
              <w:rPr>
                <w:rFonts w:ascii="Verdana" w:eastAsia="Calibri" w:hAnsi="Verdana" w:cs="Arial"/>
                <w:bCs/>
              </w:rPr>
              <w:t xml:space="preserve">– Amortización </w:t>
            </w:r>
          </w:p>
          <w:p w14:paraId="239CDFCA" w14:textId="77777777" w:rsidR="00371C3F" w:rsidRPr="004C6B7F" w:rsidRDefault="00371C3F" w:rsidP="007F553A">
            <w:pPr>
              <w:spacing w:line="276" w:lineRule="auto"/>
              <w:jc w:val="both"/>
              <w:rPr>
                <w:rFonts w:ascii="Verdana" w:hAnsi="Verdana" w:cs="Arial"/>
                <w:bCs/>
                <w:highlight w:val="yellow"/>
                <w:lang w:val="es-MX" w:eastAsia="es-ES" w:bidi="es-ES"/>
              </w:rPr>
            </w:pPr>
          </w:p>
        </w:tc>
      </w:tr>
      <w:tr w:rsidR="00371C3F" w:rsidRPr="004C6B7F" w14:paraId="7430FE11" w14:textId="77777777" w:rsidTr="007F553A">
        <w:tc>
          <w:tcPr>
            <w:tcW w:w="2689" w:type="dxa"/>
          </w:tcPr>
          <w:p w14:paraId="0658EB34" w14:textId="77777777" w:rsidR="00371C3F" w:rsidRPr="004C6B7F" w:rsidRDefault="00371C3F" w:rsidP="007F553A">
            <w:pPr>
              <w:jc w:val="both"/>
              <w:rPr>
                <w:rFonts w:ascii="Verdana" w:hAnsi="Verdana" w:cs="Arial"/>
                <w:bCs/>
                <w:lang w:val="es-MX" w:eastAsia="es-ES" w:bidi="es-ES"/>
              </w:rPr>
            </w:pPr>
            <w:r w:rsidRPr="004C6B7F">
              <w:rPr>
                <w:rFonts w:ascii="Verdana" w:hAnsi="Verdana" w:cs="Arial"/>
                <w:bCs/>
                <w:lang w:val="es-MX" w:eastAsia="es-ES" w:bidi="es-ES"/>
              </w:rPr>
              <w:t xml:space="preserve">Radicación:               </w:t>
            </w:r>
          </w:p>
        </w:tc>
        <w:tc>
          <w:tcPr>
            <w:tcW w:w="6242" w:type="dxa"/>
          </w:tcPr>
          <w:p w14:paraId="1C43E83C" w14:textId="77777777" w:rsidR="00371C3F" w:rsidRPr="004C6B7F" w:rsidRDefault="00371C3F" w:rsidP="007F553A">
            <w:pPr>
              <w:jc w:val="both"/>
              <w:rPr>
                <w:rFonts w:ascii="Verdana" w:hAnsi="Verdana" w:cs="Arial"/>
                <w:bCs/>
                <w:lang w:val="es-MX" w:eastAsia="es-ES" w:bidi="es-ES"/>
              </w:rPr>
            </w:pPr>
            <w:r w:rsidRPr="004C6B7F">
              <w:rPr>
                <w:rFonts w:ascii="Verdana" w:hAnsi="Verdana" w:cs="Arial"/>
                <w:bCs/>
                <w:lang w:val="es-MX" w:eastAsia="es-ES" w:bidi="es-ES"/>
              </w:rPr>
              <w:t xml:space="preserve">Respuesta a consulta con radicado No. </w:t>
            </w:r>
            <w:r w:rsidRPr="00D30EFC">
              <w:rPr>
                <w:rFonts w:ascii="Verdana" w:hAnsi="Verdana" w:cs="Arial"/>
                <w:bCs/>
                <w:lang w:val="es-MX" w:eastAsia="es-ES" w:bidi="es-ES"/>
              </w:rPr>
              <w:t>1_2026_01_29_001021</w:t>
            </w:r>
          </w:p>
        </w:tc>
      </w:tr>
    </w:tbl>
    <w:p w14:paraId="168FBBD4" w14:textId="77777777" w:rsidR="00371C3F" w:rsidRPr="004C6B7F" w:rsidRDefault="00371C3F" w:rsidP="00371C3F">
      <w:pPr>
        <w:spacing w:after="0" w:line="240" w:lineRule="auto"/>
        <w:jc w:val="both"/>
        <w:rPr>
          <w:rFonts w:ascii="Verdana" w:hAnsi="Verdana" w:cs="Arial"/>
          <w:bCs/>
          <w:lang w:val="es-ES_tradnl" w:eastAsia="es-ES" w:bidi="es-ES"/>
        </w:rPr>
      </w:pPr>
    </w:p>
    <w:p w14:paraId="23256BFD" w14:textId="77777777" w:rsidR="00371C3F" w:rsidRPr="004C6B7F" w:rsidRDefault="00371C3F" w:rsidP="00371C3F">
      <w:pPr>
        <w:spacing w:after="0" w:line="240" w:lineRule="auto"/>
        <w:jc w:val="both"/>
        <w:rPr>
          <w:rFonts w:ascii="Verdana" w:hAnsi="Verdana" w:cs="Arial"/>
          <w:bCs/>
          <w:lang w:val="es-ES_tradnl" w:eastAsia="es-ES" w:bidi="es-ES"/>
        </w:rPr>
      </w:pPr>
    </w:p>
    <w:p w14:paraId="6DAC96AF" w14:textId="77777777" w:rsidR="00371C3F" w:rsidRPr="0050771E" w:rsidRDefault="00371C3F" w:rsidP="00371C3F">
      <w:pPr>
        <w:spacing w:after="0" w:line="276" w:lineRule="auto"/>
        <w:jc w:val="both"/>
        <w:rPr>
          <w:rFonts w:ascii="Verdana" w:hAnsi="Verdana" w:cs="Arial"/>
          <w:bCs/>
          <w:lang w:val="es-MX" w:eastAsia="es-ES" w:bidi="es-ES"/>
        </w:rPr>
      </w:pPr>
      <w:r w:rsidRPr="0050771E">
        <w:rPr>
          <w:rFonts w:ascii="Verdana" w:hAnsi="Verdana" w:cs="Arial"/>
          <w:bCs/>
          <w:lang w:val="es-MX" w:eastAsia="es-ES" w:bidi="es-ES"/>
        </w:rPr>
        <w:t>Estimad</w:t>
      </w:r>
      <w:r>
        <w:rPr>
          <w:rFonts w:ascii="Verdana" w:hAnsi="Verdana" w:cs="Arial"/>
          <w:bCs/>
          <w:lang w:val="es-MX" w:eastAsia="es-ES" w:bidi="es-ES"/>
        </w:rPr>
        <w:t>a</w:t>
      </w:r>
      <w:r w:rsidRPr="0050771E">
        <w:rPr>
          <w:rFonts w:ascii="Verdana" w:hAnsi="Verdana" w:cs="Arial"/>
          <w:bCs/>
          <w:lang w:val="es-MX" w:eastAsia="es-ES" w:bidi="es-ES"/>
        </w:rPr>
        <w:t xml:space="preserve"> Señor</w:t>
      </w:r>
      <w:r>
        <w:rPr>
          <w:rFonts w:ascii="Verdana" w:hAnsi="Verdana" w:cs="Arial"/>
          <w:bCs/>
          <w:lang w:val="es-MX" w:eastAsia="es-ES" w:bidi="es-ES"/>
        </w:rPr>
        <w:t>a</w:t>
      </w:r>
      <w:r w:rsidRPr="0050771E">
        <w:rPr>
          <w:rFonts w:ascii="Verdana" w:hAnsi="Verdana" w:cs="Arial"/>
          <w:bCs/>
          <w:lang w:val="es-MX" w:eastAsia="es-ES" w:bidi="es-ES"/>
        </w:rPr>
        <w:t xml:space="preserve"> </w:t>
      </w:r>
      <w:r>
        <w:rPr>
          <w:rFonts w:ascii="Verdana" w:hAnsi="Verdana" w:cs="Arial"/>
          <w:bCs/>
          <w:lang w:val="es-MX" w:eastAsia="es-ES" w:bidi="es-ES"/>
        </w:rPr>
        <w:t>Vergara</w:t>
      </w:r>
      <w:r w:rsidRPr="0050771E">
        <w:rPr>
          <w:rFonts w:ascii="Verdana" w:hAnsi="Verdana" w:cs="Arial"/>
          <w:bCs/>
          <w:lang w:val="es-MX" w:eastAsia="es-ES" w:bidi="es-ES"/>
        </w:rPr>
        <w:t>:</w:t>
      </w:r>
    </w:p>
    <w:p w14:paraId="111DA63F" w14:textId="77777777" w:rsidR="00371C3F" w:rsidRPr="0050771E" w:rsidRDefault="00371C3F" w:rsidP="00371C3F">
      <w:pPr>
        <w:spacing w:after="0" w:line="276" w:lineRule="auto"/>
        <w:jc w:val="both"/>
        <w:rPr>
          <w:rFonts w:ascii="Verdana" w:hAnsi="Verdana" w:cs="Arial"/>
          <w:bCs/>
          <w:lang w:val="es-ES" w:eastAsia="es-ES" w:bidi="es-ES"/>
        </w:rPr>
      </w:pPr>
      <w:r w:rsidRPr="0050771E">
        <w:rPr>
          <w:rFonts w:ascii="Verdana" w:hAnsi="Verdana" w:cs="Arial"/>
          <w:bCs/>
          <w:lang w:val="es-ES" w:eastAsia="es-ES" w:bidi="es-ES"/>
        </w:rPr>
        <w:tab/>
      </w:r>
    </w:p>
    <w:p w14:paraId="397F7D4D" w14:textId="77777777" w:rsidR="00371C3F" w:rsidRPr="00B31C7B" w:rsidRDefault="00371C3F" w:rsidP="00371C3F">
      <w:pPr>
        <w:spacing w:after="0" w:line="276" w:lineRule="auto"/>
        <w:jc w:val="both"/>
        <w:rPr>
          <w:rFonts w:ascii="Verdana" w:hAnsi="Verdana" w:cs="Arial"/>
          <w:bCs/>
          <w:lang w:val="es-ES" w:eastAsia="es-ES" w:bidi="es-ES"/>
        </w:rPr>
      </w:pPr>
      <w:r w:rsidRPr="0050771E">
        <w:rPr>
          <w:rFonts w:ascii="Verdana" w:hAnsi="Verdana" w:cs="Arial"/>
          <w:bCs/>
          <w:lang w:val="es-ES" w:eastAsia="es-ES" w:bidi="es-ES"/>
        </w:rPr>
        <w:t xml:space="preserve">En ejercicio de la competencia otorgada por los artículos 3, numeral 5º, y 11, numeral 8º, del Decreto Ley 4170 de 2011, </w:t>
      </w:r>
      <w:r w:rsidRPr="00FC6F34">
        <w:rPr>
          <w:rFonts w:ascii="Verdana" w:hAnsi="Verdana" w:cs="Arial"/>
          <w:color w:val="000000" w:themeColor="text1"/>
          <w:lang w:val="es-ES"/>
        </w:rPr>
        <w:t>así como lo establecido</w:t>
      </w:r>
      <w:r>
        <w:rPr>
          <w:rFonts w:ascii="Verdana" w:hAnsi="Verdana" w:cs="Arial"/>
          <w:color w:val="000000" w:themeColor="text1"/>
          <w:lang w:val="es-ES"/>
        </w:rPr>
        <w:t xml:space="preserve"> 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50771E">
        <w:rPr>
          <w:rFonts w:ascii="Verdana" w:hAnsi="Verdana" w:cs="Arial"/>
          <w:bCs/>
          <w:lang w:eastAsia="es-ES" w:bidi="es-ES"/>
        </w:rPr>
        <w:t xml:space="preserve">, </w:t>
      </w:r>
      <w:r w:rsidRPr="0050771E">
        <w:rPr>
          <w:rFonts w:ascii="Verdana" w:hAnsi="Verdana" w:cs="Arial"/>
          <w:bCs/>
          <w:lang w:val="es-ES" w:eastAsia="es-ES" w:bidi="es-ES"/>
        </w:rPr>
        <w:t xml:space="preserve">la Agencia Nacional de Contratación Pública – Colombia Compra Eficiente– responde su solicitud de consulta de fecha del </w:t>
      </w:r>
      <w:r>
        <w:rPr>
          <w:rFonts w:ascii="Verdana" w:hAnsi="Verdana" w:cs="Arial"/>
          <w:bCs/>
          <w:lang w:val="es-ES" w:eastAsia="es-ES" w:bidi="es-ES"/>
        </w:rPr>
        <w:t>29</w:t>
      </w:r>
      <w:r w:rsidRPr="0050771E">
        <w:rPr>
          <w:rFonts w:ascii="Verdana" w:hAnsi="Verdana" w:cs="Arial"/>
          <w:bCs/>
          <w:lang w:val="es-ES" w:eastAsia="es-ES" w:bidi="es-ES"/>
        </w:rPr>
        <w:t xml:space="preserve"> de </w:t>
      </w:r>
      <w:r>
        <w:rPr>
          <w:rFonts w:ascii="Verdana" w:hAnsi="Verdana" w:cs="Arial"/>
          <w:bCs/>
          <w:lang w:val="es-ES" w:eastAsia="es-ES" w:bidi="es-ES"/>
        </w:rPr>
        <w:t>enero</w:t>
      </w:r>
      <w:r w:rsidRPr="0050771E">
        <w:rPr>
          <w:rFonts w:ascii="Verdana" w:hAnsi="Verdana" w:cs="Arial"/>
          <w:bCs/>
          <w:lang w:val="es-ES" w:eastAsia="es-ES" w:bidi="es-ES"/>
        </w:rPr>
        <w:t xml:space="preserve"> de 202</w:t>
      </w:r>
      <w:r>
        <w:rPr>
          <w:rFonts w:ascii="Verdana" w:hAnsi="Verdana" w:cs="Arial"/>
          <w:bCs/>
          <w:lang w:val="es-ES" w:eastAsia="es-ES" w:bidi="es-ES"/>
        </w:rPr>
        <w:t>6</w:t>
      </w:r>
      <w:r w:rsidRPr="0050771E">
        <w:rPr>
          <w:rFonts w:ascii="Verdana" w:hAnsi="Verdana" w:cs="Arial"/>
          <w:bCs/>
          <w:lang w:val="es-ES" w:eastAsia="es-ES" w:bidi="es-ES"/>
        </w:rPr>
        <w:t>, en la</w:t>
      </w:r>
      <w:r w:rsidRPr="00B31C7B">
        <w:rPr>
          <w:rFonts w:ascii="Verdana" w:hAnsi="Verdana" w:cs="Arial"/>
          <w:bCs/>
          <w:lang w:val="es-ES" w:eastAsia="es-ES" w:bidi="es-ES"/>
        </w:rPr>
        <w:t xml:space="preserve"> cual manifiesta lo siguiente: </w:t>
      </w:r>
    </w:p>
    <w:p w14:paraId="6AF6D893" w14:textId="77777777" w:rsidR="00371C3F" w:rsidRPr="006C07EE" w:rsidRDefault="00371C3F" w:rsidP="00371C3F">
      <w:pPr>
        <w:spacing w:after="0" w:line="276" w:lineRule="auto"/>
        <w:ind w:right="709"/>
        <w:jc w:val="both"/>
        <w:rPr>
          <w:rFonts w:ascii="Verdana" w:hAnsi="Verdana" w:cs="Arial"/>
          <w:bCs/>
          <w:sz w:val="21"/>
          <w:szCs w:val="21"/>
          <w:lang w:eastAsia="es-ES" w:bidi="es-ES"/>
        </w:rPr>
      </w:pPr>
    </w:p>
    <w:p w14:paraId="1ADF64EF" w14:textId="77777777" w:rsidR="00371C3F" w:rsidRPr="00D30EFC" w:rsidRDefault="00371C3F" w:rsidP="00371C3F">
      <w:pPr>
        <w:spacing w:after="0" w:line="240" w:lineRule="auto"/>
        <w:ind w:left="709" w:right="709"/>
        <w:jc w:val="both"/>
        <w:rPr>
          <w:rFonts w:ascii="Verdana" w:hAnsi="Verdana" w:cs="Arial"/>
          <w:bCs/>
          <w:sz w:val="20"/>
          <w:szCs w:val="20"/>
          <w:lang w:eastAsia="es-ES" w:bidi="es-ES"/>
        </w:rPr>
      </w:pPr>
      <w:r w:rsidRPr="006C07EE">
        <w:rPr>
          <w:rFonts w:ascii="Verdana" w:hAnsi="Verdana" w:cs="Arial"/>
          <w:bCs/>
          <w:sz w:val="20"/>
          <w:szCs w:val="20"/>
          <w:lang w:eastAsia="es-ES" w:bidi="es-ES"/>
        </w:rPr>
        <w:t>“</w:t>
      </w:r>
      <w:r w:rsidRPr="00D30EFC">
        <w:rPr>
          <w:rFonts w:ascii="Verdana" w:hAnsi="Verdana" w:cs="Arial"/>
          <w:bCs/>
          <w:sz w:val="20"/>
          <w:szCs w:val="20"/>
          <w:lang w:eastAsia="es-ES" w:bidi="es-ES"/>
        </w:rPr>
        <w:t>Hay un contrato de obra pública al cual se le canceló un PAGO ANTICIPADO por</w:t>
      </w:r>
      <w:r>
        <w:rPr>
          <w:rFonts w:ascii="Verdana" w:hAnsi="Verdana" w:cs="Arial"/>
          <w:bCs/>
          <w:sz w:val="20"/>
          <w:szCs w:val="20"/>
          <w:lang w:eastAsia="es-ES" w:bidi="es-ES"/>
        </w:rPr>
        <w:t xml:space="preserve"> </w:t>
      </w:r>
      <w:r w:rsidRPr="00D30EFC">
        <w:rPr>
          <w:rFonts w:ascii="Verdana" w:hAnsi="Verdana" w:cs="Arial"/>
          <w:bCs/>
          <w:sz w:val="20"/>
          <w:szCs w:val="20"/>
          <w:lang w:eastAsia="es-ES" w:bidi="es-ES"/>
        </w:rPr>
        <w:t>valor del 50% (</w:t>
      </w:r>
      <w:proofErr w:type="gramStart"/>
      <w:r w:rsidRPr="00D30EFC">
        <w:rPr>
          <w:rFonts w:ascii="Verdana" w:hAnsi="Verdana" w:cs="Arial"/>
          <w:bCs/>
          <w:sz w:val="20"/>
          <w:szCs w:val="20"/>
          <w:lang w:eastAsia="es-ES" w:bidi="es-ES"/>
        </w:rPr>
        <w:t>de acuerdo a</w:t>
      </w:r>
      <w:proofErr w:type="gramEnd"/>
      <w:r w:rsidRPr="00D30EFC">
        <w:rPr>
          <w:rFonts w:ascii="Verdana" w:hAnsi="Verdana" w:cs="Arial"/>
          <w:bCs/>
          <w:sz w:val="20"/>
          <w:szCs w:val="20"/>
          <w:lang w:eastAsia="es-ES" w:bidi="es-ES"/>
        </w:rPr>
        <w:t xml:space="preserve"> la forma de pago que dice: Un pago anticipado del 50%</w:t>
      </w:r>
      <w:r>
        <w:rPr>
          <w:rFonts w:ascii="Verdana" w:hAnsi="Verdana" w:cs="Arial"/>
          <w:bCs/>
          <w:sz w:val="20"/>
          <w:szCs w:val="20"/>
          <w:lang w:eastAsia="es-ES" w:bidi="es-ES"/>
        </w:rPr>
        <w:t xml:space="preserve"> </w:t>
      </w:r>
      <w:r w:rsidRPr="00D30EFC">
        <w:rPr>
          <w:rFonts w:ascii="Verdana" w:hAnsi="Verdana" w:cs="Arial"/>
          <w:bCs/>
          <w:sz w:val="20"/>
          <w:szCs w:val="20"/>
          <w:lang w:eastAsia="es-ES" w:bidi="es-ES"/>
        </w:rPr>
        <w:t>del valor del contrato y los pagos restantes mediante actas parciales hasta el 95%...)</w:t>
      </w:r>
      <w:r>
        <w:rPr>
          <w:rFonts w:ascii="Verdana" w:hAnsi="Verdana" w:cs="Arial"/>
          <w:bCs/>
          <w:sz w:val="20"/>
          <w:szCs w:val="20"/>
          <w:lang w:eastAsia="es-ES" w:bidi="es-ES"/>
        </w:rPr>
        <w:t xml:space="preserve"> </w:t>
      </w:r>
      <w:r w:rsidRPr="00D30EFC">
        <w:rPr>
          <w:rFonts w:ascii="Verdana" w:hAnsi="Verdana" w:cs="Arial"/>
          <w:bCs/>
          <w:sz w:val="20"/>
          <w:szCs w:val="20"/>
          <w:lang w:eastAsia="es-ES" w:bidi="es-ES"/>
        </w:rPr>
        <w:t>Ahora el contratista presenta un acta parcial por un avance de ejecución del 40%,</w:t>
      </w:r>
      <w:r>
        <w:rPr>
          <w:rFonts w:ascii="Verdana" w:hAnsi="Verdana" w:cs="Arial"/>
          <w:bCs/>
          <w:sz w:val="20"/>
          <w:szCs w:val="20"/>
          <w:lang w:eastAsia="es-ES" w:bidi="es-ES"/>
        </w:rPr>
        <w:t xml:space="preserve"> </w:t>
      </w:r>
      <w:r w:rsidRPr="00D30EFC">
        <w:rPr>
          <w:rFonts w:ascii="Verdana" w:hAnsi="Verdana" w:cs="Arial"/>
          <w:bCs/>
          <w:sz w:val="20"/>
          <w:szCs w:val="20"/>
          <w:lang w:eastAsia="es-ES" w:bidi="es-ES"/>
        </w:rPr>
        <w:t>yo digo que no se puede pagar porque aún no supera el 50% que ya se pagó.</w:t>
      </w:r>
    </w:p>
    <w:p w14:paraId="072FDD19" w14:textId="77777777" w:rsidR="00371C3F" w:rsidRPr="006C07EE" w:rsidRDefault="00371C3F" w:rsidP="00371C3F">
      <w:pPr>
        <w:spacing w:after="0" w:line="240" w:lineRule="auto"/>
        <w:ind w:left="709" w:right="709"/>
        <w:jc w:val="both"/>
        <w:rPr>
          <w:rFonts w:ascii="Verdana" w:hAnsi="Verdana" w:cs="Arial"/>
          <w:bCs/>
          <w:sz w:val="20"/>
          <w:szCs w:val="20"/>
          <w:lang w:eastAsia="es-ES" w:bidi="es-ES"/>
        </w:rPr>
      </w:pPr>
      <w:r w:rsidRPr="00D30EFC">
        <w:rPr>
          <w:rFonts w:ascii="Verdana" w:hAnsi="Verdana" w:cs="Arial"/>
          <w:bCs/>
          <w:sz w:val="20"/>
          <w:szCs w:val="20"/>
          <w:lang w:eastAsia="es-ES" w:bidi="es-ES"/>
        </w:rPr>
        <w:t>No obstante, el contratista dice que si se puede pagar y que se amortice del acta un</w:t>
      </w:r>
      <w:r>
        <w:rPr>
          <w:rFonts w:ascii="Verdana" w:hAnsi="Verdana" w:cs="Arial"/>
          <w:bCs/>
          <w:sz w:val="20"/>
          <w:szCs w:val="20"/>
          <w:lang w:eastAsia="es-ES" w:bidi="es-ES"/>
        </w:rPr>
        <w:t xml:space="preserve"> </w:t>
      </w:r>
      <w:r w:rsidRPr="00D30EFC">
        <w:rPr>
          <w:rFonts w:ascii="Verdana" w:hAnsi="Verdana" w:cs="Arial"/>
          <w:bCs/>
          <w:sz w:val="20"/>
          <w:szCs w:val="20"/>
          <w:lang w:eastAsia="es-ES" w:bidi="es-ES"/>
        </w:rPr>
        <w:t>50%, pero yo no estoy de acuerdo porque lo que se le dio al contratista no es un</w:t>
      </w:r>
      <w:r>
        <w:rPr>
          <w:rFonts w:ascii="Verdana" w:hAnsi="Verdana" w:cs="Arial"/>
          <w:bCs/>
          <w:sz w:val="20"/>
          <w:szCs w:val="20"/>
          <w:lang w:eastAsia="es-ES" w:bidi="es-ES"/>
        </w:rPr>
        <w:t xml:space="preserve"> </w:t>
      </w:r>
      <w:r w:rsidRPr="00D30EFC">
        <w:rPr>
          <w:rFonts w:ascii="Verdana" w:hAnsi="Verdana" w:cs="Arial"/>
          <w:bCs/>
          <w:sz w:val="20"/>
          <w:szCs w:val="20"/>
          <w:lang w:eastAsia="es-ES" w:bidi="es-ES"/>
        </w:rPr>
        <w:t>anticipo. Por ser pago anticipado no da lugar a amortización. ¿Qué se debe hacer</w:t>
      </w:r>
      <w:r>
        <w:rPr>
          <w:rFonts w:ascii="Verdana" w:hAnsi="Verdana" w:cs="Arial"/>
          <w:bCs/>
          <w:sz w:val="20"/>
          <w:szCs w:val="20"/>
          <w:lang w:eastAsia="es-ES" w:bidi="es-ES"/>
        </w:rPr>
        <w:t xml:space="preserve"> </w:t>
      </w:r>
      <w:r w:rsidRPr="00D30EFC">
        <w:rPr>
          <w:rFonts w:ascii="Verdana" w:hAnsi="Verdana" w:cs="Arial"/>
          <w:bCs/>
          <w:sz w:val="20"/>
          <w:szCs w:val="20"/>
          <w:lang w:eastAsia="es-ES" w:bidi="es-ES"/>
        </w:rPr>
        <w:t>con el pago?:</w:t>
      </w:r>
      <w:r>
        <w:rPr>
          <w:rFonts w:ascii="Verdana" w:hAnsi="Verdana" w:cs="Arial"/>
          <w:bCs/>
          <w:sz w:val="20"/>
          <w:szCs w:val="20"/>
          <w:lang w:eastAsia="es-ES" w:bidi="es-ES"/>
        </w:rPr>
        <w:t>”</w:t>
      </w:r>
    </w:p>
    <w:p w14:paraId="5241CB5E" w14:textId="77777777" w:rsidR="00371C3F" w:rsidRPr="00B31C7B" w:rsidRDefault="00371C3F" w:rsidP="00371C3F">
      <w:pPr>
        <w:spacing w:after="0" w:line="276" w:lineRule="auto"/>
        <w:ind w:firstLine="709"/>
        <w:jc w:val="both"/>
        <w:rPr>
          <w:rFonts w:ascii="Verdana" w:hAnsi="Verdana" w:cs="Arial"/>
          <w:bCs/>
          <w:lang w:eastAsia="es-ES" w:bidi="es-ES"/>
        </w:rPr>
      </w:pPr>
    </w:p>
    <w:p w14:paraId="4123B355" w14:textId="7A569597" w:rsidR="00371C3F" w:rsidRPr="00B31C7B" w:rsidRDefault="00371C3F" w:rsidP="00371C3F">
      <w:pPr>
        <w:spacing w:after="120" w:line="276" w:lineRule="auto"/>
        <w:ind w:firstLine="709"/>
        <w:jc w:val="both"/>
        <w:rPr>
          <w:rFonts w:ascii="Verdana" w:eastAsia="Calibri" w:hAnsi="Verdana" w:cs="Times New Roman"/>
          <w:lang w:val="es-ES"/>
        </w:rPr>
      </w:pPr>
      <w:r w:rsidRPr="00B31C7B">
        <w:rPr>
          <w:rFonts w:ascii="Verdana" w:eastAsia="Calibri" w:hAnsi="Verdana" w:cs="Times New Roman"/>
          <w:lang w:val="es-ES"/>
        </w:rPr>
        <w:t xml:space="preserve">De manera preliminar, resulta necesario acotar que esta entidad solo tiene competencia para responder consultas sobre la aplicación de normas de carácter </w:t>
      </w:r>
      <w:r w:rsidRPr="00B31C7B">
        <w:rPr>
          <w:rFonts w:ascii="Verdana" w:eastAsia="Calibri" w:hAnsi="Verdana" w:cs="Times New Roman"/>
          <w:lang w:val="es-ES"/>
        </w:rPr>
        <w:lastRenderedPageBreak/>
        <w:t xml:space="preserve">general en materia de compras y contratación pública. En ese sentido, resolver casos particulares desborda las atribuciones asignadas por el legislador extraordinario, que no concibió a </w:t>
      </w:r>
      <w:r w:rsidR="003D7EFB">
        <w:rPr>
          <w:rFonts w:ascii="Verdana" w:eastAsia="Calibri" w:hAnsi="Verdana" w:cs="Times New Roman"/>
          <w:lang w:val="es-ES"/>
        </w:rPr>
        <w:t xml:space="preserve">la Agencia Nacional de Contratación Pública - </w:t>
      </w:r>
      <w:r w:rsidRPr="00B31C7B">
        <w:rPr>
          <w:rFonts w:ascii="Verdana" w:eastAsia="Calibri" w:hAnsi="Verdana" w:cs="Times New Roman"/>
          <w:lang w:val="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1A3AA16" w14:textId="77777777" w:rsidR="00371C3F" w:rsidRPr="00B31C7B" w:rsidRDefault="00371C3F" w:rsidP="00371C3F">
      <w:pPr>
        <w:spacing w:after="0" w:line="276" w:lineRule="auto"/>
        <w:ind w:firstLine="708"/>
        <w:jc w:val="both"/>
        <w:rPr>
          <w:rFonts w:ascii="Verdana" w:eastAsia="Calibri" w:hAnsi="Verdana" w:cs="Times New Roman"/>
          <w:lang w:val="es-ES"/>
        </w:rPr>
      </w:pPr>
      <w:r w:rsidRPr="00B31C7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Times New Roman"/>
          <w:lang w:val="es-ES"/>
        </w:rPr>
        <w:t xml:space="preserve">el problema jurídico </w:t>
      </w:r>
      <w:r w:rsidRPr="00B31C7B">
        <w:rPr>
          <w:rFonts w:ascii="Verdana" w:eastAsia="Calibri" w:hAnsi="Verdana" w:cs="Times New Roman"/>
          <w:lang w:val="es-ES"/>
        </w:rPr>
        <w:t>de su consulta.</w:t>
      </w:r>
    </w:p>
    <w:p w14:paraId="4EC0B82D" w14:textId="77777777" w:rsidR="00371C3F" w:rsidRPr="00B31C7B" w:rsidRDefault="00371C3F" w:rsidP="0047059D">
      <w:pPr>
        <w:spacing w:after="0" w:line="276" w:lineRule="auto"/>
        <w:rPr>
          <w:rFonts w:ascii="Verdana" w:eastAsia="Calibri" w:hAnsi="Verdana" w:cs="Times New Roman"/>
          <w:lang w:val="es-ES"/>
        </w:rPr>
      </w:pPr>
    </w:p>
    <w:p w14:paraId="52667A4D" w14:textId="77777777" w:rsidR="00371C3F" w:rsidRPr="00B31C7B" w:rsidRDefault="00371C3F" w:rsidP="0047059D">
      <w:pPr>
        <w:numPr>
          <w:ilvl w:val="0"/>
          <w:numId w:val="16"/>
        </w:numPr>
        <w:spacing w:after="0" w:line="276" w:lineRule="auto"/>
        <w:contextualSpacing/>
        <w:rPr>
          <w:rFonts w:ascii="Verdana" w:eastAsia="Calibri" w:hAnsi="Verdana" w:cs="Times New Roman"/>
          <w:b/>
          <w:bCs/>
          <w:lang w:val="es-ES"/>
        </w:rPr>
      </w:pPr>
      <w:r w:rsidRPr="00B31C7B">
        <w:rPr>
          <w:rFonts w:ascii="Verdana" w:eastAsia="Calibri" w:hAnsi="Verdana" w:cs="Times New Roman"/>
          <w:b/>
          <w:bCs/>
          <w:lang w:val="es-ES"/>
        </w:rPr>
        <w:t>Problema planteado:</w:t>
      </w:r>
    </w:p>
    <w:p w14:paraId="406EC1A7" w14:textId="77777777" w:rsidR="00371C3F" w:rsidRPr="00B31C7B" w:rsidRDefault="00371C3F" w:rsidP="0047059D">
      <w:pPr>
        <w:spacing w:after="0" w:line="276" w:lineRule="auto"/>
        <w:rPr>
          <w:rFonts w:ascii="Verdana" w:eastAsia="Calibri" w:hAnsi="Verdana" w:cs="Times New Roman"/>
        </w:rPr>
      </w:pPr>
    </w:p>
    <w:p w14:paraId="1C799DCF" w14:textId="005C069A" w:rsidR="00021981" w:rsidRPr="0047059D" w:rsidRDefault="00371C3F" w:rsidP="00021981">
      <w:pPr>
        <w:spacing w:after="0" w:line="276" w:lineRule="auto"/>
        <w:jc w:val="both"/>
        <w:rPr>
          <w:rFonts w:ascii="Verdana" w:eastAsia="Calibri" w:hAnsi="Verdana" w:cs="Times New Roman"/>
        </w:rPr>
      </w:pPr>
      <w:r w:rsidRPr="00921FBC">
        <w:rPr>
          <w:rFonts w:ascii="Verdana" w:eastAsia="Calibri" w:hAnsi="Verdana" w:cs="Times New Roman"/>
        </w:rPr>
        <w:t xml:space="preserve">De acuerdo al contenido de su solicitud, se presenta el siguiente problema jurídico: </w:t>
      </w:r>
      <w:r w:rsidR="00021981" w:rsidRPr="0047059D">
        <w:rPr>
          <w:rFonts w:ascii="Verdana" w:eastAsia="Calibri" w:hAnsi="Verdana" w:cs="Times New Roman"/>
        </w:rPr>
        <w:t xml:space="preserve">¿Puede una entidad estatal reconocer y pagar un acta parcial de obra correspondiente a un avance del </w:t>
      </w:r>
      <w:r w:rsidR="003245D1">
        <w:rPr>
          <w:rFonts w:ascii="Verdana" w:eastAsia="Calibri" w:hAnsi="Verdana" w:cs="Times New Roman"/>
        </w:rPr>
        <w:t>cuarenta (</w:t>
      </w:r>
      <w:r w:rsidR="00021981" w:rsidRPr="0047059D">
        <w:rPr>
          <w:rFonts w:ascii="Verdana" w:eastAsia="Calibri" w:hAnsi="Verdana" w:cs="Times New Roman"/>
        </w:rPr>
        <w:t>40%</w:t>
      </w:r>
      <w:r w:rsidR="003245D1">
        <w:rPr>
          <w:rFonts w:ascii="Verdana" w:eastAsia="Calibri" w:hAnsi="Verdana" w:cs="Times New Roman"/>
        </w:rPr>
        <w:t>)</w:t>
      </w:r>
      <w:r w:rsidR="00021981" w:rsidRPr="0047059D">
        <w:rPr>
          <w:rFonts w:ascii="Verdana" w:eastAsia="Calibri" w:hAnsi="Verdana" w:cs="Times New Roman"/>
        </w:rPr>
        <w:t xml:space="preserve"> cuando previamente ha realizado al contratista un pago anticipado del </w:t>
      </w:r>
      <w:r w:rsidR="003245D1">
        <w:rPr>
          <w:rFonts w:ascii="Verdana" w:eastAsia="Calibri" w:hAnsi="Verdana" w:cs="Times New Roman"/>
        </w:rPr>
        <w:t>cincuenta por ciento (</w:t>
      </w:r>
      <w:r w:rsidR="00021981" w:rsidRPr="0047059D">
        <w:rPr>
          <w:rFonts w:ascii="Verdana" w:eastAsia="Calibri" w:hAnsi="Verdana" w:cs="Times New Roman"/>
        </w:rPr>
        <w:t>50%</w:t>
      </w:r>
      <w:r w:rsidR="003245D1">
        <w:rPr>
          <w:rFonts w:ascii="Verdana" w:eastAsia="Calibri" w:hAnsi="Verdana" w:cs="Times New Roman"/>
        </w:rPr>
        <w:t>)</w:t>
      </w:r>
      <w:r w:rsidR="00021981" w:rsidRPr="0047059D">
        <w:rPr>
          <w:rFonts w:ascii="Verdana" w:eastAsia="Calibri" w:hAnsi="Verdana" w:cs="Times New Roman"/>
        </w:rPr>
        <w:t xml:space="preserve"> del valor total del contrato, considerando que el pago anticipado —a diferencia del anticipo— no está sujeto a amortización, o debe la entidad abstenerse de efectuar nuevos pagos hasta que el avance físico supere el valor ya pagado por concepto de pago anticipado?</w:t>
      </w:r>
    </w:p>
    <w:p w14:paraId="2C7E36B8" w14:textId="77777777" w:rsidR="00021981" w:rsidRPr="00663985" w:rsidRDefault="00021981" w:rsidP="00091470">
      <w:pPr>
        <w:spacing w:after="0" w:line="276" w:lineRule="auto"/>
        <w:jc w:val="both"/>
        <w:rPr>
          <w:rFonts w:ascii="Verdana" w:eastAsia="Calibri" w:hAnsi="Verdana" w:cs="Times New Roman"/>
          <w:i/>
          <w:iCs/>
        </w:rPr>
      </w:pPr>
    </w:p>
    <w:p w14:paraId="39EAC8C6" w14:textId="77777777" w:rsidR="00371C3F" w:rsidRPr="00B57A1B" w:rsidRDefault="00371C3F" w:rsidP="00663985">
      <w:pPr>
        <w:numPr>
          <w:ilvl w:val="0"/>
          <w:numId w:val="16"/>
        </w:numPr>
        <w:spacing w:after="0" w:line="27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7F2539C1" w14:textId="77777777" w:rsidR="00371C3F" w:rsidRPr="00B57A1B" w:rsidRDefault="00371C3F" w:rsidP="00091470">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371C3F" w:rsidRPr="00B57A1B" w14:paraId="2B355314" w14:textId="77777777" w:rsidTr="007F553A">
        <w:trPr>
          <w:trHeight w:val="345"/>
          <w:jc w:val="center"/>
        </w:trPr>
        <w:tc>
          <w:tcPr>
            <w:tcW w:w="8784" w:type="dxa"/>
            <w:tcBorders>
              <w:bottom w:val="single" w:sz="4" w:space="0" w:color="auto"/>
            </w:tcBorders>
          </w:tcPr>
          <w:p w14:paraId="52259B8C" w14:textId="48152B5D" w:rsidR="00371C3F" w:rsidRDefault="00371C3F" w:rsidP="00663985">
            <w:pPr>
              <w:tabs>
                <w:tab w:val="left" w:pos="709"/>
              </w:tabs>
              <w:snapToGrid w:val="0"/>
              <w:spacing w:after="120" w:line="276" w:lineRule="auto"/>
              <w:jc w:val="both"/>
              <w:rPr>
                <w:rFonts w:ascii="Verdana" w:eastAsia="Calibri" w:hAnsi="Verdana" w:cs="Times New Roman"/>
              </w:rPr>
            </w:pPr>
            <w:r w:rsidRPr="00307CAF">
              <w:rPr>
                <w:rFonts w:ascii="Verdana" w:eastAsia="Calibri" w:hAnsi="Verdana" w:cs="Times New Roman"/>
              </w:rPr>
              <w:t>Como primera medida, la Agencia considera pertinente precisar que, en lo relacionado con la forma de pago pactada en las cláusulas contractuales, las partes, en virtud de lo dispuesto en el artículo 40 de la Ley 80 de 1993 y</w:t>
            </w:r>
            <w:r w:rsidR="00C973D0">
              <w:rPr>
                <w:rFonts w:ascii="Verdana" w:eastAsia="Calibri" w:hAnsi="Verdana" w:cs="Times New Roman"/>
              </w:rPr>
              <w:t>,</w:t>
            </w:r>
            <w:r w:rsidRPr="00307CAF">
              <w:rPr>
                <w:rFonts w:ascii="Verdana" w:eastAsia="Calibri" w:hAnsi="Verdana" w:cs="Times New Roman"/>
              </w:rPr>
              <w:t xml:space="preserve"> en ejercicio del principio de autonomía de la voluntad, se encuentran facultadas para acordar las estipulaciones que estimen necesarias para regular la </w:t>
            </w:r>
            <w:r w:rsidRPr="00307CAF">
              <w:rPr>
                <w:rFonts w:ascii="Verdana" w:eastAsia="Calibri" w:hAnsi="Verdana" w:cs="Times New Roman"/>
              </w:rPr>
              <w:lastRenderedPageBreak/>
              <w:t>ejecución del contrato, siempre que tales acuerdos no contravengan el ordenamiento jurídico, el interés público ni los principios que rigen la contratación estatal.</w:t>
            </w:r>
          </w:p>
          <w:p w14:paraId="774C5E59" w14:textId="3E6ECFEE" w:rsidR="00371C3F" w:rsidRDefault="00371C3F" w:rsidP="00663985">
            <w:pPr>
              <w:tabs>
                <w:tab w:val="left" w:pos="709"/>
              </w:tabs>
              <w:snapToGrid w:val="0"/>
              <w:spacing w:after="120" w:line="276" w:lineRule="auto"/>
              <w:ind w:firstLine="709"/>
              <w:jc w:val="both"/>
              <w:rPr>
                <w:rFonts w:ascii="Verdana" w:eastAsia="Calibri" w:hAnsi="Verdana" w:cs="Arial"/>
                <w:lang w:val="es-ES"/>
              </w:rPr>
            </w:pPr>
            <w:r>
              <w:rPr>
                <w:rFonts w:ascii="Verdana" w:eastAsia="Calibri" w:hAnsi="Verdana" w:cs="Times New Roman"/>
              </w:rPr>
              <w:t xml:space="preserve">En cuanto al problema jurídico, objeto de consulta, </w:t>
            </w:r>
            <w:r w:rsidR="00C973D0">
              <w:rPr>
                <w:rFonts w:ascii="Verdana" w:eastAsia="Calibri" w:hAnsi="Verdana" w:cs="Times New Roman"/>
              </w:rPr>
              <w:t>es importante precisa</w:t>
            </w:r>
            <w:r w:rsidR="00B53945">
              <w:rPr>
                <w:rFonts w:ascii="Verdana" w:eastAsia="Calibri" w:hAnsi="Verdana" w:cs="Times New Roman"/>
              </w:rPr>
              <w:t>rse que</w:t>
            </w:r>
            <w:r w:rsidR="00D250F2">
              <w:rPr>
                <w:rFonts w:ascii="Verdana" w:eastAsia="Calibri" w:hAnsi="Verdana" w:cs="Times New Roman"/>
              </w:rPr>
              <w:t xml:space="preserve">, </w:t>
            </w:r>
            <w:r w:rsidR="00D250F2">
              <w:rPr>
                <w:rFonts w:ascii="Verdana" w:eastAsia="Calibri" w:hAnsi="Verdana" w:cs="Arial"/>
                <w:lang w:val="es-ES"/>
              </w:rPr>
              <w:t>e</w:t>
            </w:r>
            <w:r w:rsidRPr="00E9090B">
              <w:rPr>
                <w:rFonts w:ascii="Verdana" w:eastAsia="Calibri" w:hAnsi="Verdana" w:cs="Arial"/>
                <w:lang w:val="es-ES"/>
              </w:rPr>
              <w:t>l pago anticipado es un pago efectivo del precio que se efectúa y se causa en forma anticipada. Por tanto, los recursos se integran al patrimonio del contratista desde su desembolso</w:t>
            </w:r>
            <w:r>
              <w:rPr>
                <w:rFonts w:ascii="Verdana" w:eastAsia="Calibri" w:hAnsi="Verdana" w:cs="Arial"/>
                <w:lang w:val="es-ES"/>
              </w:rPr>
              <w:t>.</w:t>
            </w:r>
            <w:r w:rsidR="00D250F2">
              <w:rPr>
                <w:rFonts w:ascii="Verdana" w:eastAsia="Calibri" w:hAnsi="Verdana" w:cs="Arial"/>
                <w:lang w:val="es-ES"/>
              </w:rPr>
              <w:t xml:space="preserve"> </w:t>
            </w:r>
            <w:r w:rsidRPr="00E9090B">
              <w:rPr>
                <w:rFonts w:ascii="Verdana" w:eastAsia="Calibri" w:hAnsi="Verdana" w:cs="Arial"/>
                <w:lang w:val="es-ES"/>
              </w:rPr>
              <w:t>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Pr>
                <w:rFonts w:ascii="Verdana" w:eastAsia="Calibri" w:hAnsi="Verdana" w:cs="Arial"/>
                <w:lang w:val="es-ES"/>
              </w:rPr>
              <w:t xml:space="preserve">. </w:t>
            </w:r>
          </w:p>
          <w:p w14:paraId="47CC71D2" w14:textId="6A87F04C" w:rsidR="00371C3F" w:rsidRDefault="00371C3F" w:rsidP="00134596">
            <w:pPr>
              <w:tabs>
                <w:tab w:val="left" w:pos="709"/>
              </w:tabs>
              <w:snapToGrid w:val="0"/>
              <w:spacing w:after="120" w:line="276" w:lineRule="auto"/>
              <w:ind w:firstLine="709"/>
              <w:jc w:val="both"/>
              <w:rPr>
                <w:rFonts w:ascii="Verdana" w:eastAsia="Calibri" w:hAnsi="Verdana" w:cs="Arial"/>
              </w:rPr>
            </w:pPr>
            <w:r w:rsidRPr="00783BAC">
              <w:rPr>
                <w:rFonts w:ascii="Verdana" w:eastAsia="Calibri" w:hAnsi="Verdana" w:cs="Arial"/>
                <w:lang w:val="es-ES"/>
              </w:rPr>
              <w:t xml:space="preserve">De las dos definiciones precedentes, esta </w:t>
            </w:r>
            <w:r w:rsidR="001E77D6">
              <w:rPr>
                <w:rFonts w:ascii="Verdana" w:eastAsia="Calibri" w:hAnsi="Verdana" w:cs="Arial"/>
                <w:lang w:val="es-ES"/>
              </w:rPr>
              <w:t>A</w:t>
            </w:r>
            <w:r w:rsidRPr="00783BAC">
              <w:rPr>
                <w:rFonts w:ascii="Verdana" w:eastAsia="Calibri" w:hAnsi="Verdana" w:cs="Arial"/>
                <w:lang w:val="es-ES"/>
              </w:rPr>
              <w:t xml:space="preserve">gencia </w:t>
            </w:r>
            <w:r w:rsidR="001E77D6">
              <w:rPr>
                <w:rFonts w:ascii="Verdana" w:eastAsia="Calibri" w:hAnsi="Verdana" w:cs="Arial"/>
                <w:lang w:val="es-ES"/>
              </w:rPr>
              <w:t xml:space="preserve">debe </w:t>
            </w:r>
            <w:r w:rsidRPr="00783BAC">
              <w:rPr>
                <w:rFonts w:ascii="Verdana" w:eastAsia="Calibri" w:hAnsi="Verdana" w:cs="Arial"/>
                <w:lang w:val="es-ES"/>
              </w:rPr>
              <w:t xml:space="preserve">recalcar que una de las principales diferencias entre ellas, es que en </w:t>
            </w:r>
            <w:r w:rsidR="00175C11">
              <w:rPr>
                <w:rFonts w:ascii="Verdana" w:eastAsia="Calibri" w:hAnsi="Verdana" w:cs="Arial"/>
                <w:lang w:val="es-ES"/>
              </w:rPr>
              <w:t>mientras el pago anticipado</w:t>
            </w:r>
            <w:r w:rsidRPr="00783BAC">
              <w:rPr>
                <w:rFonts w:ascii="Verdana" w:eastAsia="Calibri" w:hAnsi="Verdana" w:cs="Arial"/>
                <w:lang w:val="es-ES"/>
              </w:rPr>
              <w:t xml:space="preserve"> entra al patrimonio del contratista como retribución del servicio prestado en la ejecución del contrato, </w:t>
            </w:r>
            <w:r w:rsidR="007D40E3">
              <w:rPr>
                <w:rFonts w:ascii="Verdana" w:eastAsia="Calibri" w:hAnsi="Verdana" w:cs="Arial"/>
                <w:lang w:val="es-ES"/>
              </w:rPr>
              <w:t>e</w:t>
            </w:r>
            <w:r w:rsidR="00254418">
              <w:rPr>
                <w:rFonts w:ascii="Verdana" w:eastAsia="Calibri" w:hAnsi="Verdana" w:cs="Arial"/>
                <w:lang w:val="es-ES"/>
              </w:rPr>
              <w:t>l</w:t>
            </w:r>
            <w:r w:rsidR="00134596">
              <w:rPr>
                <w:rFonts w:ascii="Verdana" w:eastAsia="Calibri" w:hAnsi="Verdana" w:cs="Arial"/>
                <w:lang w:val="es-ES"/>
              </w:rPr>
              <w:t xml:space="preserve"> anticipo </w:t>
            </w:r>
            <w:r w:rsidRPr="00783BAC">
              <w:rPr>
                <w:rFonts w:ascii="Verdana" w:eastAsia="Calibri" w:hAnsi="Verdana" w:cs="Arial"/>
                <w:lang w:val="es-ES"/>
              </w:rPr>
              <w:t xml:space="preserve">se utiliza como un adelanto en aras de apalancar al contratista para la correcta ejecución del contrato, el cual es amortizado por parte de la entidad en aras de retribución y/o recuperación de lo pagado. </w:t>
            </w:r>
            <w:r w:rsidRPr="00783BAC">
              <w:rPr>
                <w:rFonts w:ascii="Verdana" w:eastAsia="Calibri" w:hAnsi="Verdana" w:cs="Arial"/>
              </w:rPr>
              <w:t>En conclusión, es fundamental diferenciar las figuras del anticipo y el pago anticipado, dado que su naturaleza jurídica y efectos son distintos en el marco de la contratación estatal, tema que será abor</w:t>
            </w:r>
            <w:r>
              <w:rPr>
                <w:rFonts w:ascii="Verdana" w:eastAsia="Calibri" w:hAnsi="Verdana" w:cs="Arial"/>
              </w:rPr>
              <w:t>d</w:t>
            </w:r>
            <w:r w:rsidRPr="00783BAC">
              <w:rPr>
                <w:rFonts w:ascii="Verdana" w:eastAsia="Calibri" w:hAnsi="Verdana" w:cs="Arial"/>
              </w:rPr>
              <w:t>ado en la parte considerativa del presente concepto.</w:t>
            </w:r>
          </w:p>
          <w:p w14:paraId="1B69A296" w14:textId="6BF868C5" w:rsidR="00120E5C" w:rsidRDefault="00120E5C" w:rsidP="00CF507C">
            <w:pPr>
              <w:tabs>
                <w:tab w:val="left" w:pos="709"/>
              </w:tabs>
              <w:snapToGrid w:val="0"/>
              <w:spacing w:after="120" w:line="276" w:lineRule="auto"/>
              <w:ind w:firstLine="709"/>
              <w:jc w:val="both"/>
              <w:rPr>
                <w:rFonts w:ascii="Verdana" w:eastAsia="Calibri" w:hAnsi="Verdana" w:cs="Arial"/>
              </w:rPr>
            </w:pPr>
            <w:r>
              <w:rPr>
                <w:rFonts w:ascii="Verdana" w:eastAsia="Calibri" w:hAnsi="Verdana" w:cs="Arial"/>
              </w:rPr>
              <w:t xml:space="preserve">Conforme a lo anterior, si en un contrato </w:t>
            </w:r>
            <w:r w:rsidRPr="00663985">
              <w:rPr>
                <w:rFonts w:ascii="Verdana" w:eastAsia="Calibri" w:hAnsi="Verdana" w:cs="Arial"/>
              </w:rPr>
              <w:t>no se pactó un anticipo</w:t>
            </w:r>
            <w:r w:rsidRPr="00120E5C">
              <w:rPr>
                <w:rFonts w:ascii="Verdana" w:eastAsia="Calibri" w:hAnsi="Verdana" w:cs="Arial"/>
              </w:rPr>
              <w:t xml:space="preserve">, sino un </w:t>
            </w:r>
            <w:r w:rsidRPr="00663985">
              <w:rPr>
                <w:rFonts w:ascii="Verdana" w:eastAsia="Calibri" w:hAnsi="Verdana" w:cs="Arial"/>
              </w:rPr>
              <w:t>pago anticipado</w:t>
            </w:r>
            <w:r w:rsidRPr="00120E5C">
              <w:rPr>
                <w:rFonts w:ascii="Verdana" w:eastAsia="Calibri" w:hAnsi="Verdana" w:cs="Arial"/>
              </w:rPr>
              <w:t xml:space="preserve">, el contratista </w:t>
            </w:r>
            <w:r w:rsidRPr="00663985">
              <w:rPr>
                <w:rFonts w:ascii="Verdana" w:eastAsia="Calibri" w:hAnsi="Verdana" w:cs="Arial"/>
              </w:rPr>
              <w:t xml:space="preserve">no está habilitado para solicitar la amortización </w:t>
            </w:r>
            <w:proofErr w:type="gramStart"/>
            <w:r w:rsidRPr="00663985">
              <w:rPr>
                <w:rFonts w:ascii="Verdana" w:eastAsia="Calibri" w:hAnsi="Verdana" w:cs="Arial"/>
              </w:rPr>
              <w:t>del mismo</w:t>
            </w:r>
            <w:proofErr w:type="gramEnd"/>
            <w:r w:rsidRPr="00120E5C">
              <w:rPr>
                <w:rFonts w:ascii="Verdana" w:eastAsia="Calibri" w:hAnsi="Verdana" w:cs="Arial"/>
              </w:rPr>
              <w:t xml:space="preserve"> dentro de las actas parciales. Pretender amortizarlo implicaría desconocer la naturaleza jurídica del pago anticipado y modificar, de facto, la forma de pago pactada contractualmente.</w:t>
            </w:r>
            <w:r w:rsidR="00CF507C">
              <w:rPr>
                <w:rFonts w:ascii="Verdana" w:eastAsia="Calibri" w:hAnsi="Verdana" w:cs="Arial"/>
              </w:rPr>
              <w:t xml:space="preserve"> </w:t>
            </w:r>
            <w:r w:rsidRPr="00120E5C">
              <w:rPr>
                <w:rFonts w:ascii="Verdana" w:eastAsia="Calibri" w:hAnsi="Verdana" w:cs="Arial"/>
              </w:rPr>
              <w:t xml:space="preserve">En consecuencia, tratándose de un </w:t>
            </w:r>
            <w:r w:rsidRPr="00663985">
              <w:rPr>
                <w:rFonts w:ascii="Verdana" w:eastAsia="Calibri" w:hAnsi="Verdana" w:cs="Arial"/>
              </w:rPr>
              <w:t xml:space="preserve">pago anticipado del </w:t>
            </w:r>
            <w:r w:rsidR="00CF507C">
              <w:rPr>
                <w:rFonts w:ascii="Verdana" w:eastAsia="Calibri" w:hAnsi="Verdana" w:cs="Arial"/>
              </w:rPr>
              <w:t>cincuenta por ciento (</w:t>
            </w:r>
            <w:r w:rsidRPr="00663985">
              <w:rPr>
                <w:rFonts w:ascii="Verdana" w:eastAsia="Calibri" w:hAnsi="Verdana" w:cs="Arial"/>
              </w:rPr>
              <w:t>50%</w:t>
            </w:r>
            <w:r w:rsidR="00CF507C">
              <w:rPr>
                <w:rFonts w:ascii="Verdana" w:eastAsia="Calibri" w:hAnsi="Verdana" w:cs="Arial"/>
              </w:rPr>
              <w:t>)</w:t>
            </w:r>
            <w:r w:rsidRPr="00CF507C">
              <w:rPr>
                <w:rFonts w:ascii="Verdana" w:eastAsia="Calibri" w:hAnsi="Verdana" w:cs="Arial"/>
              </w:rPr>
              <w:t>,</w:t>
            </w:r>
            <w:r w:rsidRPr="00120E5C">
              <w:rPr>
                <w:rFonts w:ascii="Verdana" w:eastAsia="Calibri" w:hAnsi="Verdana" w:cs="Arial"/>
              </w:rPr>
              <w:t xml:space="preserve"> la entidad únicamente está facultada para reconocer nuevos pagos cuando</w:t>
            </w:r>
            <w:r w:rsidR="00CF507C">
              <w:rPr>
                <w:rFonts w:ascii="Verdana" w:eastAsia="Calibri" w:hAnsi="Verdana" w:cs="Arial"/>
              </w:rPr>
              <w:t xml:space="preserve"> e</w:t>
            </w:r>
            <w:r w:rsidRPr="00120E5C">
              <w:rPr>
                <w:rFonts w:ascii="Verdana" w:eastAsia="Calibri" w:hAnsi="Verdana" w:cs="Arial"/>
              </w:rPr>
              <w:t xml:space="preserve">l avance ejecutado </w:t>
            </w:r>
            <w:r w:rsidRPr="00663985">
              <w:rPr>
                <w:rFonts w:ascii="Verdana" w:eastAsia="Calibri" w:hAnsi="Verdana" w:cs="Arial"/>
              </w:rPr>
              <w:t>supere el valor ya pagado</w:t>
            </w:r>
            <w:r w:rsidRPr="00120E5C">
              <w:rPr>
                <w:rFonts w:ascii="Verdana" w:eastAsia="Calibri" w:hAnsi="Verdana" w:cs="Arial"/>
              </w:rPr>
              <w:t xml:space="preserve">, es decir, cuando la ejecución represente más del </w:t>
            </w:r>
            <w:r w:rsidR="00CF507C">
              <w:rPr>
                <w:rFonts w:ascii="Verdana" w:eastAsia="Calibri" w:hAnsi="Verdana" w:cs="Arial"/>
              </w:rPr>
              <w:t>cincuenta por ciento (</w:t>
            </w:r>
            <w:r w:rsidRPr="00120E5C">
              <w:rPr>
                <w:rFonts w:ascii="Verdana" w:eastAsia="Calibri" w:hAnsi="Verdana" w:cs="Arial"/>
              </w:rPr>
              <w:t>50%</w:t>
            </w:r>
            <w:r w:rsidR="00CF507C">
              <w:rPr>
                <w:rFonts w:ascii="Verdana" w:eastAsia="Calibri" w:hAnsi="Verdana" w:cs="Arial"/>
              </w:rPr>
              <w:t>)</w:t>
            </w:r>
            <w:r w:rsidRPr="00120E5C">
              <w:rPr>
                <w:rFonts w:ascii="Verdana" w:eastAsia="Calibri" w:hAnsi="Verdana" w:cs="Arial"/>
              </w:rPr>
              <w:t xml:space="preserve"> del contrato</w:t>
            </w:r>
            <w:r w:rsidR="00CF507C">
              <w:rPr>
                <w:rFonts w:ascii="Verdana" w:eastAsia="Calibri" w:hAnsi="Verdana" w:cs="Arial"/>
              </w:rPr>
              <w:t>.</w:t>
            </w:r>
          </w:p>
          <w:p w14:paraId="093757F0" w14:textId="0321BCBF" w:rsidR="00371C3F" w:rsidRPr="00204A1B" w:rsidRDefault="00134596" w:rsidP="00663985">
            <w:pPr>
              <w:tabs>
                <w:tab w:val="left" w:pos="709"/>
              </w:tabs>
              <w:snapToGrid w:val="0"/>
              <w:spacing w:after="120" w:line="276" w:lineRule="auto"/>
              <w:ind w:firstLine="709"/>
              <w:jc w:val="both"/>
              <w:rPr>
                <w:rFonts w:ascii="Verdana" w:hAnsi="Verdana" w:cs="Arial"/>
                <w:lang w:val="es-ES" w:eastAsia="es-ES"/>
              </w:rPr>
            </w:pPr>
            <w:r>
              <w:rPr>
                <w:rFonts w:ascii="Verdana" w:eastAsia="Calibri" w:hAnsi="Verdana" w:cs="Arial"/>
                <w:lang w:val="es-ES"/>
              </w:rPr>
              <w:t>Conforme a lo anterior,</w:t>
            </w:r>
            <w:r w:rsidR="00371C3F" w:rsidRPr="00783BAC">
              <w:rPr>
                <w:rFonts w:ascii="Verdana" w:eastAsia="Calibri" w:hAnsi="Verdana" w:cs="Arial"/>
                <w:lang w:val="es-ES"/>
              </w:rPr>
              <w:t xml:space="preserve">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w:t>
            </w:r>
            <w:r w:rsidR="00371C3F" w:rsidRPr="00783BAC">
              <w:rPr>
                <w:rFonts w:ascii="Verdana" w:eastAsia="Calibri" w:hAnsi="Verdana" w:cs="Arial"/>
                <w:lang w:val="es-ES"/>
              </w:rPr>
              <w:lastRenderedPageBreak/>
              <w:t>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7C0E548" w14:textId="77777777" w:rsidR="00371C3F" w:rsidRPr="00B57A1B" w:rsidRDefault="00371C3F" w:rsidP="00371C3F">
      <w:pPr>
        <w:spacing w:after="0" w:line="276" w:lineRule="auto"/>
        <w:jc w:val="both"/>
        <w:rPr>
          <w:rFonts w:ascii="Verdana" w:eastAsia="Calibri" w:hAnsi="Verdana" w:cs="Arial"/>
          <w:bCs/>
          <w:color w:val="000000" w:themeColor="text1"/>
        </w:rPr>
      </w:pPr>
    </w:p>
    <w:p w14:paraId="7E28CBC7" w14:textId="77777777" w:rsidR="00371C3F" w:rsidRPr="00B57A1B" w:rsidRDefault="00371C3F" w:rsidP="00371C3F">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7E1E7C36" w14:textId="77777777" w:rsidR="00371C3F" w:rsidRPr="00B57A1B" w:rsidRDefault="00371C3F" w:rsidP="00371C3F">
      <w:pPr>
        <w:spacing w:after="0" w:line="256" w:lineRule="auto"/>
        <w:rPr>
          <w:rFonts w:ascii="Verdana" w:eastAsia="Calibri" w:hAnsi="Verdana" w:cs="Times New Roman"/>
          <w:b/>
          <w:bCs/>
          <w:lang w:val="es-ES"/>
        </w:rPr>
      </w:pPr>
    </w:p>
    <w:p w14:paraId="72902B9C" w14:textId="77777777" w:rsidR="00371C3F" w:rsidRPr="00E9090B" w:rsidRDefault="00371C3F" w:rsidP="00371C3F">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1FE5F397" w14:textId="77777777" w:rsidR="00371C3F" w:rsidRPr="00E9090B" w:rsidRDefault="00371C3F" w:rsidP="00371C3F">
      <w:pPr>
        <w:spacing w:after="0" w:line="276" w:lineRule="auto"/>
        <w:jc w:val="both"/>
        <w:rPr>
          <w:rFonts w:ascii="Verdana" w:hAnsi="Verdana" w:cs="Arial"/>
          <w:bCs/>
          <w:lang w:val="es-ES" w:eastAsia="es-ES" w:bidi="es-ES"/>
        </w:rPr>
      </w:pPr>
    </w:p>
    <w:p w14:paraId="53BE9B55" w14:textId="77777777" w:rsidR="00371C3F" w:rsidRPr="00E9090B" w:rsidRDefault="00371C3F" w:rsidP="00371C3F">
      <w:pPr>
        <w:snapToGrid w:val="0"/>
        <w:spacing w:after="120" w:line="276" w:lineRule="auto"/>
        <w:jc w:val="both"/>
        <w:rPr>
          <w:rFonts w:ascii="Verdana" w:eastAsia="Calibri" w:hAnsi="Verdana" w:cs="Arial"/>
          <w:lang w:val="es-ES"/>
        </w:rPr>
      </w:pPr>
      <w:r w:rsidRPr="00E9090B">
        <w:rPr>
          <w:rFonts w:ascii="Verdana" w:eastAsia="Calibri" w:hAnsi="Verdana" w:cs="Arial"/>
          <w:lang w:val="es-ES"/>
        </w:rPr>
        <w:t xml:space="preserve">i. 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5259DD8D" w14:textId="77777777" w:rsidR="00371C3F" w:rsidRPr="00E9090B" w:rsidRDefault="00371C3F" w:rsidP="00371C3F">
      <w:pPr>
        <w:spacing w:before="120" w:after="120" w:line="276" w:lineRule="auto"/>
        <w:ind w:firstLine="709"/>
        <w:jc w:val="both"/>
        <w:rPr>
          <w:rFonts w:ascii="Verdana" w:eastAsia="Calibri" w:hAnsi="Verdana" w:cs="Arial"/>
          <w:sz w:val="21"/>
          <w:szCs w:val="21"/>
          <w:lang w:val="es-ES"/>
        </w:rPr>
      </w:pPr>
      <w:r w:rsidRPr="00E9090B">
        <w:rPr>
          <w:rFonts w:ascii="Verdana" w:eastAsia="Calibri" w:hAnsi="Verdana" w:cs="Arial"/>
          <w:lang w:val="es-ES"/>
        </w:rPr>
        <w:t>Un aspecto que se destaca de dicha disposición consiste en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o la modalidad de selección del contratista. Ahora bien, para distinguir o diferenciar el pago anticipado y anticipo, se acude a lo expresado en la Subsección C de la Sección Tercera del Consejo de Estado, que expresó:</w:t>
      </w:r>
    </w:p>
    <w:p w14:paraId="5C95439C" w14:textId="77777777" w:rsidR="00371C3F" w:rsidRPr="00E9090B" w:rsidRDefault="00371C3F" w:rsidP="00371C3F">
      <w:pPr>
        <w:spacing w:after="0" w:line="240" w:lineRule="auto"/>
        <w:ind w:firstLine="709"/>
        <w:jc w:val="both"/>
        <w:rPr>
          <w:rFonts w:ascii="Arial" w:eastAsia="Calibri" w:hAnsi="Arial" w:cs="Arial"/>
          <w:lang w:val="es-ES"/>
        </w:rPr>
      </w:pPr>
    </w:p>
    <w:p w14:paraId="654FAC42" w14:textId="77777777" w:rsidR="00371C3F" w:rsidRPr="00EB6668" w:rsidRDefault="00371C3F" w:rsidP="00371C3F">
      <w:pPr>
        <w:spacing w:after="0" w:line="240" w:lineRule="auto"/>
        <w:ind w:left="709" w:right="709"/>
        <w:jc w:val="both"/>
        <w:rPr>
          <w:rFonts w:ascii="Verdana" w:eastAsia="Calibri" w:hAnsi="Verdana" w:cs="Arial"/>
          <w:sz w:val="20"/>
          <w:szCs w:val="20"/>
          <w:lang w:val="es-ES"/>
        </w:rPr>
      </w:pPr>
      <w:r w:rsidRPr="00EB6668">
        <w:rPr>
          <w:rFonts w:ascii="Verdana" w:eastAsia="Calibri" w:hAnsi="Verdana" w:cs="Arial"/>
          <w:sz w:val="20"/>
          <w:szCs w:val="20"/>
          <w:lang w:val="es-ES"/>
        </w:rPr>
        <w:t xml:space="preserve">“En este punto, vuelve a ser útil la distinción que esta Corporación ha desarrollado en torno a los conceptos de “anticipo” y “pago anticipado”, donde el principal criterio de diferenciación es la titularidad de esas sumas de dinero en términos patrimoniales, es decir, mientras el anticipo le pertenece a la administración, ello es, son dineros públicos; el pago anticipado representa el cumplimiento de la obligación de pago del precio </w:t>
      </w:r>
      <w:r w:rsidRPr="00EB6668">
        <w:rPr>
          <w:rFonts w:ascii="Verdana" w:eastAsia="Calibri" w:hAnsi="Verdana" w:cs="Arial"/>
          <w:sz w:val="20"/>
          <w:szCs w:val="20"/>
          <w:lang w:val="es-ES"/>
        </w:rPr>
        <w:lastRenderedPageBreak/>
        <w:t>del contrato por parte de la administración, o sea, son dineros de propiedad del contratista”</w:t>
      </w:r>
      <w:r w:rsidRPr="00EB6668">
        <w:rPr>
          <w:rFonts w:ascii="Verdana" w:eastAsia="Calibri" w:hAnsi="Verdana" w:cs="Arial"/>
          <w:sz w:val="20"/>
          <w:szCs w:val="20"/>
          <w:vertAlign w:val="superscript"/>
          <w:lang w:val="es-ES"/>
        </w:rPr>
        <w:footnoteReference w:id="1"/>
      </w:r>
      <w:r w:rsidRPr="00EB6668">
        <w:rPr>
          <w:rFonts w:ascii="Verdana" w:eastAsia="Calibri" w:hAnsi="Verdana" w:cs="Arial"/>
          <w:sz w:val="20"/>
          <w:szCs w:val="20"/>
          <w:lang w:val="es-ES"/>
        </w:rPr>
        <w:t>.</w:t>
      </w:r>
    </w:p>
    <w:p w14:paraId="3C905218" w14:textId="77777777" w:rsidR="00371C3F" w:rsidRPr="00E9090B" w:rsidRDefault="00371C3F" w:rsidP="00371C3F">
      <w:pPr>
        <w:spacing w:after="0" w:line="276" w:lineRule="auto"/>
        <w:ind w:firstLine="709"/>
        <w:jc w:val="both"/>
        <w:rPr>
          <w:rFonts w:ascii="Arial" w:eastAsia="Calibri" w:hAnsi="Arial" w:cs="Arial"/>
          <w:lang w:val="es-ES"/>
        </w:rPr>
      </w:pPr>
    </w:p>
    <w:p w14:paraId="07AA2EB3" w14:textId="77777777" w:rsidR="00371C3F" w:rsidRPr="00E9090B" w:rsidRDefault="00371C3F" w:rsidP="00371C3F">
      <w:pPr>
        <w:tabs>
          <w:tab w:val="left" w:pos="0"/>
        </w:tabs>
        <w:spacing w:after="120" w:line="276" w:lineRule="auto"/>
        <w:jc w:val="both"/>
        <w:rPr>
          <w:rFonts w:ascii="Verdana" w:hAnsi="Verdana" w:cs="Arial"/>
        </w:rPr>
      </w:pPr>
      <w:r w:rsidRPr="00E9090B">
        <w:rPr>
          <w:rFonts w:ascii="Verdana" w:eastAsia="Calibri" w:hAnsi="Verdana" w:cs="Arial"/>
          <w:lang w:val="es-ES"/>
        </w:rPr>
        <w:tab/>
        <w:t xml:space="preserve">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w:t>
      </w:r>
      <w:proofErr w:type="spellStart"/>
      <w:r w:rsidRPr="00E9090B">
        <w:rPr>
          <w:rFonts w:ascii="Verdana" w:eastAsia="Calibri" w:hAnsi="Verdana" w:cs="Arial"/>
          <w:lang w:val="es-ES"/>
        </w:rPr>
        <w:t>ii</w:t>
      </w:r>
      <w:proofErr w:type="spellEnd"/>
      <w:r w:rsidRPr="00E9090B">
        <w:rPr>
          <w:rFonts w:ascii="Verdana" w:eastAsia="Calibri" w:hAnsi="Verdana" w:cs="Arial"/>
          <w:lang w:val="es-ES"/>
        </w:rPr>
        <w:t>)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sidRPr="00E9090B">
        <w:rPr>
          <w:rFonts w:ascii="Verdana" w:hAnsi="Verdana" w:cs="Arial"/>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retribución parcial que el contratista recibe en los contratos de ejecución sucesiva”</w:t>
      </w:r>
      <w:r w:rsidRPr="00E9090B">
        <w:rPr>
          <w:rFonts w:ascii="Verdana" w:hAnsi="Verdana" w:cs="Arial"/>
          <w:vertAlign w:val="superscript"/>
          <w:lang w:bidi="es-ES"/>
        </w:rPr>
        <w:footnoteReference w:id="2"/>
      </w:r>
      <w:r w:rsidRPr="00E9090B">
        <w:rPr>
          <w:rFonts w:ascii="Verdana" w:hAnsi="Verdana" w:cs="Arial"/>
          <w:lang w:bidi="es-ES"/>
        </w:rPr>
        <w:t>.</w:t>
      </w:r>
    </w:p>
    <w:p w14:paraId="26CE438C" w14:textId="77777777" w:rsidR="00371C3F" w:rsidRPr="00E9090B" w:rsidRDefault="00371C3F" w:rsidP="00371C3F">
      <w:pPr>
        <w:spacing w:after="0" w:line="276" w:lineRule="auto"/>
        <w:ind w:firstLine="709"/>
        <w:jc w:val="both"/>
        <w:rPr>
          <w:rFonts w:ascii="Verdana" w:hAnsi="Verdana" w:cs="Arial"/>
        </w:rPr>
      </w:pPr>
      <w:r w:rsidRPr="00E9090B">
        <w:rPr>
          <w:rFonts w:ascii="Verdana" w:hAnsi="Verdana" w:cs="Arial"/>
          <w:lang w:eastAsia="en-GB"/>
        </w:rPr>
        <w:t>Para entender un poco más sobre sus diferencias, se precisa que la institución jurídica del anticipo está prevista en dos (2) preceptos normativos: el</w:t>
      </w:r>
      <w:r w:rsidRPr="00E9090B">
        <w:rPr>
          <w:rFonts w:ascii="Verdana" w:hAnsi="Verdana" w:cs="Arial"/>
        </w:rPr>
        <w:t xml:space="preserve"> inciso primero del parágrafo del artículo 40 de la Ley 80 de 1993 que establece un límite cuantitativo y en el artículo 91 de la Ley 1474 de 2011. Este último artículo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r w:rsidRPr="00E9090B">
        <w:rPr>
          <w:rFonts w:ascii="Verdana" w:hAnsi="Verdana"/>
        </w:rPr>
        <w:t xml:space="preserve"> </w:t>
      </w:r>
      <w:r w:rsidRPr="00E9090B">
        <w:rPr>
          <w:rFonts w:ascii="Verdana" w:hAnsi="Verdana" w:cs="Arial"/>
        </w:rPr>
        <w:t>Aunque las normas citadas no definen el anticipo, el Consejo de Estado ha precisado su naturaleza jurídica fijando parámetros para su aplicación</w:t>
      </w:r>
      <w:r w:rsidRPr="00E9090B">
        <w:rPr>
          <w:vertAlign w:val="superscript"/>
        </w:rPr>
        <w:footnoteReference w:id="3"/>
      </w:r>
      <w:r w:rsidRPr="00E9090B">
        <w:rPr>
          <w:rFonts w:ascii="Verdana" w:hAnsi="Verdana" w:cs="Arial"/>
        </w:rPr>
        <w:t>. En uno de sus pronunciamientos, el Consejo de Estado se refirió al anticipo como:</w:t>
      </w:r>
    </w:p>
    <w:p w14:paraId="52022661" w14:textId="77777777" w:rsidR="00371C3F" w:rsidRPr="00E9090B" w:rsidRDefault="00371C3F" w:rsidP="00371C3F">
      <w:pPr>
        <w:spacing w:after="0" w:line="276" w:lineRule="auto"/>
        <w:jc w:val="both"/>
        <w:rPr>
          <w:rFonts w:ascii="Verdana" w:hAnsi="Verdana" w:cs="Arial"/>
        </w:rPr>
      </w:pPr>
    </w:p>
    <w:p w14:paraId="37872CE2" w14:textId="77777777" w:rsidR="00371C3F" w:rsidRPr="00EB6668" w:rsidRDefault="00371C3F" w:rsidP="00371C3F">
      <w:pPr>
        <w:spacing w:after="0" w:line="240" w:lineRule="auto"/>
        <w:ind w:left="709" w:right="709"/>
        <w:jc w:val="both"/>
        <w:rPr>
          <w:rFonts w:ascii="Verdana" w:hAnsi="Verdana" w:cs="Arial"/>
          <w:sz w:val="20"/>
          <w:szCs w:val="20"/>
        </w:rPr>
      </w:pPr>
      <w:r w:rsidRPr="00EB6668">
        <w:rPr>
          <w:rFonts w:ascii="Verdana" w:hAnsi="Verdana" w:cs="Arial"/>
          <w:sz w:val="20"/>
          <w:szCs w:val="20"/>
        </w:rPr>
        <w:t>“[…]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EB6668">
        <w:rPr>
          <w:sz w:val="20"/>
          <w:szCs w:val="20"/>
          <w:vertAlign w:val="superscript"/>
        </w:rPr>
        <w:footnoteReference w:id="4"/>
      </w:r>
      <w:r w:rsidRPr="00EB6668">
        <w:rPr>
          <w:rFonts w:ascii="Verdana" w:hAnsi="Verdana" w:cs="Arial"/>
          <w:sz w:val="20"/>
          <w:szCs w:val="20"/>
        </w:rPr>
        <w:t>.</w:t>
      </w:r>
    </w:p>
    <w:p w14:paraId="57D1A52E" w14:textId="77777777" w:rsidR="00371C3F" w:rsidRPr="00E9090B" w:rsidRDefault="00371C3F" w:rsidP="00371C3F">
      <w:pPr>
        <w:spacing w:after="0" w:line="240" w:lineRule="auto"/>
        <w:ind w:left="709" w:right="709"/>
        <w:jc w:val="both"/>
        <w:rPr>
          <w:rFonts w:ascii="Verdana" w:hAnsi="Verdana"/>
          <w:sz w:val="21"/>
          <w:szCs w:val="21"/>
        </w:rPr>
      </w:pPr>
    </w:p>
    <w:p w14:paraId="20BAAFB4" w14:textId="77777777" w:rsidR="00371C3F" w:rsidRPr="00E9090B" w:rsidRDefault="00371C3F" w:rsidP="00371C3F">
      <w:pPr>
        <w:tabs>
          <w:tab w:val="left" w:pos="0"/>
        </w:tabs>
        <w:spacing w:after="120" w:line="276" w:lineRule="auto"/>
        <w:jc w:val="both"/>
        <w:rPr>
          <w:rFonts w:ascii="Verdana" w:hAnsi="Verdana" w:cs="Arial"/>
        </w:rPr>
      </w:pPr>
      <w:r w:rsidRPr="00E9090B">
        <w:rPr>
          <w:rFonts w:ascii="Verdana" w:hAnsi="Verdana" w:cs="Arial"/>
        </w:rPr>
        <w:tab/>
        <w:t>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sidRPr="00E9090B">
        <w:rPr>
          <w:vertAlign w:val="superscript"/>
        </w:rPr>
        <w:footnoteReference w:id="5"/>
      </w:r>
      <w:r w:rsidRPr="00E9090B">
        <w:rPr>
          <w:rFonts w:ascii="Verdana" w:hAnsi="Verdana" w:cs="Arial"/>
        </w:rPr>
        <w:t>. Igualmente, explica que el anticipo, al facilitar al contratista la financiación de los bienes y servicios que se le han encargado, es un factor determinante para impulsar la ejecución del contrato</w:t>
      </w:r>
      <w:r w:rsidRPr="00E9090B">
        <w:rPr>
          <w:vertAlign w:val="superscript"/>
        </w:rPr>
        <w:footnoteReference w:id="6"/>
      </w:r>
      <w:r w:rsidRPr="00E9090B">
        <w:rPr>
          <w:rFonts w:ascii="Verdana" w:hAnsi="Verdana" w:cs="Arial"/>
        </w:rPr>
        <w:t>. Este también es el entendimiento de la doctrina, que ha considerado el anticipo como un dinero entregado al contratista que debe cancelarse mediante descuentos parciales, siendo una práctica común que permite impulsar la ejecución del contrato</w:t>
      </w:r>
      <w:r w:rsidRPr="00E9090B">
        <w:rPr>
          <w:vertAlign w:val="superscript"/>
        </w:rPr>
        <w:footnoteReference w:id="7"/>
      </w:r>
      <w:r w:rsidRPr="00E9090B">
        <w:rPr>
          <w:rFonts w:ascii="Verdana" w:hAnsi="Verdana" w:cs="Arial"/>
        </w:rPr>
        <w:t xml:space="preserve">. </w:t>
      </w:r>
    </w:p>
    <w:p w14:paraId="34F345A3" w14:textId="77777777" w:rsidR="00371C3F" w:rsidRPr="00E9090B" w:rsidRDefault="00371C3F" w:rsidP="00371C3F">
      <w:pPr>
        <w:tabs>
          <w:tab w:val="left" w:pos="0"/>
        </w:tabs>
        <w:spacing w:after="120" w:line="276" w:lineRule="auto"/>
        <w:jc w:val="both"/>
        <w:rPr>
          <w:rFonts w:ascii="Verdana" w:hAnsi="Verdana" w:cs="Arial"/>
        </w:rPr>
      </w:pPr>
      <w:r w:rsidRPr="00E9090B">
        <w:rPr>
          <w:rFonts w:ascii="Verdana" w:hAnsi="Verdana" w:cs="Arial"/>
        </w:rPr>
        <w:lastRenderedPageBreak/>
        <w:tab/>
        <w:t>Así, de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E9090B">
        <w:rPr>
          <w:rFonts w:ascii="Verdana" w:hAnsi="Verdana" w:cs="Times New Roman"/>
          <w:lang w:eastAsia="es-CO"/>
        </w:rPr>
        <w:t xml:space="preserve"> </w:t>
      </w:r>
    </w:p>
    <w:p w14:paraId="73C34F5C" w14:textId="77777777" w:rsidR="00371C3F" w:rsidRPr="00E9090B" w:rsidRDefault="00371C3F" w:rsidP="00371C3F">
      <w:pPr>
        <w:spacing w:after="120" w:line="276" w:lineRule="auto"/>
        <w:ind w:firstLine="708"/>
        <w:jc w:val="both"/>
        <w:rPr>
          <w:rFonts w:ascii="Verdana" w:hAnsi="Verdana" w:cs="Arial"/>
          <w:sz w:val="21"/>
          <w:szCs w:val="21"/>
        </w:rPr>
      </w:pPr>
      <w:r w:rsidRPr="00E9090B">
        <w:rPr>
          <w:rFonts w:ascii="Verdana" w:eastAsia="Calibri" w:hAnsi="Verdana" w:cs="Arial"/>
        </w:rPr>
        <w:t>Por otro lado, la institución jurídica del pago anticipado se concibe como la retribución parcial que el contratista recibe en los contratos estatales. Al respecto, la doctrina expresa:</w:t>
      </w:r>
      <w:r w:rsidRPr="00E9090B">
        <w:rPr>
          <w:rFonts w:ascii="ArialMT" w:hAnsi="ArialMT" w:cs="ArialMT"/>
          <w:sz w:val="18"/>
          <w:szCs w:val="18"/>
        </w:rPr>
        <w:t xml:space="preserve"> </w:t>
      </w:r>
      <w:r w:rsidRPr="00E9090B">
        <w:rPr>
          <w:rFonts w:ascii="Verdana" w:eastAsia="Calibri" w:hAnsi="Verdana" w:cs="Arial"/>
        </w:rPr>
        <w:t>“El pago anticipado sí hace parte del precio y su entrega comporta la extinción parcial de la obligación de remuneración a cargo de la entidad solo que de manera adelantada a la realización del contrato o como primer contado”</w:t>
      </w:r>
      <w:r w:rsidRPr="00E9090B">
        <w:rPr>
          <w:rFonts w:ascii="Verdana" w:eastAsia="Calibri" w:hAnsi="Verdana" w:cs="Arial"/>
          <w:vertAlign w:val="superscript"/>
        </w:rPr>
        <w:footnoteReference w:id="8"/>
      </w:r>
      <w:r w:rsidRPr="00E9090B">
        <w:rPr>
          <w:rFonts w:ascii="Verdana" w:eastAsia="Calibri" w:hAnsi="Verdana" w:cs="Arial"/>
        </w:rPr>
        <w:t xml:space="preserve">.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26C871C3" w14:textId="77777777" w:rsidR="00371C3F" w:rsidRPr="00E9090B" w:rsidRDefault="00371C3F" w:rsidP="00371C3F">
      <w:pPr>
        <w:tabs>
          <w:tab w:val="left" w:pos="0"/>
        </w:tabs>
        <w:spacing w:after="120" w:line="276" w:lineRule="auto"/>
        <w:jc w:val="both"/>
        <w:rPr>
          <w:rFonts w:ascii="Verdana" w:hAnsi="Verdana" w:cs="Arial"/>
        </w:rPr>
      </w:pPr>
      <w:r w:rsidRPr="00E9090B">
        <w:rPr>
          <w:rFonts w:ascii="Verdana" w:hAnsi="Verdana" w:cs="Arial"/>
        </w:rPr>
        <w:tab/>
        <w:t xml:space="preserve">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 </w:t>
      </w:r>
    </w:p>
    <w:p w14:paraId="72C44C17" w14:textId="096B005E" w:rsidR="00371C3F" w:rsidRDefault="00371C3F" w:rsidP="00663985">
      <w:pPr>
        <w:spacing w:after="120" w:line="276" w:lineRule="auto"/>
        <w:ind w:firstLine="709"/>
        <w:jc w:val="both"/>
        <w:rPr>
          <w:rFonts w:ascii="Verdana" w:eastAsia="Arial" w:hAnsi="Verdana" w:cs="Arial"/>
          <w:lang w:val="es-ES" w:eastAsia="es-ES" w:bidi="es-ES"/>
        </w:rPr>
      </w:pPr>
      <w:r w:rsidRPr="00E9090B">
        <w:rPr>
          <w:rFonts w:ascii="Verdana" w:hAnsi="Verdana" w:cs="Arial"/>
        </w:rPr>
        <w:t xml:space="preserve">Del análisis realizado se infiere que los recursos entregados al contratista en calidad de anticipo son recursos públicos. Por tanto, corresponde a la entidad adoptar las medidas necesarias y razonables para asegurar la correcta inversión de los dineros entregados, las cuales deberán reflejarse en el contrato celebrado. En consecuencia, deben constituir la garantía única de cumplimiento e incluir el amparo de buen manejo y correcta inversión el anticipo previsto en el artículo 2.2.1.2.3.1.7 del Decreto 1082 de 2015. Este amparo establece tres </w:t>
      </w:r>
      <w:r w:rsidRPr="00E9090B">
        <w:rPr>
          <w:rFonts w:ascii="Verdana" w:hAnsi="Verdana" w:cs="Arial"/>
        </w:rPr>
        <w:lastRenderedPageBreak/>
        <w:t xml:space="preserve">circunstancias que deben ser objeto de cobertura: i) la no inversión del anticipo; </w:t>
      </w:r>
      <w:proofErr w:type="spellStart"/>
      <w:r w:rsidRPr="00E9090B">
        <w:rPr>
          <w:rFonts w:ascii="Verdana" w:hAnsi="Verdana" w:cs="Arial"/>
        </w:rPr>
        <w:t>ii</w:t>
      </w:r>
      <w:proofErr w:type="spellEnd"/>
      <w:r w:rsidRPr="00E9090B">
        <w:rPr>
          <w:rFonts w:ascii="Verdana" w:hAnsi="Verdana" w:cs="Arial"/>
        </w:rPr>
        <w:t xml:space="preserve">) el uso indebido del anticipo; y </w:t>
      </w:r>
      <w:proofErr w:type="spellStart"/>
      <w:r w:rsidRPr="00E9090B">
        <w:rPr>
          <w:rFonts w:ascii="Verdana" w:hAnsi="Verdana" w:cs="Arial"/>
        </w:rPr>
        <w:t>iii</w:t>
      </w:r>
      <w:proofErr w:type="spellEnd"/>
      <w:r w:rsidRPr="00E9090B">
        <w:rPr>
          <w:rFonts w:ascii="Verdana" w:hAnsi="Verdana" w:cs="Arial"/>
        </w:rPr>
        <w:t>) la apropiación indebida de los recursos recibidos en calidad de anticipo</w:t>
      </w:r>
      <w:r w:rsidRPr="00E9090B">
        <w:rPr>
          <w:vertAlign w:val="superscript"/>
        </w:rPr>
        <w:footnoteReference w:id="9"/>
      </w:r>
      <w:r w:rsidRPr="00E9090B">
        <w:rPr>
          <w:rFonts w:ascii="Verdana" w:hAnsi="Verdana" w:cs="Arial"/>
        </w:rPr>
        <w:t xml:space="preserve">. Por otro lado, frente al pago anticipado se constituye en un amparo </w:t>
      </w:r>
      <w:r w:rsidRPr="00E9090B">
        <w:rPr>
          <w:rFonts w:ascii="Verdana" w:eastAsia="Arial" w:hAnsi="Verdana" w:cs="Arial"/>
          <w:lang w:val="es-ES" w:eastAsia="es-ES" w:bidi="es-ES"/>
        </w:rPr>
        <w:t xml:space="preserve">de devolución del pago anticipado, que ampara los perjuicios sufridos por la entidad por la no devolución total o parcial del dinero que se entregó al contratista por pago anticipado. </w:t>
      </w:r>
    </w:p>
    <w:p w14:paraId="6FA81141" w14:textId="77777777" w:rsidR="00371C3F" w:rsidRPr="00B16AC6" w:rsidRDefault="00371C3F" w:rsidP="00371C3F">
      <w:pPr>
        <w:spacing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los anticipos y/o pago anticipado,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DAAD10B" w14:textId="77777777" w:rsidR="00371C3F" w:rsidRPr="00B17041" w:rsidRDefault="00371C3F" w:rsidP="00371C3F">
      <w:pPr>
        <w:spacing w:after="0" w:line="276" w:lineRule="auto"/>
        <w:ind w:firstLine="709"/>
        <w:jc w:val="both"/>
        <w:rPr>
          <w:rFonts w:ascii="Verdana" w:hAnsi="Verdana" w:cs="Arial"/>
          <w:lang w:val="es-ES" w:eastAsia="es-ES"/>
        </w:rPr>
      </w:pPr>
      <w:r w:rsidRPr="00B17041">
        <w:rPr>
          <w:rFonts w:ascii="Verdana" w:hAnsi="Verdana" w:cs="Arial"/>
          <w:lang w:val="es-ES" w:eastAsia="es-ES"/>
        </w:rPr>
        <w:lastRenderedPageBreak/>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D225229" w14:textId="77777777" w:rsidR="00371C3F" w:rsidRPr="00AD6B46" w:rsidRDefault="00371C3F" w:rsidP="00371C3F">
      <w:pPr>
        <w:spacing w:after="0" w:line="276" w:lineRule="auto"/>
        <w:jc w:val="both"/>
        <w:rPr>
          <w:rFonts w:ascii="Verdana" w:eastAsia="Calibri" w:hAnsi="Verdana" w:cs="Arial"/>
          <w:lang w:eastAsia="es-ES_tradnl"/>
        </w:rPr>
      </w:pPr>
    </w:p>
    <w:p w14:paraId="68B6CD74" w14:textId="77777777" w:rsidR="00371C3F" w:rsidRPr="00AD6B46" w:rsidRDefault="00371C3F" w:rsidP="00371C3F">
      <w:pPr>
        <w:numPr>
          <w:ilvl w:val="0"/>
          <w:numId w:val="16"/>
        </w:numPr>
        <w:spacing w:after="0" w:line="256" w:lineRule="auto"/>
        <w:rPr>
          <w:rFonts w:ascii="Verdana" w:eastAsia="Calibri" w:hAnsi="Verdana" w:cs="Times New Roman"/>
          <w:b/>
          <w:bCs/>
          <w:lang w:val="es-ES"/>
        </w:rPr>
      </w:pPr>
      <w:r w:rsidRPr="00AD6B46">
        <w:rPr>
          <w:rFonts w:ascii="Verdana" w:eastAsia="Calibri" w:hAnsi="Verdana" w:cs="Times New Roman"/>
          <w:b/>
          <w:bCs/>
          <w:lang w:val="es-ES"/>
        </w:rPr>
        <w:t>Referencias normativas, jurisprudenciales y otras fuentes:</w:t>
      </w:r>
    </w:p>
    <w:p w14:paraId="47F4BDD2" w14:textId="77777777" w:rsidR="00371C3F" w:rsidRPr="003C5A95" w:rsidRDefault="00371C3F" w:rsidP="00371C3F">
      <w:pPr>
        <w:widowControl w:val="0"/>
        <w:autoSpaceDE w:val="0"/>
        <w:autoSpaceDN w:val="0"/>
        <w:spacing w:after="0" w:line="276" w:lineRule="auto"/>
        <w:jc w:val="both"/>
        <w:rPr>
          <w:rFonts w:ascii="Verdana"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71C3F" w:rsidRPr="00AD6B46" w14:paraId="6F874E9E" w14:textId="77777777" w:rsidTr="00663985">
        <w:trPr>
          <w:trHeight w:val="70"/>
          <w:jc w:val="center"/>
        </w:trPr>
        <w:tc>
          <w:tcPr>
            <w:tcW w:w="8647" w:type="dxa"/>
          </w:tcPr>
          <w:p w14:paraId="13230399" w14:textId="77777777" w:rsidR="00371C3F" w:rsidRPr="00AD6B46" w:rsidRDefault="00371C3F" w:rsidP="007F553A">
            <w:pPr>
              <w:ind w:left="720"/>
              <w:contextualSpacing/>
              <w:rPr>
                <w:rFonts w:ascii="Verdana" w:hAnsi="Verdana" w:cs="Arial"/>
                <w:lang w:val="es-ES"/>
              </w:rPr>
            </w:pPr>
          </w:p>
          <w:p w14:paraId="414DC40C" w14:textId="77777777" w:rsidR="00371C3F" w:rsidRPr="00117544"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eastAsia="Calibri" w:hAnsi="Verdana" w:cs="Arial"/>
                <w:lang w:val="es-ES"/>
              </w:rPr>
              <w:t xml:space="preserve">Ley 80 de 1993, artículos 4, 5, 12, 14, </w:t>
            </w:r>
            <w:r w:rsidRPr="00B90BEF">
              <w:rPr>
                <w:rFonts w:ascii="Verdana" w:eastAsia="Calibri" w:hAnsi="Verdana" w:cs="Arial"/>
                <w:lang w:val="es-ES"/>
              </w:rPr>
              <w:t>26</w:t>
            </w:r>
            <w:r>
              <w:rPr>
                <w:rFonts w:ascii="Verdana" w:eastAsia="Calibri" w:hAnsi="Verdana" w:cs="Arial"/>
                <w:lang w:val="es-ES"/>
              </w:rPr>
              <w:t xml:space="preserve"> y 40. </w:t>
            </w:r>
          </w:p>
          <w:p w14:paraId="5F66D46D" w14:textId="77777777" w:rsidR="00371C3F" w:rsidRPr="00117544"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eastAsia="Calibri" w:hAnsi="Verdana" w:cs="Arial"/>
                <w:lang w:val="es-ES"/>
              </w:rPr>
              <w:t xml:space="preserve">Ley 1474 de 2011, artículo 91. </w:t>
            </w:r>
          </w:p>
          <w:p w14:paraId="06F05229" w14:textId="77777777" w:rsidR="00371C3F" w:rsidRPr="00445530"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rPr>
              <w:t>Decreto 1082 de 2015, artículos 2.2.1.2.3.1.7, 2.2.1.1.2.4.1</w:t>
            </w:r>
            <w:r>
              <w:rPr>
                <w:rFonts w:ascii="Verdana" w:hAnsi="Verdana" w:cs="Arial"/>
              </w:rPr>
              <w:t>.</w:t>
            </w:r>
          </w:p>
          <w:p w14:paraId="4C8CAC56"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Sentencia de 22 de junio de 2001. </w:t>
            </w:r>
            <w:proofErr w:type="spellStart"/>
            <w:r w:rsidRPr="3D491140">
              <w:rPr>
                <w:rFonts w:ascii="Verdana" w:hAnsi="Verdana" w:cs="Arial"/>
                <w:lang w:val="es-ES"/>
              </w:rPr>
              <w:t>Exp</w:t>
            </w:r>
            <w:proofErr w:type="spellEnd"/>
            <w:r w:rsidRPr="3D491140">
              <w:rPr>
                <w:rFonts w:ascii="Verdana" w:hAnsi="Verdana" w:cs="Arial"/>
                <w:lang w:val="es-ES"/>
              </w:rPr>
              <w:t>. 13436, C.P. Ricardo Hoyos Duque</w:t>
            </w:r>
          </w:p>
          <w:p w14:paraId="4BBC36FC"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Cuarta. Sentencia del 23 de septiembre de 2013. </w:t>
            </w:r>
            <w:proofErr w:type="spellStart"/>
            <w:r w:rsidRPr="3D491140">
              <w:rPr>
                <w:rFonts w:ascii="Verdana" w:hAnsi="Verdana" w:cs="Arial"/>
                <w:lang w:val="es-ES"/>
              </w:rPr>
              <w:t>Exp</w:t>
            </w:r>
            <w:proofErr w:type="spellEnd"/>
            <w:r w:rsidRPr="3D491140">
              <w:rPr>
                <w:rFonts w:ascii="Verdana" w:hAnsi="Verdana" w:cs="Arial"/>
                <w:lang w:val="es-ES"/>
              </w:rPr>
              <w:t>. 18.752. C.P. Jorge Octavio Ramírez Ramírez).</w:t>
            </w:r>
          </w:p>
          <w:p w14:paraId="0E962FED"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Subsección C. Sentencia del 29 de abril de 2015. </w:t>
            </w:r>
            <w:proofErr w:type="spellStart"/>
            <w:r w:rsidRPr="3D491140">
              <w:rPr>
                <w:rFonts w:ascii="Verdana" w:hAnsi="Verdana" w:cs="Arial"/>
                <w:lang w:val="es-ES"/>
              </w:rPr>
              <w:t>Exp</w:t>
            </w:r>
            <w:proofErr w:type="spellEnd"/>
            <w:r w:rsidRPr="3D491140">
              <w:rPr>
                <w:rFonts w:ascii="Verdana" w:hAnsi="Verdana" w:cs="Arial"/>
                <w:lang w:val="es-ES"/>
              </w:rPr>
              <w:t xml:space="preserve">. 31.620. C.P. Olga Mélida Valle De </w:t>
            </w:r>
            <w:proofErr w:type="spellStart"/>
            <w:r w:rsidRPr="3D491140">
              <w:rPr>
                <w:rFonts w:ascii="Verdana" w:hAnsi="Verdana" w:cs="Arial"/>
                <w:lang w:val="es-ES"/>
              </w:rPr>
              <w:t>De</w:t>
            </w:r>
            <w:proofErr w:type="spellEnd"/>
            <w:r w:rsidRPr="3D491140">
              <w:rPr>
                <w:rFonts w:ascii="Verdana" w:hAnsi="Verdana" w:cs="Arial"/>
                <w:lang w:val="es-ES"/>
              </w:rPr>
              <w:t xml:space="preserve"> La Hoz (E).</w:t>
            </w:r>
          </w:p>
          <w:p w14:paraId="32B94A6D"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Subsección C.  Sentencia del 27 de noviembre de 2017. </w:t>
            </w:r>
            <w:proofErr w:type="spellStart"/>
            <w:r w:rsidRPr="3D491140">
              <w:rPr>
                <w:rFonts w:ascii="Verdana" w:hAnsi="Verdana" w:cs="Arial"/>
                <w:lang w:val="es-ES"/>
              </w:rPr>
              <w:t>Exp</w:t>
            </w:r>
            <w:proofErr w:type="spellEnd"/>
            <w:r w:rsidRPr="3D491140">
              <w:rPr>
                <w:rFonts w:ascii="Verdana" w:hAnsi="Verdana" w:cs="Arial"/>
                <w:lang w:val="es-ES"/>
              </w:rPr>
              <w:t>. 51.802. M.P. Jaime Orlando Santofimio.</w:t>
            </w:r>
          </w:p>
          <w:p w14:paraId="0968FB56"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 Subsección A. Sentencia del 16 de mayo de 2019. </w:t>
            </w:r>
            <w:proofErr w:type="spellStart"/>
            <w:r w:rsidRPr="3D491140">
              <w:rPr>
                <w:rFonts w:ascii="Verdana" w:hAnsi="Verdana" w:cs="Arial"/>
                <w:lang w:val="es-ES"/>
              </w:rPr>
              <w:t>Exp</w:t>
            </w:r>
            <w:proofErr w:type="spellEnd"/>
            <w:r w:rsidRPr="3D491140">
              <w:rPr>
                <w:rFonts w:ascii="Verdana" w:hAnsi="Verdana" w:cs="Arial"/>
                <w:lang w:val="es-ES"/>
              </w:rPr>
              <w:t xml:space="preserve"> 40102. C.P: María Adriana Marín </w:t>
            </w:r>
          </w:p>
          <w:p w14:paraId="1B7ECD83"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Subsección C. Sentencia del 2 de octubre del 2020. </w:t>
            </w:r>
            <w:proofErr w:type="spellStart"/>
            <w:r w:rsidRPr="3D491140">
              <w:rPr>
                <w:rFonts w:ascii="Verdana" w:hAnsi="Verdana" w:cs="Arial"/>
                <w:lang w:val="es-ES"/>
              </w:rPr>
              <w:t>Exp</w:t>
            </w:r>
            <w:proofErr w:type="spellEnd"/>
            <w:r w:rsidRPr="3D491140">
              <w:rPr>
                <w:rFonts w:ascii="Verdana" w:hAnsi="Verdana" w:cs="Arial"/>
                <w:lang w:val="es-ES"/>
              </w:rPr>
              <w:t xml:space="preserve">. 63644. CP. Jaime Enrique Rodríguez Nava. </w:t>
            </w:r>
          </w:p>
          <w:p w14:paraId="6A9EE810" w14:textId="77777777" w:rsidR="00371C3F" w:rsidRPr="00445530"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 xml:space="preserve">Agencia Nacional de Contratación Pública- Colombia Compra Eficiente. La Guía para el manejo de anticipos mediante contrato de fiducia irrevocable puede ser consultada en: </w:t>
            </w:r>
            <w:hyperlink r:id="rId11" w:history="1">
              <w:r w:rsidRPr="005A6ACD">
                <w:rPr>
                  <w:rStyle w:val="Hipervnculo"/>
                  <w:rFonts w:ascii="Verdana" w:hAnsi="Verdana" w:cs="Arial"/>
                  <w:lang w:val="es-ES_tradnl"/>
                </w:rPr>
                <w:t>https://www.colombiacompra.gov.co/wp-</w:t>
              </w:r>
              <w:r w:rsidRPr="005A6ACD">
                <w:rPr>
                  <w:rStyle w:val="Hipervnculo"/>
                  <w:rFonts w:ascii="Verdana" w:hAnsi="Verdana" w:cs="Arial"/>
                  <w:lang w:val="es-ES_tradnl"/>
                </w:rPr>
                <w:lastRenderedPageBreak/>
                <w:t>content/uploads/2024/08/2017-Guia-para-el-manejo-de-anticipos-mediante-contrato-de-fiducia-mercantil-irrevocable-G-MACFMI-01.pdf</w:t>
              </w:r>
            </w:hyperlink>
            <w:r>
              <w:rPr>
                <w:rFonts w:ascii="Verdana" w:hAnsi="Verdana" w:cs="Arial"/>
                <w:lang w:val="es-ES_tradnl"/>
              </w:rPr>
              <w:t xml:space="preserve">. </w:t>
            </w:r>
            <w:r w:rsidRPr="00445530">
              <w:rPr>
                <w:rFonts w:ascii="Verdana" w:hAnsi="Verdana" w:cs="Arial"/>
                <w:lang w:val="es-ES_tradnl"/>
              </w:rPr>
              <w:t xml:space="preserve"> </w:t>
            </w:r>
          </w:p>
          <w:p w14:paraId="6D39A6F8" w14:textId="77777777" w:rsidR="00371C3F" w:rsidRPr="00445530"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DÁVILA VINUEZA, Luis Guillermo. Régimen jurídico de la contratación estatal. Bogotá: Legis, 2016.</w:t>
            </w:r>
          </w:p>
          <w:p w14:paraId="57C76D48" w14:textId="77777777" w:rsidR="00371C3F" w:rsidRPr="00445530"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MATALLANA CAMACHO, Ernesto. Manual de Contratación de la Administración Pública. Reforma de la Ley 80 de 1993. Bogotá: Universidad Externado de Colombia, 4 ed., 2015.</w:t>
            </w:r>
          </w:p>
          <w:p w14:paraId="18B8404B" w14:textId="77777777" w:rsidR="00371C3F" w:rsidRPr="00AD6B46"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MÁRQUEZ VARGAS, Milena. La fiducia en el manejo de recursos de anticipos en los contratos estatales. Bogotá: Revista Derecho Privado - Universidad de los Andes, 2014, no 52.</w:t>
            </w:r>
          </w:p>
        </w:tc>
      </w:tr>
    </w:tbl>
    <w:p w14:paraId="34DFE747" w14:textId="77777777" w:rsidR="00371C3F" w:rsidRPr="0075072F" w:rsidRDefault="00371C3F" w:rsidP="0075072F">
      <w:pPr>
        <w:widowControl w:val="0"/>
        <w:autoSpaceDE w:val="0"/>
        <w:autoSpaceDN w:val="0"/>
        <w:spacing w:after="0" w:line="276" w:lineRule="auto"/>
        <w:jc w:val="both"/>
        <w:rPr>
          <w:rFonts w:ascii="Verdana" w:hAnsi="Verdana" w:cs="Arial"/>
        </w:rPr>
      </w:pPr>
    </w:p>
    <w:p w14:paraId="0CB86D95" w14:textId="77777777" w:rsidR="00371C3F" w:rsidRPr="0075072F" w:rsidRDefault="00371C3F" w:rsidP="0075072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75072F">
        <w:rPr>
          <w:rFonts w:ascii="Verdana" w:eastAsia="Century Gothic" w:hAnsi="Verdana" w:cs="Century Gothic"/>
          <w:b/>
          <w:bCs/>
          <w:lang w:val="es-ES"/>
        </w:rPr>
        <w:t>Doctrina de la Agencia Nacional de Contratación Pública:</w:t>
      </w:r>
    </w:p>
    <w:p w14:paraId="1A5097FE" w14:textId="77777777" w:rsidR="00371C3F" w:rsidRPr="0075072F" w:rsidRDefault="00371C3F" w:rsidP="0075072F">
      <w:pPr>
        <w:widowControl w:val="0"/>
        <w:autoSpaceDE w:val="0"/>
        <w:autoSpaceDN w:val="0"/>
        <w:spacing w:after="0" w:line="276" w:lineRule="auto"/>
        <w:jc w:val="both"/>
        <w:rPr>
          <w:rFonts w:ascii="Verdana" w:hAnsi="Verdana" w:cs="Arial"/>
        </w:rPr>
      </w:pPr>
    </w:p>
    <w:p w14:paraId="20E39ADB" w14:textId="77777777" w:rsidR="00371C3F" w:rsidRPr="0075072F" w:rsidRDefault="00371C3F" w:rsidP="0075072F">
      <w:pPr>
        <w:widowControl w:val="0"/>
        <w:autoSpaceDE w:val="0"/>
        <w:autoSpaceDN w:val="0"/>
        <w:spacing w:after="0" w:line="276" w:lineRule="auto"/>
        <w:jc w:val="both"/>
        <w:rPr>
          <w:rFonts w:ascii="Verdana" w:hAnsi="Verdana" w:cs="Arial"/>
          <w:bCs/>
          <w:shd w:val="clear" w:color="auto" w:fill="FFFFFF"/>
        </w:rPr>
      </w:pPr>
      <w:r w:rsidRPr="0075072F">
        <w:rPr>
          <w:rFonts w:ascii="Verdana" w:hAnsi="Verdana" w:cs="Arial"/>
          <w:bCs/>
          <w:shd w:val="clear" w:color="auto" w:fill="FFFFFF"/>
        </w:rPr>
        <w:t xml:space="preserve">La Agencia Nacional de Contratación Pública – Colombia Compra Eficiente, en referencia al anticipo y pago anticipado se han expedido los siguientes conceptos C-726 del 18 de julio de 2025, C-814 del 15 de julio de 2025, C-1228 del 7 de octubre de 2025, C- 1393 del 16 de octubre de 2025, entre otros. </w:t>
      </w:r>
      <w:r w:rsidRPr="0075072F">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6B88425" w14:textId="77777777" w:rsidR="00371C3F" w:rsidRPr="0075072F" w:rsidRDefault="00371C3F" w:rsidP="00663985">
      <w:pPr>
        <w:spacing w:after="0" w:line="276" w:lineRule="auto"/>
        <w:jc w:val="both"/>
        <w:rPr>
          <w:rFonts w:ascii="Verdana" w:eastAsia="Calibri" w:hAnsi="Verdana" w:cs="Times New Roman"/>
        </w:rPr>
      </w:pPr>
      <w:hyperlink r:id="rId12" w:history="1">
        <w:r w:rsidRPr="0075072F">
          <w:rPr>
            <w:rStyle w:val="Hipervnculo"/>
            <w:rFonts w:ascii="Verdana" w:eastAsia="Calibri" w:hAnsi="Verdana" w:cs="Times New Roman"/>
            <w:lang w:val="es-ES"/>
          </w:rPr>
          <w:t>https://relatoria.colombiacompra.gov.co/busqueda/conceptos</w:t>
        </w:r>
      </w:hyperlink>
      <w:r w:rsidRPr="0075072F">
        <w:rPr>
          <w:rFonts w:ascii="Verdana" w:eastAsia="Calibri" w:hAnsi="Verdana" w:cs="Times New Roman"/>
        </w:rPr>
        <w:t xml:space="preserve">. </w:t>
      </w:r>
    </w:p>
    <w:p w14:paraId="7FB26F4E" w14:textId="77777777" w:rsidR="00371C3F" w:rsidRPr="0075072F" w:rsidRDefault="00371C3F" w:rsidP="00663985">
      <w:pPr>
        <w:spacing w:after="0" w:line="276" w:lineRule="auto"/>
        <w:jc w:val="both"/>
        <w:rPr>
          <w:rFonts w:ascii="Verdana" w:hAnsi="Verdana"/>
        </w:rPr>
      </w:pPr>
    </w:p>
    <w:p w14:paraId="2B9562B8" w14:textId="77777777" w:rsidR="001766CC" w:rsidRPr="0075072F" w:rsidRDefault="001766CC" w:rsidP="00663985">
      <w:pPr>
        <w:spacing w:after="0" w:line="276" w:lineRule="auto"/>
        <w:jc w:val="both"/>
        <w:rPr>
          <w:rFonts w:ascii="Verdana" w:hAnsi="Verdana"/>
        </w:rPr>
      </w:pPr>
      <w:r w:rsidRPr="0075072F">
        <w:rPr>
          <w:rFonts w:ascii="Verdana" w:hAnsi="Verdana"/>
        </w:rPr>
        <w:t xml:space="preserve">La sostenibilidad no es una opción, es una obligación. Por ello, la Agencia Nacional de Contratación Pública –Colombia Compra Eficiente– te invita a realizar el </w:t>
      </w:r>
      <w:r w:rsidRPr="0075072F">
        <w:rPr>
          <w:rFonts w:ascii="Verdana" w:hAnsi="Verdana"/>
          <w:b/>
          <w:bCs/>
        </w:rPr>
        <w:t>Curso de Contratación Pública Sostenible y Socialmente Responsable</w:t>
      </w:r>
      <w:r w:rsidRPr="0075072F">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5072F">
        <w:rPr>
          <w:rFonts w:ascii="Verdana" w:hAnsi="Verdana"/>
        </w:rPr>
        <w:br/>
      </w:r>
      <w:hyperlink r:id="rId13" w:tgtFrame="_new" w:history="1">
        <w:r w:rsidRPr="0075072F">
          <w:rPr>
            <w:rStyle w:val="Hipervnculo"/>
            <w:rFonts w:ascii="Verdana" w:hAnsi="Verdana"/>
          </w:rPr>
          <w:t>https://formacionvirtual.colombiacompra.gov.co/mod/page/view.php?id=3718</w:t>
        </w:r>
      </w:hyperlink>
    </w:p>
    <w:p w14:paraId="1CF906FC" w14:textId="77777777" w:rsidR="001766CC" w:rsidRPr="0075072F" w:rsidRDefault="001766CC" w:rsidP="00663985">
      <w:pPr>
        <w:spacing w:after="0" w:line="276" w:lineRule="auto"/>
        <w:jc w:val="both"/>
        <w:rPr>
          <w:rFonts w:ascii="Verdana" w:hAnsi="Verdana"/>
        </w:rPr>
      </w:pPr>
      <w:r w:rsidRPr="0075072F">
        <w:rPr>
          <w:rFonts w:ascii="Verdana" w:hAnsi="Verdana"/>
        </w:rPr>
        <w:t xml:space="preserve">De otro lado, te contamos que esta Agencia ha da un paso decisivo en la estandarización y modernización del </w:t>
      </w:r>
      <w:r w:rsidRPr="0075072F">
        <w:rPr>
          <w:rFonts w:ascii="Verdana" w:hAnsi="Verdana"/>
          <w:b/>
          <w:bCs/>
        </w:rPr>
        <w:t>sector  social</w:t>
      </w:r>
      <w:r w:rsidRPr="0075072F">
        <w:rPr>
          <w:rFonts w:ascii="Verdana" w:hAnsi="Verdana"/>
        </w:rPr>
        <w:t xml:space="preserve"> con la expedición de las </w:t>
      </w:r>
      <w:r w:rsidRPr="0075072F">
        <w:rPr>
          <w:rFonts w:ascii="Verdana" w:hAnsi="Verdana"/>
          <w:b/>
          <w:bCs/>
        </w:rPr>
        <w:lastRenderedPageBreak/>
        <w:t>Resoluciones 539, 540, 541, 952 y 953 de 2025</w:t>
      </w:r>
      <w:r w:rsidRPr="0075072F">
        <w:rPr>
          <w:rFonts w:ascii="Verdana" w:hAnsi="Verdana"/>
        </w:rPr>
        <w:t xml:space="preserve">, </w:t>
      </w:r>
      <w:r w:rsidRPr="0075072F">
        <w:rPr>
          <w:rFonts w:ascii="Verdana" w:hAnsi="Verdana"/>
          <w:b/>
          <w:bCs/>
        </w:rPr>
        <w:t>mediante las cuales adoptó Documentos Tipo</w:t>
      </w:r>
      <w:r w:rsidRPr="0075072F">
        <w:rPr>
          <w:rFonts w:ascii="Verdana" w:hAnsi="Verdana"/>
        </w:rPr>
        <w:t xml:space="preserve"> para las modalidades de selección de</w:t>
      </w:r>
      <w:r w:rsidRPr="0075072F">
        <w:rPr>
          <w:rFonts w:ascii="Verdana" w:hAnsi="Verdana"/>
          <w:b/>
          <w:bCs/>
        </w:rPr>
        <w:t xml:space="preserve"> licitación pública (versión 2), selección abreviada de menor cuantía, mínima cuantía, consultoría e interventoría</w:t>
      </w:r>
      <w:r w:rsidRPr="0075072F">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5072F">
          <w:rPr>
            <w:rStyle w:val="Hipervnculo"/>
            <w:rFonts w:ascii="Verdana" w:hAnsi="Verdana"/>
          </w:rPr>
          <w:t>https://www.colombiacompra.gov.co/normativa-y-relatoria/documentos-tipo</w:t>
        </w:r>
      </w:hyperlink>
    </w:p>
    <w:p w14:paraId="7970BB40" w14:textId="77777777" w:rsidR="001766CC" w:rsidRPr="0075072F" w:rsidRDefault="001766CC" w:rsidP="00663985">
      <w:pPr>
        <w:spacing w:after="0" w:line="276" w:lineRule="auto"/>
        <w:jc w:val="both"/>
        <w:rPr>
          <w:rFonts w:ascii="Verdana" w:hAnsi="Verdana"/>
        </w:rPr>
      </w:pPr>
    </w:p>
    <w:p w14:paraId="188DB8BB" w14:textId="77777777" w:rsidR="001766CC" w:rsidRPr="0075072F" w:rsidRDefault="001766CC" w:rsidP="00663985">
      <w:pPr>
        <w:spacing w:after="0" w:line="276" w:lineRule="auto"/>
        <w:jc w:val="both"/>
        <w:rPr>
          <w:rFonts w:ascii="Verdana" w:hAnsi="Verdana"/>
        </w:rPr>
      </w:pPr>
      <w:r w:rsidRPr="0075072F">
        <w:rPr>
          <w:rFonts w:ascii="Verdana" w:hAnsi="Verdana"/>
        </w:rPr>
        <w:t xml:space="preserve">Si quieres conocer más sobre la aplicación de Documentos Tipo puedes consultar la última versión de la </w:t>
      </w:r>
      <w:r w:rsidRPr="0075072F">
        <w:rPr>
          <w:rFonts w:ascii="Verdana" w:hAnsi="Verdana"/>
          <w:b/>
          <w:bCs/>
        </w:rPr>
        <w:t>Guía para la comprensión e implementación de los Documentos Tipo de obra pública de infraestructura de transporte</w:t>
      </w:r>
      <w:r w:rsidRPr="0075072F">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5072F">
        <w:rPr>
          <w:rFonts w:ascii="Verdana" w:hAnsi="Verdana"/>
        </w:rPr>
        <w:br/>
      </w:r>
      <w:hyperlink r:id="rId15" w:tgtFrame="_new" w:history="1">
        <w:r w:rsidRPr="0075072F">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7C5C570" w14:textId="77777777" w:rsidR="001766CC" w:rsidRPr="0075072F" w:rsidRDefault="001766CC" w:rsidP="00663985">
      <w:pPr>
        <w:spacing w:after="0" w:line="276" w:lineRule="auto"/>
        <w:jc w:val="both"/>
        <w:rPr>
          <w:rFonts w:ascii="Verdana" w:hAnsi="Verdana"/>
        </w:rPr>
      </w:pPr>
    </w:p>
    <w:p w14:paraId="6A6555B1" w14:textId="77777777" w:rsidR="00371C3F" w:rsidRPr="0075072F" w:rsidRDefault="00371C3F" w:rsidP="00663985">
      <w:pPr>
        <w:spacing w:after="0" w:line="276" w:lineRule="auto"/>
        <w:jc w:val="both"/>
        <w:rPr>
          <w:rFonts w:ascii="Verdana" w:eastAsia="Calibri" w:hAnsi="Verdana" w:cs="Times New Roman"/>
          <w:bCs/>
          <w:lang w:val="es-ES_tradnl"/>
        </w:rPr>
      </w:pPr>
      <w:r w:rsidRPr="0075072F">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C9560E9" w14:textId="77777777" w:rsidR="00371C3F" w:rsidRPr="0075072F" w:rsidRDefault="00371C3F" w:rsidP="00663985">
      <w:pPr>
        <w:spacing w:after="0" w:line="276" w:lineRule="auto"/>
        <w:jc w:val="both"/>
        <w:rPr>
          <w:rFonts w:ascii="Verdana" w:eastAsia="Calibri" w:hAnsi="Verdana" w:cs="Times New Roman"/>
        </w:rPr>
      </w:pPr>
    </w:p>
    <w:p w14:paraId="19B39CEB" w14:textId="77777777" w:rsidR="00371C3F" w:rsidRPr="0075072F" w:rsidRDefault="00371C3F" w:rsidP="00663985">
      <w:pPr>
        <w:spacing w:after="0" w:line="276" w:lineRule="auto"/>
        <w:jc w:val="both"/>
        <w:rPr>
          <w:rFonts w:ascii="Verdana" w:eastAsia="Calibri" w:hAnsi="Verdana" w:cs="Times New Roman"/>
        </w:rPr>
      </w:pPr>
      <w:r w:rsidRPr="0075072F">
        <w:rPr>
          <w:rFonts w:ascii="Verdana" w:eastAsia="Calibri" w:hAnsi="Verdana" w:cs="Times New Roman"/>
        </w:rPr>
        <w:t>Atentamente,</w:t>
      </w:r>
    </w:p>
    <w:p w14:paraId="1A97A7C9" w14:textId="77777777" w:rsidR="00371C3F" w:rsidRPr="00EA4124" w:rsidRDefault="00371C3F" w:rsidP="00371C3F">
      <w:pPr>
        <w:spacing w:after="0" w:line="256" w:lineRule="auto"/>
        <w:jc w:val="both"/>
        <w:rPr>
          <w:rFonts w:ascii="Verdana" w:eastAsia="Calibri" w:hAnsi="Verdana" w:cs="Times New Roman"/>
          <w:sz w:val="16"/>
          <w:szCs w:val="16"/>
        </w:rPr>
      </w:pPr>
    </w:p>
    <w:p w14:paraId="470C7747" w14:textId="42130F2E" w:rsidR="00371C3F" w:rsidRDefault="00F60F29" w:rsidP="00371C3F">
      <w:pPr>
        <w:spacing w:after="0" w:line="256" w:lineRule="auto"/>
        <w:jc w:val="center"/>
        <w:rPr>
          <w:noProof/>
          <w:lang w:val="en-US"/>
        </w:rPr>
      </w:pPr>
      <w:r w:rsidRPr="002C3AD6">
        <w:rPr>
          <w:rFonts w:ascii="Century Gothic" w:hAnsi="Century Gothic"/>
          <w:noProof/>
        </w:rPr>
        <w:lastRenderedPageBreak/>
        <w:drawing>
          <wp:inline distT="0" distB="0" distL="0" distR="0" wp14:anchorId="703A26D5" wp14:editId="01F0B26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4448AD8B" w14:textId="77777777" w:rsidR="00371C3F" w:rsidRPr="00881D12" w:rsidRDefault="00371C3F" w:rsidP="00371C3F">
      <w:pPr>
        <w:spacing w:after="0" w:line="256" w:lineRule="auto"/>
        <w:jc w:val="center"/>
        <w:rPr>
          <w:rFonts w:ascii="Verdana" w:eastAsia="Times New Roman" w:hAnsi="Verdana" w:cs="Arial"/>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71C3F" w:rsidRPr="00B57A1B" w14:paraId="623FB658" w14:textId="77777777" w:rsidTr="007F553A">
        <w:trPr>
          <w:trHeight w:val="409"/>
        </w:trPr>
        <w:tc>
          <w:tcPr>
            <w:tcW w:w="817" w:type="dxa"/>
            <w:tcBorders>
              <w:top w:val="nil"/>
              <w:left w:val="nil"/>
              <w:bottom w:val="nil"/>
              <w:right w:val="nil"/>
            </w:tcBorders>
            <w:vAlign w:val="center"/>
            <w:hideMark/>
          </w:tcPr>
          <w:p w14:paraId="333683AA"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D65E640" w14:textId="77777777" w:rsidR="00371C3F" w:rsidRPr="00B57A1B" w:rsidRDefault="00371C3F" w:rsidP="007F553A">
            <w:pPr>
              <w:spacing w:after="0"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593F08C1"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371C3F" w:rsidRPr="00B57A1B" w14:paraId="742CB83A" w14:textId="77777777" w:rsidTr="007F553A">
        <w:trPr>
          <w:trHeight w:val="409"/>
        </w:trPr>
        <w:tc>
          <w:tcPr>
            <w:tcW w:w="817" w:type="dxa"/>
            <w:tcBorders>
              <w:top w:val="nil"/>
              <w:left w:val="nil"/>
              <w:bottom w:val="nil"/>
              <w:right w:val="nil"/>
            </w:tcBorders>
            <w:vAlign w:val="center"/>
            <w:hideMark/>
          </w:tcPr>
          <w:p w14:paraId="41432CD4"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91B9935" w14:textId="77777777" w:rsidR="00371C3F" w:rsidRPr="00B57A1B" w:rsidRDefault="00371C3F" w:rsidP="007F553A">
            <w:pPr>
              <w:spacing w:after="0" w:line="256" w:lineRule="auto"/>
              <w:rPr>
                <w:rFonts w:ascii="Verdana" w:eastAsia="Calibri" w:hAnsi="Verdana" w:cs="Times New Roman"/>
                <w:sz w:val="16"/>
                <w:szCs w:val="16"/>
              </w:rPr>
            </w:pPr>
            <w:r>
              <w:rPr>
                <w:rFonts w:ascii="Verdana" w:eastAsia="Calibri" w:hAnsi="Verdana" w:cs="Times New Roman"/>
                <w:sz w:val="16"/>
                <w:szCs w:val="16"/>
              </w:rPr>
              <w:t>Diana Lucia Saavedra Castañeda</w:t>
            </w:r>
          </w:p>
          <w:p w14:paraId="42D15813" w14:textId="77777777" w:rsidR="00371C3F" w:rsidRPr="00B57A1B" w:rsidRDefault="00371C3F" w:rsidP="007F553A">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Pr="00B57A1B">
              <w:rPr>
                <w:rFonts w:ascii="Verdana" w:eastAsia="Calibri" w:hAnsi="Verdana" w:cs="Times New Roman"/>
                <w:sz w:val="16"/>
                <w:szCs w:val="16"/>
              </w:rPr>
              <w:t xml:space="preserve"> de la Subdirección de Gestión Contractual </w:t>
            </w:r>
          </w:p>
        </w:tc>
      </w:tr>
      <w:tr w:rsidR="00371C3F" w:rsidRPr="00B57A1B" w14:paraId="7DE547E2" w14:textId="77777777" w:rsidTr="007F553A">
        <w:trPr>
          <w:trHeight w:val="389"/>
        </w:trPr>
        <w:tc>
          <w:tcPr>
            <w:tcW w:w="817" w:type="dxa"/>
            <w:tcBorders>
              <w:top w:val="nil"/>
              <w:left w:val="nil"/>
              <w:bottom w:val="nil"/>
              <w:right w:val="nil"/>
            </w:tcBorders>
            <w:vAlign w:val="center"/>
            <w:hideMark/>
          </w:tcPr>
          <w:p w14:paraId="72A4756A"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A395686"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74B9259F"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6003A482" w14:textId="77777777" w:rsidR="00371C3F" w:rsidRPr="0024624F" w:rsidRDefault="00371C3F" w:rsidP="00371C3F">
      <w:pPr>
        <w:spacing w:after="0"/>
        <w:rPr>
          <w:rFonts w:ascii="Verdana" w:hAnsi="Verdana"/>
        </w:rPr>
      </w:pPr>
    </w:p>
    <w:p w14:paraId="0F293BF4" w14:textId="3A9732DF" w:rsidR="00127233" w:rsidRPr="00B123DB" w:rsidRDefault="00127233" w:rsidP="00B123DB"/>
    <w:sectPr w:rsidR="00127233" w:rsidRPr="00B123D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07880B" w14:textId="77777777" w:rsidR="00D442D3" w:rsidRDefault="00D442D3" w:rsidP="004A1847">
      <w:pPr>
        <w:spacing w:after="0" w:line="240" w:lineRule="auto"/>
      </w:pPr>
      <w:r>
        <w:separator/>
      </w:r>
    </w:p>
  </w:endnote>
  <w:endnote w:type="continuationSeparator" w:id="0">
    <w:p w14:paraId="2940A70B" w14:textId="77777777" w:rsidR="00D442D3" w:rsidRDefault="00D442D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Vrinda">
    <w:panose1 w:val="00000400000000000000"/>
    <w:charset w:val="00"/>
    <w:family w:val="swiss"/>
    <w:pitch w:val="variable"/>
    <w:sig w:usb0="0001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B123D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B123DB">
      <w:rPr>
        <w:rFonts w:ascii="Verdana" w:eastAsia="Verdana" w:hAnsi="Verdana" w:cs="Verdana"/>
        <w:b/>
        <w:bCs/>
        <w:color w:val="000000" w:themeColor="text1"/>
        <w:sz w:val="18"/>
        <w:szCs w:val="18"/>
        <w:lang w:val="pt-PT" w:eastAsia="es-CO"/>
      </w:rPr>
      <w:t xml:space="preserve">Código: </w:t>
    </w:r>
    <w:r w:rsidRPr="00B123DB">
      <w:rPr>
        <w:rFonts w:ascii="Verdana" w:eastAsia="Verdana" w:hAnsi="Verdana" w:cs="Verdana"/>
        <w:color w:val="000000" w:themeColor="text1"/>
        <w:sz w:val="18"/>
        <w:szCs w:val="18"/>
        <w:lang w:val="pt-PT" w:eastAsia="es-CO"/>
      </w:rPr>
      <w:t xml:space="preserve">CCE-REC-FM-17 </w:t>
    </w:r>
    <w:r w:rsidRPr="00B123DB">
      <w:rPr>
        <w:rFonts w:ascii="Verdana" w:eastAsia="Verdana" w:hAnsi="Verdana" w:cs="Verdana"/>
        <w:b/>
        <w:bCs/>
        <w:color w:val="000000" w:themeColor="text1"/>
        <w:sz w:val="18"/>
        <w:szCs w:val="18"/>
        <w:lang w:val="pt-PT" w:eastAsia="es-CO"/>
      </w:rPr>
      <w:t xml:space="preserve">V: </w:t>
    </w:r>
    <w:r w:rsidRPr="00B123DB">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56337" w14:textId="77777777" w:rsidR="00D442D3" w:rsidRDefault="00D442D3" w:rsidP="004A1847">
      <w:pPr>
        <w:spacing w:after="0" w:line="240" w:lineRule="auto"/>
      </w:pPr>
      <w:r>
        <w:separator/>
      </w:r>
    </w:p>
  </w:footnote>
  <w:footnote w:type="continuationSeparator" w:id="0">
    <w:p w14:paraId="0873813E" w14:textId="77777777" w:rsidR="00D442D3" w:rsidRDefault="00D442D3" w:rsidP="004A1847">
      <w:pPr>
        <w:spacing w:after="0" w:line="240" w:lineRule="auto"/>
      </w:pPr>
      <w:r>
        <w:continuationSeparator/>
      </w:r>
    </w:p>
  </w:footnote>
  <w:footnote w:id="1">
    <w:p w14:paraId="6100D709" w14:textId="77777777" w:rsidR="00371C3F" w:rsidRPr="003A7739" w:rsidRDefault="00371C3F" w:rsidP="00371C3F">
      <w:pPr>
        <w:pStyle w:val="Textonotapie"/>
        <w:ind w:firstLine="709"/>
        <w:jc w:val="both"/>
        <w:rPr>
          <w:rFonts w:ascii="Verdana" w:hAnsi="Verdana" w:cs="Vrinda"/>
          <w:sz w:val="16"/>
          <w:szCs w:val="16"/>
        </w:rPr>
      </w:pPr>
      <w:r w:rsidRPr="003A7739">
        <w:rPr>
          <w:rStyle w:val="Refdenotaalpie"/>
          <w:rFonts w:ascii="Verdana" w:hAnsi="Verdana" w:cs="Vrinda"/>
          <w:sz w:val="16"/>
          <w:szCs w:val="16"/>
        </w:rPr>
        <w:footnoteRef/>
      </w:r>
      <w:r w:rsidRPr="003A7739">
        <w:rPr>
          <w:rFonts w:ascii="Verdana" w:hAnsi="Verdana" w:cs="Vrinda"/>
          <w:sz w:val="16"/>
          <w:szCs w:val="16"/>
        </w:rPr>
        <w:t xml:space="preserve"> Consejo de Estado. Sección Tercera. Subsección C. Sentencia del 29 de abril de 2015. Exp. 31.620. C.P. Olga Mélida Valle De De La Hoz (E).</w:t>
      </w:r>
    </w:p>
  </w:footnote>
  <w:footnote w:id="2">
    <w:p w14:paraId="784661F6" w14:textId="77777777" w:rsidR="00371C3F" w:rsidRPr="003A7739" w:rsidRDefault="00371C3F" w:rsidP="00371C3F">
      <w:pPr>
        <w:pStyle w:val="Textonotapie"/>
        <w:ind w:firstLine="708"/>
        <w:jc w:val="both"/>
        <w:rPr>
          <w:rFonts w:ascii="Verdana" w:hAnsi="Verdana"/>
          <w:sz w:val="16"/>
          <w:szCs w:val="16"/>
          <w:lang w:val="es-ES"/>
        </w:rPr>
      </w:pPr>
      <w:r w:rsidRPr="003A7739">
        <w:rPr>
          <w:rStyle w:val="Refdenotaalpie"/>
          <w:rFonts w:ascii="Verdana" w:hAnsi="Verdana"/>
          <w:sz w:val="16"/>
          <w:szCs w:val="16"/>
        </w:rPr>
        <w:footnoteRef/>
      </w:r>
      <w:r w:rsidRPr="003A7739">
        <w:rPr>
          <w:rFonts w:ascii="Verdana" w:hAnsi="Verdana"/>
          <w:sz w:val="16"/>
          <w:szCs w:val="16"/>
        </w:rPr>
        <w:t xml:space="preserve"> </w:t>
      </w:r>
      <w:r w:rsidRPr="003A7739">
        <w:rPr>
          <w:rFonts w:ascii="Verdana" w:hAnsi="Verdana"/>
          <w:sz w:val="16"/>
          <w:szCs w:val="16"/>
          <w:lang w:val="es-ES" w:bidi="es-ES"/>
        </w:rPr>
        <w:t xml:space="preserve">(Cfr. Sección Tercera. Sentencia del 22 de junio de 2001. Radicado 13.436. </w:t>
      </w:r>
      <w:r w:rsidRPr="003A7739">
        <w:rPr>
          <w:rFonts w:ascii="Verdana" w:hAnsi="Verdana"/>
          <w:i/>
          <w:sz w:val="16"/>
          <w:szCs w:val="16"/>
          <w:lang w:val="es-ES" w:bidi="es-ES"/>
        </w:rPr>
        <w:t>Citada en</w:t>
      </w:r>
      <w:r w:rsidRPr="003A7739">
        <w:rPr>
          <w:rFonts w:ascii="Verdana" w:hAnsi="Verdana"/>
          <w:sz w:val="16"/>
          <w:szCs w:val="16"/>
          <w:lang w:val="es-ES" w:bidi="es-ES"/>
        </w:rPr>
        <w:t>: Sección Cuarta. Sentencia del 23 de septiembre de 2013. Radicado 18.752. C.P. Jorge Octavio Ramírez Ramírez).</w:t>
      </w:r>
    </w:p>
  </w:footnote>
  <w:footnote w:id="3">
    <w:p w14:paraId="3F291793" w14:textId="77777777" w:rsidR="00371C3F" w:rsidRPr="003A7739" w:rsidRDefault="00371C3F" w:rsidP="00371C3F">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“Ver, entre otros: Consejo de Estado.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 Citado en Consejo de Estado. Sección Tercera, Subsección A. Sentencia del 16 de mayo de 2019. Rad. (40102). C.P: María Adriana Marín [cita No. 35]. </w:t>
      </w:r>
    </w:p>
  </w:footnote>
  <w:footnote w:id="4">
    <w:p w14:paraId="267A29F6" w14:textId="77777777" w:rsidR="00371C3F" w:rsidRPr="003A7739" w:rsidRDefault="00371C3F" w:rsidP="00371C3F">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 Consejo de Estado. Sección Tercera, Subsección A. Sentencia del 16 de mayo de 2019. Exp 40102. C.P: María Adriana Marín</w:t>
      </w:r>
    </w:p>
  </w:footnote>
  <w:footnote w:id="5">
    <w:p w14:paraId="37A887C0" w14:textId="77777777" w:rsidR="00371C3F" w:rsidRPr="003A7739" w:rsidRDefault="00371C3F" w:rsidP="00371C3F">
      <w:pPr>
        <w:pStyle w:val="Textonotapie"/>
        <w:ind w:firstLine="709"/>
        <w:jc w:val="both"/>
        <w:rPr>
          <w:rFonts w:ascii="Verdana" w:hAnsi="Verdana"/>
          <w:color w:val="000000" w:themeColor="text1"/>
          <w:sz w:val="16"/>
          <w:szCs w:val="16"/>
          <w:lang w:val="es-CO"/>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 Consejo de Estado. Sección Tercera, Subsección C. Sentencia del 2 de octubre del 2020. Exp. 63644. CP. Jaime Enrique Rodríguez Nava. </w:t>
      </w:r>
    </w:p>
  </w:footnote>
  <w:footnote w:id="6">
    <w:p w14:paraId="576CB23B" w14:textId="77777777" w:rsidR="00371C3F" w:rsidRPr="003A7739" w:rsidRDefault="00371C3F" w:rsidP="00371C3F">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 Consejo de Estado. Sección Tercera. Sentencia de 22 de junio de 2001. Exp. 13436, C.P. Ricardo Hoyos Duque</w:t>
      </w:r>
    </w:p>
  </w:footnote>
  <w:footnote w:id="7">
    <w:p w14:paraId="7FFE6755" w14:textId="77777777" w:rsidR="00371C3F" w:rsidRPr="003A7739" w:rsidRDefault="00371C3F" w:rsidP="00371C3F">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sidRPr="003A7739">
        <w:rPr>
          <w:rFonts w:ascii="Verdana" w:eastAsia="Calibri" w:hAnsi="Verdana"/>
          <w:color w:val="000000" w:themeColor="text1"/>
          <w:sz w:val="16"/>
          <w:szCs w:val="16"/>
        </w:rPr>
        <w:t>” (</w:t>
      </w:r>
      <w:r w:rsidRPr="003A7739">
        <w:rPr>
          <w:rFonts w:ascii="Verdana" w:hAnsi="Verdana"/>
          <w:color w:val="000000" w:themeColor="text1"/>
          <w:sz w:val="16"/>
          <w:szCs w:val="16"/>
        </w:rPr>
        <w:t>EXPÓSITO VÉLEZ, Juan Carlos. Forma y contenido del contrato estatal. Bogotá: Universidad Externado de Colombia, 2013, p. 165-166). De igual manera, se ha expuesto que “Son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sidRPr="003A7739">
        <w:rPr>
          <w:rFonts w:ascii="Verdana" w:eastAsia="Calibri" w:hAnsi="Verdana"/>
          <w:color w:val="000000" w:themeColor="text1"/>
          <w:sz w:val="16"/>
          <w:szCs w:val="16"/>
        </w:rPr>
        <w:t>”</w:t>
      </w:r>
      <w:r w:rsidRPr="003A7739">
        <w:rPr>
          <w:rFonts w:ascii="Verdana" w:hAnsi="Verdana"/>
          <w:color w:val="000000" w:themeColor="text1"/>
          <w:sz w:val="16"/>
          <w:szCs w:val="16"/>
        </w:rPr>
        <w:t xml:space="preserve"> (MATALLANA CAMACHO, Ernesto. Manual de Contratación de la Administración Pública. Reforma de la Ley 80 de 1993. Bogotá: Universidad Externado de Colombia, 4 ed., 2015, p. 921 y ss).</w:t>
      </w:r>
    </w:p>
  </w:footnote>
  <w:footnote w:id="8">
    <w:p w14:paraId="5DCF2947" w14:textId="77777777" w:rsidR="00371C3F" w:rsidRPr="003A7739" w:rsidRDefault="00371C3F" w:rsidP="00371C3F">
      <w:pPr>
        <w:pStyle w:val="Textonotapie"/>
        <w:ind w:firstLine="708"/>
        <w:jc w:val="both"/>
        <w:rPr>
          <w:rFonts w:ascii="Verdana" w:hAnsi="Verdana"/>
          <w:sz w:val="16"/>
          <w:szCs w:val="16"/>
          <w:lang w:val="es-ES"/>
        </w:rPr>
      </w:pPr>
      <w:r w:rsidRPr="003A7739">
        <w:rPr>
          <w:rStyle w:val="Refdenotaalpie"/>
          <w:rFonts w:ascii="Verdana" w:hAnsi="Verdana"/>
          <w:sz w:val="16"/>
          <w:szCs w:val="16"/>
        </w:rPr>
        <w:footnoteRef/>
      </w:r>
      <w:r w:rsidRPr="003A7739">
        <w:rPr>
          <w:rFonts w:ascii="Verdana" w:hAnsi="Verdana"/>
          <w:sz w:val="16"/>
          <w:szCs w:val="16"/>
        </w:rPr>
        <w:t xml:space="preserve"> DÁVILA VINUEZA, Luis Guillermo. Régimen jurídico de la contratación estatal. Bogotá: Legis, 2016. p. 600.</w:t>
      </w:r>
    </w:p>
  </w:footnote>
  <w:footnote w:id="9">
    <w:p w14:paraId="6F6F7D4E"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Style w:val="Refdenotaalpie"/>
          <w:rFonts w:ascii="Verdana" w:hAnsi="Verdana" w:cs="Arial"/>
          <w:color w:val="000000" w:themeColor="text1"/>
          <w:sz w:val="16"/>
          <w:szCs w:val="16"/>
        </w:rPr>
        <w:footnoteRef/>
      </w:r>
      <w:r w:rsidRPr="003A7739">
        <w:rPr>
          <w:rFonts w:ascii="Verdana" w:hAnsi="Verdana"/>
          <w:color w:val="000000" w:themeColor="text1"/>
          <w:sz w:val="16"/>
          <w:szCs w:val="16"/>
        </w:rPr>
        <w:t xml:space="preserve"> </w:t>
      </w:r>
      <w:r w:rsidRPr="003A7739">
        <w:rPr>
          <w:rFonts w:ascii="Verdana" w:hAnsi="Verdana" w:cs="Arial"/>
          <w:color w:val="000000" w:themeColor="text1"/>
          <w:sz w:val="16"/>
          <w:szCs w:val="16"/>
        </w:rPr>
        <w:t>ARTÍCULO 2.2.1.2.3.1.7. Garantía de cumplimiento. La garantía de cumplimiento del contrato debe cubrir:</w:t>
      </w:r>
    </w:p>
    <w:p w14:paraId="2327047C"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2AE3D94C"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2. Devolución del pago anticipado. Este amparo cubre los perjuicios sufridos por la Entidad Estatal por la no devolución total o parcial del dinero entregado al contratista a título de pago anticipado, cuando a ello hubiere lugar.</w:t>
      </w:r>
    </w:p>
    <w:p w14:paraId="021400B2"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 Cumplimiento del contrato. Este amparo cubre a la Entidad Estatal de los perjuicios derivados de:</w:t>
      </w:r>
    </w:p>
    <w:p w14:paraId="546B5619"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3.1. El incumplimiento total o parcial del contrato, cuando el incumplimiento es imputable al contratista;</w:t>
      </w:r>
    </w:p>
    <w:p w14:paraId="34D2E815"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3.2. El cumplimiento tardío o defectuoso del contrato, cuando el incumplimiento es imputable al contratista;</w:t>
      </w:r>
    </w:p>
    <w:p w14:paraId="1A1E46CC"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3.3. Los daños imputables al contratista por entregas parciales de la obra, cuando el contrato no prevé entregas parciales; y</w:t>
      </w:r>
    </w:p>
    <w:p w14:paraId="168EB96F"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3.4. El pago del valor de las multas y de la cláusula penal pecuniaria.</w:t>
      </w:r>
    </w:p>
    <w:p w14:paraId="7C6C8913"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6AD38F1E"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La Entidad Estatal no debe exigir una garantía para cubrir este Riesgo en los contratos que se ejecuten fuera del territorio nacional con personal contratado bajo un régimen jurídico distinto al colombiano.</w:t>
      </w:r>
    </w:p>
    <w:p w14:paraId="51265D6B" w14:textId="77777777" w:rsidR="00371C3F" w:rsidRPr="003A7739" w:rsidRDefault="00371C3F" w:rsidP="00371C3F">
      <w:pPr>
        <w:pStyle w:val="Sinespaciado"/>
        <w:ind w:firstLine="708"/>
        <w:jc w:val="both"/>
        <w:rPr>
          <w:rFonts w:ascii="Verdana" w:eastAsia="Calibri" w:hAnsi="Verdana" w:cs="Arial"/>
          <w:color w:val="000000" w:themeColor="text1"/>
          <w:sz w:val="16"/>
          <w:szCs w:val="16"/>
          <w:lang w:val="es-ES"/>
        </w:rPr>
      </w:pPr>
      <w:r w:rsidRPr="003A7739">
        <w:rPr>
          <w:rFonts w:ascii="Verdana" w:hAnsi="Verdana" w:cs="Arial"/>
          <w:color w:val="000000" w:themeColor="text1"/>
          <w:sz w:val="16"/>
          <w:szCs w:val="16"/>
        </w:rPr>
        <w:t>5. Estabilidad y calidad de la obra. Este amparo cubre a la Entidad Estatal de los perjuicios ocasionados por cualquier tipo de daño o deterioro, imputable al contratista, sufrido por la obra entregada a satisfacción.</w:t>
      </w:r>
    </w:p>
    <w:p w14:paraId="47DAC4E3"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6. Calidad del servicio. Este amparo cubre a la Entidad Estatal por los perjuicios derivados de la deficiente calidad del servicio prestado.</w:t>
      </w:r>
    </w:p>
    <w:p w14:paraId="2EC00B56"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7. Calidad y correcto funcionamiento de los bienes. Este amparo debe cubrir la calidad y el correcto funcionamiento de los bienes que recibe la Entidad Estatal en cumplimiento de un contrato.</w:t>
      </w:r>
    </w:p>
    <w:p w14:paraId="187FB80A"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8. Los demás incumplimientos de obligaciones que la Entidad Estatal considere deben ser amparados de manera proporcional y acorde a la naturaleza del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98D0D6F"/>
    <w:multiLevelType w:val="multilevel"/>
    <w:tmpl w:val="15FE1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2"/>
  </w:num>
  <w:num w:numId="14" w16cid:durableId="895897244">
    <w:abstractNumId w:val="15"/>
  </w:num>
  <w:num w:numId="15" w16cid:durableId="390349800">
    <w:abstractNumId w:val="10"/>
  </w:num>
  <w:num w:numId="16" w16cid:durableId="752319919">
    <w:abstractNumId w:val="3"/>
  </w:num>
  <w:num w:numId="17" w16cid:durableId="262223403">
    <w:abstractNumId w:val="9"/>
  </w:num>
  <w:num w:numId="18" w16cid:durableId="17454958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981"/>
    <w:rsid w:val="00046945"/>
    <w:rsid w:val="00061B2A"/>
    <w:rsid w:val="00082362"/>
    <w:rsid w:val="00091470"/>
    <w:rsid w:val="000A683E"/>
    <w:rsid w:val="000B19B9"/>
    <w:rsid w:val="000D0334"/>
    <w:rsid w:val="000D5DA7"/>
    <w:rsid w:val="000F6486"/>
    <w:rsid w:val="00102D1B"/>
    <w:rsid w:val="00116940"/>
    <w:rsid w:val="00120E5C"/>
    <w:rsid w:val="00125105"/>
    <w:rsid w:val="00127233"/>
    <w:rsid w:val="00134596"/>
    <w:rsid w:val="0015699B"/>
    <w:rsid w:val="00175C11"/>
    <w:rsid w:val="001766CC"/>
    <w:rsid w:val="001A33BF"/>
    <w:rsid w:val="001E4177"/>
    <w:rsid w:val="001E77D6"/>
    <w:rsid w:val="001F0B24"/>
    <w:rsid w:val="001F4631"/>
    <w:rsid w:val="001F528D"/>
    <w:rsid w:val="001F7DC6"/>
    <w:rsid w:val="0022400B"/>
    <w:rsid w:val="002421BB"/>
    <w:rsid w:val="00254418"/>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45D1"/>
    <w:rsid w:val="00330834"/>
    <w:rsid w:val="003448F4"/>
    <w:rsid w:val="00371C3F"/>
    <w:rsid w:val="00374F5E"/>
    <w:rsid w:val="00377E3E"/>
    <w:rsid w:val="003A779E"/>
    <w:rsid w:val="003D0F4D"/>
    <w:rsid w:val="003D5B0D"/>
    <w:rsid w:val="003D7EFB"/>
    <w:rsid w:val="003E0499"/>
    <w:rsid w:val="003E4F80"/>
    <w:rsid w:val="003E6439"/>
    <w:rsid w:val="003F3941"/>
    <w:rsid w:val="00406575"/>
    <w:rsid w:val="00414C74"/>
    <w:rsid w:val="0042722E"/>
    <w:rsid w:val="0044528D"/>
    <w:rsid w:val="00466E39"/>
    <w:rsid w:val="0047059D"/>
    <w:rsid w:val="004732FA"/>
    <w:rsid w:val="004A1847"/>
    <w:rsid w:val="004A305D"/>
    <w:rsid w:val="004F21C4"/>
    <w:rsid w:val="004F685F"/>
    <w:rsid w:val="00537035"/>
    <w:rsid w:val="005566E8"/>
    <w:rsid w:val="005645E6"/>
    <w:rsid w:val="00574867"/>
    <w:rsid w:val="0057577E"/>
    <w:rsid w:val="00591460"/>
    <w:rsid w:val="005A5ED3"/>
    <w:rsid w:val="005A65E0"/>
    <w:rsid w:val="005C3777"/>
    <w:rsid w:val="005C5CDC"/>
    <w:rsid w:val="005D476C"/>
    <w:rsid w:val="006200BF"/>
    <w:rsid w:val="006219F8"/>
    <w:rsid w:val="006228BD"/>
    <w:rsid w:val="006302F7"/>
    <w:rsid w:val="00646B9F"/>
    <w:rsid w:val="00663985"/>
    <w:rsid w:val="00665D70"/>
    <w:rsid w:val="0066799F"/>
    <w:rsid w:val="006900D9"/>
    <w:rsid w:val="00706C16"/>
    <w:rsid w:val="007340C3"/>
    <w:rsid w:val="0075072F"/>
    <w:rsid w:val="0075235A"/>
    <w:rsid w:val="00756841"/>
    <w:rsid w:val="00763F4E"/>
    <w:rsid w:val="007649AB"/>
    <w:rsid w:val="00770D15"/>
    <w:rsid w:val="00771D0C"/>
    <w:rsid w:val="007833AC"/>
    <w:rsid w:val="007B268C"/>
    <w:rsid w:val="007B3E89"/>
    <w:rsid w:val="007B7171"/>
    <w:rsid w:val="007C0C0F"/>
    <w:rsid w:val="007C3DC2"/>
    <w:rsid w:val="007D40E3"/>
    <w:rsid w:val="007E4E0A"/>
    <w:rsid w:val="007E5497"/>
    <w:rsid w:val="007F553A"/>
    <w:rsid w:val="00806F5F"/>
    <w:rsid w:val="00820278"/>
    <w:rsid w:val="008258C9"/>
    <w:rsid w:val="00844AE9"/>
    <w:rsid w:val="00867F95"/>
    <w:rsid w:val="008728C7"/>
    <w:rsid w:val="008843B6"/>
    <w:rsid w:val="00891928"/>
    <w:rsid w:val="008A446D"/>
    <w:rsid w:val="008B25F1"/>
    <w:rsid w:val="008D180B"/>
    <w:rsid w:val="008F0EA7"/>
    <w:rsid w:val="00923EEF"/>
    <w:rsid w:val="00930C11"/>
    <w:rsid w:val="009419F9"/>
    <w:rsid w:val="0095685E"/>
    <w:rsid w:val="00961B09"/>
    <w:rsid w:val="00965334"/>
    <w:rsid w:val="0097093E"/>
    <w:rsid w:val="00997FC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B742B"/>
    <w:rsid w:val="00B00C0E"/>
    <w:rsid w:val="00B01B1A"/>
    <w:rsid w:val="00B0381D"/>
    <w:rsid w:val="00B123DB"/>
    <w:rsid w:val="00B340E4"/>
    <w:rsid w:val="00B44A47"/>
    <w:rsid w:val="00B53945"/>
    <w:rsid w:val="00B72CD3"/>
    <w:rsid w:val="00B72FFF"/>
    <w:rsid w:val="00BC3D36"/>
    <w:rsid w:val="00BD54A6"/>
    <w:rsid w:val="00BD7F72"/>
    <w:rsid w:val="00BE5E53"/>
    <w:rsid w:val="00BF338E"/>
    <w:rsid w:val="00BF7425"/>
    <w:rsid w:val="00C04FB3"/>
    <w:rsid w:val="00C11D8B"/>
    <w:rsid w:val="00C15139"/>
    <w:rsid w:val="00C330EB"/>
    <w:rsid w:val="00C47977"/>
    <w:rsid w:val="00C50D69"/>
    <w:rsid w:val="00C5365C"/>
    <w:rsid w:val="00C71550"/>
    <w:rsid w:val="00C754BE"/>
    <w:rsid w:val="00C76B1C"/>
    <w:rsid w:val="00C925AC"/>
    <w:rsid w:val="00C973D0"/>
    <w:rsid w:val="00CB6357"/>
    <w:rsid w:val="00CC1B26"/>
    <w:rsid w:val="00CC21F7"/>
    <w:rsid w:val="00CE78D6"/>
    <w:rsid w:val="00CF507C"/>
    <w:rsid w:val="00D250F2"/>
    <w:rsid w:val="00D361FD"/>
    <w:rsid w:val="00D423A2"/>
    <w:rsid w:val="00D442D3"/>
    <w:rsid w:val="00D44E26"/>
    <w:rsid w:val="00D520D8"/>
    <w:rsid w:val="00D63AC2"/>
    <w:rsid w:val="00D7383B"/>
    <w:rsid w:val="00D7788A"/>
    <w:rsid w:val="00DA231B"/>
    <w:rsid w:val="00DC39FC"/>
    <w:rsid w:val="00DC419F"/>
    <w:rsid w:val="00DF5254"/>
    <w:rsid w:val="00E02524"/>
    <w:rsid w:val="00E16408"/>
    <w:rsid w:val="00E20894"/>
    <w:rsid w:val="00E245AB"/>
    <w:rsid w:val="00E2764C"/>
    <w:rsid w:val="00E27F2E"/>
    <w:rsid w:val="00E50AFE"/>
    <w:rsid w:val="00E75C92"/>
    <w:rsid w:val="00E771DC"/>
    <w:rsid w:val="00E8772A"/>
    <w:rsid w:val="00E90F6B"/>
    <w:rsid w:val="00E92C27"/>
    <w:rsid w:val="00E95F50"/>
    <w:rsid w:val="00EA0E3D"/>
    <w:rsid w:val="00EB60CE"/>
    <w:rsid w:val="00EC38A7"/>
    <w:rsid w:val="00EE1AA8"/>
    <w:rsid w:val="00F23FEA"/>
    <w:rsid w:val="00F31EDC"/>
    <w:rsid w:val="00F462B3"/>
    <w:rsid w:val="00F5664F"/>
    <w:rsid w:val="00F60F29"/>
    <w:rsid w:val="00F666C4"/>
    <w:rsid w:val="00F74870"/>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3D491140"/>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1933810-1B77-4D33-955B-C929D4D13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71C3F"/>
    <w:pPr>
      <w:spacing w:line="240" w:lineRule="exact"/>
    </w:pPr>
    <w:rPr>
      <w:vertAlign w:val="superscript"/>
    </w:rPr>
  </w:style>
  <w:style w:type="paragraph" w:styleId="Sinespaciado">
    <w:name w:val="No Spacing"/>
    <w:uiPriority w:val="1"/>
    <w:qFormat/>
    <w:rsid w:val="00371C3F"/>
    <w:pPr>
      <w:spacing w:after="0" w:line="240" w:lineRule="auto"/>
    </w:pPr>
  </w:style>
  <w:style w:type="table" w:customStyle="1" w:styleId="Tablaconcuadrcula11">
    <w:name w:val="Tabla con cuadrícula11"/>
    <w:basedOn w:val="Tablanormal"/>
    <w:next w:val="Tablaconcuadrcula"/>
    <w:uiPriority w:val="39"/>
    <w:qFormat/>
    <w:rsid w:val="00371C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wp-content/uploads/2024/08/2017-Guia-para-el-manejo-de-anticipos-mediante-contrato-de-fiducia-mercantil-irrevocable-G-MACFMI-01.pdf"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AC6BB5E-AE1C-4AA7-8E89-51EEC318F9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117</TotalTime>
  <Pages>14</Pages>
  <Words>4053</Words>
  <Characters>22293</Characters>
  <Application>Microsoft Office Word</Application>
  <DocSecurity>0</DocSecurity>
  <Lines>185</Lines>
  <Paragraphs>52</Paragraphs>
  <ScaleCrop>false</ScaleCrop>
  <Company/>
  <LinksUpToDate>false</LinksUpToDate>
  <CharactersWithSpaces>26294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2023-01-11T00:18:00Z</cp:lastPrinted>
  <dcterms:created xsi:type="dcterms:W3CDTF">2026-03-10T14:26:00Z</dcterms:created>
  <dcterms:modified xsi:type="dcterms:W3CDTF">2026-03-10T20:10:00Z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