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01D6A7" w14:textId="26276128" w:rsidR="00671CFC" w:rsidRDefault="00CA28E9" w:rsidP="00671CFC">
      <w:pPr>
        <w:snapToGrid w:val="0"/>
        <w:spacing w:after="0" w:line="240" w:lineRule="auto"/>
        <w:jc w:val="both"/>
        <w:rPr>
          <w:rFonts w:ascii="Verdana" w:eastAsia="Calibri" w:hAnsi="Verdana" w:cs="Arial"/>
          <w:b/>
          <w:bCs/>
          <w:lang w:val="es-ES" w:eastAsia="es-ES"/>
        </w:rPr>
      </w:pPr>
      <w:r w:rsidRPr="00CA28E9">
        <w:rPr>
          <w:rFonts w:ascii="Verdana" w:eastAsia="Calibri" w:hAnsi="Verdana" w:cs="Arial"/>
          <w:b/>
          <w:bCs/>
          <w:lang w:val="es-ES" w:eastAsia="es-ES"/>
        </w:rPr>
        <w:t>CONTRATO – Definición</w:t>
      </w:r>
    </w:p>
    <w:p w14:paraId="228EBA91" w14:textId="77777777" w:rsidR="00671CFC" w:rsidRDefault="00671CFC" w:rsidP="00671CFC">
      <w:pPr>
        <w:snapToGrid w:val="0"/>
        <w:spacing w:after="0" w:line="240" w:lineRule="auto"/>
        <w:jc w:val="both"/>
        <w:rPr>
          <w:rFonts w:ascii="Verdana" w:hAnsi="Verdana" w:cs="Arial"/>
          <w:lang w:val="es-ES" w:eastAsia="es-MX"/>
        </w:rPr>
      </w:pPr>
    </w:p>
    <w:p w14:paraId="05BFB0D5" w14:textId="58981116" w:rsidR="00671CFC" w:rsidRPr="00671CFC" w:rsidRDefault="00671CFC" w:rsidP="00671CFC">
      <w:pPr>
        <w:snapToGrid w:val="0"/>
        <w:spacing w:after="0" w:line="240" w:lineRule="auto"/>
        <w:jc w:val="both"/>
        <w:rPr>
          <w:rFonts w:ascii="Verdana" w:hAnsi="Verdana" w:cs="Arial"/>
          <w:bCs/>
          <w:color w:val="000000" w:themeColor="text1"/>
          <w:sz w:val="20"/>
          <w:szCs w:val="20"/>
          <w:lang w:val="es-ES"/>
        </w:rPr>
      </w:pPr>
      <w:r w:rsidRPr="00671CFC">
        <w:rPr>
          <w:rFonts w:ascii="Verdana" w:hAnsi="Verdana" w:cs="Arial"/>
          <w:sz w:val="20"/>
          <w:szCs w:val="20"/>
          <w:lang w:val="es-ES" w:eastAsia="es-MX"/>
        </w:rPr>
        <w:t>Aunque el contrato de arrendamiento no hace parte del listado enunciativo del</w:t>
      </w:r>
      <w:r w:rsidRPr="00671CFC">
        <w:rPr>
          <w:rFonts w:ascii="Verdana" w:hAnsi="Verdana" w:cs="Arial"/>
          <w:bCs/>
          <w:color w:val="000000" w:themeColor="text1"/>
          <w:sz w:val="20"/>
          <w:szCs w:val="20"/>
          <w:lang w:val="es-ES"/>
        </w:rPr>
        <w:t xml:space="preserve"> artículo 32 de la Ley 80 de 1993, su regulación se encuentra en el Código Civil y en el Código de Comercio, principalmente, los artículos 1973 al 2078 del Código Civil que lo desarrollan. También existen normas especiales sobre el contrato de arrendamiento en los artículos 518 al 523 del Código de Comercio –sobre arrendamiento de inmuebles para los establecimientos de comercio–, 1678 al 1687 y 1890 al 1899 de la misma codificación –sobre arrendamiento de naves–; y en la Ley 820 de 2003, por la cual se expide el régimen de arrendamiento de vivienda urbana.</w:t>
      </w:r>
    </w:p>
    <w:p w14:paraId="57042AC2" w14:textId="77777777" w:rsidR="00CA28E9" w:rsidRPr="00CA28E9" w:rsidRDefault="00CA28E9" w:rsidP="00671CFC">
      <w:pPr>
        <w:snapToGrid w:val="0"/>
        <w:spacing w:after="0" w:line="240" w:lineRule="auto"/>
        <w:jc w:val="both"/>
        <w:rPr>
          <w:rFonts w:ascii="Verdana" w:eastAsia="Calibri" w:hAnsi="Verdana" w:cs="Arial"/>
          <w:b/>
          <w:bCs/>
          <w:lang w:val="es-ES" w:eastAsia="es-ES"/>
        </w:rPr>
      </w:pPr>
    </w:p>
    <w:p w14:paraId="66579D70" w14:textId="77777777" w:rsidR="00CA28E9" w:rsidRDefault="00CA28E9" w:rsidP="00671CFC">
      <w:pPr>
        <w:snapToGrid w:val="0"/>
        <w:spacing w:after="0" w:line="240" w:lineRule="auto"/>
        <w:jc w:val="both"/>
        <w:rPr>
          <w:rFonts w:ascii="Verdana" w:eastAsia="Calibri" w:hAnsi="Verdana" w:cs="Arial"/>
          <w:b/>
          <w:bCs/>
          <w:lang w:val="es-ES" w:eastAsia="es-ES"/>
        </w:rPr>
      </w:pPr>
      <w:r w:rsidRPr="00CA28E9">
        <w:rPr>
          <w:rFonts w:ascii="Verdana" w:eastAsia="Calibri" w:hAnsi="Verdana" w:cs="Arial"/>
          <w:b/>
          <w:bCs/>
          <w:lang w:val="es-ES" w:eastAsia="es-ES"/>
        </w:rPr>
        <w:t>CONTRATO ESTATAL – Definición</w:t>
      </w:r>
    </w:p>
    <w:p w14:paraId="280C1933" w14:textId="77777777" w:rsidR="008C7ED8" w:rsidRDefault="008C7ED8" w:rsidP="00671CFC">
      <w:pPr>
        <w:snapToGrid w:val="0"/>
        <w:spacing w:after="0" w:line="240" w:lineRule="auto"/>
        <w:jc w:val="both"/>
        <w:rPr>
          <w:rFonts w:ascii="Verdana" w:eastAsia="Calibri" w:hAnsi="Verdana" w:cs="Arial"/>
          <w:b/>
          <w:bCs/>
          <w:lang w:val="es-ES" w:eastAsia="es-ES"/>
        </w:rPr>
      </w:pPr>
    </w:p>
    <w:p w14:paraId="12E3DF4D" w14:textId="77777777" w:rsidR="008C7ED8" w:rsidRPr="00671CFC" w:rsidRDefault="008C7ED8" w:rsidP="00671CFC">
      <w:pPr>
        <w:widowControl w:val="0"/>
        <w:autoSpaceDE w:val="0"/>
        <w:autoSpaceDN w:val="0"/>
        <w:snapToGrid w:val="0"/>
        <w:spacing w:after="0" w:line="240" w:lineRule="auto"/>
        <w:jc w:val="both"/>
        <w:rPr>
          <w:rFonts w:ascii="Verdana" w:eastAsia="Arial" w:hAnsi="Verdana" w:cs="Arial"/>
          <w:color w:val="000000" w:themeColor="text1"/>
          <w:sz w:val="20"/>
          <w:szCs w:val="20"/>
          <w:lang w:val="es-ES"/>
        </w:rPr>
      </w:pPr>
      <w:r w:rsidRPr="00671CFC">
        <w:rPr>
          <w:rFonts w:ascii="Verdana" w:eastAsia="Arial" w:hAnsi="Verdana" w:cs="Arial"/>
          <w:color w:val="000000" w:themeColor="text1"/>
          <w:sz w:val="20"/>
          <w:szCs w:val="20"/>
          <w:lang w:val="es-ES"/>
        </w:rPr>
        <w:t xml:space="preserve">El artículo 1º de la Ley 80 de 1993 –EGCAP– determina que su objetivo es disponer de reglas y principios que rigen los contratos de las Entidades Estatales. En ese sentido, el artículo 32 </w:t>
      </w:r>
      <w:r w:rsidRPr="00671CFC">
        <w:rPr>
          <w:rFonts w:ascii="Verdana" w:eastAsia="Arial" w:hAnsi="Verdana" w:cs="Arial"/>
          <w:i/>
          <w:iCs/>
          <w:color w:val="000000" w:themeColor="text1"/>
          <w:sz w:val="20"/>
          <w:szCs w:val="20"/>
          <w:lang w:val="es-ES"/>
        </w:rPr>
        <w:t>ibidem</w:t>
      </w:r>
      <w:r w:rsidRPr="00671CFC">
        <w:rPr>
          <w:rFonts w:ascii="Verdana" w:eastAsia="Arial" w:hAnsi="Verdana" w:cs="Arial"/>
          <w:color w:val="000000" w:themeColor="text1"/>
          <w:sz w:val="20"/>
          <w:szCs w:val="20"/>
          <w:lang w:val="es-ES"/>
        </w:rPr>
        <w:t xml:space="preserve"> define los contratos estatales como “todos los actos jurídicos, generadores de obligaciones que celebren las entidades a que se refiere este estatuto [artículo 2], previstos en el derecho privado o en disposiciones especiales, o derivados del ejercicio de la autonomía de la voluntad”. </w:t>
      </w:r>
    </w:p>
    <w:p w14:paraId="791E30FD" w14:textId="77777777" w:rsidR="00671CFC" w:rsidRPr="00671CFC" w:rsidRDefault="00671CFC" w:rsidP="00671CFC">
      <w:pPr>
        <w:widowControl w:val="0"/>
        <w:autoSpaceDE w:val="0"/>
        <w:autoSpaceDN w:val="0"/>
        <w:snapToGrid w:val="0"/>
        <w:spacing w:after="0" w:line="240" w:lineRule="auto"/>
        <w:jc w:val="both"/>
        <w:rPr>
          <w:rFonts w:ascii="Verdana" w:eastAsia="Arial" w:hAnsi="Verdana" w:cs="Arial"/>
          <w:color w:val="000000" w:themeColor="text1"/>
          <w:sz w:val="20"/>
          <w:szCs w:val="20"/>
          <w:lang w:val="es-ES"/>
        </w:rPr>
      </w:pPr>
    </w:p>
    <w:p w14:paraId="55720984" w14:textId="3471014A" w:rsidR="008C7ED8" w:rsidRPr="00671CFC" w:rsidRDefault="008C7ED8" w:rsidP="00671CFC">
      <w:pPr>
        <w:snapToGrid w:val="0"/>
        <w:spacing w:after="0" w:line="240" w:lineRule="auto"/>
        <w:jc w:val="both"/>
        <w:rPr>
          <w:rFonts w:ascii="Verdana" w:eastAsia="Calibri" w:hAnsi="Verdana" w:cs="Arial"/>
          <w:b/>
          <w:bCs/>
          <w:sz w:val="20"/>
          <w:szCs w:val="20"/>
          <w:lang w:val="es-ES" w:eastAsia="es-ES"/>
        </w:rPr>
      </w:pPr>
      <w:r w:rsidRPr="00671CFC">
        <w:rPr>
          <w:rFonts w:ascii="Verdana" w:eastAsia="Arial" w:hAnsi="Verdana" w:cs="Arial"/>
          <w:color w:val="000000" w:themeColor="text1"/>
          <w:sz w:val="20"/>
          <w:szCs w:val="20"/>
          <w:lang w:val="es-ES"/>
        </w:rPr>
        <w:t>De acuerdo con lo anterior, para la definición de contrato estatal basta con que una de las Entidades que enumera el artículo 2º de la Ley 80 de 1993 sea una de las partes, sin importar el extremo de la relación jurídico negocial que</w:t>
      </w:r>
      <w:r w:rsidRPr="00671CFC">
        <w:rPr>
          <w:rFonts w:ascii="Verdana" w:eastAsia="Arial" w:hAnsi="Verdana" w:cs="Arial"/>
          <w:color w:val="000000" w:themeColor="text1"/>
          <w:spacing w:val="-14"/>
          <w:sz w:val="20"/>
          <w:szCs w:val="20"/>
          <w:lang w:val="es-ES"/>
        </w:rPr>
        <w:t xml:space="preserve"> </w:t>
      </w:r>
      <w:r w:rsidRPr="00671CFC">
        <w:rPr>
          <w:rFonts w:ascii="Verdana" w:eastAsia="Arial" w:hAnsi="Verdana" w:cs="Arial"/>
          <w:color w:val="000000" w:themeColor="text1"/>
          <w:sz w:val="20"/>
          <w:szCs w:val="20"/>
          <w:lang w:val="es-ES"/>
        </w:rPr>
        <w:t>asuma.</w:t>
      </w:r>
    </w:p>
    <w:p w14:paraId="64E2ECFD" w14:textId="77777777" w:rsidR="00CA28E9" w:rsidRPr="00CA28E9" w:rsidRDefault="00CA28E9" w:rsidP="00671CFC">
      <w:pPr>
        <w:snapToGrid w:val="0"/>
        <w:spacing w:after="0" w:line="240" w:lineRule="auto"/>
        <w:jc w:val="both"/>
        <w:rPr>
          <w:rFonts w:ascii="Verdana" w:eastAsia="Calibri" w:hAnsi="Verdana" w:cs="Arial"/>
          <w:b/>
          <w:bCs/>
          <w:lang w:val="es-ES" w:eastAsia="es-ES"/>
        </w:rPr>
      </w:pPr>
    </w:p>
    <w:p w14:paraId="5AB8748F" w14:textId="77777777" w:rsidR="00CA28E9" w:rsidRDefault="00CA28E9" w:rsidP="00671CFC">
      <w:pPr>
        <w:snapToGrid w:val="0"/>
        <w:spacing w:after="0" w:line="240" w:lineRule="auto"/>
        <w:jc w:val="both"/>
        <w:rPr>
          <w:rFonts w:ascii="Verdana" w:eastAsia="Calibri" w:hAnsi="Verdana" w:cs="Arial"/>
          <w:b/>
          <w:bCs/>
          <w:lang w:val="es-ES" w:eastAsia="es-ES"/>
        </w:rPr>
      </w:pPr>
      <w:r w:rsidRPr="00CA28E9">
        <w:rPr>
          <w:rFonts w:ascii="Verdana" w:eastAsia="Calibri" w:hAnsi="Verdana" w:cs="Arial"/>
          <w:b/>
          <w:bCs/>
          <w:lang w:val="es-ES" w:eastAsia="es-ES"/>
        </w:rPr>
        <w:t>CONTRATO DE ARRENDAMIENTO – Contrato estatal – Regulación</w:t>
      </w:r>
    </w:p>
    <w:p w14:paraId="07DA4596" w14:textId="77777777" w:rsidR="00671CFC" w:rsidRDefault="00671CFC" w:rsidP="00671CFC">
      <w:pPr>
        <w:snapToGrid w:val="0"/>
        <w:spacing w:after="0" w:line="240" w:lineRule="auto"/>
        <w:jc w:val="both"/>
        <w:rPr>
          <w:rFonts w:ascii="Verdana" w:eastAsia="Calibri" w:hAnsi="Verdana" w:cs="Arial"/>
          <w:b/>
          <w:bCs/>
          <w:lang w:val="es-ES" w:eastAsia="es-ES"/>
        </w:rPr>
      </w:pPr>
    </w:p>
    <w:p w14:paraId="7CB30256" w14:textId="599457B7" w:rsidR="00671CFC" w:rsidRPr="00671CFC" w:rsidRDefault="00671CFC" w:rsidP="00671CFC">
      <w:pPr>
        <w:snapToGrid w:val="0"/>
        <w:spacing w:after="0" w:line="240" w:lineRule="auto"/>
        <w:jc w:val="both"/>
        <w:rPr>
          <w:rFonts w:ascii="Verdana" w:hAnsi="Verdana" w:cs="Arial"/>
          <w:bCs/>
          <w:color w:val="000000" w:themeColor="text1"/>
          <w:sz w:val="20"/>
          <w:szCs w:val="20"/>
          <w:lang w:val="es-ES"/>
        </w:rPr>
      </w:pPr>
      <w:r w:rsidRPr="00671CFC">
        <w:rPr>
          <w:rFonts w:ascii="Verdana" w:hAnsi="Verdana" w:cs="Arial"/>
          <w:sz w:val="20"/>
          <w:szCs w:val="20"/>
          <w:lang w:val="es-ES" w:eastAsia="es-MX"/>
        </w:rPr>
        <w:t>Aunque el contrato de arrendamiento no hace parte del listado enunciativo del</w:t>
      </w:r>
      <w:r w:rsidRPr="00671CFC">
        <w:rPr>
          <w:rFonts w:ascii="Verdana" w:hAnsi="Verdana" w:cs="Arial"/>
          <w:bCs/>
          <w:color w:val="000000" w:themeColor="text1"/>
          <w:sz w:val="20"/>
          <w:szCs w:val="20"/>
          <w:lang w:val="es-ES"/>
        </w:rPr>
        <w:t xml:space="preserve"> artículo 32 de la Ley 80 de 1993, su regulación se encuentra en el Código Civil y en el Código de Comercio, principalmente, los artículos 1973 al 2078 del Código Civil que lo desarrollan. También existen normas especiales sobre el contrato de arrendamiento en los artículos 518 al 523 del Código de Comercio –sobre arrendamiento de inmuebles para los establecimientos de comercio–, 1678 al 1687 y 1890 al 1899 de la misma codificación –sobre arrendamiento de naves–; y en la Ley 820 de 2003, por la cual se expide el régimen de arrendamiento de vivienda urbana.</w:t>
      </w:r>
    </w:p>
    <w:p w14:paraId="5AA87B41" w14:textId="77777777" w:rsidR="00CA28E9" w:rsidRPr="00CA28E9" w:rsidRDefault="00CA28E9" w:rsidP="00671CFC">
      <w:pPr>
        <w:snapToGrid w:val="0"/>
        <w:spacing w:after="0" w:line="240" w:lineRule="auto"/>
        <w:jc w:val="both"/>
        <w:rPr>
          <w:rFonts w:ascii="Verdana" w:eastAsia="Calibri" w:hAnsi="Verdana" w:cs="Arial"/>
          <w:b/>
          <w:bCs/>
          <w:lang w:val="es-ES" w:eastAsia="es-ES"/>
        </w:rPr>
      </w:pPr>
    </w:p>
    <w:p w14:paraId="1F8AB70D" w14:textId="77777777" w:rsidR="00CA28E9" w:rsidRDefault="00CA28E9" w:rsidP="00671CFC">
      <w:pPr>
        <w:snapToGrid w:val="0"/>
        <w:spacing w:after="0" w:line="240" w:lineRule="auto"/>
        <w:jc w:val="both"/>
        <w:rPr>
          <w:rFonts w:ascii="Verdana" w:eastAsia="Calibri" w:hAnsi="Verdana" w:cs="Arial"/>
          <w:b/>
          <w:bCs/>
          <w:lang w:val="es-ES" w:eastAsia="es-ES"/>
        </w:rPr>
      </w:pPr>
      <w:r w:rsidRPr="00CA28E9">
        <w:rPr>
          <w:rFonts w:ascii="Verdana" w:eastAsia="Calibri" w:hAnsi="Verdana" w:cs="Arial"/>
          <w:b/>
          <w:bCs/>
          <w:lang w:val="es-ES" w:eastAsia="es-ES"/>
        </w:rPr>
        <w:t>CONTRATO DE ARRENDAMIENTO – Concepto – Elementos</w:t>
      </w:r>
    </w:p>
    <w:p w14:paraId="5EF90548" w14:textId="77777777" w:rsidR="00671CFC" w:rsidRDefault="00671CFC" w:rsidP="00671CFC">
      <w:pPr>
        <w:snapToGrid w:val="0"/>
        <w:spacing w:after="0" w:line="240" w:lineRule="auto"/>
        <w:jc w:val="both"/>
        <w:rPr>
          <w:rFonts w:ascii="Verdana" w:eastAsia="Calibri" w:hAnsi="Verdana" w:cs="Arial"/>
          <w:b/>
          <w:bCs/>
          <w:lang w:val="es-ES" w:eastAsia="es-ES"/>
        </w:rPr>
      </w:pPr>
    </w:p>
    <w:p w14:paraId="61408920" w14:textId="77777777" w:rsidR="00671CFC" w:rsidRPr="00671CFC" w:rsidRDefault="00671CFC" w:rsidP="00671CFC">
      <w:pPr>
        <w:snapToGrid w:val="0"/>
        <w:spacing w:after="0" w:line="240" w:lineRule="auto"/>
        <w:jc w:val="both"/>
        <w:rPr>
          <w:rFonts w:ascii="Verdana" w:eastAsia="Calibri" w:hAnsi="Verdana" w:cs="Arial"/>
          <w:color w:val="000000" w:themeColor="text1"/>
          <w:sz w:val="20"/>
          <w:szCs w:val="20"/>
          <w:lang w:val="es-ES"/>
        </w:rPr>
      </w:pPr>
      <w:r w:rsidRPr="00671CFC">
        <w:rPr>
          <w:rFonts w:ascii="Verdana" w:eastAsia="Calibri" w:hAnsi="Verdana" w:cs="Arial"/>
          <w:color w:val="000000" w:themeColor="text1"/>
          <w:sz w:val="20"/>
          <w:szCs w:val="20"/>
          <w:lang w:val="es-ES"/>
        </w:rPr>
        <w:t>El artículo 1973 del Código Civil define el contrato de arrendamiento como “[…] un contrato en que las dos partes se obligan recíprocamente, la una a conceder el goce de una cosa, o a ejecutar una obra o prestar un servicio, y la otra a pagar por este goce, obra o servicio un precio determinado”. Se trata pues del acuerdo de voluntades en virtud del cual una de las partes –llamada arrendador o arrendadora– se obliga a concederle a otra –llamada arrendatario o arrendataria– el uso y goce de un bien, a cambio de una renta o canon, diferenciándose del contrato de compraventa en que no opera una transferencia del dominio del bien cuyo uso y goce se entrega.</w:t>
      </w:r>
    </w:p>
    <w:p w14:paraId="39B1897D" w14:textId="77777777" w:rsidR="00671CFC" w:rsidRPr="00671CFC" w:rsidRDefault="00671CFC" w:rsidP="00671CFC">
      <w:pPr>
        <w:snapToGrid w:val="0"/>
        <w:spacing w:after="0" w:line="240" w:lineRule="auto"/>
        <w:jc w:val="both"/>
        <w:rPr>
          <w:rFonts w:ascii="Verdana" w:eastAsia="Calibri" w:hAnsi="Verdana" w:cs="Arial"/>
          <w:color w:val="000000" w:themeColor="text1"/>
          <w:sz w:val="20"/>
          <w:szCs w:val="20"/>
          <w:lang w:val="es-ES"/>
        </w:rPr>
      </w:pPr>
    </w:p>
    <w:p w14:paraId="1C8CD127" w14:textId="2AF5EDE9" w:rsidR="00671CFC" w:rsidRPr="00671CFC" w:rsidRDefault="00671CFC" w:rsidP="00671CFC">
      <w:pPr>
        <w:snapToGrid w:val="0"/>
        <w:spacing w:after="0" w:line="240" w:lineRule="auto"/>
        <w:jc w:val="both"/>
        <w:rPr>
          <w:rFonts w:ascii="Verdana" w:eastAsia="Calibri" w:hAnsi="Verdana" w:cs="Arial"/>
          <w:color w:val="000000" w:themeColor="text1"/>
          <w:sz w:val="20"/>
          <w:szCs w:val="20"/>
          <w:lang w:val="es-ES"/>
        </w:rPr>
      </w:pPr>
      <w:r w:rsidRPr="00671CFC">
        <w:rPr>
          <w:rFonts w:ascii="Verdana" w:eastAsia="Calibri" w:hAnsi="Verdana" w:cs="Arial"/>
          <w:color w:val="000000" w:themeColor="text1"/>
          <w:sz w:val="20"/>
          <w:szCs w:val="20"/>
          <w:lang w:val="es-ES"/>
        </w:rPr>
        <w:t xml:space="preserve">En cuanto a sus características, la doctrina ha indicado que el arrendamiento es un contrato: i) bilateral, pues ambas partes se obligan recíprocamente; </w:t>
      </w:r>
      <w:proofErr w:type="spellStart"/>
      <w:r w:rsidRPr="00671CFC">
        <w:rPr>
          <w:rFonts w:ascii="Verdana" w:eastAsia="Calibri" w:hAnsi="Verdana" w:cs="Arial"/>
          <w:color w:val="000000" w:themeColor="text1"/>
          <w:sz w:val="20"/>
          <w:szCs w:val="20"/>
          <w:lang w:val="es-ES"/>
        </w:rPr>
        <w:t>ii</w:t>
      </w:r>
      <w:proofErr w:type="spellEnd"/>
      <w:r w:rsidRPr="00671CFC">
        <w:rPr>
          <w:rFonts w:ascii="Verdana" w:eastAsia="Calibri" w:hAnsi="Verdana" w:cs="Arial"/>
          <w:color w:val="000000" w:themeColor="text1"/>
          <w:sz w:val="20"/>
          <w:szCs w:val="20"/>
          <w:lang w:val="es-ES"/>
        </w:rPr>
        <w:t xml:space="preserve">) consensual, dado que se perfecciona con el consentimiento; </w:t>
      </w:r>
      <w:proofErr w:type="spellStart"/>
      <w:r w:rsidRPr="00671CFC">
        <w:rPr>
          <w:rFonts w:ascii="Verdana" w:eastAsia="Calibri" w:hAnsi="Verdana" w:cs="Arial"/>
          <w:color w:val="000000" w:themeColor="text1"/>
          <w:sz w:val="20"/>
          <w:szCs w:val="20"/>
          <w:lang w:val="es-ES"/>
        </w:rPr>
        <w:t>iii</w:t>
      </w:r>
      <w:proofErr w:type="spellEnd"/>
      <w:r w:rsidRPr="00671CFC">
        <w:rPr>
          <w:rFonts w:ascii="Verdana" w:eastAsia="Calibri" w:hAnsi="Verdana" w:cs="Arial"/>
          <w:color w:val="000000" w:themeColor="text1"/>
          <w:sz w:val="20"/>
          <w:szCs w:val="20"/>
          <w:lang w:val="es-ES"/>
        </w:rPr>
        <w:t xml:space="preserve">) oneroso, ya que ambas partes obtienen utilidades –el arrendatario, el uso y goce del bien, y el arrendador la renta o canon–; </w:t>
      </w:r>
      <w:proofErr w:type="spellStart"/>
      <w:r w:rsidRPr="00671CFC">
        <w:rPr>
          <w:rFonts w:ascii="Verdana" w:eastAsia="Calibri" w:hAnsi="Verdana" w:cs="Arial"/>
          <w:color w:val="000000" w:themeColor="text1"/>
          <w:sz w:val="20"/>
          <w:szCs w:val="20"/>
          <w:lang w:val="es-ES"/>
        </w:rPr>
        <w:t>iv</w:t>
      </w:r>
      <w:proofErr w:type="spellEnd"/>
      <w:r w:rsidRPr="00671CFC">
        <w:rPr>
          <w:rFonts w:ascii="Verdana" w:eastAsia="Calibri" w:hAnsi="Verdana" w:cs="Arial"/>
          <w:color w:val="000000" w:themeColor="text1"/>
          <w:sz w:val="20"/>
          <w:szCs w:val="20"/>
          <w:lang w:val="es-ES"/>
        </w:rPr>
        <w:t>) de ejecución sucesiva, en la medida en que se ejecuta en forma periódica; v) principal, porque existe en forma autónoma; y vi) nominado, porque está tipificado y desarrollado en la ley.</w:t>
      </w:r>
    </w:p>
    <w:p w14:paraId="236A1B17" w14:textId="77777777" w:rsidR="00CA28E9" w:rsidRPr="00CA28E9" w:rsidRDefault="00CA28E9" w:rsidP="00671CFC">
      <w:pPr>
        <w:snapToGrid w:val="0"/>
        <w:spacing w:after="0" w:line="240" w:lineRule="auto"/>
        <w:jc w:val="both"/>
        <w:rPr>
          <w:rFonts w:ascii="Verdana" w:eastAsia="Calibri" w:hAnsi="Verdana" w:cs="Arial"/>
          <w:b/>
          <w:bCs/>
          <w:lang w:val="es-ES" w:eastAsia="es-ES"/>
        </w:rPr>
      </w:pPr>
    </w:p>
    <w:p w14:paraId="3B5E8861" w14:textId="57ACE99B" w:rsidR="00CA28E9" w:rsidRDefault="00CA28E9" w:rsidP="00671CFC">
      <w:pPr>
        <w:snapToGrid w:val="0"/>
        <w:spacing w:after="0" w:line="240" w:lineRule="auto"/>
        <w:jc w:val="both"/>
        <w:rPr>
          <w:rFonts w:ascii="Verdana" w:eastAsia="Calibri" w:hAnsi="Verdana" w:cs="Arial"/>
          <w:b/>
          <w:bCs/>
          <w:lang w:val="es-ES" w:eastAsia="es-ES"/>
        </w:rPr>
      </w:pPr>
      <w:r w:rsidRPr="00CA28E9">
        <w:rPr>
          <w:rFonts w:ascii="Verdana" w:eastAsia="Calibri" w:hAnsi="Verdana" w:cs="Arial"/>
          <w:b/>
          <w:bCs/>
          <w:color w:val="000000" w:themeColor="text1"/>
          <w:lang w:val="es-ES"/>
        </w:rPr>
        <w:t xml:space="preserve">DECRETO 1376 DE 1986 </w:t>
      </w:r>
      <w:r w:rsidRPr="00CA28E9">
        <w:rPr>
          <w:rFonts w:ascii="Verdana" w:eastAsia="Calibri" w:hAnsi="Verdana" w:cs="Arial"/>
          <w:b/>
          <w:bCs/>
          <w:lang w:val="es-ES" w:eastAsia="es-ES"/>
        </w:rPr>
        <w:t>– Vigencia</w:t>
      </w:r>
    </w:p>
    <w:p w14:paraId="7D8696A2" w14:textId="77777777" w:rsidR="00671CFC" w:rsidRDefault="00671CFC" w:rsidP="00671CFC">
      <w:pPr>
        <w:snapToGrid w:val="0"/>
        <w:spacing w:after="0" w:line="240" w:lineRule="auto"/>
        <w:jc w:val="both"/>
        <w:rPr>
          <w:rFonts w:ascii="Verdana" w:eastAsia="Calibri" w:hAnsi="Verdana" w:cs="Arial"/>
          <w:b/>
          <w:bCs/>
          <w:lang w:val="es-ES" w:eastAsia="es-ES"/>
        </w:rPr>
      </w:pPr>
    </w:p>
    <w:p w14:paraId="3876DA9C" w14:textId="14ABA27E" w:rsidR="00671CFC" w:rsidRPr="00671CFC" w:rsidRDefault="00671CFC" w:rsidP="00671CFC">
      <w:pPr>
        <w:snapToGrid w:val="0"/>
        <w:spacing w:line="240" w:lineRule="auto"/>
        <w:jc w:val="both"/>
        <w:rPr>
          <w:rFonts w:ascii="Verdana" w:eastAsia="Calibri" w:hAnsi="Verdana" w:cs="Arial"/>
          <w:color w:val="000000" w:themeColor="text1"/>
          <w:sz w:val="20"/>
          <w:szCs w:val="20"/>
          <w:lang w:val="es-ES"/>
        </w:rPr>
      </w:pPr>
      <w:r w:rsidRPr="00671CFC">
        <w:rPr>
          <w:rFonts w:ascii="Verdana" w:eastAsia="Calibri" w:hAnsi="Verdana" w:cs="Arial"/>
          <w:color w:val="000000" w:themeColor="text1"/>
          <w:sz w:val="20"/>
          <w:szCs w:val="20"/>
          <w:lang w:val="es-ES"/>
        </w:rPr>
        <w:t>Es importante tener en cuenta que el arrendamiento de inmuebles por parte de Entidades Estatales fue reglamentado por el artículo 83 del Decreto 2474 de 2008, el cual estableció que la entidad podía “contratar tomando como única consideración las condiciones del mercado”. De esta manera, la norma sujetó la fijación de las condiciones del contrato de arrendamiento, incluyendo el canon, a las dinámicas del mercado. Con esto, estableció una nueva regla con respecto a lo previamente regulado por el Decreto 1376 de 1986 que establecía topes porcentuales para fijar el precio del arrendamiento, según el avalúo catastral del bien inmueble. De esta forma, el Decreto 2474 de 2008 derogó tácitamente lo señalado en el Decreto 1376 de 1986, al tratarse de una norma posterior que regula de manera específica las condiciones para el arrendamiento de inmuebles por parte del Estado.</w:t>
      </w:r>
    </w:p>
    <w:p w14:paraId="1AD63120" w14:textId="77777777" w:rsidR="00671CFC" w:rsidRPr="00671CFC" w:rsidRDefault="00671CFC" w:rsidP="00671CFC">
      <w:pPr>
        <w:snapToGrid w:val="0"/>
        <w:spacing w:after="0" w:line="240" w:lineRule="auto"/>
        <w:jc w:val="both"/>
        <w:rPr>
          <w:rFonts w:ascii="Verdana" w:eastAsia="Calibri" w:hAnsi="Verdana" w:cs="Arial"/>
          <w:color w:val="000000" w:themeColor="text1"/>
          <w:sz w:val="20"/>
          <w:szCs w:val="20"/>
          <w:lang w:val="es-ES"/>
        </w:rPr>
      </w:pPr>
      <w:r w:rsidRPr="00671CFC">
        <w:rPr>
          <w:rFonts w:ascii="Verdana" w:eastAsia="Calibri" w:hAnsi="Verdana" w:cs="Arial"/>
          <w:color w:val="000000" w:themeColor="text1"/>
          <w:sz w:val="20"/>
          <w:szCs w:val="20"/>
          <w:lang w:val="es-ES"/>
        </w:rPr>
        <w:t xml:space="preserve">El Decreto 2474 de 2008 fue posteriormente derogado por el artículo 9.2 del Decreto 734 de 2012, a su vez derogado por el Decreto 1510 de 2013, norma que fue finalmente compilada en el Decreto 1082 de 2015, actualmente vigente. En este sentido, las condiciones de los contratos de arrendamiento de bienes inmuebles que adelanten las entidades sometidas al Estatuto General de Contratación de la Administración Pública se regirán por lo dispuesto en la Ley 80 de 1993, la Ley 1150 de 2007 y su el Decreto 1082 de 2015, así como por la normativa civil y comercial que resulte pertinente de manera supletiva. En particular, </w:t>
      </w:r>
      <w:r w:rsidRPr="00671CFC">
        <w:rPr>
          <w:rFonts w:ascii="Verdana" w:hAnsi="Verdana"/>
          <w:bCs/>
          <w:color w:val="000000" w:themeColor="text1"/>
          <w:sz w:val="20"/>
          <w:szCs w:val="20"/>
          <w:lang w:val="es-ES" w:eastAsia="es-ES_tradnl"/>
        </w:rPr>
        <w:t>el artículo 2.2.1.2.1.4.11 dispone que las Entidades Estatales arrendarán bienes inmuebles mediante la modalidad de selección de contratación directa, para lo cual tienen la obligación de “</w:t>
      </w:r>
      <w:r w:rsidRPr="00671CFC">
        <w:rPr>
          <w:rFonts w:ascii="Verdana" w:eastAsia="Calibri" w:hAnsi="Verdana" w:cs="Arial"/>
          <w:sz w:val="20"/>
          <w:szCs w:val="20"/>
          <w:lang w:val="es-ES"/>
        </w:rPr>
        <w:t xml:space="preserve">Verificar las </w:t>
      </w:r>
      <w:r w:rsidRPr="00671CFC">
        <w:rPr>
          <w:rFonts w:ascii="Verdana" w:eastAsia="Calibri" w:hAnsi="Verdana" w:cs="Arial"/>
          <w:i/>
          <w:iCs/>
          <w:sz w:val="20"/>
          <w:szCs w:val="20"/>
          <w:lang w:val="es-ES"/>
        </w:rPr>
        <w:t>condiciones del mercado inmobiliario</w:t>
      </w:r>
      <w:r w:rsidRPr="00671CFC">
        <w:rPr>
          <w:rFonts w:ascii="Verdana" w:eastAsia="Calibri" w:hAnsi="Verdana" w:cs="Arial"/>
          <w:sz w:val="20"/>
          <w:szCs w:val="20"/>
          <w:lang w:val="es-ES"/>
        </w:rPr>
        <w:t xml:space="preserve"> en la ciudad en la que la Entidad Estatal requiere el inmueble”.</w:t>
      </w:r>
    </w:p>
    <w:p w14:paraId="5223A326" w14:textId="77777777" w:rsidR="00671CFC" w:rsidRPr="00671CFC" w:rsidRDefault="00671CFC" w:rsidP="00671CFC">
      <w:pPr>
        <w:snapToGrid w:val="0"/>
        <w:spacing w:after="0" w:line="240" w:lineRule="auto"/>
        <w:contextualSpacing/>
        <w:jc w:val="both"/>
        <w:rPr>
          <w:rFonts w:ascii="Verdana" w:eastAsia="Calibri" w:hAnsi="Verdana" w:cs="Arial"/>
          <w:b/>
          <w:bCs/>
          <w:sz w:val="20"/>
          <w:szCs w:val="20"/>
          <w:lang w:val="es-ES" w:eastAsia="es-ES"/>
        </w:rPr>
      </w:pPr>
    </w:p>
    <w:p w14:paraId="30A169A4" w14:textId="77777777" w:rsidR="00CA28E9" w:rsidRPr="00671CFC" w:rsidRDefault="00CA28E9" w:rsidP="00671CFC">
      <w:pPr>
        <w:spacing w:after="0" w:line="240" w:lineRule="auto"/>
        <w:rPr>
          <w:rFonts w:ascii="Verdana" w:hAnsi="Verdana"/>
          <w:sz w:val="20"/>
          <w:szCs w:val="20"/>
          <w:lang w:val="es-ES"/>
        </w:rPr>
      </w:pPr>
    </w:p>
    <w:p w14:paraId="0BFA49DB" w14:textId="77777777" w:rsidR="00671CFC" w:rsidRDefault="00671CFC" w:rsidP="007B5D5A">
      <w:pPr>
        <w:spacing w:after="0"/>
        <w:rPr>
          <w:rFonts w:ascii="Verdana" w:hAnsi="Verdana"/>
          <w:lang w:val="es-ES"/>
        </w:rPr>
      </w:pPr>
    </w:p>
    <w:p w14:paraId="632DE7E5" w14:textId="77777777" w:rsidR="00671CFC" w:rsidRDefault="00671CFC" w:rsidP="007B5D5A">
      <w:pPr>
        <w:spacing w:after="0"/>
        <w:rPr>
          <w:rFonts w:ascii="Verdana" w:hAnsi="Verdana"/>
          <w:lang w:val="es-ES"/>
        </w:rPr>
      </w:pPr>
    </w:p>
    <w:p w14:paraId="1BBFADB0" w14:textId="77777777" w:rsidR="00671CFC" w:rsidRDefault="00671CFC" w:rsidP="007B5D5A">
      <w:pPr>
        <w:spacing w:after="0"/>
        <w:rPr>
          <w:rFonts w:ascii="Verdana" w:hAnsi="Verdana"/>
          <w:lang w:val="es-ES"/>
        </w:rPr>
      </w:pPr>
    </w:p>
    <w:p w14:paraId="24A8EC8F" w14:textId="77777777" w:rsidR="00671CFC" w:rsidRDefault="00671CFC" w:rsidP="007B5D5A">
      <w:pPr>
        <w:spacing w:after="0"/>
        <w:rPr>
          <w:rFonts w:ascii="Verdana" w:hAnsi="Verdana"/>
          <w:lang w:val="es-ES"/>
        </w:rPr>
      </w:pPr>
    </w:p>
    <w:p w14:paraId="1FE96F5A" w14:textId="77777777" w:rsidR="00671CFC" w:rsidRDefault="00671CFC" w:rsidP="007B5D5A">
      <w:pPr>
        <w:spacing w:after="0"/>
        <w:rPr>
          <w:rFonts w:ascii="Verdana" w:hAnsi="Verdana"/>
          <w:lang w:val="es-ES"/>
        </w:rPr>
      </w:pPr>
    </w:p>
    <w:p w14:paraId="0D4DFC85" w14:textId="77777777" w:rsidR="00671CFC" w:rsidRDefault="00671CFC" w:rsidP="007B5D5A">
      <w:pPr>
        <w:spacing w:after="0"/>
        <w:rPr>
          <w:rFonts w:ascii="Verdana" w:hAnsi="Verdana"/>
          <w:lang w:val="es-ES"/>
        </w:rPr>
      </w:pPr>
    </w:p>
    <w:p w14:paraId="5A5D31F2" w14:textId="77777777" w:rsidR="00671CFC" w:rsidRDefault="00671CFC" w:rsidP="007B5D5A">
      <w:pPr>
        <w:spacing w:after="0"/>
        <w:rPr>
          <w:rFonts w:ascii="Verdana" w:hAnsi="Verdana"/>
          <w:lang w:val="es-ES"/>
        </w:rPr>
      </w:pPr>
    </w:p>
    <w:p w14:paraId="16C71A39" w14:textId="77777777" w:rsidR="00671CFC" w:rsidRDefault="00671CFC" w:rsidP="007B5D5A">
      <w:pPr>
        <w:spacing w:after="0"/>
        <w:rPr>
          <w:rFonts w:ascii="Verdana" w:hAnsi="Verdana"/>
          <w:lang w:val="es-ES"/>
        </w:rPr>
      </w:pPr>
    </w:p>
    <w:p w14:paraId="7747F35C" w14:textId="0F6AFF0C" w:rsidR="007B5D5A" w:rsidRPr="00603690" w:rsidRDefault="007B5D5A" w:rsidP="007B5D5A">
      <w:pPr>
        <w:spacing w:after="0"/>
        <w:rPr>
          <w:rFonts w:ascii="Verdana" w:hAnsi="Verdana"/>
          <w:lang w:val="es-ES"/>
        </w:rPr>
      </w:pPr>
      <w:r w:rsidRPr="00603690">
        <w:rPr>
          <w:rFonts w:ascii="Verdana" w:hAnsi="Verdana"/>
          <w:lang w:val="es-ES"/>
        </w:rPr>
        <w:lastRenderedPageBreak/>
        <w:t xml:space="preserve">Bogotá D.C., </w:t>
      </w:r>
      <w:r w:rsidR="00CA28E9">
        <w:rPr>
          <w:rFonts w:ascii="Verdana" w:hAnsi="Verdana"/>
          <w:lang w:val="es-ES"/>
        </w:rPr>
        <w:t>24 de febrero de 2026</w:t>
      </w:r>
    </w:p>
    <w:p w14:paraId="1E4FFEF2" w14:textId="31FADC80" w:rsidR="007B5D5A" w:rsidRPr="00603690" w:rsidRDefault="00CA28E9" w:rsidP="007B5D5A">
      <w:pPr>
        <w:spacing w:after="0"/>
        <w:rPr>
          <w:rFonts w:ascii="Verdana" w:hAnsi="Verdana"/>
          <w:lang w:val="es-ES"/>
        </w:rPr>
      </w:pPr>
      <w:r>
        <w:rPr>
          <w:rFonts w:ascii="Verdana" w:eastAsia="Calibri" w:hAnsi="Verdana" w:cs="Arial"/>
          <w:b/>
          <w:bCs/>
          <w:noProof/>
          <w:color w:val="000000" w:themeColor="text1"/>
          <w:lang w:val="es-ES" w:eastAsia="es-ES"/>
        </w:rPr>
        <w:drawing>
          <wp:anchor distT="0" distB="0" distL="114300" distR="114300" simplePos="0" relativeHeight="251659264" behindDoc="0" locked="0" layoutInCell="1" allowOverlap="1" wp14:anchorId="216351C8" wp14:editId="1B1A0E18">
            <wp:simplePos x="0" y="0"/>
            <wp:positionH relativeFrom="column">
              <wp:posOffset>3034395</wp:posOffset>
            </wp:positionH>
            <wp:positionV relativeFrom="paragraph">
              <wp:posOffset>63730</wp:posOffset>
            </wp:positionV>
            <wp:extent cx="2393950" cy="709930"/>
            <wp:effectExtent l="0" t="0" r="6350" b="1270"/>
            <wp:wrapSquare wrapText="bothSides"/>
            <wp:docPr id="7596639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663961" name="Picture 759663961"/>
                    <pic:cNvPicPr/>
                  </pic:nvPicPr>
                  <pic:blipFill>
                    <a:blip r:embed="rId10">
                      <a:extLst>
                        <a:ext uri="{28A0092B-C50C-407E-A947-70E740481C1C}">
                          <a14:useLocalDpi xmlns:a14="http://schemas.microsoft.com/office/drawing/2010/main" val="0"/>
                        </a:ext>
                      </a:extLst>
                    </a:blip>
                    <a:stretch>
                      <a:fillRect/>
                    </a:stretch>
                  </pic:blipFill>
                  <pic:spPr>
                    <a:xfrm>
                      <a:off x="0" y="0"/>
                      <a:ext cx="2393950" cy="709930"/>
                    </a:xfrm>
                    <a:prstGeom prst="rect">
                      <a:avLst/>
                    </a:prstGeom>
                  </pic:spPr>
                </pic:pic>
              </a:graphicData>
            </a:graphic>
            <wp14:sizeRelH relativeFrom="page">
              <wp14:pctWidth>0</wp14:pctWidth>
            </wp14:sizeRelH>
            <wp14:sizeRelV relativeFrom="page">
              <wp14:pctHeight>0</wp14:pctHeight>
            </wp14:sizeRelV>
          </wp:anchor>
        </w:drawing>
      </w:r>
    </w:p>
    <w:p w14:paraId="7DF43A64" w14:textId="4971D8C4" w:rsidR="007B5D5A" w:rsidRPr="00603690" w:rsidRDefault="007B5D5A" w:rsidP="007B5D5A">
      <w:pPr>
        <w:spacing w:after="0" w:line="240" w:lineRule="auto"/>
        <w:rPr>
          <w:rFonts w:ascii="Verdana" w:hAnsi="Verdana"/>
          <w:lang w:val="es-ES"/>
        </w:rPr>
      </w:pPr>
      <w:bookmarkStart w:id="0" w:name="_Hlk143780582"/>
      <w:r w:rsidRPr="00603690">
        <w:rPr>
          <w:rFonts w:ascii="Verdana" w:eastAsia="Calibri" w:hAnsi="Verdana" w:cs="Arial"/>
          <w:color w:val="000000" w:themeColor="text1"/>
          <w:lang w:val="es-ES" w:eastAsia="es-ES"/>
        </w:rPr>
        <w:t>Señor</w:t>
      </w:r>
    </w:p>
    <w:p w14:paraId="1D70FC2D" w14:textId="6E54457E" w:rsidR="007B5D5A" w:rsidRPr="00603690" w:rsidRDefault="007B5D5A" w:rsidP="007B5D5A">
      <w:pPr>
        <w:spacing w:after="0"/>
        <w:rPr>
          <w:rFonts w:ascii="Verdana" w:eastAsia="Calibri" w:hAnsi="Verdana" w:cs="Arial"/>
          <w:b/>
          <w:bCs/>
          <w:color w:val="000000" w:themeColor="text1"/>
          <w:lang w:val="es-ES" w:eastAsia="es-ES"/>
        </w:rPr>
      </w:pPr>
      <w:r w:rsidRPr="00603690">
        <w:rPr>
          <w:rFonts w:ascii="Verdana" w:eastAsia="Calibri" w:hAnsi="Verdana" w:cs="Arial"/>
          <w:b/>
          <w:bCs/>
          <w:color w:val="000000" w:themeColor="text1"/>
          <w:lang w:val="es-ES" w:eastAsia="es-ES"/>
        </w:rPr>
        <w:t xml:space="preserve">Hather </w:t>
      </w:r>
      <w:proofErr w:type="spellStart"/>
      <w:r w:rsidRPr="00603690">
        <w:rPr>
          <w:rFonts w:ascii="Verdana" w:eastAsia="Calibri" w:hAnsi="Verdana" w:cs="Arial"/>
          <w:b/>
          <w:bCs/>
          <w:color w:val="000000" w:themeColor="text1"/>
          <w:lang w:val="es-ES" w:eastAsia="es-ES"/>
        </w:rPr>
        <w:t>Willian</w:t>
      </w:r>
      <w:proofErr w:type="spellEnd"/>
      <w:r w:rsidRPr="00603690">
        <w:rPr>
          <w:rFonts w:ascii="Verdana" w:eastAsia="Calibri" w:hAnsi="Verdana" w:cs="Arial"/>
          <w:b/>
          <w:bCs/>
          <w:color w:val="000000" w:themeColor="text1"/>
          <w:lang w:val="es-ES" w:eastAsia="es-ES"/>
        </w:rPr>
        <w:t xml:space="preserve"> Bohórquez Torres </w:t>
      </w:r>
    </w:p>
    <w:p w14:paraId="128708EA" w14:textId="77777777" w:rsidR="007B5D5A" w:rsidRPr="00603690" w:rsidRDefault="007B5D5A" w:rsidP="007B5D5A">
      <w:pPr>
        <w:spacing w:after="0"/>
        <w:rPr>
          <w:rFonts w:ascii="Verdana" w:eastAsia="Calibri" w:hAnsi="Verdana" w:cs="Arial"/>
          <w:color w:val="000000" w:themeColor="text1"/>
          <w:lang w:val="es-ES" w:eastAsia="es-ES"/>
        </w:rPr>
      </w:pPr>
      <w:hyperlink r:id="rId11" w:history="1">
        <w:r w:rsidRPr="00603690">
          <w:rPr>
            <w:rStyle w:val="Hipervnculo"/>
            <w:rFonts w:ascii="Verdana" w:eastAsia="Calibri" w:hAnsi="Verdana" w:cs="Arial"/>
            <w:lang w:val="es-ES" w:eastAsia="es-ES"/>
          </w:rPr>
          <w:t>hathew@gmail.com</w:t>
        </w:r>
      </w:hyperlink>
    </w:p>
    <w:p w14:paraId="616DC62F" w14:textId="77777777" w:rsidR="007B5D5A" w:rsidRPr="00603690" w:rsidRDefault="007B5D5A" w:rsidP="007B5D5A">
      <w:pPr>
        <w:spacing w:after="0"/>
        <w:rPr>
          <w:rFonts w:ascii="Verdana" w:eastAsia="Calibri" w:hAnsi="Verdana" w:cs="Arial"/>
          <w:color w:val="000000" w:themeColor="text1"/>
          <w:lang w:val="es-ES" w:eastAsia="es-ES"/>
        </w:rPr>
      </w:pPr>
      <w:r w:rsidRPr="00603690">
        <w:rPr>
          <w:rFonts w:ascii="Verdana" w:eastAsia="Calibri" w:hAnsi="Verdana" w:cs="Arial"/>
          <w:color w:val="000000" w:themeColor="text1"/>
          <w:lang w:val="es-ES" w:eastAsia="es-ES"/>
        </w:rPr>
        <w:t>Puerto Gaitán, Meta</w:t>
      </w:r>
    </w:p>
    <w:p w14:paraId="4B58D65C" w14:textId="77777777" w:rsidR="007B5D5A" w:rsidRPr="00603690" w:rsidRDefault="007B5D5A" w:rsidP="007B5D5A">
      <w:pPr>
        <w:spacing w:after="0" w:line="240" w:lineRule="auto"/>
        <w:rPr>
          <w:rFonts w:ascii="Verdana" w:eastAsia="Calibri" w:hAnsi="Verdana" w:cs="Arial"/>
          <w:b/>
          <w:bCs/>
          <w:color w:val="000000" w:themeColor="text1"/>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7B5D5A" w:rsidRPr="00603690" w14:paraId="20E71556" w14:textId="77777777" w:rsidTr="00120775">
        <w:trPr>
          <w:trHeight w:val="300"/>
        </w:trPr>
        <w:tc>
          <w:tcPr>
            <w:tcW w:w="2410" w:type="dxa"/>
          </w:tcPr>
          <w:p w14:paraId="2A2466BB" w14:textId="77777777" w:rsidR="007B5D5A" w:rsidRPr="00603690" w:rsidRDefault="007B5D5A" w:rsidP="00120775">
            <w:pPr>
              <w:ind w:left="-142"/>
              <w:jc w:val="both"/>
              <w:rPr>
                <w:rFonts w:ascii="Verdana" w:eastAsia="Calibri" w:hAnsi="Verdana" w:cs="Arial"/>
                <w:b/>
                <w:bCs/>
                <w:color w:val="000000" w:themeColor="text1"/>
                <w:lang w:val="es-ES" w:eastAsia="es-ES_tradnl"/>
              </w:rPr>
            </w:pPr>
          </w:p>
        </w:tc>
        <w:tc>
          <w:tcPr>
            <w:tcW w:w="6100" w:type="dxa"/>
          </w:tcPr>
          <w:p w14:paraId="5185EF92" w14:textId="77777777" w:rsidR="007B5D5A" w:rsidRPr="00603690" w:rsidRDefault="007B5D5A" w:rsidP="00120775">
            <w:pPr>
              <w:ind w:left="3"/>
              <w:jc w:val="both"/>
              <w:rPr>
                <w:rFonts w:ascii="Verdana" w:eastAsia="Calibri" w:hAnsi="Verdana" w:cs="Arial"/>
                <w:b/>
                <w:bCs/>
                <w:color w:val="000000" w:themeColor="text1"/>
                <w:lang w:val="es-ES" w:eastAsia="es-ES"/>
              </w:rPr>
            </w:pPr>
          </w:p>
          <w:p w14:paraId="1A449380" w14:textId="77777777" w:rsidR="007B5D5A" w:rsidRPr="00603690" w:rsidRDefault="007B5D5A" w:rsidP="00120775">
            <w:pPr>
              <w:ind w:left="3"/>
              <w:jc w:val="both"/>
              <w:rPr>
                <w:rFonts w:ascii="Verdana" w:eastAsia="Calibri" w:hAnsi="Verdana" w:cs="Arial"/>
                <w:b/>
                <w:bCs/>
                <w:color w:val="000000" w:themeColor="text1"/>
                <w:lang w:val="es-ES" w:eastAsia="es-ES"/>
              </w:rPr>
            </w:pPr>
            <w:r w:rsidRPr="00603690">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130</w:t>
            </w:r>
            <w:r w:rsidRPr="00603690">
              <w:rPr>
                <w:rFonts w:ascii="Verdana" w:eastAsia="Calibri" w:hAnsi="Verdana" w:cs="Arial"/>
                <w:b/>
                <w:bCs/>
                <w:color w:val="000000" w:themeColor="text1"/>
                <w:lang w:val="es-ES" w:eastAsia="es-ES"/>
              </w:rPr>
              <w:t xml:space="preserve"> de 2026</w:t>
            </w:r>
          </w:p>
          <w:p w14:paraId="53DB58B6" w14:textId="77777777" w:rsidR="007B5D5A" w:rsidRPr="00603690" w:rsidRDefault="007B5D5A" w:rsidP="00120775">
            <w:pPr>
              <w:ind w:left="3"/>
              <w:jc w:val="both"/>
              <w:rPr>
                <w:rFonts w:ascii="Verdana" w:eastAsia="Calibri" w:hAnsi="Verdana" w:cs="Arial"/>
                <w:b/>
                <w:bCs/>
                <w:color w:val="000000" w:themeColor="text1"/>
                <w:lang w:val="es-ES" w:eastAsia="es-ES"/>
              </w:rPr>
            </w:pPr>
          </w:p>
        </w:tc>
      </w:tr>
      <w:tr w:rsidR="007B5D5A" w:rsidRPr="00603690" w14:paraId="00C4FECF" w14:textId="77777777" w:rsidTr="00120775">
        <w:trPr>
          <w:trHeight w:val="300"/>
        </w:trPr>
        <w:tc>
          <w:tcPr>
            <w:tcW w:w="2410" w:type="dxa"/>
          </w:tcPr>
          <w:p w14:paraId="5C2A4833" w14:textId="77777777" w:rsidR="007B5D5A" w:rsidRPr="00603690" w:rsidRDefault="007B5D5A" w:rsidP="00120775">
            <w:pPr>
              <w:ind w:left="424" w:firstLine="142"/>
              <w:jc w:val="both"/>
              <w:rPr>
                <w:rFonts w:ascii="Verdana" w:eastAsia="Calibri" w:hAnsi="Verdana" w:cs="Arial"/>
                <w:color w:val="000000" w:themeColor="text1"/>
                <w:lang w:val="es-ES" w:eastAsia="es-ES_tradnl"/>
              </w:rPr>
            </w:pPr>
            <w:r w:rsidRPr="00603690">
              <w:rPr>
                <w:rFonts w:ascii="Verdana" w:eastAsia="Calibri" w:hAnsi="Verdana" w:cs="Arial"/>
                <w:b/>
                <w:color w:val="000000" w:themeColor="text1"/>
                <w:lang w:val="es-ES" w:eastAsia="es-ES_tradnl"/>
              </w:rPr>
              <w:t>Temas:</w:t>
            </w:r>
            <w:r w:rsidRPr="00603690">
              <w:rPr>
                <w:rFonts w:ascii="Verdana" w:eastAsia="Calibri" w:hAnsi="Verdana" w:cs="Arial"/>
                <w:color w:val="000000" w:themeColor="text1"/>
                <w:lang w:val="es-ES" w:eastAsia="es-ES_tradnl"/>
              </w:rPr>
              <w:t xml:space="preserve">                  </w:t>
            </w:r>
          </w:p>
        </w:tc>
        <w:tc>
          <w:tcPr>
            <w:tcW w:w="6100" w:type="dxa"/>
          </w:tcPr>
          <w:p w14:paraId="5D20C310" w14:textId="77777777" w:rsidR="007B5D5A" w:rsidRPr="000D433A" w:rsidRDefault="007B5D5A" w:rsidP="00120775">
            <w:pPr>
              <w:jc w:val="both"/>
              <w:rPr>
                <w:rFonts w:ascii="Verdana" w:eastAsia="Calibri" w:hAnsi="Verdana" w:cs="Arial"/>
                <w:lang w:val="es-ES" w:eastAsia="es-ES"/>
              </w:rPr>
            </w:pPr>
            <w:r w:rsidRPr="00603690">
              <w:rPr>
                <w:rFonts w:ascii="Verdana" w:eastAsia="Calibri" w:hAnsi="Verdana" w:cs="Arial"/>
                <w:lang w:val="es-ES" w:eastAsia="es-ES"/>
              </w:rPr>
              <w:t>CONTRATO – Definición / CONTRATO ESTATAL – Definición / CONTRATO DE ARRENDAMIENTO – Contrato estatal – Regulación / CONTRATO DE ARRENDAMIENTO – Concepto – Elementos</w:t>
            </w:r>
            <w:r>
              <w:rPr>
                <w:rFonts w:ascii="Verdana" w:eastAsia="Calibri" w:hAnsi="Verdana" w:cs="Arial"/>
                <w:lang w:val="es-ES" w:eastAsia="es-ES"/>
              </w:rPr>
              <w:t xml:space="preserve"> / </w:t>
            </w:r>
            <w:r w:rsidRPr="00603690">
              <w:rPr>
                <w:rFonts w:ascii="Verdana" w:eastAsia="Calibri" w:hAnsi="Verdana" w:cs="Arial"/>
                <w:color w:val="000000" w:themeColor="text1"/>
                <w:lang w:val="es-ES"/>
              </w:rPr>
              <w:t>DECRETO 1376 DE 1986</w:t>
            </w:r>
            <w:r>
              <w:rPr>
                <w:rFonts w:ascii="Verdana" w:eastAsia="Calibri" w:hAnsi="Verdana" w:cs="Arial"/>
                <w:color w:val="000000" w:themeColor="text1"/>
                <w:lang w:val="es-ES"/>
              </w:rPr>
              <w:t xml:space="preserve"> </w:t>
            </w:r>
            <w:r w:rsidRPr="00603690">
              <w:rPr>
                <w:rFonts w:ascii="Verdana" w:eastAsia="Calibri" w:hAnsi="Verdana" w:cs="Arial"/>
                <w:lang w:val="es-ES" w:eastAsia="es-ES"/>
              </w:rPr>
              <w:t>–</w:t>
            </w:r>
            <w:r>
              <w:rPr>
                <w:rFonts w:ascii="Verdana" w:eastAsia="Calibri" w:hAnsi="Verdana" w:cs="Arial"/>
                <w:lang w:val="es-ES" w:eastAsia="es-ES"/>
              </w:rPr>
              <w:t xml:space="preserve"> Vigencia</w:t>
            </w:r>
          </w:p>
          <w:p w14:paraId="4CE8244A" w14:textId="77777777" w:rsidR="007B5D5A" w:rsidRPr="00603690" w:rsidRDefault="007B5D5A" w:rsidP="00120775">
            <w:pPr>
              <w:spacing w:line="276" w:lineRule="auto"/>
              <w:jc w:val="both"/>
              <w:rPr>
                <w:rFonts w:ascii="Verdana" w:eastAsia="Calibri" w:hAnsi="Verdana" w:cs="Arial"/>
                <w:color w:val="000000" w:themeColor="text1"/>
                <w:lang w:val="es-ES" w:eastAsia="es-ES"/>
              </w:rPr>
            </w:pPr>
          </w:p>
        </w:tc>
      </w:tr>
      <w:tr w:rsidR="007B5D5A" w:rsidRPr="00603690" w14:paraId="51A526B2" w14:textId="77777777" w:rsidTr="00120775">
        <w:trPr>
          <w:trHeight w:val="364"/>
        </w:trPr>
        <w:tc>
          <w:tcPr>
            <w:tcW w:w="2410" w:type="dxa"/>
          </w:tcPr>
          <w:p w14:paraId="206FE919" w14:textId="77777777" w:rsidR="007B5D5A" w:rsidRPr="00603690" w:rsidRDefault="007B5D5A" w:rsidP="00120775">
            <w:pPr>
              <w:ind w:left="561"/>
              <w:jc w:val="both"/>
              <w:rPr>
                <w:rFonts w:ascii="Verdana" w:eastAsia="Calibri" w:hAnsi="Verdana" w:cs="Arial"/>
                <w:b/>
                <w:bCs/>
                <w:color w:val="000000" w:themeColor="text1"/>
                <w:lang w:val="es-ES" w:eastAsia="es-ES"/>
              </w:rPr>
            </w:pPr>
            <w:r w:rsidRPr="00603690">
              <w:rPr>
                <w:rFonts w:ascii="Verdana" w:eastAsia="Calibri" w:hAnsi="Verdana" w:cs="Arial"/>
                <w:b/>
                <w:bCs/>
                <w:color w:val="000000" w:themeColor="text1"/>
                <w:lang w:val="es-ES" w:eastAsia="es-ES"/>
              </w:rPr>
              <w:t xml:space="preserve">Radicación:              </w:t>
            </w:r>
          </w:p>
        </w:tc>
        <w:tc>
          <w:tcPr>
            <w:tcW w:w="6100" w:type="dxa"/>
          </w:tcPr>
          <w:p w14:paraId="004E29C5" w14:textId="77777777" w:rsidR="007B5D5A" w:rsidRPr="00603690" w:rsidRDefault="007B5D5A" w:rsidP="00120775">
            <w:pPr>
              <w:ind w:left="3"/>
              <w:jc w:val="both"/>
              <w:rPr>
                <w:rFonts w:ascii="Verdana" w:eastAsia="Calibri" w:hAnsi="Verdana" w:cs="Arial"/>
                <w:color w:val="000000" w:themeColor="text1"/>
                <w:lang w:val="es-ES" w:eastAsia="es-ES"/>
              </w:rPr>
            </w:pPr>
            <w:r w:rsidRPr="00603690">
              <w:rPr>
                <w:rFonts w:ascii="Verdana" w:eastAsia="Calibri" w:hAnsi="Verdana" w:cs="Arial"/>
                <w:color w:val="000000" w:themeColor="text1"/>
                <w:lang w:val="es-ES" w:eastAsia="es-ES"/>
              </w:rPr>
              <w:t xml:space="preserve">Respuesta a consulta con radicado No. 1_2026_01_30_001127 </w:t>
            </w:r>
          </w:p>
        </w:tc>
      </w:tr>
    </w:tbl>
    <w:p w14:paraId="47CA5EBB" w14:textId="77777777" w:rsidR="007B5D5A" w:rsidRPr="00603690" w:rsidRDefault="007B5D5A" w:rsidP="007B5D5A">
      <w:pPr>
        <w:spacing w:after="0" w:line="276" w:lineRule="auto"/>
        <w:jc w:val="both"/>
        <w:rPr>
          <w:rFonts w:ascii="Verdana" w:eastAsia="Calibri" w:hAnsi="Verdana" w:cs="Arial"/>
          <w:color w:val="000000" w:themeColor="text1"/>
          <w:lang w:val="es-ES" w:eastAsia="es-ES"/>
        </w:rPr>
      </w:pPr>
    </w:p>
    <w:p w14:paraId="39A1173B" w14:textId="77777777" w:rsidR="007B5D5A" w:rsidRPr="00603690" w:rsidRDefault="007B5D5A" w:rsidP="007B5D5A">
      <w:pPr>
        <w:spacing w:after="0" w:line="276" w:lineRule="auto"/>
        <w:jc w:val="both"/>
        <w:rPr>
          <w:rFonts w:ascii="Verdana" w:eastAsia="Calibri" w:hAnsi="Verdana" w:cs="Arial"/>
          <w:color w:val="000000" w:themeColor="text1"/>
          <w:lang w:val="es-ES" w:eastAsia="es-ES"/>
        </w:rPr>
      </w:pPr>
      <w:r w:rsidRPr="00603690">
        <w:rPr>
          <w:rFonts w:ascii="Verdana" w:eastAsia="Calibri" w:hAnsi="Verdana" w:cs="Arial"/>
          <w:color w:val="000000" w:themeColor="text1"/>
          <w:lang w:val="es-ES" w:eastAsia="es-ES"/>
        </w:rPr>
        <w:t xml:space="preserve">Estimado señor Bohórquez: </w:t>
      </w:r>
    </w:p>
    <w:p w14:paraId="74051077" w14:textId="77777777" w:rsidR="007B5D5A" w:rsidRPr="00603690" w:rsidRDefault="007B5D5A" w:rsidP="007B5D5A">
      <w:pPr>
        <w:tabs>
          <w:tab w:val="left" w:pos="3768"/>
        </w:tabs>
        <w:spacing w:after="0" w:line="276" w:lineRule="auto"/>
        <w:jc w:val="both"/>
        <w:rPr>
          <w:rFonts w:ascii="Verdana" w:eastAsia="Calibri" w:hAnsi="Verdana" w:cs="Arial"/>
          <w:color w:val="000000" w:themeColor="text1"/>
          <w:lang w:val="es-ES" w:eastAsia="es-ES"/>
        </w:rPr>
      </w:pPr>
      <w:r w:rsidRPr="00603690">
        <w:rPr>
          <w:rFonts w:ascii="Verdana" w:eastAsia="Calibri" w:hAnsi="Verdana" w:cs="Arial"/>
          <w:color w:val="000000" w:themeColor="text1"/>
          <w:lang w:val="es-ES" w:eastAsia="es-ES"/>
        </w:rPr>
        <w:tab/>
      </w:r>
    </w:p>
    <w:p w14:paraId="0155A3DD" w14:textId="77777777" w:rsidR="007B5D5A" w:rsidRPr="00603690" w:rsidRDefault="007B5D5A" w:rsidP="007B5D5A">
      <w:pPr>
        <w:spacing w:after="0" w:line="276" w:lineRule="auto"/>
        <w:jc w:val="both"/>
        <w:rPr>
          <w:rFonts w:ascii="Verdana" w:eastAsia="Calibri" w:hAnsi="Verdana" w:cs="Arial"/>
          <w:color w:val="000000" w:themeColor="text1"/>
          <w:lang w:val="es-ES" w:eastAsia="es-ES"/>
        </w:rPr>
      </w:pPr>
      <w:r w:rsidRPr="00603690">
        <w:rPr>
          <w:rFonts w:ascii="Verdana" w:eastAsia="Calibri" w:hAnsi="Verdana" w:cs="Arial"/>
          <w:color w:val="000000" w:themeColor="text1"/>
          <w:lang w:val="es-ES" w:eastAsia="es-ES"/>
        </w:rPr>
        <w:t>En ejercicio de la competencia otorgada por los artículos 3, numeral 5º, y 11, numeral 8º, del Decreto Ley 4170 de 2011,</w:t>
      </w:r>
      <w:r w:rsidRPr="00603690">
        <w:rPr>
          <w:rFonts w:ascii="Verdana" w:eastAsia="Arial MT" w:hAnsi="Verdana" w:cs="Arial MT"/>
          <w:color w:val="000000" w:themeColor="text1"/>
          <w:lang w:val="es-ES" w:eastAsia="es-ES"/>
        </w:rPr>
        <w:t xml:space="preserve"> </w:t>
      </w:r>
      <w:r w:rsidRPr="00603690">
        <w:rPr>
          <w:rFonts w:ascii="Verdana" w:hAnsi="Verdana" w:cs="Arial"/>
          <w:color w:val="000000" w:themeColor="text1"/>
          <w:lang w:val="es-ES"/>
        </w:rPr>
        <w:t xml:space="preserve">así como lo establecido en el artículo 4 de la Resolución 1707 de 2018 expedida por esta Entidad, </w:t>
      </w:r>
      <w:r w:rsidRPr="00603690">
        <w:rPr>
          <w:rFonts w:ascii="Verdana" w:eastAsia="Calibri" w:hAnsi="Verdana" w:cs="Arial"/>
          <w:color w:val="000000" w:themeColor="text1"/>
          <w:lang w:val="es-ES" w:eastAsia="es-ES"/>
        </w:rPr>
        <w:t xml:space="preserve">la Agencia Nacional de Contratación Pública – Colombia Compra Eficiente– responde su solicitud de consulta remitida por el Departamento Administrativo de la Función Pública el 30 de enero de 2026, en la cual manifiesta lo siguiente: </w:t>
      </w:r>
    </w:p>
    <w:p w14:paraId="4D7C07DC" w14:textId="77777777" w:rsidR="007B5D5A" w:rsidRPr="00603690" w:rsidRDefault="007B5D5A" w:rsidP="007B5D5A">
      <w:pPr>
        <w:tabs>
          <w:tab w:val="left" w:pos="142"/>
          <w:tab w:val="left" w:pos="284"/>
        </w:tabs>
        <w:spacing w:after="0" w:line="276" w:lineRule="auto"/>
        <w:contextualSpacing/>
        <w:jc w:val="both"/>
        <w:rPr>
          <w:rFonts w:ascii="Verdana" w:eastAsia="Century Gothic" w:hAnsi="Verdana" w:cs="Century Gothic"/>
          <w:b/>
          <w:color w:val="000000" w:themeColor="text1"/>
          <w:sz w:val="20"/>
          <w:szCs w:val="20"/>
          <w:lang w:val="es-ES"/>
        </w:rPr>
      </w:pPr>
    </w:p>
    <w:p w14:paraId="2A467411" w14:textId="77777777" w:rsidR="007B5D5A" w:rsidRPr="00603690" w:rsidRDefault="007B5D5A" w:rsidP="007B5D5A">
      <w:pPr>
        <w:spacing w:after="0" w:line="240" w:lineRule="auto"/>
        <w:ind w:left="709" w:right="709"/>
        <w:jc w:val="both"/>
        <w:rPr>
          <w:rFonts w:ascii="Verdana" w:eastAsia="Century Gothic" w:hAnsi="Verdana" w:cs="Century Gothic"/>
          <w:i/>
          <w:color w:val="000000" w:themeColor="text1"/>
          <w:sz w:val="20"/>
          <w:szCs w:val="20"/>
          <w:lang w:val="es-ES"/>
        </w:rPr>
      </w:pPr>
      <w:r w:rsidRPr="00603690">
        <w:rPr>
          <w:rFonts w:ascii="Verdana" w:eastAsia="Century Gothic" w:hAnsi="Verdana" w:cs="Century Gothic"/>
          <w:i/>
          <w:color w:val="000000" w:themeColor="text1"/>
          <w:sz w:val="20"/>
          <w:szCs w:val="20"/>
          <w:lang w:val="es-ES"/>
        </w:rPr>
        <w:t xml:space="preserve">“se solicita al Departamento Administrativo de la </w:t>
      </w:r>
      <w:proofErr w:type="spellStart"/>
      <w:r w:rsidRPr="00603690">
        <w:rPr>
          <w:rFonts w:ascii="Verdana" w:eastAsia="Century Gothic" w:hAnsi="Verdana" w:cs="Century Gothic"/>
          <w:i/>
          <w:color w:val="000000" w:themeColor="text1"/>
          <w:sz w:val="20"/>
          <w:szCs w:val="20"/>
          <w:lang w:val="es-ES"/>
        </w:rPr>
        <w:t>Función</w:t>
      </w:r>
      <w:proofErr w:type="spellEnd"/>
      <w:r w:rsidRPr="00603690">
        <w:rPr>
          <w:rFonts w:ascii="Verdana" w:eastAsia="Century Gothic" w:hAnsi="Verdana" w:cs="Century Gothic"/>
          <w:i/>
          <w:color w:val="000000" w:themeColor="text1"/>
          <w:sz w:val="20"/>
          <w:szCs w:val="20"/>
          <w:lang w:val="es-ES"/>
        </w:rPr>
        <w:t xml:space="preserve"> </w:t>
      </w:r>
      <w:proofErr w:type="spellStart"/>
      <w:r w:rsidRPr="00603690">
        <w:rPr>
          <w:rFonts w:ascii="Verdana" w:eastAsia="Century Gothic" w:hAnsi="Verdana" w:cs="Century Gothic"/>
          <w:i/>
          <w:color w:val="000000" w:themeColor="text1"/>
          <w:sz w:val="20"/>
          <w:szCs w:val="20"/>
          <w:lang w:val="es-ES"/>
        </w:rPr>
        <w:t>Pública</w:t>
      </w:r>
      <w:proofErr w:type="spellEnd"/>
      <w:r w:rsidRPr="00603690">
        <w:rPr>
          <w:rFonts w:ascii="Verdana" w:eastAsia="Century Gothic" w:hAnsi="Verdana" w:cs="Century Gothic"/>
          <w:i/>
          <w:color w:val="000000" w:themeColor="text1"/>
          <w:sz w:val="20"/>
          <w:szCs w:val="20"/>
          <w:lang w:val="es-ES"/>
        </w:rPr>
        <w:t xml:space="preserve"> emitir un pronunciamiento oficial sobre la vigencia y aplicabilidad del Decreto 1376 de 1986 en </w:t>
      </w:r>
      <w:proofErr w:type="spellStart"/>
      <w:r w:rsidRPr="00603690">
        <w:rPr>
          <w:rFonts w:ascii="Verdana" w:eastAsia="Century Gothic" w:hAnsi="Verdana" w:cs="Century Gothic"/>
          <w:i/>
          <w:color w:val="000000" w:themeColor="text1"/>
          <w:sz w:val="20"/>
          <w:szCs w:val="20"/>
          <w:lang w:val="es-ES"/>
        </w:rPr>
        <w:t>relación</w:t>
      </w:r>
      <w:proofErr w:type="spellEnd"/>
      <w:r w:rsidRPr="00603690">
        <w:rPr>
          <w:rFonts w:ascii="Verdana" w:eastAsia="Century Gothic" w:hAnsi="Verdana" w:cs="Century Gothic"/>
          <w:i/>
          <w:color w:val="000000" w:themeColor="text1"/>
          <w:sz w:val="20"/>
          <w:szCs w:val="20"/>
          <w:lang w:val="es-ES"/>
        </w:rPr>
        <w:t xml:space="preserve"> con los contratos de arrendamiento celebrados por entidades </w:t>
      </w:r>
      <w:proofErr w:type="spellStart"/>
      <w:r w:rsidRPr="00603690">
        <w:rPr>
          <w:rFonts w:ascii="Verdana" w:eastAsia="Century Gothic" w:hAnsi="Verdana" w:cs="Century Gothic"/>
          <w:i/>
          <w:color w:val="000000" w:themeColor="text1"/>
          <w:sz w:val="20"/>
          <w:szCs w:val="20"/>
          <w:lang w:val="es-ES"/>
        </w:rPr>
        <w:t>públicas</w:t>
      </w:r>
      <w:proofErr w:type="spellEnd"/>
      <w:r w:rsidRPr="00603690">
        <w:rPr>
          <w:rFonts w:ascii="Verdana" w:eastAsia="Century Gothic" w:hAnsi="Verdana" w:cs="Century Gothic"/>
          <w:i/>
          <w:color w:val="000000" w:themeColor="text1"/>
          <w:sz w:val="20"/>
          <w:szCs w:val="20"/>
          <w:lang w:val="es-ES"/>
        </w:rPr>
        <w:t xml:space="preserve">. Esta consulta surge de la necesidad institucional de establecer con certeza si dicho decreto </w:t>
      </w:r>
      <w:proofErr w:type="spellStart"/>
      <w:r w:rsidRPr="00603690">
        <w:rPr>
          <w:rFonts w:ascii="Verdana" w:eastAsia="Century Gothic" w:hAnsi="Verdana" w:cs="Century Gothic"/>
          <w:i/>
          <w:color w:val="000000" w:themeColor="text1"/>
          <w:sz w:val="20"/>
          <w:szCs w:val="20"/>
          <w:lang w:val="es-ES"/>
        </w:rPr>
        <w:t>continúa</w:t>
      </w:r>
      <w:proofErr w:type="spellEnd"/>
      <w:r w:rsidRPr="00603690">
        <w:rPr>
          <w:rFonts w:ascii="Verdana" w:eastAsia="Century Gothic" w:hAnsi="Verdana" w:cs="Century Gothic"/>
          <w:i/>
          <w:color w:val="000000" w:themeColor="text1"/>
          <w:sz w:val="20"/>
          <w:szCs w:val="20"/>
          <w:lang w:val="es-ES"/>
        </w:rPr>
        <w:t xml:space="preserve"> produciendo efectos </w:t>
      </w:r>
      <w:proofErr w:type="spellStart"/>
      <w:r w:rsidRPr="00603690">
        <w:rPr>
          <w:rFonts w:ascii="Verdana" w:eastAsia="Century Gothic" w:hAnsi="Verdana" w:cs="Century Gothic"/>
          <w:i/>
          <w:color w:val="000000" w:themeColor="text1"/>
          <w:sz w:val="20"/>
          <w:szCs w:val="20"/>
          <w:lang w:val="es-ES"/>
        </w:rPr>
        <w:t>jurídicos</w:t>
      </w:r>
      <w:proofErr w:type="spellEnd"/>
      <w:r w:rsidRPr="00603690">
        <w:rPr>
          <w:rFonts w:ascii="Verdana" w:eastAsia="Century Gothic" w:hAnsi="Verdana" w:cs="Century Gothic"/>
          <w:i/>
          <w:color w:val="000000" w:themeColor="text1"/>
          <w:sz w:val="20"/>
          <w:szCs w:val="20"/>
          <w:lang w:val="es-ES"/>
        </w:rPr>
        <w:t xml:space="preserve"> o si, conforme al Concepto 122634 del 22 de octubre de 2009 y otros pronunciamientos administrativos posteriores emitidos por el entonces Ministerio de Ambiente, Vivienda y Desarrollo Territorial y el Ministerio de Vivienda, se encuentra derogado </w:t>
      </w:r>
      <w:proofErr w:type="spellStart"/>
      <w:r w:rsidRPr="00603690">
        <w:rPr>
          <w:rFonts w:ascii="Verdana" w:eastAsia="Century Gothic" w:hAnsi="Verdana" w:cs="Century Gothic"/>
          <w:i/>
          <w:color w:val="000000" w:themeColor="text1"/>
          <w:sz w:val="20"/>
          <w:szCs w:val="20"/>
          <w:lang w:val="es-ES"/>
        </w:rPr>
        <w:t>tácitamente</w:t>
      </w:r>
      <w:proofErr w:type="spellEnd"/>
      <w:r w:rsidRPr="00603690">
        <w:rPr>
          <w:rFonts w:ascii="Verdana" w:eastAsia="Century Gothic" w:hAnsi="Verdana" w:cs="Century Gothic"/>
          <w:i/>
          <w:color w:val="000000" w:themeColor="text1"/>
          <w:sz w:val="20"/>
          <w:szCs w:val="20"/>
          <w:lang w:val="es-ES"/>
        </w:rPr>
        <w:t xml:space="preserve"> por la normativa contractual vigente, especialmente por la Ley 80 de 1993, la Ley 1150 de 2007 y sus decretos reglamentarios. </w:t>
      </w:r>
    </w:p>
    <w:p w14:paraId="6BDF79C1" w14:textId="77777777" w:rsidR="007B5D5A" w:rsidRPr="00603690" w:rsidRDefault="007B5D5A" w:rsidP="007B5D5A">
      <w:pPr>
        <w:spacing w:after="0" w:line="240" w:lineRule="auto"/>
        <w:ind w:left="709" w:right="709"/>
        <w:jc w:val="both"/>
        <w:rPr>
          <w:rFonts w:ascii="Verdana" w:eastAsia="Century Gothic" w:hAnsi="Verdana" w:cs="Century Gothic"/>
          <w:i/>
          <w:color w:val="000000" w:themeColor="text1"/>
          <w:sz w:val="20"/>
          <w:szCs w:val="20"/>
          <w:lang w:val="es-ES"/>
        </w:rPr>
      </w:pPr>
    </w:p>
    <w:p w14:paraId="774EC930" w14:textId="77777777" w:rsidR="007B5D5A" w:rsidRPr="00603690" w:rsidRDefault="007B5D5A" w:rsidP="007B5D5A">
      <w:pPr>
        <w:spacing w:after="0" w:line="240" w:lineRule="auto"/>
        <w:ind w:left="709" w:right="709"/>
        <w:jc w:val="both"/>
        <w:rPr>
          <w:rFonts w:ascii="Verdana" w:eastAsia="Century Gothic" w:hAnsi="Verdana" w:cs="Century Gothic"/>
          <w:i/>
          <w:color w:val="000000" w:themeColor="text1"/>
          <w:sz w:val="20"/>
          <w:szCs w:val="20"/>
          <w:lang w:val="es-ES"/>
        </w:rPr>
      </w:pPr>
      <w:r w:rsidRPr="00603690">
        <w:rPr>
          <w:rFonts w:ascii="Verdana" w:eastAsia="Century Gothic" w:hAnsi="Verdana" w:cs="Century Gothic"/>
          <w:i/>
          <w:color w:val="000000" w:themeColor="text1"/>
          <w:sz w:val="20"/>
          <w:szCs w:val="20"/>
          <w:lang w:val="es-ES"/>
        </w:rPr>
        <w:lastRenderedPageBreak/>
        <w:t xml:space="preserve">La </w:t>
      </w:r>
      <w:proofErr w:type="spellStart"/>
      <w:r w:rsidRPr="00603690">
        <w:rPr>
          <w:rFonts w:ascii="Verdana" w:eastAsia="Century Gothic" w:hAnsi="Verdana" w:cs="Century Gothic"/>
          <w:i/>
          <w:color w:val="000000" w:themeColor="text1"/>
          <w:sz w:val="20"/>
          <w:szCs w:val="20"/>
          <w:lang w:val="es-ES"/>
        </w:rPr>
        <w:t>precisión</w:t>
      </w:r>
      <w:proofErr w:type="spellEnd"/>
      <w:r w:rsidRPr="00603690">
        <w:rPr>
          <w:rFonts w:ascii="Verdana" w:eastAsia="Century Gothic" w:hAnsi="Verdana" w:cs="Century Gothic"/>
          <w:i/>
          <w:color w:val="000000" w:themeColor="text1"/>
          <w:sz w:val="20"/>
          <w:szCs w:val="20"/>
          <w:lang w:val="es-ES"/>
        </w:rPr>
        <w:t xml:space="preserve"> solicitada es fundamental para determinar si las entidades </w:t>
      </w:r>
      <w:proofErr w:type="spellStart"/>
      <w:r w:rsidRPr="00603690">
        <w:rPr>
          <w:rFonts w:ascii="Verdana" w:eastAsia="Century Gothic" w:hAnsi="Verdana" w:cs="Century Gothic"/>
          <w:i/>
          <w:color w:val="000000" w:themeColor="text1"/>
          <w:sz w:val="20"/>
          <w:szCs w:val="20"/>
          <w:lang w:val="es-ES"/>
        </w:rPr>
        <w:t>públicas</w:t>
      </w:r>
      <w:proofErr w:type="spellEnd"/>
      <w:r w:rsidRPr="00603690">
        <w:rPr>
          <w:rFonts w:ascii="Verdana" w:eastAsia="Century Gothic" w:hAnsi="Verdana" w:cs="Century Gothic"/>
          <w:i/>
          <w:color w:val="000000" w:themeColor="text1"/>
          <w:sz w:val="20"/>
          <w:szCs w:val="20"/>
          <w:lang w:val="es-ES"/>
        </w:rPr>
        <w:t xml:space="preserve"> </w:t>
      </w:r>
      <w:proofErr w:type="spellStart"/>
      <w:r w:rsidRPr="00603690">
        <w:rPr>
          <w:rFonts w:ascii="Verdana" w:eastAsia="Century Gothic" w:hAnsi="Verdana" w:cs="Century Gothic"/>
          <w:i/>
          <w:color w:val="000000" w:themeColor="text1"/>
          <w:sz w:val="20"/>
          <w:szCs w:val="20"/>
          <w:lang w:val="es-ES"/>
        </w:rPr>
        <w:t>están</w:t>
      </w:r>
      <w:proofErr w:type="spellEnd"/>
      <w:r w:rsidRPr="00603690">
        <w:rPr>
          <w:rFonts w:ascii="Verdana" w:eastAsia="Century Gothic" w:hAnsi="Verdana" w:cs="Century Gothic"/>
          <w:i/>
          <w:color w:val="000000" w:themeColor="text1"/>
          <w:sz w:val="20"/>
          <w:szCs w:val="20"/>
          <w:lang w:val="es-ES"/>
        </w:rPr>
        <w:t xml:space="preserve"> sujetas a </w:t>
      </w:r>
      <w:proofErr w:type="spellStart"/>
      <w:r w:rsidRPr="00603690">
        <w:rPr>
          <w:rFonts w:ascii="Verdana" w:eastAsia="Century Gothic" w:hAnsi="Verdana" w:cs="Century Gothic"/>
          <w:i/>
          <w:color w:val="000000" w:themeColor="text1"/>
          <w:sz w:val="20"/>
          <w:szCs w:val="20"/>
          <w:lang w:val="es-ES"/>
        </w:rPr>
        <w:t>límites</w:t>
      </w:r>
      <w:proofErr w:type="spellEnd"/>
      <w:r w:rsidRPr="00603690">
        <w:rPr>
          <w:rFonts w:ascii="Verdana" w:eastAsia="Century Gothic" w:hAnsi="Verdana" w:cs="Century Gothic"/>
          <w:i/>
          <w:color w:val="000000" w:themeColor="text1"/>
          <w:sz w:val="20"/>
          <w:szCs w:val="20"/>
          <w:lang w:val="es-ES"/>
        </w:rPr>
        <w:t xml:space="preserve"> porcentuales en la </w:t>
      </w:r>
      <w:proofErr w:type="spellStart"/>
      <w:r w:rsidRPr="00603690">
        <w:rPr>
          <w:rFonts w:ascii="Verdana" w:eastAsia="Century Gothic" w:hAnsi="Verdana" w:cs="Century Gothic"/>
          <w:i/>
          <w:color w:val="000000" w:themeColor="text1"/>
          <w:sz w:val="20"/>
          <w:szCs w:val="20"/>
          <w:lang w:val="es-ES"/>
        </w:rPr>
        <w:t>fijación</w:t>
      </w:r>
      <w:proofErr w:type="spellEnd"/>
      <w:r w:rsidRPr="00603690">
        <w:rPr>
          <w:rFonts w:ascii="Verdana" w:eastAsia="Century Gothic" w:hAnsi="Verdana" w:cs="Century Gothic"/>
          <w:i/>
          <w:color w:val="000000" w:themeColor="text1"/>
          <w:sz w:val="20"/>
          <w:szCs w:val="20"/>
          <w:lang w:val="es-ES"/>
        </w:rPr>
        <w:t xml:space="preserve"> del canon de arrendamiento o si, por el contrario, estos contratos deben regirse exclusivamente por los principios de autonomía de la voluntad, razonabilidad </w:t>
      </w:r>
      <w:proofErr w:type="spellStart"/>
      <w:r w:rsidRPr="00603690">
        <w:rPr>
          <w:rFonts w:ascii="Verdana" w:eastAsia="Century Gothic" w:hAnsi="Verdana" w:cs="Century Gothic"/>
          <w:i/>
          <w:color w:val="000000" w:themeColor="text1"/>
          <w:sz w:val="20"/>
          <w:szCs w:val="20"/>
          <w:lang w:val="es-ES"/>
        </w:rPr>
        <w:t>económica</w:t>
      </w:r>
      <w:proofErr w:type="spellEnd"/>
      <w:r w:rsidRPr="00603690">
        <w:rPr>
          <w:rFonts w:ascii="Verdana" w:eastAsia="Century Gothic" w:hAnsi="Verdana" w:cs="Century Gothic"/>
          <w:i/>
          <w:color w:val="000000" w:themeColor="text1"/>
          <w:sz w:val="20"/>
          <w:szCs w:val="20"/>
          <w:lang w:val="es-ES"/>
        </w:rPr>
        <w:t xml:space="preserve"> y condiciones del mercado, conforme al </w:t>
      </w:r>
      <w:proofErr w:type="spellStart"/>
      <w:r w:rsidRPr="00603690">
        <w:rPr>
          <w:rFonts w:ascii="Verdana" w:eastAsia="Century Gothic" w:hAnsi="Verdana" w:cs="Century Gothic"/>
          <w:i/>
          <w:color w:val="000000" w:themeColor="text1"/>
          <w:sz w:val="20"/>
          <w:szCs w:val="20"/>
          <w:lang w:val="es-ES"/>
        </w:rPr>
        <w:t>Código</w:t>
      </w:r>
      <w:proofErr w:type="spellEnd"/>
      <w:r w:rsidRPr="00603690">
        <w:rPr>
          <w:rFonts w:ascii="Verdana" w:eastAsia="Century Gothic" w:hAnsi="Verdana" w:cs="Century Gothic"/>
          <w:i/>
          <w:color w:val="000000" w:themeColor="text1"/>
          <w:sz w:val="20"/>
          <w:szCs w:val="20"/>
          <w:lang w:val="es-ES"/>
        </w:rPr>
        <w:t xml:space="preserve"> Civil y al </w:t>
      </w:r>
      <w:proofErr w:type="spellStart"/>
      <w:r w:rsidRPr="00603690">
        <w:rPr>
          <w:rFonts w:ascii="Verdana" w:eastAsia="Century Gothic" w:hAnsi="Verdana" w:cs="Century Gothic"/>
          <w:i/>
          <w:color w:val="000000" w:themeColor="text1"/>
          <w:sz w:val="20"/>
          <w:szCs w:val="20"/>
          <w:lang w:val="es-ES"/>
        </w:rPr>
        <w:t>Código</w:t>
      </w:r>
      <w:proofErr w:type="spellEnd"/>
      <w:r w:rsidRPr="00603690">
        <w:rPr>
          <w:rFonts w:ascii="Verdana" w:eastAsia="Century Gothic" w:hAnsi="Verdana" w:cs="Century Gothic"/>
          <w:i/>
          <w:color w:val="000000" w:themeColor="text1"/>
          <w:sz w:val="20"/>
          <w:szCs w:val="20"/>
          <w:lang w:val="es-ES"/>
        </w:rPr>
        <w:t xml:space="preserve"> de Comercio. La </w:t>
      </w:r>
      <w:proofErr w:type="spellStart"/>
      <w:r w:rsidRPr="00603690">
        <w:rPr>
          <w:rFonts w:ascii="Verdana" w:eastAsia="Century Gothic" w:hAnsi="Verdana" w:cs="Century Gothic"/>
          <w:i/>
          <w:color w:val="000000" w:themeColor="text1"/>
          <w:sz w:val="20"/>
          <w:szCs w:val="20"/>
          <w:lang w:val="es-ES"/>
        </w:rPr>
        <w:t>aclaración</w:t>
      </w:r>
      <w:proofErr w:type="spellEnd"/>
      <w:r w:rsidRPr="00603690">
        <w:rPr>
          <w:rFonts w:ascii="Verdana" w:eastAsia="Century Gothic" w:hAnsi="Verdana" w:cs="Century Gothic"/>
          <w:i/>
          <w:color w:val="000000" w:themeColor="text1"/>
          <w:sz w:val="20"/>
          <w:szCs w:val="20"/>
          <w:lang w:val="es-ES"/>
        </w:rPr>
        <w:t xml:space="preserve"> requerida </w:t>
      </w:r>
      <w:proofErr w:type="spellStart"/>
      <w:r w:rsidRPr="00603690">
        <w:rPr>
          <w:rFonts w:ascii="Verdana" w:eastAsia="Century Gothic" w:hAnsi="Verdana" w:cs="Century Gothic"/>
          <w:i/>
          <w:color w:val="000000" w:themeColor="text1"/>
          <w:sz w:val="20"/>
          <w:szCs w:val="20"/>
          <w:lang w:val="es-ES"/>
        </w:rPr>
        <w:t>permitira</w:t>
      </w:r>
      <w:proofErr w:type="spellEnd"/>
      <w:r w:rsidRPr="00603690">
        <w:rPr>
          <w:rFonts w:ascii="Verdana" w:eastAsia="Century Gothic" w:hAnsi="Verdana" w:cs="Century Gothic"/>
          <w:i/>
          <w:color w:val="000000" w:themeColor="text1"/>
          <w:sz w:val="20"/>
          <w:szCs w:val="20"/>
          <w:lang w:val="es-ES"/>
        </w:rPr>
        <w:t xml:space="preserve">́ garantizar seguridad </w:t>
      </w:r>
      <w:proofErr w:type="spellStart"/>
      <w:r w:rsidRPr="00603690">
        <w:rPr>
          <w:rFonts w:ascii="Verdana" w:eastAsia="Century Gothic" w:hAnsi="Verdana" w:cs="Century Gothic"/>
          <w:i/>
          <w:color w:val="000000" w:themeColor="text1"/>
          <w:sz w:val="20"/>
          <w:szCs w:val="20"/>
          <w:lang w:val="es-ES"/>
        </w:rPr>
        <w:t>jurídica</w:t>
      </w:r>
      <w:proofErr w:type="spellEnd"/>
      <w:r w:rsidRPr="00603690">
        <w:rPr>
          <w:rFonts w:ascii="Verdana" w:eastAsia="Century Gothic" w:hAnsi="Verdana" w:cs="Century Gothic"/>
          <w:i/>
          <w:color w:val="000000" w:themeColor="text1"/>
          <w:sz w:val="20"/>
          <w:szCs w:val="20"/>
          <w:lang w:val="es-ES"/>
        </w:rPr>
        <w:t xml:space="preserve"> en los procesos contractuales del Municipio y asegurar la correcta aplicación del marco normativo vigente en materia de arrendamientos administrativos</w:t>
      </w:r>
      <w:r w:rsidRPr="00603690">
        <w:rPr>
          <w:rFonts w:ascii="Verdana" w:hAnsi="Verdana"/>
          <w:sz w:val="20"/>
          <w:szCs w:val="20"/>
          <w:lang w:val="es-ES"/>
        </w:rPr>
        <w:t>”</w:t>
      </w:r>
    </w:p>
    <w:p w14:paraId="24891BD1" w14:textId="77777777" w:rsidR="007B5D5A" w:rsidRPr="00603690" w:rsidRDefault="007B5D5A" w:rsidP="007B5D5A">
      <w:pPr>
        <w:spacing w:after="0" w:line="276" w:lineRule="auto"/>
        <w:ind w:right="709"/>
        <w:jc w:val="both"/>
        <w:rPr>
          <w:rFonts w:ascii="Verdana" w:eastAsia="Calibri" w:hAnsi="Verdana" w:cs="Arial"/>
          <w:lang w:val="es-ES"/>
        </w:rPr>
      </w:pPr>
    </w:p>
    <w:p w14:paraId="3AFCF1A0" w14:textId="77777777" w:rsidR="007B5D5A" w:rsidRPr="00603690" w:rsidRDefault="007B5D5A" w:rsidP="007B5D5A">
      <w:pPr>
        <w:spacing w:after="120" w:line="276" w:lineRule="auto"/>
        <w:ind w:firstLine="708"/>
        <w:jc w:val="both"/>
        <w:rPr>
          <w:rFonts w:ascii="Verdana" w:eastAsia="Calibri" w:hAnsi="Verdana" w:cs="Arial"/>
          <w:color w:val="000000" w:themeColor="text1"/>
          <w:lang w:val="es-ES" w:eastAsia="es-ES"/>
        </w:rPr>
      </w:pPr>
      <w:r w:rsidRPr="00603690">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603690">
        <w:rPr>
          <w:lang w:val="es-ES"/>
        </w:rPr>
        <w:tab/>
      </w:r>
    </w:p>
    <w:p w14:paraId="14CE52A8" w14:textId="77777777" w:rsidR="007B5D5A" w:rsidRPr="00603690" w:rsidRDefault="007B5D5A" w:rsidP="007B5D5A">
      <w:pPr>
        <w:spacing w:after="0" w:line="276" w:lineRule="auto"/>
        <w:ind w:firstLine="709"/>
        <w:jc w:val="both"/>
        <w:rPr>
          <w:rFonts w:ascii="Verdana" w:eastAsia="Calibri" w:hAnsi="Verdana" w:cs="Arial"/>
          <w:color w:val="000000" w:themeColor="text1"/>
          <w:lang w:val="es-ES" w:eastAsia="es-ES"/>
        </w:rPr>
      </w:pPr>
      <w:r w:rsidRPr="00603690">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4A45AE1A" w14:textId="77777777" w:rsidR="007B5D5A" w:rsidRPr="00603690" w:rsidRDefault="007B5D5A" w:rsidP="007B5D5A">
      <w:pPr>
        <w:spacing w:after="0" w:line="276" w:lineRule="auto"/>
        <w:jc w:val="both"/>
        <w:rPr>
          <w:rFonts w:ascii="Verdana" w:eastAsia="Calibri" w:hAnsi="Verdana" w:cs="Arial"/>
          <w:color w:val="000000" w:themeColor="text1"/>
          <w:lang w:val="es-ES" w:eastAsia="es-ES"/>
        </w:rPr>
      </w:pPr>
    </w:p>
    <w:p w14:paraId="6E3508B0" w14:textId="77777777" w:rsidR="007B5D5A" w:rsidRPr="00603690" w:rsidRDefault="007B5D5A" w:rsidP="007B5D5A">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603690">
        <w:rPr>
          <w:rFonts w:ascii="Verdana" w:eastAsia="Century Gothic" w:hAnsi="Verdana" w:cs="Century Gothic"/>
          <w:b/>
          <w:color w:val="000000" w:themeColor="text1"/>
        </w:rPr>
        <w:t>Problema planteado:</w:t>
      </w:r>
    </w:p>
    <w:p w14:paraId="039B41B3" w14:textId="77777777" w:rsidR="007B5D5A" w:rsidRPr="00603690" w:rsidRDefault="007B5D5A" w:rsidP="007B5D5A">
      <w:pPr>
        <w:tabs>
          <w:tab w:val="left" w:pos="426"/>
        </w:tabs>
        <w:spacing w:after="0" w:line="276" w:lineRule="auto"/>
        <w:jc w:val="both"/>
        <w:rPr>
          <w:rFonts w:ascii="Verdana" w:eastAsia="Century Gothic" w:hAnsi="Verdana" w:cs="Century Gothic"/>
          <w:color w:val="000000" w:themeColor="text1"/>
          <w:lang w:val="es-ES"/>
        </w:rPr>
      </w:pPr>
    </w:p>
    <w:p w14:paraId="763429F2" w14:textId="46BF1624" w:rsidR="007B5D5A" w:rsidRPr="00603690" w:rsidRDefault="007B5D5A" w:rsidP="007B5D5A">
      <w:pPr>
        <w:spacing w:after="0" w:line="276" w:lineRule="auto"/>
        <w:jc w:val="both"/>
        <w:rPr>
          <w:rFonts w:ascii="Verdana" w:eastAsia="Century Gothic" w:hAnsi="Verdana" w:cs="Century Gothic"/>
          <w:color w:val="000000" w:themeColor="text1"/>
          <w:lang w:val="es-ES"/>
        </w:rPr>
      </w:pPr>
      <w:r w:rsidRPr="00603690">
        <w:rPr>
          <w:rFonts w:ascii="Verdana" w:eastAsia="Century Gothic" w:hAnsi="Verdana" w:cs="Century Gothic"/>
          <w:color w:val="000000" w:themeColor="text1"/>
          <w:lang w:val="es-ES"/>
        </w:rPr>
        <w:t xml:space="preserve">De acuerdo con el contenido de su solicitud, esta Agencia resolverá el siguiente problema jurídico: ¿Cuál es el marco jurídico que rige el arrendamiento de bienes inmuebles por parte de </w:t>
      </w:r>
      <w:r w:rsidR="00881667">
        <w:rPr>
          <w:rFonts w:ascii="Verdana" w:eastAsia="Century Gothic" w:hAnsi="Verdana" w:cs="Century Gothic"/>
          <w:color w:val="000000" w:themeColor="text1"/>
          <w:lang w:val="es-ES"/>
        </w:rPr>
        <w:t>E</w:t>
      </w:r>
      <w:r w:rsidRPr="00603690">
        <w:rPr>
          <w:rFonts w:ascii="Verdana" w:eastAsia="Century Gothic" w:hAnsi="Verdana" w:cs="Century Gothic"/>
          <w:color w:val="000000" w:themeColor="text1"/>
          <w:lang w:val="es-ES"/>
        </w:rPr>
        <w:t>ntidades</w:t>
      </w:r>
      <w:r w:rsidR="00881667">
        <w:rPr>
          <w:rFonts w:ascii="Verdana" w:eastAsia="Century Gothic" w:hAnsi="Verdana" w:cs="Century Gothic"/>
          <w:color w:val="000000" w:themeColor="text1"/>
          <w:lang w:val="es-ES"/>
        </w:rPr>
        <w:t xml:space="preserve"> Estatales</w:t>
      </w:r>
      <w:r w:rsidRPr="00603690">
        <w:rPr>
          <w:rFonts w:ascii="Verdana" w:eastAsia="Century Gothic" w:hAnsi="Verdana" w:cs="Century Gothic"/>
          <w:color w:val="000000" w:themeColor="text1"/>
          <w:lang w:val="es-ES"/>
        </w:rPr>
        <w:t>?</w:t>
      </w:r>
    </w:p>
    <w:p w14:paraId="4A3A126A" w14:textId="77777777" w:rsidR="007B5D5A" w:rsidRPr="00603690" w:rsidRDefault="007B5D5A" w:rsidP="007B5D5A">
      <w:pPr>
        <w:spacing w:after="0" w:line="276" w:lineRule="auto"/>
        <w:jc w:val="both"/>
        <w:rPr>
          <w:rFonts w:ascii="Verdana" w:eastAsia="Calibri" w:hAnsi="Verdana" w:cs="Arial"/>
          <w:color w:val="000000" w:themeColor="text1"/>
          <w:lang w:val="es-ES"/>
        </w:rPr>
      </w:pPr>
    </w:p>
    <w:p w14:paraId="30E13CC2" w14:textId="77777777" w:rsidR="007B5D5A" w:rsidRPr="00603690" w:rsidRDefault="007B5D5A" w:rsidP="007B5D5A">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603690">
        <w:rPr>
          <w:rFonts w:ascii="Verdana" w:eastAsia="Century Gothic" w:hAnsi="Verdana" w:cs="Century Gothic"/>
          <w:b/>
          <w:color w:val="000000" w:themeColor="text1"/>
        </w:rPr>
        <w:t>Respuesta:</w:t>
      </w:r>
    </w:p>
    <w:p w14:paraId="4BE4A68F" w14:textId="77777777" w:rsidR="007B5D5A" w:rsidRPr="00603690" w:rsidRDefault="007B5D5A" w:rsidP="007B5D5A">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B5D5A" w:rsidRPr="00603690" w14:paraId="4C913446" w14:textId="77777777" w:rsidTr="00120775">
        <w:tc>
          <w:tcPr>
            <w:tcW w:w="8828" w:type="dxa"/>
          </w:tcPr>
          <w:p w14:paraId="1DD68BC0" w14:textId="77777777" w:rsidR="007B5D5A" w:rsidRPr="00603690" w:rsidRDefault="007B5D5A" w:rsidP="00120775">
            <w:pPr>
              <w:spacing w:before="120" w:after="120" w:line="276" w:lineRule="auto"/>
              <w:jc w:val="both"/>
              <w:rPr>
                <w:rFonts w:ascii="Verdana" w:eastAsia="Calibri" w:hAnsi="Verdana" w:cs="Arial"/>
                <w:color w:val="000000" w:themeColor="text1"/>
                <w:lang w:val="es-ES"/>
              </w:rPr>
            </w:pPr>
            <w:r w:rsidRPr="00603690">
              <w:rPr>
                <w:rFonts w:ascii="Verdana" w:eastAsia="Calibri" w:hAnsi="Verdana" w:cs="Arial"/>
                <w:bCs/>
                <w:lang w:val="es-ES" w:eastAsia="es-ES" w:bidi="es-ES"/>
              </w:rPr>
              <w:lastRenderedPageBreak/>
              <w:t xml:space="preserve">Los </w:t>
            </w:r>
            <w:r>
              <w:rPr>
                <w:rFonts w:ascii="Verdana" w:eastAsia="Calibri" w:hAnsi="Verdana" w:cs="Arial"/>
                <w:bCs/>
                <w:lang w:val="es-ES" w:eastAsia="es-ES" w:bidi="es-ES"/>
              </w:rPr>
              <w:t xml:space="preserve">contratos de arrendamiento que adelanten las </w:t>
            </w:r>
            <w:r w:rsidRPr="00603690">
              <w:rPr>
                <w:rFonts w:ascii="Verdana" w:eastAsia="Calibri" w:hAnsi="Verdana" w:cs="Arial"/>
                <w:color w:val="000000" w:themeColor="text1"/>
                <w:lang w:val="es-ES"/>
              </w:rPr>
              <w:t>Entidad</w:t>
            </w:r>
            <w:r>
              <w:rPr>
                <w:rFonts w:ascii="Verdana" w:eastAsia="Calibri" w:hAnsi="Verdana" w:cs="Arial"/>
                <w:color w:val="000000" w:themeColor="text1"/>
                <w:lang w:val="es-ES"/>
              </w:rPr>
              <w:t>es</w:t>
            </w:r>
            <w:r w:rsidRPr="00603690">
              <w:rPr>
                <w:rFonts w:ascii="Verdana" w:eastAsia="Calibri" w:hAnsi="Verdana" w:cs="Arial"/>
                <w:color w:val="000000" w:themeColor="text1"/>
                <w:lang w:val="es-ES"/>
              </w:rPr>
              <w:t xml:space="preserve"> Estatal</w:t>
            </w:r>
            <w:r>
              <w:rPr>
                <w:rFonts w:ascii="Verdana" w:eastAsia="Calibri" w:hAnsi="Verdana" w:cs="Arial"/>
                <w:color w:val="000000" w:themeColor="text1"/>
                <w:lang w:val="es-ES"/>
              </w:rPr>
              <w:t xml:space="preserve">es se rigen por </w:t>
            </w:r>
            <w:r w:rsidRPr="00603690">
              <w:rPr>
                <w:rFonts w:ascii="Verdana" w:eastAsia="Calibri" w:hAnsi="Verdana" w:cs="Arial"/>
                <w:color w:val="000000" w:themeColor="text1"/>
                <w:lang w:val="es-ES"/>
              </w:rPr>
              <w:t xml:space="preserve">las normas del </w:t>
            </w:r>
            <w:r w:rsidRPr="00603690">
              <w:rPr>
                <w:rFonts w:ascii="Verdana" w:eastAsia="Arial" w:hAnsi="Verdana" w:cs="Arial"/>
                <w:color w:val="000000" w:themeColor="text1"/>
                <w:lang w:val="es-ES"/>
              </w:rPr>
              <w:t>Estatuto General de Contratación de la Administración Pública</w:t>
            </w:r>
            <w:r>
              <w:rPr>
                <w:rFonts w:ascii="Verdana" w:eastAsia="Arial" w:hAnsi="Verdana" w:cs="Arial"/>
                <w:color w:val="000000" w:themeColor="text1"/>
                <w:lang w:val="es-ES"/>
              </w:rPr>
              <w:t xml:space="preserve"> y, de forma supletiva, por </w:t>
            </w:r>
            <w:r w:rsidRPr="00603690">
              <w:rPr>
                <w:rFonts w:ascii="Verdana" w:eastAsia="Calibri" w:hAnsi="Verdana" w:cs="Arial"/>
                <w:color w:val="000000" w:themeColor="text1"/>
                <w:lang w:val="es-ES"/>
              </w:rPr>
              <w:t>las normas civiles y comerciales</w:t>
            </w:r>
            <w:r>
              <w:rPr>
                <w:rFonts w:ascii="Verdana" w:eastAsia="Calibri" w:hAnsi="Verdana" w:cs="Arial"/>
                <w:color w:val="000000" w:themeColor="text1"/>
                <w:lang w:val="es-ES"/>
              </w:rPr>
              <w:t xml:space="preserve"> </w:t>
            </w:r>
            <w:r w:rsidRPr="00603690">
              <w:rPr>
                <w:rFonts w:ascii="Verdana" w:eastAsia="Calibri" w:hAnsi="Verdana" w:cs="Arial"/>
                <w:color w:val="000000" w:themeColor="text1"/>
                <w:lang w:val="es-ES"/>
              </w:rPr>
              <w:t xml:space="preserve">que regulan la sustantividad del contrato de arrendamiento, </w:t>
            </w:r>
            <w:r>
              <w:rPr>
                <w:rFonts w:ascii="Verdana" w:eastAsia="Calibri" w:hAnsi="Verdana" w:cs="Arial"/>
                <w:color w:val="000000" w:themeColor="text1"/>
                <w:lang w:val="es-ES"/>
              </w:rPr>
              <w:t>en virtud de la remisión establecida en los</w:t>
            </w:r>
            <w:r w:rsidRPr="00603690">
              <w:rPr>
                <w:rFonts w:ascii="Verdana" w:eastAsia="Calibri" w:hAnsi="Verdana" w:cs="Arial"/>
                <w:color w:val="000000" w:themeColor="text1"/>
                <w:lang w:val="es-ES"/>
              </w:rPr>
              <w:t xml:space="preserve"> artículos 13, 32 y 40 de la Ley 80 de 1993</w:t>
            </w:r>
            <w:r>
              <w:rPr>
                <w:rFonts w:ascii="Verdana" w:eastAsia="Calibri" w:hAnsi="Verdana" w:cs="Arial"/>
                <w:color w:val="000000" w:themeColor="text1"/>
                <w:lang w:val="es-ES"/>
              </w:rPr>
              <w:t>.</w:t>
            </w:r>
          </w:p>
          <w:p w14:paraId="4ABC0962" w14:textId="77777777" w:rsidR="007B5D5A" w:rsidRPr="00603690" w:rsidRDefault="007B5D5A" w:rsidP="00120775">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Adicionalmente, s</w:t>
            </w:r>
            <w:r w:rsidRPr="00603690">
              <w:rPr>
                <w:rFonts w:ascii="Verdana" w:eastAsia="Calibri" w:hAnsi="Verdana" w:cs="Arial"/>
                <w:color w:val="000000" w:themeColor="text1"/>
                <w:lang w:val="es-ES"/>
              </w:rPr>
              <w:t xml:space="preserve">i la Entidad Estatal se rige por el EGCAP, bien sea que obre en calidad de arrendadora o arrendataria, debe acudir a la modalidad de selección de contratación directa si arrendara un inmueble. Esto, pues el literal i) del numeral 4° del artículo 2º de la Ley 1150 de 2007 establece que una de las causales de este procedimiento es: “i) El arrendamiento o adquisición de inmuebles”. </w:t>
            </w:r>
          </w:p>
          <w:p w14:paraId="2AC0DD21" w14:textId="77777777" w:rsidR="007B5D5A" w:rsidRPr="00603690" w:rsidRDefault="007B5D5A" w:rsidP="00120775">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Es importante tener en cuenta que e</w:t>
            </w:r>
            <w:r w:rsidRPr="00603690">
              <w:rPr>
                <w:rFonts w:ascii="Verdana" w:eastAsia="Calibri" w:hAnsi="Verdana" w:cs="Arial"/>
                <w:color w:val="000000" w:themeColor="text1"/>
                <w:lang w:val="es-ES"/>
              </w:rPr>
              <w:t xml:space="preserve">l arrendamiento de inmuebles por parte de </w:t>
            </w:r>
            <w:r>
              <w:rPr>
                <w:rFonts w:ascii="Verdana" w:eastAsia="Calibri" w:hAnsi="Verdana" w:cs="Arial"/>
                <w:color w:val="000000" w:themeColor="text1"/>
                <w:lang w:val="es-ES"/>
              </w:rPr>
              <w:t>E</w:t>
            </w:r>
            <w:r w:rsidRPr="00603690">
              <w:rPr>
                <w:rFonts w:ascii="Verdana" w:eastAsia="Calibri" w:hAnsi="Verdana" w:cs="Arial"/>
                <w:color w:val="000000" w:themeColor="text1"/>
                <w:lang w:val="es-ES"/>
              </w:rPr>
              <w:t xml:space="preserve">ntidades </w:t>
            </w:r>
            <w:r>
              <w:rPr>
                <w:rFonts w:ascii="Verdana" w:eastAsia="Calibri" w:hAnsi="Verdana" w:cs="Arial"/>
                <w:color w:val="000000" w:themeColor="text1"/>
                <w:lang w:val="es-ES"/>
              </w:rPr>
              <w:t xml:space="preserve">Estatales </w:t>
            </w:r>
            <w:r w:rsidRPr="00603690">
              <w:rPr>
                <w:rFonts w:ascii="Verdana" w:eastAsia="Calibri" w:hAnsi="Verdana" w:cs="Arial"/>
                <w:color w:val="000000" w:themeColor="text1"/>
                <w:lang w:val="es-ES"/>
              </w:rPr>
              <w:t>fue reglamentado por el artículo 83 del Decreto 2474 de 2008</w:t>
            </w:r>
            <w:r>
              <w:rPr>
                <w:rFonts w:ascii="Verdana" w:eastAsia="Calibri" w:hAnsi="Verdana" w:cs="Arial"/>
                <w:color w:val="000000" w:themeColor="text1"/>
                <w:lang w:val="es-ES"/>
              </w:rPr>
              <w:t>,</w:t>
            </w:r>
            <w:r w:rsidRPr="00603690">
              <w:rPr>
                <w:rFonts w:ascii="Verdana" w:eastAsia="Calibri" w:hAnsi="Verdana" w:cs="Arial"/>
                <w:color w:val="000000" w:themeColor="text1"/>
                <w:lang w:val="es-ES"/>
              </w:rPr>
              <w:t xml:space="preserve"> el cual estableció que la entidad podía “contratar tomando como única consideración las condiciones del mercado”. De esta manera, </w:t>
            </w:r>
            <w:r>
              <w:rPr>
                <w:rFonts w:ascii="Verdana" w:eastAsia="Calibri" w:hAnsi="Verdana" w:cs="Arial"/>
                <w:color w:val="000000" w:themeColor="text1"/>
                <w:lang w:val="es-ES"/>
              </w:rPr>
              <w:t xml:space="preserve">la norma </w:t>
            </w:r>
            <w:r w:rsidRPr="00603690">
              <w:rPr>
                <w:rFonts w:ascii="Verdana" w:eastAsia="Calibri" w:hAnsi="Verdana" w:cs="Arial"/>
                <w:color w:val="000000" w:themeColor="text1"/>
                <w:lang w:val="es-ES"/>
              </w:rPr>
              <w:t>sujetó la fijación de las condiciones del contrato de arrendamiento, incluyendo el canon, a las dinámicas del mercado</w:t>
            </w:r>
            <w:r>
              <w:rPr>
                <w:rFonts w:ascii="Verdana" w:eastAsia="Calibri" w:hAnsi="Verdana" w:cs="Arial"/>
                <w:color w:val="000000" w:themeColor="text1"/>
                <w:lang w:val="es-ES"/>
              </w:rPr>
              <w:t xml:space="preserve">. Con esto, estableció una nueva regla con respecto a </w:t>
            </w:r>
            <w:r w:rsidRPr="00603690">
              <w:rPr>
                <w:rFonts w:ascii="Verdana" w:eastAsia="Calibri" w:hAnsi="Verdana" w:cs="Arial"/>
                <w:color w:val="000000" w:themeColor="text1"/>
                <w:lang w:val="es-ES"/>
              </w:rPr>
              <w:t xml:space="preserve">lo </w:t>
            </w:r>
            <w:r>
              <w:rPr>
                <w:rFonts w:ascii="Verdana" w:eastAsia="Calibri" w:hAnsi="Verdana" w:cs="Arial"/>
                <w:color w:val="000000" w:themeColor="text1"/>
                <w:lang w:val="es-ES"/>
              </w:rPr>
              <w:t xml:space="preserve">previamente regulado por </w:t>
            </w:r>
            <w:r w:rsidRPr="00603690">
              <w:rPr>
                <w:rFonts w:ascii="Verdana" w:eastAsia="Calibri" w:hAnsi="Verdana" w:cs="Arial"/>
                <w:color w:val="000000" w:themeColor="text1"/>
                <w:lang w:val="es-ES"/>
              </w:rPr>
              <w:t>el Decreto 1376 de 1986 que establecía topes porcentuales para fijar el precio del arrendamiento</w:t>
            </w:r>
            <w:r>
              <w:rPr>
                <w:rFonts w:ascii="Verdana" w:eastAsia="Calibri" w:hAnsi="Verdana" w:cs="Arial"/>
                <w:color w:val="000000" w:themeColor="text1"/>
                <w:lang w:val="es-ES"/>
              </w:rPr>
              <w:t>,</w:t>
            </w:r>
            <w:r w:rsidRPr="00603690">
              <w:rPr>
                <w:rFonts w:ascii="Verdana" w:eastAsia="Calibri" w:hAnsi="Verdana" w:cs="Arial"/>
                <w:color w:val="000000" w:themeColor="text1"/>
                <w:lang w:val="es-ES"/>
              </w:rPr>
              <w:t xml:space="preserve"> según el avalúo catastral del bien inmueble.</w:t>
            </w:r>
            <w:r>
              <w:rPr>
                <w:rFonts w:ascii="Verdana" w:eastAsia="Calibri" w:hAnsi="Verdana" w:cs="Arial"/>
                <w:color w:val="000000" w:themeColor="text1"/>
                <w:lang w:val="es-ES"/>
              </w:rPr>
              <w:t xml:space="preserve"> De esta forma</w:t>
            </w:r>
            <w:r w:rsidRPr="00603690">
              <w:rPr>
                <w:rFonts w:ascii="Verdana" w:eastAsia="Calibri" w:hAnsi="Verdana" w:cs="Arial"/>
                <w:color w:val="000000" w:themeColor="text1"/>
                <w:lang w:val="es-ES"/>
              </w:rPr>
              <w:t xml:space="preserve">, el Decreto 2474 de 2008 </w:t>
            </w:r>
            <w:r>
              <w:rPr>
                <w:rFonts w:ascii="Verdana" w:eastAsia="Calibri" w:hAnsi="Verdana" w:cs="Arial"/>
                <w:color w:val="000000" w:themeColor="text1"/>
                <w:lang w:val="es-ES"/>
              </w:rPr>
              <w:t xml:space="preserve">derogó tácitamente lo señalado en el </w:t>
            </w:r>
            <w:r w:rsidRPr="00603690">
              <w:rPr>
                <w:rFonts w:ascii="Verdana" w:eastAsia="Calibri" w:hAnsi="Verdana" w:cs="Arial"/>
                <w:color w:val="000000" w:themeColor="text1"/>
                <w:lang w:val="es-ES"/>
              </w:rPr>
              <w:t>Decreto 1376 de 1986</w:t>
            </w:r>
            <w:r>
              <w:rPr>
                <w:rFonts w:ascii="Verdana" w:eastAsia="Calibri" w:hAnsi="Verdana" w:cs="Arial"/>
                <w:color w:val="000000" w:themeColor="text1"/>
                <w:lang w:val="es-ES"/>
              </w:rPr>
              <w:t>,</w:t>
            </w:r>
            <w:r w:rsidRPr="00603690">
              <w:rPr>
                <w:rFonts w:ascii="Verdana" w:eastAsia="Calibri" w:hAnsi="Verdana" w:cs="Arial"/>
                <w:color w:val="000000" w:themeColor="text1"/>
                <w:lang w:val="es-ES"/>
              </w:rPr>
              <w:t xml:space="preserve"> al </w:t>
            </w:r>
            <w:r>
              <w:rPr>
                <w:rFonts w:ascii="Verdana" w:eastAsia="Calibri" w:hAnsi="Verdana" w:cs="Arial"/>
                <w:color w:val="000000" w:themeColor="text1"/>
                <w:lang w:val="es-ES"/>
              </w:rPr>
              <w:t>tratarse de</w:t>
            </w:r>
            <w:r w:rsidRPr="00603690">
              <w:rPr>
                <w:rFonts w:ascii="Verdana" w:eastAsia="Calibri" w:hAnsi="Verdana" w:cs="Arial"/>
                <w:color w:val="000000" w:themeColor="text1"/>
                <w:lang w:val="es-ES"/>
              </w:rPr>
              <w:t xml:space="preserve"> una norma posterior que regula de manera específica</w:t>
            </w:r>
            <w:r>
              <w:rPr>
                <w:rFonts w:ascii="Verdana" w:eastAsia="Calibri" w:hAnsi="Verdana" w:cs="Arial"/>
                <w:color w:val="000000" w:themeColor="text1"/>
                <w:lang w:val="es-ES"/>
              </w:rPr>
              <w:t xml:space="preserve"> las condiciones para el arrendamiento de inmuebles por parte del Estado</w:t>
            </w:r>
            <w:r w:rsidRPr="00603690">
              <w:rPr>
                <w:rFonts w:ascii="Verdana" w:eastAsia="Calibri" w:hAnsi="Verdana" w:cs="Arial"/>
                <w:color w:val="000000" w:themeColor="text1"/>
                <w:lang w:val="es-ES"/>
              </w:rPr>
              <w:t>.</w:t>
            </w:r>
          </w:p>
          <w:p w14:paraId="43EFFD60" w14:textId="77777777" w:rsidR="007B5D5A" w:rsidRPr="003F7AD9" w:rsidRDefault="007B5D5A" w:rsidP="00120775">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E</w:t>
            </w:r>
            <w:r w:rsidRPr="00603690">
              <w:rPr>
                <w:rFonts w:ascii="Verdana" w:eastAsia="Calibri" w:hAnsi="Verdana" w:cs="Arial"/>
                <w:color w:val="000000" w:themeColor="text1"/>
                <w:lang w:val="es-ES"/>
              </w:rPr>
              <w:t>l Decreto 2474 de 2008 fue</w:t>
            </w:r>
            <w:r>
              <w:rPr>
                <w:rFonts w:ascii="Verdana" w:eastAsia="Calibri" w:hAnsi="Verdana" w:cs="Arial"/>
                <w:color w:val="000000" w:themeColor="text1"/>
                <w:lang w:val="es-ES"/>
              </w:rPr>
              <w:t xml:space="preserve"> </w:t>
            </w:r>
            <w:r w:rsidRPr="00603690">
              <w:rPr>
                <w:rFonts w:ascii="Verdana" w:eastAsia="Calibri" w:hAnsi="Verdana" w:cs="Arial"/>
                <w:color w:val="000000" w:themeColor="text1"/>
                <w:lang w:val="es-ES"/>
              </w:rPr>
              <w:t xml:space="preserve">posteriormente derogado por el artículo 9.2 del Decreto 734 de 2012, </w:t>
            </w:r>
            <w:r>
              <w:rPr>
                <w:rFonts w:ascii="Verdana" w:eastAsia="Calibri" w:hAnsi="Verdana" w:cs="Arial"/>
                <w:color w:val="000000" w:themeColor="text1"/>
                <w:lang w:val="es-ES"/>
              </w:rPr>
              <w:t xml:space="preserve">a su vez </w:t>
            </w:r>
            <w:r w:rsidRPr="00603690">
              <w:rPr>
                <w:rFonts w:ascii="Verdana" w:eastAsia="Calibri" w:hAnsi="Verdana" w:cs="Arial"/>
                <w:color w:val="000000" w:themeColor="text1"/>
                <w:lang w:val="es-ES"/>
              </w:rPr>
              <w:t xml:space="preserve">derogado por el Decreto 1510 de 2013, norma </w:t>
            </w:r>
            <w:r>
              <w:rPr>
                <w:rFonts w:ascii="Verdana" w:eastAsia="Calibri" w:hAnsi="Verdana" w:cs="Arial"/>
                <w:color w:val="000000" w:themeColor="text1"/>
                <w:lang w:val="es-ES"/>
              </w:rPr>
              <w:t xml:space="preserve">que fue finalmente </w:t>
            </w:r>
            <w:r w:rsidRPr="00603690">
              <w:rPr>
                <w:rFonts w:ascii="Verdana" w:eastAsia="Calibri" w:hAnsi="Verdana" w:cs="Arial"/>
                <w:color w:val="000000" w:themeColor="text1"/>
                <w:lang w:val="es-ES"/>
              </w:rPr>
              <w:t>compilada en el Decreto 1082 de 2015</w:t>
            </w:r>
            <w:r>
              <w:rPr>
                <w:rFonts w:ascii="Verdana" w:eastAsia="Calibri" w:hAnsi="Verdana" w:cs="Arial"/>
                <w:color w:val="000000" w:themeColor="text1"/>
                <w:lang w:val="es-ES"/>
              </w:rPr>
              <w:t>,</w:t>
            </w:r>
            <w:r w:rsidRPr="00603690">
              <w:rPr>
                <w:rFonts w:ascii="Verdana" w:eastAsia="Calibri" w:hAnsi="Verdana" w:cs="Arial"/>
                <w:color w:val="000000" w:themeColor="text1"/>
                <w:lang w:val="es-ES"/>
              </w:rPr>
              <w:t xml:space="preserve"> actualmente vigente. En este sentido, las condiciones de los contratos de arrendamiento de bienes inmuebles que adelanten las entidades sometidas al Estatuto General de Contratación de la Administración Pública se regirán por lo dispuesto en la Ley 80 de 1993, la Ley 1150 de 2007 y su </w:t>
            </w:r>
            <w:r>
              <w:rPr>
                <w:rFonts w:ascii="Verdana" w:eastAsia="Calibri" w:hAnsi="Verdana" w:cs="Arial"/>
                <w:color w:val="000000" w:themeColor="text1"/>
                <w:lang w:val="es-ES"/>
              </w:rPr>
              <w:t xml:space="preserve">el </w:t>
            </w:r>
            <w:r w:rsidRPr="00603690">
              <w:rPr>
                <w:rFonts w:ascii="Verdana" w:eastAsia="Calibri" w:hAnsi="Verdana" w:cs="Arial"/>
                <w:color w:val="000000" w:themeColor="text1"/>
                <w:lang w:val="es-ES"/>
              </w:rPr>
              <w:t>Decreto</w:t>
            </w:r>
            <w:r>
              <w:rPr>
                <w:rFonts w:ascii="Verdana" w:eastAsia="Calibri" w:hAnsi="Verdana" w:cs="Arial"/>
                <w:color w:val="000000" w:themeColor="text1"/>
                <w:lang w:val="es-ES"/>
              </w:rPr>
              <w:t xml:space="preserve"> 1082 de 2015</w:t>
            </w:r>
            <w:r w:rsidRPr="00603690">
              <w:rPr>
                <w:rFonts w:ascii="Verdana" w:eastAsia="Calibri" w:hAnsi="Verdana" w:cs="Arial"/>
                <w:color w:val="000000" w:themeColor="text1"/>
                <w:lang w:val="es-ES"/>
              </w:rPr>
              <w:t xml:space="preserve">, así como por la normativa civil y comercial </w:t>
            </w:r>
            <w:r>
              <w:rPr>
                <w:rFonts w:ascii="Verdana" w:eastAsia="Calibri" w:hAnsi="Verdana" w:cs="Arial"/>
                <w:color w:val="000000" w:themeColor="text1"/>
                <w:lang w:val="es-ES"/>
              </w:rPr>
              <w:t>que resulte pertinente de manera supletiva</w:t>
            </w:r>
            <w:r w:rsidRPr="00603690">
              <w:rPr>
                <w:rFonts w:ascii="Verdana" w:eastAsia="Calibri" w:hAnsi="Verdana" w:cs="Arial"/>
                <w:color w:val="000000" w:themeColor="text1"/>
                <w:lang w:val="es-ES"/>
              </w:rPr>
              <w:t>. En particular,</w:t>
            </w:r>
            <w:r>
              <w:rPr>
                <w:rFonts w:ascii="Verdana" w:eastAsia="Calibri" w:hAnsi="Verdana" w:cs="Arial"/>
                <w:color w:val="000000" w:themeColor="text1"/>
                <w:lang w:val="es-ES"/>
              </w:rPr>
              <w:t xml:space="preserve"> </w:t>
            </w:r>
            <w:r w:rsidRPr="00603690">
              <w:rPr>
                <w:rFonts w:ascii="Verdana" w:hAnsi="Verdana"/>
                <w:bCs/>
                <w:color w:val="000000" w:themeColor="text1"/>
                <w:lang w:val="es-ES" w:eastAsia="es-ES_tradnl"/>
              </w:rPr>
              <w:t xml:space="preserve">el artículo 2.2.1.2.1.4.11 </w:t>
            </w:r>
            <w:r>
              <w:rPr>
                <w:rFonts w:ascii="Verdana" w:hAnsi="Verdana"/>
                <w:bCs/>
                <w:color w:val="000000" w:themeColor="text1"/>
                <w:lang w:val="es-ES" w:eastAsia="es-ES_tradnl"/>
              </w:rPr>
              <w:t xml:space="preserve">dispone que las Entidades Estatales arrendarán bienes </w:t>
            </w:r>
            <w:r w:rsidRPr="00603690">
              <w:rPr>
                <w:rFonts w:ascii="Verdana" w:hAnsi="Verdana"/>
                <w:bCs/>
                <w:color w:val="000000" w:themeColor="text1"/>
                <w:lang w:val="es-ES" w:eastAsia="es-ES_tradnl"/>
              </w:rPr>
              <w:t xml:space="preserve">inmuebles mediante </w:t>
            </w:r>
            <w:r>
              <w:rPr>
                <w:rFonts w:ascii="Verdana" w:hAnsi="Verdana"/>
                <w:bCs/>
                <w:color w:val="000000" w:themeColor="text1"/>
                <w:lang w:val="es-ES" w:eastAsia="es-ES_tradnl"/>
              </w:rPr>
              <w:t xml:space="preserve">la modalidad de selección de </w:t>
            </w:r>
            <w:r w:rsidRPr="00603690">
              <w:rPr>
                <w:rFonts w:ascii="Verdana" w:hAnsi="Verdana"/>
                <w:bCs/>
                <w:color w:val="000000" w:themeColor="text1"/>
                <w:lang w:val="es-ES" w:eastAsia="es-ES_tradnl"/>
              </w:rPr>
              <w:t>contratación</w:t>
            </w:r>
            <w:r>
              <w:rPr>
                <w:rFonts w:ascii="Verdana" w:hAnsi="Verdana"/>
                <w:bCs/>
                <w:color w:val="000000" w:themeColor="text1"/>
                <w:lang w:val="es-ES" w:eastAsia="es-ES_tradnl"/>
              </w:rPr>
              <w:t xml:space="preserve"> directa, para lo cual tienen la obligación de </w:t>
            </w:r>
            <w:r w:rsidRPr="003F7AD9">
              <w:rPr>
                <w:rFonts w:ascii="Verdana" w:hAnsi="Verdana"/>
                <w:bCs/>
                <w:color w:val="000000" w:themeColor="text1"/>
                <w:lang w:val="es-ES" w:eastAsia="es-ES_tradnl"/>
              </w:rPr>
              <w:t>“</w:t>
            </w:r>
            <w:r w:rsidRPr="003F7AD9">
              <w:rPr>
                <w:rFonts w:ascii="Verdana" w:eastAsia="Calibri" w:hAnsi="Verdana" w:cs="Arial"/>
                <w:lang w:val="es-ES"/>
              </w:rPr>
              <w:t xml:space="preserve">Verificar las </w:t>
            </w:r>
            <w:r w:rsidRPr="003F7AD9">
              <w:rPr>
                <w:rFonts w:ascii="Verdana" w:eastAsia="Calibri" w:hAnsi="Verdana" w:cs="Arial"/>
                <w:i/>
                <w:iCs/>
                <w:lang w:val="es-ES"/>
              </w:rPr>
              <w:lastRenderedPageBreak/>
              <w:t>condiciones del mercado inmobiliario</w:t>
            </w:r>
            <w:r w:rsidRPr="003F7AD9">
              <w:rPr>
                <w:rFonts w:ascii="Verdana" w:eastAsia="Calibri" w:hAnsi="Verdana" w:cs="Arial"/>
                <w:lang w:val="es-ES"/>
              </w:rPr>
              <w:t xml:space="preserve"> en la ciudad en la que la Entidad Estatal requiere el inmueble”.</w:t>
            </w:r>
          </w:p>
          <w:p w14:paraId="68D8232A" w14:textId="77777777" w:rsidR="007B5D5A" w:rsidRPr="00603690" w:rsidRDefault="007B5D5A" w:rsidP="00120775">
            <w:pPr>
              <w:spacing w:after="120" w:line="276" w:lineRule="auto"/>
              <w:ind w:firstLine="708"/>
              <w:jc w:val="both"/>
              <w:rPr>
                <w:rFonts w:ascii="Verdana" w:hAnsi="Verdana"/>
                <w:color w:val="000000" w:themeColor="text1"/>
                <w:lang w:val="es-ES" w:eastAsia="es-ES"/>
              </w:rPr>
            </w:pPr>
            <w:r w:rsidRPr="00603690">
              <w:rPr>
                <w:rFonts w:ascii="Verdana" w:hAnsi="Verdana"/>
                <w:color w:val="000000" w:themeColor="text1"/>
                <w:lang w:val="es-ES" w:eastAsia="es-ES"/>
              </w:rPr>
              <w:t xml:space="preserve">Conforme lo anterior, la entidad debe elaborar los </w:t>
            </w:r>
            <w:proofErr w:type="gramStart"/>
            <w:r w:rsidRPr="00603690">
              <w:rPr>
                <w:rFonts w:ascii="Verdana" w:hAnsi="Verdana"/>
                <w:color w:val="000000" w:themeColor="text1"/>
                <w:lang w:val="es-ES" w:eastAsia="es-ES"/>
              </w:rPr>
              <w:t>estudios previos y documentos previos</w:t>
            </w:r>
            <w:proofErr w:type="gramEnd"/>
            <w:r w:rsidRPr="00603690">
              <w:rPr>
                <w:rFonts w:ascii="Verdana" w:hAnsi="Verdana"/>
                <w:color w:val="000000" w:themeColor="text1"/>
                <w:lang w:val="es-ES" w:eastAsia="es-ES"/>
              </w:rPr>
              <w:t xml:space="preserve"> y verificar las condiciones del mercado inmobiliario en la ciudad donde requiere el documento </w:t>
            </w:r>
            <w:r>
              <w:rPr>
                <w:rFonts w:ascii="Verdana" w:hAnsi="Verdana"/>
                <w:color w:val="000000" w:themeColor="text1"/>
                <w:lang w:val="es-ES" w:eastAsia="es-ES"/>
              </w:rPr>
              <w:t xml:space="preserve">con el fin de </w:t>
            </w:r>
            <w:r w:rsidRPr="00603690">
              <w:rPr>
                <w:rFonts w:ascii="Verdana" w:hAnsi="Verdana"/>
                <w:color w:val="000000" w:themeColor="text1"/>
                <w:lang w:val="es-ES" w:eastAsia="es-ES"/>
              </w:rPr>
              <w:t xml:space="preserve">establecer </w:t>
            </w:r>
            <w:proofErr w:type="gramStart"/>
            <w:r w:rsidRPr="00603690">
              <w:rPr>
                <w:rFonts w:ascii="Verdana" w:hAnsi="Verdana"/>
                <w:color w:val="000000" w:themeColor="text1"/>
                <w:lang w:val="es-ES" w:eastAsia="es-ES"/>
              </w:rPr>
              <w:t>la condiciones</w:t>
            </w:r>
            <w:proofErr w:type="gramEnd"/>
            <w:r w:rsidRPr="00603690">
              <w:rPr>
                <w:rFonts w:ascii="Verdana" w:hAnsi="Verdana"/>
                <w:color w:val="000000" w:themeColor="text1"/>
                <w:lang w:val="es-ES" w:eastAsia="es-ES"/>
              </w:rPr>
              <w:t xml:space="preserve"> del proceso, incluyendo el canon de arrendamiento. Además, tiene el deber analizar y comparar las condiciones de los bienes inmuebles que satisfacen sus necesidades; y de tener en cuenta los principios y objetivos del Sistema de Compra y Contratación Pública.</w:t>
            </w:r>
          </w:p>
          <w:p w14:paraId="46C9F38D" w14:textId="77777777" w:rsidR="007B5D5A" w:rsidRPr="00C653AE" w:rsidRDefault="007B5D5A" w:rsidP="00120775">
            <w:pPr>
              <w:spacing w:after="120" w:line="276" w:lineRule="auto"/>
              <w:ind w:firstLine="709"/>
              <w:jc w:val="both"/>
              <w:rPr>
                <w:rFonts w:ascii="Verdana" w:eastAsia="Calibri" w:hAnsi="Verdana" w:cs="Times New Roman"/>
                <w:lang w:val="es-ES"/>
              </w:rPr>
            </w:pPr>
            <w:r w:rsidRPr="00603690">
              <w:rPr>
                <w:rFonts w:ascii="Verdana" w:eastAsia="Calibri" w:hAnsi="Verdana" w:cs="Times New Roman"/>
                <w:lang w:val="es-ES"/>
              </w:rPr>
              <w:t xml:space="preserve">     Finalmente debe advertirse, que el análisis para resolver problemas específicos en torno a los procesos de contratación debe ser realizado por quienes tengan interés en ello. De esta forma, las afirmaciones aquí realizadas no pueden ser interpretadas como juicios de valor sobre circunstancias concretas relacionadas con los hechos que motivan la consulta.</w:t>
            </w:r>
            <w:r w:rsidRPr="00603690">
              <w:rPr>
                <w:rFonts w:eastAsia="Calibri" w:cs="Times New Roman"/>
                <w:lang w:val="es-ES"/>
              </w:rPr>
              <w:t xml:space="preserve"> </w:t>
            </w:r>
          </w:p>
        </w:tc>
      </w:tr>
    </w:tbl>
    <w:p w14:paraId="798F4947" w14:textId="77777777" w:rsidR="007B5D5A" w:rsidRPr="00603690" w:rsidRDefault="007B5D5A" w:rsidP="007B5D5A">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08FB1F8F" w14:textId="77777777" w:rsidR="007B5D5A" w:rsidRPr="00603690" w:rsidRDefault="007B5D5A" w:rsidP="007B5D5A">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603690">
        <w:rPr>
          <w:rFonts w:ascii="Verdana" w:eastAsia="Century Gothic" w:hAnsi="Verdana" w:cs="Century Gothic"/>
          <w:b/>
          <w:color w:val="000000" w:themeColor="text1"/>
        </w:rPr>
        <w:t>Razones de la respuesta:</w:t>
      </w:r>
    </w:p>
    <w:p w14:paraId="24F660AE" w14:textId="77777777" w:rsidR="007B5D5A" w:rsidRPr="00603690" w:rsidRDefault="007B5D5A" w:rsidP="007B5D5A">
      <w:pPr>
        <w:spacing w:after="0" w:line="276" w:lineRule="auto"/>
        <w:jc w:val="both"/>
        <w:rPr>
          <w:rFonts w:ascii="Verdana" w:eastAsia="Calibri" w:hAnsi="Verdana" w:cs="Arial"/>
          <w:color w:val="000000" w:themeColor="text1"/>
          <w:lang w:val="es-ES"/>
        </w:rPr>
      </w:pPr>
    </w:p>
    <w:p w14:paraId="1AE7C1BD" w14:textId="77777777" w:rsidR="007B5D5A" w:rsidRPr="00603690" w:rsidRDefault="007B5D5A" w:rsidP="007B5D5A">
      <w:pPr>
        <w:widowControl w:val="0"/>
        <w:autoSpaceDE w:val="0"/>
        <w:autoSpaceDN w:val="0"/>
        <w:spacing w:after="120" w:line="276" w:lineRule="auto"/>
        <w:jc w:val="both"/>
        <w:rPr>
          <w:rFonts w:ascii="Verdana" w:eastAsia="Arial" w:hAnsi="Verdana" w:cs="Arial"/>
          <w:color w:val="000000" w:themeColor="text1"/>
          <w:lang w:val="es-ES"/>
        </w:rPr>
      </w:pPr>
      <w:bookmarkStart w:id="1" w:name="_Hlk102983874"/>
      <w:bookmarkStart w:id="2" w:name="_Hlk102388095"/>
      <w:r w:rsidRPr="00603690">
        <w:rPr>
          <w:rFonts w:ascii="Verdana" w:eastAsia="Calibri" w:hAnsi="Verdana" w:cs="Arial"/>
          <w:color w:val="000000" w:themeColor="text1"/>
          <w:lang w:val="es-ES"/>
        </w:rPr>
        <w:t>i)</w:t>
      </w:r>
      <w:r w:rsidRPr="00603690">
        <w:rPr>
          <w:rFonts w:ascii="Verdana" w:eastAsia="Verdana" w:hAnsi="Verdana" w:cs="Verdana"/>
          <w:lang w:val="es-ES"/>
        </w:rPr>
        <w:t xml:space="preserve"> </w:t>
      </w:r>
      <w:r w:rsidRPr="00603690">
        <w:rPr>
          <w:rFonts w:ascii="Verdana" w:eastAsia="Arial" w:hAnsi="Verdana" w:cs="Arial"/>
          <w:color w:val="000000" w:themeColor="text1"/>
          <w:lang w:val="es-ES"/>
        </w:rPr>
        <w:t xml:space="preserve">El artículo 1º de la Ley 80 de 1993 –EGCAP– determina que su objetivo es disponer de reglas y principios que rigen los contratos de las Entidades Estatales. En ese sentido, el artículo 32 </w:t>
      </w:r>
      <w:r w:rsidRPr="00603690">
        <w:rPr>
          <w:rFonts w:ascii="Verdana" w:eastAsia="Arial" w:hAnsi="Verdana" w:cs="Arial"/>
          <w:i/>
          <w:iCs/>
          <w:color w:val="000000" w:themeColor="text1"/>
          <w:lang w:val="es-ES"/>
        </w:rPr>
        <w:t>ibidem</w:t>
      </w:r>
      <w:r w:rsidRPr="00603690">
        <w:rPr>
          <w:rFonts w:ascii="Verdana" w:eastAsia="Arial" w:hAnsi="Verdana" w:cs="Arial"/>
          <w:color w:val="000000" w:themeColor="text1"/>
          <w:lang w:val="es-ES"/>
        </w:rPr>
        <w:t xml:space="preserve"> define los contratos estatales como “todos los actos jurídicos, generadores de obligaciones que celebren las entidades a que se refiere este estatuto [artículo 2], previstos en el derecho privado o en disposiciones especiales, o derivados del ejercicio de la autonomía de la voluntad”. </w:t>
      </w:r>
    </w:p>
    <w:p w14:paraId="480030EC" w14:textId="77777777" w:rsidR="007B5D5A" w:rsidRPr="00603690" w:rsidRDefault="007B5D5A" w:rsidP="007B5D5A">
      <w:pPr>
        <w:widowControl w:val="0"/>
        <w:autoSpaceDE w:val="0"/>
        <w:autoSpaceDN w:val="0"/>
        <w:spacing w:after="0" w:line="276" w:lineRule="auto"/>
        <w:ind w:firstLine="709"/>
        <w:jc w:val="both"/>
        <w:rPr>
          <w:rFonts w:ascii="Verdana" w:eastAsia="Arial" w:hAnsi="Verdana" w:cs="Arial"/>
          <w:color w:val="000000" w:themeColor="text1"/>
          <w:lang w:val="es-ES"/>
        </w:rPr>
      </w:pPr>
      <w:r w:rsidRPr="00603690">
        <w:rPr>
          <w:rFonts w:ascii="Verdana" w:eastAsia="Arial" w:hAnsi="Verdana" w:cs="Arial"/>
          <w:color w:val="000000" w:themeColor="text1"/>
          <w:lang w:val="es-ES"/>
        </w:rPr>
        <w:t xml:space="preserve">De acuerdo con lo anterior, </w:t>
      </w:r>
      <w:bookmarkStart w:id="3" w:name="_Hlk150759794"/>
      <w:r w:rsidRPr="00603690">
        <w:rPr>
          <w:rFonts w:ascii="Verdana" w:eastAsia="Arial" w:hAnsi="Verdana" w:cs="Arial"/>
          <w:color w:val="000000" w:themeColor="text1"/>
          <w:lang w:val="es-ES"/>
        </w:rPr>
        <w:t>para la definición de contrato estatal basta con que una de las Entidades que enumera el artículo 2º de la Ley 80 de 1993</w:t>
      </w:r>
      <w:r w:rsidRPr="00603690">
        <w:rPr>
          <w:rFonts w:ascii="Verdana" w:eastAsia="Arial" w:hAnsi="Verdana" w:cs="Arial"/>
          <w:color w:val="000000" w:themeColor="text1"/>
          <w:vertAlign w:val="superscript"/>
          <w:lang w:val="es-ES"/>
        </w:rPr>
        <w:footnoteReference w:id="2"/>
      </w:r>
      <w:r w:rsidRPr="00603690">
        <w:rPr>
          <w:rFonts w:ascii="Verdana" w:eastAsia="Arial" w:hAnsi="Verdana" w:cs="Arial"/>
          <w:color w:val="000000" w:themeColor="text1"/>
          <w:lang w:val="es-ES"/>
        </w:rPr>
        <w:t xml:space="preserve"> </w:t>
      </w:r>
      <w:r w:rsidRPr="00603690">
        <w:rPr>
          <w:rFonts w:ascii="Verdana" w:eastAsia="Arial" w:hAnsi="Verdana" w:cs="Arial"/>
          <w:color w:val="000000" w:themeColor="text1"/>
          <w:lang w:val="es-ES"/>
        </w:rPr>
        <w:lastRenderedPageBreak/>
        <w:t>sea una de las partes, sin importar el extremo de la relación jurídico negocial que</w:t>
      </w:r>
      <w:r w:rsidRPr="00603690">
        <w:rPr>
          <w:rFonts w:ascii="Verdana" w:eastAsia="Arial" w:hAnsi="Verdana" w:cs="Arial"/>
          <w:color w:val="000000" w:themeColor="text1"/>
          <w:spacing w:val="-14"/>
          <w:lang w:val="es-ES"/>
        </w:rPr>
        <w:t xml:space="preserve"> </w:t>
      </w:r>
      <w:r w:rsidRPr="00603690">
        <w:rPr>
          <w:rFonts w:ascii="Verdana" w:eastAsia="Arial" w:hAnsi="Verdana" w:cs="Arial"/>
          <w:color w:val="000000" w:themeColor="text1"/>
          <w:lang w:val="es-ES"/>
        </w:rPr>
        <w:t>asuma. Al respecto, el Consejo de Estado ha sostenido que el criterio definitorio de un contrato estatal es que haya sido celebrado por una Entidad Estatal</w:t>
      </w:r>
      <w:bookmarkEnd w:id="3"/>
      <w:r w:rsidRPr="00603690">
        <w:rPr>
          <w:rFonts w:ascii="Verdana" w:eastAsia="Arial" w:hAnsi="Verdana" w:cs="Arial"/>
          <w:color w:val="000000" w:themeColor="text1"/>
          <w:lang w:val="es-ES"/>
        </w:rPr>
        <w:t>:</w:t>
      </w:r>
    </w:p>
    <w:p w14:paraId="4A61AF97" w14:textId="77777777" w:rsidR="007B5D5A" w:rsidRPr="00603690" w:rsidRDefault="007B5D5A" w:rsidP="007B5D5A">
      <w:pPr>
        <w:widowControl w:val="0"/>
        <w:autoSpaceDE w:val="0"/>
        <w:autoSpaceDN w:val="0"/>
        <w:spacing w:after="0" w:line="276" w:lineRule="auto"/>
        <w:ind w:firstLine="261"/>
        <w:contextualSpacing/>
        <w:jc w:val="both"/>
        <w:rPr>
          <w:rFonts w:ascii="Verdana" w:eastAsia="Arial" w:hAnsi="Verdana" w:cs="Arial"/>
          <w:color w:val="000000" w:themeColor="text1"/>
          <w:lang w:val="es-ES"/>
        </w:rPr>
      </w:pPr>
    </w:p>
    <w:p w14:paraId="209A163D" w14:textId="77777777" w:rsidR="007B5D5A" w:rsidRPr="00603690" w:rsidRDefault="007B5D5A" w:rsidP="007B5D5A">
      <w:pPr>
        <w:widowControl w:val="0"/>
        <w:tabs>
          <w:tab w:val="left" w:pos="7797"/>
        </w:tabs>
        <w:autoSpaceDE w:val="0"/>
        <w:autoSpaceDN w:val="0"/>
        <w:spacing w:after="0"/>
        <w:ind w:left="709" w:right="709"/>
        <w:contextualSpacing/>
        <w:jc w:val="both"/>
        <w:rPr>
          <w:rFonts w:ascii="Verdana" w:eastAsia="Arial" w:hAnsi="Verdana" w:cs="Arial"/>
          <w:color w:val="000000" w:themeColor="text1"/>
          <w:sz w:val="20"/>
          <w:szCs w:val="20"/>
          <w:lang w:val="es-ES"/>
        </w:rPr>
      </w:pPr>
      <w:r w:rsidRPr="00603690">
        <w:rPr>
          <w:rFonts w:ascii="Verdana" w:eastAsia="Arial" w:hAnsi="Verdana" w:cs="Arial"/>
          <w:color w:val="000000" w:themeColor="text1"/>
          <w:sz w:val="20"/>
          <w:szCs w:val="20"/>
          <w:lang w:val="es-ES"/>
        </w:rPr>
        <w:t>“Nótese cómo, elemento esencial para calificar de estatal un contrato, es que haya sido celebrado por una entidad estatal, es decir, una entidad pública con capacidad legal para celebrarlo. Dicho de otro modo, no existen contratos estatales celebrados entre particulares, ni siquiera cuando éstos han sido habilitados legalmente para el ejercicio de funciones</w:t>
      </w:r>
      <w:r w:rsidRPr="00603690">
        <w:rPr>
          <w:rFonts w:ascii="Verdana" w:eastAsia="Arial" w:hAnsi="Verdana" w:cs="Arial"/>
          <w:color w:val="000000" w:themeColor="text1"/>
          <w:spacing w:val="-4"/>
          <w:sz w:val="20"/>
          <w:szCs w:val="20"/>
          <w:lang w:val="es-ES"/>
        </w:rPr>
        <w:t xml:space="preserve"> </w:t>
      </w:r>
      <w:r w:rsidRPr="00603690">
        <w:rPr>
          <w:rFonts w:ascii="Verdana" w:eastAsia="Arial" w:hAnsi="Verdana" w:cs="Arial"/>
          <w:color w:val="000000" w:themeColor="text1"/>
          <w:sz w:val="20"/>
          <w:szCs w:val="20"/>
          <w:lang w:val="es-ES"/>
        </w:rPr>
        <w:t>públicas”</w:t>
      </w:r>
      <w:r w:rsidRPr="00603690">
        <w:rPr>
          <w:rFonts w:ascii="Verdana" w:eastAsia="Arial" w:hAnsi="Verdana" w:cs="Arial"/>
          <w:color w:val="000000" w:themeColor="text1"/>
          <w:sz w:val="20"/>
          <w:szCs w:val="20"/>
          <w:vertAlign w:val="superscript"/>
          <w:lang w:val="es-ES"/>
        </w:rPr>
        <w:footnoteReference w:id="3"/>
      </w:r>
      <w:r w:rsidRPr="00603690">
        <w:rPr>
          <w:rFonts w:ascii="Verdana" w:eastAsia="Arial" w:hAnsi="Verdana" w:cs="Arial"/>
          <w:color w:val="000000" w:themeColor="text1"/>
          <w:sz w:val="20"/>
          <w:szCs w:val="20"/>
          <w:lang w:val="es-ES"/>
        </w:rPr>
        <w:t>.</w:t>
      </w:r>
    </w:p>
    <w:p w14:paraId="5253E898" w14:textId="77777777" w:rsidR="007B5D5A" w:rsidRPr="00603690" w:rsidRDefault="007B5D5A" w:rsidP="007B5D5A">
      <w:pPr>
        <w:widowControl w:val="0"/>
        <w:autoSpaceDE w:val="0"/>
        <w:autoSpaceDN w:val="0"/>
        <w:spacing w:after="0" w:line="276" w:lineRule="auto"/>
        <w:contextualSpacing/>
        <w:jc w:val="both"/>
        <w:rPr>
          <w:rFonts w:ascii="Verdana" w:eastAsia="Arial" w:hAnsi="Verdana" w:cs="Arial"/>
          <w:color w:val="000000" w:themeColor="text1"/>
          <w:lang w:val="es-ES"/>
        </w:rPr>
      </w:pPr>
    </w:p>
    <w:p w14:paraId="780EDF2A" w14:textId="77777777" w:rsidR="007B5D5A" w:rsidRPr="00603690" w:rsidRDefault="007B5D5A" w:rsidP="007B5D5A">
      <w:pPr>
        <w:widowControl w:val="0"/>
        <w:autoSpaceDE w:val="0"/>
        <w:autoSpaceDN w:val="0"/>
        <w:spacing w:after="120" w:line="276" w:lineRule="auto"/>
        <w:ind w:firstLine="607"/>
        <w:jc w:val="both"/>
        <w:rPr>
          <w:rFonts w:ascii="Verdana" w:eastAsia="Arial" w:hAnsi="Verdana" w:cs="Arial"/>
          <w:color w:val="000000" w:themeColor="text1"/>
          <w:lang w:val="es-ES"/>
        </w:rPr>
      </w:pPr>
      <w:r w:rsidRPr="00603690">
        <w:rPr>
          <w:rFonts w:ascii="Verdana" w:eastAsia="Arial" w:hAnsi="Verdana" w:cs="Arial"/>
          <w:color w:val="000000" w:themeColor="text1"/>
          <w:lang w:val="es-ES"/>
        </w:rPr>
        <w:t xml:space="preserve">Así pues, el contrato estatal es el acto jurídico creador de obligaciones en cuya celebración concurre una de las Entidades Estatales, independientemente de que se trate de contratos previstos o tipificados en el derecho privado, en disposiciones especiales o que sencillamente resulten del ejercicio de la autonomía de la voluntad, como sucede con los que se clasifican como atípicos e innominados –artículo 32 de la Ley 80–. </w:t>
      </w:r>
    </w:p>
    <w:p w14:paraId="6D944731" w14:textId="77777777" w:rsidR="007B5D5A" w:rsidRPr="00603690" w:rsidRDefault="007B5D5A" w:rsidP="007B5D5A">
      <w:pPr>
        <w:widowControl w:val="0"/>
        <w:autoSpaceDE w:val="0"/>
        <w:autoSpaceDN w:val="0"/>
        <w:spacing w:after="120" w:line="276" w:lineRule="auto"/>
        <w:ind w:firstLine="607"/>
        <w:jc w:val="both"/>
        <w:rPr>
          <w:rFonts w:ascii="Verdana" w:eastAsia="Arial" w:hAnsi="Verdana" w:cs="Arial"/>
          <w:color w:val="000000" w:themeColor="text1"/>
          <w:lang w:val="es-ES"/>
        </w:rPr>
      </w:pPr>
      <w:r w:rsidRPr="00603690">
        <w:rPr>
          <w:rFonts w:ascii="Verdana" w:eastAsia="Arial" w:hAnsi="Verdana" w:cs="Arial"/>
          <w:color w:val="000000" w:themeColor="text1"/>
          <w:lang w:val="es-ES"/>
        </w:rPr>
        <w:t>Los artículos 13 y 40 de la Ley 80 de 1993 integran al derecho contractual estatal “las disposiciones comerciales y civiles pertinentes”, cuando indican que estos se regirán de forma supletiva por ese régimen jurídico, salvo en las materias expresa y particularmente reguladas por el EGCAP. Lo anterior, permite concluir que “mediante la Ley 80, se pretendió que la actividad contractual del Estado quedará</w:t>
      </w:r>
      <w:r w:rsidRPr="00603690">
        <w:rPr>
          <w:rFonts w:ascii="Verdana" w:eastAsia="Arial" w:hAnsi="Verdana" w:cs="Arial"/>
          <w:lang w:val="es-ES"/>
        </w:rPr>
        <w:t xml:space="preserve"> </w:t>
      </w:r>
      <w:r w:rsidRPr="00603690">
        <w:rPr>
          <w:rFonts w:ascii="Verdana" w:eastAsia="Arial" w:hAnsi="Verdana" w:cs="Arial"/>
          <w:color w:val="000000" w:themeColor="text1"/>
          <w:lang w:val="es-ES"/>
        </w:rPr>
        <w:t>bajo la égida del contrato estatal, caracterizado por tener un régimen jurídico mixto, integrado por normas de derecho público y derecho privado”</w:t>
      </w:r>
      <w:r w:rsidRPr="00603690">
        <w:rPr>
          <w:rFonts w:ascii="Verdana" w:eastAsia="Arial" w:hAnsi="Verdana" w:cs="Arial"/>
          <w:color w:val="000000" w:themeColor="text1"/>
          <w:vertAlign w:val="superscript"/>
          <w:lang w:val="es-ES"/>
        </w:rPr>
        <w:footnoteReference w:id="4"/>
      </w:r>
      <w:r w:rsidRPr="00603690">
        <w:rPr>
          <w:rFonts w:ascii="Verdana" w:eastAsia="Arial" w:hAnsi="Verdana" w:cs="Arial"/>
          <w:color w:val="000000" w:themeColor="text1"/>
          <w:lang w:val="es-ES"/>
        </w:rPr>
        <w:t xml:space="preserve">. </w:t>
      </w:r>
    </w:p>
    <w:p w14:paraId="6C7C033B" w14:textId="77777777" w:rsidR="007B5D5A" w:rsidRDefault="007B5D5A" w:rsidP="007B5D5A">
      <w:pPr>
        <w:spacing w:after="0" w:line="276" w:lineRule="auto"/>
        <w:ind w:firstLine="709"/>
        <w:jc w:val="both"/>
        <w:rPr>
          <w:rFonts w:ascii="Verdana" w:eastAsia="Calibri" w:hAnsi="Verdana" w:cs="Arial"/>
          <w:lang w:val="es-ES"/>
        </w:rPr>
      </w:pPr>
      <w:bookmarkStart w:id="4" w:name="_Hlk121750642"/>
      <w:r w:rsidRPr="00603690">
        <w:rPr>
          <w:rFonts w:ascii="Verdana" w:hAnsi="Verdana" w:cs="Arial"/>
          <w:color w:val="000000" w:themeColor="text1"/>
          <w:lang w:val="es-ES"/>
        </w:rPr>
        <w:t xml:space="preserve">Ahora bien, es preciso mencionar que las </w:t>
      </w:r>
      <w:r w:rsidRPr="00603690">
        <w:rPr>
          <w:rFonts w:ascii="Verdana" w:eastAsia="Calibri" w:hAnsi="Verdana" w:cs="Arial"/>
          <w:lang w:val="es-ES"/>
        </w:rPr>
        <w:t xml:space="preserve">Entidades Estatales regidas por el EGCAP están habilitadas para celebrar los contratos que suelen celebrar los particulares entre sí, en ejercicio de la autonomía de la voluntad privada. En ese sentido, puede ocurrir que dentro de la gestión ordinaria de sus competencias las entidades tengan necesidades que deban ser satisfechas a través de contratos como el arrendamiento – al que se refiere en su consulta –, comodato o administración, en los que además de las disposiciones del EGCAP deberán </w:t>
      </w:r>
      <w:r w:rsidRPr="00603690">
        <w:rPr>
          <w:rFonts w:ascii="Verdana" w:eastAsia="Calibri" w:hAnsi="Verdana" w:cs="Arial"/>
          <w:lang w:val="es-ES"/>
        </w:rPr>
        <w:lastRenderedPageBreak/>
        <w:t xml:space="preserve">aplicarse en su mayoría normas de derecho privado, lo que de ninguna manera desvirtúa la calidad de estatal de dichos contratos. </w:t>
      </w:r>
      <w:bookmarkEnd w:id="4"/>
    </w:p>
    <w:p w14:paraId="6C94E5F1" w14:textId="77777777" w:rsidR="007B5D5A" w:rsidRPr="00603690" w:rsidRDefault="007B5D5A" w:rsidP="007B5D5A">
      <w:pPr>
        <w:spacing w:before="120" w:after="120" w:line="276" w:lineRule="auto"/>
        <w:ind w:firstLine="709"/>
        <w:jc w:val="both"/>
        <w:rPr>
          <w:rFonts w:ascii="Verdana" w:eastAsia="Calibri" w:hAnsi="Verdana" w:cs="Arial"/>
          <w:lang w:val="es-ES"/>
        </w:rPr>
      </w:pPr>
      <w:r w:rsidRPr="00603690">
        <w:rPr>
          <w:rFonts w:ascii="Verdana" w:eastAsia="Calibri" w:hAnsi="Verdana" w:cs="Arial"/>
          <w:color w:val="000000" w:themeColor="text1"/>
          <w:lang w:val="es-ES"/>
        </w:rPr>
        <w:t xml:space="preserve">Teniendo en cuenta el objeto de su consulta, es pertinente indicar que </w:t>
      </w:r>
      <w:r w:rsidRPr="00603690">
        <w:rPr>
          <w:rFonts w:ascii="Verdana" w:hAnsi="Verdana" w:cs="Arial"/>
          <w:bCs/>
          <w:color w:val="000000" w:themeColor="text1"/>
          <w:lang w:val="es-ES"/>
        </w:rPr>
        <w:t>la Ley 80 de 1993</w:t>
      </w:r>
      <w:r w:rsidRPr="00603690">
        <w:rPr>
          <w:rFonts w:ascii="Verdana" w:hAnsi="Verdana" w:cs="Arial"/>
          <w:lang w:val="es-ES"/>
        </w:rPr>
        <w:t xml:space="preserve"> define los contratos estatales en el artículo 32 y establece un listado enunciativo. De acuerdo con esta disposición, todos los actos jurídicos, cualquiera que sea su denominación, que celebren las entidades a las que se refiere el EGCAP y que generen obligaciones, son contratos estatales</w:t>
      </w:r>
      <w:r w:rsidRPr="00603690">
        <w:rPr>
          <w:rStyle w:val="Refdenotaalpie"/>
          <w:rFonts w:ascii="Verdana" w:hAnsi="Verdana" w:cs="Arial"/>
          <w:bCs/>
          <w:color w:val="000000" w:themeColor="text1"/>
          <w:lang w:val="es-ES"/>
        </w:rPr>
        <w:footnoteReference w:id="5"/>
      </w:r>
      <w:r w:rsidRPr="00603690">
        <w:rPr>
          <w:rFonts w:ascii="Verdana" w:hAnsi="Verdana" w:cs="Arial"/>
          <w:lang w:val="es-ES"/>
        </w:rPr>
        <w:t xml:space="preserve">. Entre los contratos que enuncia el artículo 32 </w:t>
      </w:r>
      <w:r w:rsidRPr="00603690">
        <w:rPr>
          <w:rFonts w:ascii="Verdana" w:hAnsi="Verdana" w:cs="Arial"/>
          <w:i/>
          <w:iCs/>
          <w:lang w:val="es-ES"/>
        </w:rPr>
        <w:t>ibidem</w:t>
      </w:r>
      <w:r w:rsidRPr="00603690">
        <w:rPr>
          <w:rFonts w:ascii="Verdana" w:hAnsi="Verdana" w:cs="Arial"/>
          <w:lang w:val="es-ES"/>
        </w:rPr>
        <w:t xml:space="preserve"> se encuentran el contrato de obra, el contrato de consultoría, el contrato de prestación de servicios, el contrato de concesión y los encargos fiduciarios y fiducia pública. </w:t>
      </w:r>
    </w:p>
    <w:p w14:paraId="274643F7" w14:textId="77777777" w:rsidR="007B5D5A" w:rsidRPr="00603690" w:rsidRDefault="007B5D5A" w:rsidP="007B5D5A">
      <w:pPr>
        <w:spacing w:after="120" w:line="276" w:lineRule="auto"/>
        <w:ind w:firstLine="708"/>
        <w:jc w:val="both"/>
        <w:rPr>
          <w:rFonts w:ascii="Verdana" w:hAnsi="Verdana" w:cs="Arial"/>
          <w:bCs/>
          <w:color w:val="000000" w:themeColor="text1"/>
          <w:lang w:val="es-ES"/>
        </w:rPr>
      </w:pPr>
      <w:r w:rsidRPr="00603690">
        <w:rPr>
          <w:rFonts w:ascii="Verdana" w:hAnsi="Verdana" w:cs="Arial"/>
          <w:lang w:val="es-ES" w:eastAsia="es-MX"/>
        </w:rPr>
        <w:t xml:space="preserve">Aunque el contrato de arrendamiento no </w:t>
      </w:r>
      <w:r>
        <w:rPr>
          <w:rFonts w:ascii="Verdana" w:hAnsi="Verdana" w:cs="Arial"/>
          <w:lang w:val="es-ES" w:eastAsia="es-MX"/>
        </w:rPr>
        <w:t xml:space="preserve">hace parte </w:t>
      </w:r>
      <w:r w:rsidRPr="00603690">
        <w:rPr>
          <w:rFonts w:ascii="Verdana" w:hAnsi="Verdana" w:cs="Arial"/>
          <w:lang w:val="es-ES" w:eastAsia="es-MX"/>
        </w:rPr>
        <w:t>del listado enunciativo del</w:t>
      </w:r>
      <w:r w:rsidRPr="00603690">
        <w:rPr>
          <w:rFonts w:ascii="Verdana" w:hAnsi="Verdana" w:cs="Arial"/>
          <w:bCs/>
          <w:color w:val="000000" w:themeColor="text1"/>
          <w:lang w:val="es-ES"/>
        </w:rPr>
        <w:t xml:space="preserve"> artículo 32 de la Ley 80 de 1993, su regulación se encuentra en el Código Civil y en el Código de Comercio, principalmente, los artículos 1973 al 2078 del Código Civil que lo desarrollan. </w:t>
      </w:r>
      <w:r>
        <w:rPr>
          <w:rFonts w:ascii="Verdana" w:hAnsi="Verdana" w:cs="Arial"/>
          <w:bCs/>
          <w:color w:val="000000" w:themeColor="text1"/>
          <w:lang w:val="es-ES"/>
        </w:rPr>
        <w:t>T</w:t>
      </w:r>
      <w:r w:rsidRPr="00603690">
        <w:rPr>
          <w:rFonts w:ascii="Verdana" w:hAnsi="Verdana" w:cs="Arial"/>
          <w:bCs/>
          <w:color w:val="000000" w:themeColor="text1"/>
          <w:lang w:val="es-ES"/>
        </w:rPr>
        <w:t>ambién existen normas especiales sobre el contrato de arrendamiento en los artículos 518 al 523 del Código de Comercio –sobre arrendamiento de inmuebles para los establecimientos de comercio–, 1678 al 1687 y 1890 al 1899 de la misma codificación –sobre arrendamiento de naves–; y en la Ley 820 de 2003, por la cual se expide el régimen de arrendamiento de vivienda urbana.</w:t>
      </w:r>
    </w:p>
    <w:p w14:paraId="4DAA267C" w14:textId="77777777" w:rsidR="007B5D5A" w:rsidRDefault="007B5D5A" w:rsidP="007B5D5A">
      <w:pPr>
        <w:spacing w:after="120" w:line="276" w:lineRule="auto"/>
        <w:ind w:firstLine="708"/>
        <w:jc w:val="both"/>
        <w:rPr>
          <w:rFonts w:ascii="Verdana" w:eastAsia="Calibri" w:hAnsi="Verdana" w:cs="Arial"/>
          <w:color w:val="000000" w:themeColor="text1"/>
          <w:lang w:val="es-ES"/>
        </w:rPr>
      </w:pPr>
      <w:r w:rsidRPr="00603690">
        <w:rPr>
          <w:rFonts w:ascii="Verdana" w:eastAsia="Calibri" w:hAnsi="Verdana" w:cs="Arial"/>
          <w:color w:val="000000" w:themeColor="text1"/>
          <w:lang w:val="es-ES"/>
        </w:rPr>
        <w:t>El artículo 1973 del Código Civil define el contrato de arrendamiento como “[…] un contrato en que las dos partes se obligan recíprocamente, la una a conceder el goce de una cosa, o a ejecutar una obra o prestar un servicio, y la otra a pagar por este goce, obra o servicio un precio determinado”. Se trata pues del acuerdo de voluntades en virtud del cual una de las partes –llamada arrendador o arrendadora– se obliga a concederle a otra –llamada arrendatario o arrendataria– el uso y goce de un bien, a cambio de una renta o canon, diferenciándose del contrato de compraventa en que no opera una transferencia del dominio del bien cuyo uso y goce se entrega.</w:t>
      </w:r>
    </w:p>
    <w:p w14:paraId="13932F07" w14:textId="77777777" w:rsidR="007B5D5A" w:rsidRPr="00603690" w:rsidRDefault="007B5D5A" w:rsidP="007B5D5A">
      <w:pPr>
        <w:spacing w:after="120" w:line="276" w:lineRule="auto"/>
        <w:ind w:firstLine="708"/>
        <w:jc w:val="both"/>
        <w:rPr>
          <w:rFonts w:ascii="Verdana" w:eastAsia="Calibri" w:hAnsi="Verdana" w:cs="Arial"/>
          <w:color w:val="000000" w:themeColor="text1"/>
          <w:lang w:val="es-ES"/>
        </w:rPr>
      </w:pPr>
      <w:r w:rsidRPr="00603690">
        <w:rPr>
          <w:rFonts w:ascii="Verdana" w:eastAsia="Calibri" w:hAnsi="Verdana" w:cs="Arial"/>
          <w:color w:val="000000" w:themeColor="text1"/>
          <w:lang w:val="es-ES"/>
        </w:rPr>
        <w:t xml:space="preserve">En cuanto a sus características, la doctrina ha indicado que el arrendamiento es un contrato: i) bilateral, pues ambas partes se obligan recíprocamente; </w:t>
      </w:r>
      <w:proofErr w:type="spellStart"/>
      <w:r w:rsidRPr="00603690">
        <w:rPr>
          <w:rFonts w:ascii="Verdana" w:eastAsia="Calibri" w:hAnsi="Verdana" w:cs="Arial"/>
          <w:color w:val="000000" w:themeColor="text1"/>
          <w:lang w:val="es-ES"/>
        </w:rPr>
        <w:t>ii</w:t>
      </w:r>
      <w:proofErr w:type="spellEnd"/>
      <w:r w:rsidRPr="00603690">
        <w:rPr>
          <w:rFonts w:ascii="Verdana" w:eastAsia="Calibri" w:hAnsi="Verdana" w:cs="Arial"/>
          <w:color w:val="000000" w:themeColor="text1"/>
          <w:lang w:val="es-ES"/>
        </w:rPr>
        <w:t xml:space="preserve">) consensual, dado que se perfecciona con el consentimiento; </w:t>
      </w:r>
      <w:proofErr w:type="spellStart"/>
      <w:r w:rsidRPr="00603690">
        <w:rPr>
          <w:rFonts w:ascii="Verdana" w:eastAsia="Calibri" w:hAnsi="Verdana" w:cs="Arial"/>
          <w:color w:val="000000" w:themeColor="text1"/>
          <w:lang w:val="es-ES"/>
        </w:rPr>
        <w:lastRenderedPageBreak/>
        <w:t>iii</w:t>
      </w:r>
      <w:proofErr w:type="spellEnd"/>
      <w:r w:rsidRPr="00603690">
        <w:rPr>
          <w:rFonts w:ascii="Verdana" w:eastAsia="Calibri" w:hAnsi="Verdana" w:cs="Arial"/>
          <w:color w:val="000000" w:themeColor="text1"/>
          <w:lang w:val="es-ES"/>
        </w:rPr>
        <w:t xml:space="preserve">) oneroso, ya que ambas partes obtienen utilidades –el arrendatario, el uso y goce del bien, y el arrendador la renta o canon–; </w:t>
      </w:r>
      <w:proofErr w:type="spellStart"/>
      <w:r w:rsidRPr="00603690">
        <w:rPr>
          <w:rFonts w:ascii="Verdana" w:eastAsia="Calibri" w:hAnsi="Verdana" w:cs="Arial"/>
          <w:color w:val="000000" w:themeColor="text1"/>
          <w:lang w:val="es-ES"/>
        </w:rPr>
        <w:t>iv</w:t>
      </w:r>
      <w:proofErr w:type="spellEnd"/>
      <w:r w:rsidRPr="00603690">
        <w:rPr>
          <w:rFonts w:ascii="Verdana" w:eastAsia="Calibri" w:hAnsi="Verdana" w:cs="Arial"/>
          <w:color w:val="000000" w:themeColor="text1"/>
          <w:lang w:val="es-ES"/>
        </w:rPr>
        <w:t>) de ejecución sucesiva, en la medida en que se ejecuta en forma periódica; v) principal, porque existe en forma autónoma; y v</w:t>
      </w:r>
      <w:r>
        <w:rPr>
          <w:rFonts w:ascii="Verdana" w:eastAsia="Calibri" w:hAnsi="Verdana" w:cs="Arial"/>
          <w:color w:val="000000" w:themeColor="text1"/>
          <w:lang w:val="es-ES"/>
        </w:rPr>
        <w:t>i</w:t>
      </w:r>
      <w:r w:rsidRPr="00603690">
        <w:rPr>
          <w:rFonts w:ascii="Verdana" w:eastAsia="Calibri" w:hAnsi="Verdana" w:cs="Arial"/>
          <w:color w:val="000000" w:themeColor="text1"/>
          <w:lang w:val="es-ES"/>
        </w:rPr>
        <w:t>) nominado, porque está tipificado y desarrollado en la ley.</w:t>
      </w:r>
    </w:p>
    <w:p w14:paraId="107FDA11" w14:textId="77777777" w:rsidR="007B5D5A" w:rsidRPr="00603690" w:rsidRDefault="007B5D5A" w:rsidP="007B5D5A">
      <w:pPr>
        <w:spacing w:after="120" w:line="276" w:lineRule="auto"/>
        <w:ind w:firstLine="709"/>
        <w:jc w:val="both"/>
        <w:rPr>
          <w:rFonts w:ascii="Verdana" w:eastAsia="Calibri" w:hAnsi="Verdana" w:cs="Arial"/>
          <w:color w:val="000000" w:themeColor="text1"/>
          <w:lang w:val="es-ES"/>
        </w:rPr>
      </w:pPr>
      <w:r w:rsidRPr="00603690">
        <w:rPr>
          <w:rFonts w:ascii="Verdana" w:eastAsia="Calibri" w:hAnsi="Verdana" w:cs="Arial"/>
          <w:color w:val="000000" w:themeColor="text1"/>
          <w:lang w:val="es-ES"/>
        </w:rPr>
        <w:t xml:space="preserve">En igual sentido, por su importancia en la contratación estatal, debe precisarse que la modalidad de selección aplicable a la celebración de los contratos de arrendamiento depende del régimen aplicable a la entidad estatal. Si se rige por el derecho privado, es decir, si está exceptuada del Estatuto General de Contratación de la Administración Pública, debe aplicar en principio las normas civiles y comerciales mencionadas, en las cuales se permite la celebración directa del contrato de arrendamiento, pero si el reglamento o manual interno de contratación de la entidad dispone que debe efectuar algún procedimiento especial, este prevalece. </w:t>
      </w:r>
    </w:p>
    <w:p w14:paraId="13DD6C56" w14:textId="77777777" w:rsidR="007B5D5A" w:rsidRPr="00603690" w:rsidRDefault="007B5D5A" w:rsidP="007B5D5A">
      <w:pPr>
        <w:spacing w:after="120" w:line="276" w:lineRule="auto"/>
        <w:ind w:firstLine="709"/>
        <w:jc w:val="both"/>
        <w:rPr>
          <w:rFonts w:ascii="Verdana" w:eastAsia="Calibri" w:hAnsi="Verdana" w:cs="Arial"/>
          <w:color w:val="000000" w:themeColor="text1"/>
          <w:lang w:val="es-ES"/>
        </w:rPr>
      </w:pPr>
      <w:r w:rsidRPr="00603690">
        <w:rPr>
          <w:rFonts w:ascii="Verdana" w:eastAsia="Calibri" w:hAnsi="Verdana" w:cs="Arial"/>
          <w:color w:val="000000" w:themeColor="text1"/>
          <w:lang w:val="es-ES"/>
        </w:rPr>
        <w:t>En contraste, si la entidad estatal se rige por el Estatuto General de Contratación de la Administración Pública, bien sea que obre en calidad de arrendadora o arrendataria, debe acudir a la modalidad de selección de contratación directa si arr</w:t>
      </w:r>
      <w:r>
        <w:rPr>
          <w:rFonts w:ascii="Verdana" w:eastAsia="Calibri" w:hAnsi="Verdana" w:cs="Arial"/>
          <w:color w:val="000000" w:themeColor="text1"/>
          <w:lang w:val="es-ES"/>
        </w:rPr>
        <w:t>ienda</w:t>
      </w:r>
      <w:r w:rsidRPr="00603690">
        <w:rPr>
          <w:rFonts w:ascii="Verdana" w:eastAsia="Calibri" w:hAnsi="Verdana" w:cs="Arial"/>
          <w:color w:val="000000" w:themeColor="text1"/>
          <w:lang w:val="es-ES"/>
        </w:rPr>
        <w:t xml:space="preserve"> un inmueble, pues el artículo 2º, numeral 4° literal i) de la Ley 1150 de 2007 establece que una de las causales de este procedimiento es “i) El arrendamiento o adquisición de inmuebles”. </w:t>
      </w:r>
    </w:p>
    <w:p w14:paraId="3091CE86" w14:textId="77777777" w:rsidR="007B5D5A" w:rsidRPr="00603690" w:rsidRDefault="007B5D5A" w:rsidP="007B5D5A">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E</w:t>
      </w:r>
      <w:r w:rsidRPr="00603690">
        <w:rPr>
          <w:rFonts w:ascii="Verdana" w:eastAsia="Calibri" w:hAnsi="Verdana" w:cs="Arial"/>
          <w:color w:val="000000" w:themeColor="text1"/>
          <w:lang w:val="es-ES"/>
        </w:rPr>
        <w:t xml:space="preserve">l arrendamiento de inmuebles por parte de </w:t>
      </w:r>
      <w:r>
        <w:rPr>
          <w:rFonts w:ascii="Verdana" w:eastAsia="Calibri" w:hAnsi="Verdana" w:cs="Arial"/>
          <w:color w:val="000000" w:themeColor="text1"/>
          <w:lang w:val="es-ES"/>
        </w:rPr>
        <w:t>E</w:t>
      </w:r>
      <w:r w:rsidRPr="00603690">
        <w:rPr>
          <w:rFonts w:ascii="Verdana" w:eastAsia="Calibri" w:hAnsi="Verdana" w:cs="Arial"/>
          <w:color w:val="000000" w:themeColor="text1"/>
          <w:lang w:val="es-ES"/>
        </w:rPr>
        <w:t xml:space="preserve">ntidades </w:t>
      </w:r>
      <w:r>
        <w:rPr>
          <w:rFonts w:ascii="Verdana" w:eastAsia="Calibri" w:hAnsi="Verdana" w:cs="Arial"/>
          <w:color w:val="000000" w:themeColor="text1"/>
          <w:lang w:val="es-ES"/>
        </w:rPr>
        <w:t xml:space="preserve">Estatales </w:t>
      </w:r>
      <w:r w:rsidRPr="00603690">
        <w:rPr>
          <w:rFonts w:ascii="Verdana" w:eastAsia="Calibri" w:hAnsi="Verdana" w:cs="Arial"/>
          <w:color w:val="000000" w:themeColor="text1"/>
          <w:lang w:val="es-ES"/>
        </w:rPr>
        <w:t>fue reglamentado por el artículo 83 del Decreto 2474 de 2008</w:t>
      </w:r>
      <w:r>
        <w:rPr>
          <w:rFonts w:ascii="Verdana" w:eastAsia="Calibri" w:hAnsi="Verdana" w:cs="Arial"/>
          <w:color w:val="000000" w:themeColor="text1"/>
          <w:lang w:val="es-ES"/>
        </w:rPr>
        <w:t>,</w:t>
      </w:r>
      <w:r w:rsidRPr="00603690">
        <w:rPr>
          <w:rFonts w:ascii="Verdana" w:eastAsia="Calibri" w:hAnsi="Verdana" w:cs="Arial"/>
          <w:color w:val="000000" w:themeColor="text1"/>
          <w:lang w:val="es-ES"/>
        </w:rPr>
        <w:t xml:space="preserve"> el cual estableció que la entidad podía “contratar tomando como única consideración las condiciones del mercado”. De esta manera, </w:t>
      </w:r>
      <w:r>
        <w:rPr>
          <w:rFonts w:ascii="Verdana" w:eastAsia="Calibri" w:hAnsi="Verdana" w:cs="Arial"/>
          <w:color w:val="000000" w:themeColor="text1"/>
          <w:lang w:val="es-ES"/>
        </w:rPr>
        <w:t xml:space="preserve">la norma </w:t>
      </w:r>
      <w:r w:rsidRPr="00603690">
        <w:rPr>
          <w:rFonts w:ascii="Verdana" w:eastAsia="Calibri" w:hAnsi="Verdana" w:cs="Arial"/>
          <w:color w:val="000000" w:themeColor="text1"/>
          <w:lang w:val="es-ES"/>
        </w:rPr>
        <w:t>sujetó la fijación de las condiciones del contrato de arrendamiento, incluyendo el canon, a las dinámicas del mercado</w:t>
      </w:r>
      <w:r>
        <w:rPr>
          <w:rFonts w:ascii="Verdana" w:eastAsia="Calibri" w:hAnsi="Verdana" w:cs="Arial"/>
          <w:color w:val="000000" w:themeColor="text1"/>
          <w:lang w:val="es-ES"/>
        </w:rPr>
        <w:t xml:space="preserve">. Con esto, estableció una nueva regla con respecto a </w:t>
      </w:r>
      <w:r w:rsidRPr="00603690">
        <w:rPr>
          <w:rFonts w:ascii="Verdana" w:eastAsia="Calibri" w:hAnsi="Verdana" w:cs="Arial"/>
          <w:color w:val="000000" w:themeColor="text1"/>
          <w:lang w:val="es-ES"/>
        </w:rPr>
        <w:t xml:space="preserve">lo </w:t>
      </w:r>
      <w:r>
        <w:rPr>
          <w:rFonts w:ascii="Verdana" w:eastAsia="Calibri" w:hAnsi="Verdana" w:cs="Arial"/>
          <w:color w:val="000000" w:themeColor="text1"/>
          <w:lang w:val="es-ES"/>
        </w:rPr>
        <w:t xml:space="preserve">previamente regulado por </w:t>
      </w:r>
      <w:r w:rsidRPr="00603690">
        <w:rPr>
          <w:rFonts w:ascii="Verdana" w:eastAsia="Calibri" w:hAnsi="Verdana" w:cs="Arial"/>
          <w:color w:val="000000" w:themeColor="text1"/>
          <w:lang w:val="es-ES"/>
        </w:rPr>
        <w:t>el Decreto 1376 de 1986 que establecía topes porcentuales para fijar el precio del arrendamiento</w:t>
      </w:r>
      <w:r>
        <w:rPr>
          <w:rFonts w:ascii="Verdana" w:eastAsia="Calibri" w:hAnsi="Verdana" w:cs="Arial"/>
          <w:color w:val="000000" w:themeColor="text1"/>
          <w:lang w:val="es-ES"/>
        </w:rPr>
        <w:t>,</w:t>
      </w:r>
      <w:r w:rsidRPr="00603690">
        <w:rPr>
          <w:rFonts w:ascii="Verdana" w:eastAsia="Calibri" w:hAnsi="Verdana" w:cs="Arial"/>
          <w:color w:val="000000" w:themeColor="text1"/>
          <w:lang w:val="es-ES"/>
        </w:rPr>
        <w:t xml:space="preserve"> según el avalúo catastral del bien inmueble.</w:t>
      </w:r>
      <w:r>
        <w:rPr>
          <w:rFonts w:ascii="Verdana" w:eastAsia="Calibri" w:hAnsi="Verdana" w:cs="Arial"/>
          <w:color w:val="000000" w:themeColor="text1"/>
          <w:lang w:val="es-ES"/>
        </w:rPr>
        <w:t xml:space="preserve"> De esta forma</w:t>
      </w:r>
      <w:r w:rsidRPr="00603690">
        <w:rPr>
          <w:rFonts w:ascii="Verdana" w:eastAsia="Calibri" w:hAnsi="Verdana" w:cs="Arial"/>
          <w:color w:val="000000" w:themeColor="text1"/>
          <w:lang w:val="es-ES"/>
        </w:rPr>
        <w:t xml:space="preserve">, el Decreto 2474 de 2008 </w:t>
      </w:r>
      <w:r>
        <w:rPr>
          <w:rFonts w:ascii="Verdana" w:eastAsia="Calibri" w:hAnsi="Verdana" w:cs="Arial"/>
          <w:color w:val="000000" w:themeColor="text1"/>
          <w:lang w:val="es-ES"/>
        </w:rPr>
        <w:t xml:space="preserve">derogó tácitamente lo señalado en el </w:t>
      </w:r>
      <w:r w:rsidRPr="00603690">
        <w:rPr>
          <w:rFonts w:ascii="Verdana" w:eastAsia="Calibri" w:hAnsi="Verdana" w:cs="Arial"/>
          <w:color w:val="000000" w:themeColor="text1"/>
          <w:lang w:val="es-ES"/>
        </w:rPr>
        <w:t>Decreto 1376 de 1986</w:t>
      </w:r>
      <w:r>
        <w:rPr>
          <w:rFonts w:ascii="Verdana" w:eastAsia="Calibri" w:hAnsi="Verdana" w:cs="Arial"/>
          <w:color w:val="000000" w:themeColor="text1"/>
          <w:lang w:val="es-ES"/>
        </w:rPr>
        <w:t>,</w:t>
      </w:r>
      <w:r w:rsidRPr="00603690">
        <w:rPr>
          <w:rFonts w:ascii="Verdana" w:eastAsia="Calibri" w:hAnsi="Verdana" w:cs="Arial"/>
          <w:color w:val="000000" w:themeColor="text1"/>
          <w:lang w:val="es-ES"/>
        </w:rPr>
        <w:t xml:space="preserve"> al </w:t>
      </w:r>
      <w:r>
        <w:rPr>
          <w:rFonts w:ascii="Verdana" w:eastAsia="Calibri" w:hAnsi="Verdana" w:cs="Arial"/>
          <w:color w:val="000000" w:themeColor="text1"/>
          <w:lang w:val="es-ES"/>
        </w:rPr>
        <w:t>tratarse de</w:t>
      </w:r>
      <w:r w:rsidRPr="00603690">
        <w:rPr>
          <w:rFonts w:ascii="Verdana" w:eastAsia="Calibri" w:hAnsi="Verdana" w:cs="Arial"/>
          <w:color w:val="000000" w:themeColor="text1"/>
          <w:lang w:val="es-ES"/>
        </w:rPr>
        <w:t xml:space="preserve"> una norma posterior que regula de manera específica</w:t>
      </w:r>
      <w:r>
        <w:rPr>
          <w:rFonts w:ascii="Verdana" w:eastAsia="Calibri" w:hAnsi="Verdana" w:cs="Arial"/>
          <w:color w:val="000000" w:themeColor="text1"/>
          <w:lang w:val="es-ES"/>
        </w:rPr>
        <w:t xml:space="preserve"> las condiciones para el arrendamiento de inmuebles por parte del Estado</w:t>
      </w:r>
      <w:r w:rsidRPr="00603690">
        <w:rPr>
          <w:rFonts w:ascii="Verdana" w:eastAsia="Calibri" w:hAnsi="Verdana" w:cs="Arial"/>
          <w:color w:val="000000" w:themeColor="text1"/>
          <w:lang w:val="es-ES"/>
        </w:rPr>
        <w:t>.</w:t>
      </w:r>
    </w:p>
    <w:p w14:paraId="64ACB5C2" w14:textId="77777777" w:rsidR="007B5D5A" w:rsidRPr="00E4716B" w:rsidRDefault="007B5D5A" w:rsidP="007B5D5A">
      <w:pPr>
        <w:spacing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Es importante tener en cuenta que e</w:t>
      </w:r>
      <w:r w:rsidRPr="00603690">
        <w:rPr>
          <w:rFonts w:ascii="Verdana" w:eastAsia="Calibri" w:hAnsi="Verdana" w:cs="Arial"/>
          <w:color w:val="000000" w:themeColor="text1"/>
          <w:lang w:val="es-ES"/>
        </w:rPr>
        <w:t>l Decreto 2474 de 2008 fue</w:t>
      </w:r>
      <w:r>
        <w:rPr>
          <w:rFonts w:ascii="Verdana" w:eastAsia="Calibri" w:hAnsi="Verdana" w:cs="Arial"/>
          <w:color w:val="000000" w:themeColor="text1"/>
          <w:lang w:val="es-ES"/>
        </w:rPr>
        <w:t xml:space="preserve"> </w:t>
      </w:r>
      <w:r w:rsidRPr="00603690">
        <w:rPr>
          <w:rFonts w:ascii="Verdana" w:eastAsia="Calibri" w:hAnsi="Verdana" w:cs="Arial"/>
          <w:color w:val="000000" w:themeColor="text1"/>
          <w:lang w:val="es-ES"/>
        </w:rPr>
        <w:t xml:space="preserve">posteriormente derogado por el artículo 9.2 del Decreto 734 de 2012, </w:t>
      </w:r>
      <w:r>
        <w:rPr>
          <w:rFonts w:ascii="Verdana" w:eastAsia="Calibri" w:hAnsi="Verdana" w:cs="Arial"/>
          <w:color w:val="000000" w:themeColor="text1"/>
          <w:lang w:val="es-ES"/>
        </w:rPr>
        <w:t xml:space="preserve">a su vez </w:t>
      </w:r>
      <w:r w:rsidRPr="00603690">
        <w:rPr>
          <w:rFonts w:ascii="Verdana" w:eastAsia="Calibri" w:hAnsi="Verdana" w:cs="Arial"/>
          <w:color w:val="000000" w:themeColor="text1"/>
          <w:lang w:val="es-ES"/>
        </w:rPr>
        <w:t xml:space="preserve">derogado por el Decreto 1510 de 2013, norma </w:t>
      </w:r>
      <w:r>
        <w:rPr>
          <w:rFonts w:ascii="Verdana" w:eastAsia="Calibri" w:hAnsi="Verdana" w:cs="Arial"/>
          <w:color w:val="000000" w:themeColor="text1"/>
          <w:lang w:val="es-ES"/>
        </w:rPr>
        <w:t xml:space="preserve">que fue finalmente </w:t>
      </w:r>
      <w:r w:rsidRPr="00603690">
        <w:rPr>
          <w:rFonts w:ascii="Verdana" w:eastAsia="Calibri" w:hAnsi="Verdana" w:cs="Arial"/>
          <w:color w:val="000000" w:themeColor="text1"/>
          <w:lang w:val="es-ES"/>
        </w:rPr>
        <w:t>compilada en el Decreto 1082 de 2015</w:t>
      </w:r>
      <w:r>
        <w:rPr>
          <w:rFonts w:ascii="Verdana" w:eastAsia="Calibri" w:hAnsi="Verdana" w:cs="Arial"/>
          <w:color w:val="000000" w:themeColor="text1"/>
          <w:lang w:val="es-ES"/>
        </w:rPr>
        <w:t>,</w:t>
      </w:r>
      <w:r w:rsidRPr="00603690">
        <w:rPr>
          <w:rFonts w:ascii="Verdana" w:eastAsia="Calibri" w:hAnsi="Verdana" w:cs="Arial"/>
          <w:color w:val="000000" w:themeColor="text1"/>
          <w:lang w:val="es-ES"/>
        </w:rPr>
        <w:t xml:space="preserve"> actualmente vigente. En este sentido, las condiciones </w:t>
      </w:r>
      <w:r w:rsidRPr="00603690">
        <w:rPr>
          <w:rFonts w:ascii="Verdana" w:eastAsia="Calibri" w:hAnsi="Verdana" w:cs="Arial"/>
          <w:color w:val="000000" w:themeColor="text1"/>
          <w:lang w:val="es-ES"/>
        </w:rPr>
        <w:lastRenderedPageBreak/>
        <w:t xml:space="preserve">de los contratos de arrendamiento de bienes inmuebles que adelanten las entidades sometidas al Estatuto General de Contratación de la Administración Pública se regirán por lo dispuesto en la Ley 80 de 1993, la Ley 1150 de 2007 y su </w:t>
      </w:r>
      <w:r>
        <w:rPr>
          <w:rFonts w:ascii="Verdana" w:eastAsia="Calibri" w:hAnsi="Verdana" w:cs="Arial"/>
          <w:color w:val="000000" w:themeColor="text1"/>
          <w:lang w:val="es-ES"/>
        </w:rPr>
        <w:t xml:space="preserve">el </w:t>
      </w:r>
      <w:r w:rsidRPr="00603690">
        <w:rPr>
          <w:rFonts w:ascii="Verdana" w:eastAsia="Calibri" w:hAnsi="Verdana" w:cs="Arial"/>
          <w:color w:val="000000" w:themeColor="text1"/>
          <w:lang w:val="es-ES"/>
        </w:rPr>
        <w:t>Decreto</w:t>
      </w:r>
      <w:r>
        <w:rPr>
          <w:rFonts w:ascii="Verdana" w:eastAsia="Calibri" w:hAnsi="Verdana" w:cs="Arial"/>
          <w:color w:val="000000" w:themeColor="text1"/>
          <w:lang w:val="es-ES"/>
        </w:rPr>
        <w:t xml:space="preserve"> 1082 de 2015</w:t>
      </w:r>
      <w:r w:rsidRPr="00603690">
        <w:rPr>
          <w:rFonts w:ascii="Verdana" w:eastAsia="Calibri" w:hAnsi="Verdana" w:cs="Arial"/>
          <w:color w:val="000000" w:themeColor="text1"/>
          <w:lang w:val="es-ES"/>
        </w:rPr>
        <w:t xml:space="preserve">, así como por la normativa civil y comercial </w:t>
      </w:r>
      <w:r>
        <w:rPr>
          <w:rFonts w:ascii="Verdana" w:eastAsia="Calibri" w:hAnsi="Verdana" w:cs="Arial"/>
          <w:color w:val="000000" w:themeColor="text1"/>
          <w:lang w:val="es-ES"/>
        </w:rPr>
        <w:t>que resulte pertinente de manera supletiva</w:t>
      </w:r>
      <w:r w:rsidRPr="00603690">
        <w:rPr>
          <w:rFonts w:ascii="Verdana" w:eastAsia="Calibri" w:hAnsi="Verdana" w:cs="Arial"/>
          <w:color w:val="000000" w:themeColor="text1"/>
          <w:lang w:val="es-ES"/>
        </w:rPr>
        <w:t>. En particular,</w:t>
      </w:r>
      <w:r>
        <w:rPr>
          <w:rFonts w:ascii="Verdana" w:eastAsia="Calibri" w:hAnsi="Verdana" w:cs="Arial"/>
          <w:color w:val="000000" w:themeColor="text1"/>
          <w:lang w:val="es-ES"/>
        </w:rPr>
        <w:t xml:space="preserve"> </w:t>
      </w:r>
      <w:r w:rsidRPr="00603690">
        <w:rPr>
          <w:rFonts w:ascii="Verdana" w:hAnsi="Verdana"/>
          <w:bCs/>
          <w:color w:val="000000" w:themeColor="text1"/>
          <w:lang w:val="es-ES" w:eastAsia="es-ES_tradnl"/>
        </w:rPr>
        <w:t xml:space="preserve">el artículo 2.2.1.2.1.4.11 </w:t>
      </w:r>
      <w:r>
        <w:rPr>
          <w:rFonts w:ascii="Verdana" w:hAnsi="Verdana"/>
          <w:bCs/>
          <w:color w:val="000000" w:themeColor="text1"/>
          <w:lang w:val="es-ES" w:eastAsia="es-ES_tradnl"/>
        </w:rPr>
        <w:t xml:space="preserve">dispone que las Entidades Estatales arrendarán bienes </w:t>
      </w:r>
      <w:r w:rsidRPr="00603690">
        <w:rPr>
          <w:rFonts w:ascii="Verdana" w:hAnsi="Verdana"/>
          <w:bCs/>
          <w:color w:val="000000" w:themeColor="text1"/>
          <w:lang w:val="es-ES" w:eastAsia="es-ES_tradnl"/>
        </w:rPr>
        <w:t xml:space="preserve">inmuebles mediante </w:t>
      </w:r>
      <w:r>
        <w:rPr>
          <w:rFonts w:ascii="Verdana" w:hAnsi="Verdana"/>
          <w:bCs/>
          <w:color w:val="000000" w:themeColor="text1"/>
          <w:lang w:val="es-ES" w:eastAsia="es-ES_tradnl"/>
        </w:rPr>
        <w:t xml:space="preserve">la modalidad de selección de </w:t>
      </w:r>
      <w:r w:rsidRPr="00603690">
        <w:rPr>
          <w:rFonts w:ascii="Verdana" w:hAnsi="Verdana"/>
          <w:bCs/>
          <w:color w:val="000000" w:themeColor="text1"/>
          <w:lang w:val="es-ES" w:eastAsia="es-ES_tradnl"/>
        </w:rPr>
        <w:t>contratación</w:t>
      </w:r>
      <w:r>
        <w:rPr>
          <w:rFonts w:ascii="Verdana" w:hAnsi="Verdana"/>
          <w:bCs/>
          <w:color w:val="000000" w:themeColor="text1"/>
          <w:lang w:val="es-ES" w:eastAsia="es-ES_tradnl"/>
        </w:rPr>
        <w:t xml:space="preserve"> directa, para lo cual tienen la obligación de</w:t>
      </w:r>
      <w:r w:rsidRPr="00603690">
        <w:rPr>
          <w:rFonts w:ascii="Verdana" w:hAnsi="Verdana"/>
          <w:bCs/>
          <w:color w:val="000000" w:themeColor="text1"/>
          <w:lang w:val="es-ES" w:eastAsia="es-ES_tradnl"/>
        </w:rPr>
        <w:t xml:space="preserve">: </w:t>
      </w:r>
    </w:p>
    <w:p w14:paraId="50C5AD77" w14:textId="77777777" w:rsidR="007B5D5A" w:rsidRPr="00603690" w:rsidRDefault="007B5D5A" w:rsidP="007B5D5A">
      <w:pPr>
        <w:spacing w:after="0" w:line="240" w:lineRule="auto"/>
        <w:ind w:left="709" w:right="709"/>
        <w:jc w:val="both"/>
        <w:rPr>
          <w:rFonts w:ascii="Verdana" w:eastAsia="Calibri" w:hAnsi="Verdana" w:cs="Arial"/>
          <w:sz w:val="20"/>
          <w:szCs w:val="20"/>
          <w:lang w:val="es-ES"/>
        </w:rPr>
      </w:pPr>
      <w:r w:rsidRPr="00603690">
        <w:rPr>
          <w:rFonts w:ascii="Verdana" w:eastAsia="Calibri" w:hAnsi="Verdana" w:cs="Arial"/>
          <w:sz w:val="20"/>
          <w:szCs w:val="20"/>
          <w:lang w:val="es-ES"/>
        </w:rPr>
        <w:t xml:space="preserve">“1.    Verificar las </w:t>
      </w:r>
      <w:r w:rsidRPr="00603690">
        <w:rPr>
          <w:rFonts w:ascii="Verdana" w:eastAsia="Calibri" w:hAnsi="Verdana" w:cs="Arial"/>
          <w:i/>
          <w:iCs/>
          <w:sz w:val="20"/>
          <w:szCs w:val="20"/>
          <w:lang w:val="es-ES"/>
        </w:rPr>
        <w:t>condiciones del mercado inmobiliario</w:t>
      </w:r>
      <w:r w:rsidRPr="00603690">
        <w:rPr>
          <w:rFonts w:ascii="Verdana" w:eastAsia="Calibri" w:hAnsi="Verdana" w:cs="Arial"/>
          <w:sz w:val="20"/>
          <w:szCs w:val="20"/>
          <w:lang w:val="es-ES"/>
        </w:rPr>
        <w:t xml:space="preserve"> en la ciudad en la que la Entidad Estatal requiere el inmueble.</w:t>
      </w:r>
    </w:p>
    <w:p w14:paraId="4A9C8DD7" w14:textId="77777777" w:rsidR="007B5D5A" w:rsidRPr="00603690" w:rsidRDefault="007B5D5A" w:rsidP="007B5D5A">
      <w:pPr>
        <w:spacing w:after="0" w:line="240" w:lineRule="auto"/>
        <w:ind w:left="709" w:right="709"/>
        <w:jc w:val="both"/>
        <w:rPr>
          <w:rFonts w:ascii="Verdana" w:eastAsia="Calibri" w:hAnsi="Verdana" w:cs="Arial"/>
          <w:sz w:val="20"/>
          <w:szCs w:val="20"/>
          <w:lang w:val="es-ES"/>
        </w:rPr>
      </w:pPr>
    </w:p>
    <w:p w14:paraId="72FA4240" w14:textId="77777777" w:rsidR="007B5D5A" w:rsidRPr="00603690" w:rsidRDefault="007B5D5A" w:rsidP="007B5D5A">
      <w:pPr>
        <w:spacing w:after="0" w:line="240" w:lineRule="auto"/>
        <w:ind w:left="709" w:right="709"/>
        <w:jc w:val="both"/>
        <w:rPr>
          <w:rFonts w:ascii="Verdana" w:eastAsia="Calibri" w:hAnsi="Verdana" w:cs="Arial"/>
          <w:sz w:val="20"/>
          <w:szCs w:val="20"/>
          <w:lang w:val="es-ES"/>
        </w:rPr>
      </w:pPr>
      <w:r w:rsidRPr="00603690">
        <w:rPr>
          <w:rFonts w:ascii="Verdana" w:eastAsia="Calibri" w:hAnsi="Verdana" w:cs="Arial"/>
          <w:sz w:val="20"/>
          <w:szCs w:val="20"/>
          <w:lang w:val="es-ES"/>
        </w:rPr>
        <w:t>2.    Analizar y comparar las condiciones de los bienes inmuebles que satisfacen las necesidades identificadas y las opciones de arrendamiento, análisis que deberá tener en cuenta los principios y objetivos del sistema de compra y contratación pública”.</w:t>
      </w:r>
    </w:p>
    <w:p w14:paraId="05CC8697" w14:textId="77777777" w:rsidR="007B5D5A" w:rsidRPr="00603690" w:rsidRDefault="007B5D5A" w:rsidP="007B5D5A">
      <w:pPr>
        <w:spacing w:after="0" w:line="276" w:lineRule="auto"/>
        <w:ind w:firstLine="357"/>
        <w:jc w:val="both"/>
        <w:rPr>
          <w:rFonts w:ascii="Verdana" w:hAnsi="Verdana"/>
          <w:color w:val="000000" w:themeColor="text1"/>
          <w:lang w:val="es-ES" w:eastAsia="es-ES"/>
        </w:rPr>
      </w:pPr>
    </w:p>
    <w:p w14:paraId="125413B8" w14:textId="77777777" w:rsidR="007B5D5A" w:rsidRPr="00603690" w:rsidRDefault="007B5D5A" w:rsidP="007B5D5A">
      <w:pPr>
        <w:spacing w:after="120" w:line="276" w:lineRule="auto"/>
        <w:ind w:firstLine="708"/>
        <w:jc w:val="both"/>
        <w:rPr>
          <w:rFonts w:ascii="Verdana" w:hAnsi="Verdana"/>
          <w:color w:val="000000" w:themeColor="text1"/>
          <w:lang w:val="es-ES" w:eastAsia="es-ES"/>
        </w:rPr>
      </w:pPr>
      <w:r w:rsidRPr="00603690">
        <w:rPr>
          <w:rFonts w:ascii="Verdana" w:hAnsi="Verdana"/>
          <w:color w:val="000000" w:themeColor="text1"/>
          <w:lang w:val="es-ES" w:eastAsia="es-ES"/>
        </w:rPr>
        <w:t xml:space="preserve">Conforme lo anterior, la entidad debe elaborar los </w:t>
      </w:r>
      <w:proofErr w:type="gramStart"/>
      <w:r w:rsidRPr="00603690">
        <w:rPr>
          <w:rFonts w:ascii="Verdana" w:hAnsi="Verdana"/>
          <w:color w:val="000000" w:themeColor="text1"/>
          <w:lang w:val="es-ES" w:eastAsia="es-ES"/>
        </w:rPr>
        <w:t>estudios previos y documentos previos</w:t>
      </w:r>
      <w:proofErr w:type="gramEnd"/>
      <w:r w:rsidRPr="00603690">
        <w:rPr>
          <w:rFonts w:ascii="Verdana" w:hAnsi="Verdana"/>
          <w:color w:val="000000" w:themeColor="text1"/>
          <w:lang w:val="es-ES" w:eastAsia="es-ES"/>
        </w:rPr>
        <w:t xml:space="preserve"> y verificar las condiciones del mercado inmobiliario en la ciudad donde la Entidad Estatal requiere el documento </w:t>
      </w:r>
      <w:r>
        <w:rPr>
          <w:rFonts w:ascii="Verdana" w:hAnsi="Verdana"/>
          <w:color w:val="000000" w:themeColor="text1"/>
          <w:lang w:val="es-ES" w:eastAsia="es-ES"/>
        </w:rPr>
        <w:t xml:space="preserve">con el fin de </w:t>
      </w:r>
      <w:r w:rsidRPr="00603690">
        <w:rPr>
          <w:rFonts w:ascii="Verdana" w:hAnsi="Verdana"/>
          <w:color w:val="000000" w:themeColor="text1"/>
          <w:lang w:val="es-ES" w:eastAsia="es-ES"/>
        </w:rPr>
        <w:t xml:space="preserve">establecer </w:t>
      </w:r>
      <w:proofErr w:type="gramStart"/>
      <w:r w:rsidRPr="00603690">
        <w:rPr>
          <w:rFonts w:ascii="Verdana" w:hAnsi="Verdana"/>
          <w:color w:val="000000" w:themeColor="text1"/>
          <w:lang w:val="es-ES" w:eastAsia="es-ES"/>
        </w:rPr>
        <w:t>la condiciones</w:t>
      </w:r>
      <w:proofErr w:type="gramEnd"/>
      <w:r w:rsidRPr="00603690">
        <w:rPr>
          <w:rFonts w:ascii="Verdana" w:hAnsi="Verdana"/>
          <w:color w:val="000000" w:themeColor="text1"/>
          <w:lang w:val="es-ES" w:eastAsia="es-ES"/>
        </w:rPr>
        <w:t xml:space="preserve"> del proceso, incluyendo el canon de arrendamiento. Además, tiene el deber analizar y comparar las condiciones de los bienes inmuebles que satisfacen sus necesidades; y de tener en cuenta los principios y objetivos del Sistema de Compra y Contratación Pública.</w:t>
      </w:r>
    </w:p>
    <w:p w14:paraId="3E852A8C" w14:textId="77777777" w:rsidR="007B5D5A" w:rsidRPr="00603690" w:rsidRDefault="007B5D5A" w:rsidP="007B5D5A">
      <w:pPr>
        <w:spacing w:after="120" w:line="276" w:lineRule="auto"/>
        <w:ind w:firstLine="708"/>
        <w:jc w:val="both"/>
        <w:rPr>
          <w:rFonts w:ascii="Verdana" w:eastAsia="Arial" w:hAnsi="Verdana" w:cs="Arial"/>
          <w:bCs/>
          <w:color w:val="000000" w:themeColor="text1"/>
          <w:lang w:val="es-ES"/>
        </w:rPr>
      </w:pPr>
      <w:r w:rsidRPr="00603690">
        <w:rPr>
          <w:rFonts w:ascii="Verdana" w:hAnsi="Verdana"/>
          <w:color w:val="000000" w:themeColor="text1"/>
          <w:lang w:val="es-ES" w:eastAsia="es-ES"/>
        </w:rPr>
        <w:t xml:space="preserve">En contraste, si se trata de arrendamiento de bienes muebles, la modalidad aplicable será la licitación pública, la selección abreviada o la mínima cuantía, según corresponda dependiendo del valor de la contratación. Lo anterior, en la medida que no se encuentran dentro de las causales de contratación directa que expresamente señala el numeral 4 del artículo 2 de la Ley 1150 de 2007. </w:t>
      </w:r>
      <w:r w:rsidRPr="00603690">
        <w:rPr>
          <w:rFonts w:ascii="Verdana" w:eastAsia="Calibri" w:hAnsi="Verdana" w:cs="Arial"/>
          <w:color w:val="000000" w:themeColor="text1"/>
          <w:lang w:val="es-ES"/>
        </w:rPr>
        <w:t>En ambos supuestos la Entidad Estatal también debe aplicar las normas civiles y comerciales que regulan la sustantividad del contrato de arrendamiento, porque a estas se remiten los artículos 13, 32 y 40 de la Ley 80 de 1993.</w:t>
      </w:r>
      <w:r w:rsidRPr="00603690">
        <w:rPr>
          <w:rFonts w:ascii="Verdana" w:eastAsia="Arial" w:hAnsi="Verdana" w:cs="Arial"/>
          <w:bCs/>
          <w:color w:val="000000" w:themeColor="text1"/>
          <w:lang w:val="es-ES"/>
        </w:rPr>
        <w:t xml:space="preserve"> </w:t>
      </w:r>
    </w:p>
    <w:p w14:paraId="15BE1940" w14:textId="77777777" w:rsidR="007B5D5A" w:rsidRPr="00603690" w:rsidRDefault="007B5D5A" w:rsidP="007B5D5A">
      <w:pPr>
        <w:spacing w:after="120" w:line="276" w:lineRule="auto"/>
        <w:ind w:firstLine="360"/>
        <w:jc w:val="both"/>
        <w:rPr>
          <w:rFonts w:ascii="Verdana" w:eastAsia="Calibri" w:hAnsi="Verdana" w:cs="Times New Roman"/>
          <w:lang w:val="es-ES"/>
        </w:rPr>
      </w:pPr>
      <w:r w:rsidRPr="00603690">
        <w:rPr>
          <w:rFonts w:ascii="Verdana" w:eastAsia="Calibri" w:hAnsi="Verdana" w:cs="Times New Roman"/>
          <w:lang w:val="es-ES"/>
        </w:rPr>
        <w:t xml:space="preserve">     Finalmente debe advertirse, que el análisis para resolver problemas específicos en torno a los procesos de contratación debe ser realizado por quienes tengan interés en ello. De esta forma, las afirmaciones aquí </w:t>
      </w:r>
      <w:r>
        <w:rPr>
          <w:rFonts w:ascii="Verdana" w:eastAsia="Calibri" w:hAnsi="Verdana" w:cs="Times New Roman"/>
          <w:lang w:val="es-ES"/>
        </w:rPr>
        <w:t xml:space="preserve">incluidas </w:t>
      </w:r>
      <w:r w:rsidRPr="00603690">
        <w:rPr>
          <w:rFonts w:ascii="Verdana" w:eastAsia="Calibri" w:hAnsi="Verdana" w:cs="Times New Roman"/>
          <w:lang w:val="es-ES"/>
        </w:rPr>
        <w:t xml:space="preserve">no pueden ser interpretadas como juicios de valor sobre circunstancias concretas relacionadas con los hechos que motivan la consulta. Por lo anterior, previo </w:t>
      </w:r>
      <w:r w:rsidRPr="00603690">
        <w:rPr>
          <w:rFonts w:ascii="Verdana" w:eastAsia="Calibri" w:hAnsi="Verdana" w:cs="Times New Roman"/>
          <w:lang w:val="es-ES"/>
        </w:rPr>
        <w:lastRenderedPageBreak/>
        <w:t>concepto de sus asesores, la solución de situaciones particulares corresponderá a los interesados de adoptar la decisión y, en caso de conflicto, a las autoridades judiciales, fiscales y disciplinarias.</w:t>
      </w:r>
    </w:p>
    <w:p w14:paraId="38DB5E4E" w14:textId="77777777" w:rsidR="007B5D5A" w:rsidRPr="00603690" w:rsidRDefault="007B5D5A" w:rsidP="007B5D5A">
      <w:pPr>
        <w:spacing w:after="0" w:line="276" w:lineRule="auto"/>
        <w:ind w:firstLine="708"/>
        <w:jc w:val="both"/>
        <w:rPr>
          <w:rFonts w:ascii="Verdana" w:hAnsi="Verdana" w:cs="Arial"/>
          <w:lang w:val="es-ES" w:eastAsia="es-ES"/>
        </w:rPr>
      </w:pPr>
      <w:r w:rsidRPr="00603690">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w:t>
      </w:r>
      <w:r>
        <w:rPr>
          <w:rFonts w:ascii="Verdana" w:eastAsia="Calibri" w:hAnsi="Verdana" w:cs="Times New Roman"/>
          <w:lang w:val="es-ES"/>
        </w:rPr>
        <w:t>,</w:t>
      </w:r>
      <w:r w:rsidRPr="00603690">
        <w:rPr>
          <w:rFonts w:ascii="Verdana" w:eastAsia="Calibri" w:hAnsi="Verdana" w:cs="Times New Roman"/>
          <w:lang w:val="es-ES"/>
        </w:rPr>
        <w:t xml:space="preserve"> cada entidad definirá la forma de adelantar su gestión contractual, sin que sea atribución de la Agencia Nacional de Contratación Pública – Colombia Compra Eficiente validar sus actuaciones</w:t>
      </w:r>
    </w:p>
    <w:p w14:paraId="52BD96B3" w14:textId="77777777" w:rsidR="007B5D5A" w:rsidRPr="00603690" w:rsidRDefault="007B5D5A" w:rsidP="007B5D5A">
      <w:pPr>
        <w:spacing w:after="0" w:line="276" w:lineRule="auto"/>
        <w:jc w:val="both"/>
        <w:rPr>
          <w:rFonts w:ascii="Verdana" w:eastAsia="Calibri" w:hAnsi="Verdana" w:cs="Arial"/>
          <w:lang w:val="es-ES"/>
        </w:rPr>
      </w:pPr>
    </w:p>
    <w:bookmarkEnd w:id="1"/>
    <w:bookmarkEnd w:id="2"/>
    <w:p w14:paraId="4E4B2BFD" w14:textId="77777777" w:rsidR="007B5D5A" w:rsidRPr="00603690" w:rsidRDefault="007B5D5A" w:rsidP="007B5D5A">
      <w:pPr>
        <w:tabs>
          <w:tab w:val="left" w:pos="142"/>
          <w:tab w:val="left" w:pos="284"/>
        </w:tabs>
        <w:spacing w:after="0" w:line="276" w:lineRule="auto"/>
        <w:jc w:val="both"/>
        <w:rPr>
          <w:rFonts w:ascii="Verdana" w:eastAsia="Century Gothic" w:hAnsi="Verdana" w:cs="Century Gothic"/>
          <w:b/>
          <w:color w:val="000000" w:themeColor="text1"/>
          <w:lang w:val="es-ES"/>
        </w:rPr>
      </w:pPr>
      <w:r w:rsidRPr="00603690">
        <w:rPr>
          <w:rFonts w:ascii="Verdana" w:eastAsia="Century Gothic" w:hAnsi="Verdana" w:cs="Century Gothic"/>
          <w:b/>
          <w:color w:val="000000" w:themeColor="text1"/>
          <w:lang w:val="es-ES"/>
        </w:rPr>
        <w:t>4.Referencias normativas, jurisprudenciales y otras fuentes:</w:t>
      </w:r>
    </w:p>
    <w:p w14:paraId="34E37662" w14:textId="77777777" w:rsidR="007B5D5A" w:rsidRPr="00603690" w:rsidRDefault="007B5D5A" w:rsidP="007B5D5A">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B5D5A" w:rsidRPr="00603690" w14:paraId="5B405576" w14:textId="77777777" w:rsidTr="00120775">
        <w:trPr>
          <w:trHeight w:val="870"/>
        </w:trPr>
        <w:tc>
          <w:tcPr>
            <w:tcW w:w="8647" w:type="dxa"/>
          </w:tcPr>
          <w:p w14:paraId="15414F8B" w14:textId="77777777" w:rsidR="007B5D5A" w:rsidRPr="00603690" w:rsidRDefault="007B5D5A" w:rsidP="00120775">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rPr>
            </w:pPr>
            <w:r w:rsidRPr="00603690">
              <w:rPr>
                <w:rFonts w:ascii="Verdana" w:eastAsia="Calibri" w:hAnsi="Verdana" w:cs="Arial"/>
                <w:color w:val="000000" w:themeColor="text1"/>
              </w:rPr>
              <w:t xml:space="preserve">Código Civil. Artículos 1495 y </w:t>
            </w:r>
            <w:r w:rsidRPr="00603690">
              <w:rPr>
                <w:rFonts w:ascii="Verdana" w:eastAsia="Calibri" w:hAnsi="Verdana" w:cs="Arial"/>
                <w:bCs/>
                <w:color w:val="000000" w:themeColor="text1"/>
              </w:rPr>
              <w:t xml:space="preserve">1973 al 2078. </w:t>
            </w:r>
          </w:p>
          <w:p w14:paraId="059534FB" w14:textId="77777777" w:rsidR="007B5D5A" w:rsidRPr="00603690" w:rsidRDefault="007B5D5A" w:rsidP="00120775">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rPr>
            </w:pPr>
            <w:r w:rsidRPr="00603690">
              <w:rPr>
                <w:rFonts w:ascii="Verdana" w:eastAsia="Calibri" w:hAnsi="Verdana" w:cs="Arial"/>
                <w:bCs/>
                <w:color w:val="000000" w:themeColor="text1"/>
              </w:rPr>
              <w:t>Código de Comercio: Artículo 864.</w:t>
            </w:r>
          </w:p>
          <w:p w14:paraId="481E3E7A" w14:textId="77777777" w:rsidR="007B5D5A" w:rsidRPr="00603690" w:rsidRDefault="007B5D5A" w:rsidP="00120775">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rPr>
            </w:pPr>
            <w:r w:rsidRPr="00603690">
              <w:rPr>
                <w:rFonts w:ascii="Verdana" w:eastAsia="Calibri" w:hAnsi="Verdana"/>
                <w:color w:val="000000" w:themeColor="text1"/>
              </w:rPr>
              <w:t>Ley 80 de 1993: Artículos 32 y 41.</w:t>
            </w:r>
          </w:p>
          <w:p w14:paraId="4B4F9820" w14:textId="77777777" w:rsidR="007B5D5A" w:rsidRPr="00603690" w:rsidRDefault="007B5D5A" w:rsidP="00120775">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sidRPr="00603690">
              <w:rPr>
                <w:rFonts w:ascii="Verdana" w:hAnsi="Verdana" w:cs="Arial"/>
                <w:color w:val="000000" w:themeColor="text1"/>
              </w:rPr>
              <w:t>Ley 1150 de 2007: Artículo 2, numeral 4, artículo 5.</w:t>
            </w:r>
          </w:p>
          <w:p w14:paraId="478BDA3E" w14:textId="77777777" w:rsidR="007B5D5A" w:rsidRPr="00603690" w:rsidRDefault="007B5D5A" w:rsidP="00120775">
            <w:pPr>
              <w:widowControl w:val="0"/>
              <w:numPr>
                <w:ilvl w:val="0"/>
                <w:numId w:val="16"/>
              </w:numPr>
              <w:autoSpaceDE w:val="0"/>
              <w:autoSpaceDN w:val="0"/>
              <w:snapToGrid w:val="0"/>
              <w:spacing w:before="120" w:after="120" w:line="276" w:lineRule="auto"/>
              <w:ind w:left="714" w:hanging="357"/>
              <w:jc w:val="both"/>
              <w:rPr>
                <w:rFonts w:ascii="Verdana" w:hAnsi="Verdana" w:cs="Arial"/>
                <w:lang w:val="es-ES"/>
              </w:rPr>
            </w:pPr>
            <w:r w:rsidRPr="00603690">
              <w:rPr>
                <w:rFonts w:ascii="Verdana" w:hAnsi="Verdana" w:cs="Arial"/>
                <w:color w:val="000000" w:themeColor="text1"/>
                <w:lang w:val="es-ES"/>
              </w:rPr>
              <w:t xml:space="preserve">Decreto 1082 de 2015: </w:t>
            </w:r>
            <w:r w:rsidRPr="00603690">
              <w:rPr>
                <w:rFonts w:ascii="Verdana" w:hAnsi="Verdana"/>
                <w:color w:val="000000" w:themeColor="text1"/>
                <w:lang w:val="es-ES" w:eastAsia="es-ES_tradnl"/>
              </w:rPr>
              <w:t>Artículo 2.2.1.2.1.4.</w:t>
            </w:r>
            <w:r w:rsidRPr="00603690">
              <w:rPr>
                <w:rFonts w:ascii="Verdana" w:hAnsi="Verdana"/>
                <w:bCs/>
                <w:color w:val="000000" w:themeColor="text1"/>
                <w:lang w:val="es-ES" w:eastAsia="es-ES_tradnl"/>
              </w:rPr>
              <w:t>11</w:t>
            </w:r>
            <w:r w:rsidRPr="00603690">
              <w:rPr>
                <w:rFonts w:ascii="Verdana" w:hAnsi="Verdana"/>
                <w:color w:val="000000" w:themeColor="text1"/>
                <w:lang w:val="es-ES" w:eastAsia="es-ES_tradnl"/>
              </w:rPr>
              <w:t>.</w:t>
            </w:r>
          </w:p>
        </w:tc>
      </w:tr>
    </w:tbl>
    <w:p w14:paraId="4E1B8102" w14:textId="77777777" w:rsidR="007B5D5A" w:rsidRPr="00603690" w:rsidRDefault="007B5D5A" w:rsidP="007B5D5A">
      <w:pPr>
        <w:widowControl w:val="0"/>
        <w:autoSpaceDE w:val="0"/>
        <w:autoSpaceDN w:val="0"/>
        <w:spacing w:after="0" w:line="276" w:lineRule="auto"/>
        <w:jc w:val="both"/>
        <w:rPr>
          <w:rFonts w:ascii="Verdana" w:hAnsi="Verdana" w:cs="Arial"/>
          <w:color w:val="000000" w:themeColor="text1"/>
          <w:lang w:val="es-ES"/>
        </w:rPr>
      </w:pPr>
    </w:p>
    <w:p w14:paraId="10310E35" w14:textId="77777777" w:rsidR="007B5D5A" w:rsidRPr="00603690" w:rsidRDefault="007B5D5A" w:rsidP="007B5D5A">
      <w:pPr>
        <w:tabs>
          <w:tab w:val="left" w:pos="142"/>
          <w:tab w:val="left" w:pos="284"/>
        </w:tabs>
        <w:spacing w:after="0" w:line="276" w:lineRule="auto"/>
        <w:jc w:val="both"/>
        <w:rPr>
          <w:rFonts w:ascii="Verdana" w:eastAsia="Century Gothic" w:hAnsi="Verdana" w:cs="Century Gothic"/>
          <w:b/>
          <w:color w:val="000000" w:themeColor="text1"/>
          <w:lang w:val="es-ES"/>
        </w:rPr>
      </w:pPr>
      <w:r w:rsidRPr="00603690">
        <w:rPr>
          <w:rFonts w:ascii="Verdana" w:eastAsia="Century Gothic" w:hAnsi="Verdana" w:cs="Century Gothic"/>
          <w:b/>
          <w:color w:val="000000" w:themeColor="text1"/>
          <w:lang w:val="es-ES"/>
        </w:rPr>
        <w:t>5.Doctrina de la Agencia Nacional de Contratación Pública:</w:t>
      </w:r>
    </w:p>
    <w:p w14:paraId="44FAD0FC" w14:textId="77777777" w:rsidR="007B5D5A" w:rsidRPr="00603690" w:rsidRDefault="007B5D5A" w:rsidP="007B5D5A">
      <w:pPr>
        <w:widowControl w:val="0"/>
        <w:autoSpaceDE w:val="0"/>
        <w:autoSpaceDN w:val="0"/>
        <w:spacing w:after="0" w:line="276" w:lineRule="auto"/>
        <w:jc w:val="both"/>
        <w:rPr>
          <w:rFonts w:ascii="Verdana" w:hAnsi="Verdana" w:cs="Arial"/>
          <w:color w:val="000000" w:themeColor="text1"/>
          <w:lang w:val="es-ES"/>
        </w:rPr>
      </w:pPr>
    </w:p>
    <w:p w14:paraId="65302332" w14:textId="77777777" w:rsidR="007B5D5A" w:rsidRPr="00603690" w:rsidRDefault="007B5D5A" w:rsidP="007B5D5A">
      <w:pPr>
        <w:jc w:val="both"/>
        <w:rPr>
          <w:rFonts w:ascii="Verdana" w:eastAsia="Calibri" w:hAnsi="Verdana" w:cs="Arial"/>
          <w:b/>
          <w:bCs/>
          <w:lang w:val="es-ES" w:eastAsia="es-ES"/>
        </w:rPr>
      </w:pPr>
      <w:r w:rsidRPr="00603690">
        <w:rPr>
          <w:rFonts w:ascii="Verdana" w:eastAsia="Calibri" w:hAnsi="Verdana" w:cs="Arial"/>
          <w:lang w:val="es-ES"/>
        </w:rPr>
        <w:t>La Agencia Nacional de Contratación Pública – Colombia Compra Eficiente</w:t>
      </w:r>
      <w:r w:rsidRPr="00603690">
        <w:rPr>
          <w:rStyle w:val="normaltextrun"/>
          <w:rFonts w:ascii="Verdana" w:hAnsi="Verdana" w:cs="Arial"/>
          <w:shd w:val="clear" w:color="auto" w:fill="FFFFFF"/>
          <w:lang w:val="es-ES"/>
        </w:rPr>
        <w:t xml:space="preserve"> analizó el contrato de arrendamiento en el Estatuto General de Contratación de la Administración Pública en los conceptos No. 420191300004738 del 18 de agosto de 2019, C-183 del 17 de marzo de 2020, C-126 del 26 de marzo de 2021 y C-667 del 19 de noviembre de 2020, C-780 del 18 de enero de 2021, C-561 del 8 de octubre de 2021, C-646 del 22 de noviembre de 2021, C-214 del 22 del 22 de abril de 2022, C-280 del 21 de agosto de 2024,</w:t>
      </w:r>
      <w:r w:rsidRPr="00603690">
        <w:rPr>
          <w:rFonts w:ascii="Verdana" w:eastAsia="Aptos" w:hAnsi="Verdana" w:cs="Arial"/>
          <w:shd w:val="clear" w:color="auto" w:fill="FFFFFF"/>
          <w:lang w:val="es-ES"/>
        </w:rPr>
        <w:t xml:space="preserve"> </w:t>
      </w:r>
      <w:r w:rsidRPr="00E4716B">
        <w:rPr>
          <w:rFonts w:ascii="Verdana" w:eastAsia="Calibri" w:hAnsi="Verdana" w:cs="Arial"/>
          <w:lang w:val="es-ES" w:eastAsia="es-ES"/>
        </w:rPr>
        <w:t>C- 462 del 19 de mayo de 2025,</w:t>
      </w:r>
      <w:r w:rsidRPr="00603690">
        <w:rPr>
          <w:rFonts w:ascii="Verdana" w:eastAsia="Calibri" w:hAnsi="Verdana" w:cs="Arial"/>
          <w:b/>
          <w:bCs/>
          <w:lang w:val="es-ES" w:eastAsia="es-ES"/>
        </w:rPr>
        <w:t xml:space="preserve"> </w:t>
      </w:r>
      <w:r w:rsidRPr="00603690">
        <w:rPr>
          <w:rFonts w:ascii="Verdana" w:eastAsia="Aptos" w:hAnsi="Verdana" w:cs="Arial"/>
          <w:shd w:val="clear" w:color="auto" w:fill="FFFFFF"/>
          <w:lang w:val="es-ES"/>
        </w:rPr>
        <w:t>entre otros</w:t>
      </w:r>
      <w:r w:rsidRPr="00603690">
        <w:rPr>
          <w:rFonts w:ascii="Verdana" w:hAnsi="Verdana" w:cs="Arial"/>
          <w:shd w:val="clear" w:color="auto" w:fill="FFFFFF"/>
          <w:lang w:val="es-ES"/>
        </w:rPr>
        <w:t>. Estos</w:t>
      </w:r>
      <w:r w:rsidRPr="00603690">
        <w:rPr>
          <w:rFonts w:ascii="Verdana" w:hAnsi="Verdana"/>
          <w:lang w:val="es-ES"/>
        </w:rPr>
        <w:t xml:space="preserve"> y otros se encuentran disponibles para consulta en el Sistema de relatoría de la Agencia, al cual se puede acceder a través del siguiente enlace:</w:t>
      </w:r>
      <w:r w:rsidRPr="00603690">
        <w:rPr>
          <w:rFonts w:ascii="Verdana" w:hAnsi="Verdana" w:cs="Arial"/>
          <w:shd w:val="clear" w:color="auto" w:fill="FFFFFF"/>
          <w:lang w:val="es-ES"/>
        </w:rPr>
        <w:t xml:space="preserve"> </w:t>
      </w:r>
      <w:hyperlink r:id="rId12" w:history="1">
        <w:r w:rsidRPr="00603690">
          <w:rPr>
            <w:rFonts w:ascii="Verdana" w:hAnsi="Verdana" w:cs="Arial"/>
            <w:color w:val="0000FF"/>
            <w:u w:val="single"/>
            <w:shd w:val="clear" w:color="auto" w:fill="FFFFFF"/>
            <w:lang w:val="es-ES"/>
          </w:rPr>
          <w:t>https://relatoria.colombiacompra.gov.co/busqueda/concept os</w:t>
        </w:r>
      </w:hyperlink>
      <w:r w:rsidRPr="00603690">
        <w:rPr>
          <w:rFonts w:ascii="Verdana" w:hAnsi="Verdana" w:cs="Arial"/>
          <w:shd w:val="clear" w:color="auto" w:fill="FFFFFF"/>
          <w:lang w:val="es-ES"/>
        </w:rPr>
        <w:t>.</w:t>
      </w:r>
      <w:r w:rsidRPr="00603690">
        <w:rPr>
          <w:rFonts w:ascii="Verdana" w:hAnsi="Verdana" w:cs="Arial"/>
          <w:color w:val="FF0000"/>
          <w:shd w:val="clear" w:color="auto" w:fill="FFFFFF"/>
          <w:lang w:val="es-ES"/>
        </w:rPr>
        <w:t xml:space="preserve"> </w:t>
      </w:r>
      <w:r w:rsidRPr="00603690">
        <w:rPr>
          <w:rFonts w:ascii="Verdana" w:hAnsi="Verdana" w:cs="Arial"/>
          <w:color w:val="000000" w:themeColor="text1"/>
          <w:shd w:val="clear" w:color="auto" w:fill="FFFFFF"/>
          <w:lang w:val="es-ES"/>
        </w:rPr>
        <w:t>  </w:t>
      </w:r>
    </w:p>
    <w:p w14:paraId="02C3123B" w14:textId="77777777" w:rsidR="007B5D5A" w:rsidRPr="00603690" w:rsidRDefault="007B5D5A" w:rsidP="007B5D5A">
      <w:pPr>
        <w:spacing w:after="0" w:line="276" w:lineRule="auto"/>
        <w:jc w:val="both"/>
        <w:rPr>
          <w:rFonts w:ascii="Verdana" w:hAnsi="Verdana"/>
          <w:lang w:val="es-ES"/>
        </w:rPr>
      </w:pPr>
      <w:r w:rsidRPr="00603690">
        <w:rPr>
          <w:rFonts w:ascii="Verdana" w:hAnsi="Verdana"/>
          <w:lang w:val="es-ES"/>
        </w:rPr>
        <w:lastRenderedPageBreak/>
        <w:t xml:space="preserve">Por último, lo invitamos a seguirnos en las redes sociales en las cuales se difunde información institucional: </w:t>
      </w:r>
    </w:p>
    <w:p w14:paraId="109F057A" w14:textId="77777777" w:rsidR="007B5D5A" w:rsidRPr="00603690" w:rsidRDefault="007B5D5A" w:rsidP="007B5D5A">
      <w:pPr>
        <w:spacing w:after="0" w:line="276" w:lineRule="auto"/>
        <w:jc w:val="both"/>
        <w:rPr>
          <w:rFonts w:ascii="Verdana" w:hAnsi="Verdana"/>
          <w:lang w:val="es-ES"/>
        </w:rPr>
      </w:pPr>
    </w:p>
    <w:p w14:paraId="3FA1DAF6" w14:textId="77777777" w:rsidR="007B5D5A" w:rsidRPr="00603690" w:rsidRDefault="007B5D5A" w:rsidP="007B5D5A">
      <w:pPr>
        <w:spacing w:after="0" w:line="276" w:lineRule="auto"/>
        <w:jc w:val="both"/>
        <w:rPr>
          <w:rFonts w:ascii="Verdana" w:hAnsi="Verdana"/>
          <w:lang w:val="es-ES"/>
        </w:rPr>
      </w:pPr>
      <w:r w:rsidRPr="00603690">
        <w:rPr>
          <w:rFonts w:ascii="Verdana" w:hAnsi="Verdana"/>
          <w:lang w:val="es-ES"/>
        </w:rPr>
        <w:t xml:space="preserve">Twitter: </w:t>
      </w:r>
      <w:r w:rsidRPr="00603690">
        <w:rPr>
          <w:rStyle w:val="Hipervnculo"/>
          <w:rFonts w:ascii="Verdana" w:hAnsi="Verdana" w:cs="Arial"/>
          <w:shd w:val="clear" w:color="auto" w:fill="FFFFFF"/>
          <w:lang w:val="es-ES"/>
        </w:rPr>
        <w:t>@colombiacompra</w:t>
      </w:r>
      <w:r w:rsidRPr="00603690">
        <w:rPr>
          <w:rFonts w:ascii="Verdana" w:hAnsi="Verdana"/>
          <w:color w:val="4472C4" w:themeColor="accent1"/>
          <w:lang w:val="es-ES"/>
        </w:rPr>
        <w:t xml:space="preserve"> </w:t>
      </w:r>
    </w:p>
    <w:p w14:paraId="3F59DE58" w14:textId="77777777" w:rsidR="007B5D5A" w:rsidRPr="00603690" w:rsidRDefault="007B5D5A" w:rsidP="007B5D5A">
      <w:pPr>
        <w:spacing w:after="0" w:line="276" w:lineRule="auto"/>
        <w:jc w:val="both"/>
        <w:rPr>
          <w:rFonts w:ascii="Verdana" w:hAnsi="Verdana"/>
          <w:lang w:val="es-ES"/>
        </w:rPr>
      </w:pPr>
      <w:r w:rsidRPr="00603690">
        <w:rPr>
          <w:rFonts w:ascii="Verdana" w:hAnsi="Verdana"/>
          <w:lang w:val="es-ES"/>
        </w:rPr>
        <w:t xml:space="preserve">Facebook: </w:t>
      </w:r>
      <w:proofErr w:type="spellStart"/>
      <w:r w:rsidRPr="00603690">
        <w:rPr>
          <w:rStyle w:val="Hipervnculo"/>
          <w:rFonts w:ascii="Verdana" w:hAnsi="Verdana" w:cs="Arial"/>
          <w:shd w:val="clear" w:color="auto" w:fill="FFFFFF"/>
          <w:lang w:val="es-ES"/>
        </w:rPr>
        <w:t>ColombiaCompraEficiente</w:t>
      </w:r>
      <w:proofErr w:type="spellEnd"/>
    </w:p>
    <w:p w14:paraId="75B39AAD" w14:textId="77777777" w:rsidR="007B5D5A" w:rsidRPr="00603690" w:rsidRDefault="007B5D5A" w:rsidP="007B5D5A">
      <w:pPr>
        <w:spacing w:after="0" w:line="276" w:lineRule="auto"/>
        <w:jc w:val="both"/>
        <w:rPr>
          <w:rFonts w:ascii="Verdana" w:hAnsi="Verdana"/>
          <w:lang w:val="es-ES"/>
        </w:rPr>
      </w:pPr>
      <w:r w:rsidRPr="00603690">
        <w:rPr>
          <w:rFonts w:ascii="Verdana" w:hAnsi="Verdana"/>
          <w:lang w:val="es-ES"/>
        </w:rPr>
        <w:t xml:space="preserve">LinkedIn: </w:t>
      </w:r>
      <w:r w:rsidRPr="00603690">
        <w:rPr>
          <w:rStyle w:val="Hipervnculo"/>
          <w:rFonts w:ascii="Verdana" w:hAnsi="Verdana" w:cs="Arial"/>
          <w:shd w:val="clear" w:color="auto" w:fill="FFFFFF"/>
          <w:lang w:val="es-ES"/>
        </w:rPr>
        <w:t xml:space="preserve">Agencia Nacional de Contratación Pública - Colombia Compra Eficiente </w:t>
      </w:r>
      <w:r w:rsidRPr="00603690">
        <w:rPr>
          <w:rFonts w:ascii="Verdana" w:hAnsi="Verdana"/>
          <w:lang w:val="es-ES"/>
        </w:rPr>
        <w:t xml:space="preserve">Instagram: </w:t>
      </w:r>
      <w:r w:rsidRPr="00603690">
        <w:rPr>
          <w:rStyle w:val="Hipervnculo"/>
          <w:rFonts w:ascii="Verdana" w:hAnsi="Verdana" w:cs="Arial"/>
          <w:shd w:val="clear" w:color="auto" w:fill="FFFFFF"/>
          <w:lang w:val="es-ES"/>
        </w:rPr>
        <w:t>@colombiacompraeficiente_cce</w:t>
      </w:r>
    </w:p>
    <w:p w14:paraId="0641CE58" w14:textId="77777777" w:rsidR="007B5D5A" w:rsidRPr="00603690" w:rsidRDefault="007B5D5A" w:rsidP="007B5D5A">
      <w:pPr>
        <w:widowControl w:val="0"/>
        <w:autoSpaceDE w:val="0"/>
        <w:autoSpaceDN w:val="0"/>
        <w:spacing w:after="0" w:line="276" w:lineRule="auto"/>
        <w:jc w:val="both"/>
        <w:rPr>
          <w:rFonts w:ascii="Verdana" w:hAnsi="Verdana" w:cs="Arial"/>
          <w:lang w:val="es-ES"/>
        </w:rPr>
      </w:pPr>
    </w:p>
    <w:p w14:paraId="2595C43C" w14:textId="714D671A" w:rsidR="007B5D5A" w:rsidRPr="00603690" w:rsidRDefault="007B5D5A" w:rsidP="007B5D5A">
      <w:pPr>
        <w:widowControl w:val="0"/>
        <w:autoSpaceDE w:val="0"/>
        <w:autoSpaceDN w:val="0"/>
        <w:spacing w:after="0" w:line="276" w:lineRule="auto"/>
        <w:jc w:val="both"/>
        <w:rPr>
          <w:rFonts w:ascii="Verdana" w:hAnsi="Verdana" w:cs="Arial"/>
          <w:lang w:val="es-ES"/>
        </w:rPr>
      </w:pPr>
      <w:r w:rsidRPr="00603690">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D960976" w14:textId="2B924FB9" w:rsidR="007B5D5A" w:rsidRPr="00603690" w:rsidRDefault="007B5D5A" w:rsidP="007B5D5A">
      <w:pPr>
        <w:widowControl w:val="0"/>
        <w:autoSpaceDE w:val="0"/>
        <w:autoSpaceDN w:val="0"/>
        <w:spacing w:after="0" w:line="276" w:lineRule="auto"/>
        <w:jc w:val="both"/>
        <w:rPr>
          <w:rFonts w:ascii="Verdana" w:hAnsi="Verdana" w:cs="Arial"/>
          <w:lang w:val="es-ES"/>
        </w:rPr>
      </w:pPr>
    </w:p>
    <w:p w14:paraId="7FF5E1A2" w14:textId="2C68E876" w:rsidR="007B5D5A" w:rsidRPr="00603690" w:rsidRDefault="007B5D5A" w:rsidP="007B5D5A">
      <w:pPr>
        <w:spacing w:after="0" w:line="276" w:lineRule="auto"/>
        <w:rPr>
          <w:rFonts w:ascii="Verdana" w:hAnsi="Verdana" w:cs="Arial"/>
          <w:color w:val="000000" w:themeColor="text1"/>
          <w:lang w:val="es-ES" w:eastAsia="es-CO"/>
        </w:rPr>
      </w:pPr>
      <w:r w:rsidRPr="00603690">
        <w:rPr>
          <w:rFonts w:ascii="Verdana" w:eastAsia="Times New Roman" w:hAnsi="Verdana" w:cs="Arial"/>
          <w:color w:val="000000" w:themeColor="text1"/>
          <w:lang w:val="es-ES" w:eastAsia="es-CO"/>
        </w:rPr>
        <w:t>Atentamente,</w:t>
      </w:r>
      <w:r w:rsidRPr="00603690">
        <w:rPr>
          <w:rFonts w:ascii="Verdana" w:hAnsi="Verdana" w:cs="Arial"/>
          <w:color w:val="000000" w:themeColor="text1"/>
          <w:lang w:val="es-ES" w:eastAsia="es-CO"/>
        </w:rPr>
        <w:t xml:space="preserve"> </w:t>
      </w:r>
    </w:p>
    <w:p w14:paraId="16DE081A" w14:textId="2709296D" w:rsidR="007B5D5A" w:rsidRPr="00603690" w:rsidRDefault="00671CFC" w:rsidP="007B5D5A">
      <w:pPr>
        <w:spacing w:after="0" w:line="276" w:lineRule="auto"/>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61312" behindDoc="0" locked="0" layoutInCell="1" allowOverlap="1" wp14:anchorId="7B372F75" wp14:editId="5C516021">
            <wp:simplePos x="0" y="0"/>
            <wp:positionH relativeFrom="column">
              <wp:posOffset>1060112</wp:posOffset>
            </wp:positionH>
            <wp:positionV relativeFrom="page">
              <wp:posOffset>4430490</wp:posOffset>
            </wp:positionV>
            <wp:extent cx="3771900" cy="1400175"/>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3771900" cy="1400175"/>
                    </a:xfrm>
                    <a:prstGeom prst="rect">
                      <a:avLst/>
                    </a:prstGeom>
                  </pic:spPr>
                </pic:pic>
              </a:graphicData>
            </a:graphic>
            <wp14:sizeRelH relativeFrom="page">
              <wp14:pctWidth>0</wp14:pctWidth>
            </wp14:sizeRelH>
            <wp14:sizeRelV relativeFrom="page">
              <wp14:pctHeight>0</wp14:pctHeight>
            </wp14:sizeRelV>
          </wp:anchor>
        </w:drawing>
      </w:r>
    </w:p>
    <w:p w14:paraId="5EE997D9" w14:textId="340B3CDA" w:rsidR="007B5D5A" w:rsidRPr="00603690" w:rsidRDefault="007B5D5A" w:rsidP="007B5D5A">
      <w:pPr>
        <w:spacing w:line="276" w:lineRule="auto"/>
        <w:jc w:val="center"/>
        <w:rPr>
          <w:rFonts w:ascii="Verdana" w:hAnsi="Verdana" w:cs="Arial"/>
          <w:color w:val="000000" w:themeColor="text1"/>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B5D5A" w:rsidRPr="00603690" w14:paraId="2F96F249" w14:textId="77777777" w:rsidTr="00120775">
        <w:trPr>
          <w:trHeight w:val="315"/>
        </w:trPr>
        <w:tc>
          <w:tcPr>
            <w:tcW w:w="893" w:type="dxa"/>
            <w:vAlign w:val="center"/>
            <w:hideMark/>
          </w:tcPr>
          <w:p w14:paraId="427347D5" w14:textId="77777777" w:rsidR="007B5D5A" w:rsidRPr="00603690" w:rsidRDefault="007B5D5A" w:rsidP="00120775">
            <w:pPr>
              <w:contextualSpacing/>
              <w:rPr>
                <w:rFonts w:ascii="Verdana" w:hAnsi="Verdana" w:cs="Arial"/>
                <w:sz w:val="16"/>
                <w:szCs w:val="16"/>
                <w:lang w:val="es-ES" w:eastAsia="es-ES"/>
              </w:rPr>
            </w:pPr>
            <w:r w:rsidRPr="00603690">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B9794B6" w14:textId="63A53D78" w:rsidR="007B5D5A" w:rsidRPr="00F252F5" w:rsidRDefault="007B5D5A" w:rsidP="00120775">
            <w:pPr>
              <w:contextualSpacing/>
              <w:rPr>
                <w:rFonts w:ascii="Verdana" w:eastAsia="Arial" w:hAnsi="Verdana" w:cs="Arial"/>
                <w:color w:val="000000" w:themeColor="text1"/>
                <w:sz w:val="16"/>
                <w:szCs w:val="16"/>
                <w:lang w:val="es-ES"/>
              </w:rPr>
            </w:pPr>
            <w:r w:rsidRPr="00F252F5">
              <w:rPr>
                <w:rFonts w:ascii="Verdana" w:eastAsia="Arial" w:hAnsi="Verdana" w:cs="Arial"/>
                <w:color w:val="000000" w:themeColor="text1"/>
                <w:sz w:val="16"/>
                <w:szCs w:val="16"/>
                <w:lang w:val="es-ES"/>
              </w:rPr>
              <w:t>Anamaría Bonilla Prieto</w:t>
            </w:r>
          </w:p>
          <w:p w14:paraId="6130FE41" w14:textId="77777777" w:rsidR="007B5D5A" w:rsidRPr="00F252F5" w:rsidRDefault="007B5D5A" w:rsidP="00120775">
            <w:pPr>
              <w:contextualSpacing/>
              <w:rPr>
                <w:rFonts w:ascii="Verdana" w:eastAsia="Arial" w:hAnsi="Verdana" w:cs="Arial"/>
                <w:sz w:val="16"/>
                <w:szCs w:val="16"/>
                <w:lang w:val="es-ES"/>
              </w:rPr>
            </w:pPr>
            <w:r w:rsidRPr="00F252F5">
              <w:rPr>
                <w:rStyle w:val="normaltextrun"/>
                <w:rFonts w:ascii="Verdana" w:eastAsia="Arial" w:hAnsi="Verdana" w:cs="Arial"/>
                <w:color w:val="000000" w:themeColor="text1"/>
                <w:sz w:val="16"/>
                <w:szCs w:val="16"/>
                <w:lang w:val="es-ES"/>
              </w:rPr>
              <w:t xml:space="preserve">Contratista de la Subdirección </w:t>
            </w:r>
            <w:r w:rsidRPr="00F252F5">
              <w:rPr>
                <w:rStyle w:val="normaltextrun"/>
                <w:rFonts w:ascii="Verdana" w:eastAsia="Arial" w:hAnsi="Verdana" w:cs="Arial"/>
                <w:sz w:val="16"/>
                <w:szCs w:val="16"/>
                <w:lang w:val="es-ES"/>
              </w:rPr>
              <w:t>de Gestión Contractual</w:t>
            </w:r>
          </w:p>
        </w:tc>
      </w:tr>
      <w:tr w:rsidR="007B5D5A" w:rsidRPr="00603690" w14:paraId="28C2A6FC" w14:textId="77777777" w:rsidTr="00120775">
        <w:trPr>
          <w:trHeight w:val="330"/>
        </w:trPr>
        <w:tc>
          <w:tcPr>
            <w:tcW w:w="893" w:type="dxa"/>
            <w:vAlign w:val="center"/>
            <w:hideMark/>
          </w:tcPr>
          <w:p w14:paraId="4CD998DC" w14:textId="77777777" w:rsidR="007B5D5A" w:rsidRPr="00603690" w:rsidRDefault="007B5D5A" w:rsidP="00120775">
            <w:pPr>
              <w:contextualSpacing/>
              <w:rPr>
                <w:rFonts w:ascii="Verdana" w:hAnsi="Verdana" w:cs="Arial"/>
                <w:sz w:val="16"/>
                <w:szCs w:val="16"/>
                <w:lang w:val="es-ES" w:eastAsia="es-ES"/>
              </w:rPr>
            </w:pPr>
            <w:r w:rsidRPr="00603690">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2CA0E8E" w14:textId="05BB6DF1" w:rsidR="007B5D5A" w:rsidRPr="00F252F5" w:rsidRDefault="007B5D5A" w:rsidP="00120775">
            <w:pPr>
              <w:spacing w:line="276" w:lineRule="auto"/>
              <w:contextualSpacing/>
              <w:textAlignment w:val="baseline"/>
              <w:rPr>
                <w:rStyle w:val="normaltextrun"/>
                <w:rFonts w:ascii="Verdana" w:eastAsia="Arial" w:hAnsi="Verdana"/>
                <w:color w:val="000000" w:themeColor="text1"/>
                <w:sz w:val="16"/>
                <w:szCs w:val="16"/>
              </w:rPr>
            </w:pPr>
            <w:r w:rsidRPr="00F252F5">
              <w:rPr>
                <w:rStyle w:val="normaltextrun"/>
                <w:rFonts w:ascii="Verdana" w:eastAsia="Arial" w:hAnsi="Verdana"/>
                <w:color w:val="000000" w:themeColor="text1"/>
                <w:sz w:val="16"/>
                <w:szCs w:val="16"/>
              </w:rPr>
              <w:t>Alejandro Sarmiento Cantillo</w:t>
            </w:r>
          </w:p>
          <w:p w14:paraId="2C9D473D" w14:textId="77777777" w:rsidR="007B5D5A" w:rsidRPr="00F252F5" w:rsidRDefault="007B5D5A" w:rsidP="00120775">
            <w:pPr>
              <w:pStyle w:val="paragraph"/>
              <w:spacing w:before="0" w:beforeAutospacing="0" w:after="0" w:afterAutospacing="0"/>
              <w:contextualSpacing/>
              <w:textAlignment w:val="baseline"/>
              <w:rPr>
                <w:rFonts w:ascii="Verdana" w:hAnsi="Verdana" w:cs="Segoe UI"/>
                <w:sz w:val="16"/>
                <w:szCs w:val="16"/>
                <w:lang w:val="es-ES"/>
              </w:rPr>
            </w:pPr>
            <w:r w:rsidRPr="00F252F5">
              <w:rPr>
                <w:rStyle w:val="normaltextrun"/>
                <w:rFonts w:ascii="Verdana" w:eastAsia="Arial" w:hAnsi="Verdana"/>
                <w:color w:val="000000" w:themeColor="text1"/>
                <w:sz w:val="16"/>
                <w:szCs w:val="16"/>
                <w:lang w:eastAsia="en-US"/>
              </w:rPr>
              <w:t xml:space="preserve">Gestor T1 – 15 </w:t>
            </w:r>
            <w:r w:rsidRPr="00F252F5">
              <w:rPr>
                <w:rStyle w:val="normaltextrun"/>
                <w:rFonts w:ascii="Verdana" w:eastAsia="Arial" w:hAnsi="Verdana" w:cs="Arial"/>
                <w:color w:val="000000" w:themeColor="text1"/>
                <w:sz w:val="16"/>
                <w:szCs w:val="16"/>
                <w:lang w:val="es-ES" w:eastAsia="en-US"/>
              </w:rPr>
              <w:t>de la Subdirección de Gestión Contractual</w:t>
            </w:r>
            <w:r w:rsidRPr="00F252F5">
              <w:rPr>
                <w:rStyle w:val="eop"/>
                <w:rFonts w:ascii="Verdana" w:hAnsi="Verdana" w:cs="Arial"/>
                <w:sz w:val="16"/>
                <w:szCs w:val="16"/>
                <w:lang w:val="es-ES"/>
              </w:rPr>
              <w:t> </w:t>
            </w:r>
          </w:p>
        </w:tc>
      </w:tr>
      <w:tr w:rsidR="007B5D5A" w:rsidRPr="00603690" w14:paraId="24FB762D" w14:textId="77777777" w:rsidTr="00120775">
        <w:trPr>
          <w:trHeight w:val="300"/>
        </w:trPr>
        <w:tc>
          <w:tcPr>
            <w:tcW w:w="893" w:type="dxa"/>
            <w:vAlign w:val="center"/>
          </w:tcPr>
          <w:p w14:paraId="4E8CD163" w14:textId="77777777" w:rsidR="007B5D5A" w:rsidRPr="00603690" w:rsidRDefault="007B5D5A" w:rsidP="00120775">
            <w:pPr>
              <w:contextualSpacing/>
              <w:rPr>
                <w:rFonts w:ascii="Verdana" w:hAnsi="Verdana" w:cs="Arial"/>
                <w:sz w:val="16"/>
                <w:szCs w:val="16"/>
                <w:lang w:val="es-ES" w:eastAsia="es-ES"/>
              </w:rPr>
            </w:pPr>
            <w:r w:rsidRPr="00603690">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B499384" w14:textId="6BC36D69" w:rsidR="007B5D5A" w:rsidRPr="00F252F5" w:rsidRDefault="007B5D5A" w:rsidP="00120775">
            <w:pPr>
              <w:contextualSpacing/>
              <w:rPr>
                <w:rFonts w:ascii="Verdana" w:eastAsia="Calibri" w:hAnsi="Verdana" w:cs="Arial"/>
                <w:sz w:val="16"/>
                <w:szCs w:val="16"/>
                <w:lang w:val="es-ES" w:eastAsia="es-ES"/>
              </w:rPr>
            </w:pPr>
            <w:r w:rsidRPr="00F252F5">
              <w:rPr>
                <w:rFonts w:ascii="Verdana" w:eastAsia="Calibri" w:hAnsi="Verdana" w:cs="Arial"/>
                <w:sz w:val="16"/>
                <w:szCs w:val="16"/>
                <w:lang w:val="es-ES" w:eastAsia="es-ES"/>
              </w:rPr>
              <w:t>Carolina Quintero Gacharná</w:t>
            </w:r>
          </w:p>
          <w:p w14:paraId="20ACEC8C" w14:textId="77777777" w:rsidR="007B5D5A" w:rsidRPr="00F252F5" w:rsidRDefault="007B5D5A" w:rsidP="00120775">
            <w:pPr>
              <w:contextualSpacing/>
              <w:rPr>
                <w:rFonts w:ascii="Verdana" w:eastAsia="Calibri" w:hAnsi="Verdana" w:cs="Arial"/>
                <w:sz w:val="16"/>
                <w:szCs w:val="16"/>
                <w:lang w:val="es-ES" w:eastAsia="es-ES"/>
              </w:rPr>
            </w:pPr>
            <w:r w:rsidRPr="00F252F5">
              <w:rPr>
                <w:rFonts w:ascii="Verdana" w:eastAsia="Calibri" w:hAnsi="Verdana" w:cs="Arial"/>
                <w:sz w:val="16"/>
                <w:szCs w:val="16"/>
                <w:lang w:val="es-ES" w:eastAsia="es-ES"/>
              </w:rPr>
              <w:t>Subdirectora de Gestión Contractual ANCP – CCE</w:t>
            </w:r>
          </w:p>
        </w:tc>
      </w:tr>
    </w:tbl>
    <w:p w14:paraId="5DF1627B" w14:textId="15ABC244" w:rsidR="007B5D5A" w:rsidRPr="00603690" w:rsidRDefault="007B5D5A" w:rsidP="007B5D5A">
      <w:pPr>
        <w:spacing w:after="0" w:line="276" w:lineRule="auto"/>
        <w:jc w:val="center"/>
        <w:rPr>
          <w:lang w:val="es-ES"/>
        </w:rPr>
      </w:pPr>
    </w:p>
    <w:bookmarkEnd w:id="0"/>
    <w:p w14:paraId="105BE320" w14:textId="77777777" w:rsidR="007B5D5A" w:rsidRPr="00603690" w:rsidRDefault="007B5D5A" w:rsidP="007B5D5A">
      <w:pPr>
        <w:spacing w:after="0" w:line="240" w:lineRule="auto"/>
        <w:textAlignment w:val="baseline"/>
        <w:rPr>
          <w:rFonts w:ascii="Verdana" w:eastAsia="Times New Roman" w:hAnsi="Verdana" w:cs="Segoe UI"/>
          <w:b/>
          <w:bCs/>
          <w:color w:val="46589C"/>
          <w:lang w:val="es-ES" w:eastAsia="es-CO"/>
        </w:rPr>
      </w:pPr>
    </w:p>
    <w:p w14:paraId="3024FF51" w14:textId="77777777" w:rsidR="007B5D5A" w:rsidRPr="00603690" w:rsidRDefault="007B5D5A" w:rsidP="007B5D5A">
      <w:pPr>
        <w:rPr>
          <w:lang w:val="es-ES"/>
        </w:rPr>
      </w:pPr>
    </w:p>
    <w:p w14:paraId="1663A537" w14:textId="77777777" w:rsidR="007B5D5A" w:rsidRPr="00603690" w:rsidRDefault="007B5D5A" w:rsidP="007B5D5A">
      <w:pPr>
        <w:rPr>
          <w:lang w:val="es-ES"/>
        </w:rPr>
      </w:pPr>
    </w:p>
    <w:p w14:paraId="0F293BF4" w14:textId="2E317C4F" w:rsidR="00127233" w:rsidRPr="007B5D5A" w:rsidRDefault="00127233" w:rsidP="007B5D5A"/>
    <w:sectPr w:rsidR="00127233" w:rsidRPr="007B5D5A"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B2CCD5" w14:textId="77777777" w:rsidR="0084363D" w:rsidRDefault="0084363D" w:rsidP="004A1847">
      <w:pPr>
        <w:spacing w:after="0" w:line="240" w:lineRule="auto"/>
      </w:pPr>
      <w:r>
        <w:separator/>
      </w:r>
    </w:p>
  </w:endnote>
  <w:endnote w:type="continuationSeparator" w:id="0">
    <w:p w14:paraId="2D106205" w14:textId="77777777" w:rsidR="0084363D" w:rsidRDefault="0084363D" w:rsidP="004A1847">
      <w:pPr>
        <w:spacing w:after="0" w:line="240" w:lineRule="auto"/>
      </w:pPr>
      <w:r>
        <w:continuationSeparator/>
      </w:r>
    </w:p>
  </w:endnote>
  <w:endnote w:type="continuationNotice" w:id="1">
    <w:p w14:paraId="0BF5265A" w14:textId="77777777" w:rsidR="0084363D" w:rsidRDefault="0084363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02E199" w14:textId="77777777" w:rsidR="0084363D" w:rsidRDefault="0084363D" w:rsidP="004A1847">
      <w:pPr>
        <w:spacing w:after="0" w:line="240" w:lineRule="auto"/>
      </w:pPr>
      <w:r>
        <w:separator/>
      </w:r>
    </w:p>
  </w:footnote>
  <w:footnote w:type="continuationSeparator" w:id="0">
    <w:p w14:paraId="52857446" w14:textId="77777777" w:rsidR="0084363D" w:rsidRDefault="0084363D" w:rsidP="004A1847">
      <w:pPr>
        <w:spacing w:after="0" w:line="240" w:lineRule="auto"/>
      </w:pPr>
      <w:r>
        <w:continuationSeparator/>
      </w:r>
    </w:p>
  </w:footnote>
  <w:footnote w:type="continuationNotice" w:id="1">
    <w:p w14:paraId="4A7FAE5B" w14:textId="77777777" w:rsidR="0084363D" w:rsidRDefault="0084363D">
      <w:pPr>
        <w:spacing w:after="0" w:line="240" w:lineRule="auto"/>
      </w:pPr>
    </w:p>
  </w:footnote>
  <w:footnote w:id="2">
    <w:p w14:paraId="3D1D0891" w14:textId="128FA4BD" w:rsidR="007B5D5A" w:rsidRPr="00B45BE6" w:rsidRDefault="007B5D5A" w:rsidP="009060B0">
      <w:pPr>
        <w:pStyle w:val="Textoindependiente"/>
        <w:snapToGrid w:val="0"/>
        <w:spacing w:after="0" w:line="240" w:lineRule="auto"/>
        <w:ind w:firstLine="708"/>
        <w:contextualSpacing/>
        <w:jc w:val="both"/>
        <w:rPr>
          <w:rFonts w:ascii="Verdana" w:hAnsi="Verdana" w:cs="Arial"/>
          <w:sz w:val="16"/>
          <w:szCs w:val="16"/>
        </w:rPr>
      </w:pPr>
      <w:r w:rsidRPr="00B45BE6">
        <w:rPr>
          <w:rStyle w:val="Refdenotaalpie"/>
          <w:rFonts w:ascii="Verdana" w:hAnsi="Verdana" w:cs="Arial"/>
          <w:sz w:val="16"/>
          <w:szCs w:val="16"/>
        </w:rPr>
        <w:footnoteRef/>
      </w:r>
      <w:r w:rsidRPr="00B45BE6">
        <w:rPr>
          <w:rFonts w:ascii="Verdana" w:hAnsi="Verdana" w:cs="Arial"/>
          <w:sz w:val="16"/>
          <w:szCs w:val="16"/>
        </w:rPr>
        <w:t xml:space="preserve"> </w:t>
      </w:r>
      <w:r w:rsidRPr="00B45BE6">
        <w:rPr>
          <w:rFonts w:ascii="Verdana" w:hAnsi="Verdana" w:cs="Arial"/>
          <w:sz w:val="16"/>
          <w:szCs w:val="16"/>
          <w:lang w:val="es-ES_tradnl"/>
        </w:rPr>
        <w:t xml:space="preserve">El artículo 2º define, para los efectos del ámbito de sujeción del estatuto, que se denominan entidades estatales: a) </w:t>
      </w:r>
      <w:r w:rsidRPr="00B45BE6">
        <w:rPr>
          <w:rFonts w:ascii="Verdana" w:hAnsi="Verdana" w:cs="Arial"/>
          <w:sz w:val="16"/>
          <w:szCs w:val="16"/>
        </w:rPr>
        <w:t>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w:t>
      </w:r>
    </w:p>
  </w:footnote>
  <w:footnote w:id="3">
    <w:p w14:paraId="1DDE83C9" w14:textId="77777777" w:rsidR="007B5D5A" w:rsidRPr="00B45BE6" w:rsidRDefault="007B5D5A" w:rsidP="007B5D5A">
      <w:pPr>
        <w:pStyle w:val="Textonotapie"/>
        <w:snapToGrid w:val="0"/>
        <w:ind w:firstLine="720"/>
        <w:contextualSpacing/>
        <w:jc w:val="both"/>
        <w:rPr>
          <w:rFonts w:ascii="Verdana" w:hAnsi="Verdana" w:cs="Arial"/>
          <w:sz w:val="16"/>
          <w:szCs w:val="16"/>
        </w:rPr>
      </w:pPr>
      <w:r w:rsidRPr="00B45BE6">
        <w:rPr>
          <w:rStyle w:val="Refdenotaalpie"/>
          <w:rFonts w:ascii="Verdana" w:hAnsi="Verdana" w:cs="Arial"/>
          <w:sz w:val="16"/>
          <w:szCs w:val="16"/>
        </w:rPr>
        <w:footnoteRef/>
      </w:r>
      <w:r w:rsidRPr="00B45BE6">
        <w:rPr>
          <w:rFonts w:ascii="Verdana" w:hAnsi="Verdana" w:cs="Arial"/>
          <w:sz w:val="16"/>
          <w:szCs w:val="16"/>
        </w:rPr>
        <w:t xml:space="preserve"> Consejo de Estado. Sección Tercera. Sentencia del 4 de abril de 2002, M.P. Alier E. Hernández Enríquez. Rad. 1999-0290-01 (17.244).</w:t>
      </w:r>
    </w:p>
  </w:footnote>
  <w:footnote w:id="4">
    <w:p w14:paraId="4E9BE3E9" w14:textId="78BD26B7" w:rsidR="007B5D5A" w:rsidRPr="00B45BE6" w:rsidRDefault="007B5D5A" w:rsidP="009060B0">
      <w:pPr>
        <w:snapToGrid w:val="0"/>
        <w:spacing w:after="0" w:line="240" w:lineRule="auto"/>
        <w:ind w:firstLine="707"/>
        <w:contextualSpacing/>
        <w:jc w:val="both"/>
        <w:rPr>
          <w:rFonts w:ascii="Verdana" w:hAnsi="Verdana" w:cs="Arial"/>
          <w:sz w:val="16"/>
          <w:szCs w:val="16"/>
        </w:rPr>
      </w:pPr>
      <w:r w:rsidRPr="00B45BE6">
        <w:rPr>
          <w:rStyle w:val="Refdenotaalpie"/>
          <w:rFonts w:ascii="Verdana" w:hAnsi="Verdana" w:cs="Arial"/>
          <w:sz w:val="16"/>
          <w:szCs w:val="16"/>
        </w:rPr>
        <w:footnoteRef/>
      </w:r>
      <w:r w:rsidRPr="00B45BE6">
        <w:rPr>
          <w:rFonts w:ascii="Verdana" w:hAnsi="Verdana" w:cs="Arial"/>
          <w:sz w:val="16"/>
          <w:szCs w:val="16"/>
        </w:rPr>
        <w:t xml:space="preserve"> </w:t>
      </w:r>
      <w:r w:rsidR="009060B0" w:rsidRPr="00B45BE6">
        <w:rPr>
          <w:rFonts w:ascii="Verdana" w:hAnsi="Verdana" w:cs="Arial"/>
          <w:sz w:val="16"/>
          <w:szCs w:val="16"/>
        </w:rPr>
        <w:t xml:space="preserve">Consejo </w:t>
      </w:r>
      <w:r w:rsidR="009060B0">
        <w:rPr>
          <w:rFonts w:ascii="Verdana" w:hAnsi="Verdana" w:cs="Arial"/>
          <w:sz w:val="16"/>
          <w:szCs w:val="16"/>
        </w:rPr>
        <w:t>d</w:t>
      </w:r>
      <w:r w:rsidR="009060B0" w:rsidRPr="00B45BE6">
        <w:rPr>
          <w:rFonts w:ascii="Verdana" w:hAnsi="Verdana" w:cs="Arial"/>
          <w:sz w:val="16"/>
          <w:szCs w:val="16"/>
        </w:rPr>
        <w:t>e Estado</w:t>
      </w:r>
      <w:r w:rsidRPr="00B45BE6">
        <w:rPr>
          <w:rFonts w:ascii="Verdana" w:hAnsi="Verdana" w:cs="Arial"/>
          <w:sz w:val="16"/>
          <w:szCs w:val="16"/>
        </w:rPr>
        <w:t>,  Sección Tercera. Sentencia de 23 de septiembre de 1997, Rad. S-701.</w:t>
      </w:r>
    </w:p>
  </w:footnote>
  <w:footnote w:id="5">
    <w:p w14:paraId="4D832DFF" w14:textId="77777777" w:rsidR="007B5D5A" w:rsidRPr="00B45BE6" w:rsidRDefault="007B5D5A" w:rsidP="007B5D5A">
      <w:pPr>
        <w:snapToGrid w:val="0"/>
        <w:spacing w:after="0" w:line="240" w:lineRule="auto"/>
        <w:ind w:firstLine="708"/>
        <w:contextualSpacing/>
        <w:jc w:val="both"/>
        <w:rPr>
          <w:rFonts w:ascii="Verdana" w:hAnsi="Verdana" w:cs="Arial"/>
          <w:color w:val="000000" w:themeColor="text1"/>
          <w:sz w:val="16"/>
          <w:szCs w:val="16"/>
          <w:lang w:val="es-ES"/>
        </w:rPr>
      </w:pPr>
      <w:r w:rsidRPr="00B45BE6">
        <w:rPr>
          <w:rStyle w:val="Refdenotaalpie"/>
          <w:rFonts w:ascii="Verdana" w:hAnsi="Verdana" w:cs="Arial"/>
          <w:sz w:val="16"/>
          <w:szCs w:val="16"/>
        </w:rPr>
        <w:footnoteRef/>
      </w:r>
      <w:r w:rsidRPr="00B45BE6">
        <w:rPr>
          <w:rFonts w:ascii="Verdana" w:hAnsi="Verdana" w:cs="Arial"/>
          <w:sz w:val="16"/>
          <w:szCs w:val="16"/>
        </w:rPr>
        <w:t xml:space="preserve"> Ley 80 de 1993. “</w:t>
      </w:r>
      <w:r w:rsidRPr="00B45BE6">
        <w:rPr>
          <w:rFonts w:ascii="Verdana" w:hAnsi="Verdana" w:cs="Arial"/>
          <w:color w:val="000000" w:themeColor="text1"/>
          <w:sz w:val="16"/>
          <w:szCs w:val="16"/>
          <w:lang w:val="es-ES"/>
        </w:rPr>
        <w:t>ARTÍCULO 32. DE LOS CONTRATOS ESTATALES. Son contratos estatales todos los actos jurídicos generadores de obligaciones que celebren las entidades a que se refiere el presente estatuto, previstos en el derecho privado o en disposiciones especiales, o derivados del ejercicio de la autonomía de la voluntad, así como los que, a título enunciativo, se definen a continuación […]”.</w:t>
      </w:r>
    </w:p>
    <w:p w14:paraId="3C886CFF" w14:textId="77777777" w:rsidR="007B5D5A" w:rsidRPr="00B45BE6" w:rsidRDefault="007B5D5A" w:rsidP="007B5D5A">
      <w:pPr>
        <w:pStyle w:val="Textonotapie"/>
        <w:snapToGrid w:val="0"/>
        <w:contextualSpacing/>
        <w:jc w:val="both"/>
        <w:rPr>
          <w:rFonts w:ascii="Verdana" w:hAnsi="Verdana" w:cs="Arial"/>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8"/>
  </w:num>
  <w:num w:numId="17" w16cid:durableId="13376836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93B60"/>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51C86"/>
    <w:rsid w:val="00374F5E"/>
    <w:rsid w:val="00377E3E"/>
    <w:rsid w:val="003A779E"/>
    <w:rsid w:val="003D0F4D"/>
    <w:rsid w:val="003D5B0D"/>
    <w:rsid w:val="003E0499"/>
    <w:rsid w:val="003E4F80"/>
    <w:rsid w:val="003E6439"/>
    <w:rsid w:val="003F3941"/>
    <w:rsid w:val="00406575"/>
    <w:rsid w:val="004112FD"/>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182"/>
    <w:rsid w:val="006219F8"/>
    <w:rsid w:val="006302F7"/>
    <w:rsid w:val="00646B9F"/>
    <w:rsid w:val="00665D70"/>
    <w:rsid w:val="00671CFC"/>
    <w:rsid w:val="006900D9"/>
    <w:rsid w:val="006D784F"/>
    <w:rsid w:val="006F70C0"/>
    <w:rsid w:val="00706C16"/>
    <w:rsid w:val="007340C3"/>
    <w:rsid w:val="00743CAF"/>
    <w:rsid w:val="00751AB5"/>
    <w:rsid w:val="0075235A"/>
    <w:rsid w:val="00756841"/>
    <w:rsid w:val="007649AB"/>
    <w:rsid w:val="00771D0C"/>
    <w:rsid w:val="007833AC"/>
    <w:rsid w:val="007B268C"/>
    <w:rsid w:val="007B5D5A"/>
    <w:rsid w:val="007B7171"/>
    <w:rsid w:val="007C067F"/>
    <w:rsid w:val="007C0C0F"/>
    <w:rsid w:val="007C3DC2"/>
    <w:rsid w:val="007E5497"/>
    <w:rsid w:val="00806F5F"/>
    <w:rsid w:val="00820278"/>
    <w:rsid w:val="008258C9"/>
    <w:rsid w:val="0084363D"/>
    <w:rsid w:val="00844AE9"/>
    <w:rsid w:val="00867F95"/>
    <w:rsid w:val="00881667"/>
    <w:rsid w:val="008843B6"/>
    <w:rsid w:val="00891928"/>
    <w:rsid w:val="008A446D"/>
    <w:rsid w:val="008B25F1"/>
    <w:rsid w:val="008C7ED8"/>
    <w:rsid w:val="008D180B"/>
    <w:rsid w:val="008F0EA7"/>
    <w:rsid w:val="009060B0"/>
    <w:rsid w:val="00923EEF"/>
    <w:rsid w:val="009419F9"/>
    <w:rsid w:val="0095685E"/>
    <w:rsid w:val="00961B09"/>
    <w:rsid w:val="00965334"/>
    <w:rsid w:val="0097093E"/>
    <w:rsid w:val="00977784"/>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53FEF"/>
    <w:rsid w:val="00B72CD3"/>
    <w:rsid w:val="00B72FFF"/>
    <w:rsid w:val="00BC3D36"/>
    <w:rsid w:val="00BD54A6"/>
    <w:rsid w:val="00BD7F72"/>
    <w:rsid w:val="00BF54C8"/>
    <w:rsid w:val="00BF7425"/>
    <w:rsid w:val="00C04FB3"/>
    <w:rsid w:val="00C11D8B"/>
    <w:rsid w:val="00C15139"/>
    <w:rsid w:val="00C330EB"/>
    <w:rsid w:val="00C50D69"/>
    <w:rsid w:val="00C5365C"/>
    <w:rsid w:val="00C754BE"/>
    <w:rsid w:val="00C76B1C"/>
    <w:rsid w:val="00C925AC"/>
    <w:rsid w:val="00CA28E9"/>
    <w:rsid w:val="00CB6357"/>
    <w:rsid w:val="00CC1B26"/>
    <w:rsid w:val="00D2272E"/>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D29B0"/>
    <w:rsid w:val="00EE1AA8"/>
    <w:rsid w:val="00EE42C2"/>
    <w:rsid w:val="00F23FEA"/>
    <w:rsid w:val="00F31EDC"/>
    <w:rsid w:val="00F462B3"/>
    <w:rsid w:val="00F47A21"/>
    <w:rsid w:val="00F5664F"/>
    <w:rsid w:val="00F666C4"/>
    <w:rsid w:val="00F76AFC"/>
    <w:rsid w:val="00FA47C0"/>
    <w:rsid w:val="00FB5DD1"/>
    <w:rsid w:val="00FC2B5D"/>
    <w:rsid w:val="00FF1449"/>
    <w:rsid w:val="00FF7963"/>
    <w:rsid w:val="071B8F93"/>
    <w:rsid w:val="07C73DD1"/>
    <w:rsid w:val="09908A09"/>
    <w:rsid w:val="0FF4CCA8"/>
    <w:rsid w:val="13CFC91B"/>
    <w:rsid w:val="19A2EC2C"/>
    <w:rsid w:val="21779BE6"/>
    <w:rsid w:val="2859CA1B"/>
    <w:rsid w:val="2EE1E026"/>
    <w:rsid w:val="30821638"/>
    <w:rsid w:val="32A4F9CF"/>
    <w:rsid w:val="356CEDFD"/>
    <w:rsid w:val="3C591AFD"/>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B5D5A"/>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5D5A"/>
    <w:rPr>
      <w:rFonts w:ascii="Geomanist Light" w:hAnsi="Geomanist Light"/>
      <w:lang w:val="es-ES"/>
    </w:rPr>
  </w:style>
  <w:style w:type="paragraph" w:styleId="Textoindependiente">
    <w:name w:val="Body Text"/>
    <w:basedOn w:val="Normal"/>
    <w:link w:val="TextoindependienteCar"/>
    <w:uiPriority w:val="99"/>
    <w:semiHidden/>
    <w:unhideWhenUsed/>
    <w:rsid w:val="007B5D5A"/>
    <w:pPr>
      <w:spacing w:after="120"/>
    </w:pPr>
  </w:style>
  <w:style w:type="character" w:customStyle="1" w:styleId="TextoindependienteCar">
    <w:name w:val="Texto independiente Car"/>
    <w:basedOn w:val="Fuentedeprrafopredeter"/>
    <w:link w:val="Textoindependiente"/>
    <w:uiPriority w:val="99"/>
    <w:semiHidden/>
    <w:rsid w:val="007B5D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20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hathew@g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6274CAEC-047F-457C-AA1B-55E696B8EB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12</Pages>
  <Words>4036</Words>
  <Characters>21393</Characters>
  <Application>Microsoft Office Word</Application>
  <DocSecurity>0</DocSecurity>
  <Lines>436</Lines>
  <Paragraphs>98</Paragraphs>
  <ScaleCrop>false</ScaleCrop>
  <Company/>
  <LinksUpToDate>false</LinksUpToDate>
  <CharactersWithSpaces>25331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3</cp:revision>
  <cp:lastPrinted>2023-01-10T21:18:00Z</cp:lastPrinted>
  <dcterms:created xsi:type="dcterms:W3CDTF">2026-03-04T19:04:00Z</dcterms:created>
  <dcterms:modified xsi:type="dcterms:W3CDTF">2026-03-04T20:26:00Z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