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EB8A96" w14:textId="77777777" w:rsidR="004B34B2" w:rsidRPr="007D6994" w:rsidRDefault="004B34B2" w:rsidP="007D6994">
      <w:pPr>
        <w:snapToGrid w:val="0"/>
        <w:spacing w:after="0" w:line="240" w:lineRule="auto"/>
        <w:contextualSpacing/>
        <w:jc w:val="both"/>
        <w:rPr>
          <w:rFonts w:ascii="Verdana" w:eastAsia="Calibri" w:hAnsi="Verdana" w:cs="Arial"/>
          <w:b/>
          <w:bCs/>
          <w:lang w:val="es-ES" w:eastAsia="es-ES"/>
        </w:rPr>
      </w:pPr>
      <w:r w:rsidRPr="007D6994">
        <w:rPr>
          <w:rFonts w:ascii="Verdana" w:eastAsia="Calibri" w:hAnsi="Verdana" w:cs="Arial"/>
          <w:b/>
          <w:bCs/>
          <w:lang w:val="es-ES" w:eastAsia="es-ES"/>
        </w:rPr>
        <w:t>PRECIOS UNITARIOS – Estructuración del precio – Cantidades de obra</w:t>
      </w:r>
    </w:p>
    <w:p w14:paraId="34C022B8" w14:textId="77777777" w:rsidR="007D6994" w:rsidRDefault="007D6994" w:rsidP="007D6994">
      <w:pPr>
        <w:snapToGrid w:val="0"/>
        <w:spacing w:after="0" w:line="240" w:lineRule="auto"/>
        <w:contextualSpacing/>
        <w:jc w:val="both"/>
        <w:rPr>
          <w:rFonts w:ascii="Verdana" w:eastAsia="Calibri" w:hAnsi="Verdana" w:cs="Arial"/>
          <w:sz w:val="20"/>
          <w:szCs w:val="20"/>
          <w:lang w:val="es-ES" w:eastAsia="es-ES"/>
        </w:rPr>
      </w:pPr>
    </w:p>
    <w:p w14:paraId="4546AF2F" w14:textId="625367C0" w:rsidR="005D1F45" w:rsidRPr="007D6994" w:rsidRDefault="005D1F45" w:rsidP="007D6994">
      <w:pPr>
        <w:snapToGrid w:val="0"/>
        <w:spacing w:after="0" w:line="240" w:lineRule="auto"/>
        <w:contextualSpacing/>
        <w:jc w:val="both"/>
        <w:rPr>
          <w:rFonts w:ascii="Verdana" w:eastAsia="Calibri" w:hAnsi="Verdana" w:cs="Arial"/>
          <w:sz w:val="20"/>
          <w:szCs w:val="20"/>
          <w:lang w:val="es-ES" w:eastAsia="es-ES"/>
        </w:rPr>
      </w:pPr>
      <w:r w:rsidRPr="007D6994">
        <w:rPr>
          <w:rFonts w:ascii="Verdana" w:eastAsia="Calibri" w:hAnsi="Verdana" w:cs="Arial"/>
          <w:sz w:val="20"/>
          <w:szCs w:val="20"/>
          <w:lang w:val="es-ES" w:eastAsia="es-ES"/>
        </w:rPr>
        <w:t>Dentro los esquemas para determinar el precio se encuentran, entre otros: i) los precios unitarios –calculados de acuerdo con las unidades que componen el objeto del contrato–, ii) el precio global –que equivale al monto total, sin discriminar unidades–, y iii) la administración delegada de recursos –en la que se distinguen los costos de inversión de los honorarios del administrador–.</w:t>
      </w:r>
    </w:p>
    <w:p w14:paraId="43BB8747" w14:textId="77777777" w:rsidR="005D1F45" w:rsidRPr="007D6994" w:rsidRDefault="005D1F45" w:rsidP="007D6994">
      <w:pPr>
        <w:snapToGrid w:val="0"/>
        <w:spacing w:after="0" w:line="240" w:lineRule="auto"/>
        <w:contextualSpacing/>
        <w:jc w:val="both"/>
        <w:rPr>
          <w:rFonts w:ascii="Verdana" w:eastAsia="Calibri" w:hAnsi="Verdana" w:cs="Arial"/>
          <w:sz w:val="20"/>
          <w:szCs w:val="20"/>
          <w:lang w:val="es-ES" w:eastAsia="es-ES"/>
        </w:rPr>
      </w:pPr>
    </w:p>
    <w:p w14:paraId="0C417A2D" w14:textId="77777777" w:rsidR="005D1F45" w:rsidRPr="007D6994" w:rsidRDefault="005D1F45" w:rsidP="007D6994">
      <w:pPr>
        <w:snapToGrid w:val="0"/>
        <w:spacing w:after="0" w:line="240" w:lineRule="auto"/>
        <w:contextualSpacing/>
        <w:jc w:val="both"/>
        <w:rPr>
          <w:rFonts w:ascii="Verdana" w:eastAsia="Calibri" w:hAnsi="Verdana" w:cs="Arial"/>
          <w:sz w:val="20"/>
          <w:szCs w:val="20"/>
          <w:lang w:val="es-ES" w:eastAsia="es-ES"/>
        </w:rPr>
      </w:pPr>
      <w:r w:rsidRPr="007D6994">
        <w:rPr>
          <w:rFonts w:ascii="Verdana" w:eastAsia="Calibri" w:hAnsi="Verdana" w:cs="Arial"/>
          <w:sz w:val="20"/>
          <w:szCs w:val="20"/>
          <w:lang w:val="es-ES" w:eastAsia="es-ES"/>
        </w:rPr>
        <w:t>El contrato cuyo precio es pactado a precios unitarios implica individualizar el valor de cada uno de los ítems requeridos para llevar a cabo la obra o el proyecto. Así mismo, el precio se deriva de apreciar todos los componentes necesarios para la ejecución de la unidad de medida del ítem correspondiente (metro lineal, metro cúbico, metro cuadrado, entre otros). Por lo mismo, el precio será el resultado de multiplicar la cantidad finalmente ejecutada por el valor unitario respectivo.</w:t>
      </w:r>
    </w:p>
    <w:p w14:paraId="46F8B97C" w14:textId="77777777" w:rsidR="005D1F45" w:rsidRPr="007D6994" w:rsidRDefault="005D1F45" w:rsidP="007D6994">
      <w:pPr>
        <w:snapToGrid w:val="0"/>
        <w:spacing w:after="0" w:line="240" w:lineRule="auto"/>
        <w:contextualSpacing/>
        <w:jc w:val="both"/>
        <w:rPr>
          <w:rFonts w:ascii="Verdana" w:eastAsia="Calibri" w:hAnsi="Verdana" w:cs="Arial"/>
          <w:sz w:val="20"/>
          <w:szCs w:val="20"/>
          <w:lang w:val="es-ES" w:eastAsia="es-ES"/>
        </w:rPr>
      </w:pPr>
    </w:p>
    <w:p w14:paraId="4EF0992C" w14:textId="77777777" w:rsidR="005D1F45" w:rsidRPr="007D6994" w:rsidRDefault="005D1F45" w:rsidP="007D6994">
      <w:pPr>
        <w:snapToGrid w:val="0"/>
        <w:spacing w:after="0" w:line="240" w:lineRule="auto"/>
        <w:contextualSpacing/>
        <w:jc w:val="both"/>
        <w:rPr>
          <w:rFonts w:ascii="Verdana" w:hAnsi="Verdana" w:cs="Arial"/>
          <w:sz w:val="20"/>
          <w:szCs w:val="20"/>
          <w:lang w:val="es-ES" w:eastAsia="es-ES"/>
        </w:rPr>
      </w:pPr>
      <w:r w:rsidRPr="007D6994">
        <w:rPr>
          <w:rFonts w:ascii="Verdana" w:hAnsi="Verdana" w:cs="Arial"/>
          <w:bCs/>
          <w:sz w:val="20"/>
          <w:szCs w:val="20"/>
          <w:lang w:val="es-ES" w:eastAsia="es-ES_tradnl"/>
        </w:rPr>
        <w:t xml:space="preserve">[…] </w:t>
      </w:r>
    </w:p>
    <w:p w14:paraId="7F30FFA0" w14:textId="77777777" w:rsidR="005D1F45" w:rsidRPr="007D6994" w:rsidRDefault="005D1F45" w:rsidP="007D6994">
      <w:pPr>
        <w:snapToGrid w:val="0"/>
        <w:spacing w:after="0" w:line="240" w:lineRule="auto"/>
        <w:contextualSpacing/>
        <w:jc w:val="both"/>
        <w:rPr>
          <w:rFonts w:ascii="Verdana" w:eastAsia="Calibri" w:hAnsi="Verdana" w:cs="Arial"/>
          <w:sz w:val="20"/>
          <w:szCs w:val="20"/>
          <w:lang w:val="es-ES" w:eastAsia="es-ES"/>
        </w:rPr>
      </w:pPr>
    </w:p>
    <w:p w14:paraId="15CBAABE" w14:textId="77777777" w:rsidR="005D1F45" w:rsidRPr="007D6994" w:rsidRDefault="005D1F45" w:rsidP="007D6994">
      <w:pPr>
        <w:snapToGrid w:val="0"/>
        <w:spacing w:after="0" w:line="240" w:lineRule="auto"/>
        <w:contextualSpacing/>
        <w:jc w:val="both"/>
        <w:rPr>
          <w:rFonts w:ascii="Verdana" w:eastAsia="Calibri" w:hAnsi="Verdana" w:cs="Arial"/>
          <w:sz w:val="20"/>
          <w:szCs w:val="20"/>
          <w:lang w:val="es-ES" w:eastAsia="es-ES"/>
        </w:rPr>
      </w:pPr>
      <w:r w:rsidRPr="007D6994">
        <w:rPr>
          <w:rFonts w:ascii="Verdana" w:eastAsia="Calibri" w:hAnsi="Verdana" w:cs="Arial"/>
          <w:sz w:val="20"/>
          <w:szCs w:val="20"/>
          <w:lang w:val="es-ES" w:eastAsia="es-ES"/>
        </w:rPr>
        <w:t>En esta modalidad de establecimiento del precio, y por la misma naturaleza del contrato que impide definir con certeza su valor real, se establecen unas estimaciones de cantidades de obra, según los estudios y diseños, los estudios previos y unos precios unitarios de los respectivos ítems de obra. Al respecto, la jurisprudencia de la Sección Tercera del Consejo de Estado ha explicado que, en los contratos pactados mediante precios unitarios, ante la imposibilidad de establecer con exactitud los montos totales que resultarán de realizar la obra contratada, previo a la ejecución del negocio jurídico, la entidad, tanto en los pliegos de condiciones o documento equivalente, como en el contrato, aproxima un cálculo estimado de la cantidad o unidades de obra que se requerirá ejecutar. Esto, con el propósito de que el proponente establezca en su propuesta unos valores unitarios respecto de cada unidad de obra prevista por el ente contratante.</w:t>
      </w:r>
    </w:p>
    <w:p w14:paraId="024FAA58" w14:textId="77777777" w:rsidR="005D1F45" w:rsidRPr="007D6994" w:rsidRDefault="005D1F45" w:rsidP="007D6994">
      <w:pPr>
        <w:snapToGrid w:val="0"/>
        <w:spacing w:after="0" w:line="240" w:lineRule="auto"/>
        <w:contextualSpacing/>
        <w:jc w:val="both"/>
        <w:rPr>
          <w:rFonts w:ascii="Verdana" w:eastAsia="Calibri" w:hAnsi="Verdana" w:cs="Arial"/>
          <w:sz w:val="20"/>
          <w:szCs w:val="20"/>
          <w:lang w:val="es-ES" w:eastAsia="es-ES"/>
        </w:rPr>
      </w:pPr>
    </w:p>
    <w:p w14:paraId="3A787B8E" w14:textId="77777777" w:rsidR="004B34B2" w:rsidRPr="007D6994" w:rsidRDefault="004B34B2" w:rsidP="007D6994">
      <w:pPr>
        <w:snapToGrid w:val="0"/>
        <w:spacing w:after="0" w:line="240" w:lineRule="auto"/>
        <w:contextualSpacing/>
        <w:jc w:val="both"/>
        <w:rPr>
          <w:rFonts w:ascii="Verdana" w:eastAsia="Calibri" w:hAnsi="Verdana" w:cs="Arial"/>
          <w:b/>
          <w:bCs/>
          <w:lang w:val="es-ES" w:eastAsia="es-ES"/>
        </w:rPr>
      </w:pPr>
      <w:r w:rsidRPr="007D6994">
        <w:rPr>
          <w:rFonts w:ascii="Verdana" w:eastAsia="Calibri" w:hAnsi="Verdana" w:cs="Arial"/>
          <w:b/>
          <w:bCs/>
          <w:lang w:val="es-ES" w:eastAsia="es-ES"/>
        </w:rPr>
        <w:t>AIU – Costos indirectos – Finalidad – Ejecución del contrato</w:t>
      </w:r>
    </w:p>
    <w:p w14:paraId="16A8893B" w14:textId="77777777" w:rsidR="007D6994" w:rsidRPr="007D6994" w:rsidRDefault="007D6994" w:rsidP="007D6994">
      <w:pPr>
        <w:snapToGrid w:val="0"/>
        <w:spacing w:after="0" w:line="240" w:lineRule="auto"/>
        <w:contextualSpacing/>
        <w:jc w:val="both"/>
        <w:rPr>
          <w:rFonts w:ascii="Verdana" w:eastAsia="Calibri" w:hAnsi="Verdana" w:cs="Arial"/>
          <w:sz w:val="20"/>
          <w:szCs w:val="20"/>
          <w:lang w:val="es-ES" w:eastAsia="es-ES"/>
        </w:rPr>
      </w:pPr>
    </w:p>
    <w:p w14:paraId="7380C01B" w14:textId="77777777" w:rsidR="005D1F45" w:rsidRPr="007D6994" w:rsidRDefault="005D1F45" w:rsidP="007D6994">
      <w:pPr>
        <w:snapToGrid w:val="0"/>
        <w:spacing w:after="0" w:line="240" w:lineRule="auto"/>
        <w:contextualSpacing/>
        <w:jc w:val="both"/>
        <w:rPr>
          <w:rFonts w:ascii="Verdana" w:hAnsi="Verdana" w:cs="Arial"/>
          <w:bCs/>
          <w:sz w:val="20"/>
          <w:szCs w:val="20"/>
          <w:lang w:val="es-ES" w:eastAsia="es-ES_tradnl"/>
        </w:rPr>
      </w:pPr>
      <w:r w:rsidRPr="007D6994">
        <w:rPr>
          <w:rFonts w:ascii="Verdana" w:hAnsi="Verdana" w:cs="Arial"/>
          <w:bCs/>
          <w:sz w:val="20"/>
          <w:szCs w:val="20"/>
          <w:lang w:val="es-ES" w:eastAsia="es-ES_tradnl"/>
        </w:rPr>
        <w:t xml:space="preserve">En este sentido, cuando las entidades estatales incluyen esta forma de desglosar el precio, en los últimos términos indicados, al realizar el estudio de mercado elaboran un presupuesto estimado del valor de la ejecución del contrato. Dicho presupuesto estimado incluye los costos genéricos </w:t>
      </w:r>
      <w:r w:rsidRPr="007D6994">
        <w:rPr>
          <w:rFonts w:ascii="Verdana" w:hAnsi="Verdana" w:cs="Arial"/>
          <w:bCs/>
          <w:i/>
          <w:iCs/>
          <w:sz w:val="20"/>
          <w:szCs w:val="20"/>
          <w:lang w:val="es-ES" w:eastAsia="es-ES_tradnl"/>
        </w:rPr>
        <w:t xml:space="preserve">indirectos </w:t>
      </w:r>
      <w:r w:rsidRPr="007D6994">
        <w:rPr>
          <w:rFonts w:ascii="Verdana" w:hAnsi="Verdana" w:cs="Arial"/>
          <w:bCs/>
          <w:sz w:val="20"/>
          <w:szCs w:val="20"/>
          <w:lang w:val="es-ES" w:eastAsia="es-ES_tradnl"/>
        </w:rPr>
        <w:t xml:space="preserve">en que incurren los contratistas, entre ellos, los de la </w:t>
      </w:r>
      <w:r w:rsidRPr="007D6994">
        <w:rPr>
          <w:rFonts w:ascii="Verdana" w:hAnsi="Verdana" w:cs="Arial"/>
          <w:bCs/>
          <w:i/>
          <w:iCs/>
          <w:sz w:val="20"/>
          <w:szCs w:val="20"/>
          <w:lang w:val="es-ES" w:eastAsia="es-ES_tradnl"/>
        </w:rPr>
        <w:t>Administración</w:t>
      </w:r>
      <w:r w:rsidRPr="007D6994">
        <w:rPr>
          <w:rFonts w:ascii="Verdana" w:hAnsi="Verdana" w:cs="Arial"/>
          <w:bCs/>
          <w:sz w:val="20"/>
          <w:szCs w:val="20"/>
          <w:lang w:val="es-ES" w:eastAsia="es-ES_tradnl"/>
        </w:rPr>
        <w:t xml:space="preserve">, para efectos de definir el porcentaje con el que calculan el presupuesto, pese a que el monto de estos componentes varía ostensiblemente de un proponente a otro, pues su valor real depende de circunstancias particulares de los oferentes. </w:t>
      </w:r>
    </w:p>
    <w:p w14:paraId="2D56BEC0" w14:textId="77777777" w:rsidR="005D1F45" w:rsidRPr="007D6994" w:rsidRDefault="005D1F45" w:rsidP="007D6994">
      <w:pPr>
        <w:snapToGrid w:val="0"/>
        <w:spacing w:after="0" w:line="240" w:lineRule="auto"/>
        <w:contextualSpacing/>
        <w:jc w:val="both"/>
        <w:rPr>
          <w:rFonts w:ascii="Verdana" w:hAnsi="Verdana" w:cs="Arial"/>
          <w:bCs/>
          <w:sz w:val="20"/>
          <w:szCs w:val="20"/>
          <w:lang w:val="es-ES" w:eastAsia="es-ES_tradnl"/>
        </w:rPr>
      </w:pPr>
    </w:p>
    <w:p w14:paraId="73E097CD" w14:textId="77777777" w:rsidR="005D1F45" w:rsidRPr="007D6994" w:rsidRDefault="005D1F45" w:rsidP="007D6994">
      <w:pPr>
        <w:snapToGrid w:val="0"/>
        <w:spacing w:after="0" w:line="240" w:lineRule="auto"/>
        <w:contextualSpacing/>
        <w:jc w:val="both"/>
        <w:rPr>
          <w:rFonts w:ascii="Verdana" w:eastAsia="Calibri" w:hAnsi="Verdana" w:cs="Arial"/>
          <w:b/>
          <w:bCs/>
          <w:sz w:val="20"/>
          <w:szCs w:val="20"/>
          <w:lang w:val="es-ES" w:eastAsia="es-ES"/>
        </w:rPr>
      </w:pPr>
      <w:r w:rsidRPr="007D6994">
        <w:rPr>
          <w:rFonts w:ascii="Verdana" w:hAnsi="Verdana" w:cs="Arial"/>
          <w:sz w:val="20"/>
          <w:szCs w:val="20"/>
          <w:lang w:val="es-ES" w:eastAsia="es-ES"/>
        </w:rPr>
        <w:t xml:space="preserve">De manera que las entidades calculan un valor estimado que, a su vez, sirve de guía para que los proponentes formulen sus ofertas, pero bajo la premisa de que pagarán un </w:t>
      </w:r>
      <w:r w:rsidRPr="007D6994">
        <w:rPr>
          <w:rFonts w:ascii="Verdana" w:hAnsi="Verdana" w:cs="Arial"/>
          <w:i/>
          <w:iCs/>
          <w:sz w:val="20"/>
          <w:szCs w:val="20"/>
          <w:lang w:val="es-ES" w:eastAsia="es-ES"/>
        </w:rPr>
        <w:t>porcentaje fijo</w:t>
      </w:r>
      <w:r w:rsidRPr="007D6994">
        <w:rPr>
          <w:rFonts w:ascii="Verdana" w:hAnsi="Verdana" w:cs="Arial"/>
          <w:sz w:val="20"/>
          <w:szCs w:val="20"/>
          <w:lang w:val="es-ES" w:eastAsia="es-ES"/>
        </w:rPr>
        <w:t xml:space="preserve"> incluido por los interesados en sus propuestas, dado lo variable que resulta este valor, y lo complejo y gravoso de realizar un seguimiento minucioso a los costos en que incurren los contratistas por este componente en particular. Además, que </w:t>
      </w:r>
      <w:r w:rsidRPr="007D6994">
        <w:rPr>
          <w:rFonts w:ascii="Verdana" w:hAnsi="Verdana" w:cs="Arial"/>
          <w:sz w:val="20"/>
          <w:szCs w:val="20"/>
          <w:lang w:val="es-ES" w:eastAsia="es-ES"/>
        </w:rPr>
        <w:lastRenderedPageBreak/>
        <w:t xml:space="preserve">estos podrían ser mayores a los inicialmente pactados con el contratista, de manera que la fijación de un porcentaje fijo y estable también puede resultar favorable a la entidad estatal, pues su contraparte no le podrá exigir un monto superior, bajo el argumento de que incurrió en costos o gastos adicionales asociados al componente </w:t>
      </w:r>
      <w:r w:rsidRPr="007D6994">
        <w:rPr>
          <w:rFonts w:ascii="Verdana" w:hAnsi="Verdana" w:cs="Arial"/>
          <w:i/>
          <w:iCs/>
          <w:sz w:val="20"/>
          <w:szCs w:val="20"/>
          <w:lang w:val="es-ES" w:eastAsia="es-ES"/>
        </w:rPr>
        <w:t>Administración.</w:t>
      </w:r>
    </w:p>
    <w:p w14:paraId="1F35F18F" w14:textId="77777777" w:rsidR="005D1F45" w:rsidRPr="007D6994" w:rsidRDefault="005D1F45" w:rsidP="007D6994">
      <w:pPr>
        <w:snapToGrid w:val="0"/>
        <w:spacing w:after="0" w:line="240" w:lineRule="auto"/>
        <w:contextualSpacing/>
        <w:jc w:val="both"/>
        <w:rPr>
          <w:rFonts w:ascii="Verdana" w:eastAsia="Calibri" w:hAnsi="Verdana" w:cs="Arial"/>
          <w:sz w:val="20"/>
          <w:szCs w:val="20"/>
          <w:lang w:val="es-ES" w:eastAsia="es-ES"/>
        </w:rPr>
      </w:pPr>
    </w:p>
    <w:p w14:paraId="2B3E0DE3" w14:textId="77777777" w:rsidR="004B34B2" w:rsidRPr="007D6994" w:rsidRDefault="004B34B2" w:rsidP="007D6994">
      <w:pPr>
        <w:snapToGrid w:val="0"/>
        <w:spacing w:after="0" w:line="240" w:lineRule="auto"/>
        <w:contextualSpacing/>
        <w:jc w:val="both"/>
        <w:rPr>
          <w:rFonts w:ascii="Verdana" w:eastAsia="Calibri" w:hAnsi="Verdana" w:cs="Arial"/>
          <w:b/>
          <w:bCs/>
          <w:lang w:val="es-ES" w:eastAsia="es-ES"/>
        </w:rPr>
      </w:pPr>
      <w:r w:rsidRPr="007D6994">
        <w:rPr>
          <w:rFonts w:ascii="Verdana" w:eastAsia="Calibri" w:hAnsi="Verdana" w:cs="Arial"/>
          <w:b/>
          <w:bCs/>
          <w:lang w:val="es-ES" w:eastAsia="es-ES"/>
        </w:rPr>
        <w:t>AIU – Discrecionalidad</w:t>
      </w:r>
    </w:p>
    <w:p w14:paraId="79091E85" w14:textId="77777777" w:rsidR="007D6994" w:rsidRPr="007D6994" w:rsidRDefault="007D6994" w:rsidP="007D6994">
      <w:pPr>
        <w:snapToGrid w:val="0"/>
        <w:spacing w:after="0" w:line="240" w:lineRule="auto"/>
        <w:contextualSpacing/>
        <w:jc w:val="both"/>
        <w:rPr>
          <w:rFonts w:ascii="Verdana" w:eastAsia="Calibri" w:hAnsi="Verdana" w:cs="Arial"/>
          <w:sz w:val="20"/>
          <w:szCs w:val="20"/>
          <w:lang w:val="es-ES" w:eastAsia="es-ES"/>
        </w:rPr>
      </w:pPr>
    </w:p>
    <w:p w14:paraId="6BE0DDD9" w14:textId="2CABBBE7" w:rsidR="005D1F45" w:rsidRDefault="005D1F45" w:rsidP="007D6994">
      <w:pPr>
        <w:snapToGrid w:val="0"/>
        <w:contextualSpacing/>
        <w:jc w:val="both"/>
        <w:rPr>
          <w:rFonts w:ascii="Verdana" w:hAnsi="Verdana" w:cs="Arial"/>
          <w:sz w:val="20"/>
          <w:szCs w:val="20"/>
          <w:lang w:val="es-ES" w:eastAsia="es-ES"/>
        </w:rPr>
      </w:pPr>
      <w:r w:rsidRPr="007D6994">
        <w:rPr>
          <w:rFonts w:ascii="Verdana" w:hAnsi="Verdana" w:cs="Arial"/>
          <w:sz w:val="20"/>
          <w:szCs w:val="20"/>
          <w:lang w:val="es-ES" w:eastAsia="es-ES"/>
        </w:rPr>
        <w:t>En consecuencia, las entidades gozan de autonomía para configurar el precio y para establecer el sistema de pago más apropiado para satisfacer los fines de la contratación, respetando los límites previstos en el ordenamiento. En tal perspectiva, cuentan con discrecionalidad para establecer en el pliego de condiciones o en su documento equivalente, así como en el contrato, el sistema de precios unitarios y la figura del AIU; modelo que, como se indicó, es más pertinente para los contratos de tracto sucesivo, como el de obra. Por ende, la decisión de incluir el AIU, al igual que la metodología de delimitación de sus variables –ítems y porcentajes– debe obedecer a un juicioso análisis de oportunidad y conveniencia, que consulte las reglas de la experiencia, así como los aspectos particulares de cada negocio. Lo anterior en armonía con la garantía de los principios de la función administrativa y de la gestión fiscal, dentro de los cuales se halla el principio de economía, postulado que exige la optimización de los recursos públicos.</w:t>
      </w:r>
    </w:p>
    <w:p w14:paraId="7E74D2B4" w14:textId="77777777" w:rsidR="007D6994" w:rsidRPr="007D6994" w:rsidRDefault="007D6994" w:rsidP="007D6994">
      <w:pPr>
        <w:snapToGrid w:val="0"/>
        <w:spacing w:after="0" w:line="240" w:lineRule="auto"/>
        <w:contextualSpacing/>
        <w:jc w:val="both"/>
        <w:rPr>
          <w:rFonts w:ascii="Verdana" w:eastAsia="Calibri" w:hAnsi="Verdana" w:cs="Arial"/>
          <w:sz w:val="20"/>
          <w:szCs w:val="20"/>
          <w:lang w:val="es-ES" w:eastAsia="es-ES"/>
        </w:rPr>
      </w:pPr>
    </w:p>
    <w:p w14:paraId="4A3187A7" w14:textId="77777777" w:rsidR="004B34B2" w:rsidRPr="007D6994" w:rsidRDefault="004B34B2" w:rsidP="007D6994">
      <w:pPr>
        <w:snapToGrid w:val="0"/>
        <w:spacing w:after="0" w:line="240" w:lineRule="auto"/>
        <w:contextualSpacing/>
        <w:jc w:val="both"/>
        <w:rPr>
          <w:rFonts w:ascii="Verdana" w:eastAsia="Calibri" w:hAnsi="Verdana" w:cs="Arial"/>
          <w:b/>
          <w:bCs/>
          <w:lang w:val="es-ES" w:eastAsia="es-ES"/>
        </w:rPr>
      </w:pPr>
      <w:r w:rsidRPr="007D6994">
        <w:rPr>
          <w:rFonts w:ascii="Verdana" w:eastAsia="Calibri" w:hAnsi="Verdana" w:cs="Arial"/>
          <w:b/>
          <w:bCs/>
          <w:lang w:val="es-ES" w:eastAsia="es-ES"/>
        </w:rPr>
        <w:t>EQUILIBRIO ECONÓMICO – Contrato estatal – Concepto</w:t>
      </w:r>
    </w:p>
    <w:p w14:paraId="1CC9C255" w14:textId="77777777" w:rsidR="007D6994" w:rsidRPr="007D6994" w:rsidRDefault="007D6994" w:rsidP="007D6994">
      <w:pPr>
        <w:snapToGrid w:val="0"/>
        <w:spacing w:after="0" w:line="240" w:lineRule="auto"/>
        <w:contextualSpacing/>
        <w:jc w:val="both"/>
        <w:rPr>
          <w:rFonts w:ascii="Verdana" w:eastAsia="Calibri" w:hAnsi="Verdana" w:cs="Arial"/>
          <w:sz w:val="20"/>
          <w:szCs w:val="20"/>
          <w:lang w:val="es-ES" w:eastAsia="es-ES"/>
        </w:rPr>
      </w:pPr>
    </w:p>
    <w:p w14:paraId="78411793" w14:textId="77777777" w:rsidR="00C93D19" w:rsidRPr="007D6994" w:rsidRDefault="00C93D19" w:rsidP="007D6994">
      <w:pPr>
        <w:snapToGrid w:val="0"/>
        <w:spacing w:after="0" w:line="240" w:lineRule="auto"/>
        <w:contextualSpacing/>
        <w:jc w:val="both"/>
        <w:rPr>
          <w:rFonts w:ascii="Verdana" w:hAnsi="Verdana"/>
          <w:b/>
          <w:bCs/>
          <w:sz w:val="20"/>
          <w:szCs w:val="20"/>
        </w:rPr>
      </w:pPr>
      <w:r w:rsidRPr="007D6994">
        <w:rPr>
          <w:rFonts w:ascii="Verdana" w:eastAsia="Arial MT" w:hAnsi="Verdana" w:cs="Arial"/>
          <w:sz w:val="20"/>
          <w:szCs w:val="20"/>
          <w:lang w:eastAsia="es-ES" w:bidi="es-ES"/>
        </w:rPr>
        <w:t>Sobre el principio del equilibrio financiero del contrato, el Consejo de Estado ha señalado que consiste «en garantizar el mantenimiento de la igualdad o equivalencia entre derechos y obligaciones surgidos al momento de proponer o de contratar, según el caso, de manera que si se rompe por causas sobrevinientes, imprevisibles y no imputables a quien resulte afectado, las partes adoptarán las medidas necesarias para su restablecimiento, so pena de incurrir en una responsabilidad contractual tendiente a restituir tal equilibrio». En concordancia, la doctrina ha indicado que con este principio, también denominado «el de la honesta equivalencia de prestaciones», se privilegia el carácter conmutativo o sinalagmático que, por regla general, tiene el contrato estatal, «lo que significa que las prestaciones (derechos y obligaciones) asumidas por una parte contractual se entienden como equivalentes a las de la otra parte y obliga a la adopción de medidas tendientes a garantizar que esa igualdad existente en términos económicos al tiempo de su celebración se conserve y permanezca intacta durante su ejecución, y a que se restablezca esa equivalencia en caso de su ruptura por circunstancias o causas sobrevinientes, imprevisibles e imputables o no a ellas».</w:t>
      </w:r>
    </w:p>
    <w:p w14:paraId="2A7E1109" w14:textId="77777777" w:rsidR="00C93D19" w:rsidRPr="007D6994" w:rsidRDefault="00C93D19" w:rsidP="007D6994">
      <w:pPr>
        <w:snapToGrid w:val="0"/>
        <w:spacing w:after="0" w:line="240" w:lineRule="auto"/>
        <w:contextualSpacing/>
        <w:jc w:val="both"/>
        <w:rPr>
          <w:rFonts w:ascii="Verdana" w:eastAsia="Calibri" w:hAnsi="Verdana" w:cs="Arial"/>
          <w:sz w:val="20"/>
          <w:szCs w:val="20"/>
          <w:lang w:val="es-ES" w:eastAsia="es-ES"/>
        </w:rPr>
      </w:pPr>
    </w:p>
    <w:p w14:paraId="68590C08" w14:textId="77777777" w:rsidR="004B34B2" w:rsidRPr="007D6994" w:rsidRDefault="004B34B2" w:rsidP="007D6994">
      <w:pPr>
        <w:snapToGrid w:val="0"/>
        <w:spacing w:after="0" w:line="240" w:lineRule="auto"/>
        <w:contextualSpacing/>
        <w:jc w:val="both"/>
        <w:rPr>
          <w:rFonts w:ascii="Verdana" w:eastAsia="Calibri" w:hAnsi="Verdana" w:cs="Arial"/>
          <w:b/>
          <w:bCs/>
          <w:lang w:val="es-ES" w:eastAsia="es-ES"/>
        </w:rPr>
      </w:pPr>
      <w:r w:rsidRPr="007D6994">
        <w:rPr>
          <w:rFonts w:ascii="Verdana" w:eastAsia="Calibri" w:hAnsi="Verdana" w:cs="Arial"/>
          <w:b/>
          <w:bCs/>
          <w:lang w:val="es-ES" w:eastAsia="es-ES"/>
        </w:rPr>
        <w:t>EQUILIBRIO ECONÓMICO – Contrato estatal – Restablecimiento – Procedencia – Requisitos</w:t>
      </w:r>
    </w:p>
    <w:p w14:paraId="090B3AAC" w14:textId="77777777" w:rsidR="007D6994" w:rsidRPr="007D6994" w:rsidRDefault="007D6994" w:rsidP="007D6994">
      <w:pPr>
        <w:snapToGrid w:val="0"/>
        <w:spacing w:after="0" w:line="240" w:lineRule="auto"/>
        <w:contextualSpacing/>
        <w:jc w:val="both"/>
        <w:rPr>
          <w:rFonts w:ascii="Verdana" w:eastAsia="Calibri" w:hAnsi="Verdana" w:cs="Arial"/>
          <w:sz w:val="20"/>
          <w:szCs w:val="20"/>
          <w:lang w:val="es-ES" w:eastAsia="es-ES"/>
        </w:rPr>
      </w:pPr>
    </w:p>
    <w:p w14:paraId="04EE6B04" w14:textId="77777777" w:rsidR="00C93D19" w:rsidRPr="007D6994" w:rsidRDefault="00C93D19" w:rsidP="007D6994">
      <w:pPr>
        <w:snapToGrid w:val="0"/>
        <w:spacing w:after="0" w:line="240" w:lineRule="auto"/>
        <w:contextualSpacing/>
        <w:jc w:val="both"/>
        <w:rPr>
          <w:rFonts w:ascii="Verdana" w:hAnsi="Verdana"/>
          <w:sz w:val="20"/>
          <w:szCs w:val="20"/>
        </w:rPr>
      </w:pPr>
      <w:r w:rsidRPr="007D6994">
        <w:rPr>
          <w:rFonts w:ascii="Verdana" w:hAnsi="Verdana"/>
          <w:sz w:val="20"/>
          <w:szCs w:val="20"/>
          <w:lang w:bidi="es-ES"/>
        </w:rPr>
        <w:t xml:space="preserve">En lo que atañe a la procedencia del restablecimiento del equilibrio financiero del contrato cuando este se vulnera, la jurisprudencia ha señalado que para estos efectos es imperativo la prueba del menoscabo, demostrar que este es grave y que además no corresponde a un riesgo propio de la actividad que deba ser asumido por una de las </w:t>
      </w:r>
      <w:r w:rsidRPr="007D6994">
        <w:rPr>
          <w:rFonts w:ascii="Verdana" w:hAnsi="Verdana"/>
          <w:sz w:val="20"/>
          <w:szCs w:val="20"/>
          <w:lang w:bidi="es-ES"/>
        </w:rPr>
        <w:lastRenderedPageBreak/>
        <w:t xml:space="preserve">partes contractuales. Además, es necesario que las reclamaciones para el restablecimiento se realicen en la oportunidad debida, de manera que </w:t>
      </w:r>
      <w:r w:rsidRPr="007D6994">
        <w:rPr>
          <w:rFonts w:ascii="Verdana" w:hAnsi="Verdana"/>
          <w:sz w:val="20"/>
          <w:szCs w:val="20"/>
        </w:rPr>
        <w:t xml:space="preserve">si las solicitudes, o salvedades </w:t>
      </w:r>
      <w:r w:rsidRPr="007D6994">
        <w:rPr>
          <w:rFonts w:ascii="Verdana" w:hAnsi="Verdana"/>
          <w:sz w:val="20"/>
          <w:szCs w:val="20"/>
          <w:lang w:val="es-MX"/>
        </w:rPr>
        <w:t>«</w:t>
      </w:r>
      <w:r w:rsidRPr="007D6994">
        <w:rPr>
          <w:rFonts w:ascii="Verdana" w:hAnsi="Verdana"/>
          <w:sz w:val="20"/>
          <w:szCs w:val="20"/>
        </w:rPr>
        <w:t>no se hacen al momento de suscribir las suspensiones, adiciones o prórrogas del plazo contractual, contratos adicionales, otrosíes, etc., que por tal motivo se convinieren, cualquier solicitud, reclamación o pretensión ulterior es extemporánea, improcedente e impróspera por vulnerar el principio de la buena fe contractual</w:t>
      </w:r>
      <w:r w:rsidRPr="007D6994">
        <w:rPr>
          <w:rFonts w:ascii="Verdana" w:hAnsi="Verdana"/>
          <w:sz w:val="20"/>
          <w:szCs w:val="20"/>
          <w:lang w:val="es-MX"/>
        </w:rPr>
        <w:t xml:space="preserve">». </w:t>
      </w:r>
    </w:p>
    <w:p w14:paraId="498C2316" w14:textId="77777777" w:rsidR="00C93D19" w:rsidRPr="007D6994" w:rsidRDefault="00C93D19" w:rsidP="007D6994">
      <w:pPr>
        <w:snapToGrid w:val="0"/>
        <w:spacing w:after="0" w:line="240" w:lineRule="auto"/>
        <w:contextualSpacing/>
        <w:jc w:val="both"/>
        <w:rPr>
          <w:rFonts w:ascii="Verdana" w:hAnsi="Verdana"/>
          <w:sz w:val="20"/>
          <w:szCs w:val="20"/>
          <w:lang w:bidi="es-ES"/>
        </w:rPr>
      </w:pPr>
    </w:p>
    <w:p w14:paraId="202AEA65" w14:textId="77777777" w:rsidR="00C93D19" w:rsidRPr="007D6994" w:rsidRDefault="00C93D19" w:rsidP="007D6994">
      <w:pPr>
        <w:snapToGrid w:val="0"/>
        <w:spacing w:after="0" w:line="240" w:lineRule="auto"/>
        <w:contextualSpacing/>
        <w:jc w:val="both"/>
        <w:rPr>
          <w:rFonts w:ascii="Verdana" w:hAnsi="Verdana"/>
          <w:sz w:val="20"/>
          <w:szCs w:val="20"/>
          <w:lang w:bidi="es-ES"/>
        </w:rPr>
      </w:pPr>
      <w:r w:rsidRPr="007D6994">
        <w:rPr>
          <w:rFonts w:ascii="Verdana" w:hAnsi="Verdana"/>
          <w:sz w:val="20"/>
          <w:szCs w:val="20"/>
          <w:lang w:bidi="es-ES"/>
        </w:rPr>
        <w:t xml:space="preserve">De este modo, conforme a esta postura del Consejo de Estado no basta con la alegación del rompimiento del equilibrio del contrato puesto que resulta indispensable demostrar la afectación grave de las condiciones del contrato y, además, que la reclamación o solicitud en que se fundamenta el desequilibrio económico del contrato se realice en el momento oportuno, esto es, cuando se celebren las modificaciones, prórrogas, suspensiones, entre otros y no con posterioridad a ella. </w:t>
      </w:r>
    </w:p>
    <w:p w14:paraId="296EF1A5" w14:textId="77777777" w:rsidR="00C93D19" w:rsidRPr="007D6994" w:rsidRDefault="00C93D19" w:rsidP="007D6994">
      <w:pPr>
        <w:snapToGrid w:val="0"/>
        <w:spacing w:after="0" w:line="240" w:lineRule="auto"/>
        <w:contextualSpacing/>
        <w:jc w:val="both"/>
        <w:rPr>
          <w:rFonts w:ascii="Verdana" w:hAnsi="Verdana"/>
          <w:sz w:val="20"/>
          <w:szCs w:val="20"/>
        </w:rPr>
      </w:pPr>
    </w:p>
    <w:p w14:paraId="20390F53" w14:textId="77777777" w:rsidR="00C93D19" w:rsidRPr="007D6994" w:rsidRDefault="00C93D19" w:rsidP="007D6994">
      <w:pPr>
        <w:snapToGrid w:val="0"/>
        <w:spacing w:after="0" w:line="240" w:lineRule="auto"/>
        <w:contextualSpacing/>
        <w:jc w:val="both"/>
        <w:rPr>
          <w:rFonts w:ascii="Verdana" w:hAnsi="Verdana"/>
          <w:sz w:val="20"/>
          <w:szCs w:val="20"/>
        </w:rPr>
      </w:pPr>
      <w:r w:rsidRPr="007D6994">
        <w:rPr>
          <w:rFonts w:ascii="Verdana" w:hAnsi="Verdana"/>
          <w:sz w:val="20"/>
          <w:szCs w:val="20"/>
          <w:lang w:bidi="es-ES"/>
        </w:rPr>
        <w:t>En sentencias recientes el Consejo de Estado ha morigerado la postura anterior en relación con la oportunidad de la reclamación, en la medida en que, si bien es importante considerar el principio de buena fe al momento de suscribir los acuerdos entre las partes, se resalta la necesidad de analizar</w:t>
      </w:r>
      <w:r w:rsidRPr="007D6994">
        <w:rPr>
          <w:rFonts w:ascii="Verdana" w:hAnsi="Verdana"/>
          <w:sz w:val="20"/>
          <w:szCs w:val="20"/>
        </w:rPr>
        <w:t xml:space="preserve"> cada caso el contenido del respectivo acuerdo y de sus antecedentes, para determinar el alcance de los otrosíes o de las actas de suspensión correspondientes. En tal sentido, con base en esta posición se considera que la inexistencia de una salvedad en la prórroga o suspensión o cualquier acuerdo de voluntades que se efectúe por las partes no es suficiente para determinar la improcedencia de la reclamación, ya que es necesario revisar los antecedentes y los hechos que justificaron dicho acuerdo. Esto se fundamente en que </w:t>
      </w:r>
      <w:r w:rsidRPr="007D6994">
        <w:rPr>
          <w:rFonts w:ascii="Verdana" w:hAnsi="Verdana"/>
          <w:sz w:val="20"/>
          <w:szCs w:val="20"/>
          <w:lang w:val="es-MX"/>
        </w:rPr>
        <w:t>«</w:t>
      </w:r>
      <w:r w:rsidRPr="007D6994">
        <w:rPr>
          <w:rFonts w:ascii="Verdana" w:hAnsi="Verdana"/>
          <w:sz w:val="20"/>
          <w:szCs w:val="20"/>
        </w:rPr>
        <w:t>la denegatoria de tales pretensiones, es el hecho de que el acuerdo suscrito haya servido, precisamente, para solventar situaciones que se hayan presentado durante la ejecución del contrato, por lo que no se entendería que, de considerar que subsistía un perjuicio para el contratista derivado de tales situaciones, haya concurrido a suscribirlo, sin dejar alguna manifestación sobre la insuficiencia de ese acuerdo para satisfacer sus reclamaciones</w:t>
      </w:r>
      <w:r w:rsidRPr="007D6994">
        <w:rPr>
          <w:rFonts w:ascii="Verdana" w:hAnsi="Verdana"/>
          <w:sz w:val="20"/>
          <w:szCs w:val="20"/>
          <w:lang w:val="es-MX"/>
        </w:rPr>
        <w:t>»</w:t>
      </w:r>
      <w:r w:rsidRPr="007D6994">
        <w:rPr>
          <w:rFonts w:ascii="Verdana" w:hAnsi="Verdana"/>
          <w:sz w:val="20"/>
          <w:szCs w:val="20"/>
        </w:rPr>
        <w:t>.</w:t>
      </w:r>
    </w:p>
    <w:p w14:paraId="2E6572B6" w14:textId="77777777" w:rsidR="00C93D19" w:rsidRPr="007D6994" w:rsidRDefault="00C93D19" w:rsidP="007D6994">
      <w:pPr>
        <w:snapToGrid w:val="0"/>
        <w:spacing w:after="0" w:line="240" w:lineRule="auto"/>
        <w:contextualSpacing/>
        <w:jc w:val="both"/>
        <w:rPr>
          <w:rFonts w:ascii="Verdana" w:eastAsia="Calibri" w:hAnsi="Verdana" w:cs="Arial"/>
          <w:sz w:val="20"/>
          <w:szCs w:val="20"/>
          <w:lang w:val="es-ES" w:eastAsia="es-ES"/>
        </w:rPr>
      </w:pPr>
    </w:p>
    <w:p w14:paraId="2D2A164F" w14:textId="77777777" w:rsidR="004B34B2" w:rsidRPr="007D6994" w:rsidRDefault="004B34B2" w:rsidP="007D6994">
      <w:pPr>
        <w:snapToGrid w:val="0"/>
        <w:spacing w:after="0" w:line="240" w:lineRule="auto"/>
        <w:contextualSpacing/>
        <w:jc w:val="both"/>
        <w:rPr>
          <w:rFonts w:ascii="Verdana" w:eastAsia="Calibri" w:hAnsi="Verdana" w:cs="Arial"/>
          <w:b/>
          <w:bCs/>
          <w:lang w:val="es-ES" w:eastAsia="es-ES"/>
        </w:rPr>
      </w:pPr>
      <w:r w:rsidRPr="007D6994">
        <w:rPr>
          <w:rFonts w:ascii="Verdana" w:eastAsia="Calibri" w:hAnsi="Verdana" w:cs="Arial"/>
          <w:b/>
          <w:bCs/>
          <w:lang w:val="es-ES" w:eastAsia="es-ES"/>
        </w:rPr>
        <w:t>ENRIQUECIMIENTO SIN JUSTA CAUSA – Sentencia de Unificación del 19 de noviembre de 2012 – Alcance</w:t>
      </w:r>
    </w:p>
    <w:p w14:paraId="55E9FA5F" w14:textId="77777777" w:rsidR="007D6994" w:rsidRPr="007D6994" w:rsidRDefault="007D6994" w:rsidP="007D6994">
      <w:pPr>
        <w:snapToGrid w:val="0"/>
        <w:spacing w:after="0" w:line="240" w:lineRule="auto"/>
        <w:contextualSpacing/>
        <w:jc w:val="both"/>
        <w:rPr>
          <w:rFonts w:ascii="Verdana" w:hAnsi="Verdana" w:cs="Arial"/>
          <w:sz w:val="20"/>
          <w:szCs w:val="20"/>
          <w:lang w:val="es-ES" w:eastAsia="es-ES"/>
        </w:rPr>
      </w:pPr>
    </w:p>
    <w:p w14:paraId="7D1CFA8F" w14:textId="77777777" w:rsidR="00C93D19" w:rsidRPr="007D6994" w:rsidRDefault="00C93D19" w:rsidP="007D6994">
      <w:pPr>
        <w:snapToGrid w:val="0"/>
        <w:spacing w:after="0" w:line="240" w:lineRule="auto"/>
        <w:contextualSpacing/>
        <w:jc w:val="both"/>
        <w:rPr>
          <w:rFonts w:ascii="Verdana" w:hAnsi="Verdana"/>
          <w:sz w:val="20"/>
          <w:szCs w:val="20"/>
        </w:rPr>
      </w:pPr>
      <w:r w:rsidRPr="007D6994">
        <w:rPr>
          <w:rFonts w:ascii="Verdana" w:hAnsi="Verdana"/>
          <w:sz w:val="20"/>
          <w:szCs w:val="20"/>
        </w:rPr>
        <w:t xml:space="preserve">[…] la Sala Plena del Consejo de Estado en la Sentencia de Unificación del 19 de noviembre de 2012, </w:t>
      </w:r>
      <w:r w:rsidRPr="007D6994">
        <w:rPr>
          <w:rFonts w:ascii="Verdana" w:hAnsi="Verdana"/>
          <w:i/>
          <w:iCs/>
          <w:sz w:val="20"/>
          <w:szCs w:val="20"/>
        </w:rPr>
        <w:t>por regla general,</w:t>
      </w:r>
      <w:r w:rsidRPr="007D6994">
        <w:rPr>
          <w:rFonts w:ascii="Verdana" w:hAnsi="Verdana"/>
          <w:sz w:val="20"/>
          <w:szCs w:val="20"/>
        </w:rPr>
        <w:t xml:space="preserve"> no es posible solicitar reconocimientos económicos por la ejecución de obras extras o adicionales, sin la previa suscripción de un contrato adicional que las justifique. Esto en la medida que los artículos 39 y 41 del EGCAP disponen que los contratos estatales son solemnes y, por tanto, requieren formalidad escrita, salvo que se presente una situación de urgencia manifiesta.</w:t>
      </w:r>
    </w:p>
    <w:p w14:paraId="5BC54B2A" w14:textId="77777777" w:rsidR="00C93D19" w:rsidRPr="007D6994" w:rsidRDefault="00C93D19" w:rsidP="007D6994">
      <w:pPr>
        <w:snapToGrid w:val="0"/>
        <w:spacing w:after="0" w:line="240" w:lineRule="auto"/>
        <w:contextualSpacing/>
        <w:jc w:val="both"/>
        <w:rPr>
          <w:rFonts w:ascii="Verdana" w:hAnsi="Verdana"/>
          <w:sz w:val="20"/>
          <w:szCs w:val="20"/>
        </w:rPr>
      </w:pPr>
    </w:p>
    <w:p w14:paraId="3AE176FB" w14:textId="77777777" w:rsidR="00C93D19" w:rsidRPr="007D6994" w:rsidRDefault="00C93D19" w:rsidP="007D6994">
      <w:pPr>
        <w:snapToGrid w:val="0"/>
        <w:spacing w:after="0" w:line="240" w:lineRule="auto"/>
        <w:contextualSpacing/>
        <w:jc w:val="both"/>
        <w:rPr>
          <w:rFonts w:ascii="Verdana" w:hAnsi="Verdana"/>
          <w:sz w:val="20"/>
          <w:szCs w:val="20"/>
        </w:rPr>
      </w:pPr>
      <w:r w:rsidRPr="007D6994">
        <w:rPr>
          <w:rFonts w:ascii="Verdana" w:hAnsi="Verdana"/>
          <w:i/>
          <w:iCs/>
          <w:sz w:val="20"/>
          <w:szCs w:val="20"/>
        </w:rPr>
        <w:t>Excepcionalmente</w:t>
      </w:r>
      <w:r w:rsidRPr="007D6994">
        <w:rPr>
          <w:rFonts w:ascii="Verdana" w:hAnsi="Verdana"/>
          <w:sz w:val="20"/>
          <w:szCs w:val="20"/>
        </w:rPr>
        <w:t xml:space="preserve">, la jurisprudencia citada admitió la posibilidad de reconocer al contratista la ejecución de obras extras o adicionales en tres (3) eventos de interpretación restrictiva: i) cuando existe prueba fehaciente de que la ejecución de obras o servicios extras o adicionales o el suministro de bienes, por fuera del objeto contractual, se haya realizado por la imposición de la entidad, en ejercicio de su autoridad; ii) que fueran urgentes para evitar una lesión inminente e irreversible al </w:t>
      </w:r>
      <w:r w:rsidRPr="007D6994">
        <w:rPr>
          <w:rFonts w:ascii="Verdana" w:hAnsi="Verdana"/>
          <w:sz w:val="20"/>
          <w:szCs w:val="20"/>
        </w:rPr>
        <w:lastRenderedPageBreak/>
        <w:t xml:space="preserve">derecho a la salud; y iii) cuando se omite el decreto de la urgencia manifiesta y concurren las circunstancias para que ésta hubiera sido declarada.  </w:t>
      </w:r>
    </w:p>
    <w:p w14:paraId="2D38F508" w14:textId="77777777" w:rsidR="00C93D19" w:rsidRPr="007D6994" w:rsidRDefault="00C93D19" w:rsidP="007D6994">
      <w:pPr>
        <w:snapToGrid w:val="0"/>
        <w:spacing w:after="0" w:line="240" w:lineRule="auto"/>
        <w:contextualSpacing/>
        <w:jc w:val="both"/>
        <w:rPr>
          <w:rFonts w:ascii="Verdana" w:hAnsi="Verdana" w:cs="Arial"/>
          <w:sz w:val="20"/>
          <w:szCs w:val="20"/>
          <w:lang w:val="es-ES" w:eastAsia="es-ES"/>
        </w:rPr>
      </w:pPr>
    </w:p>
    <w:p w14:paraId="32C0A399" w14:textId="1F26B5A6" w:rsidR="004B34B2" w:rsidRPr="007D6994" w:rsidRDefault="004B34B2" w:rsidP="007D6994">
      <w:pPr>
        <w:snapToGrid w:val="0"/>
        <w:spacing w:after="0" w:line="240" w:lineRule="auto"/>
        <w:contextualSpacing/>
        <w:jc w:val="both"/>
        <w:rPr>
          <w:rFonts w:ascii="Verdana" w:eastAsia="Calibri" w:hAnsi="Verdana" w:cs="Arial"/>
          <w:b/>
          <w:bCs/>
          <w:lang w:val="es-ES" w:eastAsia="es-ES"/>
        </w:rPr>
      </w:pPr>
      <w:r w:rsidRPr="007D6994">
        <w:rPr>
          <w:rFonts w:ascii="Verdana" w:eastAsia="Calibri" w:hAnsi="Verdana" w:cs="Arial"/>
          <w:b/>
          <w:bCs/>
          <w:lang w:val="es-ES" w:eastAsia="es-ES"/>
        </w:rPr>
        <w:t xml:space="preserve">ENRIQUECIMIENTO SIN JUSTA CAUSA – Nueva Postura – Sentencia de Unificación Jurisprudencial – Elementos – Prueba de la Actividad - Circunstancia Excepcional </w:t>
      </w:r>
      <w:r w:rsidR="00C93D19" w:rsidRPr="007D6994">
        <w:rPr>
          <w:rFonts w:ascii="Verdana" w:eastAsia="Calibri" w:hAnsi="Verdana" w:cs="Arial"/>
          <w:b/>
          <w:bCs/>
          <w:lang w:val="es-ES" w:eastAsia="es-ES"/>
        </w:rPr>
        <w:t>–</w:t>
      </w:r>
      <w:r w:rsidRPr="007D6994">
        <w:rPr>
          <w:rFonts w:ascii="Verdana" w:eastAsia="Calibri" w:hAnsi="Verdana" w:cs="Arial"/>
          <w:b/>
          <w:bCs/>
          <w:lang w:val="es-ES" w:eastAsia="es-ES"/>
        </w:rPr>
        <w:t xml:space="preserve"> Procedencia</w:t>
      </w:r>
    </w:p>
    <w:p w14:paraId="6D259BD0" w14:textId="77777777" w:rsidR="00C93D19" w:rsidRPr="007D6994" w:rsidRDefault="00C93D19" w:rsidP="007D6994">
      <w:pPr>
        <w:snapToGrid w:val="0"/>
        <w:spacing w:after="0" w:line="240" w:lineRule="auto"/>
        <w:contextualSpacing/>
        <w:jc w:val="both"/>
        <w:rPr>
          <w:rFonts w:ascii="Verdana" w:hAnsi="Verdana" w:cs="Arial"/>
          <w:sz w:val="20"/>
          <w:szCs w:val="20"/>
          <w:lang w:val="es-ES" w:eastAsia="es-ES"/>
        </w:rPr>
      </w:pPr>
    </w:p>
    <w:p w14:paraId="3026EC45" w14:textId="77777777" w:rsidR="00C93D19" w:rsidRPr="007D6994" w:rsidRDefault="00C93D19" w:rsidP="007D6994">
      <w:pPr>
        <w:snapToGrid w:val="0"/>
        <w:spacing w:after="0" w:line="240" w:lineRule="auto"/>
        <w:contextualSpacing/>
        <w:jc w:val="both"/>
        <w:rPr>
          <w:rFonts w:ascii="Verdana" w:hAnsi="Verdana"/>
          <w:sz w:val="20"/>
          <w:szCs w:val="20"/>
        </w:rPr>
      </w:pPr>
      <w:r w:rsidRPr="007D6994">
        <w:rPr>
          <w:rFonts w:ascii="Verdana" w:hAnsi="Verdana"/>
          <w:sz w:val="20"/>
          <w:szCs w:val="20"/>
        </w:rPr>
        <w:t xml:space="preserve">En todo caso, esta postura jurisprudencial consolidada cambió con la Sentencia de Unificación del 31 de julio de 2025, en la que se expresó la compensación del enriquecimiento sin justa causa no está condicionado a la subsunción de ciertos hechos que se concuerdan con una lista de hipótesis fácticas previa y taxativamente definidas, sino que corresponde al juez, en virtud de los elementos sustantivos y la revisión el comportamiento de las partes, establecer la viabilidad de ordenar que haya una corrección al traslado patrimonial injustificado por bienes y obras no previstos en el contrato. </w:t>
      </w:r>
    </w:p>
    <w:p w14:paraId="6042F080" w14:textId="77777777" w:rsidR="00C93D19" w:rsidRPr="007D6994" w:rsidRDefault="00C93D19" w:rsidP="007D6994">
      <w:pPr>
        <w:snapToGrid w:val="0"/>
        <w:spacing w:after="0" w:line="240" w:lineRule="auto"/>
        <w:contextualSpacing/>
        <w:jc w:val="both"/>
        <w:rPr>
          <w:rFonts w:ascii="Verdana" w:hAnsi="Verdana"/>
          <w:sz w:val="20"/>
          <w:szCs w:val="20"/>
        </w:rPr>
      </w:pPr>
    </w:p>
    <w:p w14:paraId="03114BC0" w14:textId="77777777" w:rsidR="00C93D19" w:rsidRPr="007D6994" w:rsidRDefault="00C93D19" w:rsidP="007D6994">
      <w:pPr>
        <w:snapToGrid w:val="0"/>
        <w:spacing w:after="0" w:line="240" w:lineRule="auto"/>
        <w:contextualSpacing/>
        <w:jc w:val="both"/>
        <w:rPr>
          <w:rFonts w:ascii="Verdana" w:hAnsi="Verdana"/>
          <w:sz w:val="20"/>
          <w:szCs w:val="20"/>
        </w:rPr>
      </w:pPr>
      <w:r w:rsidRPr="007D6994">
        <w:rPr>
          <w:rFonts w:ascii="Verdana" w:hAnsi="Verdana"/>
          <w:sz w:val="20"/>
          <w:szCs w:val="20"/>
        </w:rPr>
        <w:t>[…]</w:t>
      </w:r>
    </w:p>
    <w:p w14:paraId="4993B1C8" w14:textId="77777777" w:rsidR="00C93D19" w:rsidRPr="007D6994" w:rsidRDefault="00C93D19" w:rsidP="007D6994">
      <w:pPr>
        <w:snapToGrid w:val="0"/>
        <w:spacing w:after="0" w:line="240" w:lineRule="auto"/>
        <w:contextualSpacing/>
        <w:jc w:val="both"/>
        <w:rPr>
          <w:rFonts w:ascii="Verdana" w:hAnsi="Verdana"/>
          <w:sz w:val="20"/>
          <w:szCs w:val="20"/>
        </w:rPr>
      </w:pPr>
    </w:p>
    <w:p w14:paraId="421825DE" w14:textId="77777777" w:rsidR="00C93D19" w:rsidRPr="007D6994" w:rsidRDefault="00C93D19" w:rsidP="007D6994">
      <w:pPr>
        <w:snapToGrid w:val="0"/>
        <w:spacing w:after="0" w:line="240" w:lineRule="auto"/>
        <w:contextualSpacing/>
        <w:jc w:val="both"/>
        <w:rPr>
          <w:rFonts w:ascii="Verdana" w:hAnsi="Verdana"/>
          <w:sz w:val="20"/>
          <w:szCs w:val="20"/>
          <w:lang w:val="es-ES"/>
        </w:rPr>
      </w:pPr>
      <w:r w:rsidRPr="007D6994">
        <w:rPr>
          <w:rFonts w:ascii="Verdana" w:hAnsi="Verdana"/>
          <w:sz w:val="20"/>
          <w:szCs w:val="20"/>
        </w:rPr>
        <w:t>Teniendo en cuenta los elementos, debe tenerse en cuenta la prueba de la actividad, sumado a la circunstancia excepcional que se invoca. El Consejo de Estado estableció que esta regla sobre el reconocimiento económico debe aplicarse a partir de la ejecutoria de la nueva sentencia de unificación, en aquellas pretensiones de compensación por enriquecimiento sin causa, de forma que no podrá dejarse de conceder lo pedido por el solo hecho de que el caso no se enmarque en los eventos indicados en la Sentencia del 19 de noviembre de 2012.</w:t>
      </w:r>
    </w:p>
    <w:p w14:paraId="337188D2" w14:textId="77777777" w:rsidR="00C93D19" w:rsidRPr="007D6994" w:rsidRDefault="00C93D19" w:rsidP="007D6994">
      <w:pPr>
        <w:snapToGrid w:val="0"/>
        <w:spacing w:after="0" w:line="240" w:lineRule="auto"/>
        <w:contextualSpacing/>
        <w:jc w:val="both"/>
        <w:rPr>
          <w:rFonts w:ascii="Verdana" w:eastAsia="Times New Roman" w:hAnsi="Verdana" w:cs="Arial"/>
          <w:color w:val="000000"/>
          <w:sz w:val="20"/>
          <w:szCs w:val="20"/>
          <w:lang w:eastAsia="es-MX"/>
        </w:rPr>
      </w:pPr>
      <w:r w:rsidRPr="007D6994">
        <w:rPr>
          <w:rFonts w:ascii="Verdana" w:eastAsia="Times New Roman" w:hAnsi="Verdana" w:cs="Arial"/>
          <w:color w:val="000000"/>
          <w:sz w:val="20"/>
          <w:szCs w:val="20"/>
          <w:lang w:eastAsia="es-MX"/>
        </w:rPr>
        <w:t xml:space="preserve"> </w:t>
      </w:r>
    </w:p>
    <w:p w14:paraId="21435BD6" w14:textId="77777777" w:rsidR="00C93D19" w:rsidRPr="004009DD" w:rsidRDefault="00C93D19" w:rsidP="004B34B2">
      <w:pPr>
        <w:spacing w:line="276" w:lineRule="auto"/>
        <w:jc w:val="both"/>
        <w:rPr>
          <w:rFonts w:ascii="Verdana" w:eastAsia="Calibri" w:hAnsi="Verdana" w:cs="Arial"/>
          <w:lang w:val="es-ES" w:eastAsia="es-ES"/>
        </w:rPr>
      </w:pPr>
    </w:p>
    <w:p w14:paraId="388072CB" w14:textId="77777777" w:rsidR="004B34B2" w:rsidRDefault="004B34B2" w:rsidP="0070018E">
      <w:pPr>
        <w:spacing w:after="0"/>
        <w:rPr>
          <w:rFonts w:ascii="Verdana" w:hAnsi="Verdana"/>
          <w:lang w:val="es-ES"/>
        </w:rPr>
      </w:pPr>
    </w:p>
    <w:p w14:paraId="5669B45E" w14:textId="77777777" w:rsidR="00EB6F4F" w:rsidRDefault="00EB6F4F" w:rsidP="0070018E">
      <w:pPr>
        <w:spacing w:after="0"/>
        <w:rPr>
          <w:rFonts w:ascii="Verdana" w:hAnsi="Verdana"/>
          <w:lang w:val="es-ES"/>
        </w:rPr>
      </w:pPr>
    </w:p>
    <w:p w14:paraId="22A85EF7" w14:textId="77777777" w:rsidR="00EB6F4F" w:rsidRDefault="00EB6F4F" w:rsidP="0070018E">
      <w:pPr>
        <w:spacing w:after="0"/>
        <w:rPr>
          <w:rFonts w:ascii="Verdana" w:hAnsi="Verdana"/>
          <w:lang w:val="es-ES"/>
        </w:rPr>
      </w:pPr>
    </w:p>
    <w:p w14:paraId="02C94D39" w14:textId="77777777" w:rsidR="00EB6F4F" w:rsidRDefault="00EB6F4F" w:rsidP="0070018E">
      <w:pPr>
        <w:spacing w:after="0"/>
        <w:rPr>
          <w:rFonts w:ascii="Verdana" w:hAnsi="Verdana"/>
          <w:lang w:val="es-ES"/>
        </w:rPr>
      </w:pPr>
    </w:p>
    <w:p w14:paraId="5A41D39C" w14:textId="77777777" w:rsidR="00EB6F4F" w:rsidRDefault="00EB6F4F" w:rsidP="0070018E">
      <w:pPr>
        <w:spacing w:after="0"/>
        <w:rPr>
          <w:rFonts w:ascii="Verdana" w:hAnsi="Verdana"/>
          <w:lang w:val="es-ES"/>
        </w:rPr>
      </w:pPr>
    </w:p>
    <w:p w14:paraId="3C3B662D" w14:textId="77777777" w:rsidR="00EB6F4F" w:rsidRDefault="00EB6F4F" w:rsidP="0070018E">
      <w:pPr>
        <w:spacing w:after="0"/>
        <w:rPr>
          <w:rFonts w:ascii="Verdana" w:hAnsi="Verdana"/>
          <w:lang w:val="es-ES"/>
        </w:rPr>
      </w:pPr>
    </w:p>
    <w:p w14:paraId="16746AFA" w14:textId="77777777" w:rsidR="00EB6F4F" w:rsidRDefault="00EB6F4F" w:rsidP="0070018E">
      <w:pPr>
        <w:spacing w:after="0"/>
        <w:rPr>
          <w:rFonts w:ascii="Verdana" w:hAnsi="Verdana"/>
          <w:lang w:val="es-ES"/>
        </w:rPr>
      </w:pPr>
    </w:p>
    <w:p w14:paraId="1AEE51FD" w14:textId="77777777" w:rsidR="00EB6F4F" w:rsidRDefault="00EB6F4F" w:rsidP="0070018E">
      <w:pPr>
        <w:spacing w:after="0"/>
        <w:rPr>
          <w:rFonts w:ascii="Verdana" w:hAnsi="Verdana"/>
          <w:lang w:val="es-ES"/>
        </w:rPr>
      </w:pPr>
    </w:p>
    <w:p w14:paraId="05ABCA28" w14:textId="77777777" w:rsidR="00EB6F4F" w:rsidRDefault="00EB6F4F" w:rsidP="0070018E">
      <w:pPr>
        <w:spacing w:after="0"/>
        <w:rPr>
          <w:rFonts w:ascii="Verdana" w:hAnsi="Verdana"/>
          <w:lang w:val="es-ES"/>
        </w:rPr>
      </w:pPr>
    </w:p>
    <w:p w14:paraId="37AE86B9" w14:textId="77777777" w:rsidR="00EB6F4F" w:rsidRDefault="00EB6F4F" w:rsidP="0070018E">
      <w:pPr>
        <w:spacing w:after="0"/>
        <w:rPr>
          <w:rFonts w:ascii="Verdana" w:hAnsi="Verdana"/>
          <w:lang w:val="es-ES"/>
        </w:rPr>
      </w:pPr>
    </w:p>
    <w:p w14:paraId="09933B09" w14:textId="77777777" w:rsidR="00EB6F4F" w:rsidRDefault="00EB6F4F" w:rsidP="0070018E">
      <w:pPr>
        <w:spacing w:after="0"/>
        <w:rPr>
          <w:rFonts w:ascii="Verdana" w:hAnsi="Verdana"/>
          <w:lang w:val="es-ES"/>
        </w:rPr>
      </w:pPr>
    </w:p>
    <w:p w14:paraId="4122E0D6" w14:textId="77777777" w:rsidR="00EB6F4F" w:rsidRDefault="00EB6F4F" w:rsidP="0070018E">
      <w:pPr>
        <w:spacing w:after="0"/>
        <w:rPr>
          <w:rFonts w:ascii="Verdana" w:hAnsi="Verdana"/>
          <w:lang w:val="es-ES"/>
        </w:rPr>
      </w:pPr>
    </w:p>
    <w:p w14:paraId="26FBFD1E" w14:textId="77777777" w:rsidR="00EB6F4F" w:rsidRDefault="00EB6F4F" w:rsidP="0070018E">
      <w:pPr>
        <w:spacing w:after="0"/>
        <w:rPr>
          <w:rFonts w:ascii="Verdana" w:hAnsi="Verdana"/>
          <w:lang w:val="es-ES"/>
        </w:rPr>
      </w:pPr>
    </w:p>
    <w:p w14:paraId="677CF721" w14:textId="77777777" w:rsidR="00EB6F4F" w:rsidRDefault="00EB6F4F" w:rsidP="0070018E">
      <w:pPr>
        <w:spacing w:after="0"/>
        <w:rPr>
          <w:rFonts w:ascii="Verdana" w:hAnsi="Verdana"/>
          <w:lang w:val="es-ES"/>
        </w:rPr>
      </w:pPr>
    </w:p>
    <w:p w14:paraId="6520D7F0" w14:textId="77777777" w:rsidR="00EB6F4F" w:rsidRDefault="00EB6F4F" w:rsidP="0070018E">
      <w:pPr>
        <w:spacing w:after="0"/>
        <w:rPr>
          <w:rFonts w:ascii="Verdana" w:hAnsi="Verdana"/>
          <w:lang w:val="es-ES"/>
        </w:rPr>
      </w:pPr>
    </w:p>
    <w:p w14:paraId="2CAA4771" w14:textId="03C505E9" w:rsidR="0070018E" w:rsidRPr="00FC6F34" w:rsidRDefault="0070018E" w:rsidP="0070018E">
      <w:pPr>
        <w:spacing w:after="0"/>
        <w:rPr>
          <w:rFonts w:ascii="Verdana" w:hAnsi="Verdana"/>
          <w:lang w:val="es-ES"/>
        </w:rPr>
      </w:pPr>
      <w:r w:rsidRPr="00FC6F34">
        <w:rPr>
          <w:rFonts w:ascii="Verdana" w:hAnsi="Verdana"/>
          <w:lang w:val="es-ES"/>
        </w:rPr>
        <w:lastRenderedPageBreak/>
        <w:t xml:space="preserve">Bogotá D.C., </w:t>
      </w:r>
      <w:r w:rsidR="00F11459">
        <w:rPr>
          <w:rFonts w:ascii="Verdana" w:hAnsi="Verdana"/>
          <w:lang w:val="es-ES"/>
        </w:rPr>
        <w:t>16 de marzo de 2026</w:t>
      </w:r>
    </w:p>
    <w:p w14:paraId="1B838A9A" w14:textId="2890872F" w:rsidR="0070018E" w:rsidRPr="00FC6F34" w:rsidRDefault="0047784E" w:rsidP="0070018E">
      <w:pPr>
        <w:spacing w:after="0"/>
        <w:rPr>
          <w:rFonts w:ascii="Verdana" w:hAnsi="Verdana"/>
          <w:lang w:val="es-ES"/>
        </w:rPr>
      </w:pPr>
      <w:r>
        <w:rPr>
          <w:rFonts w:ascii="Verdana" w:eastAsia="Calibri" w:hAnsi="Verdana" w:cs="Arial"/>
          <w:b/>
          <w:bCs/>
          <w:noProof/>
          <w:color w:val="000000" w:themeColor="text1"/>
          <w:lang w:val="es-ES" w:eastAsia="es-ES"/>
        </w:rPr>
        <w:drawing>
          <wp:anchor distT="0" distB="0" distL="114300" distR="114300" simplePos="0" relativeHeight="251659264" behindDoc="0" locked="0" layoutInCell="1" allowOverlap="1" wp14:anchorId="73856412" wp14:editId="0CB28DDF">
            <wp:simplePos x="0" y="0"/>
            <wp:positionH relativeFrom="column">
              <wp:posOffset>2745105</wp:posOffset>
            </wp:positionH>
            <wp:positionV relativeFrom="paragraph">
              <wp:posOffset>37465</wp:posOffset>
            </wp:positionV>
            <wp:extent cx="2606040" cy="793750"/>
            <wp:effectExtent l="0" t="0" r="3810" b="6350"/>
            <wp:wrapSquare wrapText="bothSides"/>
            <wp:docPr id="11173560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356039" name="Picture 1117356039"/>
                    <pic:cNvPicPr/>
                  </pic:nvPicPr>
                  <pic:blipFill>
                    <a:blip r:embed="rId10">
                      <a:extLst>
                        <a:ext uri="{28A0092B-C50C-407E-A947-70E740481C1C}">
                          <a14:useLocalDpi xmlns:a14="http://schemas.microsoft.com/office/drawing/2010/main" val="0"/>
                        </a:ext>
                      </a:extLst>
                    </a:blip>
                    <a:stretch>
                      <a:fillRect/>
                    </a:stretch>
                  </pic:blipFill>
                  <pic:spPr>
                    <a:xfrm>
                      <a:off x="0" y="0"/>
                      <a:ext cx="2606040" cy="793750"/>
                    </a:xfrm>
                    <a:prstGeom prst="rect">
                      <a:avLst/>
                    </a:prstGeom>
                  </pic:spPr>
                </pic:pic>
              </a:graphicData>
            </a:graphic>
            <wp14:sizeRelH relativeFrom="page">
              <wp14:pctWidth>0</wp14:pctWidth>
            </wp14:sizeRelH>
            <wp14:sizeRelV relativeFrom="page">
              <wp14:pctHeight>0</wp14:pctHeight>
            </wp14:sizeRelV>
          </wp:anchor>
        </w:drawing>
      </w:r>
    </w:p>
    <w:p w14:paraId="2068F38A" w14:textId="2B06379F" w:rsidR="0070018E" w:rsidRPr="00FC6F34" w:rsidRDefault="0070018E" w:rsidP="0070018E">
      <w:pPr>
        <w:spacing w:after="0" w:line="240" w:lineRule="auto"/>
        <w:rPr>
          <w:rFonts w:ascii="Verdana" w:hAnsi="Verdana"/>
          <w:lang w:val="es-ES"/>
        </w:rPr>
      </w:pPr>
      <w:bookmarkStart w:id="0" w:name="_Hlk143780582"/>
      <w:r w:rsidRPr="00FC6F34">
        <w:rPr>
          <w:rFonts w:ascii="Verdana" w:eastAsia="Calibri" w:hAnsi="Verdana" w:cs="Arial"/>
          <w:color w:val="000000" w:themeColor="text1"/>
          <w:lang w:val="es-ES" w:eastAsia="es-ES"/>
        </w:rPr>
        <w:t>Señor</w:t>
      </w:r>
    </w:p>
    <w:p w14:paraId="7553B472" w14:textId="728F7512" w:rsidR="0070018E" w:rsidRDefault="0070018E" w:rsidP="0070018E">
      <w:pPr>
        <w:spacing w:after="0" w:line="240" w:lineRule="auto"/>
        <w:rPr>
          <w:rFonts w:ascii="Verdana" w:eastAsia="Calibri" w:hAnsi="Verdana" w:cs="Arial"/>
          <w:b/>
          <w:color w:val="000000" w:themeColor="text1"/>
          <w:lang w:eastAsia="es-ES"/>
        </w:rPr>
      </w:pPr>
      <w:r>
        <w:rPr>
          <w:rFonts w:ascii="Verdana" w:eastAsia="Calibri" w:hAnsi="Verdana" w:cs="Arial"/>
          <w:b/>
          <w:color w:val="000000" w:themeColor="text1"/>
          <w:lang w:eastAsia="es-ES"/>
        </w:rPr>
        <w:t>Ciudadano Anónimo</w:t>
      </w:r>
    </w:p>
    <w:p w14:paraId="273E65E9" w14:textId="28CA629F" w:rsidR="0070018E" w:rsidRPr="00FC6F34" w:rsidRDefault="0070018E" w:rsidP="0070018E">
      <w:pPr>
        <w:spacing w:after="0" w:line="240" w:lineRule="auto"/>
        <w:rPr>
          <w:rFonts w:ascii="Verdana" w:eastAsia="Calibri" w:hAnsi="Verdana" w:cs="Arial"/>
          <w:b/>
          <w:bCs/>
          <w:color w:val="000000" w:themeColor="text1"/>
          <w:lang w:val="es-ES" w:eastAsia="es-ES"/>
        </w:rPr>
      </w:pPr>
      <w:r>
        <w:rPr>
          <w:rFonts w:ascii="Verdana" w:hAnsi="Verdana"/>
          <w:lang w:val="es-ES"/>
        </w:rPr>
        <w:t>Bogotá D.C.</w:t>
      </w: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70018E" w:rsidRPr="00FC6F34" w14:paraId="79D7D7E2" w14:textId="77777777" w:rsidTr="00764B31">
        <w:trPr>
          <w:trHeight w:val="300"/>
        </w:trPr>
        <w:tc>
          <w:tcPr>
            <w:tcW w:w="2410" w:type="dxa"/>
          </w:tcPr>
          <w:p w14:paraId="1FD87616" w14:textId="77777777" w:rsidR="0070018E" w:rsidRPr="00FC6F34" w:rsidRDefault="0070018E" w:rsidP="00764B31">
            <w:pPr>
              <w:ind w:left="-142"/>
              <w:jc w:val="both"/>
              <w:rPr>
                <w:rFonts w:ascii="Verdana" w:eastAsia="Calibri" w:hAnsi="Verdana" w:cs="Arial"/>
                <w:b/>
                <w:bCs/>
                <w:color w:val="000000" w:themeColor="text1"/>
                <w:lang w:val="es-ES" w:eastAsia="es-ES_tradnl"/>
              </w:rPr>
            </w:pPr>
          </w:p>
        </w:tc>
        <w:tc>
          <w:tcPr>
            <w:tcW w:w="6100" w:type="dxa"/>
          </w:tcPr>
          <w:p w14:paraId="4E36E6AF" w14:textId="77777777" w:rsidR="0070018E" w:rsidRDefault="0070018E" w:rsidP="00764B31">
            <w:pPr>
              <w:ind w:left="3"/>
              <w:jc w:val="both"/>
              <w:rPr>
                <w:rFonts w:ascii="Verdana" w:eastAsia="Calibri" w:hAnsi="Verdana" w:cs="Arial"/>
                <w:b/>
                <w:bCs/>
                <w:color w:val="000000" w:themeColor="text1"/>
                <w:lang w:val="es-ES" w:eastAsia="es-ES"/>
              </w:rPr>
            </w:pPr>
          </w:p>
          <w:p w14:paraId="2B3CA65C" w14:textId="58E908A1" w:rsidR="0070018E" w:rsidRPr="00FC6F34" w:rsidRDefault="0070018E" w:rsidP="00764B31">
            <w:pPr>
              <w:ind w:left="3"/>
              <w:jc w:val="both"/>
              <w:rPr>
                <w:rFonts w:ascii="Verdana" w:eastAsia="Calibri" w:hAnsi="Verdana" w:cs="Arial"/>
                <w:b/>
                <w:bCs/>
                <w:color w:val="000000" w:themeColor="text1"/>
                <w:lang w:val="es-ES" w:eastAsia="es-ES"/>
              </w:rPr>
            </w:pPr>
            <w:r w:rsidRPr="00FC6F34">
              <w:rPr>
                <w:rFonts w:ascii="Verdana" w:eastAsia="Calibri" w:hAnsi="Verdana" w:cs="Arial"/>
                <w:b/>
                <w:bCs/>
                <w:color w:val="000000" w:themeColor="text1"/>
                <w:lang w:val="es-ES" w:eastAsia="es-ES"/>
              </w:rPr>
              <w:t>Concepto C-</w:t>
            </w:r>
            <w:r w:rsidR="00FC0838">
              <w:rPr>
                <w:rFonts w:ascii="Verdana" w:eastAsia="Calibri" w:hAnsi="Verdana" w:cs="Arial"/>
                <w:b/>
                <w:bCs/>
                <w:color w:val="000000" w:themeColor="text1"/>
                <w:lang w:val="es-ES" w:eastAsia="es-ES"/>
              </w:rPr>
              <w:t>133</w:t>
            </w:r>
            <w:r w:rsidRPr="00FC6F34">
              <w:rPr>
                <w:rFonts w:ascii="Verdana" w:eastAsia="Calibri" w:hAnsi="Verdana" w:cs="Arial"/>
                <w:b/>
                <w:bCs/>
                <w:color w:val="000000" w:themeColor="text1"/>
                <w:lang w:val="es-ES" w:eastAsia="es-ES"/>
              </w:rPr>
              <w:t xml:space="preserve"> de 202</w:t>
            </w:r>
            <w:r>
              <w:rPr>
                <w:rFonts w:ascii="Verdana" w:eastAsia="Calibri" w:hAnsi="Verdana" w:cs="Arial"/>
                <w:b/>
                <w:bCs/>
                <w:color w:val="000000" w:themeColor="text1"/>
                <w:lang w:val="es-ES" w:eastAsia="es-ES"/>
              </w:rPr>
              <w:t>6</w:t>
            </w:r>
          </w:p>
          <w:p w14:paraId="50C6E8A5" w14:textId="77777777" w:rsidR="0070018E" w:rsidRPr="00FC6F34" w:rsidRDefault="0070018E" w:rsidP="00764B31">
            <w:pPr>
              <w:ind w:left="3"/>
              <w:jc w:val="both"/>
              <w:rPr>
                <w:rFonts w:ascii="Verdana" w:eastAsia="Calibri" w:hAnsi="Verdana" w:cs="Arial"/>
                <w:b/>
                <w:bCs/>
                <w:color w:val="000000" w:themeColor="text1"/>
                <w:lang w:val="es-ES" w:eastAsia="es-ES"/>
              </w:rPr>
            </w:pPr>
          </w:p>
        </w:tc>
      </w:tr>
      <w:tr w:rsidR="0070018E" w:rsidRPr="00FC6F34" w14:paraId="13DD4993" w14:textId="77777777" w:rsidTr="00764B31">
        <w:trPr>
          <w:trHeight w:val="300"/>
        </w:trPr>
        <w:tc>
          <w:tcPr>
            <w:tcW w:w="2410" w:type="dxa"/>
          </w:tcPr>
          <w:p w14:paraId="6881E00D" w14:textId="77777777" w:rsidR="0070018E" w:rsidRPr="00FC6F34" w:rsidRDefault="0070018E" w:rsidP="00764B31">
            <w:pPr>
              <w:ind w:left="424" w:firstLine="142"/>
              <w:jc w:val="both"/>
              <w:rPr>
                <w:rFonts w:ascii="Verdana" w:eastAsia="Calibri" w:hAnsi="Verdana" w:cs="Arial"/>
                <w:color w:val="000000" w:themeColor="text1"/>
                <w:lang w:val="es-ES" w:eastAsia="es-ES_tradnl"/>
              </w:rPr>
            </w:pPr>
            <w:r w:rsidRPr="00FC6F34">
              <w:rPr>
                <w:rFonts w:ascii="Verdana" w:eastAsia="Calibri" w:hAnsi="Verdana" w:cs="Arial"/>
                <w:b/>
                <w:color w:val="000000" w:themeColor="text1"/>
                <w:lang w:val="es-ES" w:eastAsia="es-ES_tradnl"/>
              </w:rPr>
              <w:t>Temas:</w:t>
            </w:r>
            <w:r w:rsidRPr="00FC6F34">
              <w:rPr>
                <w:rFonts w:ascii="Verdana" w:eastAsia="Calibri" w:hAnsi="Verdana" w:cs="Arial"/>
                <w:color w:val="000000" w:themeColor="text1"/>
                <w:lang w:val="es-ES" w:eastAsia="es-ES_tradnl"/>
              </w:rPr>
              <w:t xml:space="preserve">                  </w:t>
            </w:r>
          </w:p>
        </w:tc>
        <w:tc>
          <w:tcPr>
            <w:tcW w:w="6100" w:type="dxa"/>
          </w:tcPr>
          <w:p w14:paraId="597D42BD" w14:textId="77777777" w:rsidR="0070018E" w:rsidRPr="004009DD" w:rsidRDefault="0070018E" w:rsidP="00764B31">
            <w:pPr>
              <w:spacing w:line="276" w:lineRule="auto"/>
              <w:jc w:val="both"/>
              <w:rPr>
                <w:rFonts w:ascii="Verdana" w:eastAsia="Calibri" w:hAnsi="Verdana" w:cs="Arial"/>
                <w:lang w:val="es-ES" w:eastAsia="es-ES"/>
              </w:rPr>
            </w:pPr>
            <w:r w:rsidRPr="0037636C">
              <w:rPr>
                <w:rFonts w:ascii="Verdana" w:eastAsia="Calibri" w:hAnsi="Verdana" w:cs="Arial"/>
                <w:lang w:val="es-ES" w:eastAsia="es-ES"/>
              </w:rPr>
              <w:t>PRECIOS UNITARIOS –</w:t>
            </w:r>
            <w:r>
              <w:rPr>
                <w:rFonts w:ascii="Verdana" w:eastAsia="Calibri" w:hAnsi="Verdana" w:cs="Arial"/>
                <w:lang w:val="es-ES" w:eastAsia="es-ES"/>
              </w:rPr>
              <w:t xml:space="preserve"> Estructuración del precio </w:t>
            </w:r>
            <w:r w:rsidRPr="0037636C">
              <w:rPr>
                <w:rFonts w:ascii="Verdana" w:eastAsia="Calibri" w:hAnsi="Verdana" w:cs="Arial"/>
                <w:lang w:val="es-ES" w:eastAsia="es-ES"/>
              </w:rPr>
              <w:t>– C</w:t>
            </w:r>
            <w:r>
              <w:rPr>
                <w:rFonts w:ascii="Verdana" w:eastAsia="Calibri" w:hAnsi="Verdana" w:cs="Arial"/>
                <w:lang w:val="es-ES" w:eastAsia="es-ES"/>
              </w:rPr>
              <w:t xml:space="preserve">antidades de obra </w:t>
            </w:r>
            <w:r w:rsidRPr="0037636C">
              <w:rPr>
                <w:rFonts w:ascii="Verdana" w:eastAsia="Calibri" w:hAnsi="Verdana" w:cs="Arial"/>
                <w:lang w:val="es-ES" w:eastAsia="es-ES"/>
              </w:rPr>
              <w:t xml:space="preserve">/ AIU – Costos indirectos – Finalidad – Ejecución del contrato / AIU – Discrecionalidad </w:t>
            </w:r>
            <w:r w:rsidRPr="00617EAA">
              <w:rPr>
                <w:rFonts w:ascii="Verdana" w:eastAsia="Calibri" w:hAnsi="Verdana" w:cs="Arial"/>
                <w:lang w:val="es-ES" w:eastAsia="es-ES"/>
              </w:rPr>
              <w:t>/ EQUILIBRIO ECONÓMICO – Contrato estatal – Concepto / EQUILIBRIO ECONÓMICO – Contrato estatal – Restablecimiento – Procedencia – Requisitos</w:t>
            </w:r>
            <w:r>
              <w:rPr>
                <w:rFonts w:ascii="Verdana" w:eastAsia="Calibri" w:hAnsi="Verdana" w:cs="Arial"/>
                <w:lang w:val="es-ES" w:eastAsia="es-ES"/>
              </w:rPr>
              <w:t xml:space="preserve">/ </w:t>
            </w:r>
            <w:r w:rsidRPr="00A04C35">
              <w:rPr>
                <w:rFonts w:ascii="Verdana" w:hAnsi="Verdana" w:cs="Arial"/>
                <w:lang w:val="es-ES" w:eastAsia="es-ES"/>
              </w:rPr>
              <w:t>ENRIQUECIMIENTO SIN JUSTA CAUSA – Sentencia de Unificación del 19 de noviembre de 2012 – Alcance / ENRIQUECIMIENTO SIN JUSTA CAUSA – Nueva Postura – Sentencia de Unificación Jurisprudencial – Elementos – Prueba de la Actividad - Circunstancia Excepcional - Procedencia</w:t>
            </w:r>
          </w:p>
          <w:p w14:paraId="35763BB4" w14:textId="77777777" w:rsidR="0070018E" w:rsidRPr="00FC6F34" w:rsidRDefault="0070018E" w:rsidP="00764B31">
            <w:pPr>
              <w:spacing w:line="276" w:lineRule="auto"/>
              <w:jc w:val="both"/>
              <w:rPr>
                <w:rFonts w:ascii="Verdana" w:eastAsia="Calibri" w:hAnsi="Verdana" w:cs="Arial"/>
                <w:color w:val="000000" w:themeColor="text1"/>
                <w:lang w:val="es-ES" w:eastAsia="es-ES"/>
              </w:rPr>
            </w:pPr>
          </w:p>
        </w:tc>
      </w:tr>
      <w:tr w:rsidR="0070018E" w:rsidRPr="00FC6F34" w14:paraId="331552A0" w14:textId="77777777" w:rsidTr="00764B31">
        <w:tc>
          <w:tcPr>
            <w:tcW w:w="2410" w:type="dxa"/>
          </w:tcPr>
          <w:p w14:paraId="2B5C566F" w14:textId="77777777" w:rsidR="0070018E" w:rsidRPr="00FC6F34" w:rsidRDefault="0070018E" w:rsidP="00764B31">
            <w:pPr>
              <w:ind w:left="561"/>
              <w:jc w:val="both"/>
              <w:rPr>
                <w:rFonts w:ascii="Verdana" w:eastAsia="Calibri" w:hAnsi="Verdana" w:cs="Arial"/>
                <w:b/>
                <w:color w:val="000000" w:themeColor="text1"/>
                <w:lang w:val="es-ES" w:eastAsia="es-ES_tradnl"/>
              </w:rPr>
            </w:pPr>
            <w:r w:rsidRPr="00FC6F34">
              <w:rPr>
                <w:rFonts w:ascii="Verdana" w:eastAsia="Calibri" w:hAnsi="Verdana" w:cs="Arial"/>
                <w:b/>
                <w:color w:val="000000" w:themeColor="text1"/>
                <w:lang w:val="es-ES" w:eastAsia="es-ES_tradnl"/>
              </w:rPr>
              <w:t>Radicación:</w:t>
            </w:r>
            <w:r w:rsidRPr="00FC6F34">
              <w:rPr>
                <w:rFonts w:ascii="Verdana" w:eastAsia="Calibri" w:hAnsi="Verdana" w:cs="Arial"/>
                <w:color w:val="000000" w:themeColor="text1"/>
                <w:lang w:val="es-ES" w:eastAsia="es-ES_tradnl"/>
              </w:rPr>
              <w:t xml:space="preserve">              </w:t>
            </w:r>
          </w:p>
        </w:tc>
        <w:tc>
          <w:tcPr>
            <w:tcW w:w="6100" w:type="dxa"/>
          </w:tcPr>
          <w:p w14:paraId="106CA57C" w14:textId="77777777" w:rsidR="0070018E" w:rsidRPr="006E19EE" w:rsidRDefault="0070018E" w:rsidP="00764B31">
            <w:pPr>
              <w:ind w:left="3"/>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Respuesta a consulta con radicado No.</w:t>
            </w:r>
            <w:r w:rsidRPr="006E19EE">
              <w:rPr>
                <w:rFonts w:ascii="Verdana" w:eastAsia="Calibri" w:hAnsi="Verdana" w:cs="Arial"/>
                <w:color w:val="000000" w:themeColor="text1"/>
                <w:lang w:val="es-ES" w:eastAsia="es-ES"/>
              </w:rPr>
              <w:t xml:space="preserve"> 1_2026_02_05_001414</w:t>
            </w:r>
          </w:p>
        </w:tc>
      </w:tr>
    </w:tbl>
    <w:p w14:paraId="540F9007" w14:textId="77777777" w:rsidR="0070018E" w:rsidRPr="00FC6F34" w:rsidRDefault="0070018E" w:rsidP="0070018E">
      <w:pPr>
        <w:spacing w:after="0" w:line="276" w:lineRule="auto"/>
        <w:jc w:val="both"/>
        <w:rPr>
          <w:rFonts w:ascii="Verdana" w:eastAsia="Calibri" w:hAnsi="Verdana" w:cs="Arial"/>
          <w:color w:val="000000" w:themeColor="text1"/>
          <w:lang w:val="es-ES" w:eastAsia="es-ES"/>
        </w:rPr>
      </w:pPr>
    </w:p>
    <w:p w14:paraId="74153674" w14:textId="77777777" w:rsidR="0070018E" w:rsidRPr="00FC6F34" w:rsidRDefault="0070018E" w:rsidP="0070018E">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 ciudadano anónimo</w:t>
      </w:r>
      <w:r w:rsidRPr="00FC6F34">
        <w:rPr>
          <w:rFonts w:ascii="Verdana" w:eastAsia="Calibri" w:hAnsi="Verdana" w:cs="Arial"/>
          <w:color w:val="000000" w:themeColor="text1"/>
          <w:lang w:val="es-ES" w:eastAsia="es-ES"/>
        </w:rPr>
        <w:t xml:space="preserve">: </w:t>
      </w:r>
    </w:p>
    <w:p w14:paraId="6CD6FF24" w14:textId="77777777" w:rsidR="0070018E" w:rsidRPr="00FC6F34" w:rsidRDefault="0070018E" w:rsidP="0070018E">
      <w:pPr>
        <w:tabs>
          <w:tab w:val="left" w:pos="3768"/>
        </w:tabs>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ab/>
      </w:r>
    </w:p>
    <w:p w14:paraId="0F0703CA" w14:textId="77777777" w:rsidR="0070018E" w:rsidRPr="00FC6F34" w:rsidRDefault="0070018E" w:rsidP="0070018E">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En ejercicio de la competencia otorgada por los artículos 3, numeral 5º, y 11, numeral 8º, del Decreto Ley 4170 de 2011,</w:t>
      </w:r>
      <w:r w:rsidRPr="00FC6F34">
        <w:rPr>
          <w:rFonts w:ascii="Verdana" w:eastAsia="Arial MT" w:hAnsi="Verdana" w:cs="Arial MT"/>
          <w:color w:val="000000" w:themeColor="text1"/>
          <w:lang w:val="es-ES" w:eastAsia="es-ES"/>
        </w:rPr>
        <w:t xml:space="preserve"> </w:t>
      </w:r>
      <w:r w:rsidRPr="00FC6F34">
        <w:rPr>
          <w:rFonts w:ascii="Verdana" w:hAnsi="Verdana" w:cs="Arial"/>
          <w:color w:val="000000" w:themeColor="text1"/>
          <w:lang w:val="es-ES"/>
        </w:rPr>
        <w:t xml:space="preserve">así como lo establecido en el artículo 4 de la Resolución 1707 de 2018 expedida por esta Entidad, </w:t>
      </w:r>
      <w:r w:rsidRPr="00FC6F34">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05</w:t>
      </w:r>
      <w:r w:rsidRPr="00FC6F34">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febrero</w:t>
      </w:r>
      <w:r w:rsidRPr="00FC6F34">
        <w:rPr>
          <w:rFonts w:ascii="Verdana" w:eastAsia="Calibri" w:hAnsi="Verdana" w:cs="Arial"/>
          <w:color w:val="000000" w:themeColor="text1"/>
          <w:lang w:val="es-ES" w:eastAsia="es-ES"/>
        </w:rPr>
        <w:t xml:space="preserve"> de 202</w:t>
      </w:r>
      <w:r>
        <w:rPr>
          <w:rFonts w:ascii="Verdana" w:eastAsia="Calibri" w:hAnsi="Verdana" w:cs="Arial"/>
          <w:color w:val="000000" w:themeColor="text1"/>
          <w:lang w:val="es-ES" w:eastAsia="es-ES"/>
        </w:rPr>
        <w:t>6</w:t>
      </w:r>
      <w:r w:rsidRPr="00FC6F34">
        <w:rPr>
          <w:rFonts w:ascii="Verdana" w:eastAsia="Calibri" w:hAnsi="Verdana" w:cs="Arial"/>
          <w:color w:val="000000" w:themeColor="text1"/>
          <w:lang w:val="es-ES" w:eastAsia="es-ES"/>
        </w:rPr>
        <w:t xml:space="preserve">, en la cual manifiesta lo siguiente: </w:t>
      </w:r>
    </w:p>
    <w:p w14:paraId="1B290BAA" w14:textId="77777777" w:rsidR="0070018E" w:rsidRPr="00BF306B" w:rsidRDefault="0070018E" w:rsidP="0070018E">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10B143D7" w14:textId="3A7EA52F" w:rsidR="0070018E" w:rsidRPr="00851E42" w:rsidRDefault="0070018E" w:rsidP="0070018E">
      <w:pPr>
        <w:spacing w:after="0"/>
        <w:ind w:left="709" w:right="709"/>
        <w:jc w:val="both"/>
        <w:rPr>
          <w:rFonts w:ascii="Verdana" w:eastAsia="Century Gothic" w:hAnsi="Verdana" w:cs="Century Gothic"/>
          <w:i/>
          <w:color w:val="000000" w:themeColor="text1"/>
          <w:sz w:val="20"/>
          <w:szCs w:val="20"/>
        </w:rPr>
      </w:pPr>
      <w:r w:rsidRPr="00BF306B">
        <w:rPr>
          <w:rFonts w:ascii="Verdana" w:eastAsia="Century Gothic" w:hAnsi="Verdana" w:cs="Century Gothic"/>
          <w:i/>
          <w:color w:val="000000" w:themeColor="text1"/>
          <w:sz w:val="20"/>
          <w:szCs w:val="20"/>
          <w:lang w:val="es-ES"/>
        </w:rPr>
        <w:t>“</w:t>
      </w:r>
      <w:r w:rsidRPr="00BC0D58">
        <w:rPr>
          <w:rFonts w:ascii="Verdana" w:eastAsia="Century Gothic" w:hAnsi="Verdana" w:cs="Century Gothic"/>
          <w:i/>
          <w:color w:val="000000" w:themeColor="text1"/>
          <w:sz w:val="20"/>
          <w:szCs w:val="20"/>
        </w:rPr>
        <w:t xml:space="preserve">¿Procede el reconocimiento de una mayor onerosidad sobreviniente en un contrato estatal cuando, </w:t>
      </w:r>
      <w:r w:rsidR="0090334A" w:rsidRPr="00BC0D58">
        <w:rPr>
          <w:rFonts w:ascii="Verdana" w:eastAsia="Century Gothic" w:hAnsi="Verdana" w:cs="Century Gothic"/>
          <w:i/>
          <w:color w:val="000000" w:themeColor="text1"/>
          <w:sz w:val="20"/>
          <w:szCs w:val="20"/>
        </w:rPr>
        <w:t>habiéndose</w:t>
      </w:r>
      <w:r w:rsidRPr="00BC0D58">
        <w:rPr>
          <w:rFonts w:ascii="Verdana" w:eastAsia="Century Gothic" w:hAnsi="Verdana" w:cs="Century Gothic"/>
          <w:i/>
          <w:color w:val="000000" w:themeColor="text1"/>
          <w:sz w:val="20"/>
          <w:szCs w:val="20"/>
        </w:rPr>
        <w:t xml:space="preserve"> pactado unidades de costo determinadas, la entidad estatal requiere una cantidad superior a la inicialmente prevista, lo que genera un incremento real en los costos asumidos por el contratista, sin que ello implique necesariamente un rompimiento del equilibrio </w:t>
      </w:r>
      <w:r w:rsidR="0090334A" w:rsidRPr="00BC0D58">
        <w:rPr>
          <w:rFonts w:ascii="Verdana" w:eastAsia="Century Gothic" w:hAnsi="Verdana" w:cs="Century Gothic"/>
          <w:i/>
          <w:color w:val="000000" w:themeColor="text1"/>
          <w:sz w:val="20"/>
          <w:szCs w:val="20"/>
        </w:rPr>
        <w:t>económico</w:t>
      </w:r>
      <w:r w:rsidRPr="00BC0D58">
        <w:rPr>
          <w:rFonts w:ascii="Verdana" w:eastAsia="Century Gothic" w:hAnsi="Verdana" w:cs="Century Gothic"/>
          <w:i/>
          <w:color w:val="000000" w:themeColor="text1"/>
          <w:sz w:val="20"/>
          <w:szCs w:val="20"/>
        </w:rPr>
        <w:t xml:space="preserve"> del contrato? En particular, se </w:t>
      </w:r>
      <w:r w:rsidRPr="00BC0D58">
        <w:rPr>
          <w:rFonts w:ascii="Verdana" w:eastAsia="Century Gothic" w:hAnsi="Verdana" w:cs="Century Gothic"/>
          <w:i/>
          <w:color w:val="000000" w:themeColor="text1"/>
          <w:sz w:val="20"/>
          <w:szCs w:val="20"/>
        </w:rPr>
        <w:lastRenderedPageBreak/>
        <w:t xml:space="preserve">solicita precisar: La diferencia conceptual y </w:t>
      </w:r>
      <w:r w:rsidR="0090334A" w:rsidRPr="00BC0D58">
        <w:rPr>
          <w:rFonts w:ascii="Verdana" w:eastAsia="Century Gothic" w:hAnsi="Verdana" w:cs="Century Gothic"/>
          <w:i/>
          <w:color w:val="000000" w:themeColor="text1"/>
          <w:sz w:val="20"/>
          <w:szCs w:val="20"/>
        </w:rPr>
        <w:t>jurídica</w:t>
      </w:r>
      <w:r w:rsidRPr="00BC0D58">
        <w:rPr>
          <w:rFonts w:ascii="Verdana" w:eastAsia="Century Gothic" w:hAnsi="Verdana" w:cs="Century Gothic"/>
          <w:i/>
          <w:color w:val="000000" w:themeColor="text1"/>
          <w:sz w:val="20"/>
          <w:szCs w:val="20"/>
        </w:rPr>
        <w:t xml:space="preserve"> entre mayor onerosidad sobreviniente y rompimiento del equilibrio </w:t>
      </w:r>
      <w:r w:rsidR="0090334A" w:rsidRPr="00BC0D58">
        <w:rPr>
          <w:rFonts w:ascii="Verdana" w:eastAsia="Century Gothic" w:hAnsi="Verdana" w:cs="Century Gothic"/>
          <w:i/>
          <w:color w:val="000000" w:themeColor="text1"/>
          <w:sz w:val="20"/>
          <w:szCs w:val="20"/>
        </w:rPr>
        <w:t>económico</w:t>
      </w:r>
      <w:r w:rsidRPr="00BC0D58">
        <w:rPr>
          <w:rFonts w:ascii="Verdana" w:eastAsia="Century Gothic" w:hAnsi="Verdana" w:cs="Century Gothic"/>
          <w:i/>
          <w:color w:val="000000" w:themeColor="text1"/>
          <w:sz w:val="20"/>
          <w:szCs w:val="20"/>
        </w:rPr>
        <w:t xml:space="preserve"> del contrato estatal; Si el incremento en las cantidades ejecutadas, ordenado o requerido por la entidad, configura una mayor onerosidad susceptible de reconocimiento </w:t>
      </w:r>
      <w:r w:rsidR="0090334A" w:rsidRPr="00BC0D58">
        <w:rPr>
          <w:rFonts w:ascii="Verdana" w:eastAsia="Century Gothic" w:hAnsi="Verdana" w:cs="Century Gothic"/>
          <w:i/>
          <w:color w:val="000000" w:themeColor="text1"/>
          <w:sz w:val="20"/>
          <w:szCs w:val="20"/>
        </w:rPr>
        <w:t>económico</w:t>
      </w:r>
      <w:r w:rsidRPr="00BC0D58">
        <w:rPr>
          <w:rFonts w:ascii="Verdana" w:eastAsia="Century Gothic" w:hAnsi="Verdana" w:cs="Century Gothic"/>
          <w:i/>
          <w:color w:val="000000" w:themeColor="text1"/>
          <w:sz w:val="20"/>
          <w:szCs w:val="20"/>
        </w:rPr>
        <w:t>;</w:t>
      </w:r>
      <w:r w:rsidR="0090334A">
        <w:rPr>
          <w:rFonts w:ascii="Verdana" w:eastAsia="Century Gothic" w:hAnsi="Verdana" w:cs="Century Gothic"/>
          <w:i/>
          <w:color w:val="000000" w:themeColor="text1"/>
          <w:sz w:val="20"/>
          <w:szCs w:val="20"/>
        </w:rPr>
        <w:t xml:space="preserve"> </w:t>
      </w:r>
      <w:r w:rsidR="0090334A" w:rsidRPr="00BC0D58">
        <w:rPr>
          <w:rFonts w:ascii="Verdana" w:eastAsia="Century Gothic" w:hAnsi="Verdana" w:cs="Century Gothic"/>
          <w:i/>
          <w:color w:val="000000" w:themeColor="text1"/>
          <w:sz w:val="20"/>
          <w:szCs w:val="20"/>
        </w:rPr>
        <w:t>Cuál</w:t>
      </w:r>
      <w:r w:rsidRPr="00BC0D58">
        <w:rPr>
          <w:rFonts w:ascii="Verdana" w:eastAsia="Century Gothic" w:hAnsi="Verdana" w:cs="Century Gothic"/>
          <w:i/>
          <w:color w:val="000000" w:themeColor="text1"/>
          <w:sz w:val="20"/>
          <w:szCs w:val="20"/>
        </w:rPr>
        <w:t xml:space="preserve"> es el </w:t>
      </w:r>
      <w:r w:rsidR="0090334A" w:rsidRPr="00BC0D58">
        <w:rPr>
          <w:rFonts w:ascii="Verdana" w:eastAsia="Century Gothic" w:hAnsi="Verdana" w:cs="Century Gothic"/>
          <w:i/>
          <w:color w:val="000000" w:themeColor="text1"/>
          <w:sz w:val="20"/>
          <w:szCs w:val="20"/>
        </w:rPr>
        <w:t>estándar</w:t>
      </w:r>
      <w:r w:rsidRPr="00BC0D58">
        <w:rPr>
          <w:rFonts w:ascii="Verdana" w:eastAsia="Century Gothic" w:hAnsi="Verdana" w:cs="Century Gothic"/>
          <w:i/>
          <w:color w:val="000000" w:themeColor="text1"/>
          <w:sz w:val="20"/>
          <w:szCs w:val="20"/>
        </w:rPr>
        <w:t xml:space="preserve"> probatorio aplicable exclusivamente a la mayor onerosidad sobreviniente, distinto al exigido para el rompimiento del equilibrio </w:t>
      </w:r>
      <w:r w:rsidR="0090334A" w:rsidRPr="00BC0D58">
        <w:rPr>
          <w:rFonts w:ascii="Verdana" w:eastAsia="Century Gothic" w:hAnsi="Verdana" w:cs="Century Gothic"/>
          <w:i/>
          <w:color w:val="000000" w:themeColor="text1"/>
          <w:sz w:val="20"/>
          <w:szCs w:val="20"/>
        </w:rPr>
        <w:t>económico</w:t>
      </w:r>
      <w:r w:rsidRPr="00BF306B">
        <w:rPr>
          <w:rFonts w:ascii="Verdana" w:hAnsi="Verdana"/>
          <w:sz w:val="20"/>
          <w:szCs w:val="20"/>
        </w:rPr>
        <w:t>”</w:t>
      </w:r>
    </w:p>
    <w:p w14:paraId="7B8442BA" w14:textId="77777777" w:rsidR="0070018E" w:rsidRPr="00FC6F34" w:rsidRDefault="0070018E" w:rsidP="0070018E">
      <w:pPr>
        <w:spacing w:after="0" w:line="276" w:lineRule="auto"/>
        <w:ind w:right="709"/>
        <w:jc w:val="both"/>
        <w:rPr>
          <w:rFonts w:ascii="Verdana" w:eastAsia="Calibri" w:hAnsi="Verdana" w:cs="Arial"/>
          <w:lang w:val="es-ES"/>
        </w:rPr>
      </w:pPr>
    </w:p>
    <w:p w14:paraId="1C00DF8B" w14:textId="77777777" w:rsidR="0070018E" w:rsidRPr="00FC6F34" w:rsidRDefault="0070018E" w:rsidP="0070018E">
      <w:pPr>
        <w:spacing w:after="120" w:line="276" w:lineRule="auto"/>
        <w:ind w:firstLine="708"/>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C6F34">
        <w:rPr>
          <w:lang w:val="es-ES"/>
        </w:rPr>
        <w:tab/>
      </w:r>
    </w:p>
    <w:p w14:paraId="688CA8A4" w14:textId="77777777" w:rsidR="0070018E" w:rsidRPr="00C327DE" w:rsidRDefault="0070018E" w:rsidP="0070018E">
      <w:pPr>
        <w:spacing w:after="0" w:line="276" w:lineRule="auto"/>
        <w:ind w:firstLine="709"/>
        <w:jc w:val="both"/>
        <w:rPr>
          <w:rFonts w:ascii="Verdana" w:eastAsia="Calibri" w:hAnsi="Verdana" w:cs="Arial"/>
          <w:color w:val="000000" w:themeColor="text1"/>
          <w:lang w:val="es-ES" w:eastAsia="es-ES"/>
        </w:rPr>
      </w:pPr>
      <w:r w:rsidRPr="00C327DE">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72E90EA" w14:textId="77777777" w:rsidR="0070018E" w:rsidRPr="00FC6F34" w:rsidRDefault="0070018E" w:rsidP="0070018E">
      <w:pPr>
        <w:spacing w:after="0" w:line="276" w:lineRule="auto"/>
        <w:jc w:val="both"/>
        <w:rPr>
          <w:rFonts w:ascii="Verdana" w:eastAsia="Calibri" w:hAnsi="Verdana" w:cs="Arial"/>
          <w:color w:val="000000" w:themeColor="text1"/>
          <w:lang w:val="es-ES" w:eastAsia="es-ES"/>
        </w:rPr>
      </w:pPr>
    </w:p>
    <w:p w14:paraId="507A4C14" w14:textId="77777777" w:rsidR="0070018E" w:rsidRPr="00FC6F34" w:rsidRDefault="0070018E" w:rsidP="0070018E">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Problema planteado:</w:t>
      </w:r>
    </w:p>
    <w:p w14:paraId="7EC58AD5" w14:textId="77777777" w:rsidR="0070018E" w:rsidRPr="00FC6F34" w:rsidRDefault="0070018E" w:rsidP="0070018E">
      <w:pPr>
        <w:tabs>
          <w:tab w:val="left" w:pos="426"/>
        </w:tabs>
        <w:spacing w:after="0" w:line="276" w:lineRule="auto"/>
        <w:jc w:val="both"/>
        <w:rPr>
          <w:rFonts w:ascii="Verdana" w:eastAsia="Century Gothic" w:hAnsi="Verdana" w:cs="Century Gothic"/>
          <w:color w:val="000000" w:themeColor="text1"/>
          <w:lang w:val="es-ES"/>
        </w:rPr>
      </w:pPr>
    </w:p>
    <w:p w14:paraId="7B6BF8F9" w14:textId="2793C834" w:rsidR="0070018E" w:rsidRPr="00FC6F34" w:rsidRDefault="0070018E" w:rsidP="0070018E">
      <w:pPr>
        <w:spacing w:after="0" w:line="276" w:lineRule="auto"/>
        <w:jc w:val="both"/>
        <w:rPr>
          <w:rFonts w:ascii="Verdana" w:eastAsia="Century Gothic" w:hAnsi="Verdana" w:cs="Century Gothic"/>
          <w:color w:val="000000" w:themeColor="text1"/>
          <w:lang w:val="es-ES"/>
        </w:rPr>
      </w:pPr>
      <w:r w:rsidRPr="00FC6F34">
        <w:rPr>
          <w:rFonts w:ascii="Verdana" w:eastAsia="Century Gothic" w:hAnsi="Verdana" w:cs="Century Gothic"/>
          <w:color w:val="000000" w:themeColor="text1"/>
          <w:lang w:val="es-ES"/>
        </w:rPr>
        <w:t xml:space="preserve">De acuerdo con el contenido de su solicitud, esta Agencia resolverá el siguiente problema jurídico: </w:t>
      </w:r>
      <w:r>
        <w:rPr>
          <w:rFonts w:ascii="Verdana" w:eastAsia="Century Gothic" w:hAnsi="Verdana" w:cs="Century Gothic"/>
        </w:rPr>
        <w:t>¿En qué consiste el reconocimiento de mayores cantidades</w:t>
      </w:r>
      <w:r w:rsidRPr="00EA693F">
        <w:rPr>
          <w:rFonts w:ascii="Verdana" w:eastAsia="Times New Roman" w:hAnsi="Verdana" w:cs="Arial"/>
          <w:color w:val="000000" w:themeColor="text1"/>
          <w:lang w:val="es-ES" w:eastAsia="es-ES"/>
        </w:rPr>
        <w:t xml:space="preserve"> </w:t>
      </w:r>
      <w:r>
        <w:rPr>
          <w:rFonts w:ascii="Verdana" w:eastAsia="Times New Roman" w:hAnsi="Verdana" w:cs="Arial"/>
          <w:color w:val="000000" w:themeColor="text1"/>
          <w:lang w:val="es-ES" w:eastAsia="es-ES"/>
        </w:rPr>
        <w:t xml:space="preserve">de obra o adición de ítems contractuales, y en qué se diferencia del </w:t>
      </w:r>
      <w:r>
        <w:rPr>
          <w:rFonts w:ascii="Verdana" w:eastAsia="Century Gothic" w:hAnsi="Verdana" w:cs="Century Gothic"/>
        </w:rPr>
        <w:t xml:space="preserve"> rompimiento del equilibrio económico del contrato estatal?</w:t>
      </w:r>
    </w:p>
    <w:p w14:paraId="783B625D" w14:textId="77777777" w:rsidR="0070018E" w:rsidRPr="00FC6F34" w:rsidRDefault="0070018E" w:rsidP="0070018E">
      <w:pPr>
        <w:spacing w:after="0" w:line="276" w:lineRule="auto"/>
        <w:jc w:val="both"/>
        <w:rPr>
          <w:rFonts w:ascii="Verdana" w:eastAsia="Calibri" w:hAnsi="Verdana" w:cs="Arial"/>
          <w:color w:val="000000" w:themeColor="text1"/>
          <w:lang w:val="es-ES"/>
        </w:rPr>
      </w:pPr>
    </w:p>
    <w:p w14:paraId="19397802" w14:textId="77777777" w:rsidR="0070018E" w:rsidRPr="00FC6F34" w:rsidRDefault="0070018E" w:rsidP="0070018E">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Respuesta:</w:t>
      </w:r>
    </w:p>
    <w:p w14:paraId="4CBD9FB2" w14:textId="77777777" w:rsidR="0070018E" w:rsidRPr="00FC6F34" w:rsidRDefault="0070018E" w:rsidP="0070018E">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0018E" w:rsidRPr="00FC6F34" w14:paraId="0028659D" w14:textId="77777777" w:rsidTr="00764B31">
        <w:tc>
          <w:tcPr>
            <w:tcW w:w="8828" w:type="dxa"/>
          </w:tcPr>
          <w:p w14:paraId="21A447A2" w14:textId="77777777" w:rsidR="0070018E" w:rsidRDefault="0070018E" w:rsidP="00764B31">
            <w:pPr>
              <w:spacing w:before="120" w:line="276" w:lineRule="auto"/>
              <w:jc w:val="both"/>
              <w:rPr>
                <w:rFonts w:ascii="Verdana" w:hAnsi="Verdana" w:cs="Arial"/>
                <w:bCs/>
                <w:szCs w:val="24"/>
                <w:lang w:val="es-ES" w:eastAsia="es-ES_tradnl"/>
              </w:rPr>
            </w:pPr>
            <w:r>
              <w:rPr>
                <w:rFonts w:ascii="Verdana" w:hAnsi="Verdana" w:cs="Arial"/>
                <w:lang w:val="es-ES" w:eastAsia="es-ES"/>
              </w:rPr>
              <w:lastRenderedPageBreak/>
              <w:t xml:space="preserve">Dentro los esquemas para determinar el precio de los contratos estatales se encuentran, entre otros, los precios unitarios –calculados de acuerdo con las unidades que componen el objeto del contrato–. </w:t>
            </w:r>
            <w:r>
              <w:rPr>
                <w:rFonts w:ascii="Verdana" w:hAnsi="Verdana"/>
                <w:lang w:val="es-ES"/>
              </w:rPr>
              <w:t xml:space="preserve">El precio pactado a precios unitarios implica individualizar el valor de cada uno de los ítems requeridos para llevar a cabo la obra o el proyecto. Así mismo, el precio se deriva de apreciar todos los componentes necesarios para la ejecución de la unidad de medida del ítem correspondiente (metro lineal, metro cúbico, metro cuadrado, entre otros). Por lo mismo, el precio será el resultado de multiplicar la cantidad finalmente ejecutada por el valor unitario respectivo. </w:t>
            </w:r>
          </w:p>
          <w:p w14:paraId="365CCEC5" w14:textId="77777777" w:rsidR="0070018E" w:rsidRPr="00EA693F" w:rsidRDefault="0070018E" w:rsidP="00764B31">
            <w:pPr>
              <w:spacing w:before="120" w:line="276" w:lineRule="auto"/>
              <w:ind w:firstLine="735"/>
              <w:jc w:val="both"/>
              <w:rPr>
                <w:rFonts w:ascii="Verdana" w:hAnsi="Verdana"/>
                <w:lang w:val="es-ES"/>
              </w:rPr>
            </w:pPr>
            <w:r>
              <w:rPr>
                <w:rFonts w:ascii="Verdana" w:hAnsi="Verdana"/>
                <w:lang w:val="es-ES"/>
              </w:rPr>
              <w:t>Al respecto, la jurisprudencia de la Sección Tercera del Consejo de Estado ha explicado que en los contratos pactados mediante precios unitarios, ante la imposibilidad de establecer con exactitud los montos totales que resultarán de realizar la obra contratada, la entidad aproxima un cálculo estimado de la cantidad o unidades de obra que se requerirá ejecutar previo a la ejecución del negocio jurídico, es decir, en los pliegos de condiciones o documento equivalente y en el contrato. Esto, con el propósito de que el proponente establezca en su propuesta unos valores unitarios respecto de cada unidad de obra prevista por la entidad contratante</w:t>
            </w:r>
          </w:p>
          <w:p w14:paraId="217528E5" w14:textId="77777777" w:rsidR="0070018E" w:rsidRDefault="0070018E" w:rsidP="00764B31">
            <w:pPr>
              <w:spacing w:before="120" w:line="276" w:lineRule="auto"/>
              <w:ind w:firstLine="743"/>
              <w:jc w:val="both"/>
              <w:rPr>
                <w:rFonts w:ascii="Verdana" w:eastAsia="Times New Roman" w:hAnsi="Verdana" w:cs="Arial"/>
                <w:color w:val="000000" w:themeColor="text1"/>
                <w:lang w:eastAsia="es-ES"/>
              </w:rPr>
            </w:pPr>
            <w:r>
              <w:rPr>
                <w:rFonts w:ascii="Verdana" w:eastAsia="Times New Roman" w:hAnsi="Verdana" w:cs="Arial"/>
                <w:color w:val="000000" w:themeColor="text1"/>
                <w:lang w:val="es-ES" w:eastAsia="es-ES"/>
              </w:rPr>
              <w:t xml:space="preserve">Teniendo en cuenta que en la modalidad de precios unitarios las cantidades son estimativas, es factible que durante la ejecución del contrato, </w:t>
            </w:r>
            <w:r w:rsidRPr="00E1280F">
              <w:rPr>
                <w:rFonts w:ascii="Verdana" w:eastAsia="Times New Roman" w:hAnsi="Verdana" w:cs="Arial"/>
                <w:color w:val="000000" w:themeColor="text1"/>
                <w:lang w:val="es-ES" w:eastAsia="es-ES"/>
              </w:rPr>
              <w:t>las partes</w:t>
            </w:r>
            <w:r>
              <w:rPr>
                <w:rFonts w:ascii="Verdana" w:eastAsia="Times New Roman" w:hAnsi="Verdana" w:cs="Arial"/>
                <w:color w:val="000000" w:themeColor="text1"/>
                <w:lang w:val="es-ES" w:eastAsia="es-ES"/>
              </w:rPr>
              <w:t xml:space="preserve"> puedan identificar situaciones en las que se genera la necesidad de mayores cantidades de bienes o actividades inicialmente previstas, a lo que se le conoce como mayores cantidades de obra, o adición de ítems contractuales. De esta forma, </w:t>
            </w:r>
            <w:r>
              <w:rPr>
                <w:rFonts w:ascii="Verdana" w:eastAsia="Times New Roman" w:hAnsi="Verdana" w:cs="Arial"/>
                <w:color w:val="000000" w:themeColor="text1"/>
                <w:lang w:eastAsia="es-ES"/>
              </w:rPr>
              <w:t xml:space="preserve">si bien la responsabilidad inicial en la definición de las cantidades recae en la entidad estatal en la fase de planeación, durante la ejecución del contrato tanto la entidad contratante como el contratista están obligados a identificar, advertir y gestionar oportunamente las situaciones que puedan afectar la adecuada ejecución del contrato. </w:t>
            </w:r>
          </w:p>
          <w:p w14:paraId="26AE9E0D" w14:textId="77777777" w:rsidR="0070018E" w:rsidRPr="00EC6143" w:rsidRDefault="0070018E" w:rsidP="00764B31">
            <w:pPr>
              <w:spacing w:before="120" w:line="276" w:lineRule="auto"/>
              <w:ind w:firstLine="743"/>
              <w:jc w:val="both"/>
              <w:rPr>
                <w:rFonts w:ascii="Verdana" w:eastAsia="Times New Roman" w:hAnsi="Verdana" w:cs="Arial"/>
                <w:color w:val="000000" w:themeColor="text1"/>
                <w:lang w:eastAsia="es-ES"/>
              </w:rPr>
            </w:pPr>
            <w:r>
              <w:rPr>
                <w:rFonts w:ascii="Verdana" w:eastAsia="Calibri" w:hAnsi="Verdana" w:cs="Arial"/>
                <w:bCs/>
                <w:color w:val="000000" w:themeColor="text1"/>
              </w:rPr>
              <w:t>Por otra parte, conforme a la interpretación general de las normas del sistema de compras públicas, p</w:t>
            </w:r>
            <w:r>
              <w:rPr>
                <w:rFonts w:ascii="Verdana" w:eastAsia="Arial" w:hAnsi="Verdana" w:cs="Arial"/>
                <w:color w:val="000000" w:themeColor="text1"/>
                <w:lang w:eastAsia="es-ES" w:bidi="es-ES"/>
              </w:rPr>
              <w:t xml:space="preserve">or remisión de los artículos 13, 32 y 40 del EGCAP al derecho privado, el contrato es ley para las partes conforme al artículo 1602 del Código Civil. Aunque la </w:t>
            </w:r>
            <w:r w:rsidRPr="00752476">
              <w:rPr>
                <w:rFonts w:ascii="Verdana" w:eastAsia="Arial" w:hAnsi="Verdana" w:cs="Arial"/>
                <w:i/>
                <w:iCs/>
                <w:color w:val="000000" w:themeColor="text1"/>
                <w:lang w:eastAsia="es-ES" w:bidi="es-ES"/>
              </w:rPr>
              <w:t>regla general</w:t>
            </w:r>
            <w:r>
              <w:rPr>
                <w:rFonts w:ascii="Verdana" w:eastAsia="Arial" w:hAnsi="Verdana" w:cs="Arial"/>
                <w:color w:val="000000" w:themeColor="text1"/>
                <w:lang w:eastAsia="es-ES" w:bidi="es-ES"/>
              </w:rPr>
              <w:t xml:space="preserve"> es el cumplimiento de los precios pactados, </w:t>
            </w:r>
            <w:r>
              <w:rPr>
                <w:rFonts w:ascii="Verdana" w:eastAsia="Arial" w:hAnsi="Verdana" w:cs="Arial"/>
                <w:i/>
                <w:iCs/>
                <w:color w:val="000000" w:themeColor="text1"/>
                <w:lang w:eastAsia="es-ES" w:bidi="es-ES"/>
              </w:rPr>
              <w:t>de forma excepcional</w:t>
            </w:r>
            <w:r>
              <w:rPr>
                <w:rFonts w:ascii="Verdana" w:eastAsia="Arial" w:hAnsi="Verdana" w:cs="Arial"/>
                <w:color w:val="000000" w:themeColor="text1"/>
                <w:lang w:eastAsia="es-ES" w:bidi="es-ES"/>
              </w:rPr>
              <w:t xml:space="preserve"> </w:t>
            </w:r>
            <w:r w:rsidRPr="00752476">
              <w:rPr>
                <w:rFonts w:ascii="Verdana" w:eastAsia="Arial" w:hAnsi="Verdana" w:cs="Arial"/>
                <w:color w:val="000000" w:themeColor="text1"/>
                <w:lang w:eastAsia="es-ES" w:bidi="es-ES"/>
              </w:rPr>
              <w:t>pueden surgir circunstancias imprevistas que</w:t>
            </w:r>
            <w:r>
              <w:rPr>
                <w:rFonts w:ascii="Verdana" w:eastAsia="Arial" w:hAnsi="Verdana" w:cs="Arial"/>
                <w:color w:val="000000" w:themeColor="text1"/>
                <w:lang w:eastAsia="es-ES" w:bidi="es-ES"/>
              </w:rPr>
              <w:t xml:space="preserve"> </w:t>
            </w:r>
            <w:r w:rsidRPr="00752476">
              <w:rPr>
                <w:rFonts w:ascii="Verdana" w:eastAsia="Arial" w:hAnsi="Verdana" w:cs="Arial"/>
                <w:color w:val="000000" w:themeColor="text1"/>
                <w:lang w:eastAsia="es-ES" w:bidi="es-ES"/>
              </w:rPr>
              <w:t>hagan</w:t>
            </w:r>
            <w:r>
              <w:rPr>
                <w:rFonts w:ascii="Verdana" w:eastAsia="Arial" w:hAnsi="Verdana" w:cs="Arial"/>
                <w:color w:val="000000" w:themeColor="text1"/>
                <w:lang w:eastAsia="es-ES" w:bidi="es-ES"/>
              </w:rPr>
              <w:t xml:space="preserve"> la ejecución</w:t>
            </w:r>
            <w:r w:rsidRPr="00752476">
              <w:rPr>
                <w:rFonts w:ascii="Verdana" w:eastAsia="Arial" w:hAnsi="Verdana" w:cs="Arial"/>
                <w:color w:val="000000" w:themeColor="text1"/>
                <w:lang w:eastAsia="es-ES" w:bidi="es-ES"/>
              </w:rPr>
              <w:t xml:space="preserve"> excesivamente gravos</w:t>
            </w:r>
            <w:r>
              <w:rPr>
                <w:rFonts w:ascii="Verdana" w:eastAsia="Arial" w:hAnsi="Verdana" w:cs="Arial"/>
                <w:color w:val="000000" w:themeColor="text1"/>
                <w:lang w:eastAsia="es-ES" w:bidi="es-ES"/>
              </w:rPr>
              <w:t>a</w:t>
            </w:r>
            <w:r w:rsidRPr="00752476">
              <w:rPr>
                <w:rFonts w:ascii="Verdana" w:eastAsia="Arial" w:hAnsi="Verdana" w:cs="Arial"/>
                <w:color w:val="000000" w:themeColor="text1"/>
                <w:lang w:eastAsia="es-ES" w:bidi="es-ES"/>
              </w:rPr>
              <w:t xml:space="preserve">, por lo que se han </w:t>
            </w:r>
            <w:r w:rsidRPr="00752476">
              <w:rPr>
                <w:rFonts w:ascii="Verdana" w:eastAsia="Arial" w:hAnsi="Verdana" w:cs="Arial"/>
                <w:color w:val="000000" w:themeColor="text1"/>
                <w:lang w:eastAsia="es-ES" w:bidi="es-ES"/>
              </w:rPr>
              <w:lastRenderedPageBreak/>
              <w:t xml:space="preserve">creado mecanismos para mantener la equidad y el equilibrio entre las </w:t>
            </w:r>
            <w:r>
              <w:rPr>
                <w:rFonts w:ascii="Verdana" w:eastAsia="Arial" w:hAnsi="Verdana" w:cs="Arial"/>
                <w:color w:val="000000" w:themeColor="text1"/>
                <w:lang w:eastAsia="es-ES" w:bidi="es-ES"/>
              </w:rPr>
              <w:t xml:space="preserve">obligaciones. </w:t>
            </w:r>
          </w:p>
          <w:p w14:paraId="13F22FCB" w14:textId="77777777" w:rsidR="0070018E" w:rsidRDefault="0070018E" w:rsidP="00764B31">
            <w:pPr>
              <w:widowControl w:val="0"/>
              <w:autoSpaceDE w:val="0"/>
              <w:autoSpaceDN w:val="0"/>
              <w:spacing w:before="120" w:line="276" w:lineRule="auto"/>
              <w:ind w:firstLine="709"/>
              <w:jc w:val="both"/>
              <w:rPr>
                <w:rFonts w:ascii="Verdana" w:eastAsia="Arial" w:hAnsi="Verdana" w:cs="Arial"/>
                <w:color w:val="000000" w:themeColor="text1"/>
                <w:lang w:val="es-ES" w:eastAsia="es-ES" w:bidi="es-ES"/>
              </w:rPr>
            </w:pPr>
            <w:r>
              <w:rPr>
                <w:rFonts w:ascii="Verdana" w:eastAsia="Arial" w:hAnsi="Verdana" w:cs="Arial"/>
                <w:color w:val="000000" w:themeColor="text1"/>
                <w:lang w:val="es-ES" w:eastAsia="es-ES" w:bidi="es-ES"/>
              </w:rPr>
              <w:t xml:space="preserve">Para estos efectos, </w:t>
            </w:r>
            <w:r w:rsidRPr="00E97A27">
              <w:rPr>
                <w:rFonts w:ascii="Verdana" w:eastAsia="Arial" w:hAnsi="Verdana" w:cs="Arial"/>
                <w:color w:val="000000" w:themeColor="text1"/>
                <w:lang w:val="es-ES" w:eastAsia="es-ES" w:bidi="es-ES"/>
              </w:rPr>
              <w:t xml:space="preserve">el numeral 3 del artículo 4 </w:t>
            </w:r>
            <w:r>
              <w:rPr>
                <w:rFonts w:ascii="Verdana" w:eastAsia="Arial" w:hAnsi="Verdana" w:cs="Arial"/>
                <w:color w:val="000000" w:themeColor="text1"/>
                <w:lang w:val="es-ES" w:eastAsia="es-ES" w:bidi="es-ES"/>
              </w:rPr>
              <w:t>del EGCAP</w:t>
            </w:r>
            <w:r w:rsidRPr="00E97A27">
              <w:rPr>
                <w:rFonts w:ascii="Verdana" w:eastAsia="Arial" w:hAnsi="Verdana" w:cs="Arial"/>
                <w:color w:val="000000" w:themeColor="text1"/>
                <w:lang w:val="es-ES" w:eastAsia="es-ES" w:bidi="es-ES"/>
              </w:rPr>
              <w:t xml:space="preserve"> señala que las entidades estatales solicitarán la actualización o la revisión de los precios cuando se produzcan fenómenos que alteren en su contra </w:t>
            </w:r>
            <w:r w:rsidRPr="00E97A27">
              <w:rPr>
                <w:rFonts w:ascii="Verdana" w:eastAsia="Arial" w:hAnsi="Verdana" w:cs="Arial"/>
                <w:i/>
                <w:iCs/>
                <w:color w:val="000000" w:themeColor="text1"/>
                <w:lang w:val="es-ES" w:eastAsia="es-ES" w:bidi="es-ES"/>
              </w:rPr>
              <w:t>el equilibrio económico o financiero</w:t>
            </w:r>
            <w:r w:rsidRPr="00E97A27">
              <w:rPr>
                <w:rFonts w:ascii="Verdana" w:eastAsia="Arial" w:hAnsi="Verdana" w:cs="Arial"/>
                <w:color w:val="000000" w:themeColor="text1"/>
                <w:lang w:val="es-ES" w:eastAsia="es-ES" w:bidi="es-ES"/>
              </w:rPr>
              <w:t xml:space="preserve"> del contrato. Asimismo, el numeral 8 del artículo en comento señala que las entidades deberán adoptar las medidas necesarias para mantener durante el desarrollo y ejecución del contrato las condiciones técnicas, económicas y financieras existentes al momento de proponer en los casos en que se hubiere realizado licitación o concurso, o de contratar en los casos de contratación directa, para lo cual se emplearán los mecanismos de revisión y reajuste de precios</w:t>
            </w:r>
            <w:r>
              <w:rPr>
                <w:rFonts w:ascii="Verdana" w:eastAsia="Arial" w:hAnsi="Verdana" w:cs="Arial"/>
                <w:color w:val="000000" w:themeColor="text1"/>
                <w:lang w:val="es-ES" w:eastAsia="es-ES" w:bidi="es-ES"/>
              </w:rPr>
              <w:t xml:space="preserve">. </w:t>
            </w:r>
          </w:p>
          <w:p w14:paraId="4D2034C5" w14:textId="77777777" w:rsidR="0070018E" w:rsidRPr="00EA693F" w:rsidRDefault="0070018E" w:rsidP="00764B31">
            <w:pPr>
              <w:widowControl w:val="0"/>
              <w:autoSpaceDE w:val="0"/>
              <w:autoSpaceDN w:val="0"/>
              <w:spacing w:before="120" w:line="276" w:lineRule="auto"/>
              <w:ind w:firstLine="709"/>
              <w:jc w:val="both"/>
              <w:rPr>
                <w:rFonts w:ascii="Verdana" w:eastAsia="Arial" w:hAnsi="Verdana" w:cs="Arial"/>
                <w:color w:val="000000" w:themeColor="text1"/>
                <w:lang w:val="es-ES" w:eastAsia="es-ES" w:bidi="es-ES"/>
              </w:rPr>
            </w:pPr>
            <w:r>
              <w:rPr>
                <w:rFonts w:ascii="Verdana" w:hAnsi="Verdana" w:cs="Arial"/>
                <w:color w:val="000000"/>
                <w:bdr w:val="none" w:sz="0" w:space="0" w:color="auto" w:frame="1"/>
                <w:shd w:val="clear" w:color="auto" w:fill="FFFFFF"/>
                <w:lang w:eastAsia="es-ES_tradnl"/>
              </w:rPr>
              <w:t>De esta forma, e</w:t>
            </w:r>
            <w:r w:rsidRPr="00575983">
              <w:rPr>
                <w:rFonts w:ascii="Verdana" w:hAnsi="Verdana" w:cs="Arial"/>
                <w:color w:val="000000"/>
                <w:bdr w:val="none" w:sz="0" w:space="0" w:color="auto" w:frame="1"/>
                <w:shd w:val="clear" w:color="auto" w:fill="FFFFFF"/>
                <w:lang w:eastAsia="es-ES_tradnl"/>
              </w:rPr>
              <w:t xml:space="preserve">l reconocimiento de mayores costos o de ítems derivados de mayores cantidades de obra en contratos pactados a precios unitarios es distinto del rompimiento del equilibrio económico del contrato, porque responde a la lógica propia del sistema de determinación del precio. En este tipo de contratos el valor total no se fija de manera definitiva desde la celebración, sino que resulta de multiplicar las cantidades de obra efectivamente ejecutadas por los precios unitarios pactados, de modo que las cantidades previstas en la etapa de planeación tienen un carácter estimativo y pueden variar durante la ejecución contractual sin que ello implique necesariamente una alteración de la ecuación financiera del contrato. En consecuencia, el reconocimiento de mayores cantidades de obra o la inclusión de nuevos ítems puede ocurrir como parte normal de la ejecución del contrato cuando resulta necesario para cumplir el objeto contractual, pues el sistema de precios unitarios justamente está diseñado para absorber estas variaciones dentro de la dinámica propia de la ejecución. </w:t>
            </w:r>
          </w:p>
          <w:p w14:paraId="679541FB" w14:textId="77777777" w:rsidR="0070018E" w:rsidRPr="00EA693F" w:rsidRDefault="0070018E" w:rsidP="00764B31">
            <w:pPr>
              <w:tabs>
                <w:tab w:val="left" w:pos="709"/>
              </w:tabs>
              <w:spacing w:before="120" w:line="276" w:lineRule="auto"/>
              <w:jc w:val="both"/>
              <w:rPr>
                <w:rFonts w:ascii="Verdana" w:eastAsia="Times New Roman" w:hAnsi="Verdana" w:cs="Arial"/>
                <w:color w:val="000000"/>
                <w:bdr w:val="none" w:sz="0" w:space="0" w:color="auto" w:frame="1"/>
                <w:shd w:val="clear" w:color="auto" w:fill="FFFFFF"/>
                <w:lang w:val="es-ES" w:eastAsia="es-ES"/>
              </w:rPr>
            </w:pPr>
            <w:r>
              <w:rPr>
                <w:rFonts w:ascii="Verdana" w:hAnsi="Verdana" w:cs="Arial"/>
                <w:color w:val="000000"/>
                <w:bdr w:val="none" w:sz="0" w:space="0" w:color="auto" w:frame="1"/>
                <w:shd w:val="clear" w:color="auto" w:fill="FFFFFF"/>
                <w:lang w:eastAsia="es-ES_tradnl"/>
              </w:rPr>
              <w:tab/>
            </w:r>
            <w:r w:rsidRPr="12F5D4FA">
              <w:rPr>
                <w:rFonts w:ascii="Verdana" w:eastAsia="Times New Roman" w:hAnsi="Verdana" w:cs="Arial"/>
                <w:color w:val="000000"/>
                <w:bdr w:val="none" w:sz="0" w:space="0" w:color="auto" w:frame="1"/>
                <w:shd w:val="clear" w:color="auto" w:fill="FFFFFF"/>
                <w:lang w:val="es-ES" w:eastAsia="es-ES"/>
              </w:rPr>
              <w:t xml:space="preserve">Por el contrario, el desequilibrio económico del contrato corresponde a una situación excepcional que surge cuando circunstancias sobrevinientes, imprevisibles o no imputables a la parte afectada rompen la equivalencia económica existente al momento de contratar, generando una afectación grave que excede el álea o riesgo normal asumida por las partes. En estos casos el ordenamiento impone el deber de adoptar medidas para restablecer la ecuación financiera mediante mecanismos como ajustes, revisiones o compensaciones, siempre que se pruebe la existencia de una afectación </w:t>
            </w:r>
            <w:r w:rsidRPr="12F5D4FA">
              <w:rPr>
                <w:rFonts w:ascii="Verdana" w:eastAsia="Times New Roman" w:hAnsi="Verdana" w:cs="Arial"/>
                <w:color w:val="000000"/>
                <w:bdr w:val="none" w:sz="0" w:space="0" w:color="auto" w:frame="1"/>
                <w:shd w:val="clear" w:color="auto" w:fill="FFFFFF"/>
                <w:lang w:val="es-ES" w:eastAsia="es-ES"/>
              </w:rPr>
              <w:lastRenderedPageBreak/>
              <w:t xml:space="preserve">significativa y su relación causal con hechos externos al riesgo normal del contrato. Por tanto, mientras el reconocimiento de mayores cantidades o ítems deriva del funcionamiento ordinario del sistema de precios unitarios y se paga conforme a los precios pactados, el restablecimiento del equilibrio económico procede únicamente cuando se acredita una alteración extraordinaria de la equivalencia de prestaciones, lo que exige el cumplimiento de requisitos y estándares probatorios más estrictos conforme a lo establecido por la jurisprudencia del Consejo de Estado, a los cuales se refiere con mayor detalle el presente concepto. </w:t>
            </w:r>
          </w:p>
          <w:p w14:paraId="641120E9" w14:textId="77777777" w:rsidR="0070018E" w:rsidRPr="00036A04" w:rsidRDefault="0070018E" w:rsidP="00764B31">
            <w:pPr>
              <w:spacing w:before="120" w:line="276" w:lineRule="auto"/>
              <w:ind w:firstLine="708"/>
              <w:jc w:val="both"/>
              <w:rPr>
                <w:rFonts w:ascii="Verdana" w:eastAsia="Times New Roman" w:hAnsi="Verdana" w:cs="Arial"/>
                <w:bCs/>
                <w:lang w:val="es-ES" w:eastAsia="es-CO"/>
              </w:rPr>
            </w:pPr>
            <w:r w:rsidRPr="005A13AE">
              <w:rPr>
                <w:rStyle w:val="s15"/>
                <w:rFonts w:ascii="Verdana" w:hAnsi="Verdana"/>
                <w:color w:val="000000"/>
              </w:rPr>
              <w:t>Al margen de la explicación precedente debe advertirse que el análisis requerido para resolver problemas específicos en torno a los reconocimientos económicos derivados del desequilibrio en el contrato debe ser realizado por quienes tengan interés en ello, de acuerdo con lo explicado la aclaración preliminar del presente oficio</w:t>
            </w:r>
            <w:r w:rsidRPr="001941FD">
              <w:rPr>
                <w:rStyle w:val="s15"/>
                <w:rFonts w:ascii="Verdana" w:hAnsi="Verdana"/>
                <w:color w:val="000000"/>
              </w:rPr>
              <w:t>.</w:t>
            </w:r>
            <w:r w:rsidRPr="001941FD">
              <w:rPr>
                <w:rStyle w:val="apple-converted-space"/>
                <w:rFonts w:ascii="Verdana" w:hAnsi="Verdana"/>
                <w:color w:val="000000"/>
              </w:rPr>
              <w:t> </w:t>
            </w:r>
            <w:r w:rsidRPr="001941FD">
              <w:rPr>
                <w:rStyle w:val="s15"/>
                <w:rFonts w:ascii="Verdana" w:hAnsi="Verdana"/>
                <w:color w:val="000000"/>
              </w:rPr>
              <w:t>Por lo anterior,</w:t>
            </w:r>
            <w:r>
              <w:rPr>
                <w:rStyle w:val="s15"/>
                <w:rFonts w:ascii="Verdana" w:hAnsi="Verdana"/>
                <w:color w:val="000000"/>
              </w:rPr>
              <w:t xml:space="preserve"> </w:t>
            </w:r>
            <w:r>
              <w:rPr>
                <w:rFonts w:ascii="Verdana" w:hAnsi="Verdana" w:cs="Arial"/>
                <w:lang w:eastAsia="es-ES"/>
              </w:rPr>
              <w:t>de acuerdo con la distribución de los riesgos</w:t>
            </w:r>
            <w:r w:rsidRPr="001941FD">
              <w:rPr>
                <w:rStyle w:val="s15"/>
                <w:rFonts w:ascii="Verdana" w:hAnsi="Verdana"/>
                <w:color w:val="000000"/>
              </w:rPr>
              <w:t xml:space="preserve">, corresponde </w:t>
            </w:r>
            <w:r>
              <w:rPr>
                <w:rStyle w:val="s15"/>
                <w:rFonts w:ascii="Verdana" w:hAnsi="Verdana"/>
                <w:color w:val="000000"/>
              </w:rPr>
              <w:t>a las partes del contrato</w:t>
            </w:r>
            <w:r w:rsidRPr="001941FD">
              <w:rPr>
                <w:rStyle w:val="s15"/>
                <w:rFonts w:ascii="Verdana" w:hAnsi="Verdana"/>
                <w:color w:val="000000"/>
              </w:rPr>
              <w:t xml:space="preserve"> </w:t>
            </w:r>
            <w:r>
              <w:rPr>
                <w:rStyle w:val="s15"/>
                <w:rFonts w:ascii="Verdana" w:hAnsi="Verdana"/>
                <w:color w:val="000000"/>
              </w:rPr>
              <w:t xml:space="preserve">definir si determinados </w:t>
            </w:r>
            <w:r w:rsidRPr="0013555B">
              <w:rPr>
                <w:rStyle w:val="s15"/>
                <w:rFonts w:ascii="Verdana" w:hAnsi="Verdana"/>
                <w:i/>
                <w:iCs/>
                <w:color w:val="000000"/>
              </w:rPr>
              <w:t>ítems</w:t>
            </w:r>
            <w:r w:rsidRPr="0013555B">
              <w:rPr>
                <w:rStyle w:val="s15"/>
                <w:rFonts w:ascii="Verdana" w:hAnsi="Verdana"/>
                <w:color w:val="000000"/>
              </w:rPr>
              <w:t xml:space="preserve"> </w:t>
            </w:r>
            <w:r>
              <w:rPr>
                <w:rStyle w:val="s15"/>
                <w:rFonts w:ascii="Verdana" w:hAnsi="Verdana"/>
                <w:color w:val="000000"/>
              </w:rPr>
              <w:t xml:space="preserve">serán objeto de </w:t>
            </w:r>
            <w:r w:rsidRPr="0013555B">
              <w:rPr>
                <w:rStyle w:val="s15"/>
                <w:rFonts w:ascii="Verdana" w:hAnsi="Verdana"/>
                <w:color w:val="000000"/>
              </w:rPr>
              <w:t>adición presupuestal o deben ejecutar</w:t>
            </w:r>
            <w:r>
              <w:rPr>
                <w:rStyle w:val="s15"/>
                <w:rFonts w:ascii="Verdana" w:hAnsi="Verdana"/>
                <w:color w:val="000000"/>
              </w:rPr>
              <w:t>se</w:t>
            </w:r>
            <w:r w:rsidRPr="0013555B">
              <w:rPr>
                <w:rStyle w:val="s15"/>
                <w:rFonts w:ascii="Verdana" w:hAnsi="Verdana"/>
                <w:color w:val="000000"/>
              </w:rPr>
              <w:t xml:space="preserve"> con el valor inicialmente definido </w:t>
            </w:r>
            <w:r>
              <w:rPr>
                <w:rStyle w:val="s15"/>
                <w:rFonts w:ascii="Verdana" w:hAnsi="Verdana"/>
                <w:color w:val="000000"/>
              </w:rPr>
              <w:t>en los documentos del proceso; motivo por el cual,</w:t>
            </w:r>
            <w:r w:rsidRPr="001941FD">
              <w:rPr>
                <w:rStyle w:val="s15"/>
                <w:rFonts w:ascii="Verdana" w:hAnsi="Verdana"/>
                <w:color w:val="000000"/>
              </w:rPr>
              <w:t xml:space="preserve"> en caso de conflicto, </w:t>
            </w:r>
            <w:r>
              <w:rPr>
                <w:rStyle w:val="s15"/>
                <w:rFonts w:ascii="Verdana" w:hAnsi="Verdana"/>
                <w:color w:val="000000"/>
              </w:rPr>
              <w:t xml:space="preserve">intervendrán </w:t>
            </w:r>
            <w:r w:rsidRPr="001941FD">
              <w:rPr>
                <w:rStyle w:val="s15"/>
                <w:rFonts w:ascii="Verdana" w:hAnsi="Verdana"/>
                <w:color w:val="000000"/>
              </w:rPr>
              <w:t>las autoridades judiciales, fiscales y disciplinarias. Así, cada entidad definirá la forma de adelantar su gestión contractual, sin que sea atribución de Colombia Compra Eficiente validar sus actuaciones.</w:t>
            </w:r>
          </w:p>
        </w:tc>
      </w:tr>
    </w:tbl>
    <w:p w14:paraId="28CED8C8" w14:textId="77777777" w:rsidR="0070018E" w:rsidRPr="00FC6F34" w:rsidRDefault="0070018E" w:rsidP="0070018E">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225F3299" w14:textId="77777777" w:rsidR="0070018E" w:rsidRPr="00FC6F34" w:rsidRDefault="0070018E" w:rsidP="0070018E">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Razones de la respuesta:</w:t>
      </w:r>
    </w:p>
    <w:p w14:paraId="3924D373" w14:textId="77777777" w:rsidR="0070018E" w:rsidRPr="00FC6F34" w:rsidRDefault="0070018E" w:rsidP="0070018E">
      <w:pPr>
        <w:spacing w:after="0" w:line="276" w:lineRule="auto"/>
        <w:jc w:val="both"/>
        <w:rPr>
          <w:rFonts w:ascii="Verdana" w:eastAsia="Calibri" w:hAnsi="Verdana" w:cs="Arial"/>
          <w:color w:val="000000" w:themeColor="text1"/>
          <w:lang w:val="es-ES"/>
        </w:rPr>
      </w:pPr>
    </w:p>
    <w:p w14:paraId="54D0C1A3" w14:textId="77777777" w:rsidR="0070018E" w:rsidRDefault="0070018E" w:rsidP="0070018E">
      <w:pPr>
        <w:spacing w:after="120" w:line="276" w:lineRule="auto"/>
        <w:jc w:val="both"/>
        <w:rPr>
          <w:rFonts w:ascii="Verdana" w:hAnsi="Verdana" w:cs="Arial"/>
          <w:lang w:val="es-ES" w:eastAsia="es-ES"/>
        </w:rPr>
      </w:pPr>
      <w:bookmarkStart w:id="1" w:name="_Hlk102983874"/>
      <w:bookmarkStart w:id="2" w:name="_Hlk102388095"/>
      <w:r w:rsidRPr="00FC6F34">
        <w:rPr>
          <w:rFonts w:ascii="Verdana" w:eastAsia="Calibri" w:hAnsi="Verdana" w:cs="Arial"/>
          <w:color w:val="000000" w:themeColor="text1"/>
          <w:lang w:val="es-ES"/>
        </w:rPr>
        <w:t>i)</w:t>
      </w:r>
      <w:r w:rsidRPr="00FC6F34">
        <w:rPr>
          <w:rFonts w:ascii="Verdana" w:eastAsia="Verdana" w:hAnsi="Verdana" w:cs="Verdana"/>
          <w:lang w:val="es-ES"/>
        </w:rPr>
        <w:t xml:space="preserve"> </w:t>
      </w:r>
      <w:r>
        <w:rPr>
          <w:rFonts w:ascii="Verdana" w:hAnsi="Verdana" w:cs="Arial"/>
          <w:lang w:eastAsia="es-ES"/>
        </w:rPr>
        <w:t>Aunque no todo contrato incluye un precio o valor –pues también existen negocios gratuitos– lo usual es que los contratos estatales se perfeccionen como onerosos y, la mayoría de las veces, como conmutativos. Adicionalmente, el precio suele ser el elemento más importante para el contratista, porque equivale a la remuneración que la entidad contratante le pagará por la ejecución del objeto contractual.</w:t>
      </w:r>
      <w:r>
        <w:rPr>
          <w:rFonts w:ascii="Verdana" w:hAnsi="Verdana" w:cs="Arial"/>
          <w:lang w:val="es-ES" w:eastAsia="es-ES"/>
        </w:rPr>
        <w:t xml:space="preserve"> Las entidades estatales deben calcular el presupuesto oficial mediante el análisis del sector –que incluye el estudio del mercado– y definir la metodología con la cual estructurarán el precio del contrato durante la etapa de planeación. De este modo, los estudios previos deberán incluir el esquema que la Administración usará para estipular el precio o el valor del contrato. </w:t>
      </w:r>
    </w:p>
    <w:p w14:paraId="67A16267" w14:textId="77777777" w:rsidR="0070018E" w:rsidRDefault="0070018E" w:rsidP="0070018E">
      <w:pPr>
        <w:spacing w:after="120" w:line="276" w:lineRule="auto"/>
        <w:ind w:firstLine="708"/>
        <w:jc w:val="both"/>
        <w:rPr>
          <w:rFonts w:ascii="Verdana" w:hAnsi="Verdana" w:cs="Arial"/>
          <w:lang w:val="es-ES" w:eastAsia="es-ES"/>
        </w:rPr>
      </w:pPr>
      <w:r>
        <w:rPr>
          <w:rFonts w:ascii="Verdana" w:hAnsi="Verdana" w:cs="Arial"/>
          <w:lang w:val="es-ES" w:eastAsia="es-ES"/>
        </w:rPr>
        <w:lastRenderedPageBreak/>
        <w:t>La metodología generalmente dependerá del tipo de contrato, por lo que puede variar dependiendo si se trata de un contrato de obra pública, prestación de servicios o de concesión</w:t>
      </w:r>
      <w:r>
        <w:rPr>
          <w:vertAlign w:val="superscript"/>
        </w:rPr>
        <w:footnoteReference w:id="2"/>
      </w:r>
      <w:r>
        <w:rPr>
          <w:rFonts w:ascii="Verdana" w:hAnsi="Verdana" w:cs="Arial"/>
          <w:lang w:val="es-ES" w:eastAsia="es-ES"/>
        </w:rPr>
        <w:t>. No existe una sola metodología para pactar el precio y la manera de hacerlo puede ser resultado de la costumbre mercantil y la influencia de disciplinas técnicas, como la ingeniería o la administración de empresas en la contratación estatal. Dentro los esquemas para determinar el precio se encuentran, entre otros: i) los precios unitarios –calculados de acuerdo con las unidades que componen el objeto del contrato–, ii) el precio global –que equivale al monto total, sin discriminar unidades–, y iii) la administración delegada de recursos –en la que se distinguen los costos de inversión de los honorarios del administrador–.</w:t>
      </w:r>
    </w:p>
    <w:p w14:paraId="3549019B" w14:textId="77777777" w:rsidR="0070018E" w:rsidRDefault="0070018E" w:rsidP="0070018E">
      <w:pPr>
        <w:spacing w:after="120" w:line="276" w:lineRule="auto"/>
        <w:ind w:firstLine="709"/>
        <w:jc w:val="both"/>
        <w:rPr>
          <w:rFonts w:ascii="Verdana" w:hAnsi="Verdana"/>
          <w:lang w:val="es-ES"/>
        </w:rPr>
      </w:pPr>
      <w:r>
        <w:rPr>
          <w:rFonts w:ascii="Verdana" w:hAnsi="Verdana"/>
          <w:lang w:val="es-ES"/>
        </w:rPr>
        <w:t>El precio pactado a precios unitarios, al cual se refiere su consulta, implica individualizar el valor de cada uno de los ítems requeridos para llevar a cabo la obra o el proyecto. Así mismo, el precio se deriva de apreciar todos los componentes necesarios para la ejecución de la unidad de medida del ítem correspondiente (metro lineal, metro cúbico, metro cuadrado, entre otros). Por lo mismo, el precio será el resultado de multiplicar la cantidad finalmente ejecutada por el valor unitario respectivo</w:t>
      </w:r>
      <w:r>
        <w:rPr>
          <w:rStyle w:val="Refdenotaalpie"/>
          <w:rFonts w:ascii="Verdana" w:hAnsi="Verdana"/>
          <w:lang w:val="es-ES"/>
        </w:rPr>
        <w:footnoteReference w:id="3"/>
      </w:r>
      <w:r>
        <w:rPr>
          <w:rFonts w:ascii="Verdana" w:hAnsi="Verdana"/>
          <w:lang w:val="es-ES"/>
        </w:rPr>
        <w:t>.</w:t>
      </w:r>
    </w:p>
    <w:p w14:paraId="4CCF5845" w14:textId="77777777" w:rsidR="0070018E" w:rsidRDefault="0070018E" w:rsidP="0070018E">
      <w:pPr>
        <w:spacing w:after="120" w:line="276" w:lineRule="auto"/>
        <w:ind w:firstLine="709"/>
        <w:jc w:val="both"/>
        <w:rPr>
          <w:rFonts w:ascii="Verdana" w:hAnsi="Verdana"/>
          <w:lang w:val="es-ES"/>
        </w:rPr>
      </w:pPr>
      <w:r>
        <w:rPr>
          <w:rFonts w:ascii="Verdana" w:hAnsi="Verdana" w:cs="Arial"/>
          <w:bCs/>
          <w:szCs w:val="24"/>
          <w:lang w:val="es-ES" w:eastAsia="es-ES_tradnl"/>
        </w:rPr>
        <w:t xml:space="preserve">En esta modalidad se establecen unas estimaciones de cantidades de obra, según los estudios y diseños, los estudios previos y unos precios unitarios </w:t>
      </w:r>
      <w:r>
        <w:rPr>
          <w:rFonts w:ascii="Verdana" w:hAnsi="Verdana" w:cs="Arial"/>
          <w:bCs/>
          <w:szCs w:val="24"/>
          <w:lang w:val="es-ES" w:eastAsia="es-ES_tradnl"/>
        </w:rPr>
        <w:lastRenderedPageBreak/>
        <w:t>de los respectivos ítems de obra</w:t>
      </w:r>
      <w:r>
        <w:rPr>
          <w:rStyle w:val="Refdenotaalpie"/>
          <w:rFonts w:ascii="Verdana" w:hAnsi="Verdana" w:cs="Arial"/>
          <w:bCs/>
          <w:szCs w:val="24"/>
          <w:lang w:val="es-ES" w:eastAsia="es-ES_tradnl"/>
        </w:rPr>
        <w:footnoteReference w:id="4"/>
      </w:r>
      <w:r>
        <w:rPr>
          <w:rFonts w:ascii="Verdana" w:hAnsi="Verdana" w:cs="Arial"/>
          <w:bCs/>
          <w:szCs w:val="24"/>
          <w:lang w:val="es-ES" w:eastAsia="es-ES_tradnl"/>
        </w:rPr>
        <w:t xml:space="preserve">. </w:t>
      </w:r>
      <w:r>
        <w:rPr>
          <w:rFonts w:ascii="Verdana" w:hAnsi="Verdana"/>
          <w:lang w:val="es-ES"/>
        </w:rPr>
        <w:t>Al respecto, la jurisprudencia de la Sección Tercera del Consejo de Estado ha explicado que en los contratos pactados mediante precios unitarios, ante la imposibilidad de establecer con exactitud los montos totales que resultarán de realizar la obra contratada, la entidad aproxima un cálculo estimado de la cantidad o unidades de obra que se requerirá ejecutar previo a la ejecución del negocio jurídico, es decir, en los pliegos de condiciones o documento equivalente y en el contrato. Esto, con el propósito de que el proponente establezca en su propuesta unos valores unitarios respecto de cada unidad de obra prevista por la entidad contratante</w:t>
      </w:r>
      <w:r>
        <w:rPr>
          <w:rStyle w:val="Refdenotaalpie"/>
          <w:rFonts w:ascii="Verdana" w:hAnsi="Verdana"/>
          <w:lang w:val="es-ES"/>
        </w:rPr>
        <w:footnoteReference w:id="5"/>
      </w:r>
      <w:r>
        <w:rPr>
          <w:rFonts w:ascii="Verdana" w:hAnsi="Verdana"/>
          <w:lang w:val="es-ES"/>
        </w:rPr>
        <w:t>.</w:t>
      </w:r>
    </w:p>
    <w:p w14:paraId="497A3B6A" w14:textId="77777777" w:rsidR="0070018E" w:rsidRDefault="0070018E" w:rsidP="0070018E">
      <w:pPr>
        <w:spacing w:after="120" w:line="276" w:lineRule="auto"/>
        <w:ind w:firstLine="709"/>
        <w:jc w:val="both"/>
        <w:rPr>
          <w:rFonts w:ascii="Verdana" w:hAnsi="Verdana" w:cs="Arial"/>
          <w:bCs/>
          <w:szCs w:val="24"/>
          <w:lang w:val="es-ES" w:eastAsia="es-ES_tradnl"/>
        </w:rPr>
      </w:pPr>
      <w:r>
        <w:rPr>
          <w:rFonts w:ascii="Verdana" w:hAnsi="Verdana" w:cs="Arial"/>
          <w:szCs w:val="24"/>
          <w:lang w:val="es-ES" w:eastAsia="es-ES_tradnl"/>
        </w:rPr>
        <w:t>De esta forma, uno es el valor estimado del contrato y otro el valor real, según las mayores o menores cantidades de obra que efectivamente ejecute el contratista para cumplir el objeto pactado.</w:t>
      </w:r>
      <w:r>
        <w:rPr>
          <w:rFonts w:ascii="Verdana" w:hAnsi="Verdana"/>
          <w:i/>
          <w:lang w:val="es-ES"/>
        </w:rPr>
        <w:t xml:space="preserve"> </w:t>
      </w:r>
      <w:r>
        <w:rPr>
          <w:rFonts w:ascii="Verdana" w:hAnsi="Verdana"/>
          <w:lang w:val="es-ES"/>
        </w:rPr>
        <w:t xml:space="preserve">De esta manera, </w:t>
      </w:r>
      <w:r>
        <w:rPr>
          <w:rFonts w:ascii="Verdana" w:hAnsi="Verdana" w:cs="Arial"/>
          <w:bCs/>
          <w:szCs w:val="24"/>
          <w:lang w:val="es-ES" w:eastAsia="es-ES_tradnl"/>
        </w:rPr>
        <w:t>en los contratos de obra pública con pago pactado a precios unitarios, el valor del contrato es el que resulta de multiplicar las cantidades de obra efectivamente ejecutadas por sus precios unitarios. No obstante, para la celebración de este tipo de contratos, el precio se expresa en un valor estimado, que corresponde a un valor inicial, y que está dado por las cantidades de obra y los precios unitarios por los cuales se hizo la respectiva adjudicación.</w:t>
      </w:r>
    </w:p>
    <w:p w14:paraId="71461E02" w14:textId="77777777" w:rsidR="0070018E" w:rsidRDefault="0070018E" w:rsidP="0070018E">
      <w:pPr>
        <w:spacing w:after="0" w:line="276" w:lineRule="auto"/>
        <w:ind w:firstLine="743"/>
        <w:jc w:val="both"/>
        <w:rPr>
          <w:rFonts w:ascii="Verdana" w:eastAsia="Times New Roman" w:hAnsi="Verdana" w:cs="Arial"/>
          <w:color w:val="000000" w:themeColor="text1"/>
          <w:lang w:eastAsia="es-ES"/>
        </w:rPr>
      </w:pPr>
      <w:r>
        <w:rPr>
          <w:rFonts w:ascii="Verdana" w:eastAsia="Times New Roman" w:hAnsi="Verdana" w:cs="Arial"/>
          <w:color w:val="000000" w:themeColor="text1"/>
          <w:lang w:val="es-ES" w:eastAsia="es-ES"/>
        </w:rPr>
        <w:t xml:space="preserve">Así, durante la etapa de planeación las entidades públicas son responsables de estimar y determinar las prestaciones que demanda la satisfacción del interés colectivo, conforme al análisis de los estudios y diseños previos. No obstante, teniendo en cuenta que en la modalidad de precios unitarios las cantidades son estimativas, es factible que durante la ejecución del contrato, </w:t>
      </w:r>
      <w:r w:rsidRPr="00E1280F">
        <w:rPr>
          <w:rFonts w:ascii="Verdana" w:eastAsia="Times New Roman" w:hAnsi="Verdana" w:cs="Arial"/>
          <w:color w:val="000000" w:themeColor="text1"/>
          <w:lang w:val="es-ES" w:eastAsia="es-ES"/>
        </w:rPr>
        <w:t>las partes</w:t>
      </w:r>
      <w:r>
        <w:rPr>
          <w:rFonts w:ascii="Verdana" w:eastAsia="Times New Roman" w:hAnsi="Verdana" w:cs="Arial"/>
          <w:color w:val="000000" w:themeColor="text1"/>
          <w:lang w:val="es-ES" w:eastAsia="es-ES"/>
        </w:rPr>
        <w:t xml:space="preserve"> puedan identificar situaciones en las que se genera la necesidad de mayores cantidades de bienes o actividades inicialmente previstas, a lo que se le conoce como mayores cantidades de obra, o adición de ítems contractuales. De esta forma, </w:t>
      </w:r>
      <w:r>
        <w:rPr>
          <w:rFonts w:ascii="Verdana" w:eastAsia="Times New Roman" w:hAnsi="Verdana" w:cs="Arial"/>
          <w:color w:val="000000" w:themeColor="text1"/>
          <w:lang w:eastAsia="es-ES"/>
        </w:rPr>
        <w:t xml:space="preserve">si bien la responsabilidad inicial en la definición de las cantidades recae en la entidad estatal en la fase de planeación, durante la ejecución del contrato tanto la entidad contratante como el contratista están obligados a identificar, advertir y gestionar oportunamente las situaciones que puedan afectar la adecuada ejecución del contrato. </w:t>
      </w:r>
    </w:p>
    <w:p w14:paraId="29FA1E07" w14:textId="77777777" w:rsidR="0070018E" w:rsidRDefault="0070018E" w:rsidP="0070018E">
      <w:pPr>
        <w:spacing w:after="0" w:line="276" w:lineRule="auto"/>
        <w:ind w:firstLine="743"/>
        <w:jc w:val="both"/>
        <w:rPr>
          <w:rFonts w:ascii="Verdana" w:eastAsia="Times New Roman" w:hAnsi="Verdana" w:cs="Arial"/>
          <w:color w:val="000000" w:themeColor="text1"/>
          <w:lang w:val="es-ES" w:eastAsia="es-ES"/>
        </w:rPr>
      </w:pPr>
    </w:p>
    <w:p w14:paraId="7B5EAA36" w14:textId="77777777" w:rsidR="0070018E" w:rsidRPr="00E1280F" w:rsidRDefault="0070018E" w:rsidP="0070018E">
      <w:pPr>
        <w:spacing w:after="120" w:line="276" w:lineRule="auto"/>
        <w:jc w:val="both"/>
        <w:rPr>
          <w:rFonts w:ascii="Verdana" w:eastAsia="Times New Roman" w:hAnsi="Verdana" w:cs="Arial"/>
          <w:color w:val="000000" w:themeColor="text1"/>
          <w:lang w:val="es-ES" w:eastAsia="es-ES"/>
        </w:rPr>
      </w:pPr>
      <w:r>
        <w:rPr>
          <w:rFonts w:ascii="Verdana" w:eastAsia="Times New Roman" w:hAnsi="Verdana" w:cs="Arial"/>
          <w:color w:val="000000" w:themeColor="text1"/>
          <w:lang w:val="es-ES" w:eastAsia="es-ES"/>
        </w:rPr>
        <w:t xml:space="preserve">ii) </w:t>
      </w:r>
      <w:r>
        <w:rPr>
          <w:rFonts w:ascii="Verdana" w:hAnsi="Verdana" w:cs="Arial"/>
          <w:bCs/>
          <w:szCs w:val="24"/>
          <w:lang w:val="es-ES" w:eastAsia="es-ES_tradnl"/>
        </w:rPr>
        <w:t xml:space="preserve">Otro aspecto importante a tener en cuenta respecto de los contratos cuyo precio se estructura a partir del sistema de precios unitarios es que, ha hecho parte de la práctica de los negocios que el contratante le solicite </w:t>
      </w:r>
      <w:r>
        <w:rPr>
          <w:rFonts w:ascii="Verdana" w:hAnsi="Verdana" w:cs="Arial"/>
          <w:lang w:val="es-ES" w:eastAsia="es-ES"/>
        </w:rPr>
        <w:t xml:space="preserve">al potencial contratista que separe en su propuesta los </w:t>
      </w:r>
      <w:r>
        <w:rPr>
          <w:rFonts w:ascii="Verdana" w:hAnsi="Verdana" w:cs="Arial"/>
          <w:i/>
          <w:iCs/>
          <w:lang w:val="es-ES" w:eastAsia="es-ES"/>
        </w:rPr>
        <w:t>costos directos</w:t>
      </w:r>
      <w:r>
        <w:rPr>
          <w:rFonts w:ascii="Verdana" w:hAnsi="Verdana" w:cs="Arial"/>
          <w:lang w:val="es-ES" w:eastAsia="es-ES"/>
        </w:rPr>
        <w:t xml:space="preserve"> –es decir, los que están directamente implicados en la ejecución del objeto–, de los </w:t>
      </w:r>
      <w:r>
        <w:rPr>
          <w:rFonts w:ascii="Verdana" w:hAnsi="Verdana" w:cs="Arial"/>
          <w:i/>
          <w:iCs/>
          <w:lang w:val="es-ES" w:eastAsia="es-ES"/>
        </w:rPr>
        <w:t>costos indirectos</w:t>
      </w:r>
      <w:r>
        <w:rPr>
          <w:rFonts w:ascii="Verdana" w:hAnsi="Verdana" w:cs="Arial"/>
          <w:lang w:val="es-ES" w:eastAsia="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tal podría llegar a ser el caso de los gastos en los que se incurra por concepto de representación la estructura plural. </w:t>
      </w:r>
      <w:r>
        <w:rPr>
          <w:rFonts w:ascii="Verdana" w:hAnsi="Verdana" w:cs="Arial"/>
          <w:bCs/>
          <w:szCs w:val="24"/>
          <w:lang w:val="es-ES" w:eastAsia="es-ES_tradnl"/>
        </w:rPr>
        <w:t xml:space="preserve">En tal sentido, mientras que los costos directos se evidencian en el análisis de precios unitarios –APU–, como la sumatoria de los valores de los </w:t>
      </w:r>
      <w:r>
        <w:rPr>
          <w:rFonts w:ascii="Verdana" w:hAnsi="Verdana" w:cs="Arial"/>
          <w:bCs/>
          <w:i/>
          <w:iCs/>
          <w:szCs w:val="24"/>
          <w:lang w:val="es-ES" w:eastAsia="es-ES_tradnl"/>
        </w:rPr>
        <w:t>ítems</w:t>
      </w:r>
      <w:r>
        <w:rPr>
          <w:rFonts w:ascii="Verdana" w:hAnsi="Verdana" w:cs="Arial"/>
          <w:bCs/>
          <w:szCs w:val="24"/>
          <w:lang w:val="es-ES" w:eastAsia="es-ES_tradnl"/>
        </w:rPr>
        <w:t xml:space="preserve"> según su unidad de medida, los costos indirectos se suelen abreviar en las variables que integran el acrónimo AIU –Administración, Imprevistos y Utilidad–, que se calcula como un porcentaje aplicado a los costos indirectos</w:t>
      </w:r>
      <w:r>
        <w:rPr>
          <w:rFonts w:ascii="Verdana" w:hAnsi="Verdana" w:cs="Arial"/>
          <w:szCs w:val="24"/>
          <w:vertAlign w:val="superscript"/>
          <w:lang w:val="es-ES" w:eastAsia="es-ES_tradnl"/>
        </w:rPr>
        <w:footnoteReference w:id="6"/>
      </w:r>
      <w:r>
        <w:rPr>
          <w:rFonts w:ascii="Verdana" w:hAnsi="Verdana" w:cs="Arial"/>
          <w:szCs w:val="24"/>
          <w:lang w:val="es-ES" w:eastAsia="es-ES_tradnl"/>
        </w:rPr>
        <w:t>.</w:t>
      </w:r>
    </w:p>
    <w:p w14:paraId="79B4D83E" w14:textId="77777777" w:rsidR="0070018E" w:rsidRDefault="0070018E" w:rsidP="0070018E">
      <w:pPr>
        <w:spacing w:after="120" w:line="276" w:lineRule="auto"/>
        <w:ind w:firstLine="709"/>
        <w:jc w:val="both"/>
        <w:rPr>
          <w:rFonts w:ascii="Verdana" w:hAnsi="Verdana" w:cs="Arial"/>
          <w:bCs/>
          <w:szCs w:val="24"/>
          <w:lang w:val="es-ES" w:eastAsia="es-ES_tradnl"/>
        </w:rPr>
      </w:pPr>
      <w:r>
        <w:rPr>
          <w:rFonts w:ascii="Verdana" w:hAnsi="Verdana" w:cs="Arial"/>
          <w:bCs/>
          <w:szCs w:val="24"/>
          <w:lang w:val="es-ES" w:eastAsia="es-ES_tradnl"/>
        </w:rPr>
        <w:t>La jurisprudencia ha señalado que “[…] en la conformación de dichos precios unitarios, se tienen en cuenta todos los gastos que se requieren para realizar la unidad de medida respectiva –el metro lineal, el metro cúbico, el metro cuadrado, etc.-. Y lo que comúnmente se denomina análisis de precios unitarios, corresponde a la descomposición de los mismos para determinar los costos que los conforman: la maquinaria que se utilizará, calculando el valor por el tiempo que se requiera; la mano de obra, teniendo en cuenta el costo hora-hombre, y cuántas personas se requieren para la ejecución de esa unidad de medida; la cantidad de los materiales necesarios, etc.”</w:t>
      </w:r>
      <w:r>
        <w:rPr>
          <w:rStyle w:val="Refdenotaalpie"/>
          <w:rFonts w:ascii="Verdana" w:hAnsi="Verdana" w:cs="Arial"/>
          <w:bCs/>
          <w:szCs w:val="24"/>
          <w:lang w:val="es-ES" w:eastAsia="es-ES_tradnl"/>
        </w:rPr>
        <w:footnoteReference w:id="7"/>
      </w:r>
      <w:r>
        <w:rPr>
          <w:rFonts w:ascii="Verdana" w:hAnsi="Verdana" w:cs="Arial"/>
          <w:bCs/>
          <w:szCs w:val="24"/>
          <w:lang w:val="es-ES" w:eastAsia="es-ES_tradnl"/>
        </w:rPr>
        <w:t xml:space="preserve">. </w:t>
      </w:r>
    </w:p>
    <w:p w14:paraId="29D8C1D4" w14:textId="77777777" w:rsidR="0070018E" w:rsidRDefault="0070018E" w:rsidP="0070018E">
      <w:pPr>
        <w:spacing w:after="120" w:line="276" w:lineRule="auto"/>
        <w:ind w:firstLine="709"/>
        <w:jc w:val="both"/>
        <w:rPr>
          <w:rFonts w:ascii="Verdana" w:hAnsi="Verdana" w:cs="Arial"/>
          <w:bCs/>
          <w:szCs w:val="24"/>
          <w:lang w:val="es-ES" w:eastAsia="es-ES_tradnl"/>
        </w:rPr>
      </w:pPr>
      <w:r>
        <w:rPr>
          <w:rFonts w:ascii="Verdana" w:hAnsi="Verdana" w:cs="Arial"/>
          <w:bCs/>
          <w:szCs w:val="24"/>
          <w:lang w:val="es-ES" w:eastAsia="es-ES_tradnl"/>
        </w:rPr>
        <w:t xml:space="preserve">En efecto, la Sección Tercera del Consejo ha precisado en varias oportunidades que los contratos en los cuales el pago es pactado mediante precios unitarios se caracterizan porque las partes acuerdan el valor de las distintas unidades o cantidades de obra, de modo que el “costo directo total del contrato, será el resultado de multiplicar los precios unitarios por las cantidades </w:t>
      </w:r>
      <w:r>
        <w:rPr>
          <w:rFonts w:ascii="Verdana" w:hAnsi="Verdana" w:cs="Arial"/>
          <w:bCs/>
          <w:szCs w:val="24"/>
          <w:lang w:val="es-ES" w:eastAsia="es-ES_tradnl"/>
        </w:rPr>
        <w:lastRenderedPageBreak/>
        <w:t>de obra ejecutadas y de sumar todos los ítems necesarios para dicha ejecución"</w:t>
      </w:r>
      <w:r>
        <w:rPr>
          <w:rStyle w:val="Refdenotaalpie"/>
          <w:rFonts w:ascii="Verdana" w:hAnsi="Verdana" w:cs="Arial"/>
          <w:bCs/>
          <w:szCs w:val="24"/>
          <w:lang w:val="es-ES" w:eastAsia="es-ES_tradnl"/>
        </w:rPr>
        <w:footnoteReference w:id="8"/>
      </w:r>
      <w:r>
        <w:rPr>
          <w:rFonts w:ascii="Verdana" w:hAnsi="Verdana" w:cs="Arial"/>
          <w:bCs/>
          <w:szCs w:val="24"/>
          <w:lang w:val="es-ES" w:eastAsia="es-ES_tradnl"/>
        </w:rPr>
        <w:t>. En el análisis de los precios unitarios, se tienen en cuenta todos los gastos que se requieren para realizar cada unidad o ítem pactado, para lo cual el proponente descompone los mismos y determina los costos que los conforman</w:t>
      </w:r>
      <w:r>
        <w:rPr>
          <w:rStyle w:val="Refdenotaalpie"/>
          <w:rFonts w:ascii="Verdana" w:hAnsi="Verdana" w:cs="Arial"/>
          <w:bCs/>
          <w:szCs w:val="24"/>
          <w:lang w:val="es-ES" w:eastAsia="es-ES_tradnl"/>
        </w:rPr>
        <w:footnoteReference w:id="9"/>
      </w:r>
      <w:r>
        <w:rPr>
          <w:rFonts w:ascii="Verdana" w:hAnsi="Verdana" w:cs="Arial"/>
          <w:bCs/>
          <w:szCs w:val="24"/>
          <w:lang w:val="es-ES" w:eastAsia="es-ES_tradnl"/>
        </w:rPr>
        <w:t xml:space="preserve">. Con este fin, se elabora un listado de cada unidad técnica (ítems) de los elementos, la mano de obra, la maquinaria, equipos y actividades requeridas, especificando, por ejemplo, el número de elementos, metros cúbicos, metros cuadrados, metros lineales, hora-hombre u hora de equipo, para determinar cuánto cuesta cada una de las unidades, cuya sumatoria constituirá el valor total del </w:t>
      </w:r>
      <w:r>
        <w:rPr>
          <w:rFonts w:ascii="Verdana" w:hAnsi="Verdana" w:cs="Arial"/>
          <w:bCs/>
          <w:i/>
          <w:iCs/>
          <w:szCs w:val="24"/>
          <w:lang w:val="es-ES" w:eastAsia="es-ES_tradnl"/>
        </w:rPr>
        <w:t>costo directo</w:t>
      </w:r>
      <w:r>
        <w:rPr>
          <w:rFonts w:ascii="Verdana" w:hAnsi="Verdana" w:cs="Arial"/>
          <w:bCs/>
          <w:szCs w:val="24"/>
          <w:lang w:val="es-ES" w:eastAsia="es-ES_tradnl"/>
        </w:rPr>
        <w:t xml:space="preserve"> de la obra</w:t>
      </w:r>
      <w:r>
        <w:rPr>
          <w:rStyle w:val="Refdenotaalpie"/>
          <w:rFonts w:ascii="Verdana" w:hAnsi="Verdana" w:cs="Arial"/>
          <w:bCs/>
          <w:szCs w:val="24"/>
          <w:lang w:val="es-ES" w:eastAsia="es-ES_tradnl"/>
        </w:rPr>
        <w:footnoteReference w:id="10"/>
      </w:r>
      <w:r>
        <w:rPr>
          <w:rFonts w:ascii="Verdana" w:hAnsi="Verdana" w:cs="Arial"/>
          <w:bCs/>
          <w:szCs w:val="24"/>
          <w:lang w:val="es-ES" w:eastAsia="es-ES_tradnl"/>
        </w:rPr>
        <w:t xml:space="preserve">. </w:t>
      </w:r>
    </w:p>
    <w:p w14:paraId="7B90ACDE" w14:textId="77777777" w:rsidR="0070018E" w:rsidRDefault="0070018E" w:rsidP="0070018E">
      <w:pPr>
        <w:spacing w:after="120" w:line="276" w:lineRule="auto"/>
        <w:ind w:firstLine="709"/>
        <w:jc w:val="both"/>
        <w:rPr>
          <w:rFonts w:ascii="Verdana" w:hAnsi="Verdana" w:cs="Arial"/>
          <w:bCs/>
          <w:szCs w:val="24"/>
          <w:lang w:val="es-ES" w:eastAsia="es-ES_tradnl"/>
        </w:rPr>
      </w:pPr>
      <w:r>
        <w:rPr>
          <w:rFonts w:ascii="Verdana" w:hAnsi="Verdana" w:cs="Arial"/>
          <w:bCs/>
          <w:szCs w:val="24"/>
          <w:lang w:val="es-ES" w:eastAsia="es-ES_tradnl"/>
        </w:rPr>
        <w:t xml:space="preserve">Ahora bien, en ejercicio de la autonomía de la voluntad, las partes pueden decidir pactar o no el AIU. En los casos en que opten por requerirlo, las entidades pueden solicitar, por ejemplo, que los proponentes establezcan de forma independiente al valor total de los costos directos, un porcentaje fijo que, según con sus conocimientos, experiencia, y la naturaleza del negocio jurídico, represente el valor por concepto de administración, imprevistos y utilidad.  Bajo este modelo, el valor total de los costos directos, obtenido como resultado de la sumatoria de todos los ítems multiplicados por su valor unitario, se multiplica por el porcentaje de AIU fijado por el contratista en su oferta, el cual representa los </w:t>
      </w:r>
      <w:r>
        <w:rPr>
          <w:rFonts w:ascii="Verdana" w:hAnsi="Verdana" w:cs="Arial"/>
          <w:bCs/>
          <w:i/>
          <w:iCs/>
          <w:szCs w:val="24"/>
          <w:lang w:val="es-ES" w:eastAsia="es-ES_tradnl"/>
        </w:rPr>
        <w:t>costos indirectos</w:t>
      </w:r>
      <w:r>
        <w:rPr>
          <w:rFonts w:ascii="Verdana" w:hAnsi="Verdana" w:cs="Arial"/>
          <w:bCs/>
          <w:szCs w:val="24"/>
          <w:lang w:val="es-ES" w:eastAsia="es-ES_tradnl"/>
        </w:rPr>
        <w:t xml:space="preserve"> en los que incurrirá durante la ejecución del contrato. De cualquier modo, las partes pueden fijar la metodología y las exigencias relacionadas con el cálculo del AIU en otra forma que convengan, “entendiendo que los elementos que lo componen se encuentran incorporados en los precios y en el valor del contrato”</w:t>
      </w:r>
      <w:r>
        <w:rPr>
          <w:rStyle w:val="Refdenotaalpie"/>
          <w:rFonts w:ascii="Verdana" w:hAnsi="Verdana" w:cs="Arial"/>
          <w:bCs/>
          <w:szCs w:val="24"/>
          <w:lang w:val="es-ES" w:eastAsia="es-ES_tradnl"/>
        </w:rPr>
        <w:footnoteReference w:id="11"/>
      </w:r>
      <w:r>
        <w:rPr>
          <w:rFonts w:ascii="Verdana" w:hAnsi="Verdana" w:cs="Arial"/>
          <w:bCs/>
          <w:szCs w:val="24"/>
          <w:lang w:val="es-ES" w:eastAsia="es-ES_tradnl"/>
        </w:rPr>
        <w:t>.</w:t>
      </w:r>
    </w:p>
    <w:p w14:paraId="7844AC18" w14:textId="77777777" w:rsidR="0070018E" w:rsidRDefault="0070018E" w:rsidP="0070018E">
      <w:pPr>
        <w:spacing w:before="120" w:after="0" w:line="276" w:lineRule="auto"/>
        <w:ind w:firstLine="709"/>
        <w:jc w:val="both"/>
        <w:rPr>
          <w:rFonts w:ascii="Verdana" w:hAnsi="Verdana" w:cs="Arial"/>
          <w:bCs/>
          <w:szCs w:val="24"/>
          <w:lang w:val="es-ES" w:eastAsia="es-ES_tradnl"/>
        </w:rPr>
      </w:pPr>
      <w:r>
        <w:rPr>
          <w:rFonts w:ascii="Verdana" w:hAnsi="Verdana" w:cs="Arial"/>
          <w:bCs/>
          <w:szCs w:val="24"/>
          <w:lang w:val="es-ES" w:eastAsia="es-ES_tradnl"/>
        </w:rPr>
        <w:t>En concordancia, la doctrina explica que en la estructuración de los precios unitarios se tendrán en cuenta todos los costos directos necesarios para la ejecución del objeto contractual que, a su vez, se afectará por el valor del AIU:</w:t>
      </w:r>
    </w:p>
    <w:p w14:paraId="7D8B00D6" w14:textId="77777777" w:rsidR="0070018E" w:rsidRDefault="0070018E" w:rsidP="0070018E">
      <w:pPr>
        <w:spacing w:after="0" w:line="276" w:lineRule="auto"/>
        <w:ind w:firstLine="709"/>
        <w:jc w:val="both"/>
        <w:rPr>
          <w:rFonts w:ascii="Verdana" w:hAnsi="Verdana" w:cs="Arial"/>
          <w:bCs/>
          <w:szCs w:val="24"/>
          <w:lang w:val="es-ES" w:eastAsia="es-ES_tradnl"/>
        </w:rPr>
      </w:pPr>
    </w:p>
    <w:p w14:paraId="58AC1624" w14:textId="77777777" w:rsidR="0070018E" w:rsidRDefault="0070018E" w:rsidP="0070018E">
      <w:pPr>
        <w:tabs>
          <w:tab w:val="left" w:pos="709"/>
        </w:tabs>
        <w:spacing w:after="0" w:line="240" w:lineRule="auto"/>
        <w:ind w:left="709" w:right="709"/>
        <w:jc w:val="both"/>
        <w:rPr>
          <w:rFonts w:ascii="Verdana" w:hAnsi="Verdana" w:cs="Arial"/>
          <w:sz w:val="20"/>
          <w:szCs w:val="20"/>
          <w:lang w:val="es-ES" w:eastAsia="es-ES"/>
        </w:rPr>
      </w:pPr>
      <w:r>
        <w:rPr>
          <w:rFonts w:ascii="Verdana" w:hAnsi="Verdana" w:cs="Arial"/>
          <w:sz w:val="20"/>
          <w:szCs w:val="20"/>
          <w:lang w:val="es-ES" w:eastAsia="es-ES"/>
        </w:rPr>
        <w:t xml:space="preserve">“Cada uno de los valores unitarios resultan de un análisis de los componentes requeridos para su elaboración, estudio que se denomina comúnmente ‘análisis de precios unitarios’. Así, se examinará, por ejemplo, que para la construcción de un metro cuadrado de muro se </w:t>
      </w:r>
      <w:r>
        <w:rPr>
          <w:rFonts w:ascii="Verdana" w:hAnsi="Verdana" w:cs="Arial"/>
          <w:sz w:val="20"/>
          <w:szCs w:val="20"/>
          <w:lang w:val="es-ES" w:eastAsia="es-ES"/>
        </w:rPr>
        <w:lastRenderedPageBreak/>
        <w:t>requieren 50 ladrillos, que tienen un valor de $50.000; 15 kilos de cemento, que tienen un valor de $5.000; 30 kilos de arena, que tienen un valor de $500; 5 litros de agua, que tienen un valor de 100, y la mano de obra que tiene un valor de $5.000. La sumatoria de cada uno de estos insumos básicos arroja el costo directo que debe cancelar el contratista para la construcción de un metro de muro.</w:t>
      </w:r>
    </w:p>
    <w:p w14:paraId="5CDA3B6B" w14:textId="77777777" w:rsidR="0070018E" w:rsidRDefault="0070018E" w:rsidP="0070018E">
      <w:pPr>
        <w:tabs>
          <w:tab w:val="left" w:pos="709"/>
        </w:tabs>
        <w:spacing w:after="0" w:line="240" w:lineRule="auto"/>
        <w:ind w:left="709" w:right="709"/>
        <w:jc w:val="both"/>
        <w:rPr>
          <w:rFonts w:ascii="Verdana" w:hAnsi="Verdana" w:cs="Arial"/>
          <w:sz w:val="20"/>
          <w:szCs w:val="20"/>
          <w:lang w:val="es-ES" w:eastAsia="es-ES"/>
        </w:rPr>
      </w:pPr>
    </w:p>
    <w:p w14:paraId="3B2657A1" w14:textId="77777777" w:rsidR="0070018E" w:rsidRDefault="0070018E" w:rsidP="0070018E">
      <w:pPr>
        <w:tabs>
          <w:tab w:val="left" w:pos="709"/>
        </w:tabs>
        <w:spacing w:after="0" w:line="240" w:lineRule="auto"/>
        <w:ind w:left="709" w:right="709"/>
        <w:jc w:val="both"/>
        <w:rPr>
          <w:rFonts w:ascii="Verdana" w:hAnsi="Verdana" w:cs="Arial"/>
          <w:sz w:val="20"/>
          <w:szCs w:val="20"/>
          <w:lang w:val="es-ES" w:eastAsia="es-ES_tradnl"/>
        </w:rPr>
      </w:pPr>
      <w:r>
        <w:rPr>
          <w:rFonts w:ascii="Verdana" w:hAnsi="Verdana" w:cs="Arial"/>
          <w:sz w:val="20"/>
          <w:szCs w:val="20"/>
          <w:lang w:val="es-ES" w:eastAsia="es-ES_tradnl"/>
        </w:rPr>
        <w:t xml:space="preserve">El costo directo se multiplica por el AIU, es decir, por los gastos de administración, que incluye los gastos de personal que dirige la obra; los gastos de imprevistos, que pretende cubrir imprevistos y la utilidad. El resultado de la multiplicación anterior determina el valor unitario que deberá cancelar la entidad estatal. Dentro del valor unitario, entonces, </w:t>
      </w:r>
      <w:r>
        <w:rPr>
          <w:rFonts w:ascii="Verdana" w:hAnsi="Verdana" w:cs="Arial"/>
          <w:i/>
          <w:sz w:val="20"/>
          <w:szCs w:val="20"/>
          <w:lang w:val="es-ES" w:eastAsia="es-ES_tradnl"/>
        </w:rPr>
        <w:t>están incorporados la totalidad de los gastos en los que incurre el contratista y la utilidad que espera recibir</w:t>
      </w:r>
      <w:r>
        <w:rPr>
          <w:rFonts w:ascii="Verdana" w:hAnsi="Verdana" w:cs="Arial"/>
          <w:sz w:val="20"/>
          <w:szCs w:val="20"/>
          <w:lang w:val="es-ES" w:eastAsia="es-ES_tradnl"/>
        </w:rPr>
        <w:t>”</w:t>
      </w:r>
      <w:r>
        <w:rPr>
          <w:rStyle w:val="Refdenotaalpie"/>
          <w:rFonts w:ascii="Verdana" w:hAnsi="Verdana" w:cs="Arial"/>
          <w:sz w:val="20"/>
          <w:szCs w:val="20"/>
          <w:lang w:val="es-ES" w:eastAsia="es-ES_tradnl"/>
        </w:rPr>
        <w:footnoteReference w:id="12"/>
      </w:r>
      <w:r>
        <w:rPr>
          <w:rFonts w:ascii="Verdana" w:hAnsi="Verdana" w:cs="Arial"/>
          <w:sz w:val="20"/>
          <w:szCs w:val="20"/>
          <w:lang w:val="es-ES" w:eastAsia="es-ES_tradnl"/>
        </w:rPr>
        <w:t>. [Énfasis fuera de texto]</w:t>
      </w:r>
    </w:p>
    <w:p w14:paraId="48FC9A92" w14:textId="77777777" w:rsidR="0070018E" w:rsidRDefault="0070018E" w:rsidP="0070018E">
      <w:pPr>
        <w:tabs>
          <w:tab w:val="left" w:pos="709"/>
        </w:tabs>
        <w:spacing w:after="0" w:line="276" w:lineRule="auto"/>
        <w:ind w:left="709" w:right="760"/>
        <w:jc w:val="both"/>
        <w:rPr>
          <w:rFonts w:ascii="Verdana" w:hAnsi="Verdana" w:cs="Arial"/>
          <w:szCs w:val="24"/>
          <w:lang w:val="es-ES" w:eastAsia="es-ES_tradnl"/>
        </w:rPr>
      </w:pPr>
    </w:p>
    <w:p w14:paraId="1DC2C023" w14:textId="77777777" w:rsidR="0070018E" w:rsidRDefault="0070018E" w:rsidP="0070018E">
      <w:pPr>
        <w:spacing w:after="0" w:line="276" w:lineRule="auto"/>
        <w:ind w:firstLine="709"/>
        <w:jc w:val="both"/>
        <w:rPr>
          <w:rFonts w:ascii="Verdana" w:hAnsi="Verdana" w:cs="Arial"/>
          <w:szCs w:val="24"/>
          <w:lang w:val="es-ES" w:eastAsia="es-ES_tradnl"/>
        </w:rPr>
      </w:pPr>
      <w:r>
        <w:rPr>
          <w:rFonts w:ascii="Verdana" w:hAnsi="Verdana" w:cs="Arial"/>
          <w:szCs w:val="24"/>
          <w:lang w:val="es-ES" w:eastAsia="es-ES_tradnl"/>
        </w:rPr>
        <w:t xml:space="preserve">Por su parte, de acuerdo con la Sección Tercera del Consejo de Estado, el AIU, concepto de común utilización en los contratos de tracto sucesivo –entre ellos, los contratos de obra al que se refiere en su consulta– no cuenta con una definición normativa, pero hay elementos que permiten precisar su alcance, así: </w:t>
      </w:r>
    </w:p>
    <w:p w14:paraId="5351C42C" w14:textId="77777777" w:rsidR="0070018E" w:rsidRDefault="0070018E" w:rsidP="0070018E">
      <w:pPr>
        <w:spacing w:after="0" w:line="276" w:lineRule="auto"/>
        <w:ind w:firstLine="709"/>
        <w:jc w:val="both"/>
        <w:rPr>
          <w:rFonts w:ascii="Verdana" w:hAnsi="Verdana" w:cs="Arial"/>
          <w:szCs w:val="24"/>
          <w:lang w:val="es-ES" w:eastAsia="es-ES_tradnl"/>
        </w:rPr>
      </w:pPr>
    </w:p>
    <w:p w14:paraId="02DFB470" w14:textId="77777777" w:rsidR="0070018E" w:rsidRDefault="0070018E" w:rsidP="0070018E">
      <w:pPr>
        <w:tabs>
          <w:tab w:val="left" w:pos="709"/>
        </w:tabs>
        <w:spacing w:after="0" w:line="240" w:lineRule="auto"/>
        <w:ind w:left="709" w:right="709"/>
        <w:jc w:val="both"/>
        <w:rPr>
          <w:rFonts w:ascii="Verdana" w:hAnsi="Verdana" w:cs="Arial"/>
          <w:sz w:val="20"/>
          <w:szCs w:val="20"/>
          <w:lang w:val="es-ES" w:eastAsia="es-ES_tradnl"/>
        </w:rPr>
      </w:pPr>
      <w:r>
        <w:rPr>
          <w:rFonts w:ascii="Verdana" w:hAnsi="Verdana" w:cs="Arial"/>
          <w:sz w:val="20"/>
          <w:szCs w:val="20"/>
          <w:lang w:val="es-ES" w:eastAsia="es-ES_tradnl"/>
        </w:rPr>
        <w:t xml:space="preserve">“[…] el AIU propuesto para el contrato, corresponde a: </w:t>
      </w:r>
    </w:p>
    <w:p w14:paraId="5B19E81B" w14:textId="77777777" w:rsidR="0070018E" w:rsidRDefault="0070018E" w:rsidP="0070018E">
      <w:pPr>
        <w:tabs>
          <w:tab w:val="left" w:pos="709"/>
        </w:tabs>
        <w:spacing w:after="0" w:line="240" w:lineRule="auto"/>
        <w:ind w:left="709" w:right="709"/>
        <w:jc w:val="both"/>
        <w:rPr>
          <w:rFonts w:ascii="Verdana" w:hAnsi="Verdana" w:cs="Arial"/>
          <w:sz w:val="20"/>
          <w:szCs w:val="20"/>
          <w:lang w:val="es-ES" w:eastAsia="es-ES_tradnl"/>
        </w:rPr>
      </w:pPr>
      <w:r>
        <w:rPr>
          <w:rFonts w:ascii="Verdana" w:hAnsi="Verdana" w:cs="Arial"/>
          <w:sz w:val="20"/>
          <w:szCs w:val="20"/>
          <w:lang w:val="es-ES" w:eastAsia="es-ES_tradnl"/>
        </w:rPr>
        <w:t xml:space="preserve">i) los costos de administración o costos indirectos para la operación del contrato, tales como los gastos de disponibilidad de la organización del contratista, esto es: A; </w:t>
      </w:r>
    </w:p>
    <w:p w14:paraId="0BEA2F3A" w14:textId="77777777" w:rsidR="0070018E" w:rsidRDefault="0070018E" w:rsidP="0070018E">
      <w:pPr>
        <w:tabs>
          <w:tab w:val="left" w:pos="709"/>
        </w:tabs>
        <w:spacing w:after="0" w:line="240" w:lineRule="auto"/>
        <w:ind w:left="709" w:right="709"/>
        <w:jc w:val="both"/>
        <w:rPr>
          <w:rFonts w:ascii="Verdana" w:hAnsi="Verdana" w:cs="Arial"/>
          <w:sz w:val="20"/>
          <w:szCs w:val="20"/>
          <w:lang w:val="es-ES" w:eastAsia="es-ES_tradnl"/>
        </w:rPr>
      </w:pPr>
    </w:p>
    <w:p w14:paraId="32227F44" w14:textId="77777777" w:rsidR="0070018E" w:rsidRDefault="0070018E" w:rsidP="0070018E">
      <w:pPr>
        <w:tabs>
          <w:tab w:val="left" w:pos="709"/>
        </w:tabs>
        <w:spacing w:after="0" w:line="240" w:lineRule="auto"/>
        <w:ind w:left="709" w:right="709"/>
        <w:jc w:val="both"/>
        <w:rPr>
          <w:rFonts w:ascii="Verdana" w:hAnsi="Verdana" w:cs="Arial"/>
          <w:sz w:val="20"/>
          <w:szCs w:val="20"/>
          <w:lang w:val="es-ES" w:eastAsia="es-ES"/>
        </w:rPr>
      </w:pPr>
      <w:r>
        <w:rPr>
          <w:rFonts w:ascii="Verdana" w:hAnsi="Verdana" w:cs="Arial"/>
          <w:sz w:val="20"/>
          <w:szCs w:val="20"/>
          <w:lang w:val="es-ES" w:eastAsia="es-ES"/>
        </w:rPr>
        <w:t xml:space="preserve">ii) los imprevistos, que es el porcentaje destinado a cubrir los gastos con los que no se contaba y que se presenten durante la ejecución del contrato, esto es, el álea normal del contrato: I; </w:t>
      </w:r>
    </w:p>
    <w:p w14:paraId="70791A35" w14:textId="77777777" w:rsidR="0070018E" w:rsidRDefault="0070018E" w:rsidP="0070018E">
      <w:pPr>
        <w:tabs>
          <w:tab w:val="left" w:pos="709"/>
        </w:tabs>
        <w:spacing w:after="0" w:line="240" w:lineRule="auto"/>
        <w:ind w:left="709" w:right="709"/>
        <w:jc w:val="both"/>
        <w:rPr>
          <w:rFonts w:ascii="Verdana" w:hAnsi="Verdana" w:cs="Arial"/>
          <w:sz w:val="20"/>
          <w:szCs w:val="20"/>
          <w:lang w:val="es-ES" w:eastAsia="es-ES"/>
        </w:rPr>
      </w:pPr>
    </w:p>
    <w:p w14:paraId="70EF6088" w14:textId="77777777" w:rsidR="0070018E" w:rsidRDefault="0070018E" w:rsidP="0070018E">
      <w:pPr>
        <w:tabs>
          <w:tab w:val="left" w:pos="709"/>
        </w:tabs>
        <w:spacing w:after="0" w:line="240" w:lineRule="auto"/>
        <w:ind w:left="709" w:right="709"/>
        <w:jc w:val="both"/>
        <w:rPr>
          <w:rFonts w:ascii="Verdana" w:hAnsi="Verdana" w:cs="Arial"/>
          <w:sz w:val="20"/>
          <w:szCs w:val="20"/>
          <w:lang w:val="es-ES" w:eastAsia="es-ES"/>
        </w:rPr>
      </w:pPr>
      <w:r>
        <w:rPr>
          <w:rFonts w:ascii="Verdana" w:hAnsi="Verdana" w:cs="Arial"/>
          <w:sz w:val="20"/>
          <w:szCs w:val="20"/>
          <w:lang w:val="es-ES" w:eastAsia="es-ES"/>
        </w:rPr>
        <w:t xml:space="preserve">iii) la utilidad o el beneficio económico que pretende percibir el contratista por la ejecución del contrato, esto es: U. </w:t>
      </w:r>
    </w:p>
    <w:p w14:paraId="2A573639" w14:textId="77777777" w:rsidR="0070018E" w:rsidRDefault="0070018E" w:rsidP="0070018E">
      <w:pPr>
        <w:tabs>
          <w:tab w:val="left" w:pos="709"/>
        </w:tabs>
        <w:spacing w:after="0" w:line="240" w:lineRule="auto"/>
        <w:ind w:left="709" w:right="709"/>
        <w:jc w:val="both"/>
        <w:rPr>
          <w:rFonts w:ascii="Verdana" w:hAnsi="Verdana" w:cs="Arial"/>
          <w:sz w:val="20"/>
          <w:szCs w:val="20"/>
          <w:lang w:val="es-ES" w:eastAsia="es-ES_tradnl"/>
        </w:rPr>
      </w:pPr>
    </w:p>
    <w:p w14:paraId="6EC7E313" w14:textId="77777777" w:rsidR="0070018E" w:rsidRDefault="0070018E" w:rsidP="0070018E">
      <w:pPr>
        <w:tabs>
          <w:tab w:val="left" w:pos="709"/>
        </w:tabs>
        <w:spacing w:after="0" w:line="240" w:lineRule="auto"/>
        <w:ind w:left="709" w:right="709"/>
        <w:jc w:val="both"/>
        <w:rPr>
          <w:rFonts w:ascii="Verdana" w:hAnsi="Verdana" w:cs="Arial"/>
          <w:sz w:val="20"/>
          <w:szCs w:val="20"/>
          <w:lang w:val="es-ES" w:eastAsia="es-ES_tradnl"/>
        </w:rPr>
      </w:pPr>
      <w:r>
        <w:rPr>
          <w:rFonts w:ascii="Verdana" w:hAnsi="Verdana" w:cs="Arial"/>
          <w:sz w:val="20"/>
          <w:szCs w:val="20"/>
          <w:lang w:val="es-ES" w:eastAsia="es-ES_tradnl"/>
        </w:rPr>
        <w:t>Ahora, teniendo en cuenta que no existe ninguna reglamentación que establezca porcentajes mínimos o máximos para determinar el A.I.U., cada empresa o comerciante de acuerdo con su infraestructura, experiencia, las condiciones del mercado, la naturaleza del contrato a celebrar, entre otros factores, establece su estructura de costos conforme a la cual se compromete a ejecutar cabalmente un contrato en el caso de que le sea adjudicado”</w:t>
      </w:r>
      <w:r>
        <w:rPr>
          <w:vertAlign w:val="superscript"/>
        </w:rPr>
        <w:footnoteReference w:id="13"/>
      </w:r>
      <w:r>
        <w:rPr>
          <w:rFonts w:ascii="Verdana" w:hAnsi="Verdana" w:cs="Arial"/>
          <w:sz w:val="20"/>
          <w:szCs w:val="20"/>
          <w:lang w:val="es-ES" w:eastAsia="es-ES_tradnl"/>
        </w:rPr>
        <w:t>.</w:t>
      </w:r>
    </w:p>
    <w:p w14:paraId="055F3CDA" w14:textId="77777777" w:rsidR="0070018E" w:rsidRDefault="0070018E" w:rsidP="0070018E">
      <w:pPr>
        <w:tabs>
          <w:tab w:val="left" w:pos="709"/>
        </w:tabs>
        <w:spacing w:after="0" w:line="276" w:lineRule="auto"/>
        <w:ind w:left="709" w:right="760"/>
        <w:jc w:val="both"/>
        <w:rPr>
          <w:rFonts w:ascii="Verdana" w:hAnsi="Verdana" w:cs="Arial"/>
          <w:szCs w:val="24"/>
          <w:lang w:val="es-ES" w:eastAsia="es-ES_tradnl"/>
        </w:rPr>
      </w:pPr>
    </w:p>
    <w:p w14:paraId="31AE2EDE" w14:textId="77777777" w:rsidR="0070018E" w:rsidRDefault="0070018E" w:rsidP="0070018E">
      <w:pPr>
        <w:spacing w:after="120" w:line="276" w:lineRule="auto"/>
        <w:ind w:firstLine="709"/>
        <w:jc w:val="both"/>
        <w:rPr>
          <w:rFonts w:ascii="Verdana" w:hAnsi="Verdana" w:cs="Arial"/>
          <w:lang w:val="es-ES" w:eastAsia="es-ES"/>
        </w:rPr>
      </w:pPr>
      <w:r>
        <w:rPr>
          <w:rFonts w:ascii="Verdana" w:hAnsi="Verdana" w:cs="Arial"/>
          <w:lang w:val="es-ES" w:eastAsia="es-ES"/>
        </w:rPr>
        <w:lastRenderedPageBreak/>
        <w:t>A su turno, la Sala de Consulta y Servicio Civil del Consejo de Estado sostuvo en concepto del 5 de septiembre de 2018</w:t>
      </w:r>
      <w:r>
        <w:rPr>
          <w:vertAlign w:val="superscript"/>
        </w:rPr>
        <w:footnoteReference w:id="14"/>
      </w:r>
      <w:r>
        <w:rPr>
          <w:rFonts w:ascii="Verdana" w:hAnsi="Verdana" w:cs="Arial"/>
          <w:lang w:val="es-ES" w:eastAsia="es-ES"/>
        </w:rPr>
        <w:t xml:space="preserve"> que “el concepto del A.I.U. comprende la Administración (costos indirectos) Imprevistos y Utilidades, y en algunos contratos este valor aparece cuantificado en forma independiente al valor de la obra y como un porcentaje de la misma</w:t>
      </w:r>
      <w:r>
        <w:rPr>
          <w:vertAlign w:val="superscript"/>
        </w:rPr>
        <w:footnoteReference w:id="15"/>
      </w:r>
      <w:r>
        <w:rPr>
          <w:rFonts w:ascii="Verdana" w:hAnsi="Verdana" w:cs="Arial"/>
          <w:lang w:val="es-ES" w:eastAsia="es-ES"/>
        </w:rPr>
        <w:t>, sin perjuicio que en otros contratos este valor no aparezca discriminado y se incorpore en el valor de los precios unitarios”</w:t>
      </w:r>
      <w:r>
        <w:rPr>
          <w:vertAlign w:val="superscript"/>
        </w:rPr>
        <w:footnoteReference w:id="16"/>
      </w:r>
      <w:r>
        <w:rPr>
          <w:rFonts w:ascii="Verdana" w:hAnsi="Verdana" w:cs="Arial"/>
          <w:lang w:val="es-ES" w:eastAsia="es-ES"/>
        </w:rPr>
        <w:t xml:space="preserve">. </w:t>
      </w:r>
    </w:p>
    <w:p w14:paraId="0248D2EB" w14:textId="77777777" w:rsidR="0070018E" w:rsidRDefault="0070018E" w:rsidP="0070018E">
      <w:pPr>
        <w:spacing w:after="120" w:line="276" w:lineRule="auto"/>
        <w:ind w:firstLine="709"/>
        <w:jc w:val="both"/>
        <w:rPr>
          <w:rFonts w:ascii="Verdana" w:hAnsi="Verdana" w:cs="Arial"/>
          <w:bCs/>
          <w:szCs w:val="24"/>
          <w:lang w:val="es-ES" w:eastAsia="es-ES_tradnl"/>
        </w:rPr>
      </w:pPr>
      <w:r>
        <w:rPr>
          <w:rFonts w:ascii="Verdana" w:hAnsi="Verdana" w:cs="Arial"/>
          <w:bCs/>
          <w:szCs w:val="24"/>
          <w:lang w:val="es-ES" w:eastAsia="es-ES_tradnl"/>
        </w:rPr>
        <w:t>Así pues, ni el sistema de precios unitarios –como metodología de estipulación del valor contractual–, ni el concepto de AIU, ni la forma de calcularlo –es decir, su porcentaje–, son aspectos regulados en el conjunto de las disposiciones legales y reglamentarias que integran la normativa contractual del Estado: “La justificación de esta manera de cotizar el precio procede, incluso, de la formación universitaria que reciben los ingenieros, a quienes les enseñan esta metodología para elaborar las ofertas. En fin, lo que se quiere indicar con estos comentarios es que la necesidad de presentar una propuesta desglosando en forma intensa su precio no procede de la ley, ni del reglamento, sino de la costumbre, […]”</w:t>
      </w:r>
      <w:r>
        <w:rPr>
          <w:vertAlign w:val="superscript"/>
        </w:rPr>
        <w:footnoteReference w:id="17"/>
      </w:r>
      <w:r>
        <w:rPr>
          <w:rFonts w:ascii="Verdana" w:hAnsi="Verdana" w:cs="Arial"/>
          <w:bCs/>
          <w:szCs w:val="24"/>
          <w:lang w:val="es-ES" w:eastAsia="es-ES_tradnl"/>
        </w:rPr>
        <w:t>. De otro lado, quien define el valor de cada componente del</w:t>
      </w:r>
      <w:r>
        <w:rPr>
          <w:rFonts w:ascii="Verdana" w:hAnsi="Verdana" w:cs="Arial"/>
          <w:bCs/>
          <w:i/>
          <w:iCs/>
          <w:szCs w:val="24"/>
          <w:lang w:val="es-ES" w:eastAsia="es-ES_tradnl"/>
        </w:rPr>
        <w:t xml:space="preserve"> </w:t>
      </w:r>
      <w:r>
        <w:rPr>
          <w:rFonts w:ascii="Verdana" w:hAnsi="Verdana" w:cs="Arial"/>
          <w:bCs/>
          <w:szCs w:val="24"/>
          <w:lang w:val="es-ES" w:eastAsia="es-ES_tradnl"/>
        </w:rPr>
        <w:t>AIU es el proponente, pues goza de libertad empresarial para hacerlo en la elaboración de su oferta</w:t>
      </w:r>
      <w:r>
        <w:rPr>
          <w:vertAlign w:val="superscript"/>
        </w:rPr>
        <w:footnoteReference w:id="18"/>
      </w:r>
      <w:r>
        <w:rPr>
          <w:rFonts w:ascii="Verdana" w:hAnsi="Verdana" w:cs="Arial"/>
          <w:bCs/>
          <w:szCs w:val="24"/>
          <w:lang w:val="es-ES" w:eastAsia="es-ES_tradnl"/>
        </w:rPr>
        <w:t>.</w:t>
      </w:r>
    </w:p>
    <w:p w14:paraId="3ED033CC" w14:textId="77777777" w:rsidR="0070018E" w:rsidRDefault="0070018E" w:rsidP="0070018E">
      <w:pPr>
        <w:spacing w:after="120" w:line="276" w:lineRule="auto"/>
        <w:ind w:firstLine="709"/>
        <w:jc w:val="both"/>
        <w:rPr>
          <w:rFonts w:ascii="Verdana" w:hAnsi="Verdana" w:cs="Arial"/>
          <w:lang w:val="es-ES" w:eastAsia="es-ES"/>
        </w:rPr>
      </w:pPr>
      <w:r>
        <w:rPr>
          <w:rFonts w:ascii="Verdana" w:hAnsi="Verdana" w:cs="Arial"/>
          <w:lang w:val="es-ES" w:eastAsia="es-ES"/>
        </w:rPr>
        <w:t xml:space="preserve">De esta manera, usualmente en los contratos cuyo valor se estructura bajo el sistema de precios unitarios y con el desglose del AIU, el precio se paga con base en el valor de los costos directos incrementados por el porcentaje del AIU, forma de pago que pueden incluir las entidades estatales en virtud de la autonomía de la voluntad a la cual se refieren los artículos 13, 32 y 40 del EGCAP. Lo usual, que se advierte en la práctica de las entidades estatales, es </w:t>
      </w:r>
      <w:r>
        <w:rPr>
          <w:rFonts w:ascii="Verdana" w:hAnsi="Verdana" w:cs="Arial"/>
          <w:lang w:val="es-ES" w:eastAsia="es-ES"/>
        </w:rPr>
        <w:lastRenderedPageBreak/>
        <w:t xml:space="preserve">que acuden al AIU con la finalidad de establecer un precio más estable, de manera que el valor del contrato consistirá en lo que resulte de afectar los costos directos por el porcentaje, </w:t>
      </w:r>
      <w:r>
        <w:rPr>
          <w:rFonts w:ascii="Verdana" w:hAnsi="Verdana" w:cs="Arial"/>
          <w:i/>
          <w:iCs/>
          <w:lang w:val="es-ES" w:eastAsia="es-ES"/>
        </w:rPr>
        <w:t>en principio, invariable</w:t>
      </w:r>
      <w:r>
        <w:rPr>
          <w:rFonts w:ascii="Verdana" w:hAnsi="Verdana" w:cs="Arial"/>
          <w:lang w:val="es-ES" w:eastAsia="es-ES"/>
        </w:rPr>
        <w:t xml:space="preserve"> del AIU, de manera que al valor de los costos directos se le sume el AIU. </w:t>
      </w:r>
    </w:p>
    <w:p w14:paraId="545FFC51" w14:textId="77777777" w:rsidR="0070018E" w:rsidRDefault="0070018E" w:rsidP="0070018E">
      <w:pPr>
        <w:spacing w:after="120" w:line="276" w:lineRule="auto"/>
        <w:ind w:firstLine="708"/>
        <w:jc w:val="both"/>
        <w:rPr>
          <w:rFonts w:ascii="Verdana" w:hAnsi="Verdana" w:cs="Arial"/>
          <w:lang w:val="es-ES" w:eastAsia="es-ES"/>
        </w:rPr>
      </w:pPr>
      <w:r>
        <w:rPr>
          <w:rFonts w:ascii="Verdana" w:hAnsi="Verdana" w:cs="Arial"/>
          <w:lang w:val="es-ES" w:eastAsia="es-ES"/>
        </w:rPr>
        <w:t xml:space="preserve">Así las cosas, las partes asumen los riesgos inherentes a esta forma de pactar el precio, entendiendo aceptados los aleas normales que se presenten en la ejecución del contrato, de manera que, aunque el contratista incurra en mayores costos de los ítems incluidos en la </w:t>
      </w:r>
      <w:r>
        <w:rPr>
          <w:rFonts w:ascii="Verdana" w:hAnsi="Verdana" w:cs="Arial"/>
          <w:i/>
          <w:iCs/>
          <w:lang w:val="es-ES" w:eastAsia="es-ES"/>
        </w:rPr>
        <w:t>Administración</w:t>
      </w:r>
      <w:r>
        <w:rPr>
          <w:rFonts w:ascii="Verdana" w:hAnsi="Verdana" w:cs="Arial"/>
          <w:lang w:val="es-ES" w:eastAsia="es-ES"/>
        </w:rPr>
        <w:t xml:space="preserve"> al presentar su oferta, o que estos disminuyan, aparezcan algunos nuevos o desaparezcan algunos de ellos, el valor se mantenga invariable. De este modo, las partes optan por darle estabilidad al negocio, asumiendo cada una de ellas lo que le favorezca o desfavorezca, lo que evita, además, incurrir en costos de transacción relacionados con la necesidad de acreditar y verificar cada costo o gasto específico asociado a la </w:t>
      </w:r>
      <w:r>
        <w:rPr>
          <w:rFonts w:ascii="Verdana" w:hAnsi="Verdana" w:cs="Arial"/>
          <w:i/>
          <w:iCs/>
          <w:lang w:val="es-ES" w:eastAsia="es-ES"/>
        </w:rPr>
        <w:t>Administración</w:t>
      </w:r>
      <w:r>
        <w:rPr>
          <w:rFonts w:ascii="Verdana" w:hAnsi="Verdana" w:cs="Arial"/>
          <w:lang w:val="es-ES" w:eastAsia="es-ES"/>
        </w:rPr>
        <w:t>, lo que generaría más gastos tanto para la entidad como para el contratista.</w:t>
      </w:r>
    </w:p>
    <w:p w14:paraId="015F8CCA" w14:textId="77777777" w:rsidR="0070018E" w:rsidRDefault="0070018E" w:rsidP="0070018E">
      <w:pPr>
        <w:spacing w:after="120" w:line="276" w:lineRule="auto"/>
        <w:jc w:val="both"/>
        <w:rPr>
          <w:rFonts w:ascii="Verdana" w:hAnsi="Verdana" w:cs="Arial"/>
          <w:bCs/>
          <w:szCs w:val="24"/>
          <w:lang w:val="es-ES" w:eastAsia="es-ES_tradnl"/>
        </w:rPr>
      </w:pPr>
      <w:r>
        <w:rPr>
          <w:rFonts w:ascii="Verdana" w:hAnsi="Verdana" w:cs="Arial"/>
          <w:bCs/>
          <w:szCs w:val="24"/>
          <w:lang w:val="es-ES" w:eastAsia="es-ES_tradnl"/>
        </w:rPr>
        <w:tab/>
        <w:t xml:space="preserve">En este sentido, cuando las entidades estatales incluyen esta forma de desglosar el precio, en los últimos términos indicados, al realizar el estudio de mercado elaboran un presupuesto estimado del valor de la ejecución del contrato. Dicho presupuesto estimado incluye los costos genéricos </w:t>
      </w:r>
      <w:r>
        <w:rPr>
          <w:rFonts w:ascii="Verdana" w:hAnsi="Verdana" w:cs="Arial"/>
          <w:bCs/>
          <w:i/>
          <w:iCs/>
          <w:szCs w:val="24"/>
          <w:lang w:val="es-ES" w:eastAsia="es-ES_tradnl"/>
        </w:rPr>
        <w:t xml:space="preserve">indirectos </w:t>
      </w:r>
      <w:r>
        <w:rPr>
          <w:rFonts w:ascii="Verdana" w:hAnsi="Verdana" w:cs="Arial"/>
          <w:bCs/>
          <w:szCs w:val="24"/>
          <w:lang w:val="es-ES" w:eastAsia="es-ES_tradnl"/>
        </w:rPr>
        <w:t xml:space="preserve">en que incurren los contratistas, entre ellos, los de la </w:t>
      </w:r>
      <w:r>
        <w:rPr>
          <w:rFonts w:ascii="Verdana" w:hAnsi="Verdana" w:cs="Arial"/>
          <w:bCs/>
          <w:i/>
          <w:iCs/>
          <w:szCs w:val="24"/>
          <w:lang w:val="es-ES" w:eastAsia="es-ES_tradnl"/>
        </w:rPr>
        <w:t>Administración</w:t>
      </w:r>
      <w:r>
        <w:rPr>
          <w:rFonts w:ascii="Verdana" w:hAnsi="Verdana" w:cs="Arial"/>
          <w:bCs/>
          <w:szCs w:val="24"/>
          <w:lang w:val="es-ES" w:eastAsia="es-ES_tradnl"/>
        </w:rPr>
        <w:t>, para efectos de definir el porcentaje con el que calculan el presupuesto, pese a que el monto de estos componentes varía ostensiblemente de un proponente a otro, pues su valor real depende de circunstancias particulares de los oferentes</w:t>
      </w:r>
      <w:r>
        <w:rPr>
          <w:vertAlign w:val="superscript"/>
        </w:rPr>
        <w:footnoteReference w:id="19"/>
      </w:r>
      <w:r>
        <w:rPr>
          <w:rFonts w:ascii="Verdana" w:hAnsi="Verdana" w:cs="Arial"/>
          <w:bCs/>
          <w:szCs w:val="24"/>
          <w:lang w:val="es-ES" w:eastAsia="es-ES_tradnl"/>
        </w:rPr>
        <w:t xml:space="preserve">. </w:t>
      </w:r>
    </w:p>
    <w:p w14:paraId="49A8E14C" w14:textId="77777777" w:rsidR="0070018E" w:rsidRDefault="0070018E" w:rsidP="0070018E">
      <w:pPr>
        <w:spacing w:after="120" w:line="276" w:lineRule="auto"/>
        <w:ind w:firstLine="709"/>
        <w:jc w:val="both"/>
        <w:rPr>
          <w:rFonts w:ascii="Verdana" w:hAnsi="Verdana" w:cs="Arial"/>
          <w:lang w:val="es-ES" w:eastAsia="es-ES"/>
        </w:rPr>
      </w:pPr>
      <w:r>
        <w:rPr>
          <w:rFonts w:ascii="Verdana" w:hAnsi="Verdana" w:cs="Arial"/>
          <w:lang w:val="es-ES" w:eastAsia="es-ES"/>
        </w:rPr>
        <w:t xml:space="preserve">De manera que las entidades calculan un valor estimado que, a su vez, sirve de guía para que los proponentes formulen sus ofertas, pero bajo la premisa de que pagarán un </w:t>
      </w:r>
      <w:r>
        <w:rPr>
          <w:rFonts w:ascii="Verdana" w:hAnsi="Verdana" w:cs="Arial"/>
          <w:i/>
          <w:iCs/>
          <w:lang w:val="es-ES" w:eastAsia="es-ES"/>
        </w:rPr>
        <w:t>porcentaje fijo</w:t>
      </w:r>
      <w:r>
        <w:rPr>
          <w:rFonts w:ascii="Verdana" w:hAnsi="Verdana" w:cs="Arial"/>
          <w:lang w:val="es-ES" w:eastAsia="es-ES"/>
        </w:rPr>
        <w:t xml:space="preserve"> incluido por los interesados en sus propuestas, dado lo variable que resulta este valor, y lo complejo y gravoso de realizar un seguimiento minucioso a los costos en que incurren los contratistas por este componente en particular. Además, que estos podrían ser mayores a los inicialmente pactados con el contratista, de manera que la fijación de un </w:t>
      </w:r>
      <w:r>
        <w:rPr>
          <w:rFonts w:ascii="Verdana" w:hAnsi="Verdana" w:cs="Arial"/>
          <w:lang w:val="es-ES" w:eastAsia="es-ES"/>
        </w:rPr>
        <w:lastRenderedPageBreak/>
        <w:t xml:space="preserve">porcentaje fijo y estable también puede resultar favorable a la entidad estatal, pues su contraparte no le podrá exigir un monto superior, bajo el argumento de que incurrió en costos o gastos adicionales asociados al componente </w:t>
      </w:r>
      <w:r>
        <w:rPr>
          <w:rFonts w:ascii="Verdana" w:hAnsi="Verdana" w:cs="Arial"/>
          <w:i/>
          <w:iCs/>
          <w:lang w:val="es-ES" w:eastAsia="es-ES"/>
        </w:rPr>
        <w:t>Administración</w:t>
      </w:r>
      <w:r>
        <w:rPr>
          <w:vertAlign w:val="superscript"/>
        </w:rPr>
        <w:footnoteReference w:id="20"/>
      </w:r>
      <w:r>
        <w:rPr>
          <w:rFonts w:ascii="Verdana" w:hAnsi="Verdana" w:cs="Arial"/>
          <w:lang w:val="es-ES" w:eastAsia="es-ES"/>
        </w:rPr>
        <w:t>.</w:t>
      </w:r>
    </w:p>
    <w:p w14:paraId="6ED7F820" w14:textId="77777777" w:rsidR="0070018E" w:rsidRDefault="0070018E" w:rsidP="0070018E">
      <w:pPr>
        <w:spacing w:before="120" w:after="0" w:line="276" w:lineRule="auto"/>
        <w:ind w:firstLine="709"/>
        <w:jc w:val="both"/>
        <w:rPr>
          <w:rFonts w:ascii="Verdana" w:hAnsi="Verdana" w:cs="Arial"/>
          <w:lang w:val="es-ES" w:eastAsia="es-ES"/>
        </w:rPr>
      </w:pPr>
      <w:r>
        <w:rPr>
          <w:rFonts w:ascii="Verdana" w:hAnsi="Verdana" w:cs="Arial"/>
          <w:lang w:val="es-ES" w:eastAsia="es-ES"/>
        </w:rPr>
        <w:t>Frente a los costos que suelen incluirse en la Administración –A–, la jurisprudencia, a partir de la práctica de las entidades estatales, ha señalado que: “Los costos indirectos incorporados en el A, corresponden como regla general a gastos de la oficina central, honorarios del director de obra, y de personal especializado. Generalmente estos costos pueden estar compartidos con los diversos contratos de obra que en forma simultánea esté ejecutando el contratista. Un ejemplo corresponde a los costos de la oficina central, y de los asesores de proyectos</w:t>
      </w:r>
      <w:r>
        <w:rPr>
          <w:vertAlign w:val="superscript"/>
        </w:rPr>
        <w:footnoteReference w:id="21"/>
      </w:r>
      <w:r>
        <w:rPr>
          <w:rFonts w:ascii="Verdana" w:hAnsi="Verdana" w:cs="Arial"/>
          <w:lang w:val="es-ES" w:eastAsia="es-ES"/>
        </w:rPr>
        <w:t xml:space="preserve">”. En términos similares, pero más precisos, la doctrina, recogiendo la casuística de los contratos estatales, señala de forma más pormenorizada los gastos que se asocian a la –A–, donde se incluyen importantes costos indirectos en que se incurre en la ejecución: </w:t>
      </w:r>
    </w:p>
    <w:p w14:paraId="6E56CEEB" w14:textId="77777777" w:rsidR="0070018E" w:rsidRDefault="0070018E" w:rsidP="0070018E">
      <w:pPr>
        <w:spacing w:after="0" w:line="276" w:lineRule="auto"/>
        <w:jc w:val="both"/>
        <w:rPr>
          <w:rFonts w:ascii="Verdana" w:hAnsi="Verdana" w:cs="Arial"/>
          <w:bCs/>
          <w:szCs w:val="24"/>
          <w:lang w:val="es-ES_tradnl" w:eastAsia="es-ES_tradnl"/>
        </w:rPr>
      </w:pPr>
    </w:p>
    <w:p w14:paraId="134D11C6" w14:textId="77777777" w:rsidR="0070018E" w:rsidRDefault="0070018E" w:rsidP="0070018E">
      <w:pPr>
        <w:spacing w:after="0" w:line="240" w:lineRule="auto"/>
        <w:ind w:left="709" w:right="709"/>
        <w:jc w:val="both"/>
        <w:rPr>
          <w:rFonts w:ascii="Verdana" w:hAnsi="Verdana" w:cs="Arial"/>
          <w:sz w:val="20"/>
          <w:szCs w:val="20"/>
          <w:lang w:val="es-ES" w:eastAsia="es-ES"/>
        </w:rPr>
      </w:pPr>
      <w:r>
        <w:rPr>
          <w:rFonts w:ascii="Verdana" w:hAnsi="Verdana" w:cs="Arial"/>
          <w:sz w:val="20"/>
          <w:szCs w:val="20"/>
          <w:lang w:val="es-ES" w:eastAsia="es-ES"/>
        </w:rPr>
        <w:t xml:space="preserve">Para entender mejor el tema conviene especificar que si los gastos que hacen parte de la A se encuentran: i) el pago de salarios y prestaciones sociales del personal profesional y especializado necesario para ejecutar la obra –es el caso del Director de obra, los arquitectos, ingenieros y contadores, eventualmente abogados u otros; pero no se incluyen los obreros–, ii) pago de salarios y prestaciones sociales del personal logístico y de apoyo no dedicado directamente con la ejecución del contrato –por ejemplo: las secretarias de la empresa, el servicio de cafetería en mensajero, la vigilancia, los seguros, etc.– sin los que la empresa no puede funcionar; iii) pago de arrendamiento de las instalaciones necesarias para el funcionamiento de la empresa –oficinas </w:t>
      </w:r>
      <w:r>
        <w:rPr>
          <w:rFonts w:ascii="Verdana" w:hAnsi="Verdana" w:cs="Arial"/>
          <w:i/>
          <w:sz w:val="20"/>
          <w:szCs w:val="20"/>
          <w:lang w:val="es-ES" w:eastAsia="es-ES"/>
        </w:rPr>
        <w:t xml:space="preserve">y campamento de la obra–; </w:t>
      </w:r>
      <w:r>
        <w:rPr>
          <w:rFonts w:ascii="Verdana" w:hAnsi="Verdana" w:cs="Arial"/>
          <w:sz w:val="20"/>
          <w:szCs w:val="20"/>
          <w:lang w:val="es-ES" w:eastAsia="es-ES"/>
        </w:rPr>
        <w:t xml:space="preserve">iv) </w:t>
      </w:r>
      <w:r>
        <w:rPr>
          <w:rFonts w:ascii="Verdana" w:hAnsi="Verdana" w:cs="Arial"/>
          <w:i/>
          <w:sz w:val="20"/>
          <w:szCs w:val="20"/>
          <w:lang w:val="es-ES" w:eastAsia="es-ES"/>
        </w:rPr>
        <w:t>pago de impuestos y gravámenes en general que afectan la actividad o el contrato</w:t>
      </w:r>
      <w:r>
        <w:rPr>
          <w:rFonts w:ascii="Verdana" w:hAnsi="Verdana" w:cs="Arial"/>
          <w:sz w:val="20"/>
          <w:szCs w:val="20"/>
          <w:lang w:val="es-ES" w:eastAsia="es-ES"/>
        </w:rPr>
        <w:t xml:space="preserve">; v) valor de las fotocopias, papelería en general y equipos de oficina, vi) transporte terrestre, tiquetes aéreos y arrendamiento de vehículos –distintos de la maquinaria que se emplea en la obra–, vii) pólizas del contrato, viii) pago de servicios públicos y otras </w:t>
      </w:r>
      <w:r>
        <w:rPr>
          <w:rFonts w:ascii="Verdana" w:hAnsi="Verdana" w:cs="Arial"/>
          <w:sz w:val="20"/>
          <w:szCs w:val="20"/>
          <w:lang w:val="es-ES" w:eastAsia="es-ES"/>
        </w:rPr>
        <w:lastRenderedPageBreak/>
        <w:t>comunicaciones –como el servicio celular– y ix) gastos en que se incurra  para realizar ensayos de laboratorio</w:t>
      </w:r>
      <w:r>
        <w:rPr>
          <w:vertAlign w:val="superscript"/>
        </w:rPr>
        <w:footnoteReference w:id="22"/>
      </w:r>
      <w:r>
        <w:rPr>
          <w:rFonts w:ascii="Verdana" w:hAnsi="Verdana" w:cs="Arial"/>
          <w:sz w:val="20"/>
          <w:szCs w:val="20"/>
          <w:lang w:val="es-ES" w:eastAsia="es-ES"/>
        </w:rPr>
        <w:t xml:space="preserve"> (Énfasis por fuera de texto)</w:t>
      </w:r>
    </w:p>
    <w:p w14:paraId="0EAF8AE9" w14:textId="77777777" w:rsidR="0070018E" w:rsidRDefault="0070018E" w:rsidP="0070018E">
      <w:pPr>
        <w:spacing w:after="0" w:line="276" w:lineRule="auto"/>
        <w:ind w:firstLine="709"/>
        <w:jc w:val="both"/>
        <w:rPr>
          <w:rFonts w:ascii="Verdana" w:hAnsi="Verdana" w:cs="Arial"/>
          <w:lang w:val="es-ES" w:eastAsia="es-ES"/>
        </w:rPr>
      </w:pPr>
    </w:p>
    <w:p w14:paraId="7F70C609" w14:textId="77777777" w:rsidR="0070018E" w:rsidRDefault="0070018E" w:rsidP="0070018E">
      <w:pPr>
        <w:spacing w:after="120" w:line="276" w:lineRule="auto"/>
        <w:ind w:firstLine="709"/>
        <w:jc w:val="both"/>
        <w:rPr>
          <w:rFonts w:ascii="Verdana" w:hAnsi="Verdana" w:cs="Arial"/>
          <w:lang w:val="es-ES" w:eastAsia="es-ES"/>
        </w:rPr>
      </w:pPr>
      <w:r>
        <w:rPr>
          <w:rFonts w:ascii="Verdana" w:hAnsi="Verdana" w:cs="Arial"/>
          <w:lang w:val="es-ES" w:eastAsia="es-ES"/>
        </w:rPr>
        <w:t>Del recuento anterior se concluye que las entidades cuentan con discrecionalidad para establecer en el pliego de condiciones o en su documento equivalente, así como en el contrato, el sistema de precios unitarios y la figura del AIU. De este modo, teniendo en cuenta que ni el concepto de AIU, ni la forma de calcularlo, son aspectos que cuenten con una regulación normativa en materia contractual del Estado, la determinación de los componentes del AIU dependerá del análisis particular que realice la entidad en relación con el presupuesto estimado del valor de la ejecución del contrato que, a su vez, sirve de guía para que los proponentes formulen sus ofertas.</w:t>
      </w:r>
    </w:p>
    <w:p w14:paraId="246A4CB8" w14:textId="77777777" w:rsidR="0070018E" w:rsidRDefault="0070018E" w:rsidP="0070018E">
      <w:pPr>
        <w:spacing w:after="120" w:line="276" w:lineRule="auto"/>
        <w:ind w:firstLine="709"/>
        <w:jc w:val="both"/>
        <w:rPr>
          <w:rFonts w:ascii="Verdana" w:hAnsi="Verdana" w:cs="Arial"/>
          <w:lang w:val="es-ES" w:eastAsia="es-ES"/>
        </w:rPr>
      </w:pPr>
      <w:r>
        <w:rPr>
          <w:rFonts w:ascii="Verdana" w:hAnsi="Verdana" w:cs="Arial"/>
          <w:lang w:val="es-ES" w:eastAsia="es-ES"/>
        </w:rPr>
        <w:t xml:space="preserve">En consecuencia, las entidades gozan de autonomía para configurar el precio y para establecer el sistema de pago más apropiado para satisfacer los fines de la contratación, respetando los límites previstos en el ordenamiento. En tal perspectiva, cuentan con discrecionalidad para establecer en el pliego de condiciones o en su documento equivalente, así como en el contrato, el sistema de precios unitarios y la figura del AIU; modelo que, como se indicó, es más pertinente para los contratos de tracto sucesivo, como el de obra. Por ende, la decisión de incluir el AIU, al igual que la metodología de delimitación de sus variables –ítems y porcentajes– debe obedecer a un juicioso análisis de oportunidad y conveniencia, que consulte las reglas de la experiencia, así como los aspectos particulares de cada negocio. Lo anterior en armonía con la garantía de los principios de la función administrativa y de la gestión fiscal, dentro de los cuales se halla el principio de economía, postulado que exige la optimización de los recursos públicos. </w:t>
      </w:r>
    </w:p>
    <w:p w14:paraId="1D0DF5A7" w14:textId="77777777" w:rsidR="0070018E" w:rsidRDefault="0070018E" w:rsidP="0070018E">
      <w:pPr>
        <w:spacing w:after="0" w:line="276" w:lineRule="auto"/>
        <w:ind w:firstLine="709"/>
        <w:jc w:val="both"/>
        <w:rPr>
          <w:rFonts w:ascii="Verdana" w:eastAsia="Calibri" w:hAnsi="Verdana" w:cs="Arial"/>
          <w:color w:val="000000"/>
        </w:rPr>
      </w:pPr>
      <w:r>
        <w:rPr>
          <w:rFonts w:ascii="Verdana" w:hAnsi="Verdana" w:cs="Arial"/>
          <w:lang w:val="es-ES" w:eastAsia="es-ES"/>
        </w:rPr>
        <w:t xml:space="preserve">En todo caso, vale aclarar cuando no se pacta AIU, </w:t>
      </w:r>
      <w:r>
        <w:rPr>
          <w:rFonts w:ascii="Verdana" w:eastAsia="Calibri" w:hAnsi="Verdana" w:cs="Arial"/>
          <w:color w:val="000000"/>
        </w:rPr>
        <w:t xml:space="preserve">para que un contratista pueda recibir el reconocimiento otros gastos asociados al cumplimiento del contrato, es indispensable que estos se encuentren expresamente pactados en el clausulado contractual. Esto permite a la entidad garantizar la disponibilidad presupuestal correspondiente. Si bien las entidades tienen autonomía para definir el precio y la forma de pago de dichos gastos, deben respetar los límites legales establecidos, especialmente los señalados en el artículo 40 de la Ley 80 de 1993, el cual en su inciso tercero señala que: </w:t>
      </w:r>
      <w:r>
        <w:rPr>
          <w:rFonts w:ascii="Verdana" w:eastAsia="Calibri" w:hAnsi="Verdana" w:cs="Arial"/>
          <w:i/>
          <w:iCs/>
          <w:color w:val="000000"/>
        </w:rPr>
        <w:t xml:space="preserve">“En los contratos que celebren </w:t>
      </w:r>
      <w:r>
        <w:rPr>
          <w:rFonts w:ascii="Verdana" w:eastAsia="Calibri" w:hAnsi="Verdana" w:cs="Arial"/>
          <w:i/>
          <w:iCs/>
          <w:color w:val="000000"/>
        </w:rPr>
        <w:lastRenderedPageBreak/>
        <w:t>las entidades estatales podrán incluirse las modalidades, condiciones y, en general, las cláusulas o estipulaciones que las partes consideren necesarias y convenientes, siempre que no sean contrarias a la Constitución, la ley, el orden público y a los principios y finalidades de esta Ley y a los de la buena administración</w:t>
      </w:r>
      <w:r>
        <w:rPr>
          <w:rFonts w:ascii="Verdana" w:eastAsia="Calibri" w:hAnsi="Verdana" w:cs="Arial"/>
          <w:color w:val="000000"/>
        </w:rPr>
        <w:t xml:space="preserve">”. </w:t>
      </w:r>
    </w:p>
    <w:p w14:paraId="3B95D418" w14:textId="77777777" w:rsidR="0070018E" w:rsidRDefault="0070018E" w:rsidP="0070018E">
      <w:pPr>
        <w:spacing w:after="0" w:line="276" w:lineRule="auto"/>
        <w:ind w:firstLine="709"/>
        <w:jc w:val="both"/>
        <w:rPr>
          <w:rFonts w:ascii="Verdana" w:eastAsia="Calibri" w:hAnsi="Verdana" w:cs="Arial"/>
          <w:color w:val="000000"/>
        </w:rPr>
      </w:pPr>
    </w:p>
    <w:p w14:paraId="7DF6810B" w14:textId="77777777" w:rsidR="0070018E" w:rsidRDefault="0070018E" w:rsidP="0070018E">
      <w:pPr>
        <w:widowControl w:val="0"/>
        <w:autoSpaceDE w:val="0"/>
        <w:autoSpaceDN w:val="0"/>
        <w:spacing w:after="0" w:line="276" w:lineRule="auto"/>
        <w:jc w:val="both"/>
        <w:rPr>
          <w:rFonts w:ascii="Verdana" w:hAnsi="Verdana" w:cs="Arial"/>
          <w:bCs/>
          <w:szCs w:val="24"/>
          <w:lang w:val="es-ES" w:eastAsia="es-ES_tradnl"/>
        </w:rPr>
      </w:pPr>
      <w:r>
        <w:rPr>
          <w:rFonts w:ascii="Verdana" w:eastAsia="Arial" w:hAnsi="Verdana" w:cs="Arial"/>
          <w:lang w:val="es-ES" w:eastAsia="es-ES" w:bidi="es-ES"/>
        </w:rPr>
        <w:t xml:space="preserve">iii) </w:t>
      </w:r>
      <w:r>
        <w:rPr>
          <w:rFonts w:ascii="Verdana" w:hAnsi="Verdana" w:cs="Arial"/>
          <w:bCs/>
          <w:szCs w:val="24"/>
          <w:lang w:val="es-ES" w:eastAsia="es-ES_tradnl"/>
        </w:rPr>
        <w:t xml:space="preserve">En virtud de lo expuesto, el reconocimiento de mayores cantidades de obra o la adición de ítems contractuales es un hecho que puede ocurrir como parte de la ejecución de contratos cuando el precio es pactado mediante la figura de precios unitarios. Sin embargo, el solo reconocimiento de dichos ítems no implica en todos los casos la existencia de un desequilibrio económico del contrato, pues este se refiere a los supuesto excepcionales en que circunstancias imprevistas tornan la ejecución del contrato excesivamente gravosa. </w:t>
      </w:r>
    </w:p>
    <w:p w14:paraId="74C18B83" w14:textId="77777777" w:rsidR="0070018E" w:rsidRPr="00A52573" w:rsidRDefault="0070018E" w:rsidP="0070018E">
      <w:pPr>
        <w:widowControl w:val="0"/>
        <w:autoSpaceDE w:val="0"/>
        <w:autoSpaceDN w:val="0"/>
        <w:spacing w:before="120" w:after="0" w:line="276" w:lineRule="auto"/>
        <w:ind w:firstLine="708"/>
        <w:jc w:val="both"/>
        <w:rPr>
          <w:rFonts w:ascii="Verdana" w:hAnsi="Verdana" w:cs="Arial"/>
          <w:bCs/>
          <w:szCs w:val="24"/>
          <w:lang w:val="es-ES" w:eastAsia="es-ES_tradnl"/>
        </w:rPr>
      </w:pPr>
      <w:r>
        <w:rPr>
          <w:rFonts w:ascii="Verdana" w:eastAsia="Arial" w:hAnsi="Verdana" w:cs="Arial"/>
          <w:color w:val="000000" w:themeColor="text1"/>
          <w:lang w:eastAsia="es-ES" w:bidi="es-ES"/>
        </w:rPr>
        <w:t xml:space="preserve">Por remisión de los artículos 13, 32 y 40 del EGCAP al derecho privado, el contrato es ley para las partes conforme al artículo 1602 del Código Civil. Sin embargo, aunque la </w:t>
      </w:r>
      <w:r w:rsidRPr="00752476">
        <w:rPr>
          <w:rFonts w:ascii="Verdana" w:eastAsia="Arial" w:hAnsi="Verdana" w:cs="Arial"/>
          <w:i/>
          <w:iCs/>
          <w:color w:val="000000" w:themeColor="text1"/>
          <w:lang w:eastAsia="es-ES" w:bidi="es-ES"/>
        </w:rPr>
        <w:t>regla general</w:t>
      </w:r>
      <w:r>
        <w:rPr>
          <w:rFonts w:ascii="Verdana" w:eastAsia="Arial" w:hAnsi="Verdana" w:cs="Arial"/>
          <w:color w:val="000000" w:themeColor="text1"/>
          <w:lang w:eastAsia="es-ES" w:bidi="es-ES"/>
        </w:rPr>
        <w:t xml:space="preserve"> es el cumplimiento de los precios pactados, </w:t>
      </w:r>
      <w:r>
        <w:rPr>
          <w:rFonts w:ascii="Verdana" w:eastAsia="Arial" w:hAnsi="Verdana" w:cs="Arial"/>
          <w:i/>
          <w:iCs/>
          <w:color w:val="000000" w:themeColor="text1"/>
          <w:lang w:eastAsia="es-ES" w:bidi="es-ES"/>
        </w:rPr>
        <w:t>de forma excepcional</w:t>
      </w:r>
      <w:r>
        <w:rPr>
          <w:rFonts w:ascii="Verdana" w:eastAsia="Arial" w:hAnsi="Verdana" w:cs="Arial"/>
          <w:color w:val="000000" w:themeColor="text1"/>
          <w:lang w:eastAsia="es-ES" w:bidi="es-ES"/>
        </w:rPr>
        <w:t xml:space="preserve"> </w:t>
      </w:r>
      <w:r w:rsidRPr="00752476">
        <w:rPr>
          <w:rFonts w:ascii="Verdana" w:eastAsia="Arial" w:hAnsi="Verdana" w:cs="Arial"/>
          <w:color w:val="000000" w:themeColor="text1"/>
          <w:lang w:eastAsia="es-ES" w:bidi="es-ES"/>
        </w:rPr>
        <w:t>pueden surgir circunstancias imprevistas que</w:t>
      </w:r>
      <w:r>
        <w:rPr>
          <w:rFonts w:ascii="Verdana" w:eastAsia="Arial" w:hAnsi="Verdana" w:cs="Arial"/>
          <w:color w:val="000000" w:themeColor="text1"/>
          <w:lang w:eastAsia="es-ES" w:bidi="es-ES"/>
        </w:rPr>
        <w:t xml:space="preserve"> </w:t>
      </w:r>
      <w:r w:rsidRPr="00752476">
        <w:rPr>
          <w:rFonts w:ascii="Verdana" w:eastAsia="Arial" w:hAnsi="Verdana" w:cs="Arial"/>
          <w:color w:val="000000" w:themeColor="text1"/>
          <w:lang w:eastAsia="es-ES" w:bidi="es-ES"/>
        </w:rPr>
        <w:t>hagan</w:t>
      </w:r>
      <w:r>
        <w:rPr>
          <w:rFonts w:ascii="Verdana" w:eastAsia="Arial" w:hAnsi="Verdana" w:cs="Arial"/>
          <w:color w:val="000000" w:themeColor="text1"/>
          <w:lang w:eastAsia="es-ES" w:bidi="es-ES"/>
        </w:rPr>
        <w:t xml:space="preserve"> la ejecución</w:t>
      </w:r>
      <w:r w:rsidRPr="00752476">
        <w:rPr>
          <w:rFonts w:ascii="Verdana" w:eastAsia="Arial" w:hAnsi="Verdana" w:cs="Arial"/>
          <w:color w:val="000000" w:themeColor="text1"/>
          <w:lang w:eastAsia="es-ES" w:bidi="es-ES"/>
        </w:rPr>
        <w:t xml:space="preserve"> excesivamente gravos</w:t>
      </w:r>
      <w:r>
        <w:rPr>
          <w:rFonts w:ascii="Verdana" w:eastAsia="Arial" w:hAnsi="Verdana" w:cs="Arial"/>
          <w:color w:val="000000" w:themeColor="text1"/>
          <w:lang w:eastAsia="es-ES" w:bidi="es-ES"/>
        </w:rPr>
        <w:t>a</w:t>
      </w:r>
      <w:r w:rsidRPr="00752476">
        <w:rPr>
          <w:rFonts w:ascii="Verdana" w:eastAsia="Arial" w:hAnsi="Verdana" w:cs="Arial"/>
          <w:color w:val="000000" w:themeColor="text1"/>
          <w:lang w:eastAsia="es-ES" w:bidi="es-ES"/>
        </w:rPr>
        <w:t xml:space="preserve">, por lo que se han creado mecanismos para mantener la equidad y el equilibrio entre las </w:t>
      </w:r>
      <w:r>
        <w:rPr>
          <w:rFonts w:ascii="Verdana" w:eastAsia="Arial" w:hAnsi="Verdana" w:cs="Arial"/>
          <w:color w:val="000000" w:themeColor="text1"/>
          <w:lang w:eastAsia="es-ES" w:bidi="es-ES"/>
        </w:rPr>
        <w:t>obligaciones</w:t>
      </w:r>
      <w:r w:rsidRPr="00752476">
        <w:rPr>
          <w:rFonts w:ascii="Verdana" w:eastAsia="Arial" w:hAnsi="Verdana" w:cs="Arial"/>
          <w:color w:val="000000" w:themeColor="text1"/>
          <w:lang w:eastAsia="es-ES" w:bidi="es-ES"/>
        </w:rPr>
        <w:t>.</w:t>
      </w:r>
      <w:r>
        <w:rPr>
          <w:rFonts w:ascii="Verdana" w:eastAsia="Arial" w:hAnsi="Verdana" w:cs="Arial"/>
          <w:color w:val="000000" w:themeColor="text1"/>
          <w:lang w:eastAsia="es-ES" w:bidi="es-ES"/>
        </w:rPr>
        <w:t xml:space="preserve"> </w:t>
      </w:r>
      <w:r w:rsidRPr="00E97A27">
        <w:rPr>
          <w:rFonts w:ascii="Verdana" w:eastAsia="Arial" w:hAnsi="Verdana" w:cs="Arial"/>
          <w:color w:val="000000" w:themeColor="text1"/>
          <w:lang w:eastAsia="es-ES" w:bidi="es-ES"/>
        </w:rPr>
        <w:t>De esta manera, los contratos estatales deben pactar</w:t>
      </w:r>
      <w:r>
        <w:rPr>
          <w:rFonts w:ascii="Verdana" w:eastAsia="Arial" w:hAnsi="Verdana" w:cs="Arial"/>
          <w:color w:val="000000" w:themeColor="text1"/>
          <w:lang w:eastAsia="es-ES" w:bidi="es-ES"/>
        </w:rPr>
        <w:t>se</w:t>
      </w:r>
      <w:r w:rsidRPr="00E97A27">
        <w:rPr>
          <w:rFonts w:ascii="Verdana" w:eastAsia="Arial" w:hAnsi="Verdana" w:cs="Arial"/>
          <w:color w:val="000000" w:themeColor="text1"/>
          <w:lang w:eastAsia="es-ES" w:bidi="es-ES"/>
        </w:rPr>
        <w:t xml:space="preserve"> sobre la base de la interdependencia entre las prestaciones, esto es, que exista reciprocidad entre los derechos y las obligaciones de las entidades y los particulares, de tal forma que estas sean equivalentes y se mantengan durante la ejecución contractual. Esto se fundamenta en el principio del equilibrio financiero del contrato previsto en el artículo 27 de la Ley 80 de 1993 que prescribe lo siguiente: </w:t>
      </w:r>
    </w:p>
    <w:p w14:paraId="40121EFF" w14:textId="77777777" w:rsidR="0070018E" w:rsidRPr="00E97A27" w:rsidRDefault="0070018E" w:rsidP="0070018E">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123BE09A" w14:textId="77777777" w:rsidR="0070018E" w:rsidRPr="00AA6517" w:rsidRDefault="0070018E" w:rsidP="0070018E">
      <w:pPr>
        <w:widowControl w:val="0"/>
        <w:autoSpaceDE w:val="0"/>
        <w:autoSpaceDN w:val="0"/>
        <w:spacing w:after="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“En los contratos estatales se mantendrá la igualdad o equivalencia entre derechos y obligaciones surgidos al momento de proponer o de contratar, según el caso. Si dicha igualdad o equivalencia se rompe por causas no imputables a quien resulte afectado, las partes adoptarán en el menor tiempo posible las medidas necesarias para su restablecimiento. Para tales efectos, las partes suscribirán los acuerdos y pactos necesarios sobre cuantía, condiciones y forma de pago de gastos adicionales, reconocimiento de costos financieros e intereses, si a ello hubiere lugar, ajustando la cancelación a las disponibilidades de la apropiación de que trata el numeral 14 del artículo </w:t>
      </w:r>
      <w:hyperlink r:id="rId11" w:anchor="25" w:history="1">
        <w:r w:rsidRPr="00AA6517">
          <w:rPr>
            <w:rFonts w:ascii="Verdana" w:hAnsi="Verdana" w:cs="Arial"/>
            <w:sz w:val="20"/>
            <w:szCs w:val="20"/>
            <w:lang w:val="es-ES" w:eastAsia="es-ES" w:bidi="es-ES"/>
          </w:rPr>
          <w:t>25</w:t>
        </w:r>
      </w:hyperlink>
      <w:r w:rsidRPr="00AA6517">
        <w:rPr>
          <w:rFonts w:ascii="Verdana" w:eastAsia="Arial" w:hAnsi="Verdana" w:cs="Arial"/>
          <w:color w:val="000000" w:themeColor="text1"/>
          <w:sz w:val="20"/>
          <w:szCs w:val="20"/>
          <w:lang w:val="es-ES" w:eastAsia="es-ES" w:bidi="es-ES"/>
        </w:rPr>
        <w:t>. En todo caso, las entidades deberán adoptar las medidas necesarias que aseguren la efectividad de estos pagos y reconocimientos al contratista en la misma o en la siguiente vigencia de que se trate”.</w:t>
      </w:r>
    </w:p>
    <w:p w14:paraId="1E241DC2" w14:textId="77777777" w:rsidR="0070018E" w:rsidRPr="00E97A27" w:rsidRDefault="0070018E" w:rsidP="0070018E">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6A965C96" w14:textId="77777777" w:rsidR="0070018E" w:rsidRPr="00E97A27" w:rsidRDefault="0070018E" w:rsidP="0070018E">
      <w:pPr>
        <w:autoSpaceDE w:val="0"/>
        <w:autoSpaceDN w:val="0"/>
        <w:adjustRightInd w:val="0"/>
        <w:spacing w:after="0" w:line="276" w:lineRule="auto"/>
        <w:ind w:firstLine="709"/>
        <w:jc w:val="both"/>
        <w:rPr>
          <w:rFonts w:ascii="Verdana" w:hAnsi="Verdana" w:cs="Arial"/>
        </w:rPr>
      </w:pPr>
      <w:r w:rsidRPr="00E97A27">
        <w:rPr>
          <w:rFonts w:ascii="Verdana" w:eastAsia="Arial" w:hAnsi="Verdana" w:cs="Arial"/>
          <w:color w:val="000000" w:themeColor="text1"/>
          <w:lang w:val="es-ES" w:eastAsia="es-ES" w:bidi="es-ES"/>
        </w:rPr>
        <w:t xml:space="preserve">Sobre el principio del equilibrio financiero del contrato, el Consejo de Estado ha señalado que </w:t>
      </w:r>
      <w:r w:rsidRPr="00E97A27">
        <w:rPr>
          <w:rFonts w:ascii="Verdana" w:eastAsia="Arial" w:hAnsi="Verdana" w:cs="Arial"/>
          <w:color w:val="000000" w:themeColor="text1"/>
          <w:lang w:eastAsia="es-ES" w:bidi="es-ES"/>
        </w:rPr>
        <w:t xml:space="preserve">consiste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en garantizar el mantenimiento de la igualdad o equivalencia entre derechos y obligaciones surgidos al momento de proponer o de contratar, según el caso, de manera que si se rompe por causas sobrevinientes, imprevisibles y no imputables a quien resulte afectado, las partes adoptarán las medidas necesarias para su restablecimiento, so pena de incurrir en una responsabilidad contractual tendiente a restituir tal equilibrio</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23"/>
      </w:r>
      <w:r w:rsidRPr="00E97A27">
        <w:rPr>
          <w:rFonts w:ascii="Verdana" w:eastAsia="Arial" w:hAnsi="Verdana" w:cs="Arial"/>
          <w:color w:val="000000" w:themeColor="text1"/>
          <w:lang w:val="es-MX" w:eastAsia="es-ES" w:bidi="es-ES"/>
        </w:rPr>
        <w:t>. En concordancia, la doctrina ha indicado que con este</w:t>
      </w:r>
      <w:r w:rsidRPr="00E97A27">
        <w:rPr>
          <w:rFonts w:ascii="Verdana" w:hAnsi="Verdana" w:cs="Arial"/>
        </w:rPr>
        <w:t xml:space="preserve"> principio, también denominado </w:t>
      </w:r>
      <w:r>
        <w:rPr>
          <w:rFonts w:ascii="Verdana" w:eastAsia="Arial" w:hAnsi="Verdana" w:cs="Arial"/>
          <w:color w:val="000000" w:themeColor="text1"/>
          <w:lang w:val="es-MX" w:eastAsia="es-ES" w:bidi="es-ES"/>
        </w:rPr>
        <w:t>“</w:t>
      </w:r>
      <w:r w:rsidRPr="00E97A27">
        <w:rPr>
          <w:rFonts w:ascii="Verdana" w:hAnsi="Verdana" w:cs="Arial"/>
        </w:rPr>
        <w:t>el de la honesta equivalencia de prestaciones</w:t>
      </w:r>
      <w:r>
        <w:rPr>
          <w:rFonts w:ascii="Verdana" w:eastAsia="Arial" w:hAnsi="Verdana" w:cs="Arial"/>
          <w:color w:val="000000" w:themeColor="text1"/>
          <w:lang w:val="es-MX" w:eastAsia="es-ES" w:bidi="es-ES"/>
        </w:rPr>
        <w:t>”</w:t>
      </w:r>
      <w:r w:rsidRPr="00E97A27">
        <w:rPr>
          <w:rFonts w:ascii="Verdana" w:hAnsi="Verdana" w:cs="Arial"/>
        </w:rPr>
        <w:t xml:space="preserve">, se privilegia el carácter conmutativo o sinalagmático que, por regla general, tiene el contrato estatal, </w:t>
      </w:r>
      <w:r>
        <w:rPr>
          <w:rFonts w:ascii="Verdana" w:eastAsia="Arial" w:hAnsi="Verdana" w:cs="Arial"/>
          <w:color w:val="000000" w:themeColor="text1"/>
          <w:lang w:val="es-MX" w:eastAsia="es-ES" w:bidi="es-ES"/>
        </w:rPr>
        <w:t>“</w:t>
      </w:r>
      <w:r w:rsidRPr="00E97A27">
        <w:rPr>
          <w:rFonts w:ascii="Verdana" w:hAnsi="Verdana" w:cs="Arial"/>
        </w:rPr>
        <w:t>lo que significa que las prestaciones (derechos y obligaciones) asumidas por una parte contractual se entienden como equivalentes a las de la otra parte y obliga a la adopción de medidas tendientes a garantizar que esa igualdad existente en términos económicos al tiempo de su celebración se conserve y permanezca intacta durante su ejecución, y a que se restablezca esa equivalencia en caso de su ruptura por circunstancias o causas sobrevinientes, imprevisibles e imputables o no a ellas</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24"/>
      </w:r>
      <w:r w:rsidRPr="00E97A27">
        <w:rPr>
          <w:rFonts w:ascii="Verdana" w:hAnsi="Verdana" w:cs="Arial"/>
        </w:rPr>
        <w:t xml:space="preserve">.  </w:t>
      </w:r>
    </w:p>
    <w:p w14:paraId="256AE0C7" w14:textId="77777777" w:rsidR="0070018E" w:rsidRPr="00E97A27" w:rsidRDefault="0070018E" w:rsidP="0070018E">
      <w:pPr>
        <w:widowControl w:val="0"/>
        <w:autoSpaceDE w:val="0"/>
        <w:autoSpaceDN w:val="0"/>
        <w:spacing w:before="120"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MX" w:eastAsia="es-ES" w:bidi="es-ES"/>
        </w:rPr>
        <w:t xml:space="preserve">Conforme a lo anterior el equilibrio financiero del contrato se constituye en un principio medular de la contratación estatal que </w:t>
      </w:r>
      <w:r w:rsidRPr="00E97A27">
        <w:rPr>
          <w:rFonts w:ascii="Verdana" w:eastAsia="Arial" w:hAnsi="Verdana" w:cs="Arial"/>
          <w:color w:val="000000" w:themeColor="text1"/>
          <w:lang w:eastAsia="es-ES" w:bidi="es-ES"/>
        </w:rPr>
        <w:t xml:space="preserve">busca, precisamente, mantener las mismas condiciones </w:t>
      </w:r>
      <w:r w:rsidRPr="00E97A27">
        <w:rPr>
          <w:rFonts w:ascii="Verdana" w:eastAsia="Arial" w:hAnsi="Verdana" w:cs="Arial"/>
          <w:color w:val="000000" w:themeColor="text1"/>
          <w:lang w:val="es-ES" w:eastAsia="es-ES" w:bidi="es-ES"/>
        </w:rPr>
        <w:t>existente al tiempo de su celebración, de tal suerte que las prestaciones de las partes permanezcan hasta su terminación. De este modo, si la equivalencia entre las prestaciones se quebranta por causas no imputables a quien resulte afectado es necesario adoptar las medidas correspondientes para restablecer la ecuación contractual.</w:t>
      </w:r>
    </w:p>
    <w:p w14:paraId="103DF68E" w14:textId="77777777" w:rsidR="0070018E" w:rsidRDefault="0070018E" w:rsidP="0070018E">
      <w:pPr>
        <w:widowControl w:val="0"/>
        <w:autoSpaceDE w:val="0"/>
        <w:autoSpaceDN w:val="0"/>
        <w:spacing w:before="120"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Además de lo previsto en el artículo 27 de la Ley 80 de 1993, la obligación de mantener el equilibrio económico del contrato se encuentra establecida en diferentes disposiciones de dicha Ley. En efecto, el numeral 3 del artículo 4 </w:t>
      </w:r>
      <w:r w:rsidRPr="00E97A27">
        <w:rPr>
          <w:rFonts w:ascii="Verdana" w:eastAsia="Arial" w:hAnsi="Verdana" w:cs="Arial"/>
          <w:i/>
          <w:iCs/>
          <w:color w:val="000000" w:themeColor="text1"/>
          <w:lang w:val="es-ES" w:eastAsia="es-ES" w:bidi="es-ES"/>
        </w:rPr>
        <w:t>ibidem</w:t>
      </w:r>
      <w:r w:rsidRPr="00E97A27">
        <w:rPr>
          <w:rFonts w:ascii="Verdana" w:eastAsia="Arial" w:hAnsi="Verdana" w:cs="Arial"/>
          <w:color w:val="000000" w:themeColor="text1"/>
          <w:lang w:val="es-ES" w:eastAsia="es-ES" w:bidi="es-ES"/>
        </w:rPr>
        <w:t xml:space="preserve"> señala que las entidades estatales solicitarán la actualización o la revisión de los precios cuando se produzcan fenómenos que alteren en su contra </w:t>
      </w:r>
      <w:r w:rsidRPr="00E97A27">
        <w:rPr>
          <w:rFonts w:ascii="Verdana" w:eastAsia="Arial" w:hAnsi="Verdana" w:cs="Arial"/>
          <w:i/>
          <w:iCs/>
          <w:color w:val="000000" w:themeColor="text1"/>
          <w:lang w:val="es-ES" w:eastAsia="es-ES" w:bidi="es-ES"/>
        </w:rPr>
        <w:t>el equilibrio económico o financiero</w:t>
      </w:r>
      <w:r w:rsidRPr="00E97A27">
        <w:rPr>
          <w:rFonts w:ascii="Verdana" w:eastAsia="Arial" w:hAnsi="Verdana" w:cs="Arial"/>
          <w:color w:val="000000" w:themeColor="text1"/>
          <w:lang w:val="es-ES" w:eastAsia="es-ES" w:bidi="es-ES"/>
        </w:rPr>
        <w:t xml:space="preserve"> del contrato. Asimismo, el numeral 8 del </w:t>
      </w:r>
      <w:r w:rsidRPr="00E97A27">
        <w:rPr>
          <w:rFonts w:ascii="Verdana" w:eastAsia="Arial" w:hAnsi="Verdana" w:cs="Arial"/>
          <w:color w:val="000000" w:themeColor="text1"/>
          <w:lang w:val="es-ES" w:eastAsia="es-ES" w:bidi="es-ES"/>
        </w:rPr>
        <w:lastRenderedPageBreak/>
        <w:t xml:space="preserve">artículo en comento señala que las entidades deberán adoptar las medidas necesarias para mantener durante el desarrollo y ejecución del contrato las condiciones técnicas, económicas y financieras existentes al momento de proponer en los casos en que se hubiere realizado licitación o concurso, o de contratar en los casos de contratación directa, para lo cual se emplearán los mecanismos de revisión y reajuste de precios. </w:t>
      </w:r>
      <w:r>
        <w:rPr>
          <w:rFonts w:ascii="Verdana" w:eastAsia="Arial" w:hAnsi="Verdana" w:cs="Arial"/>
          <w:color w:val="000000" w:themeColor="text1"/>
          <w:lang w:val="es-ES" w:eastAsia="es-ES" w:bidi="es-ES"/>
        </w:rPr>
        <w:t>De acuerdo con la jurisprudencia:</w:t>
      </w:r>
    </w:p>
    <w:p w14:paraId="34286B45" w14:textId="77777777" w:rsidR="0070018E" w:rsidRDefault="0070018E" w:rsidP="0070018E">
      <w:pPr>
        <w:widowControl w:val="0"/>
        <w:autoSpaceDE w:val="0"/>
        <w:autoSpaceDN w:val="0"/>
        <w:spacing w:after="0" w:line="276" w:lineRule="auto"/>
        <w:ind w:firstLine="709"/>
        <w:jc w:val="both"/>
        <w:rPr>
          <w:rFonts w:ascii="Verdana" w:eastAsia="Arial" w:hAnsi="Verdana" w:cs="Arial"/>
          <w:color w:val="000000" w:themeColor="text1"/>
          <w:lang w:val="es-ES" w:eastAsia="es-ES" w:bidi="es-ES"/>
        </w:rPr>
      </w:pPr>
    </w:p>
    <w:p w14:paraId="0DA80D10" w14:textId="77777777" w:rsidR="0070018E" w:rsidRPr="000E4887" w:rsidRDefault="0070018E" w:rsidP="0070018E">
      <w:pPr>
        <w:widowControl w:val="0"/>
        <w:autoSpaceDE w:val="0"/>
        <w:autoSpaceDN w:val="0"/>
        <w:spacing w:after="0" w:line="240" w:lineRule="auto"/>
        <w:ind w:left="709" w:right="709"/>
        <w:jc w:val="both"/>
        <w:rPr>
          <w:rFonts w:ascii="Verdana" w:eastAsia="Arial" w:hAnsi="Verdana" w:cs="Arial"/>
          <w:color w:val="000000" w:themeColor="text1"/>
          <w:sz w:val="20"/>
          <w:szCs w:val="20"/>
          <w:lang w:val="es-ES" w:eastAsia="es-ES" w:bidi="es-ES"/>
        </w:rPr>
      </w:pPr>
      <w:r w:rsidRPr="000E4887">
        <w:rPr>
          <w:rFonts w:ascii="Verdana" w:eastAsia="Arial" w:hAnsi="Verdana" w:cs="Arial"/>
          <w:color w:val="000000" w:themeColor="text1"/>
          <w:sz w:val="20"/>
          <w:szCs w:val="20"/>
          <w:lang w:val="es-ES" w:eastAsia="es-ES" w:bidi="es-ES"/>
        </w:rPr>
        <w:t>“[…] la cláusula de estabilización o ajuste de precios resulta ser una medida preventiva frente a una situación previsible que puede afectar el resultado económico final del contrato en contra de cualquiera de las partes, y que se resuelve mediante la inclusión de la respectiva estipulación, normalmente expresada en una fórmula matemática concebida en función de los factores que inciden en los costos de ejecución del contrato. Por tanto, es un mecanismo que tiende a preservar la naturaleza conmutativa de los contratos y a garantizar que la equivalencia inicialmente acordada entre las prestaciones recíprocas se mantenga a lo largo de la ejecución del negocio jurídico, en tal forma que la remuneración recibida finalmente por el contratista corresponda a la que contempló al momento de presentar su propuesta y celebrar el contrato.</w:t>
      </w:r>
    </w:p>
    <w:p w14:paraId="0309CDDF" w14:textId="77777777" w:rsidR="0070018E" w:rsidRDefault="0070018E" w:rsidP="0070018E">
      <w:pPr>
        <w:widowControl w:val="0"/>
        <w:autoSpaceDE w:val="0"/>
        <w:autoSpaceDN w:val="0"/>
        <w:spacing w:before="120" w:after="0" w:line="240" w:lineRule="auto"/>
        <w:ind w:left="709" w:right="709"/>
        <w:jc w:val="both"/>
        <w:rPr>
          <w:rFonts w:ascii="Verdana" w:eastAsia="Arial" w:hAnsi="Verdana" w:cs="Arial"/>
          <w:color w:val="000000" w:themeColor="text1"/>
          <w:lang w:val="es-ES" w:eastAsia="es-ES" w:bidi="es-ES"/>
        </w:rPr>
      </w:pPr>
      <w:r w:rsidRPr="000E4887">
        <w:rPr>
          <w:rFonts w:ascii="Verdana" w:eastAsia="Arial" w:hAnsi="Verdana" w:cs="Arial"/>
          <w:color w:val="000000" w:themeColor="text1"/>
          <w:sz w:val="20"/>
          <w:szCs w:val="20"/>
          <w:lang w:val="es-ES" w:eastAsia="es-ES" w:bidi="es-ES"/>
        </w:rPr>
        <w:t>De igual modo, paralelamente con la actualización de precios la Ley 80 de 1993 también contempla la figura de la revisión de precios, la cual opera cuando sobrevengan hechos económicos que hagan ineficaz o insuficiente la fórmula de reajuste o cuando las partes no han pactado un sistema de ajuste o actualización de los precios y estos sufren alteración como resultado de los fenómenos económicos mencionados, como la inflación o el alza de precios, eventos estos en los cuales puede solicitarse al juez la corrección de la cláusula de ajuste pactada y la revisión de los precios”</w:t>
      </w:r>
      <w:r>
        <w:rPr>
          <w:rStyle w:val="Refdenotaalpie"/>
          <w:rFonts w:ascii="Verdana" w:eastAsia="Arial" w:hAnsi="Verdana" w:cs="Arial"/>
          <w:color w:val="000000" w:themeColor="text1"/>
          <w:sz w:val="20"/>
          <w:szCs w:val="20"/>
          <w:lang w:val="es-ES" w:eastAsia="es-ES" w:bidi="es-ES"/>
        </w:rPr>
        <w:footnoteReference w:id="25"/>
      </w:r>
      <w:r w:rsidRPr="000E4887">
        <w:rPr>
          <w:rFonts w:ascii="Verdana" w:eastAsia="Arial" w:hAnsi="Verdana" w:cs="Arial"/>
          <w:color w:val="000000" w:themeColor="text1"/>
          <w:sz w:val="20"/>
          <w:szCs w:val="20"/>
          <w:lang w:val="es-ES" w:eastAsia="es-ES" w:bidi="es-ES"/>
        </w:rPr>
        <w:t>.</w:t>
      </w:r>
    </w:p>
    <w:p w14:paraId="2A2B9A30" w14:textId="77777777" w:rsidR="0070018E" w:rsidRPr="000E4887" w:rsidRDefault="0070018E" w:rsidP="0070018E">
      <w:pPr>
        <w:widowControl w:val="0"/>
        <w:autoSpaceDE w:val="0"/>
        <w:autoSpaceDN w:val="0"/>
        <w:spacing w:after="0" w:line="276" w:lineRule="auto"/>
        <w:jc w:val="both"/>
        <w:rPr>
          <w:rFonts w:ascii="Verdana" w:eastAsia="Arial" w:hAnsi="Verdana" w:cs="Arial"/>
          <w:color w:val="000000" w:themeColor="text1"/>
          <w:lang w:val="es-ES" w:eastAsia="es-ES" w:bidi="es-ES"/>
        </w:rPr>
      </w:pPr>
    </w:p>
    <w:p w14:paraId="65C6E36D" w14:textId="77777777" w:rsidR="0070018E" w:rsidRPr="00E97A27" w:rsidRDefault="0070018E" w:rsidP="0070018E">
      <w:pPr>
        <w:widowControl w:val="0"/>
        <w:autoSpaceDE w:val="0"/>
        <w:autoSpaceDN w:val="0"/>
        <w:spacing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Por su parte, el numeral 1 del artículo 5 de la Ley 80 de 1993 indica que el contratista tiene derecho a recibir oportunamente la remuneración pactada y a que el valor intrínseco de la misma no se altere o modifique durante la vigencia del contrato. </w:t>
      </w:r>
      <w:r w:rsidRPr="000F1B82">
        <w:rPr>
          <w:rFonts w:ascii="Verdana" w:eastAsia="Arial" w:hAnsi="Verdana" w:cs="Arial"/>
          <w:i/>
          <w:iCs/>
          <w:color w:val="000000" w:themeColor="text1"/>
          <w:lang w:val="es-ES" w:eastAsia="es-ES" w:bidi="es-ES"/>
        </w:rPr>
        <w:t>En consecuencia, tendrán derecho, previa solicitud, a que la administración les restablezca el equilibrio de la ecuación económica del contrato por la ocurrencia de situaciones imprevistas que no sean imputables a los contratistas. Si dicho equilibrio se rompe por incumplimiento de la entidad estatal contratante, tendrá que restablecerse la ecuación surgida al momento del nacimiento del contrato.</w:t>
      </w:r>
    </w:p>
    <w:p w14:paraId="1A0FC216" w14:textId="77777777" w:rsidR="0070018E" w:rsidRPr="00E97A27" w:rsidRDefault="0070018E" w:rsidP="0070018E">
      <w:pPr>
        <w:widowControl w:val="0"/>
        <w:autoSpaceDE w:val="0"/>
        <w:autoSpaceDN w:val="0"/>
        <w:spacing w:before="120" w:after="12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lastRenderedPageBreak/>
        <w:t xml:space="preserve">Adicionalmente, el numeral 1 del artículo 14 establece que en los actos en que se ejerciten algunas de estas potestades excepcionales deberá procederse al reconocimiento y orden de pago de las compensaciones e indemnizaciones a que tengan derecho las personas objeto de tales medidas y se aplicarán los mecanismos de ajuste de las condiciones y términos contractuales a que haya lugar, todo ello con el fin de mantener </w:t>
      </w:r>
      <w:r w:rsidRPr="00E97A27">
        <w:rPr>
          <w:rFonts w:ascii="Verdana" w:eastAsia="Arial" w:hAnsi="Verdana" w:cs="Arial"/>
          <w:i/>
          <w:iCs/>
          <w:color w:val="000000" w:themeColor="text1"/>
          <w:lang w:val="es-ES" w:eastAsia="es-ES" w:bidi="es-ES"/>
        </w:rPr>
        <w:t>la ecuación o equilibrio inicial.</w:t>
      </w:r>
    </w:p>
    <w:p w14:paraId="699598A3" w14:textId="77777777" w:rsidR="0070018E" w:rsidRDefault="0070018E" w:rsidP="0070018E">
      <w:pPr>
        <w:widowControl w:val="0"/>
        <w:autoSpaceDE w:val="0"/>
        <w:autoSpaceDN w:val="0"/>
        <w:spacing w:after="12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Según se advierte, el Estatuto General de Contratación de la Administración Pública establece la necesidad de mantener durante la ejecución del contrato el equilibrio o equivalencia de las prestaciones de las partes surgidas al momento de contratar, para lo cual determina deberes y derechos para las entidades estatales y los contratistas en pro de su conservación. Dentro de estas obligaciones se prevé el deber de la entidad de adoptar las medidas correspondientes de manera que se pueda precaver las diferencias que se lleguen a presentar como consecuencia de la vulneración del principio del equilibrio económico del contrato y evitar una mayor onerosidad.</w:t>
      </w:r>
    </w:p>
    <w:p w14:paraId="2B0D8C78" w14:textId="77777777" w:rsidR="0070018E" w:rsidRPr="00E97A27" w:rsidRDefault="0070018E" w:rsidP="0070018E">
      <w:pPr>
        <w:widowControl w:val="0"/>
        <w:autoSpaceDE w:val="0"/>
        <w:autoSpaceDN w:val="0"/>
        <w:spacing w:after="0" w:line="276" w:lineRule="auto"/>
        <w:ind w:firstLine="708"/>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En relación con las causas por las cuales puede verse afectado el equilibrio económico del contrato y su procedencia el Consejo de Estado ha desarrollado ampliamente la materia. En tal sentido, ha manifestado reiteradamente que el desequilibrio económico del contrato se puede presentar por diferentes situaciones: </w:t>
      </w:r>
    </w:p>
    <w:p w14:paraId="41D2969C" w14:textId="77777777" w:rsidR="0070018E" w:rsidRPr="00E97A27" w:rsidRDefault="0070018E" w:rsidP="0070018E">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46E8AF4B" w14:textId="77777777" w:rsidR="0070018E" w:rsidRPr="00AA6517" w:rsidRDefault="0070018E" w:rsidP="0070018E">
      <w:pPr>
        <w:widowControl w:val="0"/>
        <w:autoSpaceDE w:val="0"/>
        <w:autoSpaceDN w:val="0"/>
        <w:spacing w:after="12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 xml:space="preserve">“a) Actos o hechos de la entidad administrativa contratante, como cuando no cumple con las obligaciones derivadas del contrato o introduce modificaciones al mismo -ius variandi-, sean éstas abusivas o no. </w:t>
      </w:r>
    </w:p>
    <w:p w14:paraId="6799BB2B" w14:textId="77777777" w:rsidR="0070018E" w:rsidRPr="00AA6517" w:rsidRDefault="0070018E" w:rsidP="0070018E">
      <w:pPr>
        <w:widowControl w:val="0"/>
        <w:autoSpaceDE w:val="0"/>
        <w:autoSpaceDN w:val="0"/>
        <w:spacing w:after="12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 xml:space="preserve">b) Actos generales de la administración como Estado, o ‘teoría del hecho del príncipe’, como cuando en ejercicio de sus potestades constitucionales y legales, cuya voluntad se manifiesta mediante leyes o actos administrativos de carácter general, afecta negativamente el contrato. </w:t>
      </w:r>
    </w:p>
    <w:p w14:paraId="0FAE422E" w14:textId="77777777" w:rsidR="0070018E" w:rsidRPr="00AA6517" w:rsidRDefault="0070018E" w:rsidP="0070018E">
      <w:pPr>
        <w:widowControl w:val="0"/>
        <w:autoSpaceDE w:val="0"/>
        <w:autoSpaceDN w:val="0"/>
        <w:spacing w:after="12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c) Factores exógenos a las partes del negocio, o ‘teoría de la imprevisión’, o ‘sujeciones materiales imprevistas’, que involucran circunstancias no imputables al Estado y externas al contrato pero con incidencia en él.</w:t>
      </w:r>
    </w:p>
    <w:p w14:paraId="2B2DA538" w14:textId="77777777" w:rsidR="0070018E" w:rsidRPr="00E97A27" w:rsidRDefault="0070018E" w:rsidP="0070018E">
      <w:pPr>
        <w:widowControl w:val="0"/>
        <w:autoSpaceDE w:val="0"/>
        <w:autoSpaceDN w:val="0"/>
        <w:spacing w:after="0" w:line="240" w:lineRule="auto"/>
        <w:ind w:left="709" w:right="709"/>
        <w:jc w:val="both"/>
        <w:rPr>
          <w:rFonts w:ascii="Verdana" w:eastAsia="Arial" w:hAnsi="Verdana" w:cs="Arial"/>
          <w:color w:val="000000" w:themeColor="text1"/>
          <w:sz w:val="21"/>
          <w:szCs w:val="21"/>
          <w:lang w:val="es-ES" w:eastAsia="es-ES" w:bidi="es-ES"/>
        </w:rPr>
      </w:pPr>
      <w:r w:rsidRPr="00AA6517">
        <w:rPr>
          <w:rFonts w:ascii="Verdana" w:eastAsia="Arial" w:hAnsi="Verdana" w:cs="Arial"/>
          <w:color w:val="000000" w:themeColor="text1"/>
          <w:sz w:val="20"/>
          <w:szCs w:val="20"/>
          <w:lang w:val="es-ES" w:eastAsia="es-ES" w:bidi="es-ES"/>
        </w:rPr>
        <w:t xml:space="preserve">En todos estos eventos surge la obligación de la administración contratante de auxiliar al contratista colaborador asumiendo mediante una compensación -llevarlo hasta el punto de no pérdida- o nace el deber de indemnizarlo integralmente, según el caso y si se cumplen los requisitos </w:t>
      </w:r>
      <w:r w:rsidRPr="00AA6517">
        <w:rPr>
          <w:rFonts w:ascii="Verdana" w:eastAsia="Arial" w:hAnsi="Verdana" w:cs="Arial"/>
          <w:color w:val="000000" w:themeColor="text1"/>
          <w:sz w:val="20"/>
          <w:szCs w:val="20"/>
          <w:lang w:val="es-ES" w:eastAsia="es-ES" w:bidi="es-ES"/>
        </w:rPr>
        <w:lastRenderedPageBreak/>
        <w:t>señalados para cada figura”</w:t>
      </w:r>
      <w:r w:rsidRPr="00AA6517">
        <w:rPr>
          <w:rStyle w:val="Refdenotaalpie"/>
          <w:rFonts w:ascii="Verdana" w:eastAsia="Arial" w:hAnsi="Verdana" w:cs="Arial"/>
          <w:color w:val="000000" w:themeColor="text1"/>
          <w:sz w:val="20"/>
          <w:szCs w:val="20"/>
          <w:lang w:val="es-ES" w:eastAsia="es-ES" w:bidi="es-ES"/>
        </w:rPr>
        <w:footnoteReference w:id="26"/>
      </w:r>
      <w:r w:rsidRPr="00AA6517">
        <w:rPr>
          <w:rFonts w:ascii="Verdana" w:eastAsia="Arial" w:hAnsi="Verdana" w:cs="Arial"/>
          <w:color w:val="000000" w:themeColor="text1"/>
          <w:sz w:val="20"/>
          <w:szCs w:val="20"/>
          <w:lang w:val="es-ES" w:eastAsia="es-ES" w:bidi="es-ES"/>
        </w:rPr>
        <w:t>.</w:t>
      </w:r>
    </w:p>
    <w:p w14:paraId="11282C44" w14:textId="77777777" w:rsidR="0070018E" w:rsidRPr="00E97A27" w:rsidRDefault="0070018E" w:rsidP="0070018E">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4D36D4CA" w14:textId="77777777" w:rsidR="0070018E" w:rsidRPr="00E97A27" w:rsidRDefault="0070018E" w:rsidP="0070018E">
      <w:pPr>
        <w:widowControl w:val="0"/>
        <w:autoSpaceDE w:val="0"/>
        <w:autoSpaceDN w:val="0"/>
        <w:spacing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En lo que atañe a la procedencia del restablecimiento del equilibrio financiero del contrato cuando este se vulnera, la jurisprudencia ha señalado que para estos efectos es imperativo la prueba del menoscabo, demostrar que este es grave y que además no corresponde a un riesgo propio de la actividad que deba ser asumido por una de las partes contractuales</w:t>
      </w:r>
      <w:r w:rsidRPr="00E97A27">
        <w:rPr>
          <w:rStyle w:val="Refdenotaalpie"/>
          <w:rFonts w:ascii="Verdana" w:eastAsia="Arial" w:hAnsi="Verdana" w:cs="Arial"/>
          <w:color w:val="000000" w:themeColor="text1"/>
          <w:lang w:val="es-ES" w:eastAsia="es-ES" w:bidi="es-ES"/>
        </w:rPr>
        <w:footnoteReference w:id="27"/>
      </w:r>
      <w:r w:rsidRPr="00E97A27">
        <w:rPr>
          <w:rFonts w:ascii="Verdana" w:eastAsia="Arial" w:hAnsi="Verdana" w:cs="Arial"/>
          <w:color w:val="000000" w:themeColor="text1"/>
          <w:lang w:val="es-ES" w:eastAsia="es-ES" w:bidi="es-ES"/>
        </w:rPr>
        <w:t xml:space="preserve">. Además, es necesario que las reclamaciones para el restablecimiento se realicen en la oportunidad debida, de manera que </w:t>
      </w:r>
      <w:r w:rsidRPr="00E97A27">
        <w:rPr>
          <w:rFonts w:ascii="Verdana" w:eastAsia="Arial" w:hAnsi="Verdana" w:cs="Arial"/>
          <w:color w:val="000000" w:themeColor="text1"/>
          <w:lang w:eastAsia="es-ES" w:bidi="es-ES"/>
        </w:rPr>
        <w:t xml:space="preserve">si las solicitudes, o salvedades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no se hacen al momento de suscribir las suspensiones, adiciones o prórrogas del plazo contractual, contratos adicionales, otrosíes, etc., que por tal motivo se convinieren, cualquier solicitud, reclamación o pretensión ulterior es extemporánea, improcedente e impróspera por vulnerar el principio de la buena fe contractual</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28"/>
      </w:r>
      <w:r w:rsidRPr="00E97A27">
        <w:rPr>
          <w:rFonts w:ascii="Verdana" w:eastAsia="Arial" w:hAnsi="Verdana" w:cs="Arial"/>
          <w:color w:val="000000" w:themeColor="text1"/>
          <w:lang w:val="es-MX" w:eastAsia="es-ES" w:bidi="es-ES"/>
        </w:rPr>
        <w:t xml:space="preserve">. </w:t>
      </w:r>
    </w:p>
    <w:p w14:paraId="4B8E2A0A" w14:textId="77777777" w:rsidR="0070018E" w:rsidRPr="00E97A27" w:rsidRDefault="0070018E" w:rsidP="0070018E">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 xml:space="preserve">De este modo, conforme a esta postura del Consejo de Estado no basta con la alegación del rompimiento del equilibrio del contrato puesto que resulta indispensable demostrar la afectación grave de las condiciones del contrato y, además, que la reclamación o solicitud en que se fundamenta el desequilibrio económico del contrato se realice en el momento oportuno, esto es, cuando se celebren las modificaciones, prórrogas, suspensiones, entre otros y no con posterioridad a ella. </w:t>
      </w:r>
    </w:p>
    <w:p w14:paraId="27EFA79D" w14:textId="77777777" w:rsidR="0070018E" w:rsidRPr="00E97A27" w:rsidRDefault="0070018E" w:rsidP="0070018E">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En sentencias recientes el Consejo de Estado ha morigerado la postura anterior en relación con la oportunidad de la reclamación, en la medida en que, si bien es importante considerar el principio de buena fe al momento de suscribir los acuerdos entre las partes, se resalta la necesidad de analizar</w:t>
      </w:r>
      <w:r w:rsidRPr="00E97A27">
        <w:rPr>
          <w:rFonts w:ascii="Verdana" w:eastAsia="Arial" w:hAnsi="Verdana" w:cs="Arial"/>
          <w:color w:val="000000" w:themeColor="text1"/>
          <w:lang w:eastAsia="es-ES" w:bidi="es-ES"/>
        </w:rPr>
        <w:t xml:space="preserve"> cada caso el contenido del respectivo acuerdo y de sus antecedentes, para determinar el alcance de los otrosíes o de las actas de suspensión correspondientes</w:t>
      </w:r>
      <w:r w:rsidRPr="00E97A27">
        <w:rPr>
          <w:rStyle w:val="Refdenotaalpie"/>
          <w:rFonts w:ascii="Verdana" w:eastAsia="Arial" w:hAnsi="Verdana" w:cs="Arial"/>
          <w:color w:val="000000" w:themeColor="text1"/>
          <w:lang w:eastAsia="es-ES" w:bidi="es-ES"/>
        </w:rPr>
        <w:footnoteReference w:id="29"/>
      </w:r>
      <w:r w:rsidRPr="00E97A27">
        <w:rPr>
          <w:rFonts w:ascii="Verdana" w:eastAsia="Arial" w:hAnsi="Verdana" w:cs="Arial"/>
          <w:color w:val="000000" w:themeColor="text1"/>
          <w:lang w:eastAsia="es-ES" w:bidi="es-ES"/>
        </w:rPr>
        <w:t xml:space="preserve">. En tal sentido, con base en esta posición se considera que la inexistencia de una </w:t>
      </w:r>
      <w:r w:rsidRPr="00E97A27">
        <w:rPr>
          <w:rFonts w:ascii="Verdana" w:eastAsia="Arial" w:hAnsi="Verdana" w:cs="Arial"/>
          <w:color w:val="000000" w:themeColor="text1"/>
          <w:lang w:eastAsia="es-ES" w:bidi="es-ES"/>
        </w:rPr>
        <w:lastRenderedPageBreak/>
        <w:t xml:space="preserve">salvedad en la prórroga o suspensión o cualquier acuerdo de voluntades que se efectúe por las partes no es suficiente para determinar la improcedencia de la reclamación, ya que es necesario revisar los antecedentes y los hechos que justificaron dicho acuerdo. Esto se fundamente en que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la denegatoria de tales pretensiones, es el hecho de que el acuerdo suscrito haya servido, precisamente, para solventar situaciones que se hayan presentado durante la ejecución del contrato, por lo que no se entendería que, de considerar que subsistía un perjuicio para el contratista derivado</w:t>
      </w:r>
      <w:r w:rsidRPr="00E97A27">
        <w:rPr>
          <w:rFonts w:ascii="Verdana" w:hAnsi="Verdana" w:cs="Arial"/>
        </w:rPr>
        <w:t xml:space="preserve"> </w:t>
      </w:r>
      <w:r w:rsidRPr="00E97A27">
        <w:rPr>
          <w:rFonts w:ascii="Verdana" w:eastAsia="Arial" w:hAnsi="Verdana" w:cs="Arial"/>
          <w:color w:val="000000" w:themeColor="text1"/>
          <w:lang w:eastAsia="es-ES" w:bidi="es-ES"/>
        </w:rPr>
        <w:t>de tales situaciones, haya concurrido a suscribirlo, sin dejar alguna manifestación sobre la insuficiencia de ese acuerdo para satisfacer sus reclamaciones</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w:t>
      </w:r>
    </w:p>
    <w:p w14:paraId="2FFDEDAE" w14:textId="77777777" w:rsidR="0070018E" w:rsidRPr="00E97A27" w:rsidRDefault="0070018E" w:rsidP="0070018E">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Bajo estas consideraciones y más allá de las distintas posturas que se han generado al interior del Consejo de Estado en torno a la oportunidad de la reclamación del restablecimiento del equilibrio económico del contrato, lo relevante de lo expuesto</w:t>
      </w:r>
      <w:r>
        <w:rPr>
          <w:rFonts w:ascii="Verdana" w:eastAsia="Arial" w:hAnsi="Verdana" w:cs="Arial"/>
          <w:color w:val="000000" w:themeColor="text1"/>
          <w:lang w:val="es-ES" w:eastAsia="es-ES" w:bidi="es-ES"/>
        </w:rPr>
        <w:t xml:space="preserve"> </w:t>
      </w:r>
      <w:r w:rsidRPr="00E97A27">
        <w:rPr>
          <w:rFonts w:ascii="Verdana" w:eastAsia="Arial" w:hAnsi="Verdana" w:cs="Arial"/>
          <w:color w:val="000000" w:themeColor="text1"/>
          <w:lang w:val="es-ES" w:eastAsia="es-ES" w:bidi="es-ES"/>
        </w:rPr>
        <w:t xml:space="preserve">es que este restablecimiento podrá realizarlo directamente la Administración durante la ejecución del contrato adoptando las medidas necesarias que aseguren la efectividad de los pagos y reconocimientos al contratista que haya lugar. Estas medidas podrán materializarse a través de los distintos acuerdos que suscriban las partes como prórrogas, adiciones, otrosíes o cualquier acuerdo modificatorio que se considere necesarios para solventar el desequilibrio del contrato de acuerdo con las particularidades de cada caso. Igualmente, podrá efectuarse dicho reconocimiento por parte del juez mediante el ejercicio de la acción judicial correspondiente. </w:t>
      </w:r>
    </w:p>
    <w:p w14:paraId="3B93F62A" w14:textId="77777777" w:rsidR="0070018E" w:rsidRPr="00E97A27" w:rsidRDefault="0070018E" w:rsidP="0070018E">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Ello encuentra sustento legal en los artículos 4.8, 5.1 y 27 de la Ley 80 de 1993, que, como se explicó, imponen el deber a la entidad de adoptar las medidas necesarias para mantener durante el desarrollo y ejecución del contrato las condiciones técnicas, económicas y financieras existentes al momento de su celebración y restablecer la ecuación financiera del contrato cuando a ello haya lugar. Para estos efectos, le corresponde a la entidad realizar un análisis detallado del asunto, revisar su procedencia, verificar las circunstancias fácticas y jurídicas que fundamente</w:t>
      </w:r>
      <w:r>
        <w:rPr>
          <w:rFonts w:ascii="Verdana" w:eastAsia="Arial" w:hAnsi="Verdana" w:cs="Arial"/>
          <w:color w:val="000000" w:themeColor="text1"/>
          <w:lang w:val="es-ES" w:eastAsia="es-ES" w:bidi="es-ES"/>
        </w:rPr>
        <w:t>n</w:t>
      </w:r>
      <w:r w:rsidRPr="00E97A27">
        <w:rPr>
          <w:rFonts w:ascii="Verdana" w:eastAsia="Arial" w:hAnsi="Verdana" w:cs="Arial"/>
          <w:color w:val="000000" w:themeColor="text1"/>
          <w:lang w:val="es-ES" w:eastAsia="es-ES" w:bidi="es-ES"/>
        </w:rPr>
        <w:t xml:space="preserve"> dicho restablecimiento y las limitaciones legales sobre el particular, de manera que mediante los acuerdos que se celebren se autorregulen los intereses de las partes.</w:t>
      </w:r>
    </w:p>
    <w:p w14:paraId="36578DD0" w14:textId="77777777" w:rsidR="0070018E" w:rsidRPr="00E97A27" w:rsidRDefault="0070018E" w:rsidP="0070018E">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 xml:space="preserve">Aunado a lo expuesto, la jurisprudencia resalta que la posibilidad de modificar los contratos estatales es una especial forma de hacer prevalecer la finalidad de este, en particular en aquellos contratos de largo plazo, como el de </w:t>
      </w:r>
      <w:r w:rsidRPr="00E97A27">
        <w:rPr>
          <w:rFonts w:ascii="Verdana" w:eastAsia="Arial" w:hAnsi="Verdana" w:cs="Arial"/>
          <w:color w:val="000000" w:themeColor="text1"/>
          <w:lang w:val="es-ES" w:eastAsia="es-ES" w:bidi="es-ES"/>
        </w:rPr>
        <w:lastRenderedPageBreak/>
        <w:t>obra, en los que es difícil prever todas las contingencias que puedan afectar su ejecución. De esta manera, la Administración podrá variar, dadas ciertas condiciones, algunos aspectos del contrato cuando sea necesario para el cumplimiento del objeto y de los fines generales del Estado, por lo que</w:t>
      </w:r>
      <w:r w:rsidRPr="00E97A27">
        <w:rPr>
          <w:rFonts w:ascii="Verdana" w:eastAsia="Arial" w:hAnsi="Verdana" w:cs="Arial"/>
          <w:lang w:val="es-ES" w:eastAsia="es-ES" w:bidi="es-ES"/>
        </w:rPr>
        <w:t xml:space="preserve"> es </w:t>
      </w:r>
      <w:r>
        <w:rPr>
          <w:rFonts w:ascii="Verdana" w:eastAsia="Arial" w:hAnsi="Verdana" w:cs="Arial"/>
          <w:color w:val="000000" w:themeColor="text1"/>
          <w:lang w:val="es-MX" w:eastAsia="es-ES" w:bidi="es-ES"/>
        </w:rPr>
        <w:t>“</w:t>
      </w:r>
      <w:r w:rsidRPr="00E97A27">
        <w:rPr>
          <w:rFonts w:ascii="Verdana" w:eastAsia="Arial" w:hAnsi="Verdana" w:cs="Arial"/>
          <w:lang w:val="es-ES" w:eastAsia="es-ES" w:bidi="es-ES"/>
        </w:rPr>
        <w:t>preciso entonces el diseño de reglas que permitan la adaptación y la resolución pacífica de las controversias para evitar el fracaso</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30"/>
      </w:r>
      <w:r w:rsidRPr="00E97A27">
        <w:rPr>
          <w:rFonts w:ascii="Verdana" w:eastAsia="Arial" w:hAnsi="Verdana" w:cs="Arial"/>
          <w:lang w:val="es-ES" w:eastAsia="es-ES" w:bidi="es-ES"/>
        </w:rPr>
        <w:t>.</w:t>
      </w:r>
      <w:r w:rsidRPr="00E97A27">
        <w:rPr>
          <w:rFonts w:ascii="Verdana" w:eastAsia="Arial" w:hAnsi="Verdana" w:cs="Arial"/>
          <w:sz w:val="21"/>
          <w:szCs w:val="21"/>
          <w:lang w:val="es-ES" w:eastAsia="es-ES" w:bidi="es-ES"/>
        </w:rPr>
        <w:t xml:space="preserve"> </w:t>
      </w:r>
    </w:p>
    <w:p w14:paraId="57E83542" w14:textId="77777777" w:rsidR="0070018E" w:rsidRPr="00E97A27" w:rsidRDefault="0070018E" w:rsidP="0070018E">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 xml:space="preserve">En armonía con lo anterior, la doctrina ha señalado que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val="es-ES" w:eastAsia="es-ES" w:bidi="es-ES"/>
        </w:rPr>
        <w:t>durante la vigencia del contrato, esto es, el periodo que comprende el interregno que va desde el perfeccionamiento del contrato (acuerdo sobre el objeto y la contraprestación elevado a escrito al tenor del art. 41 inc 1° de la Ley 80 de 1993) hasta su liquidación, los contratantes tienen la potestad de pactar lo que consideren necesario a efectos de reequilibrar la ecuación contractual, por ejemplo, pueden ajustar la cuantía, las condiciones de ejecución, las formas de pago, los costos financieros y los interés, en el evento en que los haya</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ES" w:eastAsia="es-ES" w:bidi="es-ES"/>
        </w:rPr>
        <w:footnoteReference w:id="31"/>
      </w:r>
      <w:r w:rsidRPr="00E97A27">
        <w:rPr>
          <w:rFonts w:ascii="Verdana" w:eastAsia="Arial" w:hAnsi="Verdana" w:cs="Arial"/>
          <w:color w:val="000000" w:themeColor="text1"/>
          <w:lang w:val="es-ES" w:eastAsia="es-ES" w:bidi="es-ES"/>
        </w:rPr>
        <w:t xml:space="preserve">. </w:t>
      </w:r>
    </w:p>
    <w:p w14:paraId="025016DF" w14:textId="77777777" w:rsidR="0070018E" w:rsidRDefault="0070018E" w:rsidP="0070018E">
      <w:pPr>
        <w:widowControl w:val="0"/>
        <w:autoSpaceDE w:val="0"/>
        <w:autoSpaceDN w:val="0"/>
        <w:spacing w:before="120" w:after="12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Así la cosas, con fundamento en el EGCAP, en la jurisprudencia y en la doctrina puede concluir</w:t>
      </w:r>
      <w:r>
        <w:rPr>
          <w:rFonts w:ascii="Verdana" w:eastAsia="Arial" w:hAnsi="Verdana" w:cs="Arial"/>
          <w:color w:val="000000" w:themeColor="text1"/>
          <w:lang w:val="es-ES" w:eastAsia="es-ES" w:bidi="es-ES"/>
        </w:rPr>
        <w:t>se</w:t>
      </w:r>
      <w:r w:rsidRPr="00E97A27">
        <w:rPr>
          <w:rFonts w:ascii="Verdana" w:eastAsia="Arial" w:hAnsi="Verdana" w:cs="Arial"/>
          <w:color w:val="000000" w:themeColor="text1"/>
          <w:lang w:val="es-ES" w:eastAsia="es-ES" w:bidi="es-ES"/>
        </w:rPr>
        <w:t xml:space="preserve"> que cuando se presenten situaciones que generen el desequilibrio económico del contrato, previa revisión de su procedencia, conforme el análisis del caso concreto, la entidad deberá adoptar las medidas correspondientes para su restablecimiento, si a ello hay lugar, para lo cual tiene la potestad de suscribir los acuerdos necesarios sobre cuantía, condiciones, forma de pago, etc. </w:t>
      </w:r>
    </w:p>
    <w:p w14:paraId="558A2015" w14:textId="77777777" w:rsidR="0070018E" w:rsidRDefault="0070018E" w:rsidP="0070018E">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ab/>
        <w:t>R</w:t>
      </w:r>
      <w:r w:rsidRPr="004474BA">
        <w:rPr>
          <w:rFonts w:ascii="Verdana" w:eastAsia="Times New Roman" w:hAnsi="Verdana" w:cs="Arial"/>
          <w:color w:val="000000"/>
          <w:bdr w:val="none" w:sz="0" w:space="0" w:color="auto" w:frame="1"/>
          <w:shd w:val="clear" w:color="auto" w:fill="FFFFFF"/>
          <w:lang w:eastAsia="es-ES_tradnl"/>
        </w:rPr>
        <w:t>especto al contenido de la liquidación</w:t>
      </w:r>
      <w:r>
        <w:rPr>
          <w:rFonts w:ascii="Verdana" w:eastAsia="Times New Roman" w:hAnsi="Verdana" w:cs="Arial"/>
          <w:color w:val="000000"/>
          <w:bdr w:val="none" w:sz="0" w:space="0" w:color="auto" w:frame="1"/>
          <w:shd w:val="clear" w:color="auto" w:fill="FFFFFF"/>
          <w:lang w:eastAsia="es-ES_tradnl"/>
        </w:rPr>
        <w:t xml:space="preserve">, conforme a los incisos segundo y tercero del artículo 60 del EGCAP, “[…] </w:t>
      </w:r>
      <w:r w:rsidRPr="00D118AB">
        <w:rPr>
          <w:rFonts w:ascii="Verdana" w:eastAsia="Times New Roman" w:hAnsi="Verdana" w:cs="Arial"/>
          <w:color w:val="000000"/>
          <w:bdr w:val="none" w:sz="0" w:space="0" w:color="auto" w:frame="1"/>
          <w:shd w:val="clear" w:color="auto" w:fill="FFFFFF"/>
          <w:lang w:eastAsia="es-ES_tradnl"/>
        </w:rPr>
        <w:t>las partes acordarán los ajustes, revisiones y reconocimientos a que haya lugar</w:t>
      </w:r>
      <w:r>
        <w:rPr>
          <w:rFonts w:ascii="Verdana" w:eastAsia="Times New Roman" w:hAnsi="Verdana" w:cs="Arial"/>
          <w:color w:val="000000"/>
          <w:bdr w:val="none" w:sz="0" w:space="0" w:color="auto" w:frame="1"/>
          <w:shd w:val="clear" w:color="auto" w:fill="FFFFFF"/>
          <w:lang w:eastAsia="es-ES_tradnl"/>
        </w:rPr>
        <w:t xml:space="preserve">” y en ella “[…] </w:t>
      </w:r>
      <w:r w:rsidRPr="00D118AB">
        <w:rPr>
          <w:rFonts w:ascii="Verdana" w:eastAsia="Times New Roman" w:hAnsi="Verdana" w:cs="Arial"/>
          <w:color w:val="000000"/>
          <w:bdr w:val="none" w:sz="0" w:space="0" w:color="auto" w:frame="1"/>
          <w:shd w:val="clear" w:color="auto" w:fill="FFFFFF"/>
          <w:lang w:eastAsia="es-ES_tradnl"/>
        </w:rPr>
        <w:t>constarán los acuerdos, conciliaciones y transacciones a que llegaren las partes para poner fin a las divergencias presentadas y poder declararse a paz y salvo</w:t>
      </w:r>
      <w:r>
        <w:rPr>
          <w:rFonts w:ascii="Verdana" w:eastAsia="Times New Roman" w:hAnsi="Verdana" w:cs="Arial"/>
          <w:color w:val="000000"/>
          <w:bdr w:val="none" w:sz="0" w:space="0" w:color="auto" w:frame="1"/>
          <w:shd w:val="clear" w:color="auto" w:fill="FFFFFF"/>
          <w:lang w:eastAsia="es-ES_tradnl"/>
        </w:rPr>
        <w:t>”</w:t>
      </w:r>
      <w:r w:rsidRPr="00D118AB">
        <w:rPr>
          <w:rFonts w:ascii="Verdana" w:eastAsia="Times New Roman" w:hAnsi="Verdana" w:cs="Arial"/>
          <w:color w:val="000000"/>
          <w:bdr w:val="none" w:sz="0" w:space="0" w:color="auto" w:frame="1"/>
          <w:shd w:val="clear" w:color="auto" w:fill="FFFFFF"/>
          <w:lang w:eastAsia="es-ES_tradnl"/>
        </w:rPr>
        <w:t>.</w:t>
      </w:r>
      <w:r>
        <w:rPr>
          <w:rFonts w:ascii="Verdana" w:eastAsia="Times New Roman" w:hAnsi="Verdana" w:cs="Arial"/>
          <w:color w:val="000000"/>
          <w:bdr w:val="none" w:sz="0" w:space="0" w:color="auto" w:frame="1"/>
          <w:shd w:val="clear" w:color="auto" w:fill="FFFFFF"/>
          <w:lang w:eastAsia="es-ES_tradnl"/>
        </w:rPr>
        <w:t xml:space="preserve"> Esto hace que la liquidación no sólo sea un mecanismo alternativo de solución de conflictos, sino también un medio para resolver asuntos relacionados con el desequilibrio económico del contrato. Sobre esta última faceta, la doctrina explica que la norma en comento consagra una posibilidad para que las entidades públicas garanticen el equilibrio económico si éste resultó afectado en la ejecución del </w:t>
      </w:r>
      <w:r>
        <w:rPr>
          <w:rFonts w:ascii="Verdana" w:eastAsia="Times New Roman" w:hAnsi="Verdana" w:cs="Arial"/>
          <w:color w:val="000000"/>
          <w:bdr w:val="none" w:sz="0" w:space="0" w:color="auto" w:frame="1"/>
          <w:shd w:val="clear" w:color="auto" w:fill="FFFFFF"/>
          <w:lang w:eastAsia="es-ES_tradnl"/>
        </w:rPr>
        <w:lastRenderedPageBreak/>
        <w:t xml:space="preserve">negocio jurídico, así que la liquidación es el momento oportuno para resolver las diferencias existentes. De esta manera: </w:t>
      </w:r>
    </w:p>
    <w:p w14:paraId="2EFDB2E1" w14:textId="77777777" w:rsidR="0070018E" w:rsidRDefault="0070018E" w:rsidP="0070018E">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55C425C6" w14:textId="77777777" w:rsidR="0070018E" w:rsidRPr="00AA6517" w:rsidRDefault="0070018E" w:rsidP="0070018E">
      <w:pPr>
        <w:tabs>
          <w:tab w:val="left" w:pos="709"/>
        </w:tabs>
        <w:spacing w:after="0" w:line="240" w:lineRule="auto"/>
        <w:ind w:left="709" w:right="709"/>
        <w:jc w:val="both"/>
        <w:rPr>
          <w:rFonts w:ascii="Verdana" w:eastAsia="Times New Roman" w:hAnsi="Verdana" w:cs="Arial"/>
          <w:color w:val="000000"/>
          <w:sz w:val="20"/>
          <w:szCs w:val="20"/>
          <w:bdr w:val="none" w:sz="0" w:space="0" w:color="auto" w:frame="1"/>
          <w:shd w:val="clear" w:color="auto" w:fill="FFFFFF"/>
          <w:lang w:eastAsia="es-ES_tradnl"/>
        </w:rPr>
      </w:pPr>
      <w:r w:rsidRPr="00AA6517">
        <w:rPr>
          <w:rFonts w:ascii="Verdana" w:eastAsia="Times New Roman" w:hAnsi="Verdana" w:cs="Arial"/>
          <w:color w:val="000000"/>
          <w:sz w:val="20"/>
          <w:szCs w:val="20"/>
          <w:bdr w:val="none" w:sz="0" w:space="0" w:color="auto" w:frame="1"/>
          <w:shd w:val="clear" w:color="auto" w:fill="FFFFFF"/>
          <w:lang w:eastAsia="es-ES_tradnl"/>
        </w:rPr>
        <w:t>“A través de la liquidación de los contratos se busca en especial establecer el equilibrio final en las relaciones suscitadas entre la entidad estatal y el contratista, con el objeto de dejar niveladas las prestaciones y derechos surgidos del negocio jurídico. En este sentido, el principio de la conmutatividad, entendido como la equivalencia obvia que debe existir entre lo que se da o hace por una parte y lo que se recibe por la otra, se torna en regla vinculante e imperativa, que debe ser restablecida al final de la relación jurídica, con el propósito de que el negocio finalmente sea equivalente entre las partes”</w:t>
      </w:r>
      <w:r w:rsidRPr="00AA6517">
        <w:rPr>
          <w:rStyle w:val="Refdenotaalpie"/>
          <w:rFonts w:ascii="Verdana" w:eastAsia="Times New Roman" w:hAnsi="Verdana" w:cs="Arial"/>
          <w:color w:val="000000"/>
          <w:sz w:val="20"/>
          <w:szCs w:val="20"/>
          <w:bdr w:val="none" w:sz="0" w:space="0" w:color="auto" w:frame="1"/>
          <w:shd w:val="clear" w:color="auto" w:fill="FFFFFF"/>
          <w:lang w:eastAsia="es-ES_tradnl"/>
        </w:rPr>
        <w:footnoteReference w:id="32"/>
      </w:r>
      <w:r w:rsidRPr="00AA6517">
        <w:rPr>
          <w:rFonts w:ascii="Verdana" w:eastAsia="Times New Roman" w:hAnsi="Verdana" w:cs="Arial"/>
          <w:color w:val="000000"/>
          <w:sz w:val="20"/>
          <w:szCs w:val="20"/>
          <w:bdr w:val="none" w:sz="0" w:space="0" w:color="auto" w:frame="1"/>
          <w:shd w:val="clear" w:color="auto" w:fill="FFFFFF"/>
          <w:lang w:eastAsia="es-ES_tradnl"/>
        </w:rPr>
        <w:t xml:space="preserve">. </w:t>
      </w:r>
    </w:p>
    <w:p w14:paraId="60E9F412" w14:textId="77777777" w:rsidR="0070018E" w:rsidRDefault="0070018E" w:rsidP="0070018E">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0A4539E6" w14:textId="77777777" w:rsidR="0070018E" w:rsidRDefault="0070018E" w:rsidP="0070018E">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ab/>
        <w:t xml:space="preserve">De acuerdo con la Sentencia de Unificación del 19 de noviembre de 2012 de la Sala Plena del Consejo de Estado, </w:t>
      </w:r>
      <w:r>
        <w:rPr>
          <w:rFonts w:ascii="Verdana" w:eastAsia="Times New Roman" w:hAnsi="Verdana" w:cs="Arial"/>
          <w:i/>
          <w:iCs/>
          <w:color w:val="000000"/>
          <w:bdr w:val="none" w:sz="0" w:space="0" w:color="auto" w:frame="1"/>
          <w:shd w:val="clear" w:color="auto" w:fill="FFFFFF"/>
          <w:lang w:eastAsia="es-ES_tradnl"/>
        </w:rPr>
        <w:t>por regla general,</w:t>
      </w:r>
      <w:r>
        <w:rPr>
          <w:rFonts w:ascii="Verdana" w:eastAsia="Times New Roman" w:hAnsi="Verdana" w:cs="Arial"/>
          <w:color w:val="000000"/>
          <w:bdr w:val="none" w:sz="0" w:space="0" w:color="auto" w:frame="1"/>
          <w:shd w:val="clear" w:color="auto" w:fill="FFFFFF"/>
          <w:lang w:eastAsia="es-ES_tradnl"/>
        </w:rPr>
        <w:t xml:space="preserve"> no es posible solicitar reconocimientos económicos por la ejecución de obras extras o adicionales, sin la previa suscripción de un contrato adicional que las justifique. Esto en la medida que los artículos 39 y 41 del EGCAP disponen que los contratos estatales son solemnes y, por tanto, requieren formalidad escrita, salvo que se presente una situación de urgencia manifiesta. Dentro de esta línea:</w:t>
      </w:r>
    </w:p>
    <w:p w14:paraId="1CCADA7D" w14:textId="77777777" w:rsidR="0070018E" w:rsidRDefault="0070018E" w:rsidP="0070018E">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2D2CAE26" w14:textId="77777777" w:rsidR="0070018E" w:rsidRPr="00AA6517" w:rsidRDefault="0070018E" w:rsidP="0070018E">
      <w:pPr>
        <w:tabs>
          <w:tab w:val="left" w:pos="709"/>
        </w:tabs>
        <w:spacing w:after="0" w:line="240" w:lineRule="auto"/>
        <w:ind w:left="709" w:right="709"/>
        <w:jc w:val="both"/>
        <w:rPr>
          <w:rFonts w:ascii="Verdana" w:eastAsia="Times New Roman" w:hAnsi="Verdana" w:cs="Arial"/>
          <w:color w:val="000000"/>
          <w:sz w:val="20"/>
          <w:szCs w:val="20"/>
          <w:bdr w:val="none" w:sz="0" w:space="0" w:color="auto" w:frame="1"/>
          <w:shd w:val="clear" w:color="auto" w:fill="FFFFFF"/>
          <w:lang w:eastAsia="es-ES_tradnl"/>
        </w:rPr>
      </w:pPr>
      <w:r w:rsidRPr="00AA6517">
        <w:rPr>
          <w:rFonts w:ascii="Verdana" w:eastAsia="Times New Roman" w:hAnsi="Verdana" w:cs="Arial"/>
          <w:color w:val="000000"/>
          <w:sz w:val="20"/>
          <w:szCs w:val="20"/>
          <w:bdr w:val="none" w:sz="0" w:space="0" w:color="auto" w:frame="1"/>
          <w:shd w:val="clear" w:color="auto" w:fill="FFFFFF"/>
          <w:lang w:eastAsia="es-ES_tradnl"/>
        </w:rPr>
        <w:t>“EL E.C. establece que en el acta de liquidación del contrato podrán efectuarse las transacciones a las que hubiere lugar. Se trata de un mecanismo de solucionar eventuales conflictos de orden contractual, por esto, no se podrán incorporar reconocimientos que se han causado y que resulten ajenos a las obligaciones contractuales y legales. Aquellas actividades ejecutadas por el contratista que no se desprendan o se encuentren incorporadas en el contrato, no podrán ser reconocidas en el acta de liquidación. Esto no significa que a la entidad se le cierre la posibilidad de solucionar directamente el conflicto, pero, podrá precaverlo, suscribiendo un contrato de transacción con las formalidades establecidas en nuestro ordenamiento”</w:t>
      </w:r>
      <w:r w:rsidRPr="00AA6517">
        <w:rPr>
          <w:rStyle w:val="Refdenotaalpie"/>
          <w:rFonts w:ascii="Verdana" w:eastAsia="Times New Roman" w:hAnsi="Verdana" w:cs="Arial"/>
          <w:color w:val="000000"/>
          <w:sz w:val="20"/>
          <w:szCs w:val="20"/>
          <w:bdr w:val="none" w:sz="0" w:space="0" w:color="auto" w:frame="1"/>
          <w:shd w:val="clear" w:color="auto" w:fill="FFFFFF"/>
          <w:lang w:eastAsia="es-ES_tradnl"/>
        </w:rPr>
        <w:footnoteReference w:id="33"/>
      </w:r>
      <w:r w:rsidRPr="00AA6517">
        <w:rPr>
          <w:rFonts w:ascii="Verdana" w:eastAsia="Times New Roman" w:hAnsi="Verdana" w:cs="Arial"/>
          <w:color w:val="000000"/>
          <w:sz w:val="20"/>
          <w:szCs w:val="20"/>
          <w:bdr w:val="none" w:sz="0" w:space="0" w:color="auto" w:frame="1"/>
          <w:shd w:val="clear" w:color="auto" w:fill="FFFFFF"/>
          <w:lang w:eastAsia="es-ES_tradnl"/>
        </w:rPr>
        <w:t xml:space="preserve">.  </w:t>
      </w:r>
    </w:p>
    <w:p w14:paraId="2621BF3F" w14:textId="77777777" w:rsidR="0070018E" w:rsidRPr="00A04C35" w:rsidRDefault="0070018E" w:rsidP="0070018E">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77B2ACC0" w14:textId="77777777" w:rsidR="0070018E" w:rsidRPr="00A04C35" w:rsidRDefault="0070018E" w:rsidP="0070018E">
      <w:pPr>
        <w:tabs>
          <w:tab w:val="left" w:pos="709"/>
        </w:tabs>
        <w:spacing w:after="12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r>
      <w:r w:rsidRPr="00A04C35">
        <w:rPr>
          <w:rFonts w:ascii="Verdana" w:eastAsia="Times New Roman" w:hAnsi="Verdana" w:cs="Arial"/>
          <w:i/>
          <w:iCs/>
          <w:color w:val="000000"/>
          <w:bdr w:val="none" w:sz="0" w:space="0" w:color="auto" w:frame="1"/>
          <w:shd w:val="clear" w:color="auto" w:fill="FFFFFF"/>
          <w:lang w:eastAsia="es-ES_tradnl"/>
        </w:rPr>
        <w:t>Excepcionalmente</w:t>
      </w:r>
      <w:r w:rsidRPr="00A04C35">
        <w:rPr>
          <w:rFonts w:ascii="Verdana" w:eastAsia="Times New Roman" w:hAnsi="Verdana" w:cs="Arial"/>
          <w:color w:val="000000"/>
          <w:bdr w:val="none" w:sz="0" w:space="0" w:color="auto" w:frame="1"/>
          <w:shd w:val="clear" w:color="auto" w:fill="FFFFFF"/>
          <w:lang w:eastAsia="es-ES_tradnl"/>
        </w:rPr>
        <w:t xml:space="preserve">, la jurisprudencia citada admitió la posibilidad de reconocer al contratista la ejecución de obras extras o adicionales en tres (3) eventos de interpretación restrictiva: i) cuando existe prueba fehaciente de que la ejecución de obras o servicios extras o adicionales o el suministro de bienes, </w:t>
      </w:r>
      <w:r w:rsidRPr="00A04C35">
        <w:rPr>
          <w:rFonts w:ascii="Verdana" w:eastAsia="Times New Roman" w:hAnsi="Verdana" w:cs="Arial"/>
          <w:color w:val="000000"/>
          <w:bdr w:val="none" w:sz="0" w:space="0" w:color="auto" w:frame="1"/>
          <w:shd w:val="clear" w:color="auto" w:fill="FFFFFF"/>
          <w:lang w:eastAsia="es-ES_tradnl"/>
        </w:rPr>
        <w:lastRenderedPageBreak/>
        <w:t>por fuera del objeto contractual, se haya realizado por la imposición de la entidad, en ejercicio de su autoridad; ii) que fueran urgentes para evitar una lesión inminente e irreversible al derecho a la salud; y iii) cuando se omite el decreto de la urgencia manifiesta y concurren las circunstancias para que ésta hubiera sido declarada</w:t>
      </w:r>
      <w:r w:rsidRPr="00A04C35">
        <w:rPr>
          <w:rFonts w:ascii="Verdana" w:eastAsia="Times New Roman" w:hAnsi="Verdana" w:cs="Arial"/>
          <w:color w:val="000000"/>
          <w:bdr w:val="none" w:sz="0" w:space="0" w:color="auto" w:frame="1"/>
          <w:shd w:val="clear" w:color="auto" w:fill="FFFFFF"/>
          <w:vertAlign w:val="superscript"/>
          <w:lang w:eastAsia="es-ES_tradnl"/>
        </w:rPr>
        <w:footnoteReference w:id="34"/>
      </w:r>
      <w:r w:rsidRPr="00A04C35">
        <w:rPr>
          <w:rFonts w:ascii="Verdana" w:eastAsia="Times New Roman" w:hAnsi="Verdana" w:cs="Arial"/>
          <w:color w:val="000000"/>
          <w:bdr w:val="none" w:sz="0" w:space="0" w:color="auto" w:frame="1"/>
          <w:shd w:val="clear" w:color="auto" w:fill="FFFFFF"/>
          <w:lang w:eastAsia="es-ES_tradnl"/>
        </w:rPr>
        <w:t xml:space="preserve">.  </w:t>
      </w:r>
    </w:p>
    <w:p w14:paraId="1C9A2BED" w14:textId="77777777" w:rsidR="0070018E" w:rsidRPr="00A04C35" w:rsidRDefault="0070018E" w:rsidP="0070018E">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t>En todo caso, esta postura jurisprudencial consolidada cambió con la Sentencia de Unificación del 31 de julio de 2025, en la que se expresó la compensación del enriquecimiento sin justa causa no está condicionado a la subsunción de ciertos hechos que se concuerdan con una lista de hipótesis fácticas previa y taxativamente definidas, sino que corresponde al juez, en virtud de los elementos sustantivos y la revisión el comportamiento de las partes, establecer la viabilidad de ordenar que haya una corrección al traslado patrimonial injustificado por bienes y obras no previstos en el contrato</w:t>
      </w:r>
      <w:r w:rsidRPr="00A04C35">
        <w:rPr>
          <w:rFonts w:ascii="Verdana" w:eastAsia="Times New Roman" w:hAnsi="Verdana" w:cs="Arial"/>
          <w:color w:val="000000"/>
          <w:bdr w:val="none" w:sz="0" w:space="0" w:color="auto" w:frame="1"/>
          <w:shd w:val="clear" w:color="auto" w:fill="FFFFFF"/>
          <w:vertAlign w:val="superscript"/>
          <w:lang w:eastAsia="es-ES_tradnl"/>
        </w:rPr>
        <w:footnoteReference w:id="35"/>
      </w:r>
      <w:r w:rsidRPr="00A04C35">
        <w:rPr>
          <w:rFonts w:ascii="Verdana" w:eastAsia="Times New Roman" w:hAnsi="Verdana" w:cs="Arial"/>
          <w:color w:val="000000"/>
          <w:bdr w:val="none" w:sz="0" w:space="0" w:color="auto" w:frame="1"/>
          <w:shd w:val="clear" w:color="auto" w:fill="FFFFFF"/>
          <w:lang w:eastAsia="es-ES_tradnl"/>
        </w:rPr>
        <w:t xml:space="preserve">. Dicho reconocimiento está supeditado a que la parte interesada demuestre la concurrencia de los siguientes elementos: </w:t>
      </w:r>
    </w:p>
    <w:p w14:paraId="6193E568" w14:textId="77777777" w:rsidR="0070018E" w:rsidRPr="00A04C35" w:rsidRDefault="0070018E" w:rsidP="0070018E">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01D4BD79" w14:textId="77777777" w:rsidR="0070018E" w:rsidRPr="00A04C35" w:rsidRDefault="0070018E" w:rsidP="0070018E">
      <w:pPr>
        <w:tabs>
          <w:tab w:val="left" w:pos="709"/>
        </w:tabs>
        <w:spacing w:after="0" w:line="240" w:lineRule="auto"/>
        <w:ind w:left="709" w:right="709"/>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sz w:val="20"/>
          <w:szCs w:val="20"/>
          <w:bdr w:val="none" w:sz="0" w:space="0" w:color="auto" w:frame="1"/>
          <w:shd w:val="clear" w:color="auto" w:fill="FFFFFF"/>
          <w:lang w:eastAsia="es-ES_tradnl"/>
        </w:rPr>
        <w:t>“Ese reconocimiento, además, está supeditado a que se reúnan los siguientes elementos: (i) la existencia de una ventaja patrimonial en beneficio de la entidad; (ii) un empobrecimiento correlativo sufrido por el demandante, el cual pueda atribuirse al acrecimiento mencionado; (iii) la ausencia de causa jurídica en el desequilibrio producido, en cuanto a que no haya sido generada por un hecho o un acto jurídico, como tampoco por una disposición expresa de la ley; (iv) que el demandante carezca de cualquier otro mecanismo para reclamar la compensación, lo que pone en evidencia su subsidiariedad; y (v) la compensación no procede cuando con ella se pretende soslayar una disposición imperativa de la ley”</w:t>
      </w:r>
      <w:r w:rsidRPr="00A04C35">
        <w:rPr>
          <w:rFonts w:ascii="Verdana" w:eastAsia="Times New Roman" w:hAnsi="Verdana" w:cs="Arial"/>
          <w:color w:val="000000"/>
          <w:sz w:val="20"/>
          <w:szCs w:val="20"/>
          <w:bdr w:val="none" w:sz="0" w:space="0" w:color="auto" w:frame="1"/>
          <w:shd w:val="clear" w:color="auto" w:fill="FFFFFF"/>
          <w:vertAlign w:val="superscript"/>
          <w:lang w:eastAsia="es-ES_tradnl"/>
        </w:rPr>
        <w:footnoteReference w:id="36"/>
      </w:r>
      <w:r w:rsidRPr="00A04C35">
        <w:rPr>
          <w:rFonts w:ascii="Verdana" w:eastAsia="Times New Roman" w:hAnsi="Verdana" w:cs="Arial"/>
          <w:color w:val="000000"/>
          <w:sz w:val="20"/>
          <w:szCs w:val="20"/>
          <w:bdr w:val="none" w:sz="0" w:space="0" w:color="auto" w:frame="1"/>
          <w:shd w:val="clear" w:color="auto" w:fill="FFFFFF"/>
          <w:lang w:eastAsia="es-ES_tradnl"/>
        </w:rPr>
        <w:t>.</w:t>
      </w:r>
    </w:p>
    <w:p w14:paraId="597573A4" w14:textId="77777777" w:rsidR="0070018E" w:rsidRPr="00A04C35" w:rsidRDefault="0070018E" w:rsidP="0070018E">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09E24CA0" w14:textId="77777777" w:rsidR="0070018E" w:rsidRPr="00A04C35" w:rsidRDefault="0070018E" w:rsidP="0070018E">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t xml:space="preserve">Teniendo en cuenta los elementos, debe tenerse en cuenta la prueba de la actividad, sumado a la circunstancia excepcional que se invoca. El Consejo de Estado estableció que esta regla sobre el reconocimiento económico debe aplicarse a partir de la ejecutoria de la nueva sentencia de unificación, en aquellas pretensiones de compensación por enriquecimiento sin causa, de forma que no podrá dejarse de conceder lo pedido por el solo hecho de que el caso no </w:t>
      </w:r>
      <w:r w:rsidRPr="00A04C35">
        <w:rPr>
          <w:rFonts w:ascii="Verdana" w:eastAsia="Times New Roman" w:hAnsi="Verdana" w:cs="Arial"/>
          <w:color w:val="000000"/>
          <w:bdr w:val="none" w:sz="0" w:space="0" w:color="auto" w:frame="1"/>
          <w:shd w:val="clear" w:color="auto" w:fill="FFFFFF"/>
          <w:lang w:eastAsia="es-ES_tradnl"/>
        </w:rPr>
        <w:lastRenderedPageBreak/>
        <w:t>se enmarque en los eventos indicados en la Sentencia del 19 de noviembre de 2012</w:t>
      </w:r>
      <w:r w:rsidRPr="00A04C35">
        <w:rPr>
          <w:rFonts w:ascii="Verdana" w:eastAsia="Times New Roman" w:hAnsi="Verdana" w:cs="Arial"/>
          <w:color w:val="000000"/>
          <w:bdr w:val="none" w:sz="0" w:space="0" w:color="auto" w:frame="1"/>
          <w:shd w:val="clear" w:color="auto" w:fill="FFFFFF"/>
          <w:vertAlign w:val="superscript"/>
          <w:lang w:eastAsia="es-ES_tradnl"/>
        </w:rPr>
        <w:footnoteReference w:id="37"/>
      </w:r>
      <w:r w:rsidRPr="00A04C35">
        <w:rPr>
          <w:rFonts w:ascii="Verdana" w:eastAsia="Times New Roman" w:hAnsi="Verdana" w:cs="Arial"/>
          <w:color w:val="000000"/>
          <w:bdr w:val="none" w:sz="0" w:space="0" w:color="auto" w:frame="1"/>
          <w:shd w:val="clear" w:color="auto" w:fill="FFFFFF"/>
          <w:lang w:eastAsia="es-ES_tradnl"/>
        </w:rPr>
        <w:t xml:space="preserve">. De este modo, dicha Sentencia de Unificación expresa: </w:t>
      </w:r>
    </w:p>
    <w:p w14:paraId="49A24BC6" w14:textId="77777777" w:rsidR="0070018E" w:rsidRPr="00A04C35" w:rsidRDefault="0070018E" w:rsidP="0070018E">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7241C6DD" w14:textId="77777777" w:rsidR="0070018E" w:rsidRPr="00A04C35" w:rsidRDefault="0070018E" w:rsidP="0070018E">
      <w:pPr>
        <w:tabs>
          <w:tab w:val="left" w:pos="709"/>
        </w:tabs>
        <w:spacing w:after="0" w:line="240" w:lineRule="auto"/>
        <w:ind w:left="709" w:right="709"/>
        <w:jc w:val="both"/>
        <w:rPr>
          <w:rFonts w:ascii="Verdana" w:eastAsia="Times New Roman" w:hAnsi="Verdana" w:cs="Arial"/>
          <w:color w:val="000000"/>
          <w:sz w:val="20"/>
          <w:szCs w:val="20"/>
          <w:bdr w:val="none" w:sz="0" w:space="0" w:color="auto" w:frame="1"/>
          <w:shd w:val="clear" w:color="auto" w:fill="FFFFFF"/>
          <w:lang w:eastAsia="es-ES_tradnl"/>
        </w:rPr>
      </w:pPr>
      <w:r w:rsidRPr="00A04C35">
        <w:rPr>
          <w:rFonts w:ascii="Verdana" w:eastAsia="Times New Roman" w:hAnsi="Verdana" w:cs="Arial"/>
          <w:color w:val="000000"/>
          <w:sz w:val="20"/>
          <w:szCs w:val="20"/>
          <w:bdr w:val="none" w:sz="0" w:space="0" w:color="auto" w:frame="1"/>
          <w:shd w:val="clear" w:color="auto" w:fill="FFFFFF"/>
          <w:lang w:eastAsia="es-ES_tradnl"/>
        </w:rPr>
        <w:t>“Sobre lo primero, en torno a la configuración y procedencia del enriquecimiento sin justa causa cuando se han ejecutado actividades sin el respaldo de un contrato, en favor de entidades que -en su gestión- deben aplicar el Estatuto General de Contratación Pública, se decantó que la respectiva pretensión de compensación, cuando se carezca de otro mecanismo para reclamar, debe cumplir los presupuestos procesales de la reparación directa (incluso cuando se ha celebrado un contrato cuyo objeto se haya agotado para el momento de la extinción del plazo previsto y ante el desarrollo de actividades con posterioridad a la finalización), sin que sea exigible haber provocado una decisión por parte de la administración y, al satisfacerse, debe ser tramitada, pese a que el demandante mencione otro medio o guarde silencio sobre su denominación. Su prosperidad es absolutamente excepcional, depende de la plena prueba de la actividad desarrollada, sustentada en la demostración de una circunstancia extraordinaria y en razones de interés general, sin que, al respecto, se preestablezcan hipótesis fácticas taxativas; pero, sí se debe supeditar a la existencia de una ventaja patrimonial en beneficio de la demandada, un empobrecimiento correlativo sufrido por el demandante, la ausencia de causa jurídica en el desequilibrio producido y que no se haya soslayado la ley. Cumplido lo anterior, procede corregir el traslado patrimonial injustificado, mas no indemnizar un daño, salvo que el menoscabo emane de una conducta constitutiva de responsabilidad extracontractual del Estado, como una coacción o constreñimiento, que realmente constituyen eventos de falla del servicio”</w:t>
      </w:r>
      <w:r w:rsidRPr="00A04C35">
        <w:rPr>
          <w:rFonts w:ascii="Verdana" w:eastAsia="Times New Roman" w:hAnsi="Verdana" w:cs="Arial"/>
          <w:color w:val="000000"/>
          <w:sz w:val="20"/>
          <w:szCs w:val="20"/>
          <w:bdr w:val="none" w:sz="0" w:space="0" w:color="auto" w:frame="1"/>
          <w:shd w:val="clear" w:color="auto" w:fill="FFFFFF"/>
          <w:vertAlign w:val="superscript"/>
          <w:lang w:eastAsia="es-ES_tradnl"/>
        </w:rPr>
        <w:footnoteReference w:id="38"/>
      </w:r>
      <w:r w:rsidRPr="00A04C35">
        <w:rPr>
          <w:rFonts w:ascii="Verdana" w:eastAsia="Times New Roman" w:hAnsi="Verdana" w:cs="Arial"/>
          <w:color w:val="000000"/>
          <w:sz w:val="20"/>
          <w:szCs w:val="20"/>
          <w:bdr w:val="none" w:sz="0" w:space="0" w:color="auto" w:frame="1"/>
          <w:shd w:val="clear" w:color="auto" w:fill="FFFFFF"/>
          <w:lang w:eastAsia="es-ES_tradnl"/>
        </w:rPr>
        <w:t>.</w:t>
      </w:r>
    </w:p>
    <w:p w14:paraId="6077079E" w14:textId="77777777" w:rsidR="0070018E" w:rsidRPr="00A04C35" w:rsidRDefault="0070018E" w:rsidP="0070018E">
      <w:pPr>
        <w:tabs>
          <w:tab w:val="left" w:pos="709"/>
        </w:tabs>
        <w:spacing w:after="0" w:line="240" w:lineRule="auto"/>
        <w:jc w:val="both"/>
        <w:rPr>
          <w:rFonts w:ascii="Verdana" w:eastAsia="Times New Roman" w:hAnsi="Verdana" w:cs="Arial"/>
          <w:color w:val="000000"/>
          <w:bdr w:val="none" w:sz="0" w:space="0" w:color="auto" w:frame="1"/>
          <w:shd w:val="clear" w:color="auto" w:fill="FFFFFF"/>
          <w:lang w:eastAsia="es-ES_tradnl"/>
        </w:rPr>
      </w:pPr>
    </w:p>
    <w:p w14:paraId="516C11A3" w14:textId="77777777" w:rsidR="0070018E" w:rsidRDefault="0070018E" w:rsidP="0070018E">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t xml:space="preserve">Conforme al artículo 10 de la Ley 1437 de 2011, “Al resolver los asuntos de su competencia, las autoridades aplicarán las disposiciones constitucionales, legales y reglamentarias de manera uniforme a situaciones que tengan los mismos supuestos fácticos y jurídicos. </w:t>
      </w:r>
      <w:r w:rsidRPr="00A04C35">
        <w:rPr>
          <w:rFonts w:ascii="Verdana" w:eastAsia="Times New Roman" w:hAnsi="Verdana" w:cs="Arial"/>
          <w:i/>
          <w:iCs/>
          <w:color w:val="000000"/>
          <w:bdr w:val="none" w:sz="0" w:space="0" w:color="auto" w:frame="1"/>
          <w:shd w:val="clear" w:color="auto" w:fill="FFFFFF"/>
          <w:lang w:eastAsia="es-ES_tradnl"/>
        </w:rPr>
        <w:t>Con este propósito, al adoptar las decisiones de su competencia, deberán tener en cuenta las sentencias de unificación jurisprudencial del Consejo de Estado en las que se interpreten y apliquen dichas normas</w:t>
      </w:r>
      <w:r w:rsidRPr="00A04C35">
        <w:rPr>
          <w:rFonts w:ascii="Verdana" w:eastAsia="Times New Roman" w:hAnsi="Verdana" w:cs="Arial"/>
          <w:color w:val="000000"/>
          <w:bdr w:val="none" w:sz="0" w:space="0" w:color="auto" w:frame="1"/>
          <w:shd w:val="clear" w:color="auto" w:fill="FFFFFF"/>
          <w:lang w:eastAsia="es-ES_tradnl"/>
        </w:rPr>
        <w:t xml:space="preserve">” (Énfasis fuera de texto). Por tanto, en la actualidad existe la posibilidad de reconocer en la liquidación actividades no incluidas o ítems no previstos dentro del contrato, pues no se limita a los supuestos planteados de la Sentencia de Unificación del 19 de noviembre de 2012, sino </w:t>
      </w:r>
      <w:r w:rsidRPr="00A04C35">
        <w:rPr>
          <w:rFonts w:ascii="Verdana" w:eastAsia="Times New Roman" w:hAnsi="Verdana" w:cs="Arial"/>
          <w:color w:val="000000"/>
          <w:bdr w:val="none" w:sz="0" w:space="0" w:color="auto" w:frame="1"/>
          <w:shd w:val="clear" w:color="auto" w:fill="FFFFFF"/>
          <w:lang w:eastAsia="es-ES_tradnl"/>
        </w:rPr>
        <w:lastRenderedPageBreak/>
        <w:t>que se configuren los elementos del enriquecimiento sin justa causa, la prueba de la actividad, sumado a la circunstancia excepcional que se invoca.</w:t>
      </w:r>
      <w:r>
        <w:rPr>
          <w:rFonts w:ascii="Verdana" w:eastAsia="Times New Roman" w:hAnsi="Verdana" w:cs="Arial"/>
          <w:color w:val="000000"/>
          <w:bdr w:val="none" w:sz="0" w:space="0" w:color="auto" w:frame="1"/>
          <w:shd w:val="clear" w:color="auto" w:fill="FFFFFF"/>
          <w:lang w:eastAsia="es-ES_tradnl"/>
        </w:rPr>
        <w:t xml:space="preserve">  </w:t>
      </w:r>
    </w:p>
    <w:p w14:paraId="39ED80DE" w14:textId="77777777" w:rsidR="0070018E" w:rsidRDefault="0070018E" w:rsidP="0070018E">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677598A4" w14:textId="77777777" w:rsidR="0070018E" w:rsidRDefault="0070018E" w:rsidP="0070018E">
      <w:pPr>
        <w:tabs>
          <w:tab w:val="left" w:pos="709"/>
        </w:tabs>
        <w:spacing w:after="120" w:line="276" w:lineRule="auto"/>
        <w:jc w:val="both"/>
        <w:rPr>
          <w:rFonts w:ascii="Verdana"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 xml:space="preserve">iv) En conclusión, </w:t>
      </w:r>
      <w:r>
        <w:rPr>
          <w:rFonts w:ascii="Verdana" w:hAnsi="Verdana" w:cs="Arial"/>
          <w:color w:val="000000"/>
          <w:bdr w:val="none" w:sz="0" w:space="0" w:color="auto" w:frame="1"/>
          <w:shd w:val="clear" w:color="auto" w:fill="FFFFFF"/>
          <w:lang w:eastAsia="es-ES_tradnl"/>
        </w:rPr>
        <w:t>e</w:t>
      </w:r>
      <w:r w:rsidRPr="00575983">
        <w:rPr>
          <w:rFonts w:ascii="Verdana" w:hAnsi="Verdana" w:cs="Arial"/>
          <w:color w:val="000000"/>
          <w:bdr w:val="none" w:sz="0" w:space="0" w:color="auto" w:frame="1"/>
          <w:shd w:val="clear" w:color="auto" w:fill="FFFFFF"/>
          <w:lang w:eastAsia="es-ES_tradnl"/>
        </w:rPr>
        <w:t xml:space="preserve">l reconocimiento de mayores costos o de ítems derivados de mayores cantidades de obra en contratos pactados a precios unitarios es distinto del rompimiento del equilibrio económico del contrato, porque responde a la lógica propia del sistema de determinación del precio. En este tipo de contratos el valor total no se fija de manera definitiva desde la celebración, sino que resulta de multiplicar las cantidades de obra efectivamente ejecutadas por los precios unitarios pactados, de modo que las cantidades previstas en la etapa de planeación tienen un carácter estimativo y pueden variar durante la ejecución contractual sin que ello implique necesariamente una alteración de la ecuación financiera del contrato. En consecuencia, el reconocimiento de mayores cantidades de obra o la inclusión de nuevos ítems puede ocurrir como parte normal de la ejecución del contrato cuando resulta necesario para cumplir el objeto contractual, pues el sistema de precios unitarios justamente está diseñado para absorber estas variaciones dentro de la dinámica propia de la ejecución. </w:t>
      </w:r>
    </w:p>
    <w:p w14:paraId="256DBD2C" w14:textId="77777777" w:rsidR="0070018E" w:rsidRPr="00575983" w:rsidRDefault="0070018E" w:rsidP="0070018E">
      <w:pPr>
        <w:tabs>
          <w:tab w:val="left" w:pos="709"/>
        </w:tabs>
        <w:spacing w:after="120" w:line="276" w:lineRule="auto"/>
        <w:jc w:val="both"/>
        <w:rPr>
          <w:rFonts w:ascii="Verdana" w:eastAsia="Times New Roman" w:hAnsi="Verdana" w:cs="Arial"/>
          <w:color w:val="000000"/>
          <w:bdr w:val="none" w:sz="0" w:space="0" w:color="auto" w:frame="1"/>
          <w:shd w:val="clear" w:color="auto" w:fill="FFFFFF"/>
          <w:lang w:eastAsia="es-ES_tradnl"/>
        </w:rPr>
      </w:pPr>
      <w:r>
        <w:rPr>
          <w:rFonts w:ascii="Verdana" w:hAnsi="Verdana" w:cs="Arial"/>
          <w:color w:val="000000"/>
          <w:bdr w:val="none" w:sz="0" w:space="0" w:color="auto" w:frame="1"/>
          <w:shd w:val="clear" w:color="auto" w:fill="FFFFFF"/>
          <w:lang w:eastAsia="es-ES_tradnl"/>
        </w:rPr>
        <w:tab/>
      </w:r>
      <w:r w:rsidRPr="00575983">
        <w:rPr>
          <w:rFonts w:ascii="Verdana" w:eastAsia="Times New Roman" w:hAnsi="Verdana" w:cs="Arial"/>
          <w:color w:val="000000"/>
          <w:bdr w:val="none" w:sz="0" w:space="0" w:color="auto" w:frame="1"/>
          <w:shd w:val="clear" w:color="auto" w:fill="FFFFFF"/>
          <w:lang w:eastAsia="es-ES_tradnl"/>
        </w:rPr>
        <w:t xml:space="preserve">Por el contrario, el desequilibrio económico del contrato corresponde a una situación excepcional que surge cuando circunstancias sobrevinientes, imprevisibles o no imputables a la parte afectada rompen la equivalencia económica existente al momento de contratar, generando una afectación grave que excede el álea </w:t>
      </w:r>
      <w:r>
        <w:rPr>
          <w:rFonts w:ascii="Verdana" w:eastAsia="Times New Roman" w:hAnsi="Verdana" w:cs="Arial"/>
          <w:color w:val="000000"/>
          <w:bdr w:val="none" w:sz="0" w:space="0" w:color="auto" w:frame="1"/>
          <w:shd w:val="clear" w:color="auto" w:fill="FFFFFF"/>
          <w:lang w:eastAsia="es-ES_tradnl"/>
        </w:rPr>
        <w:t xml:space="preserve">o riesgo </w:t>
      </w:r>
      <w:r w:rsidRPr="00575983">
        <w:rPr>
          <w:rFonts w:ascii="Verdana" w:eastAsia="Times New Roman" w:hAnsi="Verdana" w:cs="Arial"/>
          <w:color w:val="000000"/>
          <w:bdr w:val="none" w:sz="0" w:space="0" w:color="auto" w:frame="1"/>
          <w:shd w:val="clear" w:color="auto" w:fill="FFFFFF"/>
          <w:lang w:eastAsia="es-ES_tradnl"/>
        </w:rPr>
        <w:t xml:space="preserve">normal asumida por las partes. En estos casos el ordenamiento impone el deber de adoptar medidas para restablecer la ecuación financiera mediante mecanismos como ajustes, revisiones o compensaciones, siempre que se pruebe la existencia de una afectación significativa y su relación causal con hechos externos al riesgo normal del contrato. Por tanto, mientras el reconocimiento de mayores cantidades o ítems deriva del funcionamiento ordinario del sistema de precios unitarios y se paga conforme a los precios pactados, el restablecimiento del equilibrio económico procede únicamente cuando se acredita una alteración extraordinaria de la equivalencia de prestaciones, lo que exige </w:t>
      </w:r>
      <w:r>
        <w:rPr>
          <w:rFonts w:ascii="Verdana" w:eastAsia="Times New Roman" w:hAnsi="Verdana" w:cs="Arial"/>
          <w:color w:val="000000"/>
          <w:bdr w:val="none" w:sz="0" w:space="0" w:color="auto" w:frame="1"/>
          <w:shd w:val="clear" w:color="auto" w:fill="FFFFFF"/>
          <w:lang w:eastAsia="es-ES_tradnl"/>
        </w:rPr>
        <w:t xml:space="preserve">el cumplimiento de </w:t>
      </w:r>
      <w:r w:rsidRPr="00575983">
        <w:rPr>
          <w:rFonts w:ascii="Verdana" w:eastAsia="Times New Roman" w:hAnsi="Verdana" w:cs="Arial"/>
          <w:color w:val="000000"/>
          <w:bdr w:val="none" w:sz="0" w:space="0" w:color="auto" w:frame="1"/>
          <w:shd w:val="clear" w:color="auto" w:fill="FFFFFF"/>
          <w:lang w:eastAsia="es-ES_tradnl"/>
        </w:rPr>
        <w:t>requisitos y estándares probatorios más estrictos</w:t>
      </w:r>
      <w:r>
        <w:rPr>
          <w:rFonts w:ascii="Verdana" w:eastAsia="Times New Roman" w:hAnsi="Verdana" w:cs="Arial"/>
          <w:color w:val="000000"/>
          <w:bdr w:val="none" w:sz="0" w:space="0" w:color="auto" w:frame="1"/>
          <w:shd w:val="clear" w:color="auto" w:fill="FFFFFF"/>
          <w:lang w:eastAsia="es-ES_tradnl"/>
        </w:rPr>
        <w:t xml:space="preserve"> conforme a lo establecido por la jurisprudencia del Consejo de Estado</w:t>
      </w:r>
      <w:r w:rsidRPr="00575983">
        <w:rPr>
          <w:rFonts w:ascii="Verdana" w:eastAsia="Times New Roman" w:hAnsi="Verdana" w:cs="Arial"/>
          <w:color w:val="000000"/>
          <w:bdr w:val="none" w:sz="0" w:space="0" w:color="auto" w:frame="1"/>
          <w:shd w:val="clear" w:color="auto" w:fill="FFFFFF"/>
          <w:lang w:eastAsia="es-ES_tradnl"/>
        </w:rPr>
        <w:t xml:space="preserve">. </w:t>
      </w:r>
    </w:p>
    <w:p w14:paraId="7DFF028B" w14:textId="77777777" w:rsidR="0070018E" w:rsidRDefault="0070018E" w:rsidP="0070018E">
      <w:pPr>
        <w:tabs>
          <w:tab w:val="left" w:pos="709"/>
        </w:tabs>
        <w:spacing w:after="120" w:line="276" w:lineRule="auto"/>
        <w:jc w:val="both"/>
        <w:rPr>
          <w:rFonts w:ascii="Verdana" w:eastAsia="Times New Roman" w:hAnsi="Verdana" w:cs="Arial"/>
          <w:color w:val="000000"/>
          <w:bdr w:val="none" w:sz="0" w:space="0" w:color="auto" w:frame="1"/>
          <w:shd w:val="clear" w:color="auto" w:fill="FFFFFF"/>
          <w:lang w:eastAsia="es-ES_tradnl"/>
        </w:rPr>
      </w:pPr>
    </w:p>
    <w:p w14:paraId="3B118C3A" w14:textId="77777777" w:rsidR="0070018E" w:rsidRDefault="0070018E" w:rsidP="0070018E">
      <w:pPr>
        <w:tabs>
          <w:tab w:val="left" w:pos="709"/>
        </w:tabs>
        <w:spacing w:after="120" w:line="276" w:lineRule="auto"/>
        <w:jc w:val="both"/>
        <w:rPr>
          <w:rFonts w:ascii="Verdana" w:eastAsia="Times New Roman" w:hAnsi="Verdana" w:cs="Arial"/>
          <w:color w:val="000000"/>
          <w:bdr w:val="none" w:sz="0" w:space="0" w:color="auto" w:frame="1"/>
          <w:shd w:val="clear" w:color="auto" w:fill="FFFFFF"/>
          <w:lang w:eastAsia="es-ES_tradnl"/>
        </w:rPr>
      </w:pPr>
    </w:p>
    <w:p w14:paraId="2B3D5F1E" w14:textId="77777777" w:rsidR="0070018E" w:rsidRPr="00380D6A" w:rsidRDefault="0070018E" w:rsidP="0070018E">
      <w:pPr>
        <w:widowControl w:val="0"/>
        <w:autoSpaceDE w:val="0"/>
        <w:autoSpaceDN w:val="0"/>
        <w:spacing w:after="0" w:line="276" w:lineRule="auto"/>
        <w:ind w:firstLine="708"/>
        <w:jc w:val="both"/>
        <w:rPr>
          <w:rFonts w:ascii="Verdana" w:hAnsi="Verdana"/>
        </w:rPr>
      </w:pPr>
      <w:r w:rsidRPr="00301910">
        <w:rPr>
          <w:rFonts w:ascii="Verdana" w:hAnsi="Verdana" w:cs="Arial"/>
          <w:lang w:eastAsia="es-ES"/>
        </w:rPr>
        <w:t>Al margen de la explicación precedente</w:t>
      </w:r>
      <w:r>
        <w:rPr>
          <w:rFonts w:ascii="Verdana" w:hAnsi="Verdana" w:cs="Arial"/>
          <w:lang w:eastAsia="es-ES"/>
        </w:rPr>
        <w:t xml:space="preserve"> </w:t>
      </w:r>
      <w:r w:rsidRPr="00301910">
        <w:rPr>
          <w:rFonts w:ascii="Verdana" w:hAnsi="Verdana" w:cs="Arial"/>
          <w:lang w:eastAsia="es-ES"/>
        </w:rPr>
        <w:t>debe advertirse que el análisis requerido</w:t>
      </w:r>
      <w:r>
        <w:rPr>
          <w:rFonts w:ascii="Verdana" w:hAnsi="Verdana" w:cs="Arial"/>
          <w:lang w:eastAsia="es-ES"/>
        </w:rPr>
        <w:t xml:space="preserve"> </w:t>
      </w:r>
      <w:r w:rsidRPr="00301910">
        <w:rPr>
          <w:rFonts w:ascii="Verdana" w:hAnsi="Verdana" w:cs="Arial"/>
          <w:lang w:eastAsia="es-ES"/>
        </w:rPr>
        <w:t>para</w:t>
      </w:r>
      <w:r>
        <w:rPr>
          <w:rFonts w:ascii="Verdana" w:hAnsi="Verdana" w:cs="Arial"/>
          <w:lang w:eastAsia="es-ES"/>
        </w:rPr>
        <w:t xml:space="preserve"> resolver problemas específicos en torno a los reconocimientos económicos derivados del desequilibrio en el contrato </w:t>
      </w:r>
      <w:r w:rsidRPr="00301910">
        <w:rPr>
          <w:rFonts w:ascii="Verdana" w:hAnsi="Verdana" w:cs="Arial"/>
          <w:lang w:eastAsia="es-ES"/>
        </w:rPr>
        <w:t>debe ser realizado por</w:t>
      </w:r>
      <w:r>
        <w:rPr>
          <w:rFonts w:ascii="Verdana" w:hAnsi="Verdana" w:cs="Arial"/>
          <w:lang w:eastAsia="es-ES"/>
        </w:rPr>
        <w:t xml:space="preserve"> </w:t>
      </w:r>
      <w:r w:rsidRPr="00301910">
        <w:rPr>
          <w:rFonts w:ascii="Verdana" w:hAnsi="Verdana" w:cs="Arial"/>
          <w:lang w:eastAsia="es-ES"/>
        </w:rPr>
        <w:t>quienes tengan interés en ello, de acuerdo con lo explicado</w:t>
      </w:r>
      <w:r>
        <w:rPr>
          <w:rFonts w:ascii="Verdana" w:hAnsi="Verdana" w:cs="Arial"/>
          <w:lang w:eastAsia="es-ES"/>
        </w:rPr>
        <w:t xml:space="preserve"> </w:t>
      </w:r>
      <w:r w:rsidRPr="00301910">
        <w:rPr>
          <w:rFonts w:ascii="Verdana" w:hAnsi="Verdana" w:cs="Arial"/>
          <w:lang w:eastAsia="es-ES"/>
        </w:rPr>
        <w:t>la aclaración preliminar del presente oficio. De esta manera, las afirmaciones aquí realizadas</w:t>
      </w:r>
      <w:r>
        <w:rPr>
          <w:rFonts w:ascii="Verdana" w:hAnsi="Verdana" w:cs="Arial"/>
          <w:lang w:eastAsia="es-ES"/>
        </w:rPr>
        <w:t xml:space="preserve"> </w:t>
      </w:r>
      <w:r w:rsidRPr="00301910">
        <w:rPr>
          <w:rFonts w:ascii="Verdana" w:hAnsi="Verdana" w:cs="Arial"/>
          <w:lang w:eastAsia="es-ES"/>
        </w:rPr>
        <w:t>no</w:t>
      </w:r>
      <w:r>
        <w:rPr>
          <w:rFonts w:ascii="Verdana" w:hAnsi="Verdana" w:cs="Arial"/>
          <w:lang w:eastAsia="es-ES"/>
        </w:rPr>
        <w:t xml:space="preserve"> </w:t>
      </w:r>
      <w:r w:rsidRPr="00301910">
        <w:rPr>
          <w:rFonts w:ascii="Verdana" w:hAnsi="Verdana" w:cs="Arial"/>
          <w:lang w:eastAsia="es-ES"/>
        </w:rPr>
        <w:t>pueden ser interpretadas como juicios de valor sobre circunstancias</w:t>
      </w:r>
      <w:r>
        <w:rPr>
          <w:rFonts w:ascii="Verdana" w:hAnsi="Verdana" w:cs="Arial"/>
          <w:lang w:eastAsia="es-ES"/>
        </w:rPr>
        <w:t xml:space="preserve"> </w:t>
      </w:r>
      <w:r w:rsidRPr="00301910">
        <w:rPr>
          <w:rFonts w:ascii="Verdana" w:hAnsi="Verdana" w:cs="Arial"/>
          <w:lang w:eastAsia="es-ES"/>
        </w:rPr>
        <w:t>concretas</w:t>
      </w:r>
      <w:r>
        <w:rPr>
          <w:rFonts w:ascii="Verdana" w:hAnsi="Verdana" w:cs="Arial"/>
          <w:lang w:eastAsia="es-ES"/>
        </w:rPr>
        <w:t xml:space="preserve"> </w:t>
      </w:r>
      <w:r w:rsidRPr="00301910">
        <w:rPr>
          <w:rFonts w:ascii="Verdana" w:hAnsi="Verdana" w:cs="Arial"/>
          <w:lang w:eastAsia="es-ES"/>
        </w:rPr>
        <w:t>relacionadas con los hechos que motivan la</w:t>
      </w:r>
      <w:r>
        <w:rPr>
          <w:rFonts w:ascii="Verdana" w:hAnsi="Verdana" w:cs="Arial"/>
          <w:lang w:eastAsia="es-ES"/>
        </w:rPr>
        <w:t xml:space="preserve"> </w:t>
      </w:r>
      <w:r w:rsidRPr="00301910">
        <w:rPr>
          <w:rFonts w:ascii="Verdana" w:hAnsi="Verdana" w:cs="Arial"/>
          <w:lang w:eastAsia="es-ES"/>
        </w:rPr>
        <w:t>consulta.</w:t>
      </w:r>
      <w:r>
        <w:rPr>
          <w:rFonts w:ascii="Verdana" w:hAnsi="Verdana" w:cs="Arial"/>
          <w:lang w:eastAsia="es-ES"/>
        </w:rPr>
        <w:t xml:space="preserve"> </w:t>
      </w:r>
      <w:r w:rsidRPr="00301910">
        <w:rPr>
          <w:rFonts w:ascii="Verdana" w:hAnsi="Verdana" w:cs="Arial"/>
          <w:lang w:eastAsia="es-ES"/>
        </w:rPr>
        <w:t xml:space="preserve">Dentro de este marco, </w:t>
      </w:r>
      <w:r>
        <w:rPr>
          <w:rFonts w:ascii="Verdana" w:hAnsi="Verdana" w:cs="Arial"/>
          <w:lang w:eastAsia="es-ES"/>
        </w:rPr>
        <w:t xml:space="preserve">de acuerdo con la distribución de los riesgos y la forma de determinación del precio pactada, </w:t>
      </w:r>
      <w:r w:rsidRPr="00301910">
        <w:rPr>
          <w:rFonts w:ascii="Verdana" w:hAnsi="Verdana" w:cs="Arial"/>
          <w:lang w:eastAsia="es-ES"/>
        </w:rPr>
        <w:t>la entidad contratante definirá en cada caso concreto lo</w:t>
      </w:r>
      <w:r>
        <w:rPr>
          <w:rFonts w:ascii="Verdana" w:hAnsi="Verdana" w:cs="Arial"/>
          <w:lang w:eastAsia="es-ES"/>
        </w:rPr>
        <w:t xml:space="preserve"> </w:t>
      </w:r>
      <w:r w:rsidRPr="00301910">
        <w:rPr>
          <w:rFonts w:ascii="Verdana" w:hAnsi="Verdana" w:cs="Arial"/>
          <w:lang w:eastAsia="es-ES"/>
        </w:rPr>
        <w:t>relacionado con el tema objeto de consulta. Al tratarse de un análisis</w:t>
      </w:r>
      <w:r>
        <w:rPr>
          <w:rFonts w:ascii="Verdana" w:hAnsi="Verdana" w:cs="Arial"/>
          <w:lang w:eastAsia="es-ES"/>
        </w:rPr>
        <w:t xml:space="preserve"> </w:t>
      </w:r>
      <w:r w:rsidRPr="00301910">
        <w:rPr>
          <w:rFonts w:ascii="Verdana" w:hAnsi="Verdana" w:cs="Arial"/>
          <w:lang w:eastAsia="es-ES"/>
        </w:rPr>
        <w:t xml:space="preserve">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w:t>
      </w:r>
      <w:r>
        <w:rPr>
          <w:rFonts w:ascii="Verdana" w:hAnsi="Verdana" w:cs="Arial"/>
          <w:lang w:eastAsia="es-ES"/>
        </w:rPr>
        <w:t>Así</w:t>
      </w:r>
      <w:r w:rsidRPr="00301910">
        <w:rPr>
          <w:rFonts w:ascii="Verdana" w:hAnsi="Verdana" w:cs="Arial"/>
          <w:lang w:eastAsia="es-ES"/>
        </w:rPr>
        <w:t>, cada entidad definirá la forma de adelantar su gestión contractual, sin que sea atribución de Colombia Compra Eficiente validar sus actuaciones.</w:t>
      </w:r>
    </w:p>
    <w:p w14:paraId="6C76D7C4" w14:textId="77777777" w:rsidR="0070018E" w:rsidRPr="00FC6F34" w:rsidRDefault="0070018E" w:rsidP="0070018E">
      <w:pPr>
        <w:spacing w:after="0" w:line="276" w:lineRule="auto"/>
        <w:ind w:firstLine="708"/>
        <w:jc w:val="both"/>
        <w:rPr>
          <w:rFonts w:ascii="Verdana" w:eastAsia="Calibri" w:hAnsi="Verdana" w:cs="Arial"/>
          <w:lang w:val="es-ES"/>
        </w:rPr>
      </w:pPr>
    </w:p>
    <w:bookmarkEnd w:id="1"/>
    <w:bookmarkEnd w:id="2"/>
    <w:p w14:paraId="26405A30" w14:textId="77777777" w:rsidR="0070018E" w:rsidRPr="00FC6F34" w:rsidRDefault="0070018E" w:rsidP="0070018E">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4.Referencias normativas, jurisprudenciales y otras fuentes:</w:t>
      </w:r>
    </w:p>
    <w:p w14:paraId="0DD0B124" w14:textId="77777777" w:rsidR="0070018E" w:rsidRPr="00FC6F34" w:rsidRDefault="0070018E" w:rsidP="0070018E">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0018E" w:rsidRPr="00FC6F34" w14:paraId="3CD04777" w14:textId="77777777" w:rsidTr="00764B31">
        <w:trPr>
          <w:trHeight w:val="870"/>
        </w:trPr>
        <w:tc>
          <w:tcPr>
            <w:tcW w:w="8647" w:type="dxa"/>
          </w:tcPr>
          <w:p w14:paraId="1A28736B" w14:textId="77777777" w:rsidR="0070018E" w:rsidRDefault="0070018E" w:rsidP="0070018E">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rPr>
            </w:pPr>
            <w:r>
              <w:rPr>
                <w:rFonts w:ascii="Verdana" w:hAnsi="Verdana" w:cs="Arial"/>
              </w:rPr>
              <w:t>Ley 80 de 1993, artículos 3, 4, 5, 13, 14, 27, 32, 39, 40, 41 y 60.</w:t>
            </w:r>
          </w:p>
          <w:p w14:paraId="1CE09256" w14:textId="77777777" w:rsidR="0070018E" w:rsidRDefault="0070018E" w:rsidP="0070018E">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rPr>
            </w:pPr>
            <w:r>
              <w:rPr>
                <w:rFonts w:ascii="Verdana" w:hAnsi="Verdana" w:cs="Arial"/>
              </w:rPr>
              <w:t>Ley 1437 de 2011, artículo 10.</w:t>
            </w:r>
          </w:p>
          <w:p w14:paraId="6E5AA523" w14:textId="77777777" w:rsidR="0070018E" w:rsidRDefault="0070018E" w:rsidP="0070018E">
            <w:pPr>
              <w:widowControl w:val="0"/>
              <w:numPr>
                <w:ilvl w:val="0"/>
                <w:numId w:val="16"/>
              </w:numPr>
              <w:autoSpaceDE w:val="0"/>
              <w:autoSpaceDN w:val="0"/>
              <w:snapToGrid w:val="0"/>
              <w:spacing w:before="120" w:after="120" w:line="276" w:lineRule="auto"/>
              <w:ind w:left="714" w:hanging="357"/>
              <w:jc w:val="both"/>
              <w:rPr>
                <w:rFonts w:ascii="Verdana" w:hAnsi="Verdana" w:cs="Arial"/>
              </w:rPr>
            </w:pPr>
            <w:r>
              <w:rPr>
                <w:rFonts w:ascii="Verdana" w:hAnsi="Verdana" w:cs="Arial"/>
              </w:rPr>
              <w:t>Código Civil, artículo 1602.</w:t>
            </w:r>
          </w:p>
          <w:p w14:paraId="4F26FCF7" w14:textId="77777777" w:rsidR="0070018E" w:rsidRDefault="0070018E" w:rsidP="0070018E">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Pr>
                <w:rFonts w:ascii="Verdana" w:hAnsi="Verdana"/>
                <w:lang w:val="es-CO"/>
              </w:rPr>
              <w:t>Consejo de Estado. Sección Tercera. Sentencia del 29 de enero de 2004. Rad. 10779. C.P. ALIER Eduardo Hernández Enríquez</w:t>
            </w:r>
          </w:p>
          <w:p w14:paraId="25C37B08" w14:textId="77777777" w:rsidR="0070018E" w:rsidRDefault="0070018E" w:rsidP="0070018E">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Pr>
                <w:rFonts w:ascii="Verdana" w:hAnsi="Verdana"/>
              </w:rPr>
              <w:t xml:space="preserve">Consejo de Estado. </w:t>
            </w:r>
            <w:r>
              <w:rPr>
                <w:rFonts w:ascii="Verdana" w:eastAsia="Calibri" w:hAnsi="Verdana" w:cs="Arial"/>
                <w:lang w:val="es-ES_tradnl" w:eastAsia="es-ES_tradnl"/>
              </w:rPr>
              <w:t>Sección Tercera. Subsección B. Sentencia del 14 de octubre de 2011. Exp. 20811, C.P. Ruth Stella Correa Palacio.</w:t>
            </w:r>
          </w:p>
          <w:p w14:paraId="57539994" w14:textId="77777777" w:rsidR="0070018E" w:rsidRDefault="0070018E" w:rsidP="0070018E">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Pr>
                <w:rFonts w:ascii="Verdana" w:hAnsi="Verdana"/>
              </w:rPr>
              <w:t xml:space="preserve">Consejo de Estado. </w:t>
            </w:r>
            <w:r>
              <w:rPr>
                <w:rFonts w:ascii="Verdana" w:eastAsia="Calibri" w:hAnsi="Verdana" w:cs="Arial"/>
                <w:lang w:val="es-ES_tradnl" w:eastAsia="es-ES_tradnl"/>
              </w:rPr>
              <w:t>Sección Tercera. Subsección B. Sentencia del 29 de febrero de 2012. Exp. 16371, C.P. Danilo Rojas Betancourth.</w:t>
            </w:r>
          </w:p>
          <w:p w14:paraId="3D379B08" w14:textId="77777777" w:rsidR="0070018E" w:rsidRDefault="0070018E" w:rsidP="0070018E">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Pr>
                <w:rFonts w:ascii="Verdana" w:hAnsi="Verdana"/>
              </w:rPr>
              <w:t xml:space="preserve">Consejo de Estado. </w:t>
            </w:r>
            <w:r>
              <w:rPr>
                <w:rFonts w:ascii="Verdana" w:eastAsia="Calibri" w:hAnsi="Verdana" w:cs="Arial"/>
                <w:lang w:val="es-ES_tradnl" w:eastAsia="es-ES_tradnl"/>
              </w:rPr>
              <w:t>Sala de Consulta y Servicio Civil. Concepto del 5 de septiembre de 2018, radicado No. 11001-03-06-000-2018-00124-00 C.P. Édgar González López.</w:t>
            </w:r>
          </w:p>
          <w:p w14:paraId="19435AB3" w14:textId="77777777" w:rsidR="0070018E" w:rsidRDefault="0070018E" w:rsidP="0070018E">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Pr>
                <w:rFonts w:ascii="Verdana" w:hAnsi="Verdana"/>
              </w:rPr>
              <w:lastRenderedPageBreak/>
              <w:t>Consejo de Estado. Sección Tercera. Sentencia del veintiocho (28) de febrero de dos mil veintidós (2022). C.P. Nicolás Yepes Corrales. Rad. 65483.</w:t>
            </w:r>
          </w:p>
          <w:p w14:paraId="47FB41DE" w14:textId="77777777" w:rsidR="0070018E" w:rsidRDefault="0070018E" w:rsidP="0070018E">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Pr>
                <w:rFonts w:ascii="Verdana" w:hAnsi="Verdana"/>
              </w:rPr>
              <w:t>Consejo de Estado. Sala de lo Contencioso Administrativo. Sección Tercera Subsección A. C.P.: María Adriana Marín. Sentencia del 22 de agosto de 2023. Rad: 85001-23-33-000-2015-00211-01 (58.634).</w:t>
            </w:r>
          </w:p>
          <w:p w14:paraId="0D1ACE5F" w14:textId="77777777" w:rsidR="0070018E" w:rsidRDefault="0070018E" w:rsidP="0070018E">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Pr>
                <w:rFonts w:ascii="Verdana" w:hAnsi="Verdana" w:cs="Arial"/>
                <w:color w:val="000000" w:themeColor="text1"/>
              </w:rPr>
              <w:t>Consejo de Estado. Sección Tercera. Subsección A. Sentencia del 6 de julio de 2022. Exp. 54.319 CP.: María Adriana Marín. Ver también: Consejo de Estado. Sección Tercera. Subsección A. Sentencia del 3 de junio de 2022. Exp. 53299. C.P.: José Roberto Sáchica Méndez</w:t>
            </w:r>
          </w:p>
          <w:p w14:paraId="586BDB7E" w14:textId="77777777" w:rsidR="0070018E" w:rsidRPr="00FC6F34" w:rsidRDefault="0070018E" w:rsidP="0070018E">
            <w:pPr>
              <w:widowControl w:val="0"/>
              <w:numPr>
                <w:ilvl w:val="0"/>
                <w:numId w:val="16"/>
              </w:numPr>
              <w:autoSpaceDE w:val="0"/>
              <w:autoSpaceDN w:val="0"/>
              <w:snapToGrid w:val="0"/>
              <w:spacing w:before="120" w:after="120" w:line="276" w:lineRule="auto"/>
              <w:ind w:left="714" w:hanging="357"/>
              <w:jc w:val="both"/>
              <w:rPr>
                <w:rFonts w:ascii="Verdana" w:hAnsi="Verdana" w:cs="Arial"/>
              </w:rPr>
            </w:pPr>
            <w:r>
              <w:rPr>
                <w:rFonts w:ascii="Verdana" w:hAnsi="Verdana" w:cs="Arial"/>
                <w:color w:val="000000" w:themeColor="text1"/>
              </w:rPr>
              <w:t>Corte Constitucional. Sentencia C-416 de 2012. M.P. Adriana María Guillén Arango.</w:t>
            </w:r>
          </w:p>
        </w:tc>
      </w:tr>
    </w:tbl>
    <w:p w14:paraId="1D528024" w14:textId="77777777" w:rsidR="0070018E" w:rsidRPr="00FC6F34" w:rsidRDefault="0070018E" w:rsidP="0070018E">
      <w:pPr>
        <w:widowControl w:val="0"/>
        <w:autoSpaceDE w:val="0"/>
        <w:autoSpaceDN w:val="0"/>
        <w:spacing w:after="0" w:line="276" w:lineRule="auto"/>
        <w:jc w:val="both"/>
        <w:rPr>
          <w:rFonts w:ascii="Verdana" w:hAnsi="Verdana" w:cs="Arial"/>
          <w:color w:val="000000" w:themeColor="text1"/>
          <w:lang w:val="es-ES"/>
        </w:rPr>
      </w:pPr>
    </w:p>
    <w:p w14:paraId="010AABBD" w14:textId="77777777" w:rsidR="0070018E" w:rsidRPr="00FC6F34" w:rsidRDefault="0070018E" w:rsidP="0070018E">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5.Doctrina de la Agencia Nacional de Contratación Pública:</w:t>
      </w:r>
    </w:p>
    <w:p w14:paraId="116B3027" w14:textId="77777777" w:rsidR="0070018E" w:rsidRPr="00FC6F34" w:rsidRDefault="0070018E" w:rsidP="0070018E">
      <w:pPr>
        <w:widowControl w:val="0"/>
        <w:autoSpaceDE w:val="0"/>
        <w:autoSpaceDN w:val="0"/>
        <w:spacing w:after="0" w:line="276" w:lineRule="auto"/>
        <w:jc w:val="both"/>
        <w:rPr>
          <w:rFonts w:ascii="Verdana" w:hAnsi="Verdana" w:cs="Arial"/>
          <w:color w:val="000000" w:themeColor="text1"/>
          <w:lang w:val="es-ES"/>
        </w:rPr>
      </w:pPr>
    </w:p>
    <w:p w14:paraId="58230E60" w14:textId="77777777" w:rsidR="0070018E" w:rsidRPr="00982071" w:rsidRDefault="0070018E" w:rsidP="0070018E">
      <w:pPr>
        <w:jc w:val="both"/>
        <w:rPr>
          <w:rFonts w:ascii="Arial" w:eastAsia="Calibri" w:hAnsi="Arial" w:cs="Arial"/>
          <w:b/>
          <w:bCs/>
          <w:color w:val="000000" w:themeColor="text1"/>
          <w:lang w:val="es-ES_tradnl"/>
        </w:rPr>
      </w:pPr>
      <w:r w:rsidRPr="00923420">
        <w:rPr>
          <w:rFonts w:ascii="Verdana" w:hAnsi="Verdana"/>
          <w:lang w:val="es-ES"/>
        </w:rPr>
        <w:t>La Agencia Nacional de Contratación Pública – Colombia Compra Eficiente se ha referido sobre sobre el equilibrio económico del contrato estatal en los Conceptos C-938 del 27 de diciembre de 2022, C-774 del 20 de noviembre de 2024, C-565 del 10 de junio de 2025, C-1029 del 31 de julio de 2025, C-1035 del 8 de septiembre de 2025</w:t>
      </w:r>
      <w:r>
        <w:rPr>
          <w:rFonts w:ascii="Verdana" w:hAnsi="Verdana"/>
          <w:lang w:val="es-ES"/>
        </w:rPr>
        <w:t xml:space="preserve">, </w:t>
      </w:r>
      <w:r w:rsidRPr="00923420">
        <w:rPr>
          <w:rFonts w:ascii="Verdana" w:hAnsi="Verdana"/>
          <w:lang w:val="es-ES"/>
        </w:rPr>
        <w:t>C-1429 del 21 de octubre de 2025,</w:t>
      </w:r>
      <w:r>
        <w:rPr>
          <w:rFonts w:ascii="Verdana" w:hAnsi="Verdana"/>
          <w:lang w:val="es-ES"/>
        </w:rPr>
        <w:t xml:space="preserve"> C-080 del 30 de enero de 2026,</w:t>
      </w:r>
      <w:r w:rsidRPr="00923420">
        <w:rPr>
          <w:rFonts w:ascii="Verdana" w:hAnsi="Verdana"/>
          <w:lang w:val="es-ES"/>
        </w:rPr>
        <w:t xml:space="preserve"> entre otros</w:t>
      </w:r>
      <w:r>
        <w:rPr>
          <w:rFonts w:ascii="Verdana" w:eastAsia="Calibri" w:hAnsi="Verdana" w:cs="Arial"/>
          <w:lang w:val="es-ES" w:eastAsia="es-ES"/>
        </w:rPr>
        <w:t>.</w:t>
      </w:r>
      <w:r w:rsidRPr="00923420">
        <w:rPr>
          <w:rFonts w:ascii="Verdana" w:hAnsi="Verdana"/>
          <w:lang w:val="es-ES"/>
        </w:rPr>
        <w:t xml:space="preserve"> Estos</w:t>
      </w:r>
      <w:r w:rsidRPr="00FC6F34">
        <w:rPr>
          <w:rFonts w:ascii="Verdana" w:hAnsi="Verdana"/>
          <w:lang w:val="es-ES"/>
        </w:rPr>
        <w:t xml:space="preserve"> y otros se encuentran disponibles para consulta en el Sistema de relatoría de la Agencia, al cual se puede acceder a través del siguiente enlace:</w:t>
      </w:r>
      <w:r w:rsidRPr="00FC6F34">
        <w:rPr>
          <w:rFonts w:ascii="Verdana" w:hAnsi="Verdana" w:cs="Arial"/>
          <w:shd w:val="clear" w:color="auto" w:fill="FFFFFF"/>
          <w:lang w:val="es-ES"/>
        </w:rPr>
        <w:t xml:space="preserve"> </w:t>
      </w:r>
      <w:hyperlink r:id="rId12" w:history="1">
        <w:r w:rsidRPr="00FC6F34">
          <w:rPr>
            <w:rFonts w:ascii="Verdana" w:hAnsi="Verdana" w:cs="Arial"/>
            <w:color w:val="0000FF"/>
            <w:u w:val="single"/>
            <w:shd w:val="clear" w:color="auto" w:fill="FFFFFF"/>
            <w:lang w:val="es-ES"/>
          </w:rPr>
          <w:t>https://relatoria.colombiacompra.gov.co/busqueda/concept os</w:t>
        </w:r>
      </w:hyperlink>
      <w:r w:rsidRPr="00FC6F34">
        <w:rPr>
          <w:rFonts w:ascii="Verdana" w:hAnsi="Verdana" w:cs="Arial"/>
          <w:shd w:val="clear" w:color="auto" w:fill="FFFFFF"/>
          <w:lang w:val="es-ES"/>
        </w:rPr>
        <w:t>.</w:t>
      </w:r>
      <w:r w:rsidRPr="00FC6F34">
        <w:rPr>
          <w:rFonts w:ascii="Verdana" w:hAnsi="Verdana" w:cs="Arial"/>
          <w:color w:val="FF0000"/>
          <w:shd w:val="clear" w:color="auto" w:fill="FFFFFF"/>
          <w:lang w:val="es-ES"/>
        </w:rPr>
        <w:t xml:space="preserve"> </w:t>
      </w:r>
      <w:r w:rsidRPr="00FC6F34">
        <w:rPr>
          <w:rFonts w:ascii="Verdana" w:hAnsi="Verdana" w:cs="Arial"/>
          <w:color w:val="000000" w:themeColor="text1"/>
          <w:shd w:val="clear" w:color="auto" w:fill="FFFFFF"/>
          <w:lang w:val="es-ES"/>
        </w:rPr>
        <w:t>  </w:t>
      </w:r>
    </w:p>
    <w:p w14:paraId="53EB65C8" w14:textId="77777777" w:rsidR="0070018E" w:rsidRPr="003E2460" w:rsidRDefault="0070018E" w:rsidP="0070018E">
      <w:pPr>
        <w:spacing w:after="0" w:line="276"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08AC9735" w14:textId="77777777" w:rsidR="0070018E" w:rsidRPr="003E2460" w:rsidRDefault="0070018E" w:rsidP="0070018E">
      <w:pPr>
        <w:spacing w:after="0" w:line="276" w:lineRule="auto"/>
        <w:jc w:val="both"/>
        <w:rPr>
          <w:rFonts w:ascii="Verdana" w:hAnsi="Verdana"/>
        </w:rPr>
      </w:pPr>
    </w:p>
    <w:p w14:paraId="60316ECB" w14:textId="77777777" w:rsidR="0070018E" w:rsidRPr="003E2460" w:rsidRDefault="0070018E" w:rsidP="0070018E">
      <w:pPr>
        <w:spacing w:after="0" w:line="276" w:lineRule="auto"/>
        <w:jc w:val="both"/>
        <w:rPr>
          <w:rFonts w:ascii="Verdana" w:hAnsi="Verdana"/>
        </w:rPr>
      </w:pPr>
      <w:r w:rsidRPr="003E2460">
        <w:rPr>
          <w:rFonts w:ascii="Verdana" w:hAnsi="Verdana"/>
        </w:rPr>
        <w:t xml:space="preserve">Twitter: </w:t>
      </w:r>
      <w:r w:rsidRPr="00386BAA">
        <w:rPr>
          <w:rStyle w:val="Hipervnculo"/>
          <w:rFonts w:ascii="Verdana" w:hAnsi="Verdana" w:cs="Arial"/>
          <w:shd w:val="clear" w:color="auto" w:fill="FFFFFF"/>
        </w:rPr>
        <w:t>@colombiacompra</w:t>
      </w:r>
      <w:r w:rsidRPr="003E2460">
        <w:rPr>
          <w:rFonts w:ascii="Verdana" w:hAnsi="Verdana"/>
          <w:color w:val="4472C4" w:themeColor="accent1"/>
        </w:rPr>
        <w:t xml:space="preserve"> </w:t>
      </w:r>
    </w:p>
    <w:p w14:paraId="637457D5" w14:textId="77777777" w:rsidR="0070018E" w:rsidRPr="003E2460" w:rsidRDefault="0070018E" w:rsidP="0070018E">
      <w:pPr>
        <w:spacing w:after="0" w:line="276" w:lineRule="auto"/>
        <w:jc w:val="both"/>
        <w:rPr>
          <w:rFonts w:ascii="Verdana" w:hAnsi="Verdana"/>
        </w:rPr>
      </w:pPr>
      <w:r w:rsidRPr="003E2460">
        <w:rPr>
          <w:rFonts w:ascii="Verdana" w:hAnsi="Verdana"/>
        </w:rPr>
        <w:t xml:space="preserve">Facebook: </w:t>
      </w:r>
      <w:r w:rsidRPr="00386BAA">
        <w:rPr>
          <w:rStyle w:val="Hipervnculo"/>
          <w:rFonts w:ascii="Verdana" w:hAnsi="Verdana" w:cs="Arial"/>
          <w:shd w:val="clear" w:color="auto" w:fill="FFFFFF"/>
        </w:rPr>
        <w:t>ColombiaCompraEficiente</w:t>
      </w:r>
    </w:p>
    <w:p w14:paraId="015A6A6A" w14:textId="77777777" w:rsidR="0070018E" w:rsidRPr="003E2460" w:rsidRDefault="0070018E" w:rsidP="0070018E">
      <w:pPr>
        <w:spacing w:after="0" w:line="276" w:lineRule="auto"/>
        <w:jc w:val="both"/>
        <w:rPr>
          <w:rFonts w:ascii="Verdana" w:hAnsi="Verdana"/>
        </w:rPr>
      </w:pPr>
      <w:r w:rsidRPr="003E2460">
        <w:rPr>
          <w:rFonts w:ascii="Verdana" w:hAnsi="Verdana"/>
        </w:rPr>
        <w:t xml:space="preserve">LinkedIn: </w:t>
      </w:r>
      <w:r w:rsidRPr="00386BAA">
        <w:rPr>
          <w:rStyle w:val="Hipervnculo"/>
          <w:rFonts w:ascii="Verdana" w:hAnsi="Verdana" w:cs="Arial"/>
          <w:shd w:val="clear" w:color="auto" w:fill="FFFFFF"/>
        </w:rPr>
        <w:t>Agencia Nacional de Contratación Pública - Colombia Compra Eficiente</w:t>
      </w:r>
      <w:r w:rsidRPr="003A7064">
        <w:rPr>
          <w:rStyle w:val="Hipervnculo"/>
          <w:rFonts w:ascii="Verdana" w:hAnsi="Verdana" w:cs="Arial"/>
          <w:shd w:val="clear" w:color="auto" w:fill="FFFFFF"/>
        </w:rPr>
        <w:t xml:space="preserve"> </w:t>
      </w:r>
      <w:r w:rsidRPr="003E2460">
        <w:rPr>
          <w:rFonts w:ascii="Verdana" w:hAnsi="Verdana"/>
        </w:rPr>
        <w:t xml:space="preserve">Instagram: </w:t>
      </w:r>
      <w:r w:rsidRPr="00386BAA">
        <w:rPr>
          <w:rStyle w:val="Hipervnculo"/>
          <w:rFonts w:ascii="Verdana" w:hAnsi="Verdana" w:cs="Arial"/>
          <w:shd w:val="clear" w:color="auto" w:fill="FFFFFF"/>
        </w:rPr>
        <w:t>@colombiacompraeficiente_cce</w:t>
      </w:r>
    </w:p>
    <w:p w14:paraId="04B1046E" w14:textId="77777777" w:rsidR="0070018E" w:rsidRDefault="0070018E" w:rsidP="0070018E">
      <w:pPr>
        <w:widowControl w:val="0"/>
        <w:autoSpaceDE w:val="0"/>
        <w:autoSpaceDN w:val="0"/>
        <w:spacing w:after="0" w:line="276" w:lineRule="auto"/>
        <w:jc w:val="both"/>
        <w:rPr>
          <w:rFonts w:ascii="Verdana" w:hAnsi="Verdana" w:cs="Arial"/>
          <w:lang w:val="es-ES"/>
        </w:rPr>
      </w:pPr>
    </w:p>
    <w:p w14:paraId="1603B1FA" w14:textId="77777777" w:rsidR="0070018E" w:rsidRPr="00FC6F34" w:rsidRDefault="0070018E" w:rsidP="0070018E">
      <w:pPr>
        <w:widowControl w:val="0"/>
        <w:autoSpaceDE w:val="0"/>
        <w:autoSpaceDN w:val="0"/>
        <w:spacing w:after="0" w:line="276" w:lineRule="auto"/>
        <w:jc w:val="both"/>
        <w:rPr>
          <w:rFonts w:ascii="Verdana" w:hAnsi="Verdana" w:cs="Arial"/>
          <w:lang w:val="es-ES"/>
        </w:rPr>
      </w:pPr>
      <w:r w:rsidRPr="00FC6F34">
        <w:rPr>
          <w:rFonts w:ascii="Verdana" w:hAnsi="Verdana" w:cs="Arial"/>
          <w:lang w:val="es-ES"/>
        </w:rPr>
        <w:t xml:space="preserve">Este concepto tiene el alcance previsto en el artículo 28 del Código de Procedimiento Administrativo y de lo Contencioso Administrativo y las expresiones aquí utilizadas con mayúscula inicial deben ser entendidas con el </w:t>
      </w:r>
      <w:r w:rsidRPr="00FC6F34">
        <w:rPr>
          <w:rFonts w:ascii="Verdana" w:hAnsi="Verdana" w:cs="Arial"/>
          <w:lang w:val="es-ES"/>
        </w:rPr>
        <w:lastRenderedPageBreak/>
        <w:t>significado que les otorga el artículo 2.2.1.1.1.3.1. del Decreto 1082 de 2015.</w:t>
      </w:r>
    </w:p>
    <w:p w14:paraId="26CF83C5" w14:textId="77777777" w:rsidR="0070018E" w:rsidRPr="00FC6F34" w:rsidRDefault="0070018E" w:rsidP="0070018E">
      <w:pPr>
        <w:widowControl w:val="0"/>
        <w:autoSpaceDE w:val="0"/>
        <w:autoSpaceDN w:val="0"/>
        <w:spacing w:after="0" w:line="276" w:lineRule="auto"/>
        <w:jc w:val="both"/>
        <w:rPr>
          <w:rFonts w:ascii="Verdana" w:hAnsi="Verdana" w:cs="Arial"/>
          <w:lang w:val="es-ES"/>
        </w:rPr>
      </w:pPr>
    </w:p>
    <w:p w14:paraId="01FEDCC4" w14:textId="77777777" w:rsidR="0070018E" w:rsidRPr="00FC6F34" w:rsidRDefault="0070018E" w:rsidP="0070018E">
      <w:pPr>
        <w:spacing w:after="0" w:line="276" w:lineRule="auto"/>
        <w:rPr>
          <w:rFonts w:ascii="Verdana" w:hAnsi="Verdana" w:cs="Arial"/>
          <w:color w:val="000000" w:themeColor="text1"/>
          <w:lang w:val="es-ES" w:eastAsia="es-CO"/>
        </w:rPr>
      </w:pPr>
      <w:r w:rsidRPr="00FC6F34">
        <w:rPr>
          <w:rFonts w:ascii="Verdana" w:eastAsia="Times New Roman" w:hAnsi="Verdana" w:cs="Arial"/>
          <w:color w:val="000000" w:themeColor="text1"/>
          <w:lang w:val="es-ES" w:eastAsia="es-CO"/>
        </w:rPr>
        <w:t>Atentamente,</w:t>
      </w:r>
      <w:r w:rsidRPr="00FC6F34">
        <w:rPr>
          <w:rFonts w:ascii="Verdana" w:hAnsi="Verdana" w:cs="Arial"/>
          <w:color w:val="000000" w:themeColor="text1"/>
          <w:lang w:val="es-ES" w:eastAsia="es-CO"/>
        </w:rPr>
        <w:t xml:space="preserve"> </w:t>
      </w:r>
    </w:p>
    <w:p w14:paraId="2967F9BC" w14:textId="0DF48764" w:rsidR="0070018E" w:rsidRPr="00FC6F34" w:rsidRDefault="006E1077" w:rsidP="0070018E">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1312" behindDoc="0" locked="0" layoutInCell="1" allowOverlap="1" wp14:anchorId="126C848E" wp14:editId="746BE940">
            <wp:simplePos x="0" y="0"/>
            <wp:positionH relativeFrom="column">
              <wp:posOffset>1128252</wp:posOffset>
            </wp:positionH>
            <wp:positionV relativeFrom="page">
              <wp:posOffset>2547907</wp:posOffset>
            </wp:positionV>
            <wp:extent cx="3771900" cy="1400175"/>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14:sizeRelH relativeFrom="page">
              <wp14:pctWidth>0</wp14:pctWidth>
            </wp14:sizeRelH>
            <wp14:sizeRelV relativeFrom="page">
              <wp14:pctHeight>0</wp14:pctHeight>
            </wp14:sizeRelV>
          </wp:anchor>
        </w:drawing>
      </w:r>
    </w:p>
    <w:p w14:paraId="14E4736C" w14:textId="20CA5A3D" w:rsidR="0070018E" w:rsidRPr="00FC6F34" w:rsidRDefault="0070018E" w:rsidP="0070018E">
      <w:pPr>
        <w:spacing w:line="276" w:lineRule="auto"/>
        <w:jc w:val="center"/>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0018E" w:rsidRPr="00FC6F34" w14:paraId="24157284" w14:textId="77777777" w:rsidTr="00764B31">
        <w:trPr>
          <w:trHeight w:val="315"/>
        </w:trPr>
        <w:tc>
          <w:tcPr>
            <w:tcW w:w="893" w:type="dxa"/>
            <w:vAlign w:val="center"/>
            <w:hideMark/>
          </w:tcPr>
          <w:p w14:paraId="1B2CC3B6" w14:textId="77777777" w:rsidR="0070018E" w:rsidRPr="00FC6F34" w:rsidRDefault="0070018E" w:rsidP="00764B31">
            <w:pPr>
              <w:contextualSpacing/>
              <w:rPr>
                <w:rFonts w:ascii="Verdana" w:hAnsi="Verdana" w:cs="Arial"/>
                <w:sz w:val="16"/>
                <w:szCs w:val="16"/>
                <w:lang w:val="es-ES" w:eastAsia="es-ES"/>
              </w:rPr>
            </w:pPr>
            <w:r w:rsidRPr="00FC6F3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F5CEFEA" w14:textId="77777777" w:rsidR="0070018E" w:rsidRPr="00FC6F34" w:rsidRDefault="0070018E" w:rsidP="00764B31">
            <w:pPr>
              <w:contextualSpacing/>
              <w:rPr>
                <w:rFonts w:ascii="Verdana" w:eastAsia="Arial" w:hAnsi="Verdana" w:cs="Arial"/>
                <w:color w:val="000000" w:themeColor="text1"/>
                <w:sz w:val="16"/>
                <w:szCs w:val="16"/>
                <w:lang w:val="es-ES"/>
              </w:rPr>
            </w:pPr>
            <w:r w:rsidRPr="00FC6F34">
              <w:rPr>
                <w:rFonts w:ascii="Verdana" w:eastAsia="Arial" w:hAnsi="Verdana" w:cs="Arial"/>
                <w:color w:val="000000" w:themeColor="text1"/>
                <w:sz w:val="16"/>
                <w:szCs w:val="16"/>
                <w:lang w:val="es-ES"/>
              </w:rPr>
              <w:t>Anamaría Bonilla Prieto</w:t>
            </w:r>
          </w:p>
          <w:p w14:paraId="4B6CB2D5" w14:textId="77777777" w:rsidR="0070018E" w:rsidRPr="00FC6F34" w:rsidRDefault="0070018E" w:rsidP="00764B31">
            <w:pPr>
              <w:contextualSpacing/>
              <w:rPr>
                <w:rFonts w:ascii="Verdana" w:eastAsia="Arial" w:hAnsi="Verdana" w:cs="Arial"/>
                <w:sz w:val="16"/>
                <w:szCs w:val="16"/>
                <w:lang w:val="es-ES"/>
              </w:rPr>
            </w:pPr>
            <w:r w:rsidRPr="00FC6F34">
              <w:rPr>
                <w:rStyle w:val="normaltextrun"/>
                <w:rFonts w:ascii="Verdana" w:eastAsia="Arial" w:hAnsi="Verdana" w:cs="Arial"/>
                <w:color w:val="000000" w:themeColor="text1"/>
                <w:sz w:val="16"/>
                <w:szCs w:val="16"/>
                <w:lang w:val="es-ES"/>
              </w:rPr>
              <w:t xml:space="preserve">Contratista de la Subdirección </w:t>
            </w:r>
            <w:r w:rsidRPr="00FC6F34">
              <w:rPr>
                <w:rStyle w:val="normaltextrun"/>
                <w:rFonts w:ascii="Verdana" w:eastAsia="Arial" w:hAnsi="Verdana" w:cs="Arial"/>
                <w:sz w:val="16"/>
                <w:szCs w:val="16"/>
                <w:lang w:val="es-ES"/>
              </w:rPr>
              <w:t>de Gestión Contractual</w:t>
            </w:r>
          </w:p>
        </w:tc>
      </w:tr>
      <w:tr w:rsidR="0070018E" w:rsidRPr="00FC6F34" w14:paraId="1C38A7A8" w14:textId="77777777" w:rsidTr="00764B31">
        <w:trPr>
          <w:trHeight w:val="330"/>
        </w:trPr>
        <w:tc>
          <w:tcPr>
            <w:tcW w:w="893" w:type="dxa"/>
            <w:vAlign w:val="center"/>
            <w:hideMark/>
          </w:tcPr>
          <w:p w14:paraId="65D70353" w14:textId="77777777" w:rsidR="0070018E" w:rsidRPr="00FC6F34" w:rsidRDefault="0070018E" w:rsidP="00764B31">
            <w:pPr>
              <w:contextualSpacing/>
              <w:rPr>
                <w:rFonts w:ascii="Verdana" w:hAnsi="Verdana" w:cs="Arial"/>
                <w:sz w:val="16"/>
                <w:szCs w:val="16"/>
                <w:lang w:val="es-ES" w:eastAsia="es-ES"/>
              </w:rPr>
            </w:pPr>
            <w:r w:rsidRPr="00FC6F3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4A76B09" w14:textId="77777777" w:rsidR="0070018E" w:rsidRPr="00D133FC" w:rsidRDefault="0070018E" w:rsidP="00764B31">
            <w:pPr>
              <w:pStyle w:val="paragraph"/>
              <w:spacing w:after="0"/>
              <w:contextualSpacing/>
              <w:textAlignment w:val="baseline"/>
              <w:rPr>
                <w:rFonts w:ascii="Verdana" w:hAnsi="Verdana" w:cs="Segoe UI"/>
                <w:sz w:val="16"/>
                <w:szCs w:val="16"/>
                <w:lang w:val="es-ES"/>
              </w:rPr>
            </w:pPr>
            <w:r w:rsidRPr="00D133FC">
              <w:rPr>
                <w:rFonts w:ascii="Verdana" w:hAnsi="Verdana" w:cs="Segoe UI"/>
                <w:sz w:val="16"/>
                <w:szCs w:val="16"/>
                <w:lang w:val="es-ES"/>
              </w:rPr>
              <w:t>Alejandro Sarmiento Cantillo</w:t>
            </w:r>
          </w:p>
          <w:p w14:paraId="25C1F09E" w14:textId="77777777" w:rsidR="0070018E" w:rsidRPr="00FC6F34" w:rsidRDefault="0070018E" w:rsidP="00764B31">
            <w:pPr>
              <w:pStyle w:val="paragraph"/>
              <w:spacing w:before="0" w:beforeAutospacing="0" w:after="0" w:afterAutospacing="0"/>
              <w:contextualSpacing/>
              <w:textAlignment w:val="baseline"/>
              <w:rPr>
                <w:rFonts w:ascii="Verdana" w:hAnsi="Verdana" w:cs="Segoe UI"/>
                <w:sz w:val="16"/>
                <w:szCs w:val="16"/>
                <w:lang w:val="es-ES"/>
              </w:rPr>
            </w:pPr>
            <w:r w:rsidRPr="00D133FC">
              <w:rPr>
                <w:rFonts w:ascii="Verdana" w:hAnsi="Verdana" w:cs="Segoe UI"/>
                <w:sz w:val="16"/>
                <w:szCs w:val="16"/>
                <w:lang w:val="es-ES"/>
              </w:rPr>
              <w:t>Gestor T1 ‒ 15 de la Subdirección de Gestión Contractual</w:t>
            </w:r>
          </w:p>
        </w:tc>
      </w:tr>
      <w:tr w:rsidR="0070018E" w:rsidRPr="00FC6F34" w14:paraId="57CC75BF" w14:textId="77777777" w:rsidTr="00764B31">
        <w:trPr>
          <w:trHeight w:val="300"/>
        </w:trPr>
        <w:tc>
          <w:tcPr>
            <w:tcW w:w="893" w:type="dxa"/>
            <w:vAlign w:val="center"/>
          </w:tcPr>
          <w:p w14:paraId="44848BBB" w14:textId="77777777" w:rsidR="0070018E" w:rsidRPr="00FC6F34" w:rsidRDefault="0070018E" w:rsidP="00764B31">
            <w:pPr>
              <w:contextualSpacing/>
              <w:rPr>
                <w:rFonts w:ascii="Verdana" w:hAnsi="Verdana" w:cs="Arial"/>
                <w:sz w:val="16"/>
                <w:szCs w:val="16"/>
                <w:lang w:val="es-ES" w:eastAsia="es-ES"/>
              </w:rPr>
            </w:pPr>
            <w:r w:rsidRPr="00FC6F3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BF16B83" w14:textId="77777777" w:rsidR="0070018E" w:rsidRPr="00FC6F34" w:rsidRDefault="0070018E" w:rsidP="00764B31">
            <w:pPr>
              <w:contextualSpacing/>
              <w:rPr>
                <w:rFonts w:ascii="Verdana" w:eastAsia="Calibri" w:hAnsi="Verdana" w:cs="Arial"/>
                <w:sz w:val="16"/>
                <w:szCs w:val="16"/>
                <w:lang w:val="es-ES" w:eastAsia="es-ES"/>
              </w:rPr>
            </w:pPr>
            <w:r w:rsidRPr="00FC6F34">
              <w:rPr>
                <w:rFonts w:ascii="Verdana" w:eastAsia="Calibri" w:hAnsi="Verdana" w:cs="Arial"/>
                <w:sz w:val="16"/>
                <w:szCs w:val="16"/>
                <w:lang w:val="es-ES" w:eastAsia="es-ES"/>
              </w:rPr>
              <w:t>Carolina Quintero Gacharná</w:t>
            </w:r>
          </w:p>
          <w:p w14:paraId="67B64D9D" w14:textId="77777777" w:rsidR="0070018E" w:rsidRPr="00FC6F34" w:rsidRDefault="0070018E" w:rsidP="00764B31">
            <w:pPr>
              <w:contextualSpacing/>
              <w:rPr>
                <w:rFonts w:ascii="Verdana" w:eastAsia="Calibri" w:hAnsi="Verdana" w:cs="Arial"/>
                <w:sz w:val="16"/>
                <w:szCs w:val="16"/>
                <w:lang w:val="es-ES" w:eastAsia="es-ES"/>
              </w:rPr>
            </w:pPr>
            <w:r w:rsidRPr="00FC6F34">
              <w:rPr>
                <w:rFonts w:ascii="Verdana" w:eastAsia="Calibri" w:hAnsi="Verdana" w:cs="Arial"/>
                <w:sz w:val="16"/>
                <w:szCs w:val="16"/>
                <w:lang w:val="es-ES" w:eastAsia="es-ES"/>
              </w:rPr>
              <w:t>Subdirectora de Gestión Contractual ANCP – CCE</w:t>
            </w:r>
          </w:p>
        </w:tc>
      </w:tr>
    </w:tbl>
    <w:p w14:paraId="59CE07F0" w14:textId="0232EC21" w:rsidR="0070018E" w:rsidRPr="00FC6F34" w:rsidRDefault="0070018E" w:rsidP="0070018E">
      <w:pPr>
        <w:spacing w:after="0" w:line="276" w:lineRule="auto"/>
        <w:jc w:val="center"/>
        <w:rPr>
          <w:lang w:val="es-ES"/>
        </w:rPr>
      </w:pPr>
    </w:p>
    <w:bookmarkEnd w:id="0"/>
    <w:p w14:paraId="0F293BF4" w14:textId="6B50351F" w:rsidR="00127233" w:rsidRPr="0070018E" w:rsidRDefault="00127233" w:rsidP="0070018E"/>
    <w:sectPr w:rsidR="00127233" w:rsidRPr="0070018E"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B0B5A9" w14:textId="77777777" w:rsidR="00046493" w:rsidRDefault="00046493" w:rsidP="004A1847">
      <w:pPr>
        <w:spacing w:after="0" w:line="240" w:lineRule="auto"/>
      </w:pPr>
      <w:r>
        <w:separator/>
      </w:r>
    </w:p>
  </w:endnote>
  <w:endnote w:type="continuationSeparator" w:id="0">
    <w:p w14:paraId="0E23DAEC" w14:textId="77777777" w:rsidR="00046493" w:rsidRDefault="00046493" w:rsidP="004A1847">
      <w:pPr>
        <w:spacing w:after="0" w:line="240" w:lineRule="auto"/>
      </w:pPr>
      <w:r>
        <w:continuationSeparator/>
      </w:r>
    </w:p>
  </w:endnote>
  <w:endnote w:type="continuationNotice" w:id="1">
    <w:p w14:paraId="58D56182" w14:textId="77777777" w:rsidR="00046493" w:rsidRDefault="0004649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758AB3" w14:textId="77777777" w:rsidR="00046493" w:rsidRDefault="00046493" w:rsidP="004A1847">
      <w:pPr>
        <w:spacing w:after="0" w:line="240" w:lineRule="auto"/>
      </w:pPr>
      <w:r>
        <w:separator/>
      </w:r>
    </w:p>
  </w:footnote>
  <w:footnote w:type="continuationSeparator" w:id="0">
    <w:p w14:paraId="380951D3" w14:textId="77777777" w:rsidR="00046493" w:rsidRDefault="00046493" w:rsidP="004A1847">
      <w:pPr>
        <w:spacing w:after="0" w:line="240" w:lineRule="auto"/>
      </w:pPr>
      <w:r>
        <w:continuationSeparator/>
      </w:r>
    </w:p>
  </w:footnote>
  <w:footnote w:type="continuationNotice" w:id="1">
    <w:p w14:paraId="6403DB22" w14:textId="77777777" w:rsidR="00046493" w:rsidRDefault="00046493">
      <w:pPr>
        <w:spacing w:after="0" w:line="240" w:lineRule="auto"/>
      </w:pPr>
    </w:p>
  </w:footnote>
  <w:footnote w:id="2">
    <w:p w14:paraId="224857E8" w14:textId="77777777" w:rsidR="0070018E" w:rsidRDefault="0070018E" w:rsidP="0070018E">
      <w:pPr>
        <w:pStyle w:val="Textonotapie"/>
        <w:ind w:firstLine="709"/>
        <w:jc w:val="both"/>
        <w:rPr>
          <w:rFonts w:ascii="Verdana" w:eastAsia="Calibri" w:hAnsi="Verdana" w:cs="Arial"/>
          <w:sz w:val="16"/>
          <w:szCs w:val="16"/>
          <w:lang w:val="es-ES_tradnl" w:eastAsia="es-ES_tradnl"/>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sz w:val="16"/>
          <w:szCs w:val="16"/>
          <w:lang w:val="es-ES_tradnl" w:eastAsia="es-ES_tradnl"/>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4C612C62" w14:textId="77777777" w:rsidR="0070018E" w:rsidRDefault="0070018E" w:rsidP="0070018E">
      <w:pPr>
        <w:pStyle w:val="Textonotapie"/>
        <w:ind w:firstLine="709"/>
        <w:jc w:val="both"/>
        <w:rPr>
          <w:rFonts w:ascii="Verdana" w:hAnsi="Verdana" w:cs="Arial"/>
          <w:sz w:val="16"/>
          <w:szCs w:val="16"/>
          <w:lang w:val="es-ES"/>
        </w:rPr>
      </w:pPr>
      <w:r>
        <w:rPr>
          <w:rFonts w:ascii="Verdana" w:eastAsia="Calibri" w:hAnsi="Verdana" w:cs="Arial"/>
          <w:sz w:val="16"/>
          <w:szCs w:val="16"/>
          <w:lang w:val="es-ES_tradnl" w:eastAsia="es-ES_tradnl"/>
        </w:rPr>
        <w:t>Sin embargo, en otros negocios, como la obra pública, la concesión y la consultoría, el Estado está acostumbrado a que se desglosen intensamente los costos, exigiendo no sólo el precio total sino una distinción entre los costos directos y los costos indirectos.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ítems que componen el contrato–. Los costos indirectos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3">
    <w:p w14:paraId="46F081EB" w14:textId="77777777" w:rsidR="0070018E" w:rsidRDefault="0070018E" w:rsidP="0070018E">
      <w:pPr>
        <w:spacing w:after="0" w:line="240" w:lineRule="auto"/>
        <w:ind w:firstLine="708"/>
        <w:contextualSpacing/>
        <w:jc w:val="both"/>
        <w:rPr>
          <w:rFonts w:ascii="Verdana" w:hAnsi="Verdana"/>
          <w:sz w:val="16"/>
          <w:szCs w:val="16"/>
        </w:rPr>
      </w:pPr>
      <w:r>
        <w:rPr>
          <w:rStyle w:val="Refdenotaalpie"/>
          <w:rFonts w:ascii="Verdana" w:hAnsi="Verdana"/>
          <w:sz w:val="16"/>
          <w:szCs w:val="16"/>
        </w:rPr>
        <w:footnoteRef/>
      </w:r>
      <w:r>
        <w:rPr>
          <w:rFonts w:ascii="Verdana" w:hAnsi="Verdana"/>
          <w:sz w:val="16"/>
          <w:szCs w:val="16"/>
        </w:rPr>
        <w:t xml:space="preserve"> CONSEJO DE ESTADO. Sala de lo Contencioso Administrativo. Sección Tercera Subsección A. C.P.: María Adriana Marín. Sentencia del 22 de agosto de 2023. Radicación número: 85001-23-33-000-2015-00211-01 (58.634). </w:t>
      </w:r>
    </w:p>
  </w:footnote>
  <w:footnote w:id="4">
    <w:p w14:paraId="13B4F7CE" w14:textId="77777777" w:rsidR="0070018E" w:rsidRDefault="0070018E" w:rsidP="0070018E">
      <w:pPr>
        <w:pStyle w:val="Textonotapie"/>
        <w:ind w:firstLine="708"/>
        <w:jc w:val="both"/>
        <w:rPr>
          <w:rFonts w:ascii="Verdana" w:hAnsi="Verdana"/>
          <w:sz w:val="16"/>
          <w:szCs w:val="16"/>
          <w:lang w:val="es-CO"/>
        </w:rPr>
      </w:pPr>
      <w:r>
        <w:rPr>
          <w:rStyle w:val="Refdenotaalpie"/>
          <w:rFonts w:ascii="Verdana" w:hAnsi="Verdana"/>
          <w:sz w:val="16"/>
          <w:szCs w:val="16"/>
        </w:rPr>
        <w:footnoteRef/>
      </w:r>
      <w:r>
        <w:rPr>
          <w:rFonts w:ascii="Verdana" w:hAnsi="Verdana"/>
          <w:sz w:val="16"/>
          <w:szCs w:val="16"/>
        </w:rPr>
        <w:t xml:space="preserve"> </w:t>
      </w:r>
      <w:r>
        <w:rPr>
          <w:rFonts w:ascii="Verdana" w:hAnsi="Verdana"/>
          <w:sz w:val="16"/>
          <w:szCs w:val="16"/>
          <w:lang w:val="es-CO"/>
        </w:rPr>
        <w:t xml:space="preserve">CONSEJO DE ESTADO. Sala de Consulta y Servicio Civil. C..P: Édgar González López. Sentencia del 5 de septiembre de 2018. Expediente: 2386. </w:t>
      </w:r>
    </w:p>
  </w:footnote>
  <w:footnote w:id="5">
    <w:p w14:paraId="20934EBD" w14:textId="77777777" w:rsidR="0070018E" w:rsidRDefault="0070018E" w:rsidP="0070018E">
      <w:pPr>
        <w:pStyle w:val="Textonotapie"/>
        <w:ind w:firstLine="708"/>
        <w:jc w:val="both"/>
        <w:rPr>
          <w:rFonts w:ascii="Verdana" w:hAnsi="Verdana"/>
          <w:sz w:val="16"/>
          <w:szCs w:val="16"/>
        </w:rPr>
      </w:pPr>
      <w:r>
        <w:rPr>
          <w:rStyle w:val="Refdenotaalpie"/>
          <w:rFonts w:ascii="Verdana" w:hAnsi="Verdana"/>
          <w:sz w:val="16"/>
          <w:szCs w:val="16"/>
        </w:rPr>
        <w:footnoteRef/>
      </w:r>
      <w:r>
        <w:rPr>
          <w:rFonts w:ascii="Verdana" w:hAnsi="Verdana"/>
          <w:sz w:val="16"/>
          <w:szCs w:val="16"/>
        </w:rPr>
        <w:t xml:space="preserve"> CONSEJO DE ESTADO. Sala de lo Contencioso Administrativo. Sección Tercera. Subsección A. C.P.: Hernán Andrade Rincón (E). Sentencia del 29 de julio de 2015. Radicación número: 68001-23-31-000-2002-02796-01 (41.008).</w:t>
      </w:r>
    </w:p>
    <w:p w14:paraId="4E406547" w14:textId="77777777" w:rsidR="0070018E" w:rsidRDefault="0070018E" w:rsidP="0070018E">
      <w:pPr>
        <w:pStyle w:val="Textonotapie"/>
        <w:jc w:val="both"/>
        <w:rPr>
          <w:rFonts w:ascii="Verdana" w:hAnsi="Verdana"/>
          <w:sz w:val="16"/>
          <w:szCs w:val="16"/>
        </w:rPr>
      </w:pPr>
    </w:p>
  </w:footnote>
  <w:footnote w:id="6">
    <w:p w14:paraId="177A2C9D" w14:textId="77777777" w:rsidR="0070018E" w:rsidRDefault="0070018E" w:rsidP="0070018E">
      <w:pPr>
        <w:pStyle w:val="Textonotapie"/>
        <w:ind w:firstLine="709"/>
        <w:jc w:val="both"/>
        <w:rPr>
          <w:rFonts w:ascii="Verdana" w:hAnsi="Verdana" w:cs="Arial"/>
          <w:color w:val="000000" w:themeColor="text1"/>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color w:val="000000" w:themeColor="text1"/>
          <w:sz w:val="16"/>
          <w:szCs w:val="16"/>
        </w:rPr>
        <w:t xml:space="preserve">CONSEJO DE ESTADO. </w:t>
      </w:r>
      <w:r>
        <w:rPr>
          <w:rFonts w:ascii="Verdana" w:hAnsi="Verdana"/>
          <w:sz w:val="16"/>
          <w:szCs w:val="16"/>
        </w:rPr>
        <w:t xml:space="preserve">Sala de lo Contencioso Administrativo. </w:t>
      </w:r>
      <w:r>
        <w:rPr>
          <w:rFonts w:ascii="Verdana" w:hAnsi="Verdana" w:cs="Arial"/>
          <w:color w:val="000000" w:themeColor="text1"/>
          <w:sz w:val="16"/>
          <w:szCs w:val="16"/>
        </w:rPr>
        <w:t xml:space="preserve">Sección Tercera. Subsección B. </w:t>
      </w:r>
      <w:r>
        <w:rPr>
          <w:rFonts w:ascii="Verdana" w:hAnsi="Verdana"/>
          <w:sz w:val="16"/>
          <w:szCs w:val="16"/>
          <w:lang w:val="es-CO"/>
        </w:rPr>
        <w:t xml:space="preserve">C.P: </w:t>
      </w:r>
      <w:r>
        <w:rPr>
          <w:rFonts w:ascii="Verdana" w:hAnsi="Verdana" w:cs="Arial"/>
          <w:color w:val="000000" w:themeColor="text1"/>
          <w:sz w:val="16"/>
          <w:szCs w:val="16"/>
        </w:rPr>
        <w:t>Ruth Stella Correa Palacio. Sentencia del 14 de octubre de 2011. Expediente: 20811.</w:t>
      </w:r>
    </w:p>
  </w:footnote>
  <w:footnote w:id="7">
    <w:p w14:paraId="450E3204" w14:textId="77777777" w:rsidR="0070018E" w:rsidRDefault="0070018E" w:rsidP="0070018E">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sz w:val="16"/>
          <w:szCs w:val="16"/>
          <w:lang w:val="es-ES_tradnl" w:eastAsia="es-ES_tradnl"/>
        </w:rPr>
        <w:t>CONSEJO DE ESTADO. Sección Tercera. Subsección B. Sentencia del 29 de febrero de 2012. Exp. 16371, C.P. Danilo Rojas Betancourth.</w:t>
      </w:r>
    </w:p>
  </w:footnote>
  <w:footnote w:id="8">
    <w:p w14:paraId="4CA19905" w14:textId="77777777" w:rsidR="0070018E" w:rsidRDefault="0070018E" w:rsidP="0070018E">
      <w:pPr>
        <w:pStyle w:val="Textonotapie"/>
        <w:ind w:firstLine="708"/>
        <w:rPr>
          <w:rFonts w:ascii="Verdana" w:hAnsi="Verdana"/>
          <w:sz w:val="16"/>
          <w:szCs w:val="16"/>
          <w:lang w:val="es-ES"/>
        </w:rPr>
      </w:pPr>
      <w:r>
        <w:rPr>
          <w:rStyle w:val="Refdenotaalpie"/>
          <w:rFonts w:ascii="Verdana" w:hAnsi="Verdana"/>
          <w:sz w:val="16"/>
          <w:szCs w:val="16"/>
        </w:rPr>
        <w:footnoteRef/>
      </w:r>
      <w:r>
        <w:rPr>
          <w:rFonts w:ascii="Verdana" w:hAnsi="Verdana"/>
          <w:sz w:val="16"/>
          <w:szCs w:val="16"/>
        </w:rPr>
        <w:t xml:space="preserve"> </w:t>
      </w:r>
      <w:r>
        <w:rPr>
          <w:rFonts w:ascii="Verdana" w:hAnsi="Verdana"/>
          <w:sz w:val="16"/>
          <w:szCs w:val="16"/>
          <w:lang w:val="es-CO"/>
        </w:rPr>
        <w:t>Consejo de Estado. Sección Tercera. Sentencia del 29 de febrero de 2012. Rad:16371</w:t>
      </w:r>
    </w:p>
  </w:footnote>
  <w:footnote w:id="9">
    <w:p w14:paraId="6E783F49" w14:textId="77777777" w:rsidR="0070018E" w:rsidRDefault="0070018E" w:rsidP="0070018E">
      <w:pPr>
        <w:pStyle w:val="Textonotapie"/>
        <w:ind w:firstLine="708"/>
        <w:rPr>
          <w:rFonts w:ascii="Verdana" w:hAnsi="Verdana"/>
          <w:sz w:val="16"/>
          <w:szCs w:val="16"/>
          <w:lang w:val="es-ES"/>
        </w:rPr>
      </w:pPr>
      <w:r>
        <w:rPr>
          <w:rStyle w:val="Refdenotaalpie"/>
          <w:rFonts w:ascii="Verdana" w:hAnsi="Verdana"/>
          <w:sz w:val="16"/>
          <w:szCs w:val="16"/>
        </w:rPr>
        <w:footnoteRef/>
      </w:r>
      <w:r>
        <w:rPr>
          <w:rFonts w:ascii="Verdana" w:hAnsi="Verdana"/>
          <w:sz w:val="16"/>
          <w:szCs w:val="16"/>
        </w:rPr>
        <w:t xml:space="preserve"> </w:t>
      </w:r>
      <w:r>
        <w:rPr>
          <w:rFonts w:ascii="Verdana" w:hAnsi="Verdana"/>
          <w:sz w:val="16"/>
          <w:szCs w:val="16"/>
          <w:lang w:val="es-ES"/>
        </w:rPr>
        <w:t>Ídem.</w:t>
      </w:r>
    </w:p>
  </w:footnote>
  <w:footnote w:id="10">
    <w:p w14:paraId="1620D7FF" w14:textId="77777777" w:rsidR="0070018E" w:rsidRDefault="0070018E" w:rsidP="0070018E">
      <w:pPr>
        <w:pStyle w:val="Textonotapie"/>
        <w:ind w:firstLine="708"/>
        <w:rPr>
          <w:rFonts w:ascii="Verdana" w:hAnsi="Verdana"/>
          <w:sz w:val="16"/>
          <w:szCs w:val="16"/>
          <w:lang w:val="es-ES"/>
        </w:rPr>
      </w:pPr>
      <w:r>
        <w:rPr>
          <w:rStyle w:val="Refdenotaalpie"/>
          <w:rFonts w:ascii="Verdana" w:hAnsi="Verdana"/>
          <w:sz w:val="16"/>
          <w:szCs w:val="16"/>
        </w:rPr>
        <w:footnoteRef/>
      </w:r>
      <w:r>
        <w:rPr>
          <w:rFonts w:ascii="Verdana" w:hAnsi="Verdana"/>
          <w:sz w:val="16"/>
          <w:szCs w:val="16"/>
        </w:rPr>
        <w:t xml:space="preserve"> </w:t>
      </w:r>
      <w:r>
        <w:rPr>
          <w:rFonts w:ascii="Verdana" w:hAnsi="Verdana"/>
          <w:sz w:val="16"/>
          <w:szCs w:val="16"/>
          <w:lang w:val="es-CO"/>
        </w:rPr>
        <w:t>Consejo de Estado. Sección Tercera. Sentencia del 14 de marzo de 2013. Rad:20.524.</w:t>
      </w:r>
    </w:p>
  </w:footnote>
  <w:footnote w:id="11">
    <w:p w14:paraId="050B0A83" w14:textId="77777777" w:rsidR="0070018E" w:rsidRDefault="0070018E" w:rsidP="0070018E">
      <w:pPr>
        <w:pStyle w:val="Textonotapie"/>
        <w:ind w:firstLine="708"/>
        <w:rPr>
          <w:rFonts w:ascii="Verdana" w:hAnsi="Verdana"/>
          <w:sz w:val="16"/>
          <w:szCs w:val="16"/>
          <w:lang w:val="es-ES"/>
        </w:rPr>
      </w:pPr>
      <w:r>
        <w:rPr>
          <w:rStyle w:val="Refdenotaalpie"/>
          <w:rFonts w:ascii="Verdana" w:hAnsi="Verdana"/>
          <w:sz w:val="16"/>
          <w:szCs w:val="16"/>
        </w:rPr>
        <w:footnoteRef/>
      </w:r>
      <w:r>
        <w:rPr>
          <w:rFonts w:ascii="Verdana" w:hAnsi="Verdana"/>
          <w:sz w:val="16"/>
          <w:szCs w:val="16"/>
        </w:rPr>
        <w:t xml:space="preserve"> Consejo de Estado. Sección Tercera. Sentencia del veintiocho (28) de febrero de dos mil veintidós (2022). C.P. Nicolás Yepes Corrales. Rad. 65483.</w:t>
      </w:r>
    </w:p>
  </w:footnote>
  <w:footnote w:id="12">
    <w:p w14:paraId="139EF1E6" w14:textId="77777777" w:rsidR="0070018E" w:rsidRDefault="0070018E" w:rsidP="0070018E">
      <w:pPr>
        <w:pStyle w:val="Textonotapie"/>
        <w:ind w:firstLine="709"/>
        <w:jc w:val="both"/>
        <w:rPr>
          <w:rFonts w:ascii="Verdana" w:hAnsi="Verdana" w:cs="Arial"/>
          <w:sz w:val="16"/>
          <w:szCs w:val="16"/>
          <w:lang w:val="es-CO"/>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sz w:val="16"/>
          <w:szCs w:val="16"/>
          <w:lang w:val="es-ES_tradnl" w:eastAsia="es-ES_tradnl"/>
        </w:rPr>
        <w:t>PINO RICCI, Jorge. El régimen jurídico de los contratos estatales. Universidad Externado de Colombia. Bogotá, 2005. pp. 416.</w:t>
      </w:r>
    </w:p>
  </w:footnote>
  <w:footnote w:id="13">
    <w:p w14:paraId="53B2C1C5" w14:textId="77777777" w:rsidR="0070018E" w:rsidRDefault="0070018E" w:rsidP="0070018E">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sz w:val="16"/>
          <w:szCs w:val="16"/>
          <w:lang w:val="es-ES_tradnl" w:eastAsia="es-ES_tradnl"/>
        </w:rPr>
        <w:t>CONSEJO DE ESTADO. Sección Tercera. Subsección B. Sentencia del 14 de octubre de 2011. Exp. 20811, C.P. Ruth Stella Correa Palacio.</w:t>
      </w:r>
    </w:p>
  </w:footnote>
  <w:footnote w:id="14">
    <w:p w14:paraId="0BC08BC5" w14:textId="77777777" w:rsidR="0070018E" w:rsidRDefault="0070018E" w:rsidP="0070018E">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sz w:val="16"/>
          <w:szCs w:val="16"/>
          <w:lang w:val="es-ES_tradnl" w:eastAsia="es-ES_tradnl"/>
        </w:rPr>
        <w:t>CONSEJO DE ESTADO. Sala de Consulta y Servicio Civil. Concepto del 5 de septiembre de 2018, radicado No. 11001-03-06-000-2018-00124-00 C.P. Édgar González López.</w:t>
      </w:r>
    </w:p>
  </w:footnote>
  <w:footnote w:id="15">
    <w:p w14:paraId="74BEB8F0" w14:textId="77777777" w:rsidR="0070018E" w:rsidRDefault="0070018E" w:rsidP="0070018E">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sz w:val="16"/>
          <w:szCs w:val="16"/>
          <w:lang w:val="es-ES_tradnl" w:eastAsia="es-ES_tradnl"/>
        </w:rPr>
        <w:t>“Los costos indirectos incorporados en el A, corresponden como regla general a gastos de la oficina central, honorarios del director de obra, y de personal especializado. Generalmente estos costos pueden estar compartidos con los diversos contratos de obra que en forma simultánea esté ejecutando el contratista. Un ejemplo corresponde a los costos de la oficina central, y de los asesores de proyectos”.</w:t>
      </w:r>
    </w:p>
  </w:footnote>
  <w:footnote w:id="16">
    <w:p w14:paraId="53C9CE1D" w14:textId="77777777" w:rsidR="0070018E" w:rsidRDefault="0070018E" w:rsidP="0070018E">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sz w:val="16"/>
          <w:szCs w:val="16"/>
          <w:lang w:val="es-ES_tradnl" w:eastAsia="es-ES_tradnl"/>
        </w:rPr>
        <w:t>“[…] la utilidad es el beneficio económico que pretende percibir el contratista por la ejecución del contrato y por costos de administración se han tenido como tales los que constituyen costos indirectos para la operación del contrato, tales como los gastos de disponibilidad de la organización del contratista; el porcentaje para imprevistos, como su nombre lo indica, está destinado a cubrir los gastos con los que no se contaba y que se presenten durante la ejecución del contrato” (Consejo de Estado. Sección Tercera. Consejero Ponente: Ramiro Saavedra Becerra. Sentencia del 28 de agosto de 2003. Radicado: 17.554).</w:t>
      </w:r>
      <w:r>
        <w:rPr>
          <w:rFonts w:ascii="Verdana" w:hAnsi="Verdana" w:cs="Arial"/>
          <w:sz w:val="16"/>
          <w:szCs w:val="16"/>
          <w:lang w:val="es-ES_tradnl"/>
        </w:rPr>
        <w:t xml:space="preserve"> </w:t>
      </w:r>
    </w:p>
  </w:footnote>
  <w:footnote w:id="17">
    <w:p w14:paraId="7FF52358" w14:textId="77777777" w:rsidR="0070018E" w:rsidRDefault="0070018E" w:rsidP="0070018E">
      <w:pPr>
        <w:pStyle w:val="Textonotapie"/>
        <w:ind w:firstLine="709"/>
        <w:jc w:val="both"/>
        <w:rPr>
          <w:rFonts w:ascii="Verdana" w:eastAsia="Calibri" w:hAnsi="Verdana" w:cs="Arial"/>
          <w:sz w:val="16"/>
          <w:szCs w:val="16"/>
          <w:lang w:val="es-ES_tradnl" w:eastAsia="es-ES_tradnl"/>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sz w:val="16"/>
          <w:szCs w:val="16"/>
          <w:lang w:val="es-ES_tradnl" w:eastAsia="es-ES_tradnl"/>
        </w:rPr>
        <w:t>MARÍN, Op. Cit., pp. 64-65.</w:t>
      </w:r>
    </w:p>
  </w:footnote>
  <w:footnote w:id="18">
    <w:p w14:paraId="7A59EDFC" w14:textId="77777777" w:rsidR="0070018E" w:rsidRDefault="0070018E" w:rsidP="0070018E">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sz w:val="16"/>
          <w:szCs w:val="16"/>
          <w:lang w:val="es-ES_tradnl" w:eastAsia="es-ES_tradnl"/>
        </w:rPr>
        <w:t>Ibíd., p. 66.</w:t>
      </w:r>
    </w:p>
  </w:footnote>
  <w:footnote w:id="19">
    <w:p w14:paraId="670BE909" w14:textId="77777777" w:rsidR="0070018E" w:rsidRDefault="0070018E" w:rsidP="0070018E">
      <w:pPr>
        <w:pStyle w:val="Textonotapie"/>
        <w:ind w:firstLine="708"/>
        <w:jc w:val="both"/>
        <w:rPr>
          <w:rFonts w:ascii="Verdana" w:hAnsi="Verdana" w:cs="Arial"/>
          <w:bCs/>
          <w:sz w:val="16"/>
          <w:szCs w:val="16"/>
          <w:lang w:val="es-ES_tradnl"/>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sz w:val="16"/>
          <w:szCs w:val="16"/>
          <w:lang w:val="es-ES_tradnl" w:eastAsia="es-ES_tradnl"/>
        </w:rPr>
        <w:t>“Que el porcentaje sea superior o inferior, o que para una empresa sea mayor o menor que para otra, depende de muchas razones, por ejemplo: del personal que se requiera en la obra –unas empresas emplean más o menos que otras–; de la magnitud del trabajo; de las cargas administrativas que cada empresa tienen –pensionados, convenciones colectivas y otros; del tamaño de la misma –mientras más grande es la A tiende a ser mayor; del costo de los campamentos; del transporte del personal; del sitio de las obras –si la empresa tiene un domicilio en el lugar del trabajo su A tiende a ser menor, y si se encuentra en otra ciudad tiende a subir, por ejemplo porque el salario de los ingenieros se incrementa por los viáticos–”. (Ibíd, p. 76).</w:t>
      </w:r>
    </w:p>
  </w:footnote>
  <w:footnote w:id="20">
    <w:p w14:paraId="4EF7EE49" w14:textId="77777777" w:rsidR="0070018E" w:rsidRDefault="0070018E" w:rsidP="0070018E">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sz w:val="16"/>
          <w:szCs w:val="16"/>
          <w:lang w:val="es-ES_tradnl" w:eastAsia="es-ES_tradnl"/>
        </w:rPr>
        <w:t>Lo anterior, sin perjuicio de las fórmulas de reajuste que se establezcan en el contrato y lo establecido en el artículo 27 de la Ley 80 de 1993. En tal sentido, en los casos de desequilibrio económico, porque los costos indirectos en los que incurre el contratista exceden el alea normal, es decir, le causan una afectación grave de su economía, podría exigirle a la entidad que le pague más de lo que se estipuló en la A o en la I, siendo esta una circunstancia extraordinaria.</w:t>
      </w:r>
    </w:p>
  </w:footnote>
  <w:footnote w:id="21">
    <w:p w14:paraId="187D5591" w14:textId="77777777" w:rsidR="0070018E" w:rsidRDefault="0070018E" w:rsidP="0070018E">
      <w:pPr>
        <w:pStyle w:val="Textonotapie"/>
        <w:ind w:firstLine="709"/>
        <w:jc w:val="both"/>
        <w:rPr>
          <w:lang w:val="es-CO"/>
        </w:rPr>
      </w:pPr>
      <w:r>
        <w:rPr>
          <w:rStyle w:val="Refdenotaalpie"/>
        </w:rPr>
        <w:footnoteRef/>
      </w:r>
      <w:r>
        <w:t xml:space="preserve"> </w:t>
      </w:r>
      <w:r>
        <w:rPr>
          <w:rFonts w:ascii="Verdana" w:hAnsi="Verdana" w:cs="Arial"/>
          <w:sz w:val="16"/>
          <w:szCs w:val="16"/>
          <w:lang w:val="es-ES_tradnl"/>
        </w:rPr>
        <w:t>Consejo de Estado. Sala de Consulta y Servicio Civil. Concepto del 5 de septiembre de 2018, radicado No. 11001-03-06-000-2018-00124-00, C.P. Édgar González López</w:t>
      </w:r>
    </w:p>
  </w:footnote>
  <w:footnote w:id="22">
    <w:p w14:paraId="1B48567F" w14:textId="77777777" w:rsidR="0070018E" w:rsidRDefault="0070018E" w:rsidP="0070018E">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sz w:val="16"/>
          <w:szCs w:val="16"/>
          <w:lang w:val="es-ES_tradnl" w:eastAsia="es-ES_tradnl"/>
        </w:rPr>
        <w:t>Ibíd, p. 77.</w:t>
      </w:r>
      <w:r>
        <w:rPr>
          <w:rFonts w:ascii="Verdana" w:hAnsi="Verdana" w:cs="Arial"/>
          <w:sz w:val="16"/>
          <w:szCs w:val="16"/>
          <w:lang w:val="es-ES_tradnl"/>
        </w:rPr>
        <w:t xml:space="preserve"> </w:t>
      </w:r>
    </w:p>
    <w:p w14:paraId="412B102B" w14:textId="77777777" w:rsidR="0070018E" w:rsidRDefault="0070018E" w:rsidP="0070018E">
      <w:pPr>
        <w:pStyle w:val="Textonotapie"/>
        <w:ind w:firstLine="708"/>
        <w:jc w:val="both"/>
        <w:rPr>
          <w:rFonts w:ascii="Verdana" w:hAnsi="Verdana" w:cs="Arial"/>
          <w:sz w:val="16"/>
          <w:szCs w:val="16"/>
          <w:lang w:val="es-CO"/>
        </w:rPr>
      </w:pPr>
    </w:p>
  </w:footnote>
  <w:footnote w:id="23">
    <w:p w14:paraId="2C1806C8" w14:textId="77777777" w:rsidR="0070018E" w:rsidRPr="00210C7D" w:rsidRDefault="0070018E" w:rsidP="0070018E">
      <w:pPr>
        <w:pStyle w:val="Textonotapie"/>
        <w:ind w:firstLine="709"/>
        <w:jc w:val="both"/>
        <w:rPr>
          <w:rFonts w:ascii="Verdana" w:hAnsi="Verdana" w:cs="Arial"/>
          <w:color w:val="000000" w:themeColor="text1"/>
          <w:sz w:val="16"/>
          <w:szCs w:val="16"/>
        </w:rPr>
      </w:pPr>
      <w:r w:rsidRPr="00210C7D">
        <w:rPr>
          <w:rStyle w:val="Refdenotaalpie"/>
          <w:rFonts w:ascii="Verdana" w:hAnsi="Verdana" w:cs="Arial"/>
          <w:sz w:val="16"/>
          <w:szCs w:val="16"/>
        </w:rPr>
        <w:footnoteRef/>
      </w:r>
      <w:r w:rsidRPr="00210C7D">
        <w:rPr>
          <w:rFonts w:ascii="Verdana" w:hAnsi="Verdana" w:cs="Arial"/>
          <w:sz w:val="16"/>
          <w:szCs w:val="16"/>
        </w:rPr>
        <w:t xml:space="preserve"> </w:t>
      </w:r>
      <w:r w:rsidRPr="00210C7D">
        <w:rPr>
          <w:rFonts w:ascii="Verdana" w:hAnsi="Verdana" w:cs="Arial"/>
          <w:color w:val="000000" w:themeColor="text1"/>
          <w:sz w:val="16"/>
          <w:szCs w:val="16"/>
        </w:rPr>
        <w:t xml:space="preserve">Consejo de Estado. Sentencia del 28 de junio de 2012. Rad. Nro. 21990. C.P: Ruth Stella Correa Palacio. </w:t>
      </w:r>
    </w:p>
  </w:footnote>
  <w:footnote w:id="24">
    <w:p w14:paraId="30C8F33C" w14:textId="77777777" w:rsidR="0070018E" w:rsidRPr="00210C7D" w:rsidRDefault="0070018E" w:rsidP="0070018E">
      <w:pPr>
        <w:pStyle w:val="Textonotapie"/>
        <w:ind w:firstLine="709"/>
        <w:jc w:val="both"/>
        <w:rPr>
          <w:rFonts w:ascii="Verdana" w:hAnsi="Verdana" w:cs="Arial"/>
          <w:iCs/>
          <w:sz w:val="16"/>
          <w:szCs w:val="16"/>
        </w:rPr>
      </w:pPr>
      <w:r w:rsidRPr="00210C7D">
        <w:rPr>
          <w:rStyle w:val="Refdenotaalpie"/>
          <w:rFonts w:ascii="Verdana" w:hAnsi="Verdana" w:cs="Arial"/>
          <w:sz w:val="16"/>
          <w:szCs w:val="16"/>
        </w:rPr>
        <w:footnoteRef/>
      </w:r>
      <w:r w:rsidRPr="00210C7D">
        <w:rPr>
          <w:rFonts w:ascii="Verdana" w:hAnsi="Verdana" w:cs="Arial"/>
          <w:sz w:val="16"/>
          <w:szCs w:val="16"/>
        </w:rPr>
        <w:t xml:space="preserve"> </w:t>
      </w:r>
      <w:r w:rsidRPr="00210C7D">
        <w:rPr>
          <w:rFonts w:ascii="Verdana" w:hAnsi="Verdana" w:cs="Arial"/>
          <w:iCs/>
          <w:sz w:val="16"/>
          <w:szCs w:val="16"/>
          <w:lang w:val="es-CO"/>
        </w:rPr>
        <w:t xml:space="preserve">IBAÑEZ NAJAR, Jorge Enrique. </w:t>
      </w:r>
      <w:r w:rsidRPr="00210C7D">
        <w:rPr>
          <w:rFonts w:ascii="Verdana" w:hAnsi="Verdana" w:cs="Arial"/>
          <w:iCs/>
          <w:sz w:val="16"/>
          <w:szCs w:val="16"/>
        </w:rPr>
        <w:t xml:space="preserve">La conmutatividad del contrato estatal y su equilibrio económico y financiero. La obligación de conservarlo, su ruptura y la obligación de restablecerlo según la ley </w:t>
      </w:r>
      <w:r w:rsidRPr="00210C7D">
        <w:rPr>
          <w:rFonts w:ascii="Verdana" w:hAnsi="Verdana" w:cs="Arial"/>
          <w:iCs/>
          <w:sz w:val="16"/>
          <w:szCs w:val="16"/>
          <w:lang w:val="es-CO"/>
        </w:rPr>
        <w:t>y la jurisprudencia. En: PALACIO JARAMILLO, María Teresa (editora académica). Contratos Estatales. Tomo II. 2022. Bogotá: Universidad del Rosario. P. 630</w:t>
      </w:r>
    </w:p>
  </w:footnote>
  <w:footnote w:id="25">
    <w:p w14:paraId="282810B3" w14:textId="77777777" w:rsidR="0070018E" w:rsidRPr="000E4887" w:rsidRDefault="0070018E" w:rsidP="0070018E">
      <w:pPr>
        <w:pStyle w:val="Textonotapie"/>
        <w:ind w:firstLine="708"/>
        <w:jc w:val="both"/>
        <w:rPr>
          <w:rFonts w:ascii="Verdana" w:hAnsi="Verdana"/>
          <w:sz w:val="16"/>
          <w:szCs w:val="16"/>
          <w:lang w:val="es-CO"/>
        </w:rPr>
      </w:pPr>
      <w:r w:rsidRPr="000E4887">
        <w:rPr>
          <w:rStyle w:val="Refdenotaalpie"/>
          <w:rFonts w:ascii="Verdana" w:hAnsi="Verdana"/>
          <w:sz w:val="16"/>
          <w:szCs w:val="16"/>
        </w:rPr>
        <w:footnoteRef/>
      </w:r>
      <w:r w:rsidRPr="000E4887">
        <w:rPr>
          <w:rFonts w:ascii="Verdana" w:hAnsi="Verdana"/>
          <w:sz w:val="16"/>
          <w:szCs w:val="16"/>
        </w:rPr>
        <w:t xml:space="preserve"> </w:t>
      </w:r>
      <w:r>
        <w:rPr>
          <w:rFonts w:ascii="Verdana" w:hAnsi="Verdana"/>
          <w:sz w:val="16"/>
          <w:szCs w:val="16"/>
        </w:rPr>
        <w:t xml:space="preserve">CONSEJO DE ESTADO. Sección Tercera. Subsección C. Sentencia del 20 de abril de 2022. Exp. </w:t>
      </w:r>
      <w:r w:rsidRPr="000E4887">
        <w:rPr>
          <w:rFonts w:ascii="Verdana" w:hAnsi="Verdana"/>
          <w:sz w:val="16"/>
          <w:szCs w:val="16"/>
        </w:rPr>
        <w:t>56508</w:t>
      </w:r>
      <w:r>
        <w:rPr>
          <w:rFonts w:ascii="Verdana" w:hAnsi="Verdana"/>
          <w:sz w:val="16"/>
          <w:szCs w:val="16"/>
        </w:rPr>
        <w:t xml:space="preserve">. C.P. </w:t>
      </w:r>
      <w:r w:rsidRPr="000E4887">
        <w:rPr>
          <w:rFonts w:ascii="Verdana" w:hAnsi="Verdana"/>
          <w:sz w:val="16"/>
          <w:szCs w:val="16"/>
        </w:rPr>
        <w:t>Nicolás Yepes Corrales</w:t>
      </w:r>
      <w:r>
        <w:rPr>
          <w:rFonts w:ascii="Verdana" w:hAnsi="Verdana"/>
          <w:sz w:val="16"/>
          <w:szCs w:val="16"/>
        </w:rPr>
        <w:t>.</w:t>
      </w:r>
    </w:p>
  </w:footnote>
  <w:footnote w:id="26">
    <w:p w14:paraId="24157CF1" w14:textId="77777777" w:rsidR="0070018E" w:rsidRPr="00210C7D" w:rsidRDefault="0070018E" w:rsidP="0070018E">
      <w:pPr>
        <w:pStyle w:val="Textonotapie"/>
        <w:ind w:firstLine="709"/>
        <w:jc w:val="both"/>
        <w:rPr>
          <w:rFonts w:ascii="Verdana" w:hAnsi="Verdana" w:cs="Arial"/>
          <w:sz w:val="16"/>
          <w:szCs w:val="16"/>
          <w:lang w:val="es-CO"/>
        </w:rPr>
      </w:pPr>
      <w:r w:rsidRPr="00210C7D">
        <w:rPr>
          <w:rStyle w:val="Refdenotaalpie"/>
          <w:rFonts w:ascii="Verdana" w:hAnsi="Verdana" w:cs="Arial"/>
          <w:sz w:val="16"/>
          <w:szCs w:val="16"/>
        </w:rPr>
        <w:footnoteRef/>
      </w:r>
      <w:r w:rsidRPr="00210C7D">
        <w:rPr>
          <w:rFonts w:ascii="Verdana" w:hAnsi="Verdana" w:cs="Arial"/>
          <w:sz w:val="16"/>
          <w:szCs w:val="16"/>
        </w:rPr>
        <w:t xml:space="preserve">  Consejo de Estado. Sección Tercera. Sentencia del 31 de agosto de 2011. Exp. 18.080. CP.: Ruth Stella Correa Palacio. Reiterada en </w:t>
      </w:r>
      <w:r w:rsidRPr="00210C7D">
        <w:rPr>
          <w:rFonts w:ascii="Verdana" w:hAnsi="Verdana" w:cs="Arial"/>
          <w:sz w:val="16"/>
          <w:szCs w:val="16"/>
          <w:lang w:val="es-CO"/>
        </w:rPr>
        <w:t xml:space="preserve">Sentencia del 8 de febrero de 2012. Exp. 20344. </w:t>
      </w:r>
      <w:r w:rsidRPr="00210C7D">
        <w:rPr>
          <w:rFonts w:ascii="Verdana" w:hAnsi="Verdana" w:cs="Arial"/>
          <w:sz w:val="16"/>
          <w:szCs w:val="16"/>
        </w:rPr>
        <w:t>También ver: Consejo de Estado, Sección Tercera, sentencia de 9 de mayo de 1996, exp. 10.151, reiterada en sentencias de 29 de abril y 21 de julio de 1999, exp. 14.885 y exp. 14.943, C.P. Daniel Suárez Hernández.</w:t>
      </w:r>
    </w:p>
  </w:footnote>
  <w:footnote w:id="27">
    <w:p w14:paraId="67670230" w14:textId="77777777" w:rsidR="0070018E" w:rsidRPr="00210C7D" w:rsidRDefault="0070018E" w:rsidP="0070018E">
      <w:pPr>
        <w:pStyle w:val="Textonotapie"/>
        <w:ind w:firstLine="708"/>
        <w:jc w:val="both"/>
        <w:rPr>
          <w:rFonts w:ascii="Verdana" w:hAnsi="Verdana" w:cs="Arial"/>
          <w:sz w:val="16"/>
          <w:szCs w:val="16"/>
          <w:lang w:val="es-CO"/>
        </w:rPr>
      </w:pPr>
      <w:r w:rsidRPr="00210C7D">
        <w:rPr>
          <w:rStyle w:val="Refdenotaalpie"/>
          <w:rFonts w:ascii="Verdana" w:hAnsi="Verdana" w:cs="Arial"/>
          <w:sz w:val="16"/>
          <w:szCs w:val="16"/>
        </w:rPr>
        <w:footnoteRef/>
      </w:r>
      <w:r w:rsidRPr="00210C7D">
        <w:rPr>
          <w:rFonts w:ascii="Verdana" w:hAnsi="Verdana" w:cs="Arial"/>
          <w:sz w:val="16"/>
          <w:szCs w:val="16"/>
        </w:rPr>
        <w:t xml:space="preserve"> Consejo de Estado. Sección Tercera. Sentencia del 29 de enero de 2018. Exp. 52.666 CP.: Jaime Orlando Santofimio Gamboa.</w:t>
      </w:r>
    </w:p>
  </w:footnote>
  <w:footnote w:id="28">
    <w:p w14:paraId="75CBE711" w14:textId="77777777" w:rsidR="0070018E" w:rsidRPr="00210C7D" w:rsidRDefault="0070018E" w:rsidP="0070018E">
      <w:pPr>
        <w:pStyle w:val="Textonotapie"/>
        <w:ind w:firstLine="708"/>
        <w:jc w:val="both"/>
        <w:rPr>
          <w:rFonts w:ascii="Verdana" w:hAnsi="Verdana" w:cs="Arial"/>
          <w:sz w:val="16"/>
          <w:szCs w:val="16"/>
          <w:lang w:val="es-CO"/>
        </w:rPr>
      </w:pPr>
      <w:r w:rsidRPr="00210C7D">
        <w:rPr>
          <w:rStyle w:val="Refdenotaalpie"/>
          <w:rFonts w:ascii="Verdana" w:hAnsi="Verdana" w:cs="Arial"/>
          <w:sz w:val="16"/>
          <w:szCs w:val="16"/>
        </w:rPr>
        <w:footnoteRef/>
      </w:r>
      <w:r w:rsidRPr="00210C7D">
        <w:rPr>
          <w:rFonts w:ascii="Verdana" w:hAnsi="Verdana" w:cs="Arial"/>
          <w:sz w:val="16"/>
          <w:szCs w:val="16"/>
        </w:rPr>
        <w:t xml:space="preserve"> Ibidem </w:t>
      </w:r>
    </w:p>
  </w:footnote>
  <w:footnote w:id="29">
    <w:p w14:paraId="2A6C6C24" w14:textId="77777777" w:rsidR="0070018E" w:rsidRPr="00210C7D" w:rsidRDefault="0070018E" w:rsidP="0070018E">
      <w:pPr>
        <w:pStyle w:val="Textonotapie"/>
        <w:ind w:firstLine="708"/>
        <w:jc w:val="both"/>
        <w:rPr>
          <w:rFonts w:ascii="Verdana" w:hAnsi="Verdana" w:cs="Arial"/>
          <w:sz w:val="16"/>
          <w:szCs w:val="16"/>
          <w:lang w:val="es-CO"/>
        </w:rPr>
      </w:pPr>
      <w:r w:rsidRPr="00210C7D">
        <w:rPr>
          <w:rStyle w:val="Refdenotaalpie"/>
          <w:rFonts w:ascii="Verdana" w:hAnsi="Verdana" w:cs="Arial"/>
          <w:sz w:val="16"/>
          <w:szCs w:val="16"/>
        </w:rPr>
        <w:footnoteRef/>
      </w:r>
      <w:r w:rsidRPr="00210C7D">
        <w:rPr>
          <w:rFonts w:ascii="Verdana" w:hAnsi="Verdana" w:cs="Arial"/>
          <w:sz w:val="16"/>
          <w:szCs w:val="16"/>
        </w:rPr>
        <w:t xml:space="preserve"> Consejo de Estado. Sección Tercera.</w:t>
      </w:r>
      <w:r w:rsidRPr="00210C7D">
        <w:rPr>
          <w:rFonts w:ascii="Verdana" w:hAnsi="Verdana" w:cs="Arial"/>
          <w:sz w:val="16"/>
          <w:szCs w:val="16"/>
          <w:lang w:val="es-CO"/>
        </w:rPr>
        <w:t xml:space="preserve"> Subsección A.</w:t>
      </w:r>
      <w:r w:rsidRPr="00210C7D">
        <w:rPr>
          <w:rFonts w:ascii="Verdana" w:hAnsi="Verdana" w:cs="Arial"/>
          <w:sz w:val="16"/>
          <w:szCs w:val="16"/>
        </w:rPr>
        <w:t xml:space="preserve"> Sentencia del 6 de julio de 2022. Exp. 54.319 CP.: María Adriana Marín. Ver también: </w:t>
      </w:r>
      <w:r w:rsidRPr="00210C7D">
        <w:rPr>
          <w:rFonts w:ascii="Verdana" w:hAnsi="Verdana" w:cs="Arial"/>
          <w:sz w:val="16"/>
          <w:szCs w:val="16"/>
          <w:lang w:val="es-CO"/>
        </w:rPr>
        <w:t>Consejo de Estado. Sección Tercera. Subsección A. Sentencia del 3 de junio de 2022. Exp. 53299. C.P.: José Roberto Sáchica Méndez</w:t>
      </w:r>
    </w:p>
  </w:footnote>
  <w:footnote w:id="30">
    <w:p w14:paraId="1C7D6963" w14:textId="77777777" w:rsidR="0070018E" w:rsidRPr="00210C7D" w:rsidRDefault="0070018E" w:rsidP="0070018E">
      <w:pPr>
        <w:pStyle w:val="Textonotapie"/>
        <w:ind w:firstLine="709"/>
        <w:jc w:val="both"/>
        <w:rPr>
          <w:rFonts w:ascii="Verdana" w:hAnsi="Verdana" w:cs="Arial"/>
          <w:sz w:val="16"/>
          <w:szCs w:val="16"/>
          <w:lang w:bidi="es-ES"/>
        </w:rPr>
      </w:pPr>
      <w:r w:rsidRPr="00210C7D">
        <w:rPr>
          <w:rStyle w:val="Refdenotaalpie"/>
          <w:rFonts w:ascii="Verdana" w:hAnsi="Verdana" w:cs="Arial"/>
          <w:sz w:val="16"/>
          <w:szCs w:val="16"/>
        </w:rPr>
        <w:footnoteRef/>
      </w:r>
      <w:r w:rsidRPr="00210C7D">
        <w:rPr>
          <w:rFonts w:ascii="Verdana" w:hAnsi="Verdana" w:cs="Arial"/>
          <w:sz w:val="16"/>
          <w:szCs w:val="16"/>
        </w:rPr>
        <w:t xml:space="preserve"> </w:t>
      </w:r>
      <w:r w:rsidRPr="00210C7D">
        <w:rPr>
          <w:rFonts w:ascii="Verdana" w:hAnsi="Verdana" w:cs="Arial"/>
          <w:sz w:val="16"/>
          <w:szCs w:val="16"/>
          <w:lang w:bidi="es-ES"/>
        </w:rPr>
        <w:t xml:space="preserve">Corte Constitucional. Sentencia C-416 de 2012. </w:t>
      </w:r>
    </w:p>
  </w:footnote>
  <w:footnote w:id="31">
    <w:p w14:paraId="1240B94F" w14:textId="77777777" w:rsidR="0070018E" w:rsidRPr="00210C7D" w:rsidRDefault="0070018E" w:rsidP="0070018E">
      <w:pPr>
        <w:pStyle w:val="Textonotapie"/>
        <w:ind w:firstLine="709"/>
        <w:jc w:val="both"/>
        <w:rPr>
          <w:rFonts w:ascii="Verdana" w:hAnsi="Verdana" w:cs="Arial"/>
          <w:sz w:val="16"/>
          <w:szCs w:val="16"/>
          <w:lang w:val="es-CO"/>
        </w:rPr>
      </w:pPr>
      <w:r w:rsidRPr="00210C7D">
        <w:rPr>
          <w:rStyle w:val="Refdenotaalpie"/>
          <w:rFonts w:ascii="Verdana" w:hAnsi="Verdana" w:cs="Arial"/>
          <w:sz w:val="16"/>
          <w:szCs w:val="16"/>
        </w:rPr>
        <w:footnoteRef/>
      </w:r>
      <w:r w:rsidRPr="00210C7D">
        <w:rPr>
          <w:rFonts w:ascii="Verdana" w:hAnsi="Verdana" w:cs="Arial"/>
          <w:sz w:val="16"/>
          <w:szCs w:val="16"/>
        </w:rPr>
        <w:t xml:space="preserve"> EXPÓSITO VÉLEZ, Juan Carlos. </w:t>
      </w:r>
      <w:r w:rsidRPr="00210C7D">
        <w:rPr>
          <w:rFonts w:ascii="Verdana" w:hAnsi="Verdana" w:cs="Arial"/>
          <w:sz w:val="16"/>
          <w:szCs w:val="16"/>
          <w:lang w:val="es-CO"/>
        </w:rPr>
        <w:t xml:space="preserve">Formas, formalidades y contenido del contrato estatal. Serie de derecho administrativo Nro. 34. Universidad Externado de Colombia. 2020. </w:t>
      </w:r>
    </w:p>
  </w:footnote>
  <w:footnote w:id="32">
    <w:p w14:paraId="5811C3F8" w14:textId="77777777" w:rsidR="0070018E" w:rsidRPr="00210C7D" w:rsidRDefault="0070018E" w:rsidP="0070018E">
      <w:pPr>
        <w:pStyle w:val="Textonotapie"/>
        <w:ind w:firstLine="708"/>
        <w:jc w:val="both"/>
        <w:rPr>
          <w:rFonts w:ascii="Verdana" w:hAnsi="Verdana"/>
          <w:sz w:val="16"/>
          <w:szCs w:val="16"/>
          <w:lang w:val="es-CO"/>
        </w:rPr>
      </w:pPr>
      <w:r w:rsidRPr="00210C7D">
        <w:rPr>
          <w:rStyle w:val="Refdenotaalpie"/>
          <w:rFonts w:ascii="Verdana" w:hAnsi="Verdana"/>
          <w:sz w:val="16"/>
          <w:szCs w:val="16"/>
        </w:rPr>
        <w:footnoteRef/>
      </w:r>
      <w:r w:rsidRPr="00210C7D">
        <w:rPr>
          <w:rFonts w:ascii="Verdana" w:hAnsi="Verdana"/>
          <w:sz w:val="16"/>
          <w:szCs w:val="16"/>
        </w:rPr>
        <w:t xml:space="preserve"> SANTOFIMIO GAMBOA, Jaime Orlando. Tratado de derecho administrativo: contratación indebida. Tomo IV. Bogotá: Universidad Externado de Colombia, 2004. pp. 388-389.</w:t>
      </w:r>
    </w:p>
  </w:footnote>
  <w:footnote w:id="33">
    <w:p w14:paraId="3C97EABE" w14:textId="77777777" w:rsidR="0070018E" w:rsidRPr="00210C7D" w:rsidRDefault="0070018E" w:rsidP="0070018E">
      <w:pPr>
        <w:pStyle w:val="Textonotapie"/>
        <w:ind w:firstLine="708"/>
        <w:jc w:val="both"/>
        <w:rPr>
          <w:rFonts w:ascii="Verdana" w:hAnsi="Verdana"/>
          <w:sz w:val="16"/>
          <w:szCs w:val="16"/>
          <w:lang w:val="es-CO"/>
        </w:rPr>
      </w:pPr>
      <w:r w:rsidRPr="00210C7D">
        <w:rPr>
          <w:rStyle w:val="Refdenotaalpie"/>
          <w:rFonts w:ascii="Verdana" w:hAnsi="Verdana"/>
          <w:sz w:val="16"/>
          <w:szCs w:val="16"/>
        </w:rPr>
        <w:footnoteRef/>
      </w:r>
      <w:r w:rsidRPr="00210C7D">
        <w:rPr>
          <w:rFonts w:ascii="Verdana" w:hAnsi="Verdana"/>
          <w:sz w:val="16"/>
          <w:szCs w:val="16"/>
        </w:rPr>
        <w:t xml:space="preserve"> PINO RICCI, Jorge. El régimen jurídico de los contratos estatales. Bogotá: Universidad Externado de Colombia, 2005. pp. 376-377.</w:t>
      </w:r>
    </w:p>
  </w:footnote>
  <w:footnote w:id="34">
    <w:p w14:paraId="2B155936" w14:textId="77777777" w:rsidR="0070018E" w:rsidRPr="00210C7D" w:rsidRDefault="0070018E" w:rsidP="0070018E">
      <w:pPr>
        <w:pStyle w:val="Textonotapie"/>
        <w:ind w:firstLine="708"/>
        <w:jc w:val="both"/>
        <w:rPr>
          <w:rFonts w:ascii="Verdana" w:hAnsi="Verdana"/>
          <w:sz w:val="16"/>
          <w:szCs w:val="16"/>
          <w:lang w:val="pt-BR"/>
        </w:rPr>
      </w:pPr>
      <w:r w:rsidRPr="00210C7D">
        <w:rPr>
          <w:rStyle w:val="Refdenotaalpie"/>
          <w:rFonts w:ascii="Verdana" w:hAnsi="Verdana"/>
          <w:sz w:val="16"/>
          <w:szCs w:val="16"/>
        </w:rPr>
        <w:footnoteRef/>
      </w:r>
      <w:r w:rsidRPr="00210C7D">
        <w:rPr>
          <w:rFonts w:ascii="Verdana" w:hAnsi="Verdana"/>
          <w:sz w:val="16"/>
          <w:szCs w:val="16"/>
        </w:rPr>
        <w:t xml:space="preserve"> </w:t>
      </w:r>
      <w:r w:rsidRPr="00210C7D">
        <w:rPr>
          <w:rFonts w:ascii="Verdana" w:hAnsi="Verdana"/>
          <w:sz w:val="16"/>
          <w:szCs w:val="16"/>
          <w:lang w:val="es-CO"/>
        </w:rPr>
        <w:t xml:space="preserve">CONSEJO DE ESTADO. Sala Plena. Sección Tercera. Sentencia de Unificación del 19 de noviembre de 2012. </w:t>
      </w:r>
      <w:r w:rsidRPr="00210C7D">
        <w:rPr>
          <w:rFonts w:ascii="Verdana" w:hAnsi="Verdana"/>
          <w:sz w:val="16"/>
          <w:szCs w:val="16"/>
          <w:lang w:val="pt-BR"/>
        </w:rPr>
        <w:t>C.P. Jaime Orlando Santofimio Gamboa. Exp. 24987.</w:t>
      </w:r>
    </w:p>
  </w:footnote>
  <w:footnote w:id="35">
    <w:p w14:paraId="6D0C2C74" w14:textId="77777777" w:rsidR="0070018E" w:rsidRPr="00210C7D" w:rsidRDefault="0070018E" w:rsidP="0070018E">
      <w:pPr>
        <w:pStyle w:val="Textonotapie"/>
        <w:ind w:firstLine="708"/>
        <w:jc w:val="both"/>
        <w:rPr>
          <w:rFonts w:ascii="Verdana" w:hAnsi="Verdana"/>
          <w:sz w:val="16"/>
          <w:szCs w:val="16"/>
          <w:lang w:val="pt-BR"/>
        </w:rPr>
      </w:pPr>
      <w:r w:rsidRPr="00210C7D">
        <w:rPr>
          <w:rStyle w:val="Refdenotaalpie"/>
          <w:rFonts w:ascii="Verdana" w:hAnsi="Verdana"/>
          <w:sz w:val="16"/>
          <w:szCs w:val="16"/>
        </w:rPr>
        <w:footnoteRef/>
      </w:r>
      <w:r w:rsidRPr="00210C7D">
        <w:rPr>
          <w:rFonts w:ascii="Verdana" w:hAnsi="Verdana"/>
          <w:sz w:val="16"/>
          <w:szCs w:val="16"/>
          <w:lang w:val="pt-BR"/>
        </w:rPr>
        <w:t xml:space="preserve"> CONSEJO DE ESTADO. </w:t>
      </w:r>
      <w:r w:rsidRPr="00210C7D">
        <w:rPr>
          <w:rFonts w:ascii="Verdana" w:hAnsi="Verdana"/>
          <w:sz w:val="16"/>
          <w:szCs w:val="16"/>
        </w:rPr>
        <w:t xml:space="preserve">Sala Plena. Sección Tercera. Sentencia de Unificación del 31 de julio de 2025. </w:t>
      </w:r>
      <w:r w:rsidRPr="00210C7D">
        <w:rPr>
          <w:rFonts w:ascii="Verdana" w:hAnsi="Verdana"/>
          <w:sz w:val="16"/>
          <w:szCs w:val="16"/>
          <w:lang w:val="pt-BR"/>
        </w:rPr>
        <w:t xml:space="preserve">C.P. Fernando Alexei Pardo Flórez. Exp. 57464. </w:t>
      </w:r>
    </w:p>
  </w:footnote>
  <w:footnote w:id="36">
    <w:p w14:paraId="0712550E" w14:textId="77777777" w:rsidR="0070018E" w:rsidRPr="00210C7D" w:rsidRDefault="0070018E" w:rsidP="0070018E">
      <w:pPr>
        <w:pStyle w:val="Textonotapie"/>
        <w:ind w:firstLine="708"/>
        <w:rPr>
          <w:rFonts w:ascii="Verdana" w:hAnsi="Verdana"/>
          <w:sz w:val="16"/>
          <w:szCs w:val="16"/>
          <w:lang w:val="pt-BR"/>
        </w:rPr>
      </w:pPr>
      <w:r w:rsidRPr="00210C7D">
        <w:rPr>
          <w:rStyle w:val="Refdenotaalpie"/>
          <w:rFonts w:ascii="Verdana" w:hAnsi="Verdana"/>
          <w:sz w:val="16"/>
          <w:szCs w:val="16"/>
        </w:rPr>
        <w:footnoteRef/>
      </w:r>
      <w:r w:rsidRPr="00210C7D">
        <w:rPr>
          <w:rFonts w:ascii="Verdana" w:hAnsi="Verdana"/>
          <w:sz w:val="16"/>
          <w:szCs w:val="16"/>
          <w:lang w:val="pt-BR"/>
        </w:rPr>
        <w:t xml:space="preserve"> </w:t>
      </w:r>
      <w:r w:rsidRPr="00210C7D">
        <w:rPr>
          <w:rFonts w:ascii="Verdana" w:hAnsi="Verdana"/>
          <w:i/>
          <w:iCs/>
          <w:sz w:val="16"/>
          <w:szCs w:val="16"/>
          <w:lang w:val="pt-BR"/>
        </w:rPr>
        <w:t>Ibidem</w:t>
      </w:r>
      <w:r w:rsidRPr="00210C7D">
        <w:rPr>
          <w:rFonts w:ascii="Verdana" w:hAnsi="Verdana"/>
          <w:sz w:val="16"/>
          <w:szCs w:val="16"/>
          <w:lang w:val="pt-BR"/>
        </w:rPr>
        <w:t xml:space="preserve">. </w:t>
      </w:r>
    </w:p>
  </w:footnote>
  <w:footnote w:id="37">
    <w:p w14:paraId="6555B7C0" w14:textId="77777777" w:rsidR="0070018E" w:rsidRPr="00210C7D" w:rsidRDefault="0070018E" w:rsidP="0070018E">
      <w:pPr>
        <w:pStyle w:val="Textonotapie"/>
        <w:ind w:firstLine="708"/>
        <w:rPr>
          <w:rFonts w:ascii="Verdana" w:hAnsi="Verdana"/>
          <w:sz w:val="16"/>
          <w:szCs w:val="16"/>
          <w:lang w:val="pt-BR"/>
        </w:rPr>
      </w:pPr>
      <w:r w:rsidRPr="00210C7D">
        <w:rPr>
          <w:rStyle w:val="Refdenotaalpie"/>
          <w:rFonts w:ascii="Verdana" w:hAnsi="Verdana"/>
          <w:sz w:val="16"/>
          <w:szCs w:val="16"/>
        </w:rPr>
        <w:footnoteRef/>
      </w:r>
      <w:r w:rsidRPr="00210C7D">
        <w:rPr>
          <w:rFonts w:ascii="Verdana" w:hAnsi="Verdana"/>
          <w:sz w:val="16"/>
          <w:szCs w:val="16"/>
          <w:lang w:val="pt-BR"/>
        </w:rPr>
        <w:t xml:space="preserve"> </w:t>
      </w:r>
      <w:r w:rsidRPr="00210C7D">
        <w:rPr>
          <w:rFonts w:ascii="Verdana" w:hAnsi="Verdana"/>
          <w:i/>
          <w:iCs/>
          <w:sz w:val="16"/>
          <w:szCs w:val="16"/>
          <w:lang w:val="pt-BR"/>
        </w:rPr>
        <w:t>Ibidem</w:t>
      </w:r>
      <w:r w:rsidRPr="00210C7D">
        <w:rPr>
          <w:rFonts w:ascii="Verdana" w:hAnsi="Verdana"/>
          <w:sz w:val="16"/>
          <w:szCs w:val="16"/>
          <w:lang w:val="pt-BR"/>
        </w:rPr>
        <w:t xml:space="preserve">.  </w:t>
      </w:r>
    </w:p>
  </w:footnote>
  <w:footnote w:id="38">
    <w:p w14:paraId="24772D66" w14:textId="77777777" w:rsidR="0070018E" w:rsidRPr="00210C7D" w:rsidRDefault="0070018E" w:rsidP="0070018E">
      <w:pPr>
        <w:pStyle w:val="Textonotapie"/>
        <w:ind w:firstLine="708"/>
        <w:rPr>
          <w:sz w:val="16"/>
          <w:szCs w:val="16"/>
          <w:lang w:val="pt-BR"/>
        </w:rPr>
      </w:pPr>
      <w:r w:rsidRPr="00210C7D">
        <w:rPr>
          <w:rStyle w:val="Refdenotaalpie"/>
          <w:rFonts w:ascii="Verdana" w:hAnsi="Verdana"/>
          <w:sz w:val="16"/>
          <w:szCs w:val="16"/>
        </w:rPr>
        <w:footnoteRef/>
      </w:r>
      <w:r w:rsidRPr="00210C7D">
        <w:rPr>
          <w:rFonts w:ascii="Verdana" w:hAnsi="Verdana"/>
          <w:sz w:val="16"/>
          <w:szCs w:val="16"/>
          <w:lang w:val="pt-BR"/>
        </w:rPr>
        <w:t xml:space="preserve"> Ibídem.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pt;height:1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4947"/>
    <w:rsid w:val="00016F78"/>
    <w:rsid w:val="00046493"/>
    <w:rsid w:val="00046945"/>
    <w:rsid w:val="00061B2A"/>
    <w:rsid w:val="00082362"/>
    <w:rsid w:val="00093295"/>
    <w:rsid w:val="000A683E"/>
    <w:rsid w:val="000B19B9"/>
    <w:rsid w:val="000D0334"/>
    <w:rsid w:val="000D5DA7"/>
    <w:rsid w:val="000F6486"/>
    <w:rsid w:val="00116940"/>
    <w:rsid w:val="00125105"/>
    <w:rsid w:val="00127233"/>
    <w:rsid w:val="00151C1B"/>
    <w:rsid w:val="0015699B"/>
    <w:rsid w:val="001A33BF"/>
    <w:rsid w:val="001D1BF0"/>
    <w:rsid w:val="001E4177"/>
    <w:rsid w:val="001F0B24"/>
    <w:rsid w:val="001F7DC6"/>
    <w:rsid w:val="0022400B"/>
    <w:rsid w:val="002421BB"/>
    <w:rsid w:val="0025796E"/>
    <w:rsid w:val="002707A2"/>
    <w:rsid w:val="002951A0"/>
    <w:rsid w:val="002962BC"/>
    <w:rsid w:val="002A093D"/>
    <w:rsid w:val="002A0DD0"/>
    <w:rsid w:val="002A49AC"/>
    <w:rsid w:val="002A64FD"/>
    <w:rsid w:val="002C0C35"/>
    <w:rsid w:val="002C7A84"/>
    <w:rsid w:val="002E2BF8"/>
    <w:rsid w:val="002E4FD9"/>
    <w:rsid w:val="0030657A"/>
    <w:rsid w:val="00322A85"/>
    <w:rsid w:val="00324168"/>
    <w:rsid w:val="00330834"/>
    <w:rsid w:val="003448F4"/>
    <w:rsid w:val="00374F5E"/>
    <w:rsid w:val="00377E3E"/>
    <w:rsid w:val="003A779E"/>
    <w:rsid w:val="003D0F4D"/>
    <w:rsid w:val="003D5B0D"/>
    <w:rsid w:val="003D79D0"/>
    <w:rsid w:val="003E0499"/>
    <w:rsid w:val="003E4F80"/>
    <w:rsid w:val="003E6439"/>
    <w:rsid w:val="003F3941"/>
    <w:rsid w:val="003F5CEB"/>
    <w:rsid w:val="00406575"/>
    <w:rsid w:val="00414C74"/>
    <w:rsid w:val="0042722E"/>
    <w:rsid w:val="0044528D"/>
    <w:rsid w:val="00466E39"/>
    <w:rsid w:val="0047784E"/>
    <w:rsid w:val="004952AC"/>
    <w:rsid w:val="004A1847"/>
    <w:rsid w:val="004A305D"/>
    <w:rsid w:val="004B2201"/>
    <w:rsid w:val="004B34B2"/>
    <w:rsid w:val="004F21C4"/>
    <w:rsid w:val="004F685F"/>
    <w:rsid w:val="005566E8"/>
    <w:rsid w:val="00574867"/>
    <w:rsid w:val="00591460"/>
    <w:rsid w:val="005A65E0"/>
    <w:rsid w:val="005C3777"/>
    <w:rsid w:val="005C5CDC"/>
    <w:rsid w:val="005D1F45"/>
    <w:rsid w:val="005D476C"/>
    <w:rsid w:val="006200BF"/>
    <w:rsid w:val="006219F8"/>
    <w:rsid w:val="006302F7"/>
    <w:rsid w:val="00646B9F"/>
    <w:rsid w:val="00665D70"/>
    <w:rsid w:val="006900D9"/>
    <w:rsid w:val="0069794A"/>
    <w:rsid w:val="006E1077"/>
    <w:rsid w:val="0070018E"/>
    <w:rsid w:val="00706C16"/>
    <w:rsid w:val="007340C3"/>
    <w:rsid w:val="0075235A"/>
    <w:rsid w:val="00756841"/>
    <w:rsid w:val="007649AB"/>
    <w:rsid w:val="00771D0C"/>
    <w:rsid w:val="007833AC"/>
    <w:rsid w:val="007B268C"/>
    <w:rsid w:val="007B7171"/>
    <w:rsid w:val="007C0C0F"/>
    <w:rsid w:val="007C3DC2"/>
    <w:rsid w:val="007D6994"/>
    <w:rsid w:val="007E5497"/>
    <w:rsid w:val="00806F5F"/>
    <w:rsid w:val="00820278"/>
    <w:rsid w:val="008258C9"/>
    <w:rsid w:val="00844AE9"/>
    <w:rsid w:val="00867F95"/>
    <w:rsid w:val="008843B6"/>
    <w:rsid w:val="00891928"/>
    <w:rsid w:val="008A446D"/>
    <w:rsid w:val="008B25F1"/>
    <w:rsid w:val="008D180B"/>
    <w:rsid w:val="008F0EA7"/>
    <w:rsid w:val="0090334A"/>
    <w:rsid w:val="00923EEF"/>
    <w:rsid w:val="009419F9"/>
    <w:rsid w:val="0095685E"/>
    <w:rsid w:val="00961B09"/>
    <w:rsid w:val="00965334"/>
    <w:rsid w:val="0097093E"/>
    <w:rsid w:val="009A0DFA"/>
    <w:rsid w:val="009A1C6F"/>
    <w:rsid w:val="009B2D26"/>
    <w:rsid w:val="009C71FA"/>
    <w:rsid w:val="009C72E7"/>
    <w:rsid w:val="009C7F7E"/>
    <w:rsid w:val="009D039E"/>
    <w:rsid w:val="009D3058"/>
    <w:rsid w:val="009F3A13"/>
    <w:rsid w:val="00A122D3"/>
    <w:rsid w:val="00A14468"/>
    <w:rsid w:val="00A17F13"/>
    <w:rsid w:val="00A20739"/>
    <w:rsid w:val="00A23AF9"/>
    <w:rsid w:val="00A33547"/>
    <w:rsid w:val="00A33C78"/>
    <w:rsid w:val="00AB0ADB"/>
    <w:rsid w:val="00B00C0E"/>
    <w:rsid w:val="00B01B1A"/>
    <w:rsid w:val="00B0381D"/>
    <w:rsid w:val="00B13C7E"/>
    <w:rsid w:val="00B44A47"/>
    <w:rsid w:val="00B72CD3"/>
    <w:rsid w:val="00B72FFF"/>
    <w:rsid w:val="00BC3D36"/>
    <w:rsid w:val="00BD2B46"/>
    <w:rsid w:val="00BD54A6"/>
    <w:rsid w:val="00BD7F72"/>
    <w:rsid w:val="00BF7425"/>
    <w:rsid w:val="00C04FB3"/>
    <w:rsid w:val="00C11D8B"/>
    <w:rsid w:val="00C15139"/>
    <w:rsid w:val="00C301A0"/>
    <w:rsid w:val="00C330EB"/>
    <w:rsid w:val="00C50D69"/>
    <w:rsid w:val="00C5365C"/>
    <w:rsid w:val="00C754BE"/>
    <w:rsid w:val="00C76B1C"/>
    <w:rsid w:val="00C925AC"/>
    <w:rsid w:val="00C93D19"/>
    <w:rsid w:val="00CB6357"/>
    <w:rsid w:val="00CC1B26"/>
    <w:rsid w:val="00D361FD"/>
    <w:rsid w:val="00D423A2"/>
    <w:rsid w:val="00D44E26"/>
    <w:rsid w:val="00D520D8"/>
    <w:rsid w:val="00D63AC2"/>
    <w:rsid w:val="00D7383B"/>
    <w:rsid w:val="00D7788A"/>
    <w:rsid w:val="00D83A41"/>
    <w:rsid w:val="00DA231B"/>
    <w:rsid w:val="00DA4DF2"/>
    <w:rsid w:val="00DA53F9"/>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968D4"/>
    <w:rsid w:val="00EA0E3D"/>
    <w:rsid w:val="00EB6F4F"/>
    <w:rsid w:val="00EC38A7"/>
    <w:rsid w:val="00EE1AA8"/>
    <w:rsid w:val="00F11459"/>
    <w:rsid w:val="00F23FEA"/>
    <w:rsid w:val="00F31EDC"/>
    <w:rsid w:val="00F42E76"/>
    <w:rsid w:val="00F462B3"/>
    <w:rsid w:val="00F5664F"/>
    <w:rsid w:val="00F666C4"/>
    <w:rsid w:val="00F76AFC"/>
    <w:rsid w:val="00FA47C0"/>
    <w:rsid w:val="00FB5DD1"/>
    <w:rsid w:val="00FC0838"/>
    <w:rsid w:val="00FC2B5D"/>
    <w:rsid w:val="00FF1449"/>
    <w:rsid w:val="00FF7963"/>
    <w:rsid w:val="071B8F93"/>
    <w:rsid w:val="07C73DD1"/>
    <w:rsid w:val="09908A09"/>
    <w:rsid w:val="0EFE6349"/>
    <w:rsid w:val="0FF4CCA8"/>
    <w:rsid w:val="12F5D4FA"/>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0018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0018E"/>
    <w:rPr>
      <w:rFonts w:ascii="Geomanist Light" w:hAnsi="Geomanist Light"/>
      <w:lang w:val="es-ES"/>
    </w:rPr>
  </w:style>
  <w:style w:type="character" w:customStyle="1" w:styleId="s15">
    <w:name w:val="s15"/>
    <w:basedOn w:val="Fuentedeprrafopredeter"/>
    <w:rsid w:val="0070018E"/>
  </w:style>
  <w:style w:type="character" w:customStyle="1" w:styleId="apple-converted-space">
    <w:name w:val="apple-converted-space"/>
    <w:basedOn w:val="Fuentedeprrafopredeter"/>
    <w:rsid w:val="007001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20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secretariasenado.gov.co/senado/basedoc/ley_0080_1993.html"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8CA1138-B77C-448F-8A30-53BE3514A5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21</TotalTime>
  <Pages>32</Pages>
  <Words>11064</Words>
  <Characters>60852</Characters>
  <Application>Microsoft Office Word</Application>
  <DocSecurity>0</DocSecurity>
  <Lines>507</Lines>
  <Paragraphs>143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71773</CharactersWithSpaces>
  <SharedDoc>false</SharedDoc>
  <HLinks>
    <vt:vector size="12" baseType="variant">
      <vt:variant>
        <vt:i4>7209021</vt:i4>
      </vt:variant>
      <vt:variant>
        <vt:i4>3</vt:i4>
      </vt:variant>
      <vt:variant>
        <vt:i4>0</vt:i4>
      </vt:variant>
      <vt:variant>
        <vt:i4>5</vt:i4>
      </vt:variant>
      <vt:variant>
        <vt:lpwstr>https://relatoria.colombiacompra.gov.co/busqueda/concept os</vt:lpwstr>
      </vt:variant>
      <vt:variant>
        <vt:lpwstr/>
      </vt:variant>
      <vt:variant>
        <vt:i4>786452</vt:i4>
      </vt:variant>
      <vt:variant>
        <vt:i4>0</vt:i4>
      </vt:variant>
      <vt:variant>
        <vt:i4>0</vt:i4>
      </vt:variant>
      <vt:variant>
        <vt:i4>5</vt:i4>
      </vt:variant>
      <vt:variant>
        <vt:lpwstr>http://www.secretariasenado.gov.co/senado/basedoc/ley_0080_1993.html</vt:lpwstr>
      </vt:variant>
      <vt:variant>
        <vt:lpwstr>25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12</cp:revision>
  <cp:lastPrinted>2023-01-10T21:18:00Z</cp:lastPrinted>
  <dcterms:created xsi:type="dcterms:W3CDTF">2026-03-18T18:33:00Z</dcterms:created>
  <dcterms:modified xsi:type="dcterms:W3CDTF">2026-03-18T23:14:00Z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