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68C02" w14:textId="77777777" w:rsidR="00D62B0D" w:rsidRPr="009412B5" w:rsidRDefault="00D62B0D" w:rsidP="00D62B0D">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Finalidad</w:t>
      </w:r>
    </w:p>
    <w:p w14:paraId="1EC5E4AC" w14:textId="77777777" w:rsidR="00D62B0D" w:rsidRDefault="00D62B0D" w:rsidP="00D62B0D">
      <w:pPr>
        <w:tabs>
          <w:tab w:val="left" w:pos="426"/>
        </w:tabs>
        <w:snapToGrid w:val="0"/>
        <w:spacing w:after="0" w:line="240" w:lineRule="auto"/>
        <w:contextualSpacing/>
        <w:jc w:val="both"/>
        <w:rPr>
          <w:rFonts w:ascii="Verdana" w:eastAsia="Times New Roman" w:hAnsi="Verdana" w:cs="Arial"/>
          <w:sz w:val="20"/>
          <w:szCs w:val="20"/>
          <w:lang w:val="es-ES" w:eastAsia="es-CO"/>
        </w:rPr>
      </w:pPr>
    </w:p>
    <w:p w14:paraId="28E259F4" w14:textId="77777777" w:rsidR="00D62B0D" w:rsidRPr="009412B5" w:rsidRDefault="00D62B0D" w:rsidP="00D62B0D">
      <w:pPr>
        <w:tabs>
          <w:tab w:val="left" w:pos="426"/>
        </w:tabs>
        <w:snapToGrid w:val="0"/>
        <w:spacing w:after="0" w:line="240" w:lineRule="auto"/>
        <w:contextualSpacing/>
        <w:jc w:val="both"/>
        <w:rPr>
          <w:rFonts w:ascii="Verdana" w:eastAsia="Calibri" w:hAnsi="Verdana" w:cs="Arial"/>
          <w:sz w:val="20"/>
          <w:szCs w:val="20"/>
          <w:lang w:val="es-ES"/>
        </w:rPr>
      </w:pPr>
      <w:r w:rsidRPr="009412B5">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9412B5">
        <w:rPr>
          <w:rFonts w:ascii="Verdana" w:eastAsia="Calibri" w:hAnsi="Verdana" w:cs="Arial"/>
          <w:sz w:val="20"/>
          <w:szCs w:val="20"/>
          <w:lang w:val="es-ES"/>
        </w:rPr>
        <w:t xml:space="preserve"> </w:t>
      </w:r>
    </w:p>
    <w:p w14:paraId="0EA1AA5A" w14:textId="77777777" w:rsidR="00D62B0D" w:rsidRPr="009412B5" w:rsidRDefault="00D62B0D" w:rsidP="00D62B0D">
      <w:pPr>
        <w:snapToGrid w:val="0"/>
        <w:spacing w:after="0" w:line="240" w:lineRule="auto"/>
        <w:contextualSpacing/>
        <w:jc w:val="both"/>
        <w:rPr>
          <w:rFonts w:ascii="Verdana" w:eastAsia="Calibri" w:hAnsi="Verdana" w:cs="Arial"/>
          <w:b/>
          <w:bCs/>
          <w:sz w:val="20"/>
          <w:szCs w:val="20"/>
          <w:lang w:val="es-ES" w:eastAsia="es-ES"/>
        </w:rPr>
      </w:pPr>
    </w:p>
    <w:p w14:paraId="6B1107D3" w14:textId="77777777" w:rsidR="00D62B0D" w:rsidRPr="009412B5" w:rsidRDefault="00D62B0D" w:rsidP="00D62B0D">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Restricciones ‒ Contratación ‒ Tipos de elección</w:t>
      </w:r>
    </w:p>
    <w:p w14:paraId="07660E49" w14:textId="77777777" w:rsidR="00D62B0D" w:rsidRDefault="00D62B0D" w:rsidP="00D62B0D">
      <w:pPr>
        <w:snapToGrid w:val="0"/>
        <w:spacing w:after="0" w:line="240" w:lineRule="auto"/>
        <w:contextualSpacing/>
        <w:jc w:val="both"/>
        <w:rPr>
          <w:rFonts w:ascii="Verdana" w:eastAsia="Arial" w:hAnsi="Verdana" w:cs="Arial"/>
          <w:sz w:val="20"/>
          <w:szCs w:val="20"/>
          <w:lang w:val="es-ES" w:eastAsia="es-ES" w:bidi="es-ES"/>
        </w:rPr>
      </w:pPr>
    </w:p>
    <w:p w14:paraId="713EB7E5" w14:textId="77777777" w:rsidR="00D62B0D" w:rsidRPr="009412B5" w:rsidRDefault="00D62B0D" w:rsidP="00D62B0D">
      <w:pPr>
        <w:snapToGrid w:val="0"/>
        <w:spacing w:after="0" w:line="240" w:lineRule="auto"/>
        <w:contextualSpacing/>
        <w:jc w:val="both"/>
        <w:rPr>
          <w:rFonts w:ascii="Verdana" w:eastAsia="Arial" w:hAnsi="Verdana" w:cs="Arial"/>
          <w:sz w:val="20"/>
          <w:szCs w:val="20"/>
          <w:lang w:val="es-ES" w:eastAsia="es-ES" w:bidi="es-ES"/>
        </w:rPr>
      </w:pPr>
      <w:r w:rsidRPr="009412B5">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9412B5">
        <w:rPr>
          <w:rFonts w:ascii="Verdana" w:eastAsia="Arial" w:hAnsi="Verdana" w:cs="Arial"/>
          <w:i/>
          <w:sz w:val="20"/>
          <w:szCs w:val="20"/>
          <w:lang w:val="es-ES" w:eastAsia="es-ES" w:bidi="es-ES"/>
        </w:rPr>
        <w:t>En primer lugar</w:t>
      </w:r>
      <w:r w:rsidRPr="009412B5">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412B5">
        <w:rPr>
          <w:rFonts w:ascii="Verdana" w:eastAsia="Arial" w:hAnsi="Verdana" w:cs="Arial"/>
          <w:i/>
          <w:sz w:val="20"/>
          <w:szCs w:val="20"/>
          <w:lang w:val="es-ES" w:eastAsia="es-ES" w:bidi="es-ES"/>
        </w:rPr>
        <w:t>En segundo lugar</w:t>
      </w:r>
      <w:r w:rsidRPr="009412B5">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E21C0EF" w14:textId="77777777" w:rsidR="00D62B0D" w:rsidRDefault="00D62B0D" w:rsidP="00D62B0D">
      <w:pPr>
        <w:snapToGrid w:val="0"/>
        <w:spacing w:after="0" w:line="240" w:lineRule="auto"/>
        <w:contextualSpacing/>
        <w:jc w:val="both"/>
        <w:rPr>
          <w:rFonts w:ascii="Verdana" w:eastAsia="Arial" w:hAnsi="Verdana" w:cs="Arial"/>
          <w:sz w:val="20"/>
          <w:szCs w:val="20"/>
          <w:lang w:val="es-ES" w:eastAsia="es-ES" w:bidi="es-ES"/>
        </w:rPr>
      </w:pPr>
    </w:p>
    <w:p w14:paraId="311EB370" w14:textId="486FC522" w:rsidR="00D62B0D" w:rsidRDefault="00D62B0D" w:rsidP="00D62B0D">
      <w:pPr>
        <w:snapToGrid w:val="0"/>
        <w:spacing w:after="0" w:line="240" w:lineRule="auto"/>
        <w:contextualSpacing/>
        <w:jc w:val="both"/>
        <w:rPr>
          <w:rFonts w:ascii="Verdana" w:eastAsia="Arial" w:hAnsi="Verdana" w:cs="Arial"/>
          <w:sz w:val="20"/>
          <w:szCs w:val="20"/>
          <w:lang w:val="es-ES" w:eastAsia="es-ES" w:bidi="es-ES"/>
        </w:rPr>
      </w:pPr>
      <w:r w:rsidRPr="009412B5">
        <w:rPr>
          <w:rFonts w:ascii="Verdana" w:eastAsia="Arial" w:hAnsi="Verdana" w:cs="Arial"/>
          <w:sz w:val="20"/>
          <w:szCs w:val="20"/>
          <w:lang w:val="es-ES" w:eastAsia="es-ES" w:bidi="es-ES"/>
        </w:rPr>
        <w:t xml:space="preserve">Ambas restricciones no son excluyentes, lo que permite concluir que, en el período preelectoral para elección de </w:t>
      </w:r>
      <w:proofErr w:type="gramStart"/>
      <w:r w:rsidRPr="009412B5">
        <w:rPr>
          <w:rFonts w:ascii="Verdana" w:eastAsia="Arial" w:hAnsi="Verdana" w:cs="Arial"/>
          <w:sz w:val="20"/>
          <w:szCs w:val="20"/>
          <w:lang w:val="es-ES" w:eastAsia="es-ES" w:bidi="es-ES"/>
        </w:rPr>
        <w:t>Presidente</w:t>
      </w:r>
      <w:proofErr w:type="gramEnd"/>
      <w:r w:rsidRPr="009412B5">
        <w:rPr>
          <w:rFonts w:ascii="Verdana" w:eastAsia="Arial" w:hAnsi="Verdana" w:cs="Arial"/>
          <w:sz w:val="20"/>
          <w:szCs w:val="20"/>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9412B5">
        <w:rPr>
          <w:rFonts w:ascii="Verdana" w:eastAsia="Arial" w:hAnsi="Verdana" w:cs="Arial"/>
          <w:sz w:val="20"/>
          <w:szCs w:val="20"/>
          <w:lang w:val="es-ES" w:eastAsia="es-ES" w:bidi="es-ES"/>
        </w:rPr>
        <w:t>Presidente</w:t>
      </w:r>
      <w:proofErr w:type="gramEnd"/>
      <w:r w:rsidRPr="009412B5">
        <w:rPr>
          <w:rFonts w:ascii="Verdana" w:eastAsia="Arial" w:hAnsi="Verdana" w:cs="Arial"/>
          <w:sz w:val="20"/>
          <w:szCs w:val="20"/>
          <w:lang w:val="es-ES" w:eastAsia="es-ES" w:bidi="es-ES"/>
        </w:rPr>
        <w:t xml:space="preserve"> de la República, las autoridades allí mencionadas sólo deben aplicar las restricciones contenidas en el parágrafo del artículo 38.</w:t>
      </w:r>
    </w:p>
    <w:p w14:paraId="79EE5E03" w14:textId="77777777" w:rsidR="00D62B0D" w:rsidRPr="00D62B0D" w:rsidRDefault="00D62B0D" w:rsidP="00D62B0D">
      <w:pPr>
        <w:snapToGrid w:val="0"/>
        <w:spacing w:after="0" w:line="240" w:lineRule="auto"/>
        <w:contextualSpacing/>
        <w:jc w:val="both"/>
        <w:rPr>
          <w:rFonts w:ascii="Verdana" w:eastAsia="Arial" w:hAnsi="Verdana" w:cs="Arial"/>
          <w:sz w:val="20"/>
          <w:szCs w:val="20"/>
          <w:lang w:val="es-ES" w:eastAsia="es-ES" w:bidi="es-ES"/>
        </w:rPr>
      </w:pPr>
    </w:p>
    <w:p w14:paraId="336F966F" w14:textId="3CB61A60" w:rsidR="008C43E1" w:rsidRDefault="008C43E1" w:rsidP="00D62B0D">
      <w:pPr>
        <w:snapToGrid w:val="0"/>
        <w:spacing w:after="0" w:line="240" w:lineRule="auto"/>
        <w:contextualSpacing/>
        <w:jc w:val="both"/>
        <w:rPr>
          <w:rFonts w:ascii="Verdana" w:eastAsia="Calibri" w:hAnsi="Verdana" w:cs="Arial"/>
          <w:b/>
          <w:bCs/>
          <w:lang w:val="es-ES" w:eastAsia="es-ES"/>
        </w:rPr>
      </w:pPr>
      <w:r w:rsidRPr="00D62B0D">
        <w:rPr>
          <w:rFonts w:ascii="Verdana" w:eastAsia="Calibri" w:hAnsi="Verdana" w:cs="Arial"/>
          <w:b/>
          <w:bCs/>
          <w:lang w:val="es-ES" w:eastAsia="es-ES"/>
        </w:rPr>
        <w:t>LEY DE GARANTÍAS ELECTORALES ‒ Artículo 33 ‒ Sujetos</w:t>
      </w:r>
    </w:p>
    <w:p w14:paraId="474D1E7D" w14:textId="77777777" w:rsidR="00D62B0D" w:rsidRPr="00D62B0D" w:rsidRDefault="00D62B0D" w:rsidP="00D62B0D">
      <w:pPr>
        <w:snapToGrid w:val="0"/>
        <w:spacing w:after="0" w:line="240" w:lineRule="auto"/>
        <w:contextualSpacing/>
        <w:jc w:val="both"/>
        <w:rPr>
          <w:rFonts w:ascii="Verdana" w:eastAsia="Calibri" w:hAnsi="Verdana" w:cs="Arial"/>
          <w:b/>
          <w:bCs/>
          <w:lang w:val="es-ES" w:eastAsia="es-ES"/>
        </w:rPr>
      </w:pPr>
    </w:p>
    <w:p w14:paraId="5A21E164" w14:textId="36158CD4" w:rsidR="00D62B0D" w:rsidRDefault="00D62B0D" w:rsidP="00D62B0D">
      <w:pPr>
        <w:snapToGrid w:val="0"/>
        <w:spacing w:after="0" w:line="240" w:lineRule="auto"/>
        <w:contextualSpacing/>
        <w:jc w:val="both"/>
        <w:rPr>
          <w:rFonts w:ascii="Verdana" w:hAnsi="Verdana" w:cs="Arial"/>
          <w:bCs/>
          <w:sz w:val="20"/>
          <w:szCs w:val="20"/>
          <w:lang w:val="es-ES" w:eastAsia="x-none"/>
        </w:rPr>
      </w:pPr>
      <w:r w:rsidRPr="00D62B0D">
        <w:rPr>
          <w:rFonts w:ascii="Verdana" w:hAnsi="Verdana" w:cs="Arial"/>
          <w:bCs/>
          <w:sz w:val="20"/>
          <w:szCs w:val="20"/>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D62B0D">
        <w:rPr>
          <w:rFonts w:ascii="Verdana" w:hAnsi="Verdana"/>
          <w:sz w:val="20"/>
          <w:szCs w:val="20"/>
          <w:lang w:val="es-ES"/>
        </w:rPr>
        <w:t xml:space="preserve"> </w:t>
      </w:r>
      <w:r w:rsidRPr="00D62B0D">
        <w:rPr>
          <w:rFonts w:ascii="Verdana" w:hAnsi="Verdana" w:cs="Arial"/>
          <w:bCs/>
          <w:sz w:val="20"/>
          <w:szCs w:val="20"/>
          <w:lang w:val="es-ES" w:eastAsia="x-none"/>
        </w:rPr>
        <w:t>En efecto, tal como lo ha sostenido el Consejo de Estado, el vocablo “todos” utilizado por el legislador comprende</w:t>
      </w:r>
      <w:r w:rsidRPr="00D62B0D">
        <w:rPr>
          <w:rFonts w:ascii="Verdana" w:hAnsi="Verdana"/>
          <w:sz w:val="20"/>
          <w:szCs w:val="20"/>
          <w:lang w:val="es-ES"/>
        </w:rPr>
        <w:t xml:space="preserve"> </w:t>
      </w:r>
      <w:r w:rsidRPr="00D62B0D">
        <w:rPr>
          <w:rFonts w:ascii="Verdana" w:hAnsi="Verdana" w:cs="Arial"/>
          <w:bCs/>
          <w:sz w:val="20"/>
          <w:szCs w:val="20"/>
          <w:lang w:val="es-ES" w:eastAsia="x-none"/>
        </w:rPr>
        <w:t xml:space="preserve">a la totalidad de los entes del Estado, sin distinción del régimen jurídico, forma de organización o naturaleza, su pertenencia a una u otra rama </w:t>
      </w:r>
      <w:r w:rsidRPr="00D62B0D">
        <w:rPr>
          <w:rFonts w:ascii="Verdana" w:hAnsi="Verdana" w:cs="Arial"/>
          <w:bCs/>
          <w:sz w:val="20"/>
          <w:szCs w:val="20"/>
          <w:lang w:val="es-ES" w:eastAsia="x-none"/>
        </w:rPr>
        <w:lastRenderedPageBreak/>
        <w:t>del poder público o su autonomía, e incluso si las entidades estatales tienen régimen especial de contratación y están exceptuadas del ámbito de aplicación del Estatuto General de Contratación de la Administración Pública.</w:t>
      </w:r>
    </w:p>
    <w:p w14:paraId="52C030AC" w14:textId="77777777" w:rsidR="00D62B0D" w:rsidRPr="00D62B0D" w:rsidRDefault="00D62B0D" w:rsidP="00D62B0D">
      <w:pPr>
        <w:snapToGrid w:val="0"/>
        <w:spacing w:after="0" w:line="240" w:lineRule="auto"/>
        <w:contextualSpacing/>
        <w:jc w:val="both"/>
        <w:rPr>
          <w:rFonts w:ascii="Verdana" w:hAnsi="Verdana" w:cs="Arial"/>
          <w:bCs/>
          <w:sz w:val="20"/>
          <w:szCs w:val="20"/>
          <w:lang w:val="es-ES" w:eastAsia="x-none"/>
        </w:rPr>
      </w:pPr>
    </w:p>
    <w:p w14:paraId="400AECE9" w14:textId="79D31F95" w:rsidR="008C43E1" w:rsidRDefault="008C43E1" w:rsidP="008C43E1">
      <w:pPr>
        <w:spacing w:line="276" w:lineRule="auto"/>
        <w:jc w:val="both"/>
        <w:rPr>
          <w:rFonts w:ascii="Verdana" w:eastAsia="Calibri" w:hAnsi="Verdana" w:cs="Arial"/>
          <w:b/>
          <w:bCs/>
          <w:lang w:val="es-ES" w:eastAsia="es-ES"/>
        </w:rPr>
      </w:pPr>
      <w:r w:rsidRPr="00D62B0D">
        <w:rPr>
          <w:rFonts w:ascii="Verdana" w:eastAsia="Calibri" w:hAnsi="Verdana" w:cs="Arial"/>
          <w:b/>
          <w:bCs/>
          <w:lang w:val="es-ES" w:eastAsia="es-ES"/>
        </w:rPr>
        <w:t xml:space="preserve">LEY DE GARANTÍAS ELECTORALES ‒ Artículo 33 ‒ Ámbito material ‒ Entidades de régimen especial – Listas de precalificados – Convocatorias cerradas </w:t>
      </w:r>
    </w:p>
    <w:p w14:paraId="32660C57" w14:textId="77777777" w:rsidR="00D62B0D" w:rsidRDefault="00D62B0D" w:rsidP="00D62B0D">
      <w:pPr>
        <w:snapToGrid w:val="0"/>
        <w:contextualSpacing/>
        <w:jc w:val="both"/>
        <w:rPr>
          <w:rFonts w:ascii="Verdana" w:eastAsia="Times New Roman" w:hAnsi="Verdana" w:cs="Arial"/>
          <w:sz w:val="20"/>
          <w:szCs w:val="20"/>
          <w:lang w:val="es-ES" w:eastAsia="x-none"/>
        </w:rPr>
      </w:pPr>
      <w:r w:rsidRPr="00D62B0D">
        <w:rPr>
          <w:rFonts w:ascii="Verdana" w:eastAsia="Times New Roman" w:hAnsi="Verdana" w:cs="Arial"/>
          <w:sz w:val="20"/>
          <w:szCs w:val="20"/>
          <w:lang w:val="es-ES"/>
        </w:rPr>
        <w:t xml:space="preserve">De lo anterior se desprende que, con respecto a los procedimientos que adelantan las entidades sometidas a un régimen especial de contratación, la restricción aplica, sin perjuicio de las excepciones establecidas en la misma ley, para celebrar </w:t>
      </w:r>
      <w:r w:rsidRPr="00D62B0D">
        <w:rPr>
          <w:rFonts w:ascii="Verdana" w:eastAsia="Times New Roman" w:hAnsi="Verdana" w:cs="Arial"/>
          <w:i/>
          <w:iCs/>
          <w:sz w:val="20"/>
          <w:szCs w:val="20"/>
          <w:lang w:val="es-ES"/>
        </w:rPr>
        <w:t>cualquier contrato de forma directa</w:t>
      </w:r>
      <w:r w:rsidRPr="00D62B0D">
        <w:rPr>
          <w:rFonts w:ascii="Verdana" w:eastAsia="Times New Roman" w:hAnsi="Verdana" w:cs="Arial"/>
          <w:sz w:val="20"/>
          <w:szCs w:val="20"/>
          <w:lang w:val="es-ES"/>
        </w:rPr>
        <w:t xml:space="preserve">, esto es, que </w:t>
      </w:r>
      <w:r w:rsidRPr="00D62B0D">
        <w:rPr>
          <w:rFonts w:ascii="Verdana" w:eastAsia="Times New Roman" w:hAnsi="Verdana" w:cs="Arial"/>
          <w:sz w:val="20"/>
          <w:szCs w:val="20"/>
          <w:lang w:val="es-ES" w:eastAsia="x-none"/>
        </w:rPr>
        <w:t xml:space="preserve">no cumpla con dos aspectos de forma acumulativa:  que no cuente con una convocatoria pública o abierta y que, además, su procedimiento no permita que una pluralidad de oferentes participen en un escenario de competencia. </w:t>
      </w:r>
    </w:p>
    <w:p w14:paraId="1A31CA03" w14:textId="77777777" w:rsidR="00D62B0D" w:rsidRPr="00D62B0D" w:rsidRDefault="00D62B0D" w:rsidP="00D62B0D">
      <w:pPr>
        <w:snapToGrid w:val="0"/>
        <w:spacing w:after="0" w:line="240" w:lineRule="auto"/>
        <w:contextualSpacing/>
        <w:jc w:val="both"/>
        <w:rPr>
          <w:rFonts w:ascii="Verdana" w:eastAsia="Times New Roman" w:hAnsi="Verdana" w:cs="Arial"/>
          <w:sz w:val="20"/>
          <w:szCs w:val="20"/>
          <w:lang w:val="es-ES"/>
        </w:rPr>
      </w:pPr>
    </w:p>
    <w:p w14:paraId="0FF445E4" w14:textId="361C7A44" w:rsidR="00D62B0D" w:rsidRPr="00D62B0D" w:rsidRDefault="00D62B0D" w:rsidP="00D62B0D">
      <w:pPr>
        <w:snapToGrid w:val="0"/>
        <w:spacing w:before="120" w:after="0" w:line="240" w:lineRule="auto"/>
        <w:contextualSpacing/>
        <w:jc w:val="both"/>
        <w:rPr>
          <w:rFonts w:ascii="Verdana" w:eastAsia="Times New Roman" w:hAnsi="Verdana" w:cs="Arial"/>
          <w:sz w:val="20"/>
          <w:szCs w:val="20"/>
        </w:rPr>
      </w:pPr>
      <w:r w:rsidRPr="00D62B0D">
        <w:rPr>
          <w:rFonts w:ascii="Verdana" w:eastAsia="Times New Roman" w:hAnsi="Verdana" w:cs="Arial"/>
          <w:sz w:val="20"/>
          <w:szCs w:val="20"/>
        </w:rPr>
        <w:t xml:space="preserve">Bajo este parámetro fijado por el Consejo de Estado, si una entidad de régimen especial adelanta un proceso en el cual todos los interesados se pueden inscribir en una lista de precalificados y luego efectúa un procedimiento en el cual compiten pluralidad de los inscritos, se cumplirán los dos supuestos requeridos para que el proceso se exceptúe de la prohibición, pues tendrá una convocatoria pública junto con un procedimiento de selección competitivo. Así, una convocatoria o invitación para contratar que se limite a un número de personas que previamente se han inscrito en una lista de precalificados, no constituye “contratación directa” si la convocatoria para inscribirse en forma previa se hizo de manera pública, y se permitió la participación de una pluralidad de oferentes. </w:t>
      </w:r>
    </w:p>
    <w:p w14:paraId="6C314F8F" w14:textId="77777777" w:rsidR="00D62B0D" w:rsidRDefault="00D62B0D" w:rsidP="00D62B0D">
      <w:pPr>
        <w:snapToGrid w:val="0"/>
        <w:spacing w:before="120"/>
        <w:contextualSpacing/>
        <w:jc w:val="both"/>
        <w:rPr>
          <w:rFonts w:ascii="Verdana" w:eastAsia="Times New Roman" w:hAnsi="Verdana" w:cs="Arial"/>
          <w:sz w:val="20"/>
          <w:szCs w:val="20"/>
        </w:rPr>
      </w:pPr>
    </w:p>
    <w:p w14:paraId="2929FEF7" w14:textId="031F8B58" w:rsidR="00D62B0D" w:rsidRPr="00D62B0D" w:rsidRDefault="00D62B0D" w:rsidP="00D62B0D">
      <w:pPr>
        <w:snapToGrid w:val="0"/>
        <w:spacing w:before="120" w:after="0" w:line="240" w:lineRule="auto"/>
        <w:contextualSpacing/>
        <w:jc w:val="both"/>
        <w:rPr>
          <w:rFonts w:ascii="Verdana" w:eastAsia="Times New Roman" w:hAnsi="Verdana" w:cs="Arial"/>
          <w:sz w:val="20"/>
          <w:szCs w:val="20"/>
        </w:rPr>
      </w:pPr>
      <w:r w:rsidRPr="00D62B0D">
        <w:rPr>
          <w:rFonts w:ascii="Verdana" w:eastAsia="Times New Roman" w:hAnsi="Verdana" w:cs="Arial"/>
          <w:sz w:val="20"/>
          <w:szCs w:val="20"/>
        </w:rPr>
        <w:t xml:space="preserve">En contraste, están sujetos a la prohibición los procesos de contratación que adelanten las entidades sometidas a un régimen especial que cumplan solo con uno de los dos requisitos establecidos por el Consejo de Estado. Por ejemplo, cuando la Entidad seleccione de una lista de precalificados elegidos por una convocatoria abierta a un único proponente con el cual adelantar el proceso de contratación, pues, aunque la convocatoria para participar o inscribirse sea abierta, el procedimiento de selección no permite competencia entre pluralidad de oferentes. También estarán bajo la prohibición del artículo 33 aquellos procesos en los que la entidad adelante un proceso competitivo con pluralidad de proponentes que hayan sido invitados a participar de manera directa o mediante convocatoria cerrada, pues en este caso, aunque el procedimiento de selección es competitivo, la convocatoria para participar es cerrada. De esta manera, para que el procedimiento no sea considerado de “contratación directa” y se exima de la prohibición referida, es necesario que la entidad contratante verifique en cada caso concreto que la convocatoria a participar sea abierta a cualquier interesado y que el procedimiento mismo de selección permita que pluralidad de proponentes compitan por la adjudicación del contrato. </w:t>
      </w:r>
    </w:p>
    <w:p w14:paraId="04685A8A" w14:textId="77777777" w:rsidR="00D62B0D" w:rsidRDefault="00D62B0D" w:rsidP="008C43E1">
      <w:pPr>
        <w:spacing w:line="276" w:lineRule="auto"/>
        <w:jc w:val="both"/>
        <w:rPr>
          <w:rFonts w:ascii="Verdana" w:eastAsia="Calibri" w:hAnsi="Verdana" w:cs="Arial"/>
          <w:b/>
          <w:bCs/>
          <w:lang w:val="es-ES" w:eastAsia="es-ES"/>
        </w:rPr>
      </w:pPr>
    </w:p>
    <w:p w14:paraId="7B3A8814" w14:textId="77777777" w:rsidR="00D62B0D" w:rsidRDefault="00D62B0D" w:rsidP="0079237F">
      <w:pPr>
        <w:spacing w:after="0"/>
        <w:rPr>
          <w:rFonts w:ascii="Verdana" w:eastAsia="Arial" w:hAnsi="Verdana" w:cs="Arial"/>
          <w:b/>
          <w:bCs/>
          <w:color w:val="000000" w:themeColor="text1"/>
        </w:rPr>
      </w:pPr>
    </w:p>
    <w:p w14:paraId="062B9850" w14:textId="71AC54B5" w:rsidR="0079237F" w:rsidRPr="00FC6F34" w:rsidRDefault="0079237F" w:rsidP="0079237F">
      <w:pPr>
        <w:spacing w:after="0"/>
        <w:rPr>
          <w:rFonts w:ascii="Verdana" w:hAnsi="Verdana"/>
          <w:lang w:val="es-ES"/>
        </w:rPr>
      </w:pPr>
      <w:r w:rsidRPr="00FC6F34">
        <w:rPr>
          <w:rFonts w:ascii="Verdana" w:hAnsi="Verdana"/>
          <w:lang w:val="es-ES"/>
        </w:rPr>
        <w:lastRenderedPageBreak/>
        <w:t xml:space="preserve">Bogotá D.C., </w:t>
      </w:r>
      <w:r w:rsidR="0026318D">
        <w:rPr>
          <w:rFonts w:ascii="Verdana" w:hAnsi="Verdana"/>
          <w:lang w:val="es-ES"/>
        </w:rPr>
        <w:t>04 de marzo de 2026</w:t>
      </w:r>
    </w:p>
    <w:p w14:paraId="517EDF65" w14:textId="77777777" w:rsidR="0079237F" w:rsidRPr="00FC6F34" w:rsidRDefault="0079237F" w:rsidP="0079237F">
      <w:pPr>
        <w:spacing w:after="0"/>
        <w:rPr>
          <w:rFonts w:ascii="Verdana" w:hAnsi="Verdana"/>
          <w:lang w:val="es-ES"/>
        </w:rPr>
      </w:pPr>
    </w:p>
    <w:p w14:paraId="278E8C91" w14:textId="57680F2D" w:rsidR="0079237F" w:rsidRDefault="0026318D" w:rsidP="0079237F">
      <w:pPr>
        <w:spacing w:after="0" w:line="240" w:lineRule="auto"/>
        <w:rPr>
          <w:rFonts w:ascii="Verdana" w:eastAsia="Calibri" w:hAnsi="Verdana" w:cs="Arial"/>
          <w:color w:val="000000" w:themeColor="text1"/>
          <w:lang w:val="es-ES" w:eastAsia="es-ES"/>
        </w:rPr>
      </w:pPr>
      <w:bookmarkStart w:id="0" w:name="_Hlk143780582"/>
      <w:r>
        <w:rPr>
          <w:rFonts w:ascii="Verdana" w:hAnsi="Verdana"/>
          <w:noProof/>
        </w:rPr>
        <w:drawing>
          <wp:anchor distT="0" distB="0" distL="114300" distR="114300" simplePos="0" relativeHeight="251660288" behindDoc="0" locked="0" layoutInCell="1" allowOverlap="1" wp14:anchorId="76ADCC2C" wp14:editId="7A60C13E">
            <wp:simplePos x="0" y="0"/>
            <wp:positionH relativeFrom="column">
              <wp:posOffset>3130223</wp:posOffset>
            </wp:positionH>
            <wp:positionV relativeFrom="paragraph">
              <wp:posOffset>110552</wp:posOffset>
            </wp:positionV>
            <wp:extent cx="2176145" cy="574675"/>
            <wp:effectExtent l="0" t="0" r="0" b="0"/>
            <wp:wrapSquare wrapText="bothSides"/>
            <wp:docPr id="738824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824908" name="Picture 73882490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6145" cy="574675"/>
                    </a:xfrm>
                    <a:prstGeom prst="rect">
                      <a:avLst/>
                    </a:prstGeom>
                  </pic:spPr>
                </pic:pic>
              </a:graphicData>
            </a:graphic>
            <wp14:sizeRelH relativeFrom="page">
              <wp14:pctWidth>0</wp14:pctWidth>
            </wp14:sizeRelH>
            <wp14:sizeRelV relativeFrom="page">
              <wp14:pctHeight>0</wp14:pctHeight>
            </wp14:sizeRelV>
          </wp:anchor>
        </w:drawing>
      </w:r>
      <w:r w:rsidR="0079237F" w:rsidRPr="00FC6F34">
        <w:rPr>
          <w:rFonts w:ascii="Verdana" w:eastAsia="Calibri" w:hAnsi="Verdana" w:cs="Arial"/>
          <w:color w:val="000000" w:themeColor="text1"/>
          <w:lang w:val="es-ES" w:eastAsia="es-ES"/>
        </w:rPr>
        <w:t>Señor</w:t>
      </w:r>
    </w:p>
    <w:p w14:paraId="22B35D8F" w14:textId="751590FC" w:rsidR="0079237F" w:rsidRPr="00A674E3" w:rsidRDefault="0079237F" w:rsidP="0079237F">
      <w:pPr>
        <w:spacing w:after="0" w:line="240" w:lineRule="auto"/>
        <w:rPr>
          <w:rFonts w:ascii="Verdana" w:hAnsi="Verdana"/>
        </w:rPr>
      </w:pPr>
      <w:r w:rsidRPr="00A674E3">
        <w:rPr>
          <w:rFonts w:ascii="Verdana" w:hAnsi="Verdana"/>
          <w:b/>
        </w:rPr>
        <w:t xml:space="preserve">Antonio Alejandro Barreto Moreno </w:t>
      </w:r>
    </w:p>
    <w:p w14:paraId="56190A58" w14:textId="77777777" w:rsidR="0079237F" w:rsidRPr="00A674E3" w:rsidRDefault="0079237F" w:rsidP="0079237F">
      <w:pPr>
        <w:spacing w:after="0" w:line="240" w:lineRule="auto"/>
        <w:rPr>
          <w:rFonts w:ascii="Verdana" w:hAnsi="Verdana"/>
        </w:rPr>
      </w:pPr>
      <w:hyperlink r:id="rId11" w:history="1">
        <w:r w:rsidRPr="00A674E3">
          <w:rPr>
            <w:rStyle w:val="Hipervnculo"/>
            <w:rFonts w:ascii="Verdana" w:hAnsi="Verdana"/>
          </w:rPr>
          <w:t>abarreto@bpestrategica.com</w:t>
        </w:r>
      </w:hyperlink>
      <w:r w:rsidRPr="00A674E3">
        <w:rPr>
          <w:rFonts w:ascii="Verdana" w:hAnsi="Verdana"/>
        </w:rPr>
        <w:t xml:space="preserve">  </w:t>
      </w:r>
    </w:p>
    <w:p w14:paraId="19AEB22E" w14:textId="77777777" w:rsidR="0079237F" w:rsidRPr="00FC6F34" w:rsidRDefault="0079237F" w:rsidP="0079237F">
      <w:pPr>
        <w:spacing w:after="0" w:line="240" w:lineRule="auto"/>
        <w:rPr>
          <w:rFonts w:ascii="Verdana" w:hAnsi="Verdana"/>
          <w:lang w:val="es-ES"/>
        </w:rPr>
      </w:pPr>
      <w:r>
        <w:rPr>
          <w:rFonts w:ascii="Verdana" w:hAnsi="Verdana"/>
          <w:lang w:val="es-ES"/>
        </w:rPr>
        <w:t>Bogotá. D.C.</w:t>
      </w:r>
    </w:p>
    <w:p w14:paraId="5DF64AE0" w14:textId="77777777" w:rsidR="0079237F" w:rsidRPr="00FC6F34" w:rsidRDefault="0079237F" w:rsidP="0079237F">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9237F" w:rsidRPr="00FC6F34" w14:paraId="2DE8CC97" w14:textId="77777777" w:rsidTr="00517DD2">
        <w:trPr>
          <w:trHeight w:val="300"/>
        </w:trPr>
        <w:tc>
          <w:tcPr>
            <w:tcW w:w="2410" w:type="dxa"/>
          </w:tcPr>
          <w:p w14:paraId="4CA36E1B" w14:textId="77777777" w:rsidR="0079237F" w:rsidRPr="00FC6F34" w:rsidRDefault="0079237F" w:rsidP="00517DD2">
            <w:pPr>
              <w:ind w:left="-142"/>
              <w:jc w:val="both"/>
              <w:rPr>
                <w:rFonts w:ascii="Verdana" w:eastAsia="Calibri" w:hAnsi="Verdana" w:cs="Arial"/>
                <w:b/>
                <w:bCs/>
                <w:color w:val="000000" w:themeColor="text1"/>
                <w:lang w:val="es-ES" w:eastAsia="es-ES_tradnl"/>
              </w:rPr>
            </w:pPr>
          </w:p>
        </w:tc>
        <w:tc>
          <w:tcPr>
            <w:tcW w:w="6100" w:type="dxa"/>
          </w:tcPr>
          <w:p w14:paraId="5BD65E0F" w14:textId="763126C4" w:rsidR="0079237F" w:rsidRPr="00FC6F34" w:rsidRDefault="0079237F" w:rsidP="00517DD2">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CE2DCB">
              <w:rPr>
                <w:rFonts w:ascii="Verdana" w:eastAsia="Calibri" w:hAnsi="Verdana" w:cs="Arial"/>
                <w:b/>
                <w:bCs/>
                <w:color w:val="000000" w:themeColor="text1"/>
                <w:lang w:val="es-ES" w:eastAsia="es-ES"/>
              </w:rPr>
              <w:t>139</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49E33EB0" w14:textId="77777777" w:rsidR="0079237F" w:rsidRPr="00FC6F34" w:rsidRDefault="0079237F" w:rsidP="00517DD2">
            <w:pPr>
              <w:ind w:left="3"/>
              <w:jc w:val="both"/>
              <w:rPr>
                <w:rFonts w:ascii="Verdana" w:eastAsia="Calibri" w:hAnsi="Verdana" w:cs="Arial"/>
                <w:b/>
                <w:bCs/>
                <w:color w:val="000000" w:themeColor="text1"/>
                <w:lang w:val="es-ES" w:eastAsia="es-ES"/>
              </w:rPr>
            </w:pPr>
          </w:p>
        </w:tc>
      </w:tr>
      <w:tr w:rsidR="0079237F" w:rsidRPr="00FC6F34" w14:paraId="3251CD43" w14:textId="77777777" w:rsidTr="00517DD2">
        <w:trPr>
          <w:trHeight w:val="300"/>
        </w:trPr>
        <w:tc>
          <w:tcPr>
            <w:tcW w:w="2410" w:type="dxa"/>
          </w:tcPr>
          <w:p w14:paraId="56FD90D9" w14:textId="77777777" w:rsidR="0079237F" w:rsidRPr="00FC6F34" w:rsidRDefault="0079237F" w:rsidP="00517DD2">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58AAC66C" w14:textId="27D9B513" w:rsidR="0079237F" w:rsidRDefault="0079237F" w:rsidP="00517DD2">
            <w:pPr>
              <w:spacing w:line="276" w:lineRule="auto"/>
              <w:jc w:val="both"/>
              <w:rPr>
                <w:rFonts w:ascii="Verdana" w:eastAsia="Arial" w:hAnsi="Verdana" w:cs="Arial"/>
                <w:bCs/>
                <w:color w:val="000000" w:themeColor="text1"/>
              </w:rPr>
            </w:pP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w:t>
            </w:r>
            <w:r>
              <w:rPr>
                <w:rFonts w:ascii="Verdana" w:eastAsia="Calibri" w:hAnsi="Verdana" w:cs="Arial"/>
                <w:lang w:val="es-ES" w:eastAsia="es-ES"/>
              </w:rPr>
              <w:t xml:space="preserve"> Sujetos / </w:t>
            </w:r>
            <w:r w:rsidRPr="00FC6F34">
              <w:rPr>
                <w:rFonts w:ascii="Verdana" w:eastAsia="Calibri" w:hAnsi="Verdana" w:cs="Arial"/>
                <w:lang w:val="es-ES" w:eastAsia="es-ES"/>
              </w:rPr>
              <w:t>LEY DE GARANTÍAS ELECTORALES ‒ Artículo 33 ‒ Ámbito material</w:t>
            </w:r>
            <w:r>
              <w:rPr>
                <w:rFonts w:ascii="Verdana" w:eastAsia="Calibri" w:hAnsi="Verdana" w:cs="Arial"/>
                <w:lang w:val="es-ES" w:eastAsia="es-ES"/>
              </w:rPr>
              <w:t xml:space="preserve"> </w:t>
            </w:r>
            <w:r w:rsidRPr="00FC6F34">
              <w:rPr>
                <w:rFonts w:ascii="Verdana" w:eastAsia="Calibri" w:hAnsi="Verdana" w:cs="Arial"/>
                <w:lang w:val="es-ES" w:eastAsia="es-ES"/>
              </w:rPr>
              <w:t>‒</w:t>
            </w:r>
            <w:r>
              <w:rPr>
                <w:rFonts w:ascii="Verdana" w:eastAsia="Calibri" w:hAnsi="Verdana" w:cs="Arial"/>
                <w:lang w:val="es-ES" w:eastAsia="es-ES"/>
              </w:rPr>
              <w:t xml:space="preserve"> Entidades de régimen especial</w:t>
            </w:r>
            <w:r w:rsidR="004264FE">
              <w:rPr>
                <w:rFonts w:ascii="Verdana" w:eastAsia="Calibri" w:hAnsi="Verdana" w:cs="Arial"/>
                <w:lang w:val="es-ES" w:eastAsia="es-ES"/>
              </w:rPr>
              <w:t xml:space="preserve"> –</w:t>
            </w:r>
            <w:r w:rsidR="000106B3">
              <w:rPr>
                <w:rFonts w:ascii="Verdana" w:eastAsia="Calibri" w:hAnsi="Verdana" w:cs="Arial"/>
                <w:lang w:val="es-ES" w:eastAsia="es-ES"/>
              </w:rPr>
              <w:t xml:space="preserve"> Listas de precalificados –</w:t>
            </w:r>
            <w:r w:rsidR="004264FE">
              <w:rPr>
                <w:rFonts w:ascii="Verdana" w:eastAsia="Calibri" w:hAnsi="Verdana" w:cs="Arial"/>
                <w:lang w:val="es-ES" w:eastAsia="es-ES"/>
              </w:rPr>
              <w:t xml:space="preserve"> Convocatorias cerradas</w:t>
            </w:r>
            <w:r w:rsidR="000106B3">
              <w:rPr>
                <w:rFonts w:ascii="Verdana" w:eastAsia="Calibri" w:hAnsi="Verdana" w:cs="Arial"/>
                <w:lang w:val="es-ES" w:eastAsia="es-ES"/>
              </w:rPr>
              <w:t xml:space="preserve"> </w:t>
            </w:r>
          </w:p>
          <w:p w14:paraId="2A8B0529" w14:textId="77777777" w:rsidR="0079237F" w:rsidRPr="00FC6F34" w:rsidRDefault="0079237F" w:rsidP="00517DD2">
            <w:pPr>
              <w:spacing w:line="276" w:lineRule="auto"/>
              <w:jc w:val="both"/>
              <w:rPr>
                <w:rFonts w:ascii="Verdana" w:eastAsia="Calibri" w:hAnsi="Verdana" w:cs="Arial"/>
                <w:color w:val="000000" w:themeColor="text1"/>
                <w:lang w:val="es-ES" w:eastAsia="es-ES"/>
              </w:rPr>
            </w:pPr>
          </w:p>
        </w:tc>
      </w:tr>
      <w:tr w:rsidR="0079237F" w:rsidRPr="00FC6F34" w14:paraId="572ED394" w14:textId="77777777" w:rsidTr="00517DD2">
        <w:trPr>
          <w:trHeight w:val="456"/>
        </w:trPr>
        <w:tc>
          <w:tcPr>
            <w:tcW w:w="2410" w:type="dxa"/>
          </w:tcPr>
          <w:p w14:paraId="073C553E" w14:textId="77777777" w:rsidR="0079237F" w:rsidRPr="00FC6F34" w:rsidRDefault="0079237F" w:rsidP="00517DD2">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309ECD18" w14:textId="77777777" w:rsidR="0079237F" w:rsidRPr="00FC6F34" w:rsidRDefault="0079237F" w:rsidP="00517DD2">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 con radicado No.</w:t>
            </w:r>
            <w:r w:rsidRPr="00D53094">
              <w:rPr>
                <w:rFonts w:ascii="Segoe UI" w:hAnsi="Segoe UI" w:cs="Segoe UI"/>
                <w:b/>
                <w:bCs/>
                <w:color w:val="242424"/>
                <w:sz w:val="21"/>
                <w:szCs w:val="21"/>
                <w:shd w:val="clear" w:color="auto" w:fill="FFFFFF"/>
              </w:rPr>
              <w:t xml:space="preserve"> </w:t>
            </w:r>
            <w:r w:rsidRPr="00A674E3">
              <w:rPr>
                <w:rFonts w:ascii="Verdana" w:eastAsia="Calibri" w:hAnsi="Verdana" w:cs="Arial"/>
                <w:color w:val="000000" w:themeColor="text1"/>
                <w:lang w:val="es-ES" w:eastAsia="es-ES"/>
              </w:rPr>
              <w:t>1_2026_02_02_001250</w:t>
            </w:r>
          </w:p>
        </w:tc>
      </w:tr>
    </w:tbl>
    <w:p w14:paraId="3A77C802" w14:textId="77777777" w:rsidR="0079237F" w:rsidRPr="00FC6F34" w:rsidRDefault="0079237F" w:rsidP="0079237F">
      <w:pPr>
        <w:spacing w:after="0" w:line="276" w:lineRule="auto"/>
        <w:jc w:val="both"/>
        <w:rPr>
          <w:rFonts w:ascii="Verdana" w:eastAsia="Calibri" w:hAnsi="Verdana" w:cs="Arial"/>
          <w:color w:val="000000" w:themeColor="text1"/>
          <w:lang w:val="es-ES" w:eastAsia="es-ES"/>
        </w:rPr>
      </w:pPr>
    </w:p>
    <w:p w14:paraId="6D984C81" w14:textId="77777777" w:rsidR="0079237F" w:rsidRPr="00FC6F34" w:rsidRDefault="0079237F" w:rsidP="0079237F">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Barreto</w:t>
      </w:r>
      <w:r w:rsidRPr="00FC6F34">
        <w:rPr>
          <w:rFonts w:ascii="Verdana" w:eastAsia="Calibri" w:hAnsi="Verdana" w:cs="Arial"/>
          <w:color w:val="000000" w:themeColor="text1"/>
          <w:lang w:val="es-ES" w:eastAsia="es-ES"/>
        </w:rPr>
        <w:t xml:space="preserve">: </w:t>
      </w:r>
    </w:p>
    <w:p w14:paraId="06BBF15E" w14:textId="77777777" w:rsidR="0079237F" w:rsidRPr="00FC6F34" w:rsidRDefault="0079237F" w:rsidP="0079237F">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73276A67" w14:textId="77777777" w:rsidR="0079237F" w:rsidRPr="00FC6F34" w:rsidRDefault="0079237F" w:rsidP="0079237F">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2 </w:t>
      </w:r>
      <w:r w:rsidRPr="00FC6F34">
        <w:rPr>
          <w:rFonts w:ascii="Verdana" w:eastAsia="Calibri" w:hAnsi="Verdana" w:cs="Arial"/>
          <w:color w:val="000000" w:themeColor="text1"/>
          <w:lang w:val="es-ES" w:eastAsia="es-ES"/>
        </w:rPr>
        <w:t xml:space="preserve">de </w:t>
      </w:r>
      <w:r>
        <w:rPr>
          <w:rFonts w:ascii="Verdana" w:eastAsia="Calibri" w:hAnsi="Verdana" w:cs="Arial"/>
          <w:color w:val="000000" w:themeColor="text1"/>
          <w:lang w:val="es-ES" w:eastAsia="es-ES"/>
        </w:rPr>
        <w:t>febrero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4A29E7A8" w14:textId="77777777" w:rsidR="0079237F" w:rsidRPr="00BF306B" w:rsidRDefault="0079237F" w:rsidP="0079237F">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44A8E3C9" w14:textId="77777777" w:rsidR="0079237F" w:rsidRPr="00D75428" w:rsidRDefault="0079237F" w:rsidP="0079237F">
      <w:pPr>
        <w:spacing w:after="0"/>
        <w:ind w:left="709" w:right="709"/>
        <w:jc w:val="both"/>
        <w:rPr>
          <w:rFonts w:ascii="Verdana" w:eastAsia="Century Gothic" w:hAnsi="Verdana" w:cs="Century Gothic"/>
          <w:i/>
          <w:color w:val="000000" w:themeColor="text1"/>
          <w:sz w:val="20"/>
          <w:szCs w:val="20"/>
        </w:rPr>
      </w:pPr>
      <w:r w:rsidRPr="00BF306B">
        <w:rPr>
          <w:rFonts w:ascii="Verdana" w:eastAsia="Century Gothic" w:hAnsi="Verdana" w:cs="Century Gothic"/>
          <w:i/>
          <w:color w:val="000000" w:themeColor="text1"/>
          <w:sz w:val="20"/>
          <w:szCs w:val="20"/>
          <w:lang w:val="es-ES"/>
        </w:rPr>
        <w:t>“</w:t>
      </w:r>
      <w:r>
        <w:rPr>
          <w:rFonts w:ascii="Verdana" w:eastAsia="Century Gothic" w:hAnsi="Verdana" w:cs="Century Gothic"/>
          <w:i/>
          <w:color w:val="000000" w:themeColor="text1"/>
          <w:sz w:val="20"/>
          <w:szCs w:val="20"/>
          <w:lang w:val="es-ES"/>
        </w:rPr>
        <w:t xml:space="preserve">[…] </w:t>
      </w:r>
      <w:r w:rsidRPr="00D75428">
        <w:rPr>
          <w:rFonts w:ascii="Verdana" w:eastAsia="Century Gothic" w:hAnsi="Verdana" w:cs="Century Gothic"/>
          <w:i/>
          <w:color w:val="000000" w:themeColor="text1"/>
          <w:sz w:val="20"/>
          <w:szCs w:val="20"/>
        </w:rPr>
        <w:t xml:space="preserve">Con fundamento en lo expuesto, solicito respetuosamente a la Agencia Nacional de Contratación Pública - Colombia Compra Eficiente que se sirva emitir respuesta clara, motivada y completa, frente a las siguientes consultas: </w:t>
      </w:r>
    </w:p>
    <w:p w14:paraId="1E376200" w14:textId="77777777" w:rsidR="0079237F" w:rsidRPr="00D75428" w:rsidRDefault="0079237F" w:rsidP="0079237F">
      <w:pPr>
        <w:spacing w:after="0"/>
        <w:ind w:left="709" w:right="709"/>
        <w:jc w:val="both"/>
        <w:rPr>
          <w:rFonts w:ascii="Verdana" w:eastAsia="Century Gothic" w:hAnsi="Verdana" w:cs="Century Gothic"/>
          <w:i/>
          <w:color w:val="000000" w:themeColor="text1"/>
          <w:sz w:val="20"/>
          <w:szCs w:val="20"/>
        </w:rPr>
      </w:pPr>
      <w:r w:rsidRPr="00D75428">
        <w:rPr>
          <w:rFonts w:ascii="Verdana" w:eastAsia="Century Gothic" w:hAnsi="Verdana" w:cs="Century Gothic"/>
          <w:b/>
          <w:i/>
          <w:color w:val="000000" w:themeColor="text1"/>
          <w:sz w:val="20"/>
          <w:szCs w:val="20"/>
        </w:rPr>
        <w:t xml:space="preserve">PRIMERO: </w:t>
      </w:r>
      <w:r w:rsidRPr="00D75428">
        <w:rPr>
          <w:rFonts w:ascii="Verdana" w:eastAsia="Century Gothic" w:hAnsi="Verdana" w:cs="Century Gothic"/>
          <w:i/>
          <w:color w:val="000000" w:themeColor="text1"/>
          <w:sz w:val="20"/>
          <w:szCs w:val="20"/>
        </w:rPr>
        <w:t xml:space="preserve">En el marco de regímenes especiales de contratación, cuando se implementa un procedimiento de convocatoria cerrada dirigida a un número particular de invitados (invitación a presentar cotización u oferta a determinados proponentes seleccionados previamente), se solicita precisar: </w:t>
      </w:r>
    </w:p>
    <w:p w14:paraId="4DB75485" w14:textId="77777777" w:rsidR="0079237F" w:rsidRPr="00D75428" w:rsidRDefault="0079237F" w:rsidP="0079237F">
      <w:pPr>
        <w:spacing w:after="0"/>
        <w:ind w:left="720" w:right="709"/>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t>1.</w:t>
      </w:r>
      <w:r w:rsidRPr="00D75428">
        <w:rPr>
          <w:rFonts w:ascii="Verdana" w:eastAsia="Century Gothic" w:hAnsi="Verdana" w:cs="Century Gothic"/>
          <w:i/>
          <w:color w:val="000000" w:themeColor="text1"/>
          <w:sz w:val="20"/>
          <w:szCs w:val="20"/>
        </w:rPr>
        <w:t>¿</w:t>
      </w:r>
      <w:proofErr w:type="gramEnd"/>
      <w:r w:rsidRPr="00D75428">
        <w:rPr>
          <w:rFonts w:ascii="Verdana" w:eastAsia="Century Gothic" w:hAnsi="Verdana" w:cs="Century Gothic"/>
          <w:i/>
          <w:color w:val="000000" w:themeColor="text1"/>
          <w:sz w:val="20"/>
          <w:szCs w:val="20"/>
        </w:rPr>
        <w:t xml:space="preserve">Debe entenderse dicho procedimiento como contratación directa, o </w:t>
      </w:r>
    </w:p>
    <w:p w14:paraId="0D3246D7" w14:textId="77777777" w:rsidR="0079237F" w:rsidRPr="00D75428" w:rsidRDefault="0079237F" w:rsidP="0079237F">
      <w:pPr>
        <w:spacing w:after="0"/>
        <w:ind w:left="720" w:right="709"/>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lastRenderedPageBreak/>
        <w:t>2.</w:t>
      </w:r>
      <w:r w:rsidRPr="00D75428">
        <w:rPr>
          <w:rFonts w:ascii="Verdana" w:eastAsia="Century Gothic" w:hAnsi="Verdana" w:cs="Century Gothic"/>
          <w:i/>
          <w:color w:val="000000" w:themeColor="text1"/>
          <w:sz w:val="20"/>
          <w:szCs w:val="20"/>
        </w:rPr>
        <w:t>¿</w:t>
      </w:r>
      <w:proofErr w:type="gramEnd"/>
      <w:r w:rsidRPr="00D75428">
        <w:rPr>
          <w:rFonts w:ascii="Verdana" w:eastAsia="Century Gothic" w:hAnsi="Verdana" w:cs="Century Gothic"/>
          <w:i/>
          <w:color w:val="000000" w:themeColor="text1"/>
          <w:sz w:val="20"/>
          <w:szCs w:val="20"/>
        </w:rPr>
        <w:t xml:space="preserve">Debe considerarse un procedimiento público/competitivo, aunque restringido, en la medida en que existe pluralidad de oferentes y evaluación comparativa? </w:t>
      </w:r>
    </w:p>
    <w:p w14:paraId="5CD45562" w14:textId="77777777" w:rsidR="0079237F" w:rsidRPr="00D75428" w:rsidRDefault="0079237F" w:rsidP="0079237F">
      <w:pPr>
        <w:spacing w:after="0"/>
        <w:ind w:left="709" w:right="709"/>
        <w:jc w:val="both"/>
        <w:rPr>
          <w:rFonts w:ascii="Verdana" w:eastAsia="Century Gothic" w:hAnsi="Verdana" w:cs="Century Gothic"/>
          <w:i/>
          <w:color w:val="000000" w:themeColor="text1"/>
          <w:sz w:val="20"/>
          <w:szCs w:val="20"/>
        </w:rPr>
      </w:pPr>
      <w:r w:rsidRPr="00D75428">
        <w:rPr>
          <w:rFonts w:ascii="Verdana" w:eastAsia="Century Gothic" w:hAnsi="Verdana" w:cs="Century Gothic"/>
          <w:b/>
          <w:i/>
          <w:color w:val="000000" w:themeColor="text1"/>
          <w:sz w:val="20"/>
          <w:szCs w:val="20"/>
        </w:rPr>
        <w:t xml:space="preserve">SEGUNDO: </w:t>
      </w:r>
      <w:r w:rsidRPr="00D75428">
        <w:rPr>
          <w:rFonts w:ascii="Verdana" w:eastAsia="Century Gothic" w:hAnsi="Verdana" w:cs="Century Gothic"/>
          <w:i/>
          <w:color w:val="000000" w:themeColor="text1"/>
          <w:sz w:val="20"/>
          <w:szCs w:val="20"/>
        </w:rPr>
        <w:t xml:space="preserve">En relación con el procedimiento descrito en el numeral anterior, se solicita indicar: </w:t>
      </w:r>
    </w:p>
    <w:p w14:paraId="58DC820B" w14:textId="77777777" w:rsidR="0079237F" w:rsidRPr="00D75428" w:rsidRDefault="0079237F" w:rsidP="0079237F">
      <w:pPr>
        <w:spacing w:after="0"/>
        <w:ind w:left="720" w:right="709"/>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t>1.</w:t>
      </w:r>
      <w:r w:rsidRPr="00D75428">
        <w:rPr>
          <w:rFonts w:ascii="Verdana" w:eastAsia="Century Gothic" w:hAnsi="Verdana" w:cs="Century Gothic"/>
          <w:i/>
          <w:color w:val="000000" w:themeColor="text1"/>
          <w:sz w:val="20"/>
          <w:szCs w:val="20"/>
        </w:rPr>
        <w:t>¿</w:t>
      </w:r>
      <w:proofErr w:type="gramEnd"/>
      <w:r w:rsidRPr="00D75428">
        <w:rPr>
          <w:rFonts w:ascii="Verdana" w:eastAsia="Century Gothic" w:hAnsi="Verdana" w:cs="Century Gothic"/>
          <w:i/>
          <w:color w:val="000000" w:themeColor="text1"/>
          <w:sz w:val="20"/>
          <w:szCs w:val="20"/>
        </w:rPr>
        <w:t xml:space="preserve">En esta clase de procesos (convocatoria cerrada en régimen especial) resulta aplicable la restricción contractual prevista en la Ley de Garantías? </w:t>
      </w:r>
    </w:p>
    <w:p w14:paraId="1E75B9FD" w14:textId="77777777" w:rsidR="0079237F" w:rsidRPr="00D75428" w:rsidRDefault="0079237F" w:rsidP="0079237F">
      <w:pPr>
        <w:spacing w:after="0"/>
        <w:ind w:left="720"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2. </w:t>
      </w:r>
      <w:r w:rsidRPr="00D75428">
        <w:rPr>
          <w:rFonts w:ascii="Verdana" w:eastAsia="Century Gothic" w:hAnsi="Verdana" w:cs="Century Gothic"/>
          <w:i/>
          <w:color w:val="000000" w:themeColor="text1"/>
          <w:sz w:val="20"/>
          <w:szCs w:val="20"/>
        </w:rPr>
        <w:t xml:space="preserve">En caso afirmativo, ¿cuál es el límite máximo temporal de dicha restricción y cuál es el criterio normativo para determinarlo (por ejemplo: </w:t>
      </w:r>
      <w:proofErr w:type="gramStart"/>
      <w:r w:rsidRPr="00D75428">
        <w:rPr>
          <w:rFonts w:ascii="Verdana" w:eastAsia="Century Gothic" w:hAnsi="Verdana" w:cs="Century Gothic"/>
          <w:i/>
          <w:color w:val="000000" w:themeColor="text1"/>
          <w:sz w:val="20"/>
          <w:szCs w:val="20"/>
        </w:rPr>
        <w:t>fecha de elección, declaratoria, fecha de posesión u otro hito normativo aplicable)?</w:t>
      </w:r>
      <w:proofErr w:type="gramEnd"/>
      <w:r w:rsidRPr="00D75428">
        <w:rPr>
          <w:rFonts w:ascii="Verdana" w:eastAsia="Century Gothic" w:hAnsi="Verdana" w:cs="Century Gothic"/>
          <w:i/>
          <w:color w:val="000000" w:themeColor="text1"/>
          <w:sz w:val="20"/>
          <w:szCs w:val="20"/>
        </w:rPr>
        <w:t xml:space="preserve"> </w:t>
      </w:r>
    </w:p>
    <w:p w14:paraId="256CD828" w14:textId="77777777" w:rsidR="0079237F" w:rsidRPr="00851E42" w:rsidRDefault="0079237F" w:rsidP="0079237F">
      <w:pPr>
        <w:spacing w:after="0"/>
        <w:ind w:left="709" w:right="709"/>
        <w:jc w:val="both"/>
        <w:rPr>
          <w:rFonts w:ascii="Verdana" w:eastAsia="Century Gothic" w:hAnsi="Verdana" w:cs="Century Gothic"/>
          <w:i/>
          <w:color w:val="000000" w:themeColor="text1"/>
          <w:sz w:val="20"/>
          <w:szCs w:val="20"/>
        </w:rPr>
      </w:pPr>
      <w:r w:rsidRPr="00D75428">
        <w:rPr>
          <w:rFonts w:ascii="Verdana" w:eastAsia="Century Gothic" w:hAnsi="Verdana" w:cs="Century Gothic"/>
          <w:b/>
          <w:i/>
          <w:color w:val="000000" w:themeColor="text1"/>
          <w:sz w:val="20"/>
          <w:szCs w:val="20"/>
        </w:rPr>
        <w:t xml:space="preserve">TERCERO: </w:t>
      </w:r>
      <w:r w:rsidRPr="00D75428">
        <w:rPr>
          <w:rFonts w:ascii="Verdana" w:eastAsia="Century Gothic" w:hAnsi="Verdana" w:cs="Century Gothic"/>
          <w:i/>
          <w:color w:val="000000" w:themeColor="text1"/>
          <w:sz w:val="20"/>
          <w:szCs w:val="20"/>
        </w:rPr>
        <w:t>En caso de existir documentos oficiales de Colombia Compra Eficiente (guías, conceptos, manuales, lineamientos o criterios técnicos) relacionados con clasificación de procedimientos de selección en regímenes especiales, y/o aplicación de Ley de Garantías en situaciones como las descritas anteriormente en el marco de contratación de regímenes especiales, solicito indicar sus referencias (título, fecha y enlace o repositorio oficial)</w:t>
      </w:r>
      <w:r>
        <w:rPr>
          <w:rFonts w:ascii="Verdana" w:eastAsia="Century Gothic" w:hAnsi="Verdana" w:cs="Century Gothic"/>
          <w:i/>
          <w:color w:val="000000" w:themeColor="text1"/>
          <w:sz w:val="20"/>
          <w:szCs w:val="20"/>
        </w:rPr>
        <w:t xml:space="preserve"> […]”</w:t>
      </w:r>
    </w:p>
    <w:p w14:paraId="5BAD47AD" w14:textId="77777777" w:rsidR="0079237F" w:rsidRPr="00FC6F34" w:rsidRDefault="0079237F" w:rsidP="0079237F">
      <w:pPr>
        <w:spacing w:after="0" w:line="276" w:lineRule="auto"/>
        <w:ind w:right="709"/>
        <w:jc w:val="both"/>
        <w:rPr>
          <w:rFonts w:ascii="Verdana" w:eastAsia="Calibri" w:hAnsi="Verdana" w:cs="Arial"/>
          <w:lang w:val="es-ES"/>
        </w:rPr>
      </w:pPr>
    </w:p>
    <w:p w14:paraId="21A3AD30" w14:textId="77777777" w:rsidR="0079237F" w:rsidRPr="00FC6F34" w:rsidRDefault="0079237F" w:rsidP="0079237F">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1F37CF26" w14:textId="77777777" w:rsidR="0079237F" w:rsidRPr="00C327DE" w:rsidRDefault="0079237F" w:rsidP="0079237F">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B12ADEF" w14:textId="77777777" w:rsidR="0079237F" w:rsidRPr="00FC6F34" w:rsidRDefault="0079237F" w:rsidP="0079237F">
      <w:pPr>
        <w:spacing w:after="0" w:line="276" w:lineRule="auto"/>
        <w:jc w:val="both"/>
        <w:rPr>
          <w:rFonts w:ascii="Verdana" w:eastAsia="Calibri" w:hAnsi="Verdana" w:cs="Arial"/>
          <w:color w:val="000000" w:themeColor="text1"/>
          <w:lang w:val="es-ES" w:eastAsia="es-ES"/>
        </w:rPr>
      </w:pPr>
    </w:p>
    <w:p w14:paraId="56A78E74" w14:textId="77777777" w:rsidR="0079237F" w:rsidRPr="00FC6F34" w:rsidRDefault="0079237F" w:rsidP="0079237F">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7510CFCE" w14:textId="77777777" w:rsidR="0079237F" w:rsidRPr="00FC6F34" w:rsidRDefault="0079237F" w:rsidP="0079237F">
      <w:pPr>
        <w:tabs>
          <w:tab w:val="left" w:pos="426"/>
        </w:tabs>
        <w:spacing w:after="0" w:line="276" w:lineRule="auto"/>
        <w:jc w:val="both"/>
        <w:rPr>
          <w:rFonts w:ascii="Verdana" w:eastAsia="Century Gothic" w:hAnsi="Verdana" w:cs="Century Gothic"/>
          <w:color w:val="000000" w:themeColor="text1"/>
          <w:lang w:val="es-ES"/>
        </w:rPr>
      </w:pPr>
    </w:p>
    <w:p w14:paraId="2100FF9C" w14:textId="77777777" w:rsidR="0079237F" w:rsidRPr="00FC6F34" w:rsidRDefault="0079237F" w:rsidP="0079237F">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lastRenderedPageBreak/>
        <w:t>De acuerdo con el contenido de su solicitud, esta Agencia resolverá el siguiente problema jurídico: ¿</w:t>
      </w:r>
      <w:r>
        <w:rPr>
          <w:rFonts w:ascii="Verdana" w:eastAsia="Century Gothic" w:hAnsi="Verdana" w:cs="Century Gothic"/>
          <w:color w:val="000000" w:themeColor="text1"/>
          <w:lang w:val="es-ES"/>
        </w:rPr>
        <w:t>Cuál es el ámbito de aplicación del artículo 33 de la Ley de garantías Electorales con respecto a los procedimientos de selección que adelanten las entidades de régimen especial?</w:t>
      </w:r>
    </w:p>
    <w:p w14:paraId="3E5ABB32" w14:textId="77777777" w:rsidR="0079237F" w:rsidRPr="00FC6F34" w:rsidRDefault="0079237F" w:rsidP="0079237F">
      <w:pPr>
        <w:spacing w:after="0" w:line="276" w:lineRule="auto"/>
        <w:jc w:val="both"/>
        <w:rPr>
          <w:rFonts w:ascii="Verdana" w:eastAsia="Calibri" w:hAnsi="Verdana" w:cs="Arial"/>
          <w:color w:val="000000" w:themeColor="text1"/>
          <w:lang w:val="es-ES"/>
        </w:rPr>
      </w:pPr>
    </w:p>
    <w:p w14:paraId="39CC377E" w14:textId="77777777" w:rsidR="0079237F" w:rsidRPr="00FC6F34" w:rsidRDefault="0079237F" w:rsidP="0079237F">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6A79BDCE" w14:textId="77777777" w:rsidR="0079237F" w:rsidRPr="00FC6F34" w:rsidRDefault="0079237F" w:rsidP="0079237F">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9237F" w:rsidRPr="00FC6F34" w14:paraId="196E7C68" w14:textId="77777777" w:rsidTr="00517DD2">
        <w:tc>
          <w:tcPr>
            <w:tcW w:w="8828" w:type="dxa"/>
          </w:tcPr>
          <w:p w14:paraId="5B736A4A" w14:textId="77777777" w:rsidR="0079237F" w:rsidRDefault="0079237F" w:rsidP="00517DD2">
            <w:pPr>
              <w:spacing w:before="120" w:after="120" w:line="276" w:lineRule="auto"/>
              <w:jc w:val="both"/>
              <w:rPr>
                <w:rFonts w:ascii="Verdana" w:eastAsia="Times New Roman" w:hAnsi="Verdana" w:cs="Arial"/>
                <w:vertAlign w:val="superscript"/>
                <w:lang w:val="es-ES" w:eastAsia="x-none"/>
              </w:rPr>
            </w:pPr>
            <w:r>
              <w:rPr>
                <w:rFonts w:ascii="Verdana" w:eastAsia="Times New Roman" w:hAnsi="Verdana" w:cs="Arial"/>
                <w:color w:val="000000" w:themeColor="text1"/>
                <w:lang w:val="es-ES" w:eastAsia="es-ES"/>
              </w:rPr>
              <w:t>La Sala de Consulta y Servicio Civil d</w:t>
            </w:r>
            <w:r w:rsidRPr="00FC6F34">
              <w:rPr>
                <w:rFonts w:ascii="Verdana" w:eastAsia="Times New Roman" w:hAnsi="Verdana" w:cs="Arial"/>
                <w:bCs/>
                <w:lang w:val="es-ES" w:eastAsia="es-CO"/>
              </w:rPr>
              <w:t xml:space="preserve">el Consejo de Estado realiza una interpretación amplia de la contratación directa,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D1F46">
              <w:rPr>
                <w:rFonts w:ascii="Verdana" w:eastAsia="Times New Roman" w:hAnsi="Verdana" w:cs="Arial"/>
                <w:b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w:t>
            </w:r>
            <w:r>
              <w:rPr>
                <w:rFonts w:ascii="Verdana" w:eastAsia="Times New Roman" w:hAnsi="Verdana" w:cs="Arial"/>
                <w:bCs/>
                <w:lang w:val="es-ES" w:eastAsia="es-CO"/>
              </w:rPr>
              <w:t>L</w:t>
            </w:r>
            <w:r w:rsidRPr="00FC6F34">
              <w:rPr>
                <w:rFonts w:ascii="Verdana" w:eastAsia="Times New Roman" w:hAnsi="Verdana" w:cs="Arial"/>
                <w:bCs/>
                <w:lang w:val="es-ES" w:eastAsia="es-CO"/>
              </w:rPr>
              <w:t>uego de la expedición de Ley 1150 de 2007, el Consejo de Estado comenzó a delimitar con mayor precisión el término de “contratación directa”.</w:t>
            </w:r>
            <w:r>
              <w:rPr>
                <w:rFonts w:ascii="Verdana" w:eastAsia="Times New Roman" w:hAnsi="Verdana" w:cs="Arial"/>
                <w:bCs/>
                <w:lang w:val="es-ES" w:eastAsia="es-CO"/>
              </w:rPr>
              <w:t xml:space="preserve"> </w:t>
            </w:r>
            <w:r>
              <w:rPr>
                <w:rFonts w:ascii="Verdana" w:eastAsia="Times New Roman" w:hAnsi="Verdana" w:cs="Arial"/>
                <w:lang w:val="es-ES"/>
              </w:rPr>
              <w:t>Bajo la posición actual de la alta corporación</w:t>
            </w:r>
            <w:r w:rsidRPr="00FC6F34">
              <w:rPr>
                <w:rFonts w:ascii="Verdana" w:eastAsia="Times New Roman" w:hAnsi="Verdana" w:cs="Arial"/>
                <w:lang w:val="es-ES"/>
              </w:rPr>
              <w:t xml:space="preserve">, para la prohibición o restricción temporal contenida en su artículo 33, “contratación directa” es </w:t>
            </w:r>
            <w:r w:rsidRPr="00FD1F46">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w:t>
            </w:r>
            <w:r>
              <w:rPr>
                <w:rFonts w:ascii="Verdana" w:eastAsia="Times New Roman" w:hAnsi="Verdana" w:cs="Arial"/>
                <w:lang w:val="es-ES"/>
              </w:rPr>
              <w:t>:</w:t>
            </w:r>
            <w:r w:rsidRPr="00FC6F34">
              <w:rPr>
                <w:rFonts w:ascii="Verdana" w:eastAsia="Times New Roman" w:hAnsi="Verdana" w:cs="Arial"/>
                <w:lang w:val="es-ES"/>
              </w:rPr>
              <w:t xml:space="preserve"> </w:t>
            </w:r>
            <w:r>
              <w:rPr>
                <w:rFonts w:ascii="Verdana" w:eastAsia="Times New Roman" w:hAnsi="Verdana" w:cs="Arial"/>
                <w:lang w:val="es-ES"/>
              </w:rPr>
              <w:t xml:space="preserve">1) no </w:t>
            </w:r>
            <w:r w:rsidRPr="00FC6F34">
              <w:rPr>
                <w:rFonts w:ascii="Verdana" w:eastAsia="Times New Roman" w:hAnsi="Verdana" w:cs="Arial"/>
                <w:lang w:val="es-ES"/>
              </w:rPr>
              <w:t xml:space="preserve">incluya la convocatoria pública en alguna de sus etapas, </w:t>
            </w:r>
            <w:r>
              <w:rPr>
                <w:rFonts w:ascii="Verdana" w:eastAsia="Times New Roman" w:hAnsi="Verdana" w:cs="Arial"/>
                <w:lang w:val="es-ES"/>
              </w:rPr>
              <w:t xml:space="preserve">2) </w:t>
            </w:r>
            <w:r w:rsidRPr="00FC6F34">
              <w:rPr>
                <w:rFonts w:ascii="Verdana" w:eastAsia="Times New Roman" w:hAnsi="Verdana" w:cs="Arial"/>
                <w:lang w:val="es-ES"/>
              </w:rPr>
              <w:t>ni permita la participación de una pluralidad de oferentes</w:t>
            </w:r>
            <w:r w:rsidRPr="00FC6F34">
              <w:rPr>
                <w:rFonts w:ascii="Verdana" w:eastAsia="Times New Roman" w:hAnsi="Verdana" w:cs="Arial"/>
                <w:vertAlign w:val="superscript"/>
                <w:lang w:val="es-ES" w:eastAsia="x-none"/>
              </w:rPr>
              <w:footnoteReference w:id="2"/>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75C18CA5" w14:textId="77777777" w:rsidR="0079237F" w:rsidRDefault="0079237F" w:rsidP="00517DD2">
            <w:pPr>
              <w:spacing w:line="276" w:lineRule="auto"/>
              <w:ind w:firstLine="708"/>
              <w:jc w:val="both"/>
              <w:rPr>
                <w:rFonts w:ascii="Verdana" w:eastAsia="Times New Roman" w:hAnsi="Verdana" w:cs="Arial"/>
                <w:lang w:val="es-ES"/>
              </w:rPr>
            </w:pPr>
            <w:r w:rsidRPr="00FC6F34">
              <w:rPr>
                <w:rFonts w:ascii="Verdana" w:eastAsia="Times New Roman" w:hAnsi="Verdana" w:cs="Arial"/>
                <w:lang w:val="es-ES"/>
              </w:rPr>
              <w:t>De lo anterior se desprende que</w:t>
            </w:r>
            <w:r>
              <w:rPr>
                <w:rFonts w:ascii="Verdana" w:eastAsia="Times New Roman" w:hAnsi="Verdana" w:cs="Arial"/>
                <w:lang w:val="es-ES"/>
              </w:rPr>
              <w:t xml:space="preserve">, con respecto a los procedimientos que adelantan las entidades sometidas a un régimen especial de contratación, </w:t>
            </w:r>
            <w:r w:rsidRPr="00FC6F34">
              <w:rPr>
                <w:rFonts w:ascii="Verdana" w:eastAsia="Times New Roman" w:hAnsi="Verdana" w:cs="Arial"/>
                <w:lang w:val="es-ES"/>
              </w:rPr>
              <w:t xml:space="preserve">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w:t>
            </w:r>
            <w:r>
              <w:rPr>
                <w:rFonts w:ascii="Verdana" w:eastAsia="Times New Roman" w:hAnsi="Verdana" w:cs="Arial"/>
                <w:lang w:val="es-ES"/>
              </w:rPr>
              <w:t xml:space="preserve"> que </w:t>
            </w:r>
            <w:r w:rsidRPr="00EB4E6D">
              <w:rPr>
                <w:rFonts w:ascii="Verdana" w:eastAsia="Times New Roman" w:hAnsi="Verdana" w:cs="Arial"/>
                <w:lang w:val="es-ES" w:eastAsia="x-none"/>
              </w:rPr>
              <w:t>no</w:t>
            </w:r>
            <w:r w:rsidRPr="00FC6F34">
              <w:rPr>
                <w:rFonts w:ascii="Verdana" w:eastAsia="Times New Roman" w:hAnsi="Verdana" w:cs="Arial"/>
                <w:lang w:val="es-ES" w:eastAsia="x-none"/>
              </w:rPr>
              <w:t xml:space="preserve"> </w:t>
            </w:r>
            <w:r>
              <w:rPr>
                <w:rFonts w:ascii="Verdana" w:eastAsia="Times New Roman" w:hAnsi="Verdana" w:cs="Arial"/>
                <w:lang w:val="es-ES" w:eastAsia="x-none"/>
              </w:rPr>
              <w:t xml:space="preserve">cumpla con dos aspectos de forma acumulativa:  que no cuente con una </w:t>
            </w:r>
            <w:r w:rsidRPr="00FC6F34">
              <w:rPr>
                <w:rFonts w:ascii="Verdana" w:eastAsia="Times New Roman" w:hAnsi="Verdana" w:cs="Arial"/>
                <w:lang w:val="es-ES" w:eastAsia="x-none"/>
              </w:rPr>
              <w:t>convocatoria pública</w:t>
            </w:r>
            <w:r>
              <w:rPr>
                <w:rFonts w:ascii="Verdana" w:eastAsia="Times New Roman" w:hAnsi="Verdana" w:cs="Arial"/>
                <w:lang w:val="es-ES" w:eastAsia="x-none"/>
              </w:rPr>
              <w:t xml:space="preserve"> o abierta y que, además,</w:t>
            </w:r>
            <w:r w:rsidRPr="00FC6F34">
              <w:rPr>
                <w:rFonts w:ascii="Verdana" w:eastAsia="Times New Roman" w:hAnsi="Verdana" w:cs="Arial"/>
                <w:lang w:val="es-ES" w:eastAsia="x-none"/>
              </w:rPr>
              <w:t xml:space="preserve"> </w:t>
            </w:r>
            <w:r>
              <w:rPr>
                <w:rFonts w:ascii="Verdana" w:eastAsia="Times New Roman" w:hAnsi="Verdana" w:cs="Arial"/>
                <w:lang w:val="es-ES" w:eastAsia="x-none"/>
              </w:rPr>
              <w:t xml:space="preserve">su procedimiento no permita que una </w:t>
            </w:r>
            <w:r w:rsidRPr="00FC6F34">
              <w:rPr>
                <w:rFonts w:ascii="Verdana" w:eastAsia="Times New Roman" w:hAnsi="Verdana" w:cs="Arial"/>
                <w:lang w:val="es-ES" w:eastAsia="x-none"/>
              </w:rPr>
              <w:t>pluralidad de oferentes</w:t>
            </w:r>
            <w:r>
              <w:rPr>
                <w:rFonts w:ascii="Verdana" w:eastAsia="Times New Roman" w:hAnsi="Verdana" w:cs="Arial"/>
                <w:lang w:val="es-ES" w:eastAsia="x-none"/>
              </w:rPr>
              <w:t xml:space="preserve"> participen en un escenario de competencia. </w:t>
            </w:r>
          </w:p>
          <w:p w14:paraId="1D3D8822" w14:textId="77777777" w:rsidR="0079237F" w:rsidRDefault="0079237F" w:rsidP="00517DD2">
            <w:pPr>
              <w:spacing w:before="120" w:line="276" w:lineRule="auto"/>
              <w:ind w:firstLine="708"/>
              <w:jc w:val="both"/>
              <w:rPr>
                <w:rFonts w:ascii="Verdana" w:eastAsia="Times New Roman" w:hAnsi="Verdana" w:cs="Arial"/>
              </w:rPr>
            </w:pPr>
            <w:r>
              <w:rPr>
                <w:rFonts w:ascii="Verdana" w:eastAsia="Times New Roman" w:hAnsi="Verdana" w:cs="Arial"/>
              </w:rPr>
              <w:t xml:space="preserve">Bajo este parámetro fijado por el Consejo de Estado, si una entidad de régimen especial adelanta un proceso en el cual todos los interesados se pueden inscribir en una lista de precalificados y luego efectúa un procedimiento en el cual compiten pluralidad de los inscritos, se cumplirán los dos supuestos requeridos para que el proceso se exceptúe de la prohibición, pues tendrá una convocatoria pública junto con un procedimiento de selección competitivo. Así, una convocatoria o invitación </w:t>
            </w:r>
            <w:r w:rsidRPr="00923229">
              <w:rPr>
                <w:rFonts w:ascii="Verdana" w:eastAsia="Times New Roman" w:hAnsi="Verdana" w:cs="Arial"/>
              </w:rPr>
              <w:t xml:space="preserve">para contratar que se limite a </w:t>
            </w:r>
            <w:r>
              <w:rPr>
                <w:rFonts w:ascii="Verdana" w:eastAsia="Times New Roman" w:hAnsi="Verdana" w:cs="Arial"/>
              </w:rPr>
              <w:lastRenderedPageBreak/>
              <w:t xml:space="preserve">un número de </w:t>
            </w:r>
            <w:r w:rsidRPr="00923229">
              <w:rPr>
                <w:rFonts w:ascii="Verdana" w:eastAsia="Times New Roman" w:hAnsi="Verdana" w:cs="Arial"/>
              </w:rPr>
              <w:t>personas que previamente se han inscrito en una lista de precalificados, no constituye “contratación directa</w:t>
            </w:r>
            <w:r>
              <w:rPr>
                <w:rFonts w:ascii="Verdana" w:eastAsia="Times New Roman" w:hAnsi="Verdana" w:cs="Arial"/>
              </w:rPr>
              <w:t>” si la</w:t>
            </w:r>
            <w:r w:rsidRPr="00923229">
              <w:rPr>
                <w:rFonts w:ascii="Verdana" w:eastAsia="Times New Roman" w:hAnsi="Verdana" w:cs="Arial"/>
              </w:rPr>
              <w:t xml:space="preserve"> convocatoria para inscribirse en forma previa se h</w:t>
            </w:r>
            <w:r>
              <w:rPr>
                <w:rFonts w:ascii="Verdana" w:eastAsia="Times New Roman" w:hAnsi="Verdana" w:cs="Arial"/>
              </w:rPr>
              <w:t>izo</w:t>
            </w:r>
            <w:r w:rsidRPr="00923229">
              <w:rPr>
                <w:rFonts w:ascii="Verdana" w:eastAsia="Times New Roman" w:hAnsi="Verdana" w:cs="Arial"/>
              </w:rPr>
              <w:t xml:space="preserve"> de manera pública, y se permit</w:t>
            </w:r>
            <w:r>
              <w:rPr>
                <w:rFonts w:ascii="Verdana" w:eastAsia="Times New Roman" w:hAnsi="Verdana" w:cs="Arial"/>
              </w:rPr>
              <w:t>ió</w:t>
            </w:r>
            <w:r w:rsidRPr="00923229">
              <w:rPr>
                <w:rFonts w:ascii="Verdana" w:eastAsia="Times New Roman" w:hAnsi="Verdana" w:cs="Arial"/>
              </w:rPr>
              <w:t xml:space="preserve"> la participación de una pluralidad de oferentes</w:t>
            </w:r>
            <w:r>
              <w:rPr>
                <w:rStyle w:val="Refdenotaalpie"/>
                <w:rFonts w:ascii="Verdana" w:eastAsia="Times New Roman" w:hAnsi="Verdana" w:cs="Arial"/>
              </w:rPr>
              <w:footnoteReference w:id="3"/>
            </w:r>
            <w:r w:rsidRPr="00923229">
              <w:rPr>
                <w:rFonts w:ascii="Verdana" w:eastAsia="Times New Roman" w:hAnsi="Verdana" w:cs="Arial"/>
              </w:rPr>
              <w:t xml:space="preserve">. </w:t>
            </w:r>
          </w:p>
          <w:p w14:paraId="5C9C534C" w14:textId="07AC8B02" w:rsidR="0079237F" w:rsidRDefault="0079237F" w:rsidP="00517DD2">
            <w:pPr>
              <w:spacing w:before="120" w:line="276" w:lineRule="auto"/>
              <w:ind w:firstLine="708"/>
              <w:jc w:val="both"/>
              <w:rPr>
                <w:rFonts w:ascii="Verdana" w:eastAsia="Times New Roman" w:hAnsi="Verdana" w:cs="Arial"/>
              </w:rPr>
            </w:pPr>
            <w:r>
              <w:rPr>
                <w:rFonts w:ascii="Verdana" w:eastAsia="Times New Roman" w:hAnsi="Verdana" w:cs="Arial"/>
              </w:rPr>
              <w:t xml:space="preserve">En contraste, están sujetos a la prohibición los procesos de contratación que adelanten las entidades sometidas a un régimen especial que cumplan solo con uno de los dos requisitos establecidos por el Consejo de Estado. Por ejemplo, cuando la Entidad seleccione de una lista de precalificados elegidos por una convocatoria abierta a un único proponente con el cual adelantar el proceso de contratación, </w:t>
            </w:r>
            <w:r w:rsidR="00DC5CC4">
              <w:rPr>
                <w:rFonts w:ascii="Verdana" w:eastAsia="Times New Roman" w:hAnsi="Verdana" w:cs="Arial"/>
              </w:rPr>
              <w:t>pues,</w:t>
            </w:r>
            <w:r>
              <w:rPr>
                <w:rFonts w:ascii="Verdana" w:eastAsia="Times New Roman" w:hAnsi="Verdana" w:cs="Arial"/>
              </w:rPr>
              <w:t xml:space="preserve"> aunque la convocatoria para participar o inscribirse sea abierta, el procedimiento de selección no permite competencia entre pluralidad de oferentes. También estarán bajo la prohibición del artículo 33 aquellos procesos en los que la entidad adelante un proceso competitivo con pluralidad de proponentes que hayan sido invitados a participar de manera directa o mediante convocatoria cerrada, pues en este </w:t>
            </w:r>
            <w:r w:rsidR="000106B3">
              <w:rPr>
                <w:rFonts w:ascii="Verdana" w:eastAsia="Times New Roman" w:hAnsi="Verdana" w:cs="Arial"/>
              </w:rPr>
              <w:t>caso,</w:t>
            </w:r>
            <w:r>
              <w:rPr>
                <w:rFonts w:ascii="Verdana" w:eastAsia="Times New Roman" w:hAnsi="Verdana" w:cs="Arial"/>
              </w:rPr>
              <w:t xml:space="preserve"> aunque el procedimiento de selección es competitivo, la convocatoria para participar es cerrada. De esta manera, para que el procedimiento no sea considerado de “contratación directa” y se exima de la prohibición referida, es necesario que la entidad contratante verifique en cada caso concreto que la convocatoria a participar sea abierta a cualquier interesado y que el procedimiento mismo de selección permita que pluralidad de proponentes compitan por la adjudicación del contrato. </w:t>
            </w:r>
          </w:p>
          <w:p w14:paraId="7434675E" w14:textId="77777777" w:rsidR="0079237F" w:rsidRPr="001D0600" w:rsidRDefault="0079237F" w:rsidP="00517DD2">
            <w:pPr>
              <w:spacing w:before="120" w:after="120" w:line="276" w:lineRule="auto"/>
              <w:ind w:firstLine="708"/>
              <w:jc w:val="both"/>
              <w:rPr>
                <w:rFonts w:ascii="Verdana" w:eastAsia="Times New Roman" w:hAnsi="Verdana" w:cs="Arial"/>
              </w:rPr>
            </w:pPr>
            <w:r>
              <w:rPr>
                <w:rFonts w:ascii="Verdana" w:eastAsia="Times New Roman" w:hAnsi="Verdana" w:cs="Arial"/>
                <w:lang w:val="es-ES"/>
              </w:rPr>
              <w:t xml:space="preserve">Finalmente, es importante advertir que </w:t>
            </w:r>
            <w:r w:rsidRPr="00FC6F34">
              <w:rPr>
                <w:rFonts w:ascii="Verdana" w:eastAsia="Times New Roman" w:hAnsi="Verdana" w:cs="Arial"/>
                <w:lang w:val="es-ES"/>
              </w:rPr>
              <w:t xml:space="preserve">compete </w:t>
            </w:r>
            <w:r>
              <w:rPr>
                <w:rFonts w:ascii="Verdana" w:eastAsia="Times New Roman" w:hAnsi="Verdana" w:cs="Arial"/>
                <w:lang w:val="es-ES"/>
              </w:rPr>
              <w:t xml:space="preserve">a las entidades </w:t>
            </w:r>
            <w:r w:rsidRPr="00FC6F34">
              <w:rPr>
                <w:rFonts w:ascii="Verdana" w:eastAsia="Times New Roman" w:hAnsi="Verdana" w:cs="Arial"/>
                <w:lang w:val="es-ES"/>
              </w:rPr>
              <w:t>que considera</w:t>
            </w:r>
            <w:r>
              <w:rPr>
                <w:rFonts w:ascii="Verdana" w:eastAsia="Times New Roman" w:hAnsi="Verdana" w:cs="Arial"/>
                <w:lang w:val="es-ES"/>
              </w:rPr>
              <w:t>n</w:t>
            </w:r>
            <w:r w:rsidRPr="00FC6F34">
              <w:rPr>
                <w:rFonts w:ascii="Verdana" w:eastAsia="Times New Roman" w:hAnsi="Verdana" w:cs="Arial"/>
                <w:lang w:val="es-ES"/>
              </w:rPr>
              <w:t xml:space="preserve"> celebrar un contrato </w:t>
            </w:r>
            <w:r>
              <w:rPr>
                <w:rFonts w:ascii="Verdana" w:eastAsia="Times New Roman" w:hAnsi="Verdana" w:cs="Arial"/>
                <w:lang w:val="es-ES"/>
              </w:rPr>
              <w:t xml:space="preserve">o convenio </w:t>
            </w:r>
            <w:r w:rsidRPr="00FC6F34">
              <w:rPr>
                <w:rFonts w:ascii="Verdana" w:eastAsia="Times New Roman" w:hAnsi="Verdana" w:cs="Arial"/>
                <w:lang w:val="es-ES"/>
              </w:rPr>
              <w:t>específico definir si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w:t>
            </w:r>
            <w:r w:rsidRPr="00FC6F34">
              <w:rPr>
                <w:rFonts w:ascii="Verdana" w:eastAsia="Times New Roman" w:hAnsi="Verdana" w:cs="Arial"/>
                <w:color w:val="000000" w:themeColor="text1"/>
                <w:lang w:val="es-ES" w:eastAsia="es-ES"/>
              </w:rPr>
              <w:lastRenderedPageBreak/>
              <w:t xml:space="preserve">contractual, sin que sea atribución de la Agencia Nacional de Contratación Pública - Colombia Compra Eficiente validarla. </w:t>
            </w:r>
          </w:p>
        </w:tc>
      </w:tr>
    </w:tbl>
    <w:p w14:paraId="3EA773FA" w14:textId="77777777" w:rsidR="0079237F" w:rsidRPr="00FC6F34" w:rsidRDefault="0079237F" w:rsidP="0079237F">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91921A0" w14:textId="77777777" w:rsidR="0079237F" w:rsidRPr="00FC6F34" w:rsidRDefault="0079237F" w:rsidP="0079237F">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142BCEDE" w14:textId="77777777" w:rsidR="0079237F" w:rsidRPr="00FC6F34" w:rsidRDefault="0079237F" w:rsidP="0079237F">
      <w:pPr>
        <w:spacing w:after="0" w:line="276" w:lineRule="auto"/>
        <w:jc w:val="both"/>
        <w:rPr>
          <w:rFonts w:ascii="Verdana" w:eastAsia="Calibri" w:hAnsi="Verdana" w:cs="Arial"/>
          <w:color w:val="000000" w:themeColor="text1"/>
          <w:lang w:val="es-ES"/>
        </w:rPr>
      </w:pPr>
    </w:p>
    <w:p w14:paraId="6FABE905" w14:textId="77777777" w:rsidR="0079237F" w:rsidRPr="00FC6F34" w:rsidRDefault="0079237F" w:rsidP="0079237F">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4"/>
      </w:r>
      <w:r w:rsidRPr="00FC6F34">
        <w:rPr>
          <w:rFonts w:ascii="Verdana" w:eastAsia="Calibri" w:hAnsi="Verdana" w:cs="Arial"/>
          <w:lang w:val="es-ES"/>
        </w:rPr>
        <w:t xml:space="preserve">. </w:t>
      </w:r>
    </w:p>
    <w:p w14:paraId="311764DF" w14:textId="77777777" w:rsidR="0079237F" w:rsidRPr="00FC6F34" w:rsidRDefault="0079237F" w:rsidP="0079237F">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5"/>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698582D2" w14:textId="77777777" w:rsidR="0079237F" w:rsidRPr="00FC6F34" w:rsidRDefault="0079237F" w:rsidP="0079237F">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1F89AE4" w14:textId="77777777" w:rsidR="0079237F" w:rsidRPr="00FC6F34" w:rsidRDefault="0079237F" w:rsidP="0079237F">
      <w:pPr>
        <w:spacing w:after="0" w:line="276" w:lineRule="auto"/>
        <w:ind w:right="709"/>
        <w:jc w:val="both"/>
        <w:rPr>
          <w:rFonts w:ascii="Verdana" w:eastAsia="Times New Roman" w:hAnsi="Verdana" w:cs="Arial"/>
          <w:lang w:val="es-ES" w:eastAsia="es-CO"/>
        </w:rPr>
      </w:pPr>
    </w:p>
    <w:p w14:paraId="795AE62E" w14:textId="77777777" w:rsidR="0079237F" w:rsidRPr="00FC6F34" w:rsidRDefault="0079237F" w:rsidP="0079237F">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F3D6C3F" w14:textId="77777777" w:rsidR="0079237F" w:rsidRPr="00FC6F34" w:rsidRDefault="0079237F" w:rsidP="0079237F">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626E7856" w14:textId="77777777" w:rsidR="0079237F" w:rsidRPr="00FC6F34" w:rsidRDefault="0079237F" w:rsidP="0079237F">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6"/>
      </w:r>
    </w:p>
    <w:p w14:paraId="430B7813" w14:textId="77777777" w:rsidR="0079237F" w:rsidRPr="00FC6F34" w:rsidRDefault="0079237F" w:rsidP="0079237F">
      <w:pPr>
        <w:spacing w:after="0" w:line="276" w:lineRule="auto"/>
        <w:ind w:firstLine="709"/>
        <w:jc w:val="both"/>
        <w:rPr>
          <w:rFonts w:ascii="Verdana" w:eastAsia="Times New Roman" w:hAnsi="Verdana" w:cs="Arial"/>
          <w:lang w:val="es-ES" w:eastAsia="es-CO"/>
        </w:rPr>
      </w:pPr>
    </w:p>
    <w:p w14:paraId="2A0A3BE8" w14:textId="77777777" w:rsidR="0079237F" w:rsidRPr="00FC6F34" w:rsidRDefault="0079237F" w:rsidP="0079237F">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5A9064D" w14:textId="77777777" w:rsidR="0079237F" w:rsidRPr="00FC6F34" w:rsidRDefault="0079237F" w:rsidP="0079237F">
      <w:pPr>
        <w:spacing w:after="0" w:line="276" w:lineRule="auto"/>
        <w:ind w:firstLine="709"/>
        <w:jc w:val="both"/>
        <w:rPr>
          <w:rFonts w:ascii="Verdana" w:eastAsia="Times New Roman" w:hAnsi="Verdana" w:cs="Arial"/>
          <w:lang w:val="es-ES" w:eastAsia="es-CO"/>
        </w:rPr>
      </w:pPr>
    </w:p>
    <w:p w14:paraId="20639BB4" w14:textId="77777777" w:rsidR="0079237F" w:rsidRPr="00FC6F34" w:rsidRDefault="0079237F" w:rsidP="0079237F">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859192A" w14:textId="77777777" w:rsidR="0079237F" w:rsidRPr="00FC6F34" w:rsidRDefault="0079237F" w:rsidP="0079237F">
      <w:pPr>
        <w:spacing w:after="0" w:line="240" w:lineRule="auto"/>
        <w:ind w:right="709"/>
        <w:jc w:val="both"/>
        <w:rPr>
          <w:rFonts w:ascii="Verdana" w:eastAsia="Times New Roman" w:hAnsi="Verdana" w:cs="Arial"/>
          <w:lang w:val="es-ES" w:eastAsia="es-CO"/>
        </w:rPr>
      </w:pPr>
    </w:p>
    <w:p w14:paraId="7D2732C0" w14:textId="77777777" w:rsidR="0079237F" w:rsidRPr="00FC6F34" w:rsidRDefault="0079237F" w:rsidP="0079237F">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8"/>
      </w:r>
      <w:r w:rsidRPr="00FC6F34">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w:t>
      </w:r>
      <w:r w:rsidRPr="00FC6F34">
        <w:rPr>
          <w:rFonts w:ascii="Verdana" w:eastAsia="Times New Roman" w:hAnsi="Verdana" w:cs="Arial"/>
          <w:sz w:val="20"/>
          <w:szCs w:val="20"/>
          <w:lang w:val="es-ES" w:eastAsia="es-CO"/>
        </w:rPr>
        <w:lastRenderedPageBreak/>
        <w:t>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9"/>
      </w:r>
      <w:r w:rsidRPr="00FC6F34">
        <w:rPr>
          <w:rFonts w:ascii="Verdana" w:eastAsia="Times New Roman" w:hAnsi="Verdana" w:cs="Arial"/>
          <w:sz w:val="20"/>
          <w:szCs w:val="20"/>
          <w:lang w:val="es-ES" w:eastAsia="es-CO"/>
        </w:rPr>
        <w:t>.</w:t>
      </w:r>
    </w:p>
    <w:p w14:paraId="63D2EF6D" w14:textId="77777777" w:rsidR="0079237F" w:rsidRPr="00FC6F34" w:rsidRDefault="0079237F" w:rsidP="0079237F">
      <w:pPr>
        <w:spacing w:after="0" w:line="276" w:lineRule="auto"/>
        <w:jc w:val="both"/>
        <w:rPr>
          <w:rFonts w:ascii="Verdana" w:eastAsia="Calibri" w:hAnsi="Verdana" w:cs="Arial"/>
          <w:bCs/>
          <w:lang w:val="es-ES"/>
        </w:rPr>
      </w:pPr>
    </w:p>
    <w:p w14:paraId="2E381638" w14:textId="77777777" w:rsidR="0079237F" w:rsidRDefault="0079237F" w:rsidP="0079237F">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w:t>
      </w:r>
      <w:r>
        <w:rPr>
          <w:rFonts w:ascii="Verdana" w:eastAsia="Arial" w:hAnsi="Verdana" w:cs="Arial"/>
          <w:lang w:val="es-ES" w:eastAsia="es-ES" w:bidi="es-ES"/>
        </w:rPr>
        <w:t xml:space="preserve">determinó </w:t>
      </w:r>
      <w:r w:rsidRPr="00FC6F34">
        <w:rPr>
          <w:rFonts w:ascii="Verdana" w:eastAsia="Arial" w:hAnsi="Verdana" w:cs="Arial"/>
          <w:lang w:val="es-ES" w:eastAsia="es-ES" w:bidi="es-ES"/>
        </w:rPr>
        <w:t xml:space="preserve">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38B93238" w14:textId="77777777" w:rsidR="0079237F" w:rsidRPr="00FC6F34" w:rsidRDefault="0079237F" w:rsidP="0079237F">
      <w:pPr>
        <w:spacing w:after="0" w:line="276" w:lineRule="auto"/>
        <w:ind w:firstLine="709"/>
        <w:jc w:val="both"/>
        <w:rPr>
          <w:rFonts w:ascii="Verdana" w:eastAsia="Arial" w:hAnsi="Verdana" w:cs="Arial"/>
          <w:lang w:val="es-ES" w:eastAsia="es-ES" w:bidi="es-ES"/>
        </w:rPr>
      </w:pPr>
    </w:p>
    <w:p w14:paraId="33C859F3" w14:textId="77777777" w:rsidR="0079237F" w:rsidRPr="006A332F" w:rsidRDefault="0079237F" w:rsidP="0079237F">
      <w:pPr>
        <w:tabs>
          <w:tab w:val="left" w:pos="426"/>
        </w:tabs>
        <w:spacing w:after="120" w:line="276" w:lineRule="auto"/>
        <w:jc w:val="both"/>
        <w:rPr>
          <w:rFonts w:ascii="Verdana" w:eastAsia="Calibri" w:hAnsi="Verdana" w:cs="Arial"/>
          <w:lang w:val="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En suma,</w:t>
      </w:r>
      <w:r w:rsidRPr="00FC6F34">
        <w:rPr>
          <w:rFonts w:ascii="Verdana" w:eastAsia="Arial" w:hAnsi="Verdana" w:cs="Arial"/>
          <w:lang w:val="es-ES" w:eastAsia="es-ES" w:bidi="es-ES"/>
        </w:rPr>
        <w:t xml:space="preserve"> </w:t>
      </w:r>
      <w:r>
        <w:rPr>
          <w:rFonts w:ascii="Verdana" w:eastAsia="Arial" w:hAnsi="Verdana" w:cs="Arial"/>
          <w:lang w:val="es-ES" w:eastAsia="es-ES" w:bidi="es-ES"/>
        </w:rPr>
        <w:t>l</w:t>
      </w:r>
      <w:r w:rsidRPr="00FC6F34">
        <w:rPr>
          <w:rFonts w:ascii="Verdana" w:eastAsia="Arial" w:hAnsi="Verdana" w:cs="Arial"/>
          <w:lang w:val="es-ES" w:eastAsia="es-ES" w:bidi="es-ES"/>
        </w:rPr>
        <w:t xml:space="preserve">as restricciones consagradas en la Ley de Garantías se dirigen a dos (2) tipos de campañas electorales diferenciadas: las presidenciales y las que se adelanten </w:t>
      </w:r>
      <w:r w:rsidRPr="006A332F">
        <w:rPr>
          <w:rFonts w:ascii="Verdana" w:eastAsia="Calibri" w:hAnsi="Verdana" w:cs="Arial"/>
          <w:lang w:val="es-ES"/>
        </w:rPr>
        <w:t>para la elección de los demás cargos de elección popular, tanto a nivel nacional como territorial.</w:t>
      </w:r>
    </w:p>
    <w:p w14:paraId="282F7D52" w14:textId="77777777" w:rsidR="0079237F" w:rsidRDefault="0079237F" w:rsidP="0079237F">
      <w:pPr>
        <w:tabs>
          <w:tab w:val="left" w:pos="426"/>
        </w:tabs>
        <w:spacing w:after="120" w:line="276" w:lineRule="auto"/>
        <w:jc w:val="both"/>
        <w:rPr>
          <w:rFonts w:ascii="Verdana" w:eastAsia="Arial" w:hAnsi="Verdana" w:cs="Arial"/>
          <w:lang w:val="es-ES" w:eastAsia="es-ES" w:bidi="es-ES"/>
        </w:rPr>
      </w:pPr>
      <w:r>
        <w:rPr>
          <w:rFonts w:ascii="Verdana" w:eastAsia="Calibri" w:hAnsi="Verdana" w:cs="Arial"/>
          <w:lang w:val="es-ES"/>
        </w:rPr>
        <w:tab/>
      </w:r>
      <w:r w:rsidRPr="00FC6F34">
        <w:rPr>
          <w:rFonts w:ascii="Verdana" w:eastAsia="Calibri" w:hAnsi="Verdana" w:cs="Arial"/>
          <w:lang w:val="es-ES"/>
        </w:rPr>
        <w:t xml:space="preserve">Por un lado, el </w:t>
      </w:r>
      <w:r w:rsidRPr="006A332F">
        <w:rPr>
          <w:rFonts w:ascii="Verdana" w:eastAsia="Calibri" w:hAnsi="Verdana" w:cs="Arial"/>
          <w:lang w:val="es-ES"/>
        </w:rPr>
        <w:t xml:space="preserve">artículo 33 </w:t>
      </w:r>
      <w:r w:rsidRPr="00FC6F34">
        <w:rPr>
          <w:rFonts w:ascii="Verdana" w:eastAsia="Calibri" w:hAnsi="Verdana" w:cs="Arial"/>
          <w:lang w:val="es-ES"/>
        </w:rPr>
        <w:t xml:space="preserve">de la Ley 996 de 2005 prohíbe “[…] la contratación directa por parte de </w:t>
      </w:r>
      <w:r w:rsidRPr="006A332F">
        <w:rPr>
          <w:rFonts w:ascii="Verdana" w:eastAsia="Calibri" w:hAnsi="Verdana" w:cs="Arial"/>
          <w:lang w:val="es-ES"/>
        </w:rPr>
        <w:t>todos los entes del Estado</w:t>
      </w:r>
      <w:r w:rsidRPr="00FC6F34">
        <w:rPr>
          <w:rFonts w:ascii="Verdana" w:eastAsia="Calibri" w:hAnsi="Verdana" w:cs="Arial"/>
          <w:lang w:val="es-ES"/>
        </w:rPr>
        <w:t xml:space="preserve">” durante los cuatro (4) meses anteriores a las </w:t>
      </w:r>
      <w:r w:rsidRPr="006A332F">
        <w:rPr>
          <w:rFonts w:ascii="Verdana" w:eastAsia="Calibri" w:hAnsi="Verdana" w:cs="Arial"/>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10"/>
      </w:r>
      <w:r w:rsidRPr="00FC6F34">
        <w:rPr>
          <w:rFonts w:ascii="Verdana" w:eastAsia="Calibri" w:hAnsi="Verdana" w:cs="Arial"/>
          <w:lang w:val="es-ES"/>
        </w:rPr>
        <w:t>.</w:t>
      </w:r>
    </w:p>
    <w:p w14:paraId="40E7758D" w14:textId="77777777" w:rsidR="0079237F" w:rsidRPr="00FC6F34" w:rsidRDefault="0079237F" w:rsidP="0079237F">
      <w:pPr>
        <w:tabs>
          <w:tab w:val="left" w:pos="426"/>
        </w:tabs>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ab/>
      </w: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w:t>
      </w:r>
      <w:r w:rsidRPr="00FC6F34">
        <w:rPr>
          <w:rFonts w:ascii="Verdana" w:eastAsia="Calibri" w:hAnsi="Verdana" w:cs="Arial"/>
          <w:lang w:val="es-ES"/>
        </w:rPr>
        <w:lastRenderedPageBreak/>
        <w:t xml:space="preserve">prohíbe a los gobernadores, alcaldes municipales o distritales, secretarios, gerentes y directores de entidades descentralizadas del orden municipal, departamental o distrital “[…] celebrar </w:t>
      </w:r>
      <w:r w:rsidRPr="00FD1F46">
        <w:rPr>
          <w:rFonts w:ascii="Verdana" w:eastAsia="Calibri" w:hAnsi="Verdana" w:cs="Arial"/>
          <w:i/>
          <w:iCs/>
          <w:lang w:val="es-ES"/>
        </w:rPr>
        <w:t>convenios interadministrativos</w:t>
      </w:r>
      <w:r w:rsidRPr="00FC6F34">
        <w:rPr>
          <w:rFonts w:ascii="Verdana" w:eastAsia="Calibri" w:hAnsi="Verdana" w:cs="Arial"/>
          <w:lang w:val="es-ES"/>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11"/>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0A9575FF" w14:textId="77777777" w:rsidR="0079237F" w:rsidRPr="00FC6F34" w:rsidRDefault="0079237F" w:rsidP="0079237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2DC6DF6" w14:textId="77777777" w:rsidR="0079237F" w:rsidRPr="00FC6F34" w:rsidRDefault="0079237F" w:rsidP="0079237F">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D73444A" w14:textId="77777777" w:rsidR="0079237F" w:rsidRPr="00FC6F34" w:rsidRDefault="0079237F" w:rsidP="0079237F">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2"/>
      </w:r>
    </w:p>
    <w:p w14:paraId="4A0FC77D" w14:textId="77777777" w:rsidR="0079237F" w:rsidRPr="00FC6F34" w:rsidRDefault="0079237F" w:rsidP="0079237F">
      <w:pPr>
        <w:widowControl w:val="0"/>
        <w:autoSpaceDE w:val="0"/>
        <w:autoSpaceDN w:val="0"/>
        <w:spacing w:after="0" w:line="276" w:lineRule="auto"/>
        <w:contextualSpacing/>
        <w:rPr>
          <w:rFonts w:ascii="Verdana" w:eastAsia="Arial" w:hAnsi="Verdana" w:cs="Arial"/>
          <w:lang w:val="es-ES" w:eastAsia="es-ES" w:bidi="es-ES"/>
        </w:rPr>
      </w:pPr>
    </w:p>
    <w:p w14:paraId="5A64E2F2" w14:textId="77777777" w:rsidR="0079237F" w:rsidRPr="00FC6F34" w:rsidRDefault="0079237F" w:rsidP="0079237F">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w:t>
      </w:r>
      <w:r w:rsidRPr="00FC6F34">
        <w:rPr>
          <w:rFonts w:ascii="Verdana" w:eastAsia="Arial" w:hAnsi="Verdana" w:cs="Arial"/>
          <w:lang w:val="es-ES" w:eastAsia="es-ES" w:bidi="es-ES"/>
        </w:rPr>
        <w:lastRenderedPageBreak/>
        <w:t xml:space="preserve">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B634444" w14:textId="77777777" w:rsidR="0079237F" w:rsidRPr="00FC6F34" w:rsidRDefault="0079237F" w:rsidP="0079237F">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5A3EC330" w14:textId="77777777" w:rsidR="0079237F" w:rsidRPr="00FC6F34" w:rsidRDefault="0079237F" w:rsidP="0079237F">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34D2E43A" w14:textId="77777777" w:rsidR="0079237F" w:rsidRPr="00FC6F34" w:rsidRDefault="0079237F" w:rsidP="0079237F">
      <w:pPr>
        <w:spacing w:after="0" w:line="276" w:lineRule="auto"/>
        <w:ind w:firstLine="709"/>
        <w:jc w:val="both"/>
        <w:rPr>
          <w:rFonts w:ascii="Verdana" w:eastAsia="Arial" w:hAnsi="Verdana" w:cs="Arial"/>
          <w:lang w:val="es-ES" w:eastAsia="es-ES" w:bidi="es-ES"/>
        </w:rPr>
      </w:pPr>
    </w:p>
    <w:p w14:paraId="198A4C1B" w14:textId="77777777" w:rsidR="0079237F" w:rsidRPr="00FC6F34" w:rsidRDefault="0079237F" w:rsidP="0079237F">
      <w:pPr>
        <w:spacing w:after="0" w:line="276" w:lineRule="auto"/>
        <w:jc w:val="both"/>
        <w:rPr>
          <w:rFonts w:ascii="Verdana" w:eastAsia="Times New Roman" w:hAnsi="Verdana" w:cs="Arial"/>
          <w:lang w:val="es-ES"/>
        </w:rPr>
      </w:pPr>
      <w:proofErr w:type="spellStart"/>
      <w:r w:rsidRPr="00FC6F34">
        <w:rPr>
          <w:rFonts w:ascii="Verdana" w:eastAsia="Calibri" w:hAnsi="Verdana" w:cs="Arial"/>
          <w:lang w:val="es-ES"/>
        </w:rPr>
        <w:t>ii</w:t>
      </w:r>
      <w:r>
        <w:rPr>
          <w:rFonts w:ascii="Verdana" w:eastAsia="Calibri" w:hAnsi="Verdana" w:cs="Arial"/>
          <w:lang w:val="es-ES"/>
        </w:rPr>
        <w:t>i</w:t>
      </w:r>
      <w:proofErr w:type="spellEnd"/>
      <w:r w:rsidRPr="00FC6F34">
        <w:rPr>
          <w:rFonts w:ascii="Verdana" w:eastAsia="Calibri" w:hAnsi="Verdana" w:cs="Arial"/>
          <w:lang w:val="es-ES"/>
        </w:rPr>
        <w:t xml:space="preserve">) </w:t>
      </w:r>
      <w:r w:rsidRPr="00FC6F34">
        <w:rPr>
          <w:rFonts w:ascii="Verdana" w:eastAsia="Arial" w:hAnsi="Verdana" w:cs="Arial"/>
          <w:lang w:val="es-ES" w:eastAsia="es-ES" w:bidi="es-ES"/>
        </w:rPr>
        <w:t xml:space="preserve">Ahora bien, </w:t>
      </w:r>
      <w:r w:rsidRPr="00FC6F34">
        <w:rPr>
          <w:rFonts w:ascii="Verdana" w:eastAsia="Calibri"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w:t>
      </w:r>
      <w:r w:rsidRPr="00FC6F34">
        <w:rPr>
          <w:rFonts w:ascii="Verdana" w:eastAsia="Times New Roman" w:hAnsi="Verdana" w:cs="Arial"/>
          <w:bCs/>
          <w:lang w:val="es-ES" w:eastAsia="es-CO"/>
        </w:rPr>
        <w:t xml:space="preserve">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w:t>
      </w:r>
      <w:r w:rsidRPr="00FC6F34">
        <w:rPr>
          <w:rFonts w:ascii="Verdana" w:eastAsia="Times New Roman" w:hAnsi="Verdana" w:cs="Arial"/>
          <w:bCs/>
          <w:lang w:val="es-ES" w:eastAsia="es-CO"/>
        </w:rPr>
        <w:lastRenderedPageBreak/>
        <w:t xml:space="preserve">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699662C6" w14:textId="77777777" w:rsidR="0079237F" w:rsidRPr="00FC6F34" w:rsidRDefault="0079237F" w:rsidP="0079237F">
      <w:pPr>
        <w:spacing w:after="0" w:line="276" w:lineRule="auto"/>
        <w:ind w:firstLine="708"/>
        <w:jc w:val="both"/>
        <w:rPr>
          <w:rFonts w:ascii="Verdana" w:eastAsia="Times New Roman" w:hAnsi="Verdana" w:cs="Arial"/>
          <w:lang w:val="es-ES"/>
        </w:rPr>
      </w:pPr>
    </w:p>
    <w:p w14:paraId="49584442" w14:textId="77777777" w:rsidR="0079237F" w:rsidRPr="00FC6F34" w:rsidRDefault="0079237F" w:rsidP="0079237F">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3"/>
      </w:r>
      <w:r w:rsidRPr="00FC6F34">
        <w:rPr>
          <w:rFonts w:ascii="Verdana" w:eastAsia="Times New Roman" w:hAnsi="Verdana" w:cs="Arial"/>
          <w:bCs/>
          <w:sz w:val="20"/>
          <w:szCs w:val="20"/>
          <w:lang w:val="es-ES" w:eastAsia="es-CO"/>
        </w:rPr>
        <w:t>.</w:t>
      </w:r>
    </w:p>
    <w:p w14:paraId="5A3F7B41" w14:textId="77777777" w:rsidR="0079237F" w:rsidRPr="00FC6F34" w:rsidRDefault="0079237F" w:rsidP="0079237F">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 xml:space="preserve">En consecuencia, el artículo 33 de la Ley 996 de 2005 señala expresamente que los destinatarios de la prohibición son “todos los entes del Estado”, expresión que contempla a los diferentes organismos o </w:t>
      </w:r>
      <w:r w:rsidRPr="00420BDF">
        <w:rPr>
          <w:rFonts w:ascii="Verdana" w:hAnsi="Verdana" w:cs="Arial"/>
          <w:bCs/>
          <w:lang w:val="es-ES" w:eastAsia="x-none"/>
        </w:rPr>
        <w:t>entidades autorizadas por la ley para suscribir contratos</w:t>
      </w:r>
      <w:r>
        <w:rPr>
          <w:rFonts w:ascii="Verdana" w:hAnsi="Verdana" w:cs="Arial"/>
          <w:bCs/>
          <w:lang w:val="es-ES" w:eastAsia="x-none"/>
        </w:rPr>
        <w:t xml:space="preserve">, como es el caso de </w:t>
      </w:r>
      <w:r w:rsidRPr="00F507F9">
        <w:rPr>
          <w:rFonts w:ascii="Verdana" w:hAnsi="Verdana" w:cs="Arial"/>
          <w:bCs/>
          <w:lang w:eastAsia="x-none"/>
        </w:rPr>
        <w:t>los Cabildos Indígenas, las asociaciones de Autoridades Tradicionales Indígenas, los consejos comunitarios de las comunidades negras regulados por la Ley 70 de 1993</w:t>
      </w:r>
      <w:r>
        <w:rPr>
          <w:rStyle w:val="Refdenotaalpie"/>
          <w:rFonts w:ascii="Verdana" w:hAnsi="Verdana" w:cs="Arial"/>
          <w:bCs/>
          <w:lang w:eastAsia="x-none"/>
        </w:rPr>
        <w:footnoteReference w:id="14"/>
      </w:r>
      <w:r w:rsidRPr="00FC6F34">
        <w:rPr>
          <w:rFonts w:ascii="Verdana" w:hAnsi="Verdana" w:cs="Arial"/>
          <w:bCs/>
          <w:lang w:val="es-ES" w:eastAsia="x-none"/>
        </w:rPr>
        <w:t>.</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5"/>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5068604D" w14:textId="77777777" w:rsidR="0079237F" w:rsidRDefault="0079237F" w:rsidP="0079237F">
      <w:pPr>
        <w:spacing w:after="0" w:line="276" w:lineRule="auto"/>
        <w:ind w:firstLine="709"/>
        <w:jc w:val="both"/>
        <w:rPr>
          <w:rFonts w:ascii="Verdana" w:eastAsia="Arial" w:hAnsi="Verdana" w:cs="Arial"/>
          <w:color w:val="000000" w:themeColor="text1"/>
          <w:lang w:val="es-ES"/>
        </w:rPr>
      </w:pPr>
      <w:r w:rsidRPr="00FC6F34">
        <w:rPr>
          <w:rFonts w:ascii="Verdana" w:eastAsia="Arial" w:hAnsi="Verdana" w:cs="Arial"/>
          <w:color w:val="000000" w:themeColor="text1"/>
          <w:lang w:val="es-ES"/>
        </w:rPr>
        <w:lastRenderedPageBreak/>
        <w:t xml:space="preserve">Por lo tanto, la restricción del artículo 33 prevista en la Ley 996 de 2005, teniendo en cuenta la finalidad de la ley de garantías electorales, cobija a </w:t>
      </w:r>
      <w:r w:rsidRPr="00FD1F46">
        <w:rPr>
          <w:rFonts w:ascii="Verdana" w:eastAsia="Arial" w:hAnsi="Verdana" w:cs="Arial"/>
          <w:i/>
          <w:iCs/>
          <w:color w:val="000000" w:themeColor="text1"/>
          <w:lang w:val="es-ES"/>
        </w:rPr>
        <w:t>cualquier ente público</w:t>
      </w:r>
      <w:r w:rsidRPr="00FC6F34">
        <w:rPr>
          <w:rFonts w:ascii="Verdana" w:eastAsia="Arial" w:hAnsi="Verdana" w:cs="Arial"/>
          <w:color w:val="000000" w:themeColor="text1"/>
          <w:lang w:val="es-ES"/>
        </w:rPr>
        <w:t xml:space="preserve"> que pueda a través de la contratación directa romper el equilibrio entre los partidos y los candidatos en las elecciones presidenciales. </w:t>
      </w:r>
      <w:r>
        <w:rPr>
          <w:rFonts w:ascii="Verdana" w:eastAsia="Arial" w:hAnsi="Verdana" w:cs="Arial"/>
          <w:color w:val="000000" w:themeColor="text1"/>
          <w:lang w:val="es-ES"/>
        </w:rPr>
        <w:t xml:space="preserve">Entonces, no </w:t>
      </w:r>
      <w:r w:rsidRPr="00FC6F34">
        <w:rPr>
          <w:rFonts w:ascii="Verdana" w:eastAsia="Arial" w:hAnsi="Verdana" w:cs="Arial"/>
          <w:color w:val="000000" w:themeColor="text1"/>
          <w:lang w:val="es-ES"/>
        </w:rPr>
        <w:t xml:space="preserve">existe </w:t>
      </w:r>
      <w:r>
        <w:rPr>
          <w:rFonts w:ascii="Verdana" w:eastAsia="Arial" w:hAnsi="Verdana" w:cs="Arial"/>
          <w:color w:val="000000" w:themeColor="text1"/>
          <w:lang w:val="es-ES"/>
        </w:rPr>
        <w:t xml:space="preserve">una </w:t>
      </w:r>
      <w:r w:rsidRPr="00FC6F34">
        <w:rPr>
          <w:rFonts w:ascii="Verdana" w:eastAsia="Arial" w:hAnsi="Verdana" w:cs="Arial"/>
          <w:color w:val="000000" w:themeColor="text1"/>
          <w:lang w:val="es-ES"/>
        </w:rPr>
        <w:t>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4F435532" w14:textId="77777777" w:rsidR="0079237F" w:rsidRPr="00923229" w:rsidRDefault="0079237F" w:rsidP="0079237F">
      <w:pPr>
        <w:spacing w:after="0" w:line="276" w:lineRule="auto"/>
        <w:ind w:firstLine="709"/>
        <w:jc w:val="both"/>
        <w:rPr>
          <w:rFonts w:ascii="Verdana" w:eastAsia="Arial" w:hAnsi="Verdana" w:cs="Arial"/>
          <w:color w:val="000000" w:themeColor="text1"/>
          <w:lang w:val="es-ES"/>
        </w:rPr>
      </w:pPr>
    </w:p>
    <w:p w14:paraId="6528363B" w14:textId="77777777" w:rsidR="0079237F" w:rsidRDefault="0079237F" w:rsidP="0079237F">
      <w:pPr>
        <w:spacing w:after="0" w:line="276" w:lineRule="auto"/>
        <w:jc w:val="both"/>
        <w:rPr>
          <w:rFonts w:ascii="Verdana" w:eastAsia="Times New Roman" w:hAnsi="Verdana" w:cs="Arial"/>
          <w:lang w:val="es-ES" w:eastAsia="es-CO"/>
        </w:rPr>
      </w:pPr>
      <w:proofErr w:type="spellStart"/>
      <w:r>
        <w:rPr>
          <w:rFonts w:ascii="Verdana" w:eastAsia="Times New Roman" w:hAnsi="Verdana" w:cs="Arial"/>
          <w:lang w:val="es-ES"/>
        </w:rPr>
        <w:t>iv</w:t>
      </w:r>
      <w:proofErr w:type="spellEnd"/>
      <w:r>
        <w:rPr>
          <w:rFonts w:ascii="Verdana" w:eastAsia="Times New Roman" w:hAnsi="Verdana" w:cs="Arial"/>
          <w:lang w:val="es-ES"/>
        </w:rPr>
        <w:t>) Por otra parte, e</w:t>
      </w:r>
      <w:r w:rsidRPr="00FC6F34">
        <w:rPr>
          <w:rFonts w:ascii="Verdana" w:eastAsia="Times New Roman" w:hAnsi="Verdana" w:cs="Arial"/>
          <w:lang w:val="es-ES"/>
        </w:rPr>
        <w:t xml:space="preserv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52B551D2" w14:textId="77777777" w:rsidR="0079237F" w:rsidRPr="00FC6F34" w:rsidRDefault="0079237F" w:rsidP="0079237F">
      <w:pPr>
        <w:spacing w:after="0" w:line="276" w:lineRule="auto"/>
        <w:jc w:val="both"/>
        <w:rPr>
          <w:rFonts w:ascii="Verdana" w:eastAsia="Times New Roman" w:hAnsi="Verdana" w:cs="Arial"/>
          <w:bCs/>
          <w:lang w:val="es-ES" w:eastAsia="es-CO"/>
        </w:rPr>
      </w:pPr>
    </w:p>
    <w:p w14:paraId="1110BDB5" w14:textId="77777777" w:rsidR="0079237F" w:rsidRPr="00FC6F34" w:rsidRDefault="0079237F" w:rsidP="0079237F">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cualquier sistema que no implique </w:t>
      </w:r>
      <w:r w:rsidRPr="00F97D0B">
        <w:rPr>
          <w:rFonts w:ascii="Verdana" w:eastAsia="Calibri" w:hAnsi="Verdana" w:cs="Arial"/>
          <w:i/>
          <w:iCs/>
          <w:sz w:val="20"/>
          <w:szCs w:val="20"/>
          <w:u w:val="single"/>
          <w:lang w:val="es-ES"/>
        </w:rPr>
        <w:t>convocatoria pública y posibilidad de pluralidad de oferentes</w:t>
      </w:r>
      <w:r w:rsidRPr="00FC6F34">
        <w:rPr>
          <w:rFonts w:ascii="Verdana" w:eastAsia="Calibri" w:hAnsi="Verdana" w:cs="Arial"/>
          <w:sz w:val="20"/>
          <w:szCs w:val="20"/>
          <w:lang w:val="es-ES"/>
        </w:rPr>
        <w:t xml:space="preserve">, y que, además, no necesariamente hace referencia al procedimiento especial regulado por la ley de contratación estatal, </w:t>
      </w:r>
      <w:r w:rsidRPr="006E6530">
        <w:rPr>
          <w:rFonts w:ascii="Verdana" w:eastAsia="Calibri" w:hAnsi="Verdana" w:cs="Arial"/>
          <w:sz w:val="20"/>
          <w:szCs w:val="20"/>
          <w:u w:val="single"/>
          <w:lang w:val="es-ES"/>
        </w:rPr>
        <w:t>sino a cualquier otro que prescinda de un proceso de licitación pública o concurso</w:t>
      </w:r>
      <w:r w:rsidRPr="00FC6F34">
        <w:rPr>
          <w:rFonts w:ascii="Verdana" w:eastAsia="Times New Roman" w:hAnsi="Verdana" w:cs="Arial"/>
          <w:sz w:val="20"/>
          <w:szCs w:val="20"/>
          <w:vertAlign w:val="superscript"/>
          <w:lang w:val="es-ES"/>
        </w:rPr>
        <w:footnoteReference w:id="16"/>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7"/>
      </w:r>
      <w:r w:rsidRPr="00FC6F34">
        <w:rPr>
          <w:rFonts w:ascii="Verdana" w:eastAsia="Calibri" w:hAnsi="Verdana" w:cs="Arial"/>
          <w:sz w:val="20"/>
          <w:szCs w:val="20"/>
          <w:lang w:val="es-ES"/>
        </w:rPr>
        <w:t xml:space="preserve"> .</w:t>
      </w:r>
      <w:r>
        <w:rPr>
          <w:rFonts w:ascii="Verdana" w:eastAsia="Calibri" w:hAnsi="Verdana" w:cs="Arial"/>
          <w:sz w:val="20"/>
          <w:szCs w:val="20"/>
          <w:lang w:val="es-ES"/>
        </w:rPr>
        <w:t xml:space="preserve"> [Énfasis propio]</w:t>
      </w:r>
    </w:p>
    <w:p w14:paraId="4A4A891E" w14:textId="77777777" w:rsidR="0079237F" w:rsidRPr="00FC6F34" w:rsidRDefault="0079237F" w:rsidP="0079237F">
      <w:pPr>
        <w:shd w:val="clear" w:color="auto" w:fill="FFFFFF" w:themeFill="background1"/>
        <w:spacing w:after="0" w:line="276" w:lineRule="auto"/>
        <w:ind w:firstLine="709"/>
        <w:jc w:val="both"/>
        <w:rPr>
          <w:rFonts w:ascii="Verdana" w:eastAsia="Times New Roman" w:hAnsi="Verdana" w:cs="Arial"/>
          <w:lang w:val="es-ES" w:eastAsia="x-none"/>
        </w:rPr>
      </w:pPr>
    </w:p>
    <w:p w14:paraId="287B1EDD" w14:textId="77777777" w:rsidR="0079237F" w:rsidRDefault="0079237F" w:rsidP="0079237F">
      <w:pPr>
        <w:spacing w:after="120" w:line="276" w:lineRule="auto"/>
        <w:ind w:firstLine="708"/>
        <w:jc w:val="both"/>
        <w:rPr>
          <w:rFonts w:ascii="Verdana" w:eastAsia="Calibri" w:hAnsi="Verdana" w:cs="Arial"/>
          <w:lang w:val="es-ES" w:eastAsia="x-none"/>
        </w:rPr>
      </w:pPr>
      <w:r>
        <w:rPr>
          <w:rFonts w:ascii="Verdana" w:eastAsia="Times New Roman" w:hAnsi="Verdana" w:cs="Arial"/>
          <w:lang w:val="es-ES" w:eastAsia="x-none"/>
        </w:rPr>
        <w:t xml:space="preserve">Esto implica con respecto a las modalidades de selección establecidas en el Estatuto General de Contratación de la Administración Pública, que no se encuentran incluidas en la prohibición </w:t>
      </w:r>
      <w:r w:rsidRPr="00FC6F34">
        <w:rPr>
          <w:rFonts w:ascii="Verdana" w:eastAsia="Times New Roman" w:hAnsi="Verdana" w:cs="Arial"/>
          <w:lang w:val="es-ES" w:eastAsia="x-none"/>
        </w:rPr>
        <w:t>las modalidades de contratación previstas en la Ley 1150 de 2007</w:t>
      </w:r>
      <w:r>
        <w:rPr>
          <w:rFonts w:ascii="Verdana" w:eastAsia="Times New Roman" w:hAnsi="Verdana" w:cs="Arial"/>
          <w:lang w:val="es-ES" w:eastAsia="x-none"/>
        </w:rPr>
        <w:t xml:space="preserve"> distintas a la contratación directa</w:t>
      </w:r>
      <w:r w:rsidRPr="00FC6F34">
        <w:rPr>
          <w:rFonts w:ascii="Verdana" w:eastAsia="Times New Roman" w:hAnsi="Verdana" w:cs="Arial"/>
          <w:lang w:val="es-ES" w:eastAsia="x-none"/>
        </w:rPr>
        <w:t xml:space="preserve">, es decir, la licitación pública, la selección abreviada, el concurso de méritos </w:t>
      </w:r>
      <w:r w:rsidRPr="00FC6F34">
        <w:rPr>
          <w:rFonts w:ascii="Verdana" w:eastAsia="Times New Roman" w:hAnsi="Verdana" w:cs="Arial"/>
          <w:lang w:val="es-ES"/>
        </w:rPr>
        <w:t xml:space="preserve">y la mínima cuantía. </w:t>
      </w:r>
      <w:r w:rsidRPr="00FC6F34">
        <w:rPr>
          <w:rFonts w:ascii="Verdana" w:eastAsia="Times New Roman" w:hAnsi="Verdana" w:cs="Arial"/>
          <w:lang w:val="es-ES" w:eastAsia="x-none"/>
        </w:rPr>
        <w:t xml:space="preserve">Esta </w:t>
      </w:r>
      <w:r w:rsidRPr="00FC6F34">
        <w:rPr>
          <w:rFonts w:ascii="Verdana" w:eastAsia="Times New Roman" w:hAnsi="Verdana" w:cs="Arial"/>
          <w:lang w:val="es-ES" w:eastAsia="x-none"/>
        </w:rPr>
        <w:lastRenderedPageBreak/>
        <w:t>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8"/>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9"/>
      </w:r>
      <w:r>
        <w:rPr>
          <w:rFonts w:ascii="Verdana" w:eastAsia="Times New Roman" w:hAnsi="Verdana" w:cs="Arial"/>
          <w:lang w:val="es-ES" w:eastAsia="x-none"/>
        </w:rPr>
        <w:t>.</w:t>
      </w:r>
      <w:r w:rsidRPr="00FC6F34">
        <w:rPr>
          <w:rFonts w:ascii="Verdana" w:eastAsia="Times New Roman" w:hAnsi="Verdana" w:cs="Arial"/>
          <w:lang w:val="es-ES" w:eastAsia="x-none"/>
        </w:rPr>
        <w:t xml:space="preserve"> </w:t>
      </w:r>
      <w:r>
        <w:rPr>
          <w:rFonts w:ascii="Verdana" w:eastAsia="Calibri" w:hAnsi="Verdana" w:cs="Arial"/>
          <w:lang w:val="es-ES" w:eastAsia="x-none"/>
        </w:rPr>
        <w:t xml:space="preserve">También </w:t>
      </w:r>
      <w:r w:rsidRPr="00FC6F34">
        <w:rPr>
          <w:rFonts w:ascii="Verdana" w:eastAsia="Calibri" w:hAnsi="Verdana" w:cs="Arial"/>
          <w:lang w:val="es-ES" w:eastAsia="x-none"/>
        </w:rPr>
        <w:t>lo es con la posterior creación de la modalidad de mínima cuantía establecida actualmente en el numeral 5 del artículo 2 de la Ley 1150 de 2007, de acuerdo con las modificaciones realizadas por leyes posteriores.</w:t>
      </w:r>
    </w:p>
    <w:p w14:paraId="165BCB65" w14:textId="77777777" w:rsidR="0079237F" w:rsidRPr="00F97D0B" w:rsidRDefault="0079237F" w:rsidP="0079237F">
      <w:pPr>
        <w:spacing w:after="120" w:line="276" w:lineRule="auto"/>
        <w:ind w:firstLine="708"/>
        <w:jc w:val="both"/>
        <w:rPr>
          <w:rFonts w:ascii="Verdana" w:eastAsia="Times New Roman" w:hAnsi="Verdana" w:cs="Arial"/>
          <w:lang w:val="es-ES"/>
        </w:rPr>
      </w:pPr>
      <w:r w:rsidRPr="00FC6F34">
        <w:rPr>
          <w:rFonts w:ascii="Verdana" w:eastAsia="Times New Roman" w:hAnsi="Verdana" w:cs="Arial"/>
          <w:lang w:val="es-ES"/>
        </w:rPr>
        <w:t>Por tanto,</w:t>
      </w:r>
      <w:r>
        <w:rPr>
          <w:rFonts w:ascii="Verdana" w:eastAsia="Times New Roman" w:hAnsi="Verdana" w:cs="Arial"/>
          <w:lang w:val="es-ES"/>
        </w:rPr>
        <w:t xml:space="preserve"> los procedimientos de selección que pretendan adelantar las Entidades Estatales mediante cualquiera de las causales de contratación directa establecidas en el artículo segundo de la Ley 1150 de 2007 estarán cubiertos por la prohibición establecida en el artículo 33 de la Ley de Garantías Electorales</w:t>
      </w:r>
      <w:r w:rsidRPr="00FD1F46">
        <w:rPr>
          <w:rFonts w:ascii="Verdana" w:eastAsia="Times New Roman" w:hAnsi="Verdana" w:cs="Arial"/>
        </w:rPr>
        <w:t>.</w:t>
      </w:r>
      <w:r>
        <w:rPr>
          <w:rFonts w:ascii="Verdana" w:eastAsia="Times New Roman" w:hAnsi="Verdana" w:cs="Arial"/>
          <w:lang w:val="es-ES"/>
        </w:rPr>
        <w:t xml:space="preserve"> En cualquier caso, </w:t>
      </w:r>
      <w:r w:rsidRPr="00FC6F34">
        <w:rPr>
          <w:rFonts w:ascii="Verdana" w:eastAsia="Times New Roman" w:hAnsi="Verdana" w:cs="Arial"/>
          <w:lang w:val="es-ES"/>
        </w:rPr>
        <w:t>no s</w:t>
      </w:r>
      <w:r>
        <w:rPr>
          <w:rFonts w:ascii="Verdana" w:eastAsia="Times New Roman" w:hAnsi="Verdana" w:cs="Arial"/>
          <w:lang w:val="es-ES"/>
        </w:rPr>
        <w:t>erán</w:t>
      </w:r>
      <w:r w:rsidRPr="00FC6F34">
        <w:rPr>
          <w:rFonts w:ascii="Verdana" w:eastAsia="Times New Roman" w:hAnsi="Verdana" w:cs="Arial"/>
          <w:lang w:val="es-ES"/>
        </w:rPr>
        <w:t xml:space="preserve"> materia de la prohibición las demás modalidades de selección previstas en la Ley 1150 de 2007, es decir, la licitación pública, el concurso de méritos, la selección abreviada y la mínima cuantía, razón por la cual las entidades públicas pueden seguir contratando bajo estos sistemas</w:t>
      </w:r>
      <w:r>
        <w:rPr>
          <w:rFonts w:ascii="Verdana" w:eastAsia="Times New Roman" w:hAnsi="Verdana" w:cs="Arial"/>
          <w:lang w:val="es-ES"/>
        </w:rPr>
        <w:t xml:space="preserve"> para la satisfacción y atención de sus necesidades durante el periodo </w:t>
      </w:r>
      <w:r w:rsidRPr="00FC6F34">
        <w:rPr>
          <w:rFonts w:ascii="Verdana" w:eastAsia="Times New Roman" w:hAnsi="Verdana" w:cs="Arial"/>
          <w:lang w:val="es-ES"/>
        </w:rPr>
        <w:t>preelectoral</w:t>
      </w:r>
      <w:r>
        <w:rPr>
          <w:rFonts w:ascii="Verdana" w:eastAsia="Times New Roman" w:hAnsi="Verdana" w:cs="Arial"/>
          <w:lang w:val="es-ES"/>
        </w:rPr>
        <w:t xml:space="preserve"> señalado en el artículo 33 de la Ley de Garantías Electorales</w:t>
      </w:r>
      <w:r w:rsidRPr="00FC6F34">
        <w:rPr>
          <w:rFonts w:ascii="Verdana" w:eastAsia="Times New Roman" w:hAnsi="Verdana" w:cs="Arial"/>
          <w:lang w:val="es-ES"/>
        </w:rPr>
        <w:t>.</w:t>
      </w:r>
    </w:p>
    <w:p w14:paraId="5A96A3A1" w14:textId="77777777" w:rsidR="0079237F" w:rsidRPr="00FC6F34" w:rsidRDefault="0079237F" w:rsidP="0079237F">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Por otra parte</w:t>
      </w:r>
      <w:r w:rsidRPr="00FC6F34">
        <w:rPr>
          <w:rFonts w:ascii="Verdana" w:eastAsia="Times New Roman" w:hAnsi="Verdana" w:cs="Arial"/>
          <w:bCs/>
          <w:lang w:val="es-ES" w:eastAsia="es-CO"/>
        </w:rPr>
        <w:t xml:space="preserve">, el Consejo de Estado realiza una interpretación amplia de la contratación directa,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D1F46">
        <w:rPr>
          <w:rFonts w:ascii="Verdana" w:eastAsia="Times New Roman" w:hAnsi="Verdana" w:cs="Arial"/>
          <w:b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w:t>
      </w:r>
      <w:r>
        <w:rPr>
          <w:rFonts w:ascii="Verdana" w:eastAsia="Times New Roman" w:hAnsi="Verdana" w:cs="Arial"/>
          <w:bCs/>
          <w:lang w:val="es-ES" w:eastAsia="es-CO"/>
        </w:rPr>
        <w:t>L</w:t>
      </w:r>
      <w:r w:rsidRPr="00FC6F34">
        <w:rPr>
          <w:rFonts w:ascii="Verdana" w:eastAsia="Times New Roman" w:hAnsi="Verdana" w:cs="Arial"/>
          <w:bCs/>
          <w:lang w:val="es-ES" w:eastAsia="es-CO"/>
        </w:rPr>
        <w:t>uego de la expedición de Ley 1150 de 2007, el Consejo de Estado comenzó a delimitar con mayor precisión el término de “contratación directa”.</w:t>
      </w:r>
      <w:r>
        <w:rPr>
          <w:rFonts w:ascii="Verdana" w:eastAsia="Times New Roman" w:hAnsi="Verdana" w:cs="Arial"/>
          <w:bCs/>
          <w:lang w:val="es-ES" w:eastAsia="es-CO"/>
        </w:rPr>
        <w:t xml:space="preserve"> </w:t>
      </w:r>
      <w:r>
        <w:rPr>
          <w:rFonts w:ascii="Verdana" w:eastAsia="Times New Roman" w:hAnsi="Verdana" w:cs="Arial"/>
          <w:lang w:val="es-ES"/>
        </w:rPr>
        <w:t>Bajo la posición actual de la alta corporación</w:t>
      </w:r>
      <w:r w:rsidRPr="00FC6F34">
        <w:rPr>
          <w:rFonts w:ascii="Verdana" w:eastAsia="Times New Roman" w:hAnsi="Verdana" w:cs="Arial"/>
          <w:lang w:val="es-ES"/>
        </w:rPr>
        <w:t xml:space="preserve">, para la prohibición o restricción temporal contenida en su artículo 33, “contratación directa” es </w:t>
      </w:r>
      <w:r w:rsidRPr="00FD1F46">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w:t>
      </w:r>
      <w:r>
        <w:rPr>
          <w:rFonts w:ascii="Verdana" w:eastAsia="Times New Roman" w:hAnsi="Verdana" w:cs="Arial"/>
          <w:lang w:val="es-ES"/>
        </w:rPr>
        <w:t>:</w:t>
      </w:r>
      <w:r w:rsidRPr="00FC6F34">
        <w:rPr>
          <w:rFonts w:ascii="Verdana" w:eastAsia="Times New Roman" w:hAnsi="Verdana" w:cs="Arial"/>
          <w:lang w:val="es-ES"/>
        </w:rPr>
        <w:t xml:space="preserve"> </w:t>
      </w:r>
      <w:r>
        <w:rPr>
          <w:rFonts w:ascii="Verdana" w:eastAsia="Times New Roman" w:hAnsi="Verdana" w:cs="Arial"/>
          <w:lang w:val="es-ES"/>
        </w:rPr>
        <w:t xml:space="preserve">1) no </w:t>
      </w:r>
      <w:r w:rsidRPr="00FC6F34">
        <w:rPr>
          <w:rFonts w:ascii="Verdana" w:eastAsia="Times New Roman" w:hAnsi="Verdana" w:cs="Arial"/>
          <w:lang w:val="es-ES"/>
        </w:rPr>
        <w:t xml:space="preserve">incluya la convocatoria pública en alguna de sus etapas, </w:t>
      </w:r>
      <w:r>
        <w:rPr>
          <w:rFonts w:ascii="Verdana" w:eastAsia="Times New Roman" w:hAnsi="Verdana" w:cs="Arial"/>
          <w:lang w:val="es-ES"/>
        </w:rPr>
        <w:t xml:space="preserve">2) </w:t>
      </w:r>
      <w:r w:rsidRPr="00FC6F34">
        <w:rPr>
          <w:rFonts w:ascii="Verdana" w:eastAsia="Times New Roman" w:hAnsi="Verdana" w:cs="Arial"/>
          <w:lang w:val="es-ES"/>
        </w:rPr>
        <w:t>ni permita la participación de una pluralidad de oferentes</w:t>
      </w:r>
      <w:r w:rsidRPr="00FC6F34">
        <w:rPr>
          <w:rFonts w:ascii="Verdana" w:eastAsia="Times New Roman" w:hAnsi="Verdana" w:cs="Arial"/>
          <w:vertAlign w:val="superscript"/>
          <w:lang w:val="es-ES" w:eastAsia="x-none"/>
        </w:rPr>
        <w:footnoteReference w:id="20"/>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60102B55" w14:textId="77777777" w:rsidR="0079237F" w:rsidRDefault="0079237F" w:rsidP="0079237F">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De lo anterior se desprende que</w:t>
      </w:r>
      <w:r>
        <w:rPr>
          <w:rFonts w:ascii="Verdana" w:eastAsia="Times New Roman" w:hAnsi="Verdana" w:cs="Arial"/>
          <w:lang w:val="es-ES"/>
        </w:rPr>
        <w:t xml:space="preserve">, con respecto a los procedimientos que adelantan las entidades sometidas a un régimen especial de contratación, </w:t>
      </w:r>
      <w:r w:rsidRPr="00FC6F34">
        <w:rPr>
          <w:rFonts w:ascii="Verdana" w:eastAsia="Times New Roman" w:hAnsi="Verdana" w:cs="Arial"/>
          <w:lang w:val="es-ES"/>
        </w:rPr>
        <w:t xml:space="preserve">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w:t>
      </w:r>
      <w:r>
        <w:rPr>
          <w:rFonts w:ascii="Verdana" w:eastAsia="Times New Roman" w:hAnsi="Verdana" w:cs="Arial"/>
          <w:lang w:val="es-ES"/>
        </w:rPr>
        <w:t xml:space="preserve"> que </w:t>
      </w:r>
      <w:r w:rsidRPr="00EB4E6D">
        <w:rPr>
          <w:rFonts w:ascii="Verdana" w:eastAsia="Times New Roman" w:hAnsi="Verdana" w:cs="Arial"/>
          <w:lang w:val="es-ES" w:eastAsia="x-none"/>
        </w:rPr>
        <w:t>no</w:t>
      </w:r>
      <w:r w:rsidRPr="00FC6F34">
        <w:rPr>
          <w:rFonts w:ascii="Verdana" w:eastAsia="Times New Roman" w:hAnsi="Verdana" w:cs="Arial"/>
          <w:lang w:val="es-ES" w:eastAsia="x-none"/>
        </w:rPr>
        <w:t xml:space="preserve"> </w:t>
      </w:r>
      <w:r>
        <w:rPr>
          <w:rFonts w:ascii="Verdana" w:eastAsia="Times New Roman" w:hAnsi="Verdana" w:cs="Arial"/>
          <w:lang w:val="es-ES" w:eastAsia="x-none"/>
        </w:rPr>
        <w:t xml:space="preserve">cumpla con dos aspectos de forma acumulativa:  que no cuente con una </w:t>
      </w:r>
      <w:r w:rsidRPr="00FC6F34">
        <w:rPr>
          <w:rFonts w:ascii="Verdana" w:eastAsia="Times New Roman" w:hAnsi="Verdana" w:cs="Arial"/>
          <w:lang w:val="es-ES" w:eastAsia="x-none"/>
        </w:rPr>
        <w:t>convocatoria pública</w:t>
      </w:r>
      <w:r>
        <w:rPr>
          <w:rFonts w:ascii="Verdana" w:eastAsia="Times New Roman" w:hAnsi="Verdana" w:cs="Arial"/>
          <w:lang w:val="es-ES" w:eastAsia="x-none"/>
        </w:rPr>
        <w:t xml:space="preserve"> </w:t>
      </w:r>
      <w:r>
        <w:rPr>
          <w:rFonts w:ascii="Verdana" w:eastAsia="Times New Roman" w:hAnsi="Verdana" w:cs="Arial"/>
          <w:lang w:val="es-ES" w:eastAsia="x-none"/>
        </w:rPr>
        <w:lastRenderedPageBreak/>
        <w:t>o abierta y que, además,</w:t>
      </w:r>
      <w:r w:rsidRPr="00FC6F34">
        <w:rPr>
          <w:rFonts w:ascii="Verdana" w:eastAsia="Times New Roman" w:hAnsi="Verdana" w:cs="Arial"/>
          <w:lang w:val="es-ES" w:eastAsia="x-none"/>
        </w:rPr>
        <w:t xml:space="preserve"> </w:t>
      </w:r>
      <w:r>
        <w:rPr>
          <w:rFonts w:ascii="Verdana" w:eastAsia="Times New Roman" w:hAnsi="Verdana" w:cs="Arial"/>
          <w:lang w:val="es-ES" w:eastAsia="x-none"/>
        </w:rPr>
        <w:t xml:space="preserve">su procedimiento no permita que una </w:t>
      </w:r>
      <w:r w:rsidRPr="00FC6F34">
        <w:rPr>
          <w:rFonts w:ascii="Verdana" w:eastAsia="Times New Roman" w:hAnsi="Verdana" w:cs="Arial"/>
          <w:lang w:val="es-ES" w:eastAsia="x-none"/>
        </w:rPr>
        <w:t>pluralidad de oferentes</w:t>
      </w:r>
      <w:r>
        <w:rPr>
          <w:rFonts w:ascii="Verdana" w:eastAsia="Times New Roman" w:hAnsi="Verdana" w:cs="Arial"/>
          <w:lang w:val="es-ES" w:eastAsia="x-none"/>
        </w:rPr>
        <w:t xml:space="preserve"> participen en un escenario de competencia. </w:t>
      </w:r>
    </w:p>
    <w:p w14:paraId="675B3F88" w14:textId="77777777" w:rsidR="0079237F" w:rsidRPr="004E5D38" w:rsidRDefault="0079237F" w:rsidP="0079237F">
      <w:pPr>
        <w:spacing w:before="120" w:after="0" w:line="276" w:lineRule="auto"/>
        <w:ind w:firstLine="708"/>
        <w:jc w:val="both"/>
        <w:rPr>
          <w:rFonts w:ascii="Verdana" w:eastAsia="Times New Roman" w:hAnsi="Verdana" w:cs="Arial"/>
          <w:lang w:val="es-ES"/>
        </w:rPr>
      </w:pPr>
      <w:r>
        <w:rPr>
          <w:rFonts w:ascii="Verdana" w:eastAsia="Times New Roman" w:hAnsi="Verdana" w:cs="Arial"/>
        </w:rPr>
        <w:t xml:space="preserve">Bajo este parámetro fijado por el Consejo de Estado, </w:t>
      </w:r>
      <w:r w:rsidRPr="00923229">
        <w:rPr>
          <w:rFonts w:ascii="Verdana" w:eastAsia="Times New Roman" w:hAnsi="Verdana" w:cs="Arial"/>
        </w:rPr>
        <w:t>la prohibición excluye</w:t>
      </w:r>
      <w:r>
        <w:rPr>
          <w:rFonts w:ascii="Verdana" w:eastAsia="Times New Roman" w:hAnsi="Verdana" w:cs="Arial"/>
        </w:rPr>
        <w:t>, por ejemplo,</w:t>
      </w:r>
      <w:r w:rsidRPr="00923229">
        <w:rPr>
          <w:rFonts w:ascii="Verdana" w:eastAsia="Times New Roman" w:hAnsi="Verdana" w:cs="Arial"/>
        </w:rPr>
        <w:t xml:space="preserve"> el procedimiento establecido en la Ley 1508 de 2012</w:t>
      </w:r>
      <w:r>
        <w:rPr>
          <w:rFonts w:ascii="Verdana" w:eastAsia="Times New Roman" w:hAnsi="Verdana" w:cs="Arial"/>
        </w:rPr>
        <w:t xml:space="preserve"> para las Asociaciones </w:t>
      </w:r>
      <w:proofErr w:type="gramStart"/>
      <w:r>
        <w:rPr>
          <w:rFonts w:ascii="Verdana" w:eastAsia="Times New Roman" w:hAnsi="Verdana" w:cs="Arial"/>
        </w:rPr>
        <w:t>Público Privadas</w:t>
      </w:r>
      <w:proofErr w:type="gramEnd"/>
      <w:r w:rsidRPr="00923229">
        <w:rPr>
          <w:rFonts w:ascii="Verdana" w:eastAsia="Times New Roman" w:hAnsi="Verdana" w:cs="Arial"/>
        </w:rPr>
        <w:t>. En este supuesto, la entidad podrá contratar directamente con el originador de un proyecto de iniciativa privada, cuando ningún otro interesado manifieste interés en participar en su ejecución durante el periodo de publicación de los documentos, según lo estipulado en el artículo 19 de la Ley 1508 de 2012. Esta contratación no estará sujeta a la prohibición del artículo 33 de la Ley de Garantías Electorales</w:t>
      </w:r>
      <w:r>
        <w:rPr>
          <w:rFonts w:ascii="Verdana" w:eastAsia="Times New Roman" w:hAnsi="Verdana" w:cs="Arial"/>
        </w:rPr>
        <w:t>, pues cumple con la existencia de una convocatoria abierta y de un proceso competitivo.</w:t>
      </w:r>
    </w:p>
    <w:p w14:paraId="32A13493" w14:textId="77777777" w:rsidR="0079237F" w:rsidRDefault="0079237F" w:rsidP="0079237F">
      <w:pPr>
        <w:spacing w:before="120" w:after="0" w:line="276" w:lineRule="auto"/>
        <w:ind w:firstLine="708"/>
        <w:jc w:val="both"/>
        <w:rPr>
          <w:rFonts w:ascii="Verdana" w:eastAsia="Times New Roman" w:hAnsi="Verdana" w:cs="Arial"/>
        </w:rPr>
      </w:pPr>
      <w:r>
        <w:rPr>
          <w:rFonts w:ascii="Verdana" w:eastAsia="Times New Roman" w:hAnsi="Verdana" w:cs="Arial"/>
        </w:rPr>
        <w:t xml:space="preserve">En este sentido, para que el proceso no se encuentre inmerso en la prohibición, es necesario </w:t>
      </w:r>
      <w:r w:rsidRPr="00923229">
        <w:rPr>
          <w:rFonts w:ascii="Verdana" w:eastAsia="Times New Roman" w:hAnsi="Verdana" w:cs="Arial"/>
        </w:rPr>
        <w:t xml:space="preserve">que </w:t>
      </w:r>
      <w:r>
        <w:rPr>
          <w:rFonts w:ascii="Verdana" w:eastAsia="Times New Roman" w:hAnsi="Verdana" w:cs="Arial"/>
        </w:rPr>
        <w:t xml:space="preserve">permita al menos una etapa con convocatoria abierta en la que puedan inscribirse o presentar oferta todos los interesados, y que el procedimiento mismo para la selección del contratista se realice de forma competitiva. En efecto, si una entidad de régimen especial adelanta un proceso en el cual todos los interesados se pueden inscribir en una lista de precalificados y luego efectúa un procedimiento en el cual compite una pluralidad de los inscritos, se cumplirán los dos supuestos requeridos para que el proceso se exceptúe de la prohibición, pues tendrá una convocatoria pública o abierta junto con un procedimiento de selección en el que compitan pluralidad de oferentes. Así, una convocatoria o invitación </w:t>
      </w:r>
      <w:r w:rsidRPr="00923229">
        <w:rPr>
          <w:rFonts w:ascii="Verdana" w:eastAsia="Times New Roman" w:hAnsi="Verdana" w:cs="Arial"/>
        </w:rPr>
        <w:t xml:space="preserve">para contratar que se limite a </w:t>
      </w:r>
      <w:r>
        <w:rPr>
          <w:rFonts w:ascii="Verdana" w:eastAsia="Times New Roman" w:hAnsi="Verdana" w:cs="Arial"/>
        </w:rPr>
        <w:t xml:space="preserve">un número de </w:t>
      </w:r>
      <w:r w:rsidRPr="00923229">
        <w:rPr>
          <w:rFonts w:ascii="Verdana" w:eastAsia="Times New Roman" w:hAnsi="Verdana" w:cs="Arial"/>
        </w:rPr>
        <w:t>personas que previamente se han inscrito en una lista de precalificados, no constituye “contratación directa</w:t>
      </w:r>
      <w:r>
        <w:rPr>
          <w:rFonts w:ascii="Verdana" w:eastAsia="Times New Roman" w:hAnsi="Verdana" w:cs="Arial"/>
        </w:rPr>
        <w:t>” si la</w:t>
      </w:r>
      <w:r w:rsidRPr="00923229">
        <w:rPr>
          <w:rFonts w:ascii="Verdana" w:eastAsia="Times New Roman" w:hAnsi="Verdana" w:cs="Arial"/>
        </w:rPr>
        <w:t xml:space="preserve"> convocatoria para inscribirse en forma previa se h</w:t>
      </w:r>
      <w:r>
        <w:rPr>
          <w:rFonts w:ascii="Verdana" w:eastAsia="Times New Roman" w:hAnsi="Verdana" w:cs="Arial"/>
        </w:rPr>
        <w:t>izo</w:t>
      </w:r>
      <w:r w:rsidRPr="00923229">
        <w:rPr>
          <w:rFonts w:ascii="Verdana" w:eastAsia="Times New Roman" w:hAnsi="Verdana" w:cs="Arial"/>
        </w:rPr>
        <w:t xml:space="preserve"> de manera pública, y se permit</w:t>
      </w:r>
      <w:r>
        <w:rPr>
          <w:rFonts w:ascii="Verdana" w:eastAsia="Times New Roman" w:hAnsi="Verdana" w:cs="Arial"/>
        </w:rPr>
        <w:t>ió</w:t>
      </w:r>
      <w:r w:rsidRPr="00923229">
        <w:rPr>
          <w:rFonts w:ascii="Verdana" w:eastAsia="Times New Roman" w:hAnsi="Verdana" w:cs="Arial"/>
        </w:rPr>
        <w:t xml:space="preserve"> la participación de una pluralidad de oferentes</w:t>
      </w:r>
      <w:r>
        <w:rPr>
          <w:rStyle w:val="Refdenotaalpie"/>
          <w:rFonts w:ascii="Verdana" w:eastAsia="Times New Roman" w:hAnsi="Verdana" w:cs="Arial"/>
        </w:rPr>
        <w:footnoteReference w:id="21"/>
      </w:r>
      <w:r w:rsidRPr="00923229">
        <w:rPr>
          <w:rFonts w:ascii="Verdana" w:eastAsia="Times New Roman" w:hAnsi="Verdana" w:cs="Arial"/>
        </w:rPr>
        <w:t xml:space="preserve">. </w:t>
      </w:r>
    </w:p>
    <w:p w14:paraId="6D6AC204" w14:textId="77777777" w:rsidR="0079237F" w:rsidRPr="00BD617A" w:rsidRDefault="0079237F" w:rsidP="0079237F">
      <w:pPr>
        <w:spacing w:before="120" w:line="276" w:lineRule="auto"/>
        <w:ind w:firstLine="708"/>
        <w:jc w:val="both"/>
        <w:rPr>
          <w:rFonts w:ascii="Verdana" w:eastAsia="Times New Roman" w:hAnsi="Verdana" w:cs="Arial"/>
        </w:rPr>
      </w:pPr>
      <w:r>
        <w:rPr>
          <w:rFonts w:ascii="Verdana" w:eastAsia="Times New Roman" w:hAnsi="Verdana" w:cs="Arial"/>
        </w:rPr>
        <w:t xml:space="preserve">En contraste, están sujetos a la prohibición los procesos de contratación que adelanten las entidades sometidas a un régimen especial que cumplan solo con uno de los dos requisitos establecidos por el Consejo de Estado. Por ejemplo, cuando la Entidad seleccione de una lista de precalificados elegidos por una convocatoria abierta a un único proponente con el cual adelantar el proceso de contratación, </w:t>
      </w:r>
      <w:proofErr w:type="gramStart"/>
      <w:r>
        <w:rPr>
          <w:rFonts w:ascii="Verdana" w:eastAsia="Times New Roman" w:hAnsi="Verdana" w:cs="Arial"/>
        </w:rPr>
        <w:t>pues</w:t>
      </w:r>
      <w:proofErr w:type="gramEnd"/>
      <w:r>
        <w:rPr>
          <w:rFonts w:ascii="Verdana" w:eastAsia="Times New Roman" w:hAnsi="Verdana" w:cs="Arial"/>
        </w:rPr>
        <w:t xml:space="preserve"> aunque la convocatoria para participar o inscribirse sea abierta, el procedimiento de selección no permite competencia entre pluralidad </w:t>
      </w:r>
      <w:r>
        <w:rPr>
          <w:rFonts w:ascii="Verdana" w:eastAsia="Times New Roman" w:hAnsi="Verdana" w:cs="Arial"/>
        </w:rPr>
        <w:lastRenderedPageBreak/>
        <w:t xml:space="preserve">de oferentes. También estarán bajo la prohibición del artículo 33 aquellos procesos en los que la entidad adelante un proceso competitivo con pluralidad de proponentes que hayan sido invitados a participar de manera directa o mediante convocatoria cerrada, pues en este </w:t>
      </w:r>
      <w:proofErr w:type="gramStart"/>
      <w:r>
        <w:rPr>
          <w:rFonts w:ascii="Verdana" w:eastAsia="Times New Roman" w:hAnsi="Verdana" w:cs="Arial"/>
        </w:rPr>
        <w:t>caso</w:t>
      </w:r>
      <w:proofErr w:type="gramEnd"/>
      <w:r>
        <w:rPr>
          <w:rFonts w:ascii="Verdana" w:eastAsia="Times New Roman" w:hAnsi="Verdana" w:cs="Arial"/>
        </w:rPr>
        <w:t xml:space="preserve"> aunque el procedimiento de selección es competitivo, la convocatoria para participar es cerrada. De esta manera, para que el procedimiento no sea considerado de “contratación directa” y se exima de la prohibición referida, es necesario que la entidad contratante verifique en cada caso concreto que la convocatoria a participar sea abierta a cualquier interesado y que el procedimiento mismo de selección permita que pluralidad de proponentes compitan por la adjudicación del contrato. </w:t>
      </w:r>
    </w:p>
    <w:p w14:paraId="33A212C2" w14:textId="77777777" w:rsidR="0079237F" w:rsidRPr="00FC6F34" w:rsidRDefault="0079237F" w:rsidP="0079237F">
      <w:pPr>
        <w:spacing w:line="276" w:lineRule="auto"/>
        <w:jc w:val="both"/>
        <w:rPr>
          <w:rFonts w:ascii="Verdana" w:hAnsi="Verdana" w:cs="Arial"/>
          <w:bCs/>
          <w:color w:val="000000" w:themeColor="text1"/>
          <w:lang w:val="es-ES"/>
        </w:rPr>
      </w:pPr>
      <w:r>
        <w:rPr>
          <w:rFonts w:ascii="Verdana" w:eastAsia="Arial" w:hAnsi="Verdana" w:cs="Arial"/>
          <w:bCs/>
          <w:color w:val="000000" w:themeColor="text1"/>
          <w:lang w:val="es-ES"/>
        </w:rPr>
        <w:t>v) Finalmente</w:t>
      </w:r>
      <w:r w:rsidRPr="00FC6F34">
        <w:rPr>
          <w:rFonts w:ascii="Verdana" w:eastAsia="Arial" w:hAnsi="Verdana" w:cs="Arial"/>
          <w:bCs/>
          <w:color w:val="000000" w:themeColor="text1"/>
          <w:lang w:val="es-ES"/>
        </w:rPr>
        <w:t xml:space="preserve">, </w:t>
      </w:r>
      <w:r>
        <w:rPr>
          <w:rFonts w:ascii="Verdana" w:eastAsia="Arial" w:hAnsi="Verdana" w:cs="Arial"/>
          <w:bCs/>
          <w:color w:val="000000" w:themeColor="text1"/>
          <w:lang w:val="es-ES"/>
        </w:rPr>
        <w:t>es importante resaltar que</w:t>
      </w:r>
      <w:r w:rsidRPr="00FC6F34">
        <w:rPr>
          <w:rFonts w:ascii="Verdana" w:eastAsia="Arial" w:hAnsi="Verdana" w:cs="Arial"/>
          <w:bCs/>
          <w:color w:val="000000" w:themeColor="text1"/>
          <w:lang w:val="es-ES"/>
        </w:rPr>
        <w:t xml:space="preserve">, en principio, todos los entes del Estado están cobijados por la prohibición para contratar directamente establecida en el artículo 33 de la Ley de Garantías Electorales. Sin embargo, </w:t>
      </w:r>
      <w:r w:rsidRPr="00FC6F34">
        <w:rPr>
          <w:rFonts w:ascii="Verdana" w:hAnsi="Verdana" w:cs="Arial"/>
          <w:bCs/>
          <w:color w:val="000000" w:themeColor="text1"/>
          <w:lang w:val="es-ES"/>
        </w:rPr>
        <w:t>el segundo inciso de la misma disposición consagró las excepciones aplicables a la prohibición de contratación directa</w:t>
      </w:r>
      <w:r>
        <w:rPr>
          <w:rFonts w:ascii="Verdana" w:hAnsi="Verdana" w:cs="Arial"/>
          <w:bCs/>
          <w:color w:val="000000" w:themeColor="text1"/>
          <w:lang w:val="es-ES"/>
        </w:rPr>
        <w:t xml:space="preserve"> allí establecida</w:t>
      </w:r>
      <w:r w:rsidRPr="00FC6F34">
        <w:rPr>
          <w:rFonts w:ascii="Verdana" w:hAnsi="Verdana" w:cs="Arial"/>
          <w:bCs/>
          <w:color w:val="000000" w:themeColor="text1"/>
          <w:lang w:val="es-ES"/>
        </w:rPr>
        <w:t xml:space="preserve">. </w:t>
      </w:r>
      <w:r>
        <w:rPr>
          <w:rFonts w:ascii="Verdana" w:hAnsi="Verdana" w:cs="Arial"/>
          <w:bCs/>
          <w:color w:val="000000" w:themeColor="text1"/>
          <w:lang w:val="es-ES"/>
        </w:rPr>
        <w:t>L</w:t>
      </w:r>
      <w:r w:rsidRPr="00FC6F34">
        <w:rPr>
          <w:rFonts w:ascii="Verdana" w:hAnsi="Verdana" w:cs="Arial"/>
          <w:bCs/>
          <w:color w:val="000000" w:themeColor="text1"/>
          <w:lang w:val="es-ES"/>
        </w:rPr>
        <w:t>as excepciones a la prohibición del artículo 33 de la norma mencionada son las siguientes:</w:t>
      </w:r>
    </w:p>
    <w:p w14:paraId="6BB66754" w14:textId="77777777" w:rsidR="0079237F" w:rsidRPr="00FC6F34" w:rsidRDefault="0079237F" w:rsidP="0079237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 xml:space="preserve">1) </w:t>
      </w:r>
      <w:r w:rsidRPr="00FC6F34">
        <w:rPr>
          <w:rFonts w:ascii="Verdana" w:hAnsi="Verdana" w:cs="Arial"/>
          <w:bCs/>
          <w:color w:val="000000" w:themeColor="text1"/>
          <w:lang w:val="es-ES"/>
        </w:rPr>
        <w:t>La contratación referente a la defensa y seguridad del Estado;</w:t>
      </w:r>
    </w:p>
    <w:p w14:paraId="4FA6ECF6" w14:textId="77777777" w:rsidR="0079237F" w:rsidRPr="00FC6F34" w:rsidRDefault="0079237F" w:rsidP="0079237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51DD857D" w14:textId="77777777" w:rsidR="0079237F" w:rsidRPr="00FC6F34" w:rsidRDefault="0079237F" w:rsidP="0079237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3A56EA5F" w14:textId="77777777" w:rsidR="0079237F" w:rsidRPr="00FC6F34" w:rsidRDefault="0079237F" w:rsidP="0079237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336A0FCF" w14:textId="77777777" w:rsidR="0079237F" w:rsidRPr="00FC6F34" w:rsidRDefault="0079237F" w:rsidP="0079237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06ED551D" w14:textId="77777777" w:rsidR="0079237F" w:rsidRPr="00FC6F34" w:rsidRDefault="0079237F" w:rsidP="0079237F">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footnoteReference w:id="22"/>
      </w:r>
      <w:r w:rsidRPr="00FC6F34">
        <w:rPr>
          <w:rFonts w:ascii="Verdana" w:hAnsi="Verdana" w:cs="Arial"/>
          <w:lang w:val="es-ES" w:eastAsia="x-none"/>
        </w:rPr>
        <w:t xml:space="preserve">. </w:t>
      </w:r>
      <w:r w:rsidRPr="00FC6F34">
        <w:rPr>
          <w:rFonts w:ascii="Verdana" w:hAnsi="Verdana" w:cs="Arial"/>
          <w:lang w:val="es-ES" w:eastAsia="x-none"/>
        </w:rPr>
        <w:lastRenderedPageBreak/>
        <w:t>De ahí que la Corte haya hecho particular énfasis en que las excepciones a la restricción protegen diversos tipos de urgencias de defensa, salud, educación, infraestructura vial</w:t>
      </w:r>
      <w:r>
        <w:rPr>
          <w:rFonts w:ascii="Verdana" w:hAnsi="Verdana" w:cs="Arial"/>
          <w:lang w:val="es-ES" w:eastAsia="x-none"/>
        </w:rPr>
        <w:t xml:space="preserve">, </w:t>
      </w:r>
      <w:r w:rsidRPr="00FC6F34">
        <w:rPr>
          <w:rFonts w:ascii="Verdana" w:hAnsi="Verdana" w:cs="Arial"/>
          <w:lang w:val="es-ES" w:eastAsia="x-none"/>
        </w:rPr>
        <w:t>de servicios públicos y ecológic</w:t>
      </w:r>
      <w:r>
        <w:rPr>
          <w:rFonts w:ascii="Verdana" w:hAnsi="Verdana" w:cs="Arial"/>
          <w:lang w:val="es-ES" w:eastAsia="x-none"/>
        </w:rPr>
        <w:t>as</w:t>
      </w:r>
      <w:r w:rsidRPr="00FC6F34">
        <w:rPr>
          <w:rFonts w:ascii="Verdana" w:hAnsi="Verdana" w:cs="Arial"/>
          <w:lang w:val="es-ES" w:eastAsia="x-none"/>
        </w:rPr>
        <w:t>, que tienden a no limitar desproporcionadamente la acción del Estado en el cumplimiento de sus fines, en procura de la igualdad entre los candidatos como garantía electoral.</w:t>
      </w:r>
    </w:p>
    <w:p w14:paraId="59E6F600" w14:textId="77777777" w:rsidR="0079237F" w:rsidRPr="00FC6F34" w:rsidRDefault="0079237F" w:rsidP="0079237F">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0C784E3F" w14:textId="77777777" w:rsidR="0079237F" w:rsidRPr="00FC6F34" w:rsidRDefault="0079237F" w:rsidP="0079237F">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23"/>
      </w:r>
      <w:r w:rsidRPr="00FC6F34">
        <w:rPr>
          <w:rFonts w:ascii="Verdana" w:hAnsi="Verdana" w:cs="Arial"/>
          <w:color w:val="000000" w:themeColor="text1"/>
          <w:sz w:val="20"/>
          <w:szCs w:val="20"/>
          <w:lang w:val="es-ES" w:eastAsia="es-CO"/>
        </w:rPr>
        <w:t xml:space="preserve">”. </w:t>
      </w:r>
    </w:p>
    <w:p w14:paraId="7E5E7E1B" w14:textId="77777777" w:rsidR="0079237F" w:rsidRPr="00FC6F34" w:rsidRDefault="0079237F" w:rsidP="0079237F">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FC6F34">
        <w:rPr>
          <w:rFonts w:ascii="Verdana" w:hAnsi="Verdana" w:cs="Arial"/>
          <w:bCs/>
          <w:color w:val="000000" w:themeColor="text1"/>
          <w:lang w:val="es-ES"/>
        </w:rPr>
        <w:t xml:space="preserve">ey de </w:t>
      </w:r>
      <w:r>
        <w:rPr>
          <w:rFonts w:ascii="Verdana" w:hAnsi="Verdana" w:cs="Arial"/>
          <w:bCs/>
          <w:color w:val="000000" w:themeColor="text1"/>
          <w:lang w:val="es-ES"/>
        </w:rPr>
        <w:t>G</w:t>
      </w:r>
      <w:r w:rsidRPr="00FC6F34">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FC6F34">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0A18CCFF" w14:textId="77777777" w:rsidR="0079237F" w:rsidRPr="00FC6F34" w:rsidRDefault="0079237F" w:rsidP="0079237F">
      <w:pPr>
        <w:tabs>
          <w:tab w:val="left" w:pos="426"/>
        </w:tabs>
        <w:spacing w:after="0" w:line="276" w:lineRule="auto"/>
        <w:ind w:firstLine="709"/>
        <w:jc w:val="both"/>
        <w:rPr>
          <w:rFonts w:ascii="Verdana" w:hAnsi="Verdana" w:cs="Arial"/>
          <w:color w:val="000000" w:themeColor="text1"/>
          <w:lang w:val="es-ES"/>
        </w:rPr>
      </w:pPr>
    </w:p>
    <w:p w14:paraId="747CF76C" w14:textId="77777777" w:rsidR="0079237F" w:rsidRPr="00FC6F34" w:rsidRDefault="0079237F" w:rsidP="0079237F">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792CF18D" w14:textId="77777777" w:rsidR="0079237F" w:rsidRPr="00FC6F34" w:rsidRDefault="0079237F" w:rsidP="0079237F">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Ahora bien, las únicas excepciones a las disposiciones previstas en la Ley de Garantías se encuentran numeradas taxativamente en el último inciso del artículo 33 de la ley 996 de 2005[…]</w:t>
      </w:r>
      <w:r w:rsidRPr="00FC6F34">
        <w:rPr>
          <w:rFonts w:ascii="Verdana" w:hAnsi="Verdana" w:cs="Arial"/>
          <w:color w:val="000000" w:themeColor="text1"/>
          <w:sz w:val="20"/>
          <w:szCs w:val="20"/>
          <w:shd w:val="clear" w:color="auto" w:fill="FFFFFF"/>
          <w:vertAlign w:val="superscript"/>
          <w:lang w:val="es-ES"/>
        </w:rPr>
        <w:footnoteReference w:id="24"/>
      </w:r>
      <w:r w:rsidRPr="00FC6F34">
        <w:rPr>
          <w:rFonts w:ascii="Verdana" w:hAnsi="Verdana" w:cs="Arial"/>
          <w:color w:val="000000" w:themeColor="text1"/>
          <w:sz w:val="20"/>
          <w:szCs w:val="20"/>
          <w:shd w:val="clear" w:color="auto" w:fill="FFFFFF"/>
          <w:lang w:val="es-ES"/>
        </w:rPr>
        <w:t>.</w:t>
      </w:r>
    </w:p>
    <w:p w14:paraId="4C3BB039" w14:textId="77777777" w:rsidR="0079237F" w:rsidRPr="00FC6F34" w:rsidRDefault="0079237F" w:rsidP="0079237F">
      <w:pPr>
        <w:spacing w:after="0"/>
        <w:ind w:left="709" w:right="709"/>
        <w:jc w:val="both"/>
        <w:rPr>
          <w:rFonts w:ascii="Verdana" w:hAnsi="Verdana" w:cs="Arial"/>
          <w:color w:val="000000" w:themeColor="text1"/>
          <w:sz w:val="20"/>
          <w:szCs w:val="20"/>
          <w:shd w:val="clear" w:color="auto" w:fill="FFFFFF"/>
          <w:lang w:val="es-ES"/>
        </w:rPr>
      </w:pPr>
    </w:p>
    <w:p w14:paraId="28E45A3E" w14:textId="77777777" w:rsidR="0079237F" w:rsidRDefault="0079237F" w:rsidP="0079237F">
      <w:pPr>
        <w:tabs>
          <w:tab w:val="left" w:pos="426"/>
        </w:tabs>
        <w:spacing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r>
        <w:rPr>
          <w:rFonts w:ascii="Verdana" w:hAnsi="Verdana" w:cs="Arial"/>
          <w:bCs/>
          <w:color w:val="000000" w:themeColor="text1"/>
          <w:lang w:val="es-ES"/>
        </w:rPr>
        <w:lastRenderedPageBreak/>
        <w:t xml:space="preserve">Corresponderá a cada entidad analizar y justificar en cada caso concreto si se configura alguna de las excepciones referidas. Cuando esto ocurra, podrá adelantar el proceso de </w:t>
      </w:r>
      <w:proofErr w:type="gramStart"/>
      <w:r>
        <w:rPr>
          <w:rFonts w:ascii="Verdana" w:hAnsi="Verdana" w:cs="Arial"/>
          <w:bCs/>
          <w:color w:val="000000" w:themeColor="text1"/>
          <w:lang w:val="es-ES"/>
        </w:rPr>
        <w:t>contratación</w:t>
      </w:r>
      <w:proofErr w:type="gramEnd"/>
      <w:r>
        <w:rPr>
          <w:rFonts w:ascii="Verdana" w:hAnsi="Verdana" w:cs="Arial"/>
          <w:bCs/>
          <w:color w:val="000000" w:themeColor="text1"/>
          <w:lang w:val="es-ES"/>
        </w:rPr>
        <w:t xml:space="preserve"> aunque se encuentre en curso el periodo de la prohibición. </w:t>
      </w:r>
    </w:p>
    <w:p w14:paraId="5B66C6B3" w14:textId="77777777" w:rsidR="0079237F" w:rsidRPr="00EC756F" w:rsidRDefault="0079237F" w:rsidP="0079237F">
      <w:pPr>
        <w:tabs>
          <w:tab w:val="left" w:pos="426"/>
        </w:tabs>
        <w:spacing w:after="0" w:line="276" w:lineRule="auto"/>
        <w:ind w:firstLine="709"/>
        <w:jc w:val="both"/>
        <w:rPr>
          <w:rFonts w:ascii="Verdana" w:hAnsi="Verdana" w:cs="Arial"/>
          <w:bCs/>
          <w:color w:val="000000" w:themeColor="text1"/>
          <w:lang w:val="es-ES"/>
        </w:rPr>
      </w:pPr>
    </w:p>
    <w:p w14:paraId="10E1BA7D" w14:textId="77777777" w:rsidR="0079237F" w:rsidRPr="005B7D25" w:rsidRDefault="0079237F" w:rsidP="0079237F">
      <w:pPr>
        <w:spacing w:after="0" w:line="276" w:lineRule="auto"/>
        <w:jc w:val="both"/>
        <w:rPr>
          <w:rFonts w:ascii="Verdana" w:hAnsi="Verdana" w:cs="Arial"/>
          <w:bCs/>
          <w:lang w:val="es-ES" w:eastAsia="es-CO"/>
        </w:rPr>
      </w:pPr>
      <w:r>
        <w:rPr>
          <w:rFonts w:ascii="Verdana" w:eastAsia="Arial" w:hAnsi="Verdana" w:cs="Arial"/>
          <w:bCs/>
          <w:color w:val="000000" w:themeColor="text1"/>
          <w:lang w:val="es-ES"/>
        </w:rPr>
        <w:t xml:space="preserve">vi) </w:t>
      </w:r>
      <w:r>
        <w:rPr>
          <w:rFonts w:ascii="Verdana" w:eastAsia="Arial" w:hAnsi="Verdana" w:cs="Arial"/>
          <w:color w:val="000000" w:themeColor="text1"/>
        </w:rPr>
        <w:t xml:space="preserve">De lo anterior se evidencia que la celebración de convenios o contratos cuyo proceso no implique una convocatoria abiertas y competencia entre pluralidad de oferentes, se encuentra prohibida en el marco del artículo 33 de la Ley 996 de 2005, pues esta norma cobija a </w:t>
      </w:r>
      <w:r w:rsidRPr="00E87A55">
        <w:rPr>
          <w:rFonts w:ascii="Verdana" w:eastAsia="Arial" w:hAnsi="Verdana" w:cs="Arial"/>
          <w:i/>
          <w:color w:val="000000" w:themeColor="text1"/>
        </w:rPr>
        <w:t>cualquier</w:t>
      </w:r>
      <w:r>
        <w:rPr>
          <w:rFonts w:ascii="Verdana" w:eastAsia="Arial" w:hAnsi="Verdana" w:cs="Arial"/>
          <w:color w:val="000000" w:themeColor="text1"/>
        </w:rPr>
        <w:t xml:space="preserve"> contrato o convenio que celebren las entidades de forma directa. Este será el caso, siempre que no se configure alguna de las excepciones establecidas en dicho artículo</w:t>
      </w:r>
      <w:r>
        <w:rPr>
          <w:rFonts w:ascii="Verdana" w:eastAsia="Arial" w:hAnsi="Verdana" w:cs="Arial"/>
          <w:bCs/>
          <w:color w:val="000000" w:themeColor="text1"/>
          <w:lang w:val="es-ES"/>
        </w:rPr>
        <w:t>, supuesto en el cual la entidad podrá llevar a cabo la contratación directa, a pesar de que haya iniciado el periodo de garantías electorales correspondiente al artículo 33 de la Ley 996 de 2005.</w:t>
      </w:r>
    </w:p>
    <w:p w14:paraId="3EBC11BF" w14:textId="77777777" w:rsidR="0079237F" w:rsidRPr="008B724A" w:rsidRDefault="0079237F" w:rsidP="0079237F">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Adicionalmente, 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proofErr w:type="gramStart"/>
      <w:r w:rsidRPr="000C77A8">
        <w:rPr>
          <w:rFonts w:ascii="Verdana" w:eastAsia="Arial" w:hAnsi="Verdana" w:cs="Arial"/>
          <w:bCs/>
          <w:color w:val="000000" w:themeColor="text1"/>
        </w:rPr>
        <w:t>Alcaldes</w:t>
      </w:r>
      <w:proofErr w:type="gramEnd"/>
      <w:r w:rsidRPr="000C77A8">
        <w:rPr>
          <w:rFonts w:ascii="Verdana" w:eastAsia="Arial" w:hAnsi="Verdana" w:cs="Arial"/>
          <w:bCs/>
          <w:color w:val="000000" w:themeColor="text1"/>
        </w:rPr>
        <w:t xml:space="preserve">, Gobernadores, </w:t>
      </w:r>
      <w:proofErr w:type="gramStart"/>
      <w:r w:rsidRPr="000C77A8">
        <w:rPr>
          <w:rFonts w:ascii="Verdana" w:eastAsia="Arial" w:hAnsi="Verdana" w:cs="Arial"/>
          <w:bCs/>
          <w:color w:val="000000" w:themeColor="text1"/>
        </w:rPr>
        <w:t>Secretarios</w:t>
      </w:r>
      <w:proofErr w:type="gramEnd"/>
      <w:r w:rsidRPr="000C77A8">
        <w:rPr>
          <w:rFonts w:ascii="Verdana" w:eastAsia="Arial" w:hAnsi="Verdana" w:cs="Arial"/>
          <w:bCs/>
          <w:color w:val="000000" w:themeColor="text1"/>
        </w:rPr>
        <w:t xml:space="preserve">, Gerentes y </w:t>
      </w:r>
      <w:proofErr w:type="gramStart"/>
      <w:r w:rsidRPr="000C77A8">
        <w:rPr>
          <w:rFonts w:ascii="Verdana" w:eastAsia="Arial" w:hAnsi="Verdana" w:cs="Arial"/>
          <w:bCs/>
          <w:color w:val="000000" w:themeColor="text1"/>
        </w:rPr>
        <w:t>Directores</w:t>
      </w:r>
      <w:proofErr w:type="gramEnd"/>
      <w:r w:rsidRPr="000C77A8">
        <w:rPr>
          <w:rFonts w:ascii="Verdana" w:eastAsia="Arial" w:hAnsi="Verdana" w:cs="Arial"/>
          <w:bCs/>
          <w:color w:val="000000" w:themeColor="text1"/>
        </w:rPr>
        <w:t xml:space="preserve"> de las entidades del orden municipal, departamental o distrital</w:t>
      </w:r>
      <w:r>
        <w:rPr>
          <w:rFonts w:ascii="Verdana" w:eastAsia="Arial" w:hAnsi="Verdana" w:cs="Arial"/>
          <w:bCs/>
          <w:color w:val="000000" w:themeColor="text1"/>
        </w:rPr>
        <w:t>”; así 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si lo que pretende adelantar es un convenio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w:t>
      </w:r>
      <w:proofErr w:type="gramStart"/>
      <w:r>
        <w:rPr>
          <w:rFonts w:ascii="Verdana" w:eastAsia="Arial" w:hAnsi="Verdana" w:cs="Arial"/>
          <w:bCs/>
          <w:color w:val="000000" w:themeColor="text1"/>
          <w:lang w:val="es-ES"/>
        </w:rPr>
        <w:t>aplicará</w:t>
      </w:r>
      <w:proofErr w:type="gramEnd"/>
      <w:r>
        <w:rPr>
          <w:rFonts w:ascii="Verdana" w:eastAsia="Arial" w:hAnsi="Verdana" w:cs="Arial"/>
          <w:bCs/>
          <w:color w:val="000000" w:themeColor="text1"/>
          <w:lang w:val="es-ES"/>
        </w:rPr>
        <w:t xml:space="preserve"> aunque se configuren las excepciones establecidas para el artículo 33. </w:t>
      </w:r>
    </w:p>
    <w:p w14:paraId="5001990A" w14:textId="77777777" w:rsidR="0079237F" w:rsidRPr="000F22B6" w:rsidRDefault="0079237F" w:rsidP="0079237F">
      <w:pPr>
        <w:shd w:val="clear" w:color="auto" w:fill="FFFFFF"/>
        <w:spacing w:after="120" w:line="276" w:lineRule="auto"/>
        <w:ind w:firstLine="708"/>
        <w:jc w:val="both"/>
        <w:rPr>
          <w:rFonts w:ascii="Verdana" w:hAnsi="Verdana" w:cs="Arial"/>
          <w:lang w:val="es-ES" w:eastAsia="es-CO"/>
        </w:rPr>
      </w:pPr>
      <w:r>
        <w:rPr>
          <w:rFonts w:ascii="Verdana" w:eastAsia="Calibri" w:hAnsi="Verdana" w:cs="Arial"/>
          <w:lang w:val="es-ES"/>
        </w:rPr>
        <w:t xml:space="preserve">En cualquier caso, </w:t>
      </w:r>
      <w:r w:rsidRPr="00584759">
        <w:rPr>
          <w:rFonts w:ascii="Verdana" w:eastAsia="Calibri" w:hAnsi="Verdana" w:cs="Arial"/>
          <w:lang w:val="es-ES"/>
        </w:rPr>
        <w:t xml:space="preserve">corresponde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análisis para determinar si aplica o no una determinada excepción</w:t>
      </w:r>
      <w:r>
        <w:rPr>
          <w:rFonts w:ascii="Verdana" w:eastAsia="Calibri" w:hAnsi="Verdana" w:cs="Arial"/>
          <w:lang w:val="es-ES"/>
        </w:rPr>
        <w:t xml:space="preserve"> a la prohibición del artículo 33 de la Ley de Garantías</w:t>
      </w:r>
      <w:r w:rsidRPr="00584759">
        <w:rPr>
          <w:rFonts w:ascii="Verdana" w:eastAsia="Calibri" w:hAnsi="Verdana" w:cs="Arial"/>
          <w:lang w:val="es-ES"/>
        </w:rPr>
        <w:t xml:space="preserve"> </w:t>
      </w:r>
      <w:r>
        <w:rPr>
          <w:rFonts w:ascii="Verdana" w:eastAsia="Calibri" w:hAnsi="Verdana" w:cs="Arial"/>
          <w:lang w:val="es-ES"/>
        </w:rPr>
        <w:t xml:space="preserve">Electorales, según </w:t>
      </w:r>
      <w:r w:rsidRPr="00584759">
        <w:rPr>
          <w:rFonts w:ascii="Verdana" w:eastAsia="Calibri" w:hAnsi="Verdana" w:cs="Arial"/>
          <w:lang w:val="es-ES"/>
        </w:rPr>
        <w:t>la situación fáctica y jurídica particular del caso concreto, para lo cual las consideraciones expuestas en el presente concepto constituyen un instrumento orientador</w:t>
      </w:r>
      <w:r>
        <w:rPr>
          <w:rFonts w:ascii="Verdana" w:eastAsia="Calibri" w:hAnsi="Verdana" w:cs="Arial"/>
          <w:lang w:val="es-ES"/>
        </w:rPr>
        <w:t>.</w:t>
      </w:r>
      <w:r>
        <w:rPr>
          <w:rFonts w:ascii="Verdana" w:hAnsi="Verdana" w:cs="Arial"/>
          <w:lang w:val="es-ES" w:eastAsia="es-CO"/>
        </w:rPr>
        <w:t xml:space="preserve"> 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implementar tipologías diferentes a los convenios interadministrativos</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6858E780" w14:textId="77777777" w:rsidR="0079237F" w:rsidRPr="00584759" w:rsidRDefault="0079237F" w:rsidP="0079237F">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w:t>
      </w:r>
      <w:r>
        <w:rPr>
          <w:rFonts w:ascii="Verdana" w:eastAsia="Times New Roman" w:hAnsi="Verdana" w:cs="Arial"/>
          <w:lang w:val="es-ES"/>
        </w:rPr>
        <w:t xml:space="preserve">a las entidades </w:t>
      </w:r>
      <w:r w:rsidRPr="00FC6F34">
        <w:rPr>
          <w:rFonts w:ascii="Verdana" w:eastAsia="Times New Roman" w:hAnsi="Verdana" w:cs="Arial"/>
          <w:lang w:val="es-ES"/>
        </w:rPr>
        <w:t>que considera</w:t>
      </w:r>
      <w:r>
        <w:rPr>
          <w:rFonts w:ascii="Verdana" w:eastAsia="Times New Roman" w:hAnsi="Verdana" w:cs="Arial"/>
          <w:lang w:val="es-ES"/>
        </w:rPr>
        <w:t>n</w:t>
      </w:r>
      <w:r w:rsidRPr="00FC6F34">
        <w:rPr>
          <w:rFonts w:ascii="Verdana" w:eastAsia="Times New Roman" w:hAnsi="Verdana" w:cs="Arial"/>
          <w:lang w:val="es-ES"/>
        </w:rPr>
        <w:t xml:space="preserve"> celebrar un contrato </w:t>
      </w:r>
      <w:r>
        <w:rPr>
          <w:rFonts w:ascii="Verdana" w:eastAsia="Times New Roman" w:hAnsi="Verdana" w:cs="Arial"/>
          <w:lang w:val="es-ES"/>
        </w:rPr>
        <w:t xml:space="preserve">o convenio </w:t>
      </w:r>
      <w:r w:rsidRPr="00FC6F34">
        <w:rPr>
          <w:rFonts w:ascii="Verdana" w:eastAsia="Times New Roman" w:hAnsi="Verdana" w:cs="Arial"/>
          <w:lang w:val="es-ES"/>
        </w:rPr>
        <w:t>específico definir si se enmarca</w:t>
      </w:r>
      <w:r>
        <w:rPr>
          <w:rFonts w:ascii="Verdana" w:eastAsia="Times New Roman" w:hAnsi="Verdana" w:cs="Arial"/>
          <w:lang w:val="es-ES"/>
        </w:rPr>
        <w:t xml:space="preserve"> en </w:t>
      </w:r>
      <w:r>
        <w:rPr>
          <w:rFonts w:ascii="Verdana" w:eastAsia="Times New Roman" w:hAnsi="Verdana" w:cs="Arial"/>
          <w:lang w:val="es-ES"/>
        </w:rPr>
        <w:lastRenderedPageBreak/>
        <w:t>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35B615A8" w14:textId="77777777" w:rsidR="0079237F" w:rsidRPr="00FC6F34" w:rsidRDefault="0079237F" w:rsidP="0079237F">
      <w:pPr>
        <w:spacing w:after="0" w:line="276" w:lineRule="auto"/>
        <w:ind w:firstLine="708"/>
        <w:jc w:val="both"/>
        <w:rPr>
          <w:rFonts w:ascii="Verdana" w:eastAsia="Calibri" w:hAnsi="Verdana" w:cs="Arial"/>
          <w:lang w:val="es-ES"/>
        </w:rPr>
      </w:pPr>
    </w:p>
    <w:bookmarkEnd w:id="1"/>
    <w:bookmarkEnd w:id="2"/>
    <w:p w14:paraId="2569A70C" w14:textId="77777777" w:rsidR="0079237F" w:rsidRPr="00FC6F34" w:rsidRDefault="0079237F" w:rsidP="0079237F">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613A491B" w14:textId="77777777" w:rsidR="0079237F" w:rsidRPr="00FC6F34" w:rsidRDefault="0079237F" w:rsidP="0079237F">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9237F" w:rsidRPr="00FC6F34" w14:paraId="68C4EB55" w14:textId="77777777" w:rsidTr="00517DD2">
        <w:trPr>
          <w:trHeight w:val="870"/>
        </w:trPr>
        <w:tc>
          <w:tcPr>
            <w:tcW w:w="8647" w:type="dxa"/>
          </w:tcPr>
          <w:p w14:paraId="1413712B" w14:textId="77777777" w:rsidR="0079237F" w:rsidRPr="00FC6F34" w:rsidRDefault="0079237F" w:rsidP="0079237F">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lang w:val="es-ES" w:eastAsia="es-ES" w:bidi="es-ES"/>
              </w:rPr>
              <w:t xml:space="preserve">Ley 80 de 1993, artículos 39, 41. </w:t>
            </w:r>
          </w:p>
          <w:p w14:paraId="48E948BA" w14:textId="77777777" w:rsidR="0079237F" w:rsidRPr="00FC6F34" w:rsidRDefault="0079237F" w:rsidP="0079237F">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 xml:space="preserve">Ley 996 de 2005: artículos 33 y </w:t>
            </w:r>
            <w:r>
              <w:rPr>
                <w:rFonts w:ascii="Verdana" w:eastAsia="Arial MT" w:hAnsi="Verdana" w:cs="Arial"/>
                <w:bCs/>
                <w:lang w:val="es-ES" w:eastAsia="es-ES" w:bidi="es-ES"/>
              </w:rPr>
              <w:t>parágrafo del artículo</w:t>
            </w:r>
            <w:r w:rsidRPr="00FC6F34">
              <w:rPr>
                <w:rFonts w:ascii="Verdana" w:eastAsia="Arial MT" w:hAnsi="Verdana" w:cs="Arial"/>
                <w:bCs/>
                <w:lang w:val="es-ES" w:eastAsia="es-ES" w:bidi="es-ES"/>
              </w:rPr>
              <w:t>38.</w:t>
            </w:r>
          </w:p>
          <w:p w14:paraId="3897D3B3" w14:textId="77777777" w:rsidR="0079237F" w:rsidRPr="00FC6F34" w:rsidRDefault="0079237F" w:rsidP="0079237F">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 xml:space="preserve">Ley 1150 de 2007, </w:t>
            </w:r>
            <w:r w:rsidRPr="00FC6F34">
              <w:rPr>
                <w:rFonts w:ascii="Verdana" w:eastAsia="Arial MT" w:hAnsi="Verdana" w:cs="Arial"/>
                <w:lang w:val="es-ES" w:eastAsia="es-ES" w:bidi="es-ES"/>
              </w:rPr>
              <w:t xml:space="preserve">Artículo 2, numeral 4. </w:t>
            </w:r>
          </w:p>
          <w:p w14:paraId="33A1427C" w14:textId="77777777" w:rsidR="0079237F" w:rsidRPr="00FC6F34" w:rsidRDefault="0079237F" w:rsidP="0079237F">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4C805B53" w14:textId="77777777" w:rsidR="0079237F" w:rsidRPr="00FC6F34" w:rsidRDefault="0079237F" w:rsidP="0079237F">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733C558B" w14:textId="77777777" w:rsidR="0079237F" w:rsidRPr="00FC6F34" w:rsidRDefault="0079237F" w:rsidP="0079237F">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6CAA9FE4" w14:textId="77777777" w:rsidR="0079237F" w:rsidRPr="00FC6F34" w:rsidRDefault="0079237F" w:rsidP="0079237F">
            <w:pPr>
              <w:widowControl w:val="0"/>
              <w:numPr>
                <w:ilvl w:val="0"/>
                <w:numId w:val="16"/>
              </w:numPr>
              <w:autoSpaceDE w:val="0"/>
              <w:autoSpaceDN w:val="0"/>
              <w:spacing w:after="12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p>
        </w:tc>
      </w:tr>
    </w:tbl>
    <w:p w14:paraId="6584FF4F" w14:textId="77777777" w:rsidR="0079237F" w:rsidRPr="00FC6F34" w:rsidRDefault="0079237F" w:rsidP="0079237F">
      <w:pPr>
        <w:widowControl w:val="0"/>
        <w:autoSpaceDE w:val="0"/>
        <w:autoSpaceDN w:val="0"/>
        <w:spacing w:after="0" w:line="276" w:lineRule="auto"/>
        <w:jc w:val="both"/>
        <w:rPr>
          <w:rFonts w:ascii="Verdana" w:hAnsi="Verdana" w:cs="Arial"/>
          <w:color w:val="000000" w:themeColor="text1"/>
          <w:lang w:val="es-ES"/>
        </w:rPr>
      </w:pPr>
    </w:p>
    <w:p w14:paraId="3A4354F6" w14:textId="77777777" w:rsidR="0079237F" w:rsidRPr="00FC6F34" w:rsidRDefault="0079237F" w:rsidP="0079237F">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441F4459" w14:textId="77777777" w:rsidR="0079237F" w:rsidRPr="00FC6F34" w:rsidRDefault="0079237F" w:rsidP="0079237F">
      <w:pPr>
        <w:widowControl w:val="0"/>
        <w:autoSpaceDE w:val="0"/>
        <w:autoSpaceDN w:val="0"/>
        <w:spacing w:after="0" w:line="276" w:lineRule="auto"/>
        <w:jc w:val="both"/>
        <w:rPr>
          <w:rFonts w:ascii="Verdana" w:hAnsi="Verdana" w:cs="Arial"/>
          <w:color w:val="000000" w:themeColor="text1"/>
          <w:lang w:val="es-ES"/>
        </w:rPr>
      </w:pPr>
    </w:p>
    <w:p w14:paraId="7E8DE225" w14:textId="77777777" w:rsidR="0079237F" w:rsidRPr="00982071" w:rsidRDefault="0079237F" w:rsidP="0079237F">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w:t>
      </w:r>
      <w:r w:rsidRPr="00FC6F34">
        <w:rPr>
          <w:rFonts w:ascii="Verdana" w:hAnsi="Verdana" w:cs="Arial"/>
          <w:shd w:val="clear" w:color="auto" w:fill="FFFFFF"/>
          <w:lang w:val="es-ES"/>
        </w:rPr>
        <w:lastRenderedPageBreak/>
        <w:t>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xml:space="preserve">, entre otros.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2"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2429A126" w14:textId="77777777" w:rsidR="0079237F" w:rsidRPr="003E2460" w:rsidRDefault="0079237F" w:rsidP="0079237F">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C180472" w14:textId="77777777" w:rsidR="0079237F" w:rsidRPr="003E2460" w:rsidRDefault="0079237F" w:rsidP="0079237F">
      <w:pPr>
        <w:spacing w:after="0" w:line="276" w:lineRule="auto"/>
        <w:jc w:val="both"/>
        <w:rPr>
          <w:rFonts w:ascii="Verdana" w:hAnsi="Verdana"/>
        </w:rPr>
      </w:pPr>
    </w:p>
    <w:p w14:paraId="706F7ADA" w14:textId="77777777" w:rsidR="0079237F" w:rsidRPr="003E2460" w:rsidRDefault="0079237F" w:rsidP="0079237F">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7FC8FDB2" w14:textId="77777777" w:rsidR="0079237F" w:rsidRPr="003E2460" w:rsidRDefault="0079237F" w:rsidP="0079237F">
      <w:pPr>
        <w:spacing w:after="0" w:line="276"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5CB98348" w14:textId="77777777" w:rsidR="0079237F" w:rsidRPr="003E2460" w:rsidRDefault="0079237F" w:rsidP="0079237F">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53EE5778" w14:textId="77777777" w:rsidR="0079237F" w:rsidRDefault="0079237F" w:rsidP="0079237F">
      <w:pPr>
        <w:widowControl w:val="0"/>
        <w:autoSpaceDE w:val="0"/>
        <w:autoSpaceDN w:val="0"/>
        <w:spacing w:after="0" w:line="276" w:lineRule="auto"/>
        <w:jc w:val="both"/>
        <w:rPr>
          <w:rFonts w:ascii="Verdana" w:hAnsi="Verdana" w:cs="Arial"/>
          <w:lang w:val="es-ES"/>
        </w:rPr>
      </w:pPr>
    </w:p>
    <w:p w14:paraId="799E6929" w14:textId="77777777" w:rsidR="0079237F" w:rsidRPr="00FC6F34" w:rsidRDefault="0079237F" w:rsidP="0079237F">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D35508A" w14:textId="10288768" w:rsidR="0079237F" w:rsidRPr="00FC6F34" w:rsidRDefault="0079237F" w:rsidP="0079237F">
      <w:pPr>
        <w:widowControl w:val="0"/>
        <w:autoSpaceDE w:val="0"/>
        <w:autoSpaceDN w:val="0"/>
        <w:spacing w:after="0" w:line="276" w:lineRule="auto"/>
        <w:jc w:val="both"/>
        <w:rPr>
          <w:rFonts w:ascii="Verdana" w:hAnsi="Verdana" w:cs="Arial"/>
          <w:lang w:val="es-ES"/>
        </w:rPr>
      </w:pPr>
    </w:p>
    <w:p w14:paraId="115FA7B6" w14:textId="5D6C893B" w:rsidR="0079237F" w:rsidRPr="00FC6F34" w:rsidRDefault="00C818EF" w:rsidP="0079237F">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2336" behindDoc="0" locked="0" layoutInCell="1" allowOverlap="1" wp14:anchorId="7D57B3FC" wp14:editId="1CDB19C6">
            <wp:simplePos x="0" y="0"/>
            <wp:positionH relativeFrom="column">
              <wp:posOffset>1047136</wp:posOffset>
            </wp:positionH>
            <wp:positionV relativeFrom="page">
              <wp:posOffset>5996653</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r w:rsidR="0079237F" w:rsidRPr="00FC6F34">
        <w:rPr>
          <w:rFonts w:ascii="Verdana" w:eastAsia="Times New Roman" w:hAnsi="Verdana" w:cs="Arial"/>
          <w:color w:val="000000" w:themeColor="text1"/>
          <w:lang w:val="es-ES" w:eastAsia="es-CO"/>
        </w:rPr>
        <w:t>Atentamente,</w:t>
      </w:r>
      <w:r w:rsidR="0079237F" w:rsidRPr="00FC6F34">
        <w:rPr>
          <w:rFonts w:ascii="Verdana" w:hAnsi="Verdana" w:cs="Arial"/>
          <w:color w:val="000000" w:themeColor="text1"/>
          <w:lang w:val="es-ES" w:eastAsia="es-CO"/>
        </w:rPr>
        <w:t xml:space="preserve"> </w:t>
      </w:r>
    </w:p>
    <w:p w14:paraId="1DB1A1F9" w14:textId="08A33A05" w:rsidR="0079237F" w:rsidRPr="00FC6F34" w:rsidRDefault="0079237F" w:rsidP="0079237F">
      <w:pPr>
        <w:spacing w:after="0" w:line="276" w:lineRule="auto"/>
        <w:rPr>
          <w:rFonts w:ascii="Verdana" w:hAnsi="Verdana" w:cs="Arial"/>
          <w:color w:val="000000" w:themeColor="text1"/>
          <w:lang w:val="es-ES" w:eastAsia="es-CO"/>
        </w:rPr>
      </w:pPr>
    </w:p>
    <w:p w14:paraId="429F916B" w14:textId="277C0F88" w:rsidR="0079237F" w:rsidRPr="00FC6F34" w:rsidRDefault="0079237F" w:rsidP="0079237F">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9237F" w:rsidRPr="00FC6F34" w14:paraId="6108AFDE" w14:textId="77777777" w:rsidTr="00517DD2">
        <w:trPr>
          <w:trHeight w:val="315"/>
        </w:trPr>
        <w:tc>
          <w:tcPr>
            <w:tcW w:w="893" w:type="dxa"/>
            <w:vAlign w:val="center"/>
            <w:hideMark/>
          </w:tcPr>
          <w:p w14:paraId="7E9A860A" w14:textId="77777777" w:rsidR="0079237F" w:rsidRPr="00FC6F34" w:rsidRDefault="0079237F" w:rsidP="00517DD2">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9153B7A" w14:textId="77777777" w:rsidR="0079237F" w:rsidRPr="00FC6F34" w:rsidRDefault="0079237F" w:rsidP="00517DD2">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0E9764F4" w14:textId="77777777" w:rsidR="0079237F" w:rsidRPr="00FC6F34" w:rsidRDefault="0079237F" w:rsidP="00517DD2">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79237F" w:rsidRPr="00FC6F34" w14:paraId="6577413C" w14:textId="77777777" w:rsidTr="00517DD2">
        <w:trPr>
          <w:trHeight w:val="330"/>
        </w:trPr>
        <w:tc>
          <w:tcPr>
            <w:tcW w:w="893" w:type="dxa"/>
            <w:vAlign w:val="center"/>
            <w:hideMark/>
          </w:tcPr>
          <w:p w14:paraId="254FBF93" w14:textId="77777777" w:rsidR="0079237F" w:rsidRPr="00FC6F34" w:rsidRDefault="0079237F" w:rsidP="00517DD2">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7541C4" w14:textId="77777777" w:rsidR="0079237F" w:rsidRPr="00AB21E7" w:rsidRDefault="0079237F" w:rsidP="00517DD2">
            <w:pPr>
              <w:spacing w:line="276" w:lineRule="auto"/>
              <w:contextualSpacing/>
              <w:textAlignment w:val="baseline"/>
              <w:rPr>
                <w:rStyle w:val="normaltextrun"/>
                <w:rFonts w:ascii="Verdana" w:eastAsia="Arial" w:hAnsi="Verdana"/>
                <w:color w:val="000000" w:themeColor="text1"/>
                <w:sz w:val="16"/>
                <w:szCs w:val="16"/>
              </w:rPr>
            </w:pPr>
            <w:r w:rsidRPr="00AB21E7">
              <w:rPr>
                <w:rStyle w:val="normaltextrun"/>
                <w:rFonts w:ascii="Verdana" w:eastAsia="Arial" w:hAnsi="Verdana"/>
                <w:color w:val="000000" w:themeColor="text1"/>
                <w:sz w:val="16"/>
                <w:szCs w:val="16"/>
              </w:rPr>
              <w:t>Alejandro Sarmiento Cantillo</w:t>
            </w:r>
          </w:p>
          <w:p w14:paraId="5068F476" w14:textId="77777777" w:rsidR="0079237F" w:rsidRPr="00FC6F34" w:rsidRDefault="0079237F" w:rsidP="00517DD2">
            <w:pPr>
              <w:pStyle w:val="paragraph"/>
              <w:spacing w:before="0" w:beforeAutospacing="0" w:after="0" w:afterAutospacing="0"/>
              <w:contextualSpacing/>
              <w:textAlignment w:val="baseline"/>
              <w:rPr>
                <w:rFonts w:ascii="Verdana" w:hAnsi="Verdana" w:cs="Segoe UI"/>
                <w:sz w:val="16"/>
                <w:szCs w:val="16"/>
                <w:lang w:val="es-ES"/>
              </w:rPr>
            </w:pPr>
            <w:r w:rsidRPr="00AB21E7">
              <w:rPr>
                <w:rStyle w:val="normaltextrun"/>
                <w:rFonts w:ascii="Verdana" w:eastAsia="Arial" w:hAnsi="Verdana"/>
                <w:color w:val="000000" w:themeColor="text1"/>
                <w:sz w:val="16"/>
                <w:szCs w:val="16"/>
                <w:lang w:eastAsia="en-US"/>
              </w:rPr>
              <w:t xml:space="preserve">Gestor T1 – 15 </w:t>
            </w:r>
            <w:r w:rsidRPr="00AB21E7">
              <w:rPr>
                <w:rStyle w:val="normaltextrun"/>
                <w:rFonts w:ascii="Verdana" w:eastAsia="Arial" w:hAnsi="Verdana" w:cs="Arial"/>
                <w:color w:val="000000" w:themeColor="text1"/>
                <w:sz w:val="16"/>
                <w:szCs w:val="16"/>
                <w:lang w:val="es-ES" w:eastAsia="en-US"/>
              </w:rPr>
              <w:t>de la Subdirección de Gestión Contractual</w:t>
            </w:r>
            <w:r w:rsidRPr="005474F1">
              <w:rPr>
                <w:rStyle w:val="eop"/>
                <w:rFonts w:ascii="Verdana" w:hAnsi="Verdana" w:cs="Arial"/>
                <w:sz w:val="15"/>
                <w:szCs w:val="15"/>
                <w:lang w:val="es-ES"/>
              </w:rPr>
              <w:t> </w:t>
            </w:r>
          </w:p>
        </w:tc>
      </w:tr>
      <w:tr w:rsidR="0079237F" w:rsidRPr="00FC6F34" w14:paraId="6AE32492" w14:textId="77777777" w:rsidTr="00517DD2">
        <w:trPr>
          <w:trHeight w:val="300"/>
        </w:trPr>
        <w:tc>
          <w:tcPr>
            <w:tcW w:w="893" w:type="dxa"/>
            <w:vAlign w:val="center"/>
          </w:tcPr>
          <w:p w14:paraId="2B0E89FE" w14:textId="77777777" w:rsidR="0079237F" w:rsidRPr="00FC6F34" w:rsidRDefault="0079237F" w:rsidP="00517DD2">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7D09E07" w14:textId="77777777" w:rsidR="0079237F" w:rsidRPr="00FC6F34" w:rsidRDefault="0079237F" w:rsidP="00517DD2">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494B5AB1" w14:textId="77777777" w:rsidR="0079237F" w:rsidRPr="00FC6F34" w:rsidRDefault="0079237F" w:rsidP="00517DD2">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bookmarkEnd w:id="0"/>
    </w:tbl>
    <w:p w14:paraId="1B08203F" w14:textId="77777777" w:rsidR="0079237F" w:rsidRPr="00FC6F34" w:rsidRDefault="0079237F" w:rsidP="0079237F">
      <w:pPr>
        <w:spacing w:after="0" w:line="240" w:lineRule="auto"/>
        <w:textAlignment w:val="baseline"/>
        <w:rPr>
          <w:rFonts w:ascii="Verdana" w:eastAsia="Times New Roman" w:hAnsi="Verdana" w:cs="Segoe UI"/>
          <w:b/>
          <w:bCs/>
          <w:color w:val="46589C"/>
          <w:lang w:val="es-ES" w:eastAsia="es-CO"/>
        </w:rPr>
      </w:pPr>
    </w:p>
    <w:p w14:paraId="0F293BF4" w14:textId="2DB51E9A" w:rsidR="00127233" w:rsidRPr="007809F3" w:rsidRDefault="00127233" w:rsidP="007809F3"/>
    <w:sectPr w:rsidR="00127233" w:rsidRPr="007809F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CAB57" w14:textId="77777777" w:rsidR="00C16FA6" w:rsidRDefault="00C16FA6" w:rsidP="004A1847">
      <w:pPr>
        <w:spacing w:after="0" w:line="240" w:lineRule="auto"/>
      </w:pPr>
      <w:r>
        <w:separator/>
      </w:r>
    </w:p>
  </w:endnote>
  <w:endnote w:type="continuationSeparator" w:id="0">
    <w:p w14:paraId="22C498B3" w14:textId="77777777" w:rsidR="00C16FA6" w:rsidRDefault="00C16FA6" w:rsidP="004A1847">
      <w:pPr>
        <w:spacing w:after="0" w:line="240" w:lineRule="auto"/>
      </w:pPr>
      <w:r>
        <w:continuationSeparator/>
      </w:r>
    </w:p>
  </w:endnote>
  <w:endnote w:type="continuationNotice" w:id="1">
    <w:p w14:paraId="2FFBA0A3" w14:textId="77777777" w:rsidR="00C16FA6" w:rsidRDefault="00C16F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D1DA0" w14:textId="77777777" w:rsidR="00C16FA6" w:rsidRDefault="00C16FA6" w:rsidP="004A1847">
      <w:pPr>
        <w:spacing w:after="0" w:line="240" w:lineRule="auto"/>
      </w:pPr>
      <w:r>
        <w:separator/>
      </w:r>
    </w:p>
  </w:footnote>
  <w:footnote w:type="continuationSeparator" w:id="0">
    <w:p w14:paraId="71AC0AA4" w14:textId="77777777" w:rsidR="00C16FA6" w:rsidRDefault="00C16FA6" w:rsidP="004A1847">
      <w:pPr>
        <w:spacing w:after="0" w:line="240" w:lineRule="auto"/>
      </w:pPr>
      <w:r>
        <w:continuationSeparator/>
      </w:r>
    </w:p>
  </w:footnote>
  <w:footnote w:type="continuationNotice" w:id="1">
    <w:p w14:paraId="42F1243C" w14:textId="77777777" w:rsidR="00C16FA6" w:rsidRDefault="00C16FA6">
      <w:pPr>
        <w:spacing w:after="0" w:line="240" w:lineRule="auto"/>
      </w:pPr>
    </w:p>
  </w:footnote>
  <w:footnote w:id="2">
    <w:p w14:paraId="0D8BCCF3" w14:textId="77777777" w:rsidR="0079237F" w:rsidRPr="00F507F9" w:rsidRDefault="0079237F" w:rsidP="0079237F">
      <w:pPr>
        <w:pStyle w:val="Textonotapie"/>
        <w:ind w:firstLine="709"/>
        <w:contextualSpacing/>
        <w:jc w:val="both"/>
        <w:rPr>
          <w:rFonts w:ascii="Verdana" w:hAnsi="Verdana" w:cs="Arial"/>
          <w:sz w:val="16"/>
          <w:szCs w:val="16"/>
        </w:rPr>
      </w:pPr>
      <w:r w:rsidRPr="00F507F9">
        <w:rPr>
          <w:rStyle w:val="Refdenotaalpie"/>
          <w:rFonts w:ascii="Verdana" w:hAnsi="Verdana" w:cs="Arial"/>
          <w:sz w:val="16"/>
          <w:szCs w:val="16"/>
        </w:rPr>
        <w:footnoteRef/>
      </w:r>
      <w:r w:rsidRPr="00F507F9">
        <w:rPr>
          <w:rFonts w:ascii="Verdana" w:hAnsi="Verdana" w:cs="Arial"/>
          <w:sz w:val="16"/>
          <w:szCs w:val="16"/>
        </w:rPr>
        <w:t xml:space="preserve"> Consejo de Estado. Sala de Consulta y Servicio Civil. Concepto del 08 de mayo de 2018. Exp. 2.382. C.P. Álvaro Namén Vargas.</w:t>
      </w:r>
    </w:p>
  </w:footnote>
  <w:footnote w:id="3">
    <w:p w14:paraId="474242E5" w14:textId="77777777" w:rsidR="0079237F" w:rsidRPr="006E44C2" w:rsidRDefault="0079237F" w:rsidP="0079237F">
      <w:pPr>
        <w:pStyle w:val="Textonotapie"/>
        <w:ind w:firstLine="708"/>
        <w:rPr>
          <w:rFonts w:ascii="Verdana" w:hAnsi="Verdana"/>
          <w:sz w:val="16"/>
          <w:szCs w:val="16"/>
          <w:lang w:val="es-ES"/>
        </w:rPr>
      </w:pPr>
      <w:r w:rsidRPr="006E44C2">
        <w:rPr>
          <w:rStyle w:val="Refdenotaalpie"/>
          <w:rFonts w:ascii="Verdana" w:hAnsi="Verdana"/>
          <w:sz w:val="16"/>
          <w:szCs w:val="16"/>
        </w:rPr>
        <w:footnoteRef/>
      </w:r>
      <w:r w:rsidRPr="006E44C2">
        <w:rPr>
          <w:rFonts w:ascii="Verdana" w:hAnsi="Verdana"/>
          <w:sz w:val="16"/>
          <w:szCs w:val="16"/>
        </w:rPr>
        <w:t xml:space="preserve"> </w:t>
      </w:r>
      <w:r w:rsidRPr="006E44C2">
        <w:rPr>
          <w:rFonts w:ascii="Verdana" w:hAnsi="Verdana"/>
          <w:sz w:val="16"/>
          <w:szCs w:val="16"/>
          <w:lang w:val="es-CO"/>
        </w:rPr>
        <w:t>Consejo de Estado. Sala de Consulta y Servicio Civil, Concepto de 8 de mayo de 2018. Radicación Número: 11001-03-06-000-2018-00095-00(2382). Consejero Ponente: Álvaro Namén Vargas.</w:t>
      </w:r>
    </w:p>
  </w:footnote>
  <w:footnote w:id="4">
    <w:p w14:paraId="540D2302" w14:textId="77777777" w:rsidR="0079237F" w:rsidRPr="00F507F9" w:rsidRDefault="0079237F" w:rsidP="0079237F">
      <w:pPr>
        <w:pStyle w:val="Textonotapie"/>
        <w:ind w:firstLine="709"/>
        <w:contextualSpacing/>
        <w:jc w:val="both"/>
        <w:rPr>
          <w:rFonts w:ascii="Verdana" w:hAnsi="Verdana" w:cs="Arial"/>
          <w:sz w:val="16"/>
          <w:szCs w:val="16"/>
        </w:rPr>
      </w:pPr>
      <w:r w:rsidRPr="00F507F9">
        <w:rPr>
          <w:rStyle w:val="Refdenotaalpie"/>
          <w:rFonts w:ascii="Verdana" w:hAnsi="Verdana" w:cs="Arial"/>
          <w:sz w:val="16"/>
          <w:szCs w:val="16"/>
        </w:rPr>
        <w:footnoteRef/>
      </w:r>
      <w:r w:rsidRPr="00F507F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704D913" w14:textId="77777777" w:rsidR="0079237F" w:rsidRPr="00F507F9" w:rsidRDefault="0079237F" w:rsidP="0079237F">
      <w:pPr>
        <w:pStyle w:val="Textonotapie"/>
        <w:ind w:firstLine="709"/>
        <w:contextualSpacing/>
        <w:jc w:val="both"/>
        <w:rPr>
          <w:rFonts w:ascii="Verdana" w:hAnsi="Verdana" w:cs="Arial"/>
          <w:sz w:val="16"/>
          <w:szCs w:val="16"/>
        </w:rPr>
      </w:pPr>
      <w:r w:rsidRPr="00F507F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5">
    <w:p w14:paraId="30085D1C" w14:textId="77777777" w:rsidR="0079237F" w:rsidRPr="00F507F9" w:rsidRDefault="0079237F" w:rsidP="0079237F">
      <w:pPr>
        <w:pStyle w:val="Textonotapie"/>
        <w:ind w:firstLine="709"/>
        <w:contextualSpacing/>
        <w:jc w:val="both"/>
        <w:rPr>
          <w:rFonts w:ascii="Verdana" w:hAnsi="Verdana" w:cs="Arial"/>
          <w:sz w:val="16"/>
          <w:szCs w:val="16"/>
        </w:rPr>
      </w:pPr>
      <w:r w:rsidRPr="00F507F9">
        <w:rPr>
          <w:rStyle w:val="Refdenotaalpie"/>
          <w:rFonts w:ascii="Verdana" w:hAnsi="Verdana" w:cs="Arial"/>
          <w:sz w:val="16"/>
          <w:szCs w:val="16"/>
        </w:rPr>
        <w:footnoteRef/>
      </w:r>
      <w:r w:rsidRPr="00F507F9">
        <w:rPr>
          <w:rFonts w:ascii="Verdana" w:hAnsi="Verdana" w:cs="Arial"/>
          <w:sz w:val="16"/>
          <w:szCs w:val="16"/>
        </w:rPr>
        <w:t xml:space="preserve"> Gaceta del Congreso de la República No. 71 del 2005.</w:t>
      </w:r>
    </w:p>
  </w:footnote>
  <w:footnote w:id="6">
    <w:p w14:paraId="4BE8BF48" w14:textId="77777777" w:rsidR="0079237F" w:rsidRPr="00F507F9" w:rsidRDefault="0079237F" w:rsidP="0079237F">
      <w:pPr>
        <w:pStyle w:val="Textonotapie"/>
        <w:ind w:firstLine="709"/>
        <w:contextualSpacing/>
        <w:jc w:val="both"/>
        <w:rPr>
          <w:rFonts w:ascii="Verdana" w:hAnsi="Verdana" w:cs="Arial"/>
          <w:sz w:val="16"/>
          <w:szCs w:val="16"/>
          <w:lang w:val="pt-BR"/>
        </w:rPr>
      </w:pPr>
      <w:r w:rsidRPr="00F507F9">
        <w:rPr>
          <w:rStyle w:val="Refdenotaalpie"/>
          <w:rFonts w:ascii="Verdana" w:hAnsi="Verdana" w:cs="Arial"/>
          <w:sz w:val="16"/>
          <w:szCs w:val="16"/>
        </w:rPr>
        <w:footnoteRef/>
      </w:r>
      <w:r w:rsidRPr="00F507F9">
        <w:rPr>
          <w:rFonts w:ascii="Verdana" w:hAnsi="Verdana" w:cs="Arial"/>
          <w:sz w:val="16"/>
          <w:szCs w:val="16"/>
          <w:lang w:val="pt-BR"/>
        </w:rPr>
        <w:t xml:space="preserve"> Corte Constitucional, Sentencia C- 1153 de 2005, M.P. Marco Gerardo </w:t>
      </w:r>
      <w:proofErr w:type="spellStart"/>
      <w:r w:rsidRPr="00F507F9">
        <w:rPr>
          <w:rFonts w:ascii="Verdana" w:hAnsi="Verdana" w:cs="Arial"/>
          <w:sz w:val="16"/>
          <w:szCs w:val="16"/>
          <w:lang w:val="pt-BR"/>
        </w:rPr>
        <w:t>Monroy</w:t>
      </w:r>
      <w:proofErr w:type="spellEnd"/>
      <w:r w:rsidRPr="00F507F9">
        <w:rPr>
          <w:rFonts w:ascii="Verdana" w:hAnsi="Verdana" w:cs="Arial"/>
          <w:sz w:val="16"/>
          <w:szCs w:val="16"/>
          <w:lang w:val="pt-BR"/>
        </w:rPr>
        <w:t xml:space="preserve"> Cabra.</w:t>
      </w:r>
    </w:p>
  </w:footnote>
  <w:footnote w:id="7">
    <w:p w14:paraId="3AFF0B44" w14:textId="77777777" w:rsidR="0079237F" w:rsidRPr="00F507F9" w:rsidRDefault="0079237F" w:rsidP="0079237F">
      <w:pPr>
        <w:pStyle w:val="Textonotapie"/>
        <w:ind w:firstLine="709"/>
        <w:contextualSpacing/>
        <w:jc w:val="both"/>
        <w:rPr>
          <w:rFonts w:ascii="Verdana" w:hAnsi="Verdana" w:cs="Arial"/>
          <w:sz w:val="16"/>
          <w:szCs w:val="16"/>
          <w:lang w:val="pt-BR"/>
        </w:rPr>
      </w:pPr>
      <w:r w:rsidRPr="00F507F9">
        <w:rPr>
          <w:rStyle w:val="Refdenotaalpie"/>
          <w:rFonts w:ascii="Verdana" w:hAnsi="Verdana" w:cs="Arial"/>
          <w:sz w:val="16"/>
          <w:szCs w:val="16"/>
        </w:rPr>
        <w:footnoteRef/>
      </w:r>
      <w:r w:rsidRPr="00F507F9">
        <w:rPr>
          <w:rFonts w:ascii="Verdana" w:hAnsi="Verdana" w:cs="Arial"/>
          <w:sz w:val="16"/>
          <w:szCs w:val="16"/>
          <w:lang w:val="pt-BR"/>
        </w:rPr>
        <w:t xml:space="preserve"> Corte Constitucional. Sentencias: C-233 de 4 de abril de 2002, expediente: D-3704; C-551 de 9 de </w:t>
      </w:r>
      <w:proofErr w:type="spellStart"/>
      <w:r w:rsidRPr="00F507F9">
        <w:rPr>
          <w:rFonts w:ascii="Verdana" w:hAnsi="Verdana" w:cs="Arial"/>
          <w:sz w:val="16"/>
          <w:szCs w:val="16"/>
          <w:lang w:val="pt-BR"/>
        </w:rPr>
        <w:t>julio</w:t>
      </w:r>
      <w:proofErr w:type="spellEnd"/>
      <w:r w:rsidRPr="00F507F9">
        <w:rPr>
          <w:rFonts w:ascii="Verdana" w:hAnsi="Verdana" w:cs="Arial"/>
          <w:sz w:val="16"/>
          <w:szCs w:val="16"/>
          <w:lang w:val="pt-BR"/>
        </w:rPr>
        <w:t xml:space="preserve"> de 2003, expediente: CRF-001 de 9 de </w:t>
      </w:r>
      <w:proofErr w:type="spellStart"/>
      <w:r w:rsidRPr="00F507F9">
        <w:rPr>
          <w:rFonts w:ascii="Verdana" w:hAnsi="Verdana" w:cs="Arial"/>
          <w:sz w:val="16"/>
          <w:szCs w:val="16"/>
          <w:lang w:val="pt-BR"/>
        </w:rPr>
        <w:t>julio</w:t>
      </w:r>
      <w:proofErr w:type="spellEnd"/>
      <w:r w:rsidRPr="00F507F9">
        <w:rPr>
          <w:rFonts w:ascii="Verdana" w:hAnsi="Verdana" w:cs="Arial"/>
          <w:sz w:val="16"/>
          <w:szCs w:val="16"/>
          <w:lang w:val="pt-BR"/>
        </w:rPr>
        <w:t xml:space="preserve"> de 2003; C-652 de 5 de agosto de 2003, expediente: D-4330; C-353 de 20 de </w:t>
      </w:r>
      <w:proofErr w:type="spellStart"/>
      <w:r w:rsidRPr="00F507F9">
        <w:rPr>
          <w:rFonts w:ascii="Verdana" w:hAnsi="Verdana" w:cs="Arial"/>
          <w:sz w:val="16"/>
          <w:szCs w:val="16"/>
          <w:lang w:val="pt-BR"/>
        </w:rPr>
        <w:t>mayo</w:t>
      </w:r>
      <w:proofErr w:type="spellEnd"/>
      <w:r w:rsidRPr="00F507F9">
        <w:rPr>
          <w:rFonts w:ascii="Verdana" w:hAnsi="Verdana" w:cs="Arial"/>
          <w:sz w:val="16"/>
          <w:szCs w:val="16"/>
          <w:lang w:val="pt-BR"/>
        </w:rPr>
        <w:t xml:space="preserve"> de 2009, expediente: D-7518, C-541 de 30 de </w:t>
      </w:r>
      <w:proofErr w:type="spellStart"/>
      <w:r w:rsidRPr="00F507F9">
        <w:rPr>
          <w:rFonts w:ascii="Verdana" w:hAnsi="Verdana" w:cs="Arial"/>
          <w:sz w:val="16"/>
          <w:szCs w:val="16"/>
          <w:lang w:val="pt-BR"/>
        </w:rPr>
        <w:t>junio</w:t>
      </w:r>
      <w:proofErr w:type="spellEnd"/>
      <w:r w:rsidRPr="00F507F9">
        <w:rPr>
          <w:rFonts w:ascii="Verdana" w:hAnsi="Verdana" w:cs="Arial"/>
          <w:sz w:val="16"/>
          <w:szCs w:val="16"/>
          <w:lang w:val="pt-BR"/>
        </w:rPr>
        <w:t xml:space="preserve"> de 2010, expediente: DD7966; entre otras.</w:t>
      </w:r>
    </w:p>
  </w:footnote>
  <w:footnote w:id="8">
    <w:p w14:paraId="65600EEF" w14:textId="77777777" w:rsidR="0079237F" w:rsidRPr="00F507F9" w:rsidRDefault="0079237F" w:rsidP="0079237F">
      <w:pPr>
        <w:pStyle w:val="Textonotapie"/>
        <w:ind w:firstLine="709"/>
        <w:contextualSpacing/>
        <w:jc w:val="both"/>
        <w:rPr>
          <w:rFonts w:ascii="Verdana" w:hAnsi="Verdana" w:cs="Arial"/>
          <w:sz w:val="16"/>
          <w:szCs w:val="16"/>
          <w:lang w:val="es-CO"/>
        </w:rPr>
      </w:pPr>
      <w:r w:rsidRPr="00F507F9">
        <w:rPr>
          <w:rStyle w:val="Refdenotaalpie"/>
          <w:rFonts w:ascii="Verdana" w:hAnsi="Verdana" w:cs="Arial"/>
          <w:sz w:val="16"/>
          <w:szCs w:val="16"/>
        </w:rPr>
        <w:footnoteRef/>
      </w:r>
      <w:r w:rsidRPr="00F507F9">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9">
    <w:p w14:paraId="3129E1DC" w14:textId="77777777" w:rsidR="0079237F" w:rsidRPr="00F507F9" w:rsidRDefault="0079237F" w:rsidP="0079237F">
      <w:pPr>
        <w:pStyle w:val="Textonotapie"/>
        <w:ind w:firstLine="709"/>
        <w:contextualSpacing/>
        <w:jc w:val="both"/>
        <w:rPr>
          <w:rFonts w:ascii="Verdana" w:hAnsi="Verdana" w:cs="Arial"/>
          <w:sz w:val="16"/>
          <w:szCs w:val="16"/>
        </w:rPr>
      </w:pPr>
      <w:r w:rsidRPr="00F507F9">
        <w:rPr>
          <w:rStyle w:val="Refdenotaalpie"/>
          <w:rFonts w:ascii="Verdana" w:hAnsi="Verdana" w:cs="Arial"/>
          <w:sz w:val="16"/>
          <w:szCs w:val="16"/>
        </w:rPr>
        <w:footnoteRef/>
      </w:r>
      <w:r w:rsidRPr="00F507F9">
        <w:rPr>
          <w:rFonts w:ascii="Verdana" w:hAnsi="Verdana" w:cs="Arial"/>
          <w:sz w:val="16"/>
          <w:szCs w:val="16"/>
        </w:rPr>
        <w:t xml:space="preserve"> Consejo de Estado, Sala de Consulta y Servicio Civil de fecha 24 de julio de 2013, Rad. 2166, C. P. Álvaro Namén Vargas.  </w:t>
      </w:r>
    </w:p>
  </w:footnote>
  <w:footnote w:id="10">
    <w:p w14:paraId="2ECA7224" w14:textId="77777777" w:rsidR="0079237F" w:rsidRPr="00F507F9" w:rsidRDefault="0079237F" w:rsidP="0079237F">
      <w:pPr>
        <w:spacing w:after="0" w:line="240" w:lineRule="auto"/>
        <w:ind w:firstLine="709"/>
        <w:contextualSpacing/>
        <w:jc w:val="both"/>
        <w:rPr>
          <w:rFonts w:ascii="Verdana" w:eastAsia="Times New Roman" w:hAnsi="Verdana" w:cs="Arial"/>
          <w:sz w:val="16"/>
          <w:szCs w:val="16"/>
        </w:rPr>
      </w:pPr>
      <w:r w:rsidRPr="00F507F9">
        <w:rPr>
          <w:rStyle w:val="Refdenotaalpie"/>
          <w:rFonts w:ascii="Verdana" w:hAnsi="Verdana" w:cs="Arial"/>
          <w:sz w:val="16"/>
          <w:szCs w:val="16"/>
        </w:rPr>
        <w:footnoteRef/>
      </w:r>
      <w:r w:rsidRPr="00F507F9">
        <w:rPr>
          <w:rFonts w:ascii="Verdana" w:hAnsi="Verdana" w:cs="Arial"/>
          <w:sz w:val="16"/>
          <w:szCs w:val="16"/>
        </w:rPr>
        <w:t xml:space="preserve"> </w:t>
      </w:r>
      <w:r w:rsidRPr="00F507F9">
        <w:rPr>
          <w:rFonts w:ascii="Verdana" w:eastAsia="Calibri" w:hAnsi="Verdana" w:cs="Arial"/>
          <w:color w:val="000000"/>
          <w:sz w:val="16"/>
          <w:szCs w:val="16"/>
        </w:rPr>
        <w:t>“</w:t>
      </w:r>
      <w:r w:rsidRPr="00F507F9">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78991EA" w14:textId="77777777" w:rsidR="0079237F" w:rsidRPr="00F507F9" w:rsidRDefault="0079237F" w:rsidP="0079237F">
      <w:pPr>
        <w:spacing w:after="0" w:line="240" w:lineRule="auto"/>
        <w:ind w:firstLine="709"/>
        <w:contextualSpacing/>
        <w:jc w:val="both"/>
        <w:rPr>
          <w:rFonts w:ascii="Verdana" w:eastAsia="Times New Roman" w:hAnsi="Verdana" w:cs="Arial"/>
          <w:sz w:val="16"/>
          <w:szCs w:val="16"/>
        </w:rPr>
      </w:pPr>
      <w:r w:rsidRPr="00F507F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507F9">
        <w:rPr>
          <w:rFonts w:ascii="Verdana" w:eastAsia="Calibri" w:hAnsi="Verdana" w:cs="Arial"/>
          <w:color w:val="000000"/>
          <w:sz w:val="16"/>
          <w:szCs w:val="16"/>
        </w:rPr>
        <w:t>”</w:t>
      </w:r>
      <w:r w:rsidRPr="00F507F9">
        <w:rPr>
          <w:rFonts w:ascii="Verdana" w:eastAsia="Times New Roman" w:hAnsi="Verdana" w:cs="Arial"/>
          <w:sz w:val="16"/>
          <w:szCs w:val="16"/>
        </w:rPr>
        <w:t>.</w:t>
      </w:r>
    </w:p>
  </w:footnote>
  <w:footnote w:id="11">
    <w:p w14:paraId="63AF98BE" w14:textId="77777777" w:rsidR="0079237F" w:rsidRPr="00F507F9" w:rsidRDefault="0079237F" w:rsidP="0079237F">
      <w:pPr>
        <w:pStyle w:val="NormalWeb"/>
        <w:spacing w:before="0" w:beforeAutospacing="0" w:after="0" w:afterAutospacing="0"/>
        <w:ind w:firstLine="709"/>
        <w:contextualSpacing/>
        <w:jc w:val="both"/>
        <w:rPr>
          <w:rFonts w:ascii="Verdana" w:hAnsi="Verdana" w:cs="Arial"/>
          <w:sz w:val="16"/>
          <w:szCs w:val="16"/>
          <w:lang w:val="es-MX"/>
        </w:rPr>
      </w:pPr>
      <w:r w:rsidRPr="00F507F9">
        <w:rPr>
          <w:rStyle w:val="Refdenotaalpie"/>
          <w:rFonts w:ascii="Verdana" w:hAnsi="Verdana" w:cs="Arial"/>
          <w:sz w:val="16"/>
          <w:szCs w:val="16"/>
        </w:rPr>
        <w:footnoteRef/>
      </w:r>
      <w:r w:rsidRPr="00F507F9">
        <w:rPr>
          <w:rFonts w:ascii="Verdana" w:hAnsi="Verdana" w:cs="Arial"/>
          <w:sz w:val="16"/>
          <w:szCs w:val="16"/>
        </w:rPr>
        <w:t xml:space="preserve"> </w:t>
      </w:r>
      <w:r w:rsidRPr="00F507F9">
        <w:rPr>
          <w:rFonts w:ascii="Verdana" w:eastAsia="Calibri" w:hAnsi="Verdana" w:cs="Arial"/>
          <w:color w:val="000000"/>
          <w:sz w:val="16"/>
          <w:szCs w:val="16"/>
        </w:rPr>
        <w:t>“</w:t>
      </w:r>
      <w:r w:rsidRPr="00F507F9">
        <w:rPr>
          <w:rFonts w:ascii="Verdana" w:hAnsi="Verdana" w:cs="Arial"/>
          <w:sz w:val="16"/>
          <w:szCs w:val="16"/>
          <w:lang w:val="es-MX"/>
        </w:rPr>
        <w:t>Artículo 38. Prohibiciones para los servidores públicos. A los empleados del Estado les está prohibido: […]</w:t>
      </w:r>
    </w:p>
    <w:p w14:paraId="6283AFF3" w14:textId="77777777" w:rsidR="0079237F" w:rsidRPr="00F507F9" w:rsidRDefault="0079237F" w:rsidP="0079237F">
      <w:pPr>
        <w:pStyle w:val="NormalWeb"/>
        <w:spacing w:before="0" w:beforeAutospacing="0" w:after="0" w:afterAutospacing="0"/>
        <w:ind w:firstLine="709"/>
        <w:contextualSpacing/>
        <w:jc w:val="both"/>
        <w:rPr>
          <w:rFonts w:ascii="Verdana" w:hAnsi="Verdana" w:cs="Arial"/>
          <w:sz w:val="16"/>
          <w:szCs w:val="16"/>
          <w:lang w:val="es-MX"/>
        </w:rPr>
      </w:pPr>
      <w:r w:rsidRPr="00F507F9">
        <w:rPr>
          <w:rStyle w:val="baj"/>
          <w:rFonts w:ascii="Verdana" w:hAnsi="Verdana" w:cs="Arial"/>
          <w:sz w:val="16"/>
          <w:szCs w:val="16"/>
          <w:lang w:val="es-MX"/>
        </w:rPr>
        <w:t>Parágrafo.</w:t>
      </w:r>
      <w:r w:rsidRPr="00F507F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507F9">
        <w:rPr>
          <w:rFonts w:ascii="Verdana" w:eastAsia="Calibri" w:hAnsi="Verdana" w:cs="Arial"/>
          <w:color w:val="000000"/>
          <w:sz w:val="16"/>
          <w:szCs w:val="16"/>
        </w:rPr>
        <w:t>”</w:t>
      </w:r>
      <w:r w:rsidRPr="00F507F9">
        <w:rPr>
          <w:rFonts w:ascii="Verdana" w:hAnsi="Verdana" w:cs="Arial"/>
          <w:sz w:val="16"/>
          <w:szCs w:val="16"/>
          <w:lang w:val="es-MX"/>
        </w:rPr>
        <w:t>.</w:t>
      </w:r>
    </w:p>
  </w:footnote>
  <w:footnote w:id="12">
    <w:p w14:paraId="7101F1F0" w14:textId="77777777" w:rsidR="0079237F" w:rsidRPr="00F507F9" w:rsidRDefault="0079237F" w:rsidP="0079237F">
      <w:pPr>
        <w:spacing w:after="0" w:line="240" w:lineRule="auto"/>
        <w:ind w:left="100" w:right="244" w:firstLine="709"/>
        <w:contextualSpacing/>
        <w:jc w:val="both"/>
        <w:rPr>
          <w:rFonts w:ascii="Verdana" w:hAnsi="Verdana" w:cs="Arial"/>
          <w:sz w:val="16"/>
          <w:szCs w:val="16"/>
          <w:lang w:val="es-ES"/>
        </w:rPr>
      </w:pPr>
      <w:r w:rsidRPr="00F507F9">
        <w:rPr>
          <w:rStyle w:val="Refdenotaalpie"/>
          <w:rFonts w:ascii="Verdana" w:hAnsi="Verdana" w:cs="Arial"/>
          <w:sz w:val="16"/>
          <w:szCs w:val="16"/>
        </w:rPr>
        <w:footnoteRef/>
      </w:r>
      <w:r w:rsidRPr="00F507F9">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3">
    <w:p w14:paraId="72AB7D45" w14:textId="77777777" w:rsidR="0079237F" w:rsidRPr="00F507F9" w:rsidRDefault="0079237F" w:rsidP="0079237F">
      <w:pPr>
        <w:pStyle w:val="Textonotapie"/>
        <w:ind w:firstLine="708"/>
        <w:contextualSpacing/>
        <w:jc w:val="both"/>
        <w:rPr>
          <w:rFonts w:ascii="Verdana" w:hAnsi="Verdana"/>
          <w:sz w:val="16"/>
          <w:szCs w:val="16"/>
          <w:lang w:val="es-ES"/>
        </w:rPr>
      </w:pPr>
      <w:r w:rsidRPr="00F507F9">
        <w:rPr>
          <w:rStyle w:val="Refdenotaalpie"/>
          <w:rFonts w:ascii="Verdana" w:hAnsi="Verdana"/>
          <w:sz w:val="16"/>
          <w:szCs w:val="16"/>
        </w:rPr>
        <w:footnoteRef/>
      </w:r>
      <w:r w:rsidRPr="00F507F9">
        <w:rPr>
          <w:rFonts w:ascii="Verdana" w:hAnsi="Verdana"/>
          <w:sz w:val="16"/>
          <w:szCs w:val="16"/>
        </w:rPr>
        <w:t xml:space="preserve"> </w:t>
      </w:r>
      <w:r w:rsidRPr="00F507F9">
        <w:rPr>
          <w:rFonts w:ascii="Verdana" w:eastAsia="Calibri" w:hAnsi="Verdana" w:cs="Arial"/>
          <w:sz w:val="16"/>
          <w:szCs w:val="16"/>
          <w:lang w:val="es-ES"/>
        </w:rPr>
        <w:t xml:space="preserve">Consejo de Estado, Sala de Consulta y Servicio Civil, Concepto de fecha 8 de mayo de 2018, No. </w:t>
      </w:r>
      <w:r w:rsidRPr="00F507F9">
        <w:rPr>
          <w:rFonts w:ascii="Verdana" w:hAnsi="Verdana"/>
          <w:sz w:val="16"/>
          <w:szCs w:val="16"/>
          <w:lang w:val="es-CO"/>
        </w:rPr>
        <w:t>2382.</w:t>
      </w:r>
      <w:r w:rsidRPr="00F507F9">
        <w:rPr>
          <w:rFonts w:ascii="Verdana" w:hAnsi="Verdana"/>
          <w:sz w:val="16"/>
          <w:szCs w:val="16"/>
        </w:rPr>
        <w:t xml:space="preserve"> </w:t>
      </w:r>
      <w:r w:rsidRPr="00F507F9">
        <w:rPr>
          <w:rFonts w:ascii="Verdana" w:hAnsi="Verdana"/>
          <w:sz w:val="16"/>
          <w:szCs w:val="16"/>
          <w:lang w:val="es-CO"/>
        </w:rPr>
        <w:t>C. P. Álvaro Namén Vargas.</w:t>
      </w:r>
    </w:p>
  </w:footnote>
  <w:footnote w:id="14">
    <w:p w14:paraId="37F1AE49" w14:textId="77777777" w:rsidR="0079237F" w:rsidRPr="00DC5CC4" w:rsidRDefault="0079237F" w:rsidP="0079237F">
      <w:pPr>
        <w:pStyle w:val="Textonotapie"/>
        <w:ind w:firstLine="708"/>
        <w:jc w:val="both"/>
        <w:rPr>
          <w:rFonts w:ascii="Verdana" w:hAnsi="Verdana"/>
          <w:sz w:val="16"/>
          <w:szCs w:val="16"/>
        </w:rPr>
      </w:pPr>
      <w:r w:rsidRPr="00F507F9">
        <w:rPr>
          <w:rStyle w:val="Refdenotaalpie"/>
          <w:rFonts w:ascii="Verdana" w:hAnsi="Verdana"/>
          <w:sz w:val="16"/>
          <w:szCs w:val="16"/>
        </w:rPr>
        <w:footnoteRef/>
      </w:r>
      <w:r w:rsidRPr="00F507F9">
        <w:rPr>
          <w:rFonts w:ascii="Verdana" w:hAnsi="Verdana"/>
          <w:sz w:val="16"/>
          <w:szCs w:val="16"/>
        </w:rPr>
        <w:t xml:space="preserve"> </w:t>
      </w:r>
      <w:r w:rsidRPr="00F507F9">
        <w:rPr>
          <w:rFonts w:ascii="Verdana" w:hAnsi="Verdana"/>
          <w:sz w:val="16"/>
          <w:szCs w:val="16"/>
          <w:lang w:val="es-ES"/>
        </w:rPr>
        <w:t>Ley 1150 de 2007, artículo 6: “</w:t>
      </w:r>
      <w:r w:rsidRPr="00DC5CC4">
        <w:rPr>
          <w:rFonts w:ascii="Verdana" w:hAnsi="Verdana"/>
          <w:i/>
          <w:sz w:val="16"/>
          <w:szCs w:val="16"/>
        </w:rPr>
        <w:t>De la Capacidad para Contratar</w:t>
      </w:r>
      <w:r w:rsidRPr="00DC5CC4">
        <w:rPr>
          <w:rFonts w:ascii="Verdana" w:hAnsi="Verdana"/>
          <w:b/>
          <w:sz w:val="16"/>
          <w:szCs w:val="16"/>
        </w:rPr>
        <w:t>.</w:t>
      </w:r>
      <w:r w:rsidRPr="00DC5CC4">
        <w:rPr>
          <w:rFonts w:ascii="Verdana" w:hAnsi="Verdana"/>
          <w:sz w:val="16"/>
          <w:szCs w:val="16"/>
        </w:rPr>
        <w:t>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4DB807DA" w14:textId="77777777" w:rsidR="0079237F" w:rsidRPr="00DC5CC4" w:rsidRDefault="0079237F" w:rsidP="0079237F">
      <w:pPr>
        <w:pStyle w:val="Textonotapie"/>
        <w:ind w:firstLine="708"/>
        <w:jc w:val="both"/>
        <w:rPr>
          <w:rFonts w:ascii="Verdana" w:hAnsi="Verdana"/>
          <w:sz w:val="16"/>
          <w:szCs w:val="16"/>
        </w:rPr>
      </w:pPr>
      <w:r w:rsidRPr="00DC5CC4">
        <w:rPr>
          <w:rFonts w:ascii="Verdana" w:hAnsi="Verdana"/>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28120E2A" w14:textId="77777777" w:rsidR="0079237F" w:rsidRPr="00DC5CC4" w:rsidRDefault="0079237F" w:rsidP="0079237F">
      <w:pPr>
        <w:pStyle w:val="Textonotapie"/>
        <w:ind w:firstLine="708"/>
        <w:jc w:val="both"/>
        <w:rPr>
          <w:rFonts w:ascii="Verdana" w:hAnsi="Verdana"/>
          <w:sz w:val="16"/>
          <w:szCs w:val="16"/>
        </w:rPr>
      </w:pPr>
      <w:r w:rsidRPr="00DC5CC4">
        <w:rPr>
          <w:rFonts w:ascii="Verdana" w:hAnsi="Verdana"/>
          <w:sz w:val="16"/>
          <w:szCs w:val="16"/>
        </w:rPr>
        <w:t>Las personas jurídicas nacionales y extranjeras deberán acreditar que su duración no será inferior a la del plazo del contrato y un año más”.</w:t>
      </w:r>
    </w:p>
  </w:footnote>
  <w:footnote w:id="15">
    <w:p w14:paraId="57B61E2C" w14:textId="77777777" w:rsidR="0079237F" w:rsidRPr="00F507F9" w:rsidRDefault="0079237F" w:rsidP="0079237F">
      <w:pPr>
        <w:spacing w:after="0" w:line="240" w:lineRule="auto"/>
        <w:ind w:firstLine="709"/>
        <w:contextualSpacing/>
        <w:jc w:val="both"/>
        <w:rPr>
          <w:rFonts w:ascii="Verdana" w:hAnsi="Verdana" w:cs="Arial"/>
          <w:color w:val="000000" w:themeColor="text1"/>
          <w:sz w:val="16"/>
          <w:szCs w:val="16"/>
        </w:rPr>
      </w:pPr>
      <w:r w:rsidRPr="00F507F9">
        <w:rPr>
          <w:rStyle w:val="Refdenotaalpie"/>
          <w:rFonts w:ascii="Verdana" w:hAnsi="Verdana" w:cs="Arial"/>
          <w:color w:val="000000" w:themeColor="text1"/>
          <w:sz w:val="16"/>
          <w:szCs w:val="16"/>
        </w:rPr>
        <w:footnoteRef/>
      </w:r>
      <w:r w:rsidRPr="00F507F9">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6">
    <w:p w14:paraId="00B071AE" w14:textId="77777777" w:rsidR="0079237F" w:rsidRPr="00F507F9" w:rsidRDefault="0079237F" w:rsidP="0079237F">
      <w:pPr>
        <w:pStyle w:val="Textonotapie"/>
        <w:ind w:right="51" w:firstLine="709"/>
        <w:contextualSpacing/>
        <w:jc w:val="both"/>
        <w:rPr>
          <w:rFonts w:ascii="Verdana" w:hAnsi="Verdana" w:cs="Arial"/>
          <w:sz w:val="16"/>
          <w:szCs w:val="16"/>
        </w:rPr>
      </w:pPr>
      <w:r w:rsidRPr="00F507F9">
        <w:rPr>
          <w:rStyle w:val="Refdenotaalpie"/>
          <w:rFonts w:ascii="Verdana" w:hAnsi="Verdana" w:cs="Arial"/>
          <w:sz w:val="16"/>
          <w:szCs w:val="16"/>
        </w:rPr>
        <w:footnoteRef/>
      </w:r>
      <w:r w:rsidRPr="00F507F9">
        <w:rPr>
          <w:rFonts w:ascii="Verdana" w:hAnsi="Verdana" w:cs="Arial"/>
          <w:sz w:val="16"/>
          <w:szCs w:val="16"/>
        </w:rPr>
        <w:t xml:space="preserve"> “</w:t>
      </w:r>
      <w:r w:rsidRPr="00F507F9">
        <w:rPr>
          <w:rFonts w:ascii="Verdana" w:hAnsi="Verdana" w:cs="Arial"/>
          <w:sz w:val="16"/>
          <w:szCs w:val="16"/>
          <w:lang w:val="es-ES"/>
        </w:rPr>
        <w:t xml:space="preserve">[26] </w:t>
      </w:r>
      <w:r w:rsidRPr="00F507F9">
        <w:rPr>
          <w:rFonts w:ascii="Verdana" w:hAnsi="Verdana" w:cs="Arial"/>
          <w:sz w:val="16"/>
          <w:szCs w:val="16"/>
        </w:rPr>
        <w:t>Al respecto ver el concepto 1712 de 2 de febrero de 2006. Consejo de Estado Sala de Consulta y Servicio Civil”.</w:t>
      </w:r>
    </w:p>
  </w:footnote>
  <w:footnote w:id="17">
    <w:p w14:paraId="0C05BEB6" w14:textId="77777777" w:rsidR="0079237F" w:rsidRPr="00F507F9" w:rsidRDefault="0079237F" w:rsidP="0079237F">
      <w:pPr>
        <w:pStyle w:val="Textonotapie"/>
        <w:ind w:firstLine="709"/>
        <w:contextualSpacing/>
        <w:jc w:val="both"/>
        <w:rPr>
          <w:rFonts w:ascii="Verdana" w:hAnsi="Verdana" w:cs="Arial"/>
          <w:sz w:val="16"/>
          <w:szCs w:val="16"/>
        </w:rPr>
      </w:pPr>
      <w:r w:rsidRPr="00F507F9">
        <w:rPr>
          <w:rStyle w:val="Refdenotaalpie"/>
          <w:rFonts w:ascii="Verdana" w:hAnsi="Verdana" w:cs="Arial"/>
          <w:sz w:val="16"/>
          <w:szCs w:val="16"/>
        </w:rPr>
        <w:footnoteRef/>
      </w:r>
      <w:r w:rsidRPr="00F507F9">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8">
    <w:p w14:paraId="5371FCD2" w14:textId="77777777" w:rsidR="0079237F" w:rsidRPr="00F507F9" w:rsidRDefault="0079237F" w:rsidP="0079237F">
      <w:pPr>
        <w:pStyle w:val="Textonotapie"/>
        <w:ind w:firstLine="709"/>
        <w:contextualSpacing/>
        <w:jc w:val="both"/>
        <w:rPr>
          <w:rFonts w:ascii="Verdana" w:hAnsi="Verdana" w:cs="Arial"/>
          <w:sz w:val="16"/>
          <w:szCs w:val="16"/>
          <w:lang w:val="es-ES"/>
        </w:rPr>
      </w:pPr>
      <w:r w:rsidRPr="00F507F9">
        <w:rPr>
          <w:rStyle w:val="Refdenotaalpie"/>
          <w:rFonts w:ascii="Verdana" w:hAnsi="Verdana" w:cs="Arial"/>
          <w:sz w:val="16"/>
          <w:szCs w:val="16"/>
        </w:rPr>
        <w:footnoteRef/>
      </w:r>
      <w:r w:rsidRPr="00F507F9">
        <w:rPr>
          <w:rFonts w:ascii="Verdana" w:hAnsi="Verdana" w:cs="Arial"/>
          <w:sz w:val="16"/>
          <w:szCs w:val="16"/>
        </w:rPr>
        <w:t xml:space="preserve"> </w:t>
      </w:r>
      <w:r w:rsidRPr="00F507F9">
        <w:rPr>
          <w:rFonts w:ascii="Verdana" w:hAnsi="Verdana" w:cs="Arial"/>
          <w:sz w:val="16"/>
          <w:szCs w:val="16"/>
          <w:lang w:val="es-ES"/>
        </w:rPr>
        <w:t xml:space="preserve">Artículo 2. </w:t>
      </w:r>
    </w:p>
  </w:footnote>
  <w:footnote w:id="19">
    <w:p w14:paraId="56FCEC2D" w14:textId="77777777" w:rsidR="0079237F" w:rsidRPr="00F507F9" w:rsidRDefault="0079237F" w:rsidP="0079237F">
      <w:pPr>
        <w:pStyle w:val="Textonotapie"/>
        <w:ind w:firstLine="709"/>
        <w:contextualSpacing/>
        <w:jc w:val="both"/>
        <w:rPr>
          <w:rFonts w:ascii="Verdana" w:hAnsi="Verdana" w:cs="Arial"/>
          <w:sz w:val="16"/>
          <w:szCs w:val="16"/>
          <w:lang w:val="es-ES"/>
        </w:rPr>
      </w:pPr>
      <w:r w:rsidRPr="00F507F9">
        <w:rPr>
          <w:rStyle w:val="Refdenotaalpie"/>
          <w:rFonts w:ascii="Verdana" w:hAnsi="Verdana" w:cs="Arial"/>
          <w:sz w:val="16"/>
          <w:szCs w:val="16"/>
        </w:rPr>
        <w:footnoteRef/>
      </w:r>
      <w:r w:rsidRPr="00F507F9">
        <w:rPr>
          <w:rFonts w:ascii="Verdana" w:hAnsi="Verdana" w:cs="Arial"/>
          <w:sz w:val="16"/>
          <w:szCs w:val="16"/>
        </w:rPr>
        <w:t xml:space="preserve"> </w:t>
      </w:r>
      <w:r w:rsidRPr="00F507F9">
        <w:rPr>
          <w:rFonts w:ascii="Verdana" w:hAnsi="Verdana" w:cs="Arial"/>
          <w:i/>
          <w:sz w:val="16"/>
          <w:szCs w:val="16"/>
          <w:lang w:val="es-ES"/>
        </w:rPr>
        <w:t>Ídem</w:t>
      </w:r>
      <w:r w:rsidRPr="00F507F9">
        <w:rPr>
          <w:rFonts w:ascii="Verdana" w:hAnsi="Verdana" w:cs="Arial"/>
          <w:sz w:val="16"/>
          <w:szCs w:val="16"/>
          <w:lang w:val="es-ES"/>
        </w:rPr>
        <w:t>.</w:t>
      </w:r>
    </w:p>
  </w:footnote>
  <w:footnote w:id="20">
    <w:p w14:paraId="3FFD6173" w14:textId="77777777" w:rsidR="0079237F" w:rsidRPr="00F507F9" w:rsidRDefault="0079237F" w:rsidP="0079237F">
      <w:pPr>
        <w:pStyle w:val="Textonotapie"/>
        <w:ind w:firstLine="709"/>
        <w:contextualSpacing/>
        <w:jc w:val="both"/>
        <w:rPr>
          <w:rFonts w:ascii="Verdana" w:hAnsi="Verdana" w:cs="Arial"/>
          <w:sz w:val="16"/>
          <w:szCs w:val="16"/>
        </w:rPr>
      </w:pPr>
      <w:r w:rsidRPr="00F507F9">
        <w:rPr>
          <w:rStyle w:val="Refdenotaalpie"/>
          <w:rFonts w:ascii="Verdana" w:hAnsi="Verdana" w:cs="Arial"/>
          <w:sz w:val="16"/>
          <w:szCs w:val="16"/>
        </w:rPr>
        <w:footnoteRef/>
      </w:r>
      <w:r w:rsidRPr="00F507F9">
        <w:rPr>
          <w:rFonts w:ascii="Verdana" w:hAnsi="Verdana" w:cs="Arial"/>
          <w:sz w:val="16"/>
          <w:szCs w:val="16"/>
        </w:rPr>
        <w:t xml:space="preserve"> Consejo de Estado. Sala de Consulta y Servicio Civil. Concepto del 08 de mayo de 2018. Exp. 2.382. C.P. Álvaro Namén Vargas.</w:t>
      </w:r>
    </w:p>
  </w:footnote>
  <w:footnote w:id="21">
    <w:p w14:paraId="76905037" w14:textId="77777777" w:rsidR="0079237F" w:rsidRPr="006E44C2" w:rsidRDefault="0079237F" w:rsidP="0079237F">
      <w:pPr>
        <w:pStyle w:val="Textonotapie"/>
        <w:ind w:firstLine="708"/>
        <w:rPr>
          <w:rFonts w:ascii="Verdana" w:hAnsi="Verdana"/>
          <w:sz w:val="16"/>
          <w:szCs w:val="16"/>
          <w:lang w:val="es-ES"/>
        </w:rPr>
      </w:pPr>
      <w:r w:rsidRPr="006E44C2">
        <w:rPr>
          <w:rStyle w:val="Refdenotaalpie"/>
          <w:rFonts w:ascii="Verdana" w:hAnsi="Verdana"/>
          <w:sz w:val="16"/>
          <w:szCs w:val="16"/>
        </w:rPr>
        <w:footnoteRef/>
      </w:r>
      <w:r w:rsidRPr="006E44C2">
        <w:rPr>
          <w:rFonts w:ascii="Verdana" w:hAnsi="Verdana"/>
          <w:sz w:val="16"/>
          <w:szCs w:val="16"/>
        </w:rPr>
        <w:t xml:space="preserve"> </w:t>
      </w:r>
      <w:r w:rsidRPr="006E44C2">
        <w:rPr>
          <w:rFonts w:ascii="Verdana" w:hAnsi="Verdana"/>
          <w:sz w:val="16"/>
          <w:szCs w:val="16"/>
          <w:lang w:val="es-CO"/>
        </w:rPr>
        <w:t>Consejo de Estado. Sala de Consulta y Servicio Civil, Concepto de 8 de mayo de 2018. Radicación Número: 11001-03-06-000-2018-00095-00(2382). Consejero Ponente: Álvaro Namén Vargas.</w:t>
      </w:r>
    </w:p>
  </w:footnote>
  <w:footnote w:id="22">
    <w:p w14:paraId="19624D36" w14:textId="77777777" w:rsidR="0079237F" w:rsidRPr="00F507F9" w:rsidRDefault="0079237F" w:rsidP="0079237F">
      <w:pPr>
        <w:pStyle w:val="Textonotapie"/>
        <w:ind w:firstLine="708"/>
        <w:contextualSpacing/>
        <w:jc w:val="both"/>
        <w:rPr>
          <w:rFonts w:ascii="Verdana" w:hAnsi="Verdana" w:cs="Arial"/>
          <w:color w:val="000000" w:themeColor="text1"/>
          <w:sz w:val="16"/>
          <w:szCs w:val="16"/>
        </w:rPr>
      </w:pPr>
      <w:r w:rsidRPr="00F507F9">
        <w:rPr>
          <w:rStyle w:val="Refdenotaalpie"/>
          <w:rFonts w:ascii="Verdana" w:hAnsi="Verdana" w:cs="Arial"/>
          <w:color w:val="000000" w:themeColor="text1"/>
          <w:sz w:val="16"/>
          <w:szCs w:val="16"/>
        </w:rPr>
        <w:footnoteRef/>
      </w:r>
      <w:r w:rsidRPr="00F507F9">
        <w:rPr>
          <w:rFonts w:ascii="Verdana" w:hAnsi="Verdana" w:cs="Arial"/>
          <w:color w:val="000000" w:themeColor="text1"/>
          <w:sz w:val="16"/>
          <w:szCs w:val="16"/>
        </w:rPr>
        <w:t xml:space="preserve"> Corte Constitucional. Sentencia C-1153 de 2005 M.P. Marco Gerardo Monroy Cabra. </w:t>
      </w:r>
    </w:p>
  </w:footnote>
  <w:footnote w:id="23">
    <w:p w14:paraId="6B38D493" w14:textId="77777777" w:rsidR="0079237F" w:rsidRPr="00F507F9" w:rsidRDefault="0079237F" w:rsidP="0079237F">
      <w:pPr>
        <w:pStyle w:val="Textonotapie"/>
        <w:ind w:firstLine="708"/>
        <w:contextualSpacing/>
        <w:jc w:val="both"/>
        <w:rPr>
          <w:rFonts w:ascii="Verdana" w:hAnsi="Verdana" w:cs="Arial"/>
          <w:color w:val="000000" w:themeColor="text1"/>
          <w:sz w:val="16"/>
          <w:szCs w:val="16"/>
        </w:rPr>
      </w:pPr>
      <w:r w:rsidRPr="00F507F9">
        <w:rPr>
          <w:rStyle w:val="Refdenotaalpie"/>
          <w:rFonts w:ascii="Verdana" w:hAnsi="Verdana" w:cs="Arial"/>
          <w:color w:val="000000" w:themeColor="text1"/>
          <w:sz w:val="16"/>
          <w:szCs w:val="16"/>
        </w:rPr>
        <w:footnoteRef/>
      </w:r>
      <w:r w:rsidRPr="00F507F9">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4">
    <w:p w14:paraId="7E4001EF" w14:textId="77777777" w:rsidR="0079237F" w:rsidRPr="00F507F9" w:rsidRDefault="0079237F" w:rsidP="0079237F">
      <w:pPr>
        <w:pStyle w:val="Textonotapie"/>
        <w:ind w:firstLine="708"/>
        <w:contextualSpacing/>
        <w:jc w:val="both"/>
        <w:rPr>
          <w:rFonts w:ascii="Verdana" w:hAnsi="Verdana" w:cs="Arial"/>
          <w:color w:val="000000" w:themeColor="text1"/>
          <w:sz w:val="16"/>
          <w:szCs w:val="16"/>
        </w:rPr>
      </w:pPr>
      <w:r w:rsidRPr="00F507F9">
        <w:rPr>
          <w:rStyle w:val="Refdenotaalpie"/>
          <w:rFonts w:ascii="Verdana" w:hAnsi="Verdana" w:cs="Arial"/>
          <w:color w:val="000000" w:themeColor="text1"/>
          <w:sz w:val="16"/>
          <w:szCs w:val="16"/>
        </w:rPr>
        <w:footnoteRef/>
      </w:r>
      <w:r w:rsidRPr="00F507F9">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6B3"/>
    <w:rsid w:val="00016F78"/>
    <w:rsid w:val="00046945"/>
    <w:rsid w:val="00061B2A"/>
    <w:rsid w:val="00082362"/>
    <w:rsid w:val="000A683E"/>
    <w:rsid w:val="000B19B9"/>
    <w:rsid w:val="000D0334"/>
    <w:rsid w:val="000D5DA7"/>
    <w:rsid w:val="000F6486"/>
    <w:rsid w:val="00116940"/>
    <w:rsid w:val="00125105"/>
    <w:rsid w:val="00127233"/>
    <w:rsid w:val="0015699B"/>
    <w:rsid w:val="00180464"/>
    <w:rsid w:val="001A33BF"/>
    <w:rsid w:val="001E4177"/>
    <w:rsid w:val="001F0B24"/>
    <w:rsid w:val="001F7DC6"/>
    <w:rsid w:val="0022400B"/>
    <w:rsid w:val="002421BB"/>
    <w:rsid w:val="0025796E"/>
    <w:rsid w:val="0026318D"/>
    <w:rsid w:val="002707A2"/>
    <w:rsid w:val="002951A0"/>
    <w:rsid w:val="002962BC"/>
    <w:rsid w:val="002A093D"/>
    <w:rsid w:val="002A0DD0"/>
    <w:rsid w:val="002A49AC"/>
    <w:rsid w:val="002A64FD"/>
    <w:rsid w:val="002C7A84"/>
    <w:rsid w:val="002E2BF8"/>
    <w:rsid w:val="002E4FD9"/>
    <w:rsid w:val="0030657A"/>
    <w:rsid w:val="00317AF5"/>
    <w:rsid w:val="00322A85"/>
    <w:rsid w:val="00324168"/>
    <w:rsid w:val="00330834"/>
    <w:rsid w:val="003448F4"/>
    <w:rsid w:val="00374F5E"/>
    <w:rsid w:val="00377E3E"/>
    <w:rsid w:val="0039304F"/>
    <w:rsid w:val="003A779E"/>
    <w:rsid w:val="003C5628"/>
    <w:rsid w:val="003D0F4D"/>
    <w:rsid w:val="003D5B0D"/>
    <w:rsid w:val="003E0499"/>
    <w:rsid w:val="003E4F80"/>
    <w:rsid w:val="003E6439"/>
    <w:rsid w:val="003F3941"/>
    <w:rsid w:val="00406575"/>
    <w:rsid w:val="00414C74"/>
    <w:rsid w:val="004264FE"/>
    <w:rsid w:val="0042722E"/>
    <w:rsid w:val="0044528D"/>
    <w:rsid w:val="00466E39"/>
    <w:rsid w:val="004A1847"/>
    <w:rsid w:val="004A305D"/>
    <w:rsid w:val="004F21C4"/>
    <w:rsid w:val="004F685F"/>
    <w:rsid w:val="00517E9B"/>
    <w:rsid w:val="005566E8"/>
    <w:rsid w:val="00574867"/>
    <w:rsid w:val="00591460"/>
    <w:rsid w:val="005A2083"/>
    <w:rsid w:val="005A65E0"/>
    <w:rsid w:val="005C3777"/>
    <w:rsid w:val="005C5CDC"/>
    <w:rsid w:val="005D476C"/>
    <w:rsid w:val="0060207D"/>
    <w:rsid w:val="006200BF"/>
    <w:rsid w:val="006219F8"/>
    <w:rsid w:val="006302F7"/>
    <w:rsid w:val="00646B9F"/>
    <w:rsid w:val="00665D70"/>
    <w:rsid w:val="006900D9"/>
    <w:rsid w:val="006B7348"/>
    <w:rsid w:val="006E44C2"/>
    <w:rsid w:val="00706C16"/>
    <w:rsid w:val="007340C3"/>
    <w:rsid w:val="0075235A"/>
    <w:rsid w:val="00756841"/>
    <w:rsid w:val="007649AB"/>
    <w:rsid w:val="00771D0C"/>
    <w:rsid w:val="007809F3"/>
    <w:rsid w:val="007833AC"/>
    <w:rsid w:val="0079237F"/>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43E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33EC"/>
    <w:rsid w:val="009F3A13"/>
    <w:rsid w:val="00A122D3"/>
    <w:rsid w:val="00A14468"/>
    <w:rsid w:val="00A17F13"/>
    <w:rsid w:val="00A20739"/>
    <w:rsid w:val="00A23AF9"/>
    <w:rsid w:val="00A33C78"/>
    <w:rsid w:val="00AB0ADB"/>
    <w:rsid w:val="00AB2A5B"/>
    <w:rsid w:val="00AD1E90"/>
    <w:rsid w:val="00B00C0E"/>
    <w:rsid w:val="00B01B1A"/>
    <w:rsid w:val="00B0381D"/>
    <w:rsid w:val="00B44A47"/>
    <w:rsid w:val="00B72CD3"/>
    <w:rsid w:val="00B72FFF"/>
    <w:rsid w:val="00BC3D36"/>
    <w:rsid w:val="00BD54A6"/>
    <w:rsid w:val="00BD7F72"/>
    <w:rsid w:val="00BF54C8"/>
    <w:rsid w:val="00BF7425"/>
    <w:rsid w:val="00C030B2"/>
    <w:rsid w:val="00C04FB3"/>
    <w:rsid w:val="00C11D8B"/>
    <w:rsid w:val="00C15139"/>
    <w:rsid w:val="00C16FA6"/>
    <w:rsid w:val="00C330EB"/>
    <w:rsid w:val="00C35FF8"/>
    <w:rsid w:val="00C50D69"/>
    <w:rsid w:val="00C5365C"/>
    <w:rsid w:val="00C754BE"/>
    <w:rsid w:val="00C75CA2"/>
    <w:rsid w:val="00C76B1C"/>
    <w:rsid w:val="00C818EF"/>
    <w:rsid w:val="00C925AC"/>
    <w:rsid w:val="00CB6357"/>
    <w:rsid w:val="00CC1B26"/>
    <w:rsid w:val="00CD46ED"/>
    <w:rsid w:val="00CE2DCB"/>
    <w:rsid w:val="00D361FD"/>
    <w:rsid w:val="00D423A2"/>
    <w:rsid w:val="00D44E26"/>
    <w:rsid w:val="00D520D8"/>
    <w:rsid w:val="00D62B0D"/>
    <w:rsid w:val="00D63AC2"/>
    <w:rsid w:val="00D7383B"/>
    <w:rsid w:val="00D7788A"/>
    <w:rsid w:val="00DA231B"/>
    <w:rsid w:val="00DC39FC"/>
    <w:rsid w:val="00DC5CC4"/>
    <w:rsid w:val="00DF5254"/>
    <w:rsid w:val="00E02524"/>
    <w:rsid w:val="00E16408"/>
    <w:rsid w:val="00E20894"/>
    <w:rsid w:val="00E245AB"/>
    <w:rsid w:val="00E2764C"/>
    <w:rsid w:val="00E27F2E"/>
    <w:rsid w:val="00E50AFE"/>
    <w:rsid w:val="00E62907"/>
    <w:rsid w:val="00E75C92"/>
    <w:rsid w:val="00E771DC"/>
    <w:rsid w:val="00E8772A"/>
    <w:rsid w:val="00E90F6B"/>
    <w:rsid w:val="00E92C27"/>
    <w:rsid w:val="00EA0E3D"/>
    <w:rsid w:val="00EC38A7"/>
    <w:rsid w:val="00EE1AA8"/>
    <w:rsid w:val="00F05037"/>
    <w:rsid w:val="00F23FEA"/>
    <w:rsid w:val="00F31EDC"/>
    <w:rsid w:val="00F462B3"/>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9237F"/>
    <w:pPr>
      <w:spacing w:line="240" w:lineRule="exact"/>
    </w:pPr>
    <w:rPr>
      <w:vertAlign w:val="superscript"/>
    </w:rPr>
  </w:style>
  <w:style w:type="character" w:customStyle="1" w:styleId="baj">
    <w:name w:val="b_aj"/>
    <w:basedOn w:val="Fuentedeprrafopredeter"/>
    <w:rsid w:val="0079237F"/>
  </w:style>
  <w:style w:type="character" w:customStyle="1" w:styleId="NormalWebCar">
    <w:name w:val="Normal (Web) Car"/>
    <w:link w:val="NormalWeb"/>
    <w:uiPriority w:val="99"/>
    <w:locked/>
    <w:rsid w:val="0079237F"/>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237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arreto@bpestrategica.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D57D924-931C-4527-966F-C46AE99C3B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20</Pages>
  <Words>6919</Words>
  <Characters>37778</Characters>
  <Application>Microsoft Office Word</Application>
  <DocSecurity>0</DocSecurity>
  <Lines>699</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2026-03-26T21:49:00Z</dcterms:created>
  <dcterms:modified xsi:type="dcterms:W3CDTF">2026-03-27T00:58:00Z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