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1028B" w14:textId="134B8257" w:rsidR="004E1713" w:rsidRDefault="004E1713" w:rsidP="004E1713">
      <w:pPr>
        <w:jc w:val="both"/>
        <w:rPr>
          <w:rFonts w:ascii="Verdana" w:hAnsi="Verdana" w:cs="Arial"/>
          <w:b/>
          <w:bCs/>
          <w:lang w:val="es-ES"/>
        </w:rPr>
      </w:pPr>
      <w:bookmarkStart w:id="0" w:name="_Hlk143780582"/>
      <w:r w:rsidRPr="004E1713">
        <w:rPr>
          <w:rFonts w:ascii="Verdana" w:hAnsi="Verdana" w:cs="Arial"/>
          <w:b/>
          <w:bCs/>
          <w:lang w:val="es-ES"/>
        </w:rPr>
        <w:t>LEY DE EMPRENDIMIENTO – Ley 2069 de 2020 – Artículo 32 – Criterios diferenciales – Emprendimientos de mujeres – Empresas de mujeres / DECRETO 1860 DE 2021 – Vigencia</w:t>
      </w:r>
    </w:p>
    <w:p w14:paraId="27B23E33" w14:textId="6D5F7E08" w:rsidR="004E1713" w:rsidRPr="00865B68" w:rsidRDefault="004E1713" w:rsidP="004E1713">
      <w:pPr>
        <w:jc w:val="both"/>
        <w:rPr>
          <w:rFonts w:ascii="Verdana" w:eastAsia="Calibri" w:hAnsi="Verdana" w:cs="Arial"/>
          <w:bCs/>
          <w:sz w:val="20"/>
          <w:szCs w:val="20"/>
          <w:lang w:eastAsia="es-ES_tradnl"/>
        </w:rPr>
      </w:pPr>
      <w:r w:rsidRPr="00865B68">
        <w:rPr>
          <w:rFonts w:ascii="Verdana" w:eastAsia="Calibri" w:hAnsi="Verdana" w:cs="Arial"/>
          <w:sz w:val="20"/>
          <w:szCs w:val="20"/>
          <w:lang w:val="es-ES_tradnl" w:eastAsia="es-ES_tradnl"/>
        </w:rPr>
        <w:t xml:space="preserve">Como se indicó, parte de la Ley 2069 contiene normas que modifican algunos aspectos de la contratación estatal para promover el emprendimiento. </w:t>
      </w:r>
      <w:r w:rsidRPr="00865B68">
        <w:rPr>
          <w:rFonts w:ascii="Verdana" w:eastAsia="Calibri" w:hAnsi="Verdana" w:cs="Arial"/>
          <w:bCs/>
          <w:sz w:val="20"/>
          <w:szCs w:val="20"/>
          <w:lang w:eastAsia="es-ES_tradnl"/>
        </w:rPr>
        <w:t xml:space="preserve">Particularmente, el artículo 32 </w:t>
      </w:r>
      <w:r w:rsidRPr="00865B68">
        <w:rPr>
          <w:rFonts w:ascii="Verdana" w:eastAsia="Calibri" w:hAnsi="Verdana" w:cs="Arial"/>
          <w:bCs/>
          <w:i/>
          <w:iCs/>
          <w:sz w:val="20"/>
          <w:szCs w:val="20"/>
          <w:lang w:eastAsia="es-ES_tradnl"/>
        </w:rPr>
        <w:t>ibidem</w:t>
      </w:r>
      <w:r w:rsidRPr="00865B68">
        <w:rPr>
          <w:rFonts w:ascii="Verdana" w:eastAsia="Calibri" w:hAnsi="Verdana" w:cs="Arial"/>
          <w:bCs/>
          <w:sz w:val="20"/>
          <w:szCs w:val="20"/>
          <w:lang w:eastAsia="es-ES_tradnl"/>
        </w:rPr>
        <w:t xml:space="preserve"> regula criterios diferenciales y puntajes adicionales para los “emprendimientos y empresas de mujeres” en el sistema de compras y contratación pública. […] </w:t>
      </w:r>
    </w:p>
    <w:p w14:paraId="5E76982A" w14:textId="2126E4FF" w:rsidR="004E1713" w:rsidRPr="00865B68" w:rsidRDefault="004E1713" w:rsidP="004E1713">
      <w:pPr>
        <w:jc w:val="both"/>
        <w:rPr>
          <w:rFonts w:ascii="Verdana" w:eastAsia="Geomanist Light" w:hAnsi="Verdana" w:cs="Arial"/>
          <w:b/>
          <w:bCs/>
          <w:color w:val="000000" w:themeColor="text1"/>
          <w:sz w:val="20"/>
          <w:szCs w:val="20"/>
          <w:lang w:val="es-MX"/>
        </w:rPr>
      </w:pPr>
      <w:r w:rsidRPr="00865B68">
        <w:rPr>
          <w:rFonts w:ascii="Verdana" w:eastAsia="Calibri" w:hAnsi="Verdana" w:cs="Arial"/>
          <w:bCs/>
          <w:sz w:val="20"/>
          <w:szCs w:val="20"/>
          <w:lang w:eastAsia="es-ES_tradnl"/>
        </w:rPr>
        <w:t>[…] el artículo 32 de la Ley 2069 de 2020 alude a la necesidad del desarrollo normativo posterior. Al respecto, el parágrafo dispone que “La definición de emprendimientos y empresas de mujeres se reglamentará por el gobierno nacional”. En ese sentido, la aplicación de criterios diferenciales en favor de emprendimientos y empresas de mujeres estaba condicionada por el ejercicio de la potestad reglamentaria, en orden de establecer la regulación en marco de la cual las Entidades Estatales deben aplicar los criterios diferenciales establecidos en el artículo 32 de la Ley 2069 de 2020.</w:t>
      </w:r>
    </w:p>
    <w:p w14:paraId="68C94729" w14:textId="14DCAAA8" w:rsidR="004E1713" w:rsidRPr="004E1713" w:rsidRDefault="004E1713" w:rsidP="004E1713">
      <w:pPr>
        <w:jc w:val="both"/>
        <w:rPr>
          <w:rFonts w:ascii="Verdana" w:eastAsia="Geomanist Light" w:hAnsi="Verdana" w:cs="Arial"/>
          <w:b/>
          <w:bCs/>
          <w:color w:val="000000" w:themeColor="text1"/>
          <w:lang w:val="es-MX"/>
        </w:rPr>
      </w:pPr>
      <w:r w:rsidRPr="004E1713">
        <w:rPr>
          <w:rFonts w:ascii="Verdana" w:hAnsi="Verdana" w:cs="Arial"/>
          <w:b/>
          <w:bCs/>
          <w:lang w:val="es-ES"/>
        </w:rPr>
        <w:t>DECRETO 1860 DE 2021 – Emprendimientos y empresas de mujeres – Definición – Artículo 2.2.1.2.4.2.14 – Numeral 1 – Acreditación</w:t>
      </w:r>
    </w:p>
    <w:p w14:paraId="35DF9965" w14:textId="77777777" w:rsidR="004E1713" w:rsidRPr="00865B68" w:rsidRDefault="004E1713" w:rsidP="004E1713">
      <w:pPr>
        <w:spacing w:after="120" w:line="276" w:lineRule="auto"/>
        <w:jc w:val="both"/>
        <w:rPr>
          <w:rFonts w:ascii="Verdana" w:eastAsia="Calibri" w:hAnsi="Verdana" w:cs="Arial"/>
          <w:sz w:val="20"/>
          <w:szCs w:val="20"/>
          <w:lang w:val="es-ES_tradnl"/>
        </w:rPr>
      </w:pPr>
      <w:r w:rsidRPr="00865B68">
        <w:rPr>
          <w:rFonts w:ascii="Verdana" w:eastAsia="Calibri" w:hAnsi="Verdana" w:cs="Arial"/>
          <w:sz w:val="20"/>
          <w:szCs w:val="20"/>
          <w:lang w:val="es-ES" w:eastAsia="es-ES_tradnl"/>
        </w:rPr>
        <w:t xml:space="preserve">El </w:t>
      </w:r>
      <w:r w:rsidRPr="00865B68">
        <w:rPr>
          <w:rFonts w:ascii="Verdana" w:eastAsia="Times New Roman" w:hAnsi="Verdana" w:cs="Arial"/>
          <w:i/>
          <w:sz w:val="20"/>
          <w:szCs w:val="20"/>
          <w:lang w:val="es-ES_tradnl" w:eastAsia="es-ES"/>
        </w:rPr>
        <w:t>numeral primero</w:t>
      </w:r>
      <w:r w:rsidRPr="00865B68">
        <w:rPr>
          <w:rFonts w:ascii="Verdana" w:eastAsia="Times New Roman" w:hAnsi="Verdana" w:cs="Arial"/>
          <w:sz w:val="20"/>
          <w:szCs w:val="20"/>
          <w:lang w:val="es-ES_tradnl" w:eastAsia="es-ES"/>
        </w:rPr>
        <w:t xml:space="preserve"> establece que </w:t>
      </w:r>
      <w:r w:rsidRPr="00865B68">
        <w:rPr>
          <w:rFonts w:ascii="Verdana" w:eastAsia="Calibri" w:hAnsi="Verdana" w:cs="Arial"/>
          <w:sz w:val="20"/>
          <w:szCs w:val="20"/>
          <w:lang w:val="es-ES_tradnl"/>
        </w:rPr>
        <w:t xml:space="preserve">una sociedad podrá ser considerada como un emprendimiento o empresa de mujeres cuando más del cincuenta por ciento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 </w:t>
      </w:r>
    </w:p>
    <w:p w14:paraId="5E0C823E" w14:textId="77777777" w:rsidR="004E1713" w:rsidRPr="00865B68" w:rsidRDefault="004E1713" w:rsidP="004E1713">
      <w:pPr>
        <w:spacing w:after="120" w:line="276" w:lineRule="auto"/>
        <w:jc w:val="both"/>
        <w:rPr>
          <w:rFonts w:ascii="Verdana" w:eastAsia="Calibri" w:hAnsi="Verdana" w:cs="Arial"/>
          <w:sz w:val="20"/>
          <w:szCs w:val="20"/>
          <w:lang w:val="es-ES"/>
        </w:rPr>
      </w:pPr>
      <w:r w:rsidRPr="00865B68">
        <w:rPr>
          <w:rFonts w:ascii="Verdana" w:eastAsia="Calibri" w:hAnsi="Verdana" w:cs="Arial"/>
          <w:sz w:val="20"/>
          <w:szCs w:val="20"/>
          <w:lang w:val="es-ES"/>
        </w:rPr>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p w14:paraId="20ED7A76" w14:textId="77777777" w:rsidR="004E1713" w:rsidRPr="00865B68" w:rsidRDefault="004E1713" w:rsidP="004E1713">
      <w:pPr>
        <w:spacing w:after="120" w:line="276" w:lineRule="auto"/>
        <w:jc w:val="both"/>
        <w:rPr>
          <w:rFonts w:ascii="Verdana" w:hAnsi="Verdana" w:cs="Arial"/>
          <w:sz w:val="20"/>
          <w:szCs w:val="20"/>
          <w:lang w:val="es-ES_tradnl" w:eastAsia="es-ES"/>
        </w:rPr>
      </w:pPr>
      <w:r w:rsidRPr="00865B68">
        <w:rPr>
          <w:rFonts w:ascii="Verdana" w:eastAsia="Calibri" w:hAnsi="Verdana" w:cs="Arial"/>
          <w:sz w:val="20"/>
          <w:szCs w:val="20"/>
          <w:lang w:val="es-ES_tradnl"/>
        </w:rPr>
        <w:t xml:space="preserve">Así mismo, debe precisarse que la participación mayoritaria de mujeres </w:t>
      </w:r>
      <w:r w:rsidRPr="00865B68">
        <w:rPr>
          <w:rFonts w:ascii="Verdana" w:hAnsi="Verdana" w:cs="Arial"/>
          <w:sz w:val="20"/>
          <w:szCs w:val="20"/>
        </w:rPr>
        <w:t xml:space="preserve">puede ser ejercida por diferentes personas durante el último año, siempre que durante dicho periodo la participación </w:t>
      </w:r>
      <w:r w:rsidRPr="00865B68">
        <w:rPr>
          <w:rFonts w:ascii="Verdana" w:hAnsi="Verdana" w:cs="Arial"/>
          <w:i/>
          <w:iCs/>
          <w:sz w:val="20"/>
          <w:szCs w:val="20"/>
        </w:rPr>
        <w:t>mayoritaria</w:t>
      </w:r>
      <w:r w:rsidRPr="00865B68">
        <w:rPr>
          <w:rFonts w:ascii="Verdana" w:hAnsi="Verdana" w:cs="Arial"/>
          <w:sz w:val="20"/>
          <w:szCs w:val="20"/>
        </w:rPr>
        <w:t xml:space="preserve"> de mujeres se haya mantenido, aunque se trate de mujeres distintas. En tal sentido, se cumple con la norma, toda vez que la finalidad y alcance es que la titularidad mayoritaria por un (1) año sea ejercida por mujeres, a pesar de que cambien las propietarias de las partes de interés o cuotas de participación. </w:t>
      </w:r>
    </w:p>
    <w:p w14:paraId="1F3EF48B" w14:textId="4DF7192E" w:rsidR="004E1713" w:rsidRPr="00865B68" w:rsidRDefault="004E1713" w:rsidP="004E1713">
      <w:pPr>
        <w:jc w:val="both"/>
        <w:rPr>
          <w:rFonts w:ascii="Verdana" w:eastAsia="Geomanist Light" w:hAnsi="Verdana" w:cs="Arial"/>
          <w:color w:val="000000" w:themeColor="text1"/>
          <w:sz w:val="20"/>
          <w:szCs w:val="20"/>
          <w:lang w:val="es-MX"/>
        </w:rPr>
      </w:pPr>
      <w:r w:rsidRPr="00865B68">
        <w:rPr>
          <w:rFonts w:ascii="Verdana" w:hAnsi="Verdana" w:cs="Arial"/>
          <w:sz w:val="20"/>
          <w:szCs w:val="20"/>
        </w:rPr>
        <w:lastRenderedPageBreak/>
        <w:t xml:space="preserve">Como medio para la acreditación de este criterio, señala la normativa referida que: </w:t>
      </w:r>
      <w:r w:rsidRPr="00865B68">
        <w:rPr>
          <w:rFonts w:ascii="Verdana" w:eastAsia="Times New Roman" w:hAnsi="Verdana" w:cs="Arial"/>
          <w:i/>
          <w:sz w:val="20"/>
          <w:szCs w:val="20"/>
          <w:lang w:val="es-ES_tradnl" w:eastAsia="es-ES"/>
        </w:rPr>
        <w:t>“</w:t>
      </w:r>
      <w:r w:rsidRPr="00865B68">
        <w:rPr>
          <w:rFonts w:ascii="Verdana" w:hAnsi="Verdana" w:cs="Arial"/>
          <w:i/>
          <w:sz w:val="20"/>
          <w:szCs w:val="20"/>
        </w:rPr>
        <w:t xml:space="preserve">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 […] </w:t>
      </w:r>
    </w:p>
    <w:p w14:paraId="2CB725DA" w14:textId="22BE2602" w:rsidR="004E1713" w:rsidRDefault="004E1713" w:rsidP="004E1713">
      <w:pPr>
        <w:jc w:val="both"/>
        <w:rPr>
          <w:rFonts w:ascii="Verdana" w:hAnsi="Verdana" w:cs="Arial"/>
          <w:b/>
          <w:bCs/>
          <w:lang w:val="es-ES"/>
        </w:rPr>
      </w:pPr>
      <w:r w:rsidRPr="004E1713">
        <w:rPr>
          <w:rFonts w:ascii="Verdana" w:hAnsi="Verdana" w:cs="Arial"/>
          <w:b/>
          <w:bCs/>
          <w:lang w:val="es-ES"/>
        </w:rPr>
        <w:t>CAPACIDAD JURÍDICA – Persona Natural – Persona jurídica – Emprendimientos y empresas de mujeres – Definición – Artículo 2.2.1.2.4.2.14 – Numeral 1</w:t>
      </w:r>
    </w:p>
    <w:p w14:paraId="24A609E8" w14:textId="77777777" w:rsidR="004E1713" w:rsidRPr="00865B68" w:rsidRDefault="004E1713" w:rsidP="004E1713">
      <w:pPr>
        <w:spacing w:after="120" w:line="276" w:lineRule="auto"/>
        <w:jc w:val="both"/>
        <w:rPr>
          <w:rFonts w:ascii="Verdana" w:eastAsia="Calibri" w:hAnsi="Verdana" w:cs="Arial"/>
          <w:sz w:val="20"/>
          <w:szCs w:val="20"/>
          <w:lang w:val="es-ES_tradnl" w:eastAsia="es-ES_tradnl"/>
        </w:rPr>
      </w:pPr>
      <w:r w:rsidRPr="00865B68">
        <w:rPr>
          <w:rFonts w:ascii="Verdana" w:eastAsia="Calibri" w:hAnsi="Verdana" w:cs="Arial"/>
          <w:sz w:val="20"/>
          <w:szCs w:val="20"/>
          <w:lang w:val="es-ES_tradnl" w:eastAsia="es-ES_tradnl"/>
        </w:rPr>
        <w:t>Particularmente, el numeral primero del referido numeral establece que se considera emprendimientos y empresas de mujeres “</w:t>
      </w:r>
      <w:r w:rsidRPr="00865B68">
        <w:rPr>
          <w:rFonts w:ascii="Verdana" w:eastAsia="Times New Roman" w:hAnsi="Verdana" w:cs="Arial"/>
          <w:i/>
          <w:iCs/>
          <w:sz w:val="20"/>
          <w:szCs w:val="20"/>
          <w:lang w:eastAsia="es-CO"/>
        </w:rPr>
        <w:t>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w:t>
      </w:r>
      <w:r w:rsidRPr="00865B68">
        <w:rPr>
          <w:rFonts w:ascii="Verdana" w:eastAsia="Calibri" w:hAnsi="Verdana" w:cs="Arial"/>
          <w:sz w:val="20"/>
          <w:szCs w:val="20"/>
          <w:lang w:val="es-ES_tradnl" w:eastAsia="es-ES_tradnl"/>
        </w:rPr>
        <w:t xml:space="preserve">” Este supuesto, se acreditará, con una certificación expedida por el representante legal y el revisor fiscal, cuando exista de acuerdo con los requerimientos de ley, o el contador, donde constante la distribución de los derechos de sociedad y el tiempo en el que las mujeres ha mantenido su participación. </w:t>
      </w:r>
    </w:p>
    <w:p w14:paraId="10D6E286" w14:textId="77777777" w:rsidR="004E1713" w:rsidRPr="00865B68" w:rsidRDefault="004E1713" w:rsidP="004E1713">
      <w:pPr>
        <w:spacing w:after="120" w:line="276" w:lineRule="auto"/>
        <w:jc w:val="both"/>
        <w:rPr>
          <w:rFonts w:ascii="Verdana" w:eastAsia="Calibri" w:hAnsi="Verdana" w:cs="Arial"/>
          <w:sz w:val="20"/>
          <w:szCs w:val="20"/>
          <w:lang w:val="es-ES" w:eastAsia="es-ES"/>
        </w:rPr>
      </w:pPr>
      <w:r w:rsidRPr="00865B68">
        <w:rPr>
          <w:rFonts w:ascii="Verdana" w:eastAsia="Calibri" w:hAnsi="Verdana" w:cs="Arial"/>
          <w:sz w:val="20"/>
          <w:szCs w:val="20"/>
          <w:lang w:val="es-ES" w:eastAsia="es-ES"/>
        </w:rPr>
        <w:t>En atención a la pregunta planteada, debe señalarse que, de acuerdo con el artículo 98 del Código de Comercio, las sociedades legalmente constituidas conforman una persona jurídica distinta de los socios o accionistas que la integran. En ese sentido, respecto al evento en su consulta, es necesario distinguir entre la persona jurídica y los socios que hacen parte de ella. Por ello, en el marco de un proceso de contratación deberá determinarse la calidad de la persona que funge como proponente, pues si el oferente es persona jurídica se deberá determinar si esta, como persona distinta de sus socios individualmente considerados, cumple con los requisitos exigidos no solo para participar en el proceso sino también para ser acreedor de los criterios establecidos.</w:t>
      </w:r>
    </w:p>
    <w:p w14:paraId="6C6CCA9E" w14:textId="5121A1ED" w:rsidR="004E1713" w:rsidRPr="00865B68" w:rsidRDefault="004E1713" w:rsidP="004E1713">
      <w:pPr>
        <w:jc w:val="both"/>
        <w:rPr>
          <w:rFonts w:ascii="Verdana" w:eastAsia="Geomanist Light" w:hAnsi="Verdana" w:cs="Arial"/>
          <w:b/>
          <w:bCs/>
          <w:color w:val="000000" w:themeColor="text1"/>
          <w:sz w:val="20"/>
          <w:szCs w:val="20"/>
          <w:lang w:val="es-MX"/>
        </w:rPr>
      </w:pPr>
      <w:r w:rsidRPr="00865B68">
        <w:rPr>
          <w:rFonts w:ascii="Verdana" w:eastAsia="Calibri" w:hAnsi="Verdana" w:cs="Arial"/>
          <w:sz w:val="20"/>
          <w:szCs w:val="20"/>
        </w:rPr>
        <w:t xml:space="preserve">En sentido, independientemente de que la edad de los socios, accionistas o constituyentes, tratándose de un oferente que sea una persona jurídica, para determinar si puede o no ser beneficiario de los criterios diferenciales a favor de las empresas y emprendimientos de mujeres, debe determinarse que la persona jurídica cumpla con los requisitos antes expuestos. Nótese que el numeral primero del artículo </w:t>
      </w:r>
      <w:r w:rsidRPr="00865B68">
        <w:rPr>
          <w:rFonts w:ascii="Verdana" w:eastAsia="Calibri" w:hAnsi="Verdana" w:cs="Arial"/>
          <w:sz w:val="20"/>
          <w:szCs w:val="20"/>
          <w:lang w:eastAsia="es-ES_tradnl"/>
        </w:rPr>
        <w:t>2.2.1.2.4.2.14. del Decreto 1082 de 2015 no hace ninguna distinción en la calidad de los socios, diferente a que el porcentaje de participación de mujeres y donde no distingue el legislador, no le es dado hacerlo al intérprete.</w:t>
      </w:r>
    </w:p>
    <w:p w14:paraId="17FA6196" w14:textId="77777777" w:rsidR="004E1713" w:rsidRDefault="004E1713" w:rsidP="009775DD">
      <w:pPr>
        <w:rPr>
          <w:rFonts w:ascii="Verdana" w:eastAsia="Geomanist Light" w:hAnsi="Verdana" w:cs="Arial"/>
          <w:color w:val="000000" w:themeColor="text1"/>
          <w:lang w:val="es-MX"/>
        </w:rPr>
      </w:pPr>
    </w:p>
    <w:p w14:paraId="3DF6E574" w14:textId="77777777" w:rsidR="004E1713" w:rsidRDefault="004E1713" w:rsidP="009775DD">
      <w:pPr>
        <w:rPr>
          <w:rFonts w:ascii="Verdana" w:eastAsia="Geomanist Light" w:hAnsi="Verdana" w:cs="Arial"/>
          <w:color w:val="000000" w:themeColor="text1"/>
          <w:lang w:val="es-MX"/>
        </w:rPr>
      </w:pPr>
    </w:p>
    <w:p w14:paraId="3E85D746" w14:textId="77777777" w:rsidR="00596EA1" w:rsidRDefault="00596EA1" w:rsidP="009775DD">
      <w:pPr>
        <w:rPr>
          <w:rFonts w:ascii="Verdana" w:eastAsia="Geomanist Light" w:hAnsi="Verdana" w:cs="Arial"/>
          <w:color w:val="000000" w:themeColor="text1"/>
          <w:lang w:val="es-MX"/>
        </w:rPr>
      </w:pPr>
    </w:p>
    <w:p w14:paraId="11180102" w14:textId="598AD7CE" w:rsidR="009775DD" w:rsidRPr="00D30EFC" w:rsidRDefault="009775DD" w:rsidP="009775DD">
      <w:pPr>
        <w:rPr>
          <w:rFonts w:ascii="Verdana" w:eastAsia="Geomanist Light" w:hAnsi="Verdana" w:cs="Arial"/>
          <w:color w:val="201F1E"/>
          <w:lang w:val="es-MX"/>
        </w:rPr>
      </w:pPr>
      <w:r w:rsidRPr="00E959BB">
        <w:rPr>
          <w:rFonts w:ascii="Verdana" w:eastAsia="Geomanist Light" w:hAnsi="Verdana" w:cs="Arial"/>
          <w:color w:val="000000" w:themeColor="text1"/>
          <w:lang w:val="es-MX"/>
        </w:rPr>
        <w:lastRenderedPageBreak/>
        <w:t>Bogotá D.C., </w:t>
      </w:r>
      <w:r w:rsidR="0052799A">
        <w:rPr>
          <w:rFonts w:ascii="Verdana" w:eastAsia="Geomanist Light" w:hAnsi="Verdana" w:cs="Arial"/>
          <w:color w:val="201F1E"/>
          <w:lang w:val="es-MX"/>
        </w:rPr>
        <w:t>11</w:t>
      </w:r>
      <w:r w:rsidRPr="00E959BB">
        <w:rPr>
          <w:rFonts w:ascii="Verdana" w:eastAsia="Geomanist Light" w:hAnsi="Verdana" w:cs="Arial"/>
          <w:color w:val="201F1E"/>
          <w:lang w:val="es-MX"/>
        </w:rPr>
        <w:t xml:space="preserve"> de </w:t>
      </w:r>
      <w:r w:rsidR="0052799A">
        <w:rPr>
          <w:rFonts w:ascii="Verdana" w:eastAsia="Geomanist Light" w:hAnsi="Verdana" w:cs="Arial"/>
          <w:color w:val="201F1E"/>
          <w:lang w:val="es-MX"/>
        </w:rPr>
        <w:t>marzo</w:t>
      </w:r>
      <w:r w:rsidRPr="00E959BB">
        <w:rPr>
          <w:rFonts w:ascii="Verdana" w:eastAsia="Geomanist Light" w:hAnsi="Verdana" w:cs="Arial"/>
          <w:color w:val="201F1E"/>
          <w:lang w:val="es-MX"/>
        </w:rPr>
        <w:t xml:space="preserve"> de </w:t>
      </w:r>
      <w:r w:rsidR="0052799A">
        <w:rPr>
          <w:rFonts w:ascii="Verdana" w:eastAsia="Geomanist Light" w:hAnsi="Verdana" w:cs="Arial"/>
          <w:color w:val="201F1E"/>
          <w:lang w:val="es-MX"/>
        </w:rPr>
        <w:t>2026</w:t>
      </w:r>
    </w:p>
    <w:p w14:paraId="60EB6EE2" w14:textId="6FFB2277" w:rsidR="009775DD" w:rsidRPr="00837C69" w:rsidRDefault="002F2043" w:rsidP="009775DD">
      <w:pPr>
        <w:spacing w:after="0" w:line="240" w:lineRule="auto"/>
        <w:rPr>
          <w:rFonts w:ascii="Verdana" w:hAnsi="Verdana"/>
          <w:lang w:val="es-MX"/>
        </w:rPr>
      </w:pPr>
      <w:r w:rsidRPr="0052799A">
        <w:rPr>
          <w:rFonts w:ascii="Verdana" w:hAnsi="Verdana"/>
          <w:noProof/>
        </w:rPr>
        <w:drawing>
          <wp:anchor distT="0" distB="0" distL="114300" distR="114300" simplePos="0" relativeHeight="251658240" behindDoc="0" locked="0" layoutInCell="1" allowOverlap="1" wp14:anchorId="4E8AE1D4" wp14:editId="10661FC7">
            <wp:simplePos x="0" y="0"/>
            <wp:positionH relativeFrom="margin">
              <wp:align>right</wp:align>
            </wp:positionH>
            <wp:positionV relativeFrom="paragraph">
              <wp:posOffset>4445</wp:posOffset>
            </wp:positionV>
            <wp:extent cx="2533650" cy="952500"/>
            <wp:effectExtent l="0" t="0" r="0" b="0"/>
            <wp:wrapSquare wrapText="bothSides"/>
            <wp:docPr id="18458191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819108" name=""/>
                    <pic:cNvPicPr/>
                  </pic:nvPicPr>
                  <pic:blipFill>
                    <a:blip r:embed="rId10">
                      <a:extLst>
                        <a:ext uri="{28A0092B-C50C-407E-A947-70E740481C1C}">
                          <a14:useLocalDpi xmlns:a14="http://schemas.microsoft.com/office/drawing/2010/main" val="0"/>
                        </a:ext>
                      </a:extLst>
                    </a:blip>
                    <a:stretch>
                      <a:fillRect/>
                    </a:stretch>
                  </pic:blipFill>
                  <pic:spPr>
                    <a:xfrm>
                      <a:off x="0" y="0"/>
                      <a:ext cx="2533650" cy="952500"/>
                    </a:xfrm>
                    <a:prstGeom prst="rect">
                      <a:avLst/>
                    </a:prstGeom>
                  </pic:spPr>
                </pic:pic>
              </a:graphicData>
            </a:graphic>
          </wp:anchor>
        </w:drawing>
      </w:r>
    </w:p>
    <w:p w14:paraId="4309C70B" w14:textId="48DD61BB" w:rsidR="009775DD" w:rsidRDefault="009775DD" w:rsidP="0052799A">
      <w:pPr>
        <w:spacing w:after="0" w:line="240" w:lineRule="auto"/>
        <w:ind w:left="4248"/>
        <w:rPr>
          <w:rFonts w:ascii="Verdana" w:hAnsi="Verdana"/>
        </w:rPr>
      </w:pPr>
    </w:p>
    <w:p w14:paraId="6925BCE5" w14:textId="77777777" w:rsidR="009775DD" w:rsidRPr="009775DD" w:rsidRDefault="009775DD" w:rsidP="009775DD">
      <w:pPr>
        <w:spacing w:after="0" w:line="240" w:lineRule="auto"/>
        <w:jc w:val="both"/>
        <w:rPr>
          <w:rFonts w:ascii="Verdana" w:eastAsia="Calibri" w:hAnsi="Verdana" w:cs="Arial"/>
          <w:lang w:val="it-IT" w:eastAsia="es-ES"/>
        </w:rPr>
      </w:pPr>
      <w:r w:rsidRPr="009775DD">
        <w:rPr>
          <w:rFonts w:ascii="Verdana" w:eastAsia="Calibri" w:hAnsi="Verdana" w:cs="Arial"/>
          <w:lang w:val="it-IT" w:eastAsia="es-ES"/>
        </w:rPr>
        <w:t>Señora</w:t>
      </w:r>
    </w:p>
    <w:p w14:paraId="67CC9D77" w14:textId="77777777" w:rsidR="009775DD" w:rsidRPr="009775DD" w:rsidRDefault="009775DD" w:rsidP="009775DD">
      <w:pPr>
        <w:spacing w:after="0" w:line="240" w:lineRule="auto"/>
        <w:rPr>
          <w:rFonts w:ascii="Verdana" w:eastAsia="Calibri" w:hAnsi="Verdana" w:cs="Arial"/>
          <w:b/>
          <w:lang w:val="it-IT" w:eastAsia="es-ES"/>
        </w:rPr>
      </w:pPr>
      <w:r w:rsidRPr="009775DD">
        <w:rPr>
          <w:rFonts w:ascii="Verdana" w:eastAsia="Calibri" w:hAnsi="Verdana" w:cs="Arial"/>
          <w:b/>
          <w:lang w:val="it-IT" w:eastAsia="es-ES"/>
        </w:rPr>
        <w:t>Nicolle Daniela Rueda Férnandez</w:t>
      </w:r>
    </w:p>
    <w:p w14:paraId="2FC1DD3C" w14:textId="2E6F0A9F" w:rsidR="009775DD" w:rsidRPr="009775DD" w:rsidRDefault="009775DD" w:rsidP="009775DD">
      <w:pPr>
        <w:spacing w:after="0" w:line="240" w:lineRule="auto"/>
        <w:rPr>
          <w:rFonts w:ascii="Arial" w:hAnsi="Arial" w:cs="Arial"/>
          <w:lang w:val="it-IT"/>
        </w:rPr>
      </w:pPr>
      <w:hyperlink r:id="rId11" w:history="1">
        <w:r w:rsidRPr="009775DD">
          <w:rPr>
            <w:rStyle w:val="Hipervnculo"/>
            <w:rFonts w:ascii="Arial" w:hAnsi="Arial" w:cs="Arial"/>
            <w:lang w:val="it-IT"/>
          </w:rPr>
          <w:t>Nrueda266@unab.edu.co</w:t>
        </w:r>
      </w:hyperlink>
    </w:p>
    <w:p w14:paraId="3B511C11" w14:textId="4B7F7D9B" w:rsidR="009775DD" w:rsidRPr="009775DD" w:rsidRDefault="009775DD" w:rsidP="009775DD">
      <w:pPr>
        <w:spacing w:after="0" w:line="240" w:lineRule="auto"/>
        <w:rPr>
          <w:rFonts w:ascii="Verdana" w:hAnsi="Verdana" w:cs="Arial"/>
          <w:lang w:val="it-IT"/>
        </w:rPr>
      </w:pPr>
      <w:r w:rsidRPr="009775DD">
        <w:rPr>
          <w:rFonts w:ascii="Verdana" w:hAnsi="Verdana" w:cs="Arial"/>
          <w:lang w:val="it-IT"/>
        </w:rPr>
        <w:t>Bucaramanga, Santander</w:t>
      </w:r>
    </w:p>
    <w:p w14:paraId="31AE86C7" w14:textId="77777777" w:rsidR="009775DD" w:rsidRPr="009775DD" w:rsidRDefault="009775DD" w:rsidP="009775DD">
      <w:pPr>
        <w:spacing w:after="0" w:line="240" w:lineRule="auto"/>
        <w:rPr>
          <w:rFonts w:ascii="Verdana" w:eastAsia="Calibri" w:hAnsi="Verdana" w:cs="Arial"/>
          <w:b/>
          <w:bCs/>
          <w:highlight w:val="cyan"/>
          <w:lang w:val="it-IT" w:eastAsia="es-ES_tradnl"/>
        </w:rPr>
      </w:pPr>
    </w:p>
    <w:p w14:paraId="0F754887" w14:textId="77777777" w:rsidR="009775DD" w:rsidRPr="009775DD" w:rsidRDefault="009775DD" w:rsidP="009775DD">
      <w:pPr>
        <w:spacing w:after="0" w:line="240" w:lineRule="auto"/>
        <w:rPr>
          <w:rFonts w:ascii="Verdana" w:eastAsia="Calibri" w:hAnsi="Verdana" w:cs="Arial"/>
          <w:b/>
          <w:bCs/>
          <w:highlight w:val="cyan"/>
          <w:lang w:val="it-I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60"/>
        <w:gridCol w:w="6629"/>
      </w:tblGrid>
      <w:tr w:rsidR="009775DD" w:rsidRPr="00A5382C" w14:paraId="6600DEBD" w14:textId="77777777" w:rsidTr="00211F61">
        <w:trPr>
          <w:trHeight w:val="282"/>
        </w:trPr>
        <w:tc>
          <w:tcPr>
            <w:tcW w:w="2160" w:type="dxa"/>
          </w:tcPr>
          <w:p w14:paraId="216C1A6B" w14:textId="77777777" w:rsidR="009775DD" w:rsidRPr="009775DD" w:rsidRDefault="009775DD" w:rsidP="00211F61">
            <w:pPr>
              <w:jc w:val="both"/>
              <w:rPr>
                <w:rFonts w:ascii="Verdana" w:eastAsia="Calibri" w:hAnsi="Verdana" w:cs="Arial"/>
                <w:b/>
                <w:bCs/>
                <w:highlight w:val="cyan"/>
                <w:lang w:val="it-IT" w:eastAsia="es-ES_tradnl"/>
              </w:rPr>
            </w:pPr>
          </w:p>
        </w:tc>
        <w:tc>
          <w:tcPr>
            <w:tcW w:w="6629" w:type="dxa"/>
          </w:tcPr>
          <w:p w14:paraId="4B3E3743" w14:textId="77777777" w:rsidR="009775DD" w:rsidRPr="002F6840" w:rsidRDefault="009775DD" w:rsidP="00211F61">
            <w:pPr>
              <w:jc w:val="both"/>
              <w:rPr>
                <w:rFonts w:ascii="Verdana" w:eastAsia="Calibri" w:hAnsi="Verdana" w:cs="Arial"/>
                <w:b/>
                <w:bCs/>
                <w:lang w:val="es-ES" w:eastAsia="es-ES"/>
              </w:rPr>
            </w:pPr>
            <w:r w:rsidRPr="00A5382C">
              <w:rPr>
                <w:rFonts w:ascii="Verdana" w:eastAsia="Calibri" w:hAnsi="Verdana" w:cs="Arial"/>
                <w:b/>
                <w:bCs/>
                <w:lang w:val="es-ES" w:eastAsia="es-ES"/>
              </w:rPr>
              <w:t xml:space="preserve">Concepto </w:t>
            </w:r>
            <w:r w:rsidRPr="00A5382C">
              <w:rPr>
                <w:rFonts w:ascii="Verdana" w:eastAsia="Calibri" w:hAnsi="Verdana" w:cs="Arial"/>
                <w:b/>
                <w:bCs/>
                <w:lang w:eastAsia="es-ES"/>
              </w:rPr>
              <w:t>C-1</w:t>
            </w:r>
            <w:r>
              <w:rPr>
                <w:rFonts w:ascii="Verdana" w:eastAsia="Calibri" w:hAnsi="Verdana" w:cs="Arial"/>
                <w:b/>
                <w:bCs/>
                <w:lang w:eastAsia="es-ES"/>
              </w:rPr>
              <w:t>40</w:t>
            </w:r>
            <w:r w:rsidRPr="00A5382C">
              <w:rPr>
                <w:rFonts w:ascii="Verdana" w:eastAsia="Calibri" w:hAnsi="Verdana" w:cs="Arial"/>
                <w:b/>
                <w:bCs/>
                <w:lang w:eastAsia="es-ES"/>
              </w:rPr>
              <w:t xml:space="preserve"> </w:t>
            </w:r>
            <w:r w:rsidRPr="00A5382C">
              <w:rPr>
                <w:rFonts w:ascii="Verdana" w:eastAsia="Calibri" w:hAnsi="Verdana" w:cs="Arial"/>
                <w:b/>
                <w:bCs/>
                <w:lang w:val="es-ES" w:eastAsia="es-ES"/>
              </w:rPr>
              <w:t>de 202</w:t>
            </w:r>
            <w:r>
              <w:rPr>
                <w:rFonts w:ascii="Verdana" w:eastAsia="Calibri" w:hAnsi="Verdana" w:cs="Arial"/>
                <w:b/>
                <w:bCs/>
                <w:lang w:val="es-ES" w:eastAsia="es-ES"/>
              </w:rPr>
              <w:t>6</w:t>
            </w:r>
          </w:p>
          <w:p w14:paraId="2CDAEE9E" w14:textId="77777777" w:rsidR="009775DD" w:rsidRPr="00A5382C" w:rsidRDefault="009775DD" w:rsidP="00211F61">
            <w:pPr>
              <w:jc w:val="both"/>
              <w:rPr>
                <w:rFonts w:ascii="Verdana" w:eastAsia="Calibri" w:hAnsi="Verdana" w:cs="Arial"/>
                <w:b/>
                <w:bCs/>
                <w:lang w:eastAsia="es-ES"/>
              </w:rPr>
            </w:pPr>
          </w:p>
        </w:tc>
      </w:tr>
      <w:tr w:rsidR="009775DD" w:rsidRPr="00A5382C" w14:paraId="41703164" w14:textId="77777777" w:rsidTr="00211F61">
        <w:trPr>
          <w:trHeight w:val="884"/>
        </w:trPr>
        <w:tc>
          <w:tcPr>
            <w:tcW w:w="2160" w:type="dxa"/>
          </w:tcPr>
          <w:p w14:paraId="4A6DF378" w14:textId="77777777" w:rsidR="009775DD" w:rsidRPr="00A5382C" w:rsidRDefault="009775DD" w:rsidP="00211F61">
            <w:pPr>
              <w:jc w:val="both"/>
              <w:rPr>
                <w:rFonts w:ascii="Verdana" w:eastAsia="Calibri" w:hAnsi="Verdana" w:cs="Arial"/>
                <w:b/>
                <w:lang w:val="es-ES_tradnl" w:eastAsia="es-ES_tradnl"/>
              </w:rPr>
            </w:pPr>
            <w:r w:rsidRPr="00A5382C">
              <w:rPr>
                <w:rFonts w:ascii="Verdana" w:eastAsia="Calibri" w:hAnsi="Verdana" w:cs="Arial"/>
                <w:b/>
                <w:lang w:val="es-ES_tradnl" w:eastAsia="es-ES_tradnl"/>
              </w:rPr>
              <w:t xml:space="preserve">Temas:                   </w:t>
            </w:r>
          </w:p>
        </w:tc>
        <w:tc>
          <w:tcPr>
            <w:tcW w:w="6629" w:type="dxa"/>
          </w:tcPr>
          <w:p w14:paraId="77221144" w14:textId="77777777" w:rsidR="009775DD" w:rsidRDefault="009775DD" w:rsidP="00211F61">
            <w:pPr>
              <w:jc w:val="both"/>
              <w:rPr>
                <w:rFonts w:ascii="Verdana" w:hAnsi="Verdana" w:cs="Arial"/>
                <w:lang w:val="es-ES"/>
              </w:rPr>
            </w:pPr>
            <w:r w:rsidRPr="00A5382C">
              <w:rPr>
                <w:rFonts w:ascii="Verdana" w:hAnsi="Verdana" w:cs="Arial"/>
                <w:lang w:val="es-ES"/>
              </w:rPr>
              <w:t>LEY DE EMPRENDIMIENTO – Ley 2069 de 2020 – Artículo 32 – Criterios diferenciales – Emprendimientos de mujeres – Empresas de mujeres / DECRETO 1860 DE 2021 – Vigencia / DECRETO 1860 DE 2021 – Emprendimientos y empresas de mujeres – Definición – Artículo 2.2.1.2.4.2.14 – Numeral 1 – Acreditación</w:t>
            </w:r>
            <w:r>
              <w:rPr>
                <w:rFonts w:ascii="Verdana" w:hAnsi="Verdana" w:cs="Arial"/>
                <w:lang w:val="es-ES"/>
              </w:rPr>
              <w:t xml:space="preserve"> / CAPACIDAD JURÍDICA – Persona Natural – Persona jurídica </w:t>
            </w:r>
            <w:r w:rsidRPr="00A5382C">
              <w:rPr>
                <w:rFonts w:ascii="Verdana" w:hAnsi="Verdana" w:cs="Arial"/>
                <w:lang w:val="es-ES"/>
              </w:rPr>
              <w:t>– Emprendimientos y empresas de mujeres – Definición – Artículo 2.2.1.2.4.2.14 – Numeral 1</w:t>
            </w:r>
          </w:p>
          <w:p w14:paraId="70FD5343" w14:textId="77777777" w:rsidR="009775DD" w:rsidRPr="00A5382C" w:rsidRDefault="009775DD" w:rsidP="00211F61">
            <w:pPr>
              <w:jc w:val="both"/>
              <w:rPr>
                <w:rFonts w:ascii="Verdana" w:hAnsi="Verdana" w:cs="Arial"/>
                <w:lang w:val="es-ES_tradnl"/>
              </w:rPr>
            </w:pPr>
          </w:p>
        </w:tc>
      </w:tr>
      <w:tr w:rsidR="009775DD" w:rsidRPr="00A5382C" w14:paraId="055194CE" w14:textId="77777777" w:rsidTr="00211F61">
        <w:trPr>
          <w:trHeight w:val="368"/>
        </w:trPr>
        <w:tc>
          <w:tcPr>
            <w:tcW w:w="2160" w:type="dxa"/>
          </w:tcPr>
          <w:p w14:paraId="0823B381" w14:textId="77777777" w:rsidR="009775DD" w:rsidRPr="00A5382C" w:rsidRDefault="009775DD" w:rsidP="00211F61">
            <w:pPr>
              <w:jc w:val="both"/>
              <w:rPr>
                <w:rFonts w:ascii="Verdana" w:eastAsia="Calibri" w:hAnsi="Verdana" w:cs="Arial"/>
                <w:b/>
                <w:lang w:val="es-ES_tradnl" w:eastAsia="es-ES_tradnl"/>
              </w:rPr>
            </w:pPr>
            <w:r w:rsidRPr="00A5382C">
              <w:rPr>
                <w:rFonts w:ascii="Verdana" w:eastAsia="Calibri" w:hAnsi="Verdana" w:cs="Arial"/>
                <w:b/>
                <w:lang w:val="es-ES_tradnl" w:eastAsia="es-ES_tradnl"/>
              </w:rPr>
              <w:t>Radicación:</w:t>
            </w:r>
            <w:r w:rsidRPr="00A5382C">
              <w:rPr>
                <w:rFonts w:ascii="Verdana" w:eastAsia="Calibri" w:hAnsi="Verdana" w:cs="Arial"/>
                <w:lang w:val="es-ES_tradnl" w:eastAsia="es-ES_tradnl"/>
              </w:rPr>
              <w:t xml:space="preserve">               </w:t>
            </w:r>
          </w:p>
        </w:tc>
        <w:tc>
          <w:tcPr>
            <w:tcW w:w="6629" w:type="dxa"/>
          </w:tcPr>
          <w:p w14:paraId="5CAA1E19" w14:textId="77777777" w:rsidR="009775DD" w:rsidRPr="00A5382C" w:rsidRDefault="009775DD" w:rsidP="00211F61">
            <w:pPr>
              <w:jc w:val="both"/>
              <w:rPr>
                <w:rFonts w:ascii="Verdana" w:eastAsia="Calibri" w:hAnsi="Verdana" w:cs="Arial"/>
                <w:lang w:eastAsia="es-ES_tradnl"/>
              </w:rPr>
            </w:pPr>
            <w:r w:rsidRPr="00A5382C">
              <w:rPr>
                <w:rFonts w:ascii="Verdana" w:eastAsia="Calibri" w:hAnsi="Verdana" w:cs="Arial"/>
                <w:lang w:val="es-ES_tradnl" w:eastAsia="es-ES_tradnl"/>
              </w:rPr>
              <w:t xml:space="preserve">Respuesta a consulta con radicado No. </w:t>
            </w:r>
            <w:r w:rsidRPr="00837C69">
              <w:rPr>
                <w:rFonts w:ascii="Verdana" w:eastAsia="Calibri" w:hAnsi="Verdana" w:cs="Arial"/>
                <w:lang w:val="es-ES_tradnl" w:eastAsia="es-ES_tradnl"/>
              </w:rPr>
              <w:t>1_2026_02_02_001242</w:t>
            </w:r>
          </w:p>
        </w:tc>
      </w:tr>
    </w:tbl>
    <w:p w14:paraId="25C64FA5" w14:textId="77777777" w:rsidR="009775DD" w:rsidRPr="00470CF3" w:rsidRDefault="009775DD" w:rsidP="009775DD">
      <w:pPr>
        <w:spacing w:after="0" w:line="240" w:lineRule="auto"/>
        <w:jc w:val="both"/>
        <w:rPr>
          <w:rFonts w:ascii="Verdana" w:eastAsia="Calibri" w:hAnsi="Verdana" w:cs="Arial"/>
          <w:highlight w:val="cyan"/>
          <w:lang w:val="es-ES_tradnl" w:eastAsia="es-ES_tradnl"/>
        </w:rPr>
      </w:pPr>
    </w:p>
    <w:p w14:paraId="43EA383F" w14:textId="77777777" w:rsidR="009775DD" w:rsidRPr="00470CF3" w:rsidRDefault="009775DD" w:rsidP="009775DD">
      <w:pPr>
        <w:spacing w:after="0" w:line="240" w:lineRule="auto"/>
        <w:jc w:val="both"/>
        <w:rPr>
          <w:rFonts w:ascii="Verdana" w:eastAsia="Calibri" w:hAnsi="Verdana" w:cs="Arial"/>
          <w:highlight w:val="cyan"/>
          <w:lang w:val="es-ES_tradnl" w:eastAsia="es-ES_tradnl"/>
        </w:rPr>
      </w:pPr>
    </w:p>
    <w:p w14:paraId="0B7C916C" w14:textId="77777777" w:rsidR="009775DD" w:rsidRPr="00470CF3" w:rsidRDefault="009775DD" w:rsidP="009775DD">
      <w:pPr>
        <w:spacing w:after="0" w:line="276" w:lineRule="auto"/>
        <w:jc w:val="both"/>
        <w:rPr>
          <w:rFonts w:ascii="Verdana" w:eastAsia="Calibri" w:hAnsi="Verdana" w:cs="Arial"/>
          <w:lang w:val="es-ES" w:eastAsia="es-ES"/>
        </w:rPr>
      </w:pPr>
      <w:r w:rsidRPr="00470CF3">
        <w:rPr>
          <w:rFonts w:ascii="Verdana" w:eastAsia="Calibri" w:hAnsi="Verdana" w:cs="Arial"/>
          <w:lang w:val="es-ES" w:eastAsia="es-ES"/>
        </w:rPr>
        <w:t>Estimad</w:t>
      </w:r>
      <w:r>
        <w:rPr>
          <w:rFonts w:ascii="Verdana" w:eastAsia="Calibri" w:hAnsi="Verdana" w:cs="Arial"/>
          <w:lang w:val="es-ES" w:eastAsia="es-ES"/>
        </w:rPr>
        <w:t>a</w:t>
      </w:r>
      <w:r w:rsidRPr="00470CF3">
        <w:rPr>
          <w:rFonts w:ascii="Verdana" w:eastAsia="Calibri" w:hAnsi="Verdana" w:cs="Arial"/>
          <w:lang w:val="es-ES" w:eastAsia="es-ES"/>
        </w:rPr>
        <w:t xml:space="preserve"> seño</w:t>
      </w:r>
      <w:r>
        <w:rPr>
          <w:rFonts w:ascii="Verdana" w:eastAsia="Calibri" w:hAnsi="Verdana" w:cs="Arial"/>
          <w:lang w:val="es-ES" w:eastAsia="es-ES"/>
        </w:rPr>
        <w:t>ra</w:t>
      </w:r>
      <w:r w:rsidRPr="00470CF3">
        <w:rPr>
          <w:rFonts w:ascii="Verdana" w:eastAsia="Calibri" w:hAnsi="Verdana" w:cs="Arial"/>
          <w:lang w:val="es-ES" w:eastAsia="es-ES"/>
        </w:rPr>
        <w:t xml:space="preserve"> </w:t>
      </w:r>
      <w:r>
        <w:rPr>
          <w:rFonts w:ascii="Verdana" w:eastAsia="Calibri" w:hAnsi="Verdana" w:cs="Arial"/>
          <w:lang w:val="es-ES" w:eastAsia="es-ES"/>
        </w:rPr>
        <w:t>Rueda Fernández</w:t>
      </w:r>
      <w:r w:rsidRPr="00470CF3">
        <w:rPr>
          <w:rFonts w:ascii="Verdana" w:eastAsia="Calibri" w:hAnsi="Verdana" w:cs="Arial"/>
          <w:lang w:val="es-ES" w:eastAsia="es-ES"/>
        </w:rPr>
        <w:t>;</w:t>
      </w:r>
    </w:p>
    <w:p w14:paraId="44E3891E" w14:textId="77777777" w:rsidR="009775DD" w:rsidRPr="00470CF3" w:rsidRDefault="009775DD" w:rsidP="009775DD">
      <w:pPr>
        <w:spacing w:after="0" w:line="276" w:lineRule="auto"/>
        <w:jc w:val="both"/>
        <w:rPr>
          <w:rStyle w:val="Hipervnculo"/>
          <w:rFonts w:ascii="Verdana" w:hAnsi="Verdana" w:cs="Arial"/>
          <w:highlight w:val="cyan"/>
        </w:rPr>
      </w:pPr>
    </w:p>
    <w:p w14:paraId="6810162B" w14:textId="77777777" w:rsidR="009775DD" w:rsidRDefault="009775DD" w:rsidP="009775DD">
      <w:pPr>
        <w:spacing w:after="0" w:line="276" w:lineRule="auto"/>
        <w:jc w:val="both"/>
        <w:rPr>
          <w:rFonts w:ascii="Verdana" w:hAnsi="Verdana" w:cs="Arial"/>
          <w:bCs/>
          <w:lang w:val="es-ES" w:eastAsia="es-ES" w:bidi="es-ES"/>
        </w:rPr>
      </w:pPr>
      <w:r w:rsidRPr="0050771E">
        <w:rPr>
          <w:rFonts w:ascii="Verdana" w:hAnsi="Verdana" w:cs="Arial"/>
          <w:bCs/>
          <w:lang w:val="es-ES" w:eastAsia="es-ES" w:bidi="es-ES"/>
        </w:rPr>
        <w:t xml:space="preserve">En ejercicio de la competencia otorgada por los artículos 3, numeral 5º, y 11, numeral 8º, del Decreto Ley 4170 de 2011, </w:t>
      </w:r>
      <w:r w:rsidRPr="00FC6F34">
        <w:rPr>
          <w:rFonts w:ascii="Verdana" w:hAnsi="Verdana" w:cs="Arial"/>
          <w:color w:val="000000" w:themeColor="text1"/>
          <w:lang w:val="es-ES"/>
        </w:rPr>
        <w:t>así como lo establecido</w:t>
      </w:r>
      <w:r>
        <w:rPr>
          <w:rFonts w:ascii="Verdana" w:hAnsi="Verdana" w:cs="Arial"/>
          <w:color w:val="000000" w:themeColor="text1"/>
          <w:lang w:val="es-ES"/>
        </w:rPr>
        <w:t xml:space="preserve"> por la</w:t>
      </w:r>
      <w:r w:rsidRPr="00FC6F34">
        <w:rPr>
          <w:rFonts w:ascii="Verdana" w:hAnsi="Verdana" w:cs="Arial"/>
          <w:color w:val="000000" w:themeColor="text1"/>
          <w:lang w:val="es-ES"/>
        </w:rPr>
        <w:t xml:space="preserve"> </w:t>
      </w:r>
      <w:r w:rsidRPr="00A27102">
        <w:rPr>
          <w:rFonts w:ascii="Verdana" w:hAnsi="Verdana" w:cs="Arial"/>
        </w:rPr>
        <w:t>Resolución 469 de 2025 expedida por esta Entidad</w:t>
      </w:r>
      <w:r w:rsidRPr="0050771E">
        <w:rPr>
          <w:rFonts w:ascii="Verdana" w:hAnsi="Verdana" w:cs="Arial"/>
          <w:bCs/>
          <w:lang w:eastAsia="es-ES" w:bidi="es-ES"/>
        </w:rPr>
        <w:t xml:space="preserve">, </w:t>
      </w:r>
      <w:r w:rsidRPr="0050771E">
        <w:rPr>
          <w:rFonts w:ascii="Verdana" w:hAnsi="Verdana" w:cs="Arial"/>
          <w:bCs/>
          <w:lang w:val="es-ES" w:eastAsia="es-ES" w:bidi="es-ES"/>
        </w:rPr>
        <w:t xml:space="preserve">la Agencia Nacional de Contratación Pública – Colombia Compra Eficiente– responde su solicitud de consulta de fecha del </w:t>
      </w:r>
      <w:r>
        <w:rPr>
          <w:rFonts w:ascii="Verdana" w:hAnsi="Verdana" w:cs="Arial"/>
          <w:bCs/>
          <w:lang w:val="es-ES" w:eastAsia="es-ES" w:bidi="es-ES"/>
        </w:rPr>
        <w:t>02</w:t>
      </w:r>
      <w:r w:rsidRPr="0050771E">
        <w:rPr>
          <w:rFonts w:ascii="Verdana" w:hAnsi="Verdana" w:cs="Arial"/>
          <w:bCs/>
          <w:lang w:val="es-ES" w:eastAsia="es-ES" w:bidi="es-ES"/>
        </w:rPr>
        <w:t xml:space="preserve"> de </w:t>
      </w:r>
      <w:r>
        <w:rPr>
          <w:rFonts w:ascii="Verdana" w:hAnsi="Verdana" w:cs="Arial"/>
          <w:bCs/>
          <w:lang w:val="es-ES" w:eastAsia="es-ES" w:bidi="es-ES"/>
        </w:rPr>
        <w:t>febrero</w:t>
      </w:r>
      <w:r w:rsidRPr="0050771E">
        <w:rPr>
          <w:rFonts w:ascii="Verdana" w:hAnsi="Verdana" w:cs="Arial"/>
          <w:bCs/>
          <w:lang w:val="es-ES" w:eastAsia="es-ES" w:bidi="es-ES"/>
        </w:rPr>
        <w:t xml:space="preserve"> de 202</w:t>
      </w:r>
      <w:r>
        <w:rPr>
          <w:rFonts w:ascii="Verdana" w:hAnsi="Verdana" w:cs="Arial"/>
          <w:bCs/>
          <w:lang w:val="es-ES" w:eastAsia="es-ES" w:bidi="es-ES"/>
        </w:rPr>
        <w:t>6</w:t>
      </w:r>
      <w:r w:rsidRPr="0050771E">
        <w:rPr>
          <w:rFonts w:ascii="Verdana" w:hAnsi="Verdana" w:cs="Arial"/>
          <w:bCs/>
          <w:lang w:val="es-ES" w:eastAsia="es-ES" w:bidi="es-ES"/>
        </w:rPr>
        <w:t>, en la</w:t>
      </w:r>
      <w:r w:rsidRPr="00B31C7B">
        <w:rPr>
          <w:rFonts w:ascii="Verdana" w:hAnsi="Verdana" w:cs="Arial"/>
          <w:bCs/>
          <w:lang w:val="es-ES" w:eastAsia="es-ES" w:bidi="es-ES"/>
        </w:rPr>
        <w:t xml:space="preserve"> cual manifiesta lo siguiente</w:t>
      </w:r>
      <w:r>
        <w:rPr>
          <w:rFonts w:ascii="Verdana" w:hAnsi="Verdana" w:cs="Arial"/>
          <w:bCs/>
          <w:lang w:val="es-ES" w:eastAsia="es-ES" w:bidi="es-ES"/>
        </w:rPr>
        <w:t xml:space="preserve">: </w:t>
      </w:r>
    </w:p>
    <w:p w14:paraId="4C2F5A65" w14:textId="77777777" w:rsidR="009775DD" w:rsidRPr="00470CF3" w:rsidRDefault="009775DD" w:rsidP="009775DD">
      <w:pPr>
        <w:spacing w:after="0" w:line="276" w:lineRule="auto"/>
        <w:jc w:val="both"/>
        <w:rPr>
          <w:rFonts w:ascii="Verdana" w:eastAsia="Calibri" w:hAnsi="Verdana" w:cs="Arial"/>
          <w:highlight w:val="cyan"/>
          <w:lang w:val="es-ES" w:eastAsia="es-ES"/>
        </w:rPr>
      </w:pPr>
    </w:p>
    <w:p w14:paraId="4FABA850" w14:textId="77777777" w:rsidR="009775DD" w:rsidRPr="004B7C11" w:rsidRDefault="009775DD" w:rsidP="009775DD">
      <w:pPr>
        <w:spacing w:after="0" w:line="240" w:lineRule="auto"/>
        <w:ind w:left="709" w:right="709"/>
        <w:jc w:val="both"/>
        <w:rPr>
          <w:rFonts w:ascii="Verdana" w:hAnsi="Verdana" w:cs="Arial"/>
          <w:sz w:val="20"/>
          <w:szCs w:val="20"/>
        </w:rPr>
      </w:pPr>
      <w:r w:rsidRPr="00470CF3">
        <w:rPr>
          <w:rFonts w:ascii="Verdana" w:eastAsia="Century Gothic" w:hAnsi="Verdana" w:cs="Arial"/>
          <w:sz w:val="20"/>
          <w:szCs w:val="20"/>
        </w:rPr>
        <w:t>“[…]</w:t>
      </w:r>
      <w:r w:rsidRPr="00470CF3">
        <w:rPr>
          <w:rFonts w:ascii="Verdana" w:hAnsi="Verdana" w:cs="Arial"/>
          <w:sz w:val="20"/>
          <w:szCs w:val="20"/>
        </w:rPr>
        <w:t xml:space="preserve"> </w:t>
      </w:r>
      <w:r w:rsidRPr="004B7C11">
        <w:rPr>
          <w:rFonts w:ascii="Verdana" w:hAnsi="Verdana" w:cs="Arial"/>
          <w:sz w:val="20"/>
          <w:szCs w:val="20"/>
        </w:rPr>
        <w:t xml:space="preserve">El puntaje de emprendimiento de mujer se tiene en cuenta cuando es menor de edad (-18) que es accionista, y tiene un puntaje de participación mayor al 50% ¿Esto le da el derecho a obtener el puntaje de ponderación? </w:t>
      </w:r>
      <w:r w:rsidRPr="00470CF3">
        <w:rPr>
          <w:rFonts w:ascii="Verdana" w:eastAsia="Century Gothic" w:hAnsi="Verdana" w:cs="Arial"/>
          <w:sz w:val="20"/>
          <w:szCs w:val="20"/>
        </w:rPr>
        <w:t>[…]”</w:t>
      </w:r>
    </w:p>
    <w:p w14:paraId="0764D3D1" w14:textId="77777777" w:rsidR="009775DD" w:rsidRPr="00470CF3" w:rsidRDefault="009775DD" w:rsidP="009775DD">
      <w:pPr>
        <w:spacing w:after="0" w:line="276" w:lineRule="auto"/>
        <w:jc w:val="both"/>
        <w:rPr>
          <w:rFonts w:ascii="Verdana" w:hAnsi="Verdana" w:cs="Arial"/>
          <w:highlight w:val="cyan"/>
          <w:lang w:val="es-ES"/>
        </w:rPr>
      </w:pPr>
    </w:p>
    <w:p w14:paraId="421EA8BB" w14:textId="77777777" w:rsidR="009775DD" w:rsidRPr="00470CF3" w:rsidRDefault="009775DD" w:rsidP="009775DD">
      <w:pPr>
        <w:spacing w:after="120" w:line="276" w:lineRule="auto"/>
        <w:ind w:firstLine="709"/>
        <w:jc w:val="both"/>
        <w:rPr>
          <w:rFonts w:ascii="Verdana" w:eastAsia="Calibri" w:hAnsi="Verdana" w:cs="Arial"/>
          <w:color w:val="000000"/>
          <w:lang w:val="es-ES_tradnl" w:eastAsia="es-ES_tradnl"/>
        </w:rPr>
      </w:pPr>
      <w:r w:rsidRPr="00470CF3">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470CF3">
        <w:rPr>
          <w:rFonts w:ascii="Verdana" w:eastAsia="Calibri" w:hAnsi="Verdana" w:cs="Arial"/>
          <w:color w:val="000000"/>
          <w:lang w:val="es-ES" w:eastAsia="es-ES"/>
        </w:rPr>
        <w:lastRenderedPageBreak/>
        <w:t>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2D3BE36E" w14:textId="77777777" w:rsidR="009775DD" w:rsidRPr="00470CF3" w:rsidRDefault="009775DD" w:rsidP="009775DD">
      <w:pPr>
        <w:spacing w:after="0" w:line="276" w:lineRule="auto"/>
        <w:ind w:firstLine="709"/>
        <w:jc w:val="both"/>
        <w:rPr>
          <w:rFonts w:ascii="Verdana" w:eastAsia="Calibri" w:hAnsi="Verdana" w:cs="Arial"/>
          <w:color w:val="000000"/>
          <w:lang w:val="es-ES" w:eastAsia="es-ES"/>
        </w:rPr>
      </w:pPr>
      <w:r w:rsidRPr="00470CF3">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D90B01A" w14:textId="77777777" w:rsidR="009775DD" w:rsidRPr="00470CF3" w:rsidRDefault="009775DD" w:rsidP="009775DD">
      <w:pPr>
        <w:spacing w:after="0"/>
        <w:jc w:val="both"/>
        <w:rPr>
          <w:rStyle w:val="Hipervnculo"/>
          <w:rFonts w:ascii="Verdana" w:hAnsi="Verdana"/>
          <w:highlight w:val="cyan"/>
          <w:lang w:val="es-ES"/>
        </w:rPr>
      </w:pPr>
    </w:p>
    <w:p w14:paraId="62C0B7AD" w14:textId="77777777" w:rsidR="009775DD" w:rsidRPr="00470CF3" w:rsidRDefault="009775DD" w:rsidP="009775DD">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470CF3">
        <w:rPr>
          <w:rFonts w:ascii="Verdana" w:eastAsia="Century Gothic" w:hAnsi="Verdana" w:cs="Arial"/>
          <w:b/>
          <w:bCs/>
        </w:rPr>
        <w:t>Problema planteado:</w:t>
      </w:r>
    </w:p>
    <w:p w14:paraId="165346C9" w14:textId="77777777" w:rsidR="009775DD" w:rsidRPr="00470CF3" w:rsidRDefault="009775DD" w:rsidP="009775DD">
      <w:pPr>
        <w:spacing w:after="0"/>
        <w:jc w:val="both"/>
        <w:rPr>
          <w:rStyle w:val="Hipervnculo"/>
          <w:rFonts w:ascii="Verdana" w:hAnsi="Verdana" w:cs="Arial"/>
          <w:highlight w:val="cyan"/>
        </w:rPr>
      </w:pPr>
    </w:p>
    <w:p w14:paraId="13CF45D1" w14:textId="77777777" w:rsidR="009775DD" w:rsidRPr="00470CF3" w:rsidRDefault="009775DD" w:rsidP="009775DD">
      <w:pPr>
        <w:spacing w:after="0" w:line="276" w:lineRule="auto"/>
        <w:jc w:val="both"/>
        <w:rPr>
          <w:rFonts w:ascii="Verdana" w:eastAsia="Century Gothic" w:hAnsi="Verdana" w:cs="Arial"/>
        </w:rPr>
      </w:pPr>
      <w:r w:rsidRPr="00470CF3">
        <w:rPr>
          <w:rFonts w:ascii="Verdana" w:eastAsia="Century Gothic" w:hAnsi="Verdana" w:cs="Arial"/>
        </w:rPr>
        <w:t xml:space="preserve">De acuerdo con el contenido de su solicitud, esta Agencia resolverá el siguiente problema jurídico: </w:t>
      </w:r>
      <w:r w:rsidRPr="00470CF3">
        <w:rPr>
          <w:rFonts w:ascii="Verdana" w:eastAsia="Calibri" w:hAnsi="Verdana" w:cs="Arial"/>
          <w:lang w:val="es-ES" w:eastAsia="es-ES_tradnl"/>
        </w:rPr>
        <w:t xml:space="preserve">¿Puede </w:t>
      </w:r>
      <w:r w:rsidRPr="00470CF3">
        <w:rPr>
          <w:rFonts w:ascii="Verdana" w:eastAsia="Century Gothic" w:hAnsi="Verdana" w:cs="Century Gothic"/>
        </w:rPr>
        <w:t xml:space="preserve">acreditarse la condición de Emprendimientos y Empresas de Mujeres conforme a lo dispuesto en el numeral primero del artículo </w:t>
      </w:r>
      <w:r w:rsidRPr="00470CF3">
        <w:rPr>
          <w:rFonts w:ascii="Verdana" w:eastAsia="Calibri" w:hAnsi="Verdana" w:cs="Arial"/>
          <w:lang w:val="es-ES" w:eastAsia="es-ES_tradnl"/>
        </w:rPr>
        <w:t>2.2.1.2.4.2.14 del Decreto 1082 de 2015 cuando una o algunas de las accionistas son mujeres menores de edad?</w:t>
      </w:r>
    </w:p>
    <w:p w14:paraId="11B630A1" w14:textId="77777777" w:rsidR="009775DD" w:rsidRPr="00470CF3" w:rsidRDefault="009775DD" w:rsidP="009775DD">
      <w:pPr>
        <w:spacing w:after="0" w:line="276" w:lineRule="auto"/>
        <w:jc w:val="both"/>
        <w:rPr>
          <w:rStyle w:val="Hipervnculo"/>
          <w:rFonts w:ascii="Verdana" w:hAnsi="Verdana" w:cs="Arial"/>
          <w:lang w:val="es-ES"/>
        </w:rPr>
      </w:pPr>
    </w:p>
    <w:p w14:paraId="157451D4" w14:textId="77777777" w:rsidR="009775DD" w:rsidRPr="00470CF3" w:rsidRDefault="009775DD" w:rsidP="009775DD">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470CF3">
        <w:rPr>
          <w:rFonts w:ascii="Verdana" w:eastAsia="Arial" w:hAnsi="Verdana" w:cs="Arial"/>
          <w:b/>
          <w:bCs/>
        </w:rPr>
        <w:t>Respuesta:</w:t>
      </w:r>
    </w:p>
    <w:p w14:paraId="2A73F47B" w14:textId="77777777" w:rsidR="009775DD" w:rsidRPr="00470CF3" w:rsidRDefault="009775DD" w:rsidP="009775DD">
      <w:pPr>
        <w:spacing w:after="0"/>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775DD" w:rsidRPr="00470CF3" w14:paraId="2A82FB5D" w14:textId="77777777" w:rsidTr="00211F61">
        <w:trPr>
          <w:trHeight w:val="632"/>
        </w:trPr>
        <w:tc>
          <w:tcPr>
            <w:tcW w:w="8828" w:type="dxa"/>
          </w:tcPr>
          <w:p w14:paraId="3D76CA95" w14:textId="77777777" w:rsidR="009775DD" w:rsidRPr="00470CF3" w:rsidRDefault="009775DD" w:rsidP="00211F61">
            <w:pPr>
              <w:spacing w:after="120" w:line="276" w:lineRule="auto"/>
              <w:jc w:val="both"/>
              <w:rPr>
                <w:rFonts w:ascii="Verdana" w:eastAsia="Calibri" w:hAnsi="Verdana" w:cs="Arial"/>
                <w:lang w:val="es-ES"/>
              </w:rPr>
            </w:pPr>
            <w:bookmarkStart w:id="1" w:name="_Hlk171067516"/>
            <w:r w:rsidRPr="00470CF3">
              <w:rPr>
                <w:rFonts w:ascii="Verdana" w:eastAsia="Calibri" w:hAnsi="Verdana" w:cs="Arial"/>
                <w:lang w:val="es-ES"/>
              </w:rPr>
              <w:t>En respuesta al problema planteado</w:t>
            </w:r>
            <w:r>
              <w:rPr>
                <w:rFonts w:ascii="Verdana" w:eastAsia="Calibri" w:hAnsi="Verdana" w:cs="Arial"/>
                <w:lang w:val="es-ES"/>
              </w:rPr>
              <w:t>,</w:t>
            </w:r>
            <w:r w:rsidRPr="00470CF3">
              <w:rPr>
                <w:rFonts w:ascii="Verdana" w:eastAsia="Calibri" w:hAnsi="Verdana" w:cs="Arial"/>
                <w:lang w:val="es-ES"/>
              </w:rPr>
              <w:t xml:space="preserve"> esta Subdirección manifiesta lo siguiente:</w:t>
            </w:r>
          </w:p>
          <w:p w14:paraId="11467CF0" w14:textId="77777777" w:rsidR="009775DD" w:rsidRPr="00470CF3" w:rsidRDefault="009775DD" w:rsidP="00211F61">
            <w:pPr>
              <w:spacing w:after="120" w:line="276" w:lineRule="auto"/>
              <w:jc w:val="both"/>
              <w:rPr>
                <w:rFonts w:ascii="Verdana" w:eastAsia="Calibri" w:hAnsi="Verdana" w:cs="Arial"/>
                <w:lang w:val="es-ES_tradnl" w:eastAsia="es-ES_tradnl"/>
              </w:rPr>
            </w:pPr>
            <w:r w:rsidRPr="00470CF3">
              <w:rPr>
                <w:rFonts w:ascii="Verdana" w:eastAsia="Calibri" w:hAnsi="Verdana" w:cs="Arial"/>
                <w:lang w:val="es-ES" w:eastAsia="es-ES_tradnl"/>
              </w:rPr>
              <w:t>El artículo 2.2.1.2.4.2.14 del Decreto 1082 de 2015 – modificado por el decreto 1860 de 2021 – establece las condiciones y requisitos en atención a los cuales se definen los emprendimientos y empresas de mujeres, a las que les aplican los criterios diferenciales. Para estos efectos, cada uno de los cuatro (4) numerales de la norma establecen unas condiciones alternativas que definen los emprendimientos y empresas de mujeres.</w:t>
            </w:r>
            <w:r w:rsidRPr="00470CF3">
              <w:rPr>
                <w:rFonts w:ascii="Verdana" w:eastAsia="Calibri" w:hAnsi="Verdana" w:cs="Arial"/>
                <w:lang w:val="es-ES_tradnl" w:eastAsia="es-ES_tradnl"/>
              </w:rPr>
              <w:t xml:space="preserve"> </w:t>
            </w:r>
          </w:p>
          <w:p w14:paraId="5833CF9D" w14:textId="77777777" w:rsidR="009775DD" w:rsidRPr="00470CF3" w:rsidRDefault="009775DD" w:rsidP="00211F61">
            <w:pPr>
              <w:spacing w:after="120" w:line="276" w:lineRule="auto"/>
              <w:ind w:firstLine="708"/>
              <w:jc w:val="both"/>
              <w:rPr>
                <w:rFonts w:ascii="Verdana" w:eastAsia="Calibri" w:hAnsi="Verdana" w:cs="Arial"/>
                <w:lang w:val="es-ES_tradnl" w:eastAsia="es-ES_tradnl"/>
              </w:rPr>
            </w:pPr>
            <w:r w:rsidRPr="00470CF3">
              <w:rPr>
                <w:rFonts w:ascii="Verdana" w:eastAsia="Calibri" w:hAnsi="Verdana" w:cs="Arial"/>
                <w:lang w:val="es-ES_tradnl" w:eastAsia="es-ES_tradnl"/>
              </w:rPr>
              <w:t>Particularmente, el numeral primero del referido numeral establece que se considera emprendimientos y empresas de mujeres “</w:t>
            </w:r>
            <w:r w:rsidRPr="00470CF3">
              <w:rPr>
                <w:rFonts w:ascii="Verdana" w:eastAsia="Times New Roman" w:hAnsi="Verdana" w:cs="Arial"/>
                <w:i/>
                <w:iCs/>
                <w:lang w:eastAsia="es-CO"/>
              </w:rPr>
              <w:t xml:space="preserve">Cuando más del cincuenta por ciento (50%) de las acciones, partes de interés o cuotas de </w:t>
            </w:r>
            <w:r w:rsidRPr="00470CF3">
              <w:rPr>
                <w:rFonts w:ascii="Verdana" w:eastAsia="Times New Roman" w:hAnsi="Verdana" w:cs="Arial"/>
                <w:i/>
                <w:iCs/>
                <w:lang w:eastAsia="es-CO"/>
              </w:rPr>
              <w:lastRenderedPageBreak/>
              <w:t>participación de la persona jurídica pertenezcan a mujeres y los derechos de propiedad hayan pertenecido a estas durante al menos el último año anterior a la fecha de cierre del Proceso de Selección.</w:t>
            </w:r>
            <w:r w:rsidRPr="00470CF3">
              <w:rPr>
                <w:rFonts w:ascii="Verdana" w:eastAsia="Calibri" w:hAnsi="Verdana" w:cs="Arial"/>
                <w:lang w:val="es-ES_tradnl" w:eastAsia="es-ES_tradnl"/>
              </w:rPr>
              <w:t xml:space="preserve">” Este supuesto, se acreditará, con una certificación expedida por el representante legal y el revisor fiscal, cuando exista de acuerdo con los requerimientos de ley, o el contador, donde constante la distribución de los derechos de sociedad y el tiempo en el que las mujeres ha mantenido su participación. </w:t>
            </w:r>
          </w:p>
          <w:p w14:paraId="56B09E5D" w14:textId="77777777" w:rsidR="009775DD" w:rsidRDefault="009775DD" w:rsidP="00211F61">
            <w:pPr>
              <w:spacing w:after="120" w:line="276" w:lineRule="auto"/>
              <w:ind w:firstLine="709"/>
              <w:jc w:val="both"/>
              <w:rPr>
                <w:rFonts w:ascii="Verdana" w:eastAsia="Calibri" w:hAnsi="Verdana" w:cs="Arial"/>
                <w:lang w:val="es-ES" w:eastAsia="es-ES"/>
              </w:rPr>
            </w:pPr>
            <w:r w:rsidRPr="607FDB73">
              <w:rPr>
                <w:rFonts w:ascii="Verdana" w:eastAsia="Calibri" w:hAnsi="Verdana" w:cs="Arial"/>
                <w:lang w:val="es-ES" w:eastAsia="es-ES"/>
              </w:rPr>
              <w:t>En atención a la pregunta planteada, debe señalarse que, de acuerdo con el artículo 98 del Código de Comercio, las sociedades legalmente constituidas conforman una persona jurídica distinta de los socios o accionistas que la integran. En ese sentido, respecto al evento en su consulta, es necesario distinguir entre la persona jurídica y los socios que hacen parte de ella. Por ello, en el marco de un proceso de contratación deberá determinarse la calidad de la persona que funge como proponente, pues si el oferente es persona jurídica se deberá determinar si esta, como persona distinta de sus socios individualmente considerados, cumple con los requisitos exigidos no solo para participar en el proceso sino también para ser acreedor de los criterios establecidos.</w:t>
            </w:r>
          </w:p>
          <w:p w14:paraId="50B837F1" w14:textId="77777777" w:rsidR="009775DD" w:rsidRDefault="009775DD" w:rsidP="00211F61">
            <w:pPr>
              <w:spacing w:after="120" w:line="276" w:lineRule="auto"/>
              <w:ind w:firstLine="709"/>
              <w:jc w:val="both"/>
              <w:rPr>
                <w:rFonts w:ascii="Verdana" w:eastAsia="Calibri" w:hAnsi="Verdana" w:cs="Arial"/>
                <w:lang w:val="es-ES_tradnl" w:eastAsia="es-ES_tradnl"/>
              </w:rPr>
            </w:pPr>
            <w:r>
              <w:rPr>
                <w:rFonts w:ascii="Verdana" w:eastAsia="Calibri" w:hAnsi="Verdana" w:cs="Arial"/>
              </w:rPr>
              <w:t xml:space="preserve">En sentido, independientemente de que la edad de los socios, accionistas o constituyentes, tratándose de un oferente que sea una persona jurídica, para determinar si puede o no ser beneficiario de los criterios diferenciales a favor de las empresas y emprendimientos de mujeres, debe determinarse que la persona jurídica cumpla con los requisitos antes expuestos. Nótese que el numeral primero del artículo </w:t>
            </w:r>
            <w:r w:rsidRPr="00470CF3">
              <w:rPr>
                <w:rFonts w:ascii="Verdana" w:eastAsia="Calibri" w:hAnsi="Verdana" w:cs="Arial"/>
                <w:lang w:eastAsia="es-ES_tradnl"/>
              </w:rPr>
              <w:t>2.2.1.2.4.2.14.</w:t>
            </w:r>
            <w:r>
              <w:rPr>
                <w:rFonts w:ascii="Verdana" w:eastAsia="Calibri" w:hAnsi="Verdana" w:cs="Arial"/>
                <w:lang w:eastAsia="es-ES_tradnl"/>
              </w:rPr>
              <w:t xml:space="preserve"> del Decreto 1082 de 2015 no hace ninguna distinción en la calidad de los socios, diferente a que el porcentaje de participación de mujeres y d</w:t>
            </w:r>
            <w:r w:rsidRPr="00A05973">
              <w:rPr>
                <w:rFonts w:ascii="Verdana" w:eastAsia="Calibri" w:hAnsi="Verdana" w:cs="Arial"/>
                <w:lang w:eastAsia="es-ES_tradnl"/>
              </w:rPr>
              <w:t>onde no distingue el legislador, no le es dado hacerlo al intérprete</w:t>
            </w:r>
            <w:r>
              <w:rPr>
                <w:rFonts w:ascii="Verdana" w:eastAsia="Calibri" w:hAnsi="Verdana" w:cs="Arial"/>
                <w:lang w:eastAsia="es-ES_tradnl"/>
              </w:rPr>
              <w:t xml:space="preserve">. </w:t>
            </w:r>
          </w:p>
          <w:p w14:paraId="4646F071" w14:textId="77777777" w:rsidR="009775DD" w:rsidRPr="00470CF3" w:rsidRDefault="009775DD" w:rsidP="00211F61">
            <w:pPr>
              <w:spacing w:after="120" w:line="276" w:lineRule="auto"/>
              <w:ind w:firstLine="708"/>
              <w:jc w:val="both"/>
              <w:rPr>
                <w:rFonts w:ascii="Verdana" w:eastAsia="Calibri" w:hAnsi="Verdana" w:cs="Arial"/>
                <w:lang w:val="es-ES_tradnl" w:eastAsia="es-ES_tradnl"/>
              </w:rPr>
            </w:pPr>
            <w:r w:rsidRPr="00470CF3">
              <w:rPr>
                <w:rFonts w:ascii="Verdana" w:eastAsia="Calibri" w:hAnsi="Verdana" w:cs="Arial"/>
                <w:lang w:val="es-ES_tradnl" w:eastAsia="es-ES_tradnl"/>
              </w:rPr>
              <w:t xml:space="preserve">En línea con lo expuesto, y teniendo en consideración que una de las finalidades de </w:t>
            </w:r>
            <w:r>
              <w:rPr>
                <w:rFonts w:ascii="Verdana" w:eastAsia="Calibri" w:hAnsi="Verdana" w:cs="Arial"/>
                <w:lang w:val="es-ES_tradnl" w:eastAsia="es-ES_tradnl"/>
              </w:rPr>
              <w:t>L</w:t>
            </w:r>
            <w:r w:rsidRPr="00470CF3">
              <w:rPr>
                <w:rFonts w:ascii="Verdana" w:eastAsia="Calibri" w:hAnsi="Verdana" w:cs="Arial"/>
                <w:lang w:val="es-ES_tradnl" w:eastAsia="es-ES_tradnl"/>
              </w:rPr>
              <w:t xml:space="preserve">ey de </w:t>
            </w:r>
            <w:r>
              <w:rPr>
                <w:rFonts w:ascii="Verdana" w:eastAsia="Calibri" w:hAnsi="Verdana" w:cs="Arial"/>
                <w:lang w:val="es-ES_tradnl" w:eastAsia="es-ES_tradnl"/>
              </w:rPr>
              <w:t>E</w:t>
            </w:r>
            <w:r w:rsidRPr="00470CF3">
              <w:rPr>
                <w:rFonts w:ascii="Verdana" w:eastAsia="Calibri" w:hAnsi="Verdana" w:cs="Arial"/>
                <w:lang w:val="es-ES_tradnl" w:eastAsia="es-ES_tradnl"/>
              </w:rPr>
              <w:t xml:space="preserve">mprendimiento se centra en propiciar el crecimiento, consolidación y sostenibilidad de los emprendimientos y empresas de mujeres, en aras en aumentar el bienestar social y generar equidad, es viable acreditar </w:t>
            </w:r>
            <w:r w:rsidRPr="00470CF3">
              <w:rPr>
                <w:rFonts w:ascii="Verdana" w:eastAsia="Century Gothic" w:hAnsi="Verdana" w:cs="Century Gothic"/>
              </w:rPr>
              <w:t xml:space="preserve">la condición de emprendimientos y empresas de mujeres conforme al numeral primero del artículo </w:t>
            </w:r>
            <w:r w:rsidRPr="00470CF3">
              <w:rPr>
                <w:rFonts w:ascii="Verdana" w:eastAsia="Calibri" w:hAnsi="Verdana" w:cs="Arial"/>
                <w:lang w:val="es-ES" w:eastAsia="es-ES_tradnl"/>
              </w:rPr>
              <w:t>2.2.1.2.4.2.14 del Decreto 1082 de 2015, cuando una o algunas de las accionistas sean mujeres menores de edad</w:t>
            </w:r>
            <w:r>
              <w:rPr>
                <w:rFonts w:ascii="Verdana" w:eastAsia="Calibri" w:hAnsi="Verdana" w:cs="Arial"/>
                <w:lang w:val="es-ES" w:eastAsia="es-ES_tradnl"/>
              </w:rPr>
              <w:t>. L</w:t>
            </w:r>
            <w:r w:rsidRPr="00470CF3">
              <w:rPr>
                <w:rFonts w:ascii="Verdana" w:eastAsia="Calibri" w:hAnsi="Verdana" w:cs="Arial"/>
                <w:lang w:val="es-ES" w:eastAsia="es-ES_tradnl"/>
              </w:rPr>
              <w:t>o anterior, siempre que se cumplan con los supuestos previstos en la mencionada</w:t>
            </w:r>
            <w:r>
              <w:rPr>
                <w:rFonts w:ascii="Verdana" w:eastAsia="Calibri" w:hAnsi="Verdana" w:cs="Arial"/>
                <w:lang w:val="es-ES" w:eastAsia="es-ES_tradnl"/>
              </w:rPr>
              <w:t xml:space="preserve"> norma</w:t>
            </w:r>
            <w:r w:rsidRPr="00470CF3">
              <w:rPr>
                <w:rFonts w:ascii="Verdana" w:eastAsia="Calibri" w:hAnsi="Verdana" w:cs="Arial"/>
                <w:lang w:val="es-ES" w:eastAsia="es-ES_tradnl"/>
              </w:rPr>
              <w:t xml:space="preserve">, </w:t>
            </w:r>
            <w:r w:rsidRPr="00470CF3">
              <w:rPr>
                <w:rFonts w:ascii="Verdana" w:eastAsia="Calibri" w:hAnsi="Verdana" w:cs="Arial"/>
                <w:lang w:val="es-ES" w:eastAsia="es-ES_tradnl"/>
              </w:rPr>
              <w:lastRenderedPageBreak/>
              <w:t>estos son: i) que l</w:t>
            </w:r>
            <w:r>
              <w:rPr>
                <w:rFonts w:ascii="Verdana" w:eastAsia="Calibri" w:hAnsi="Verdana" w:cs="Arial"/>
                <w:lang w:val="es-ES" w:eastAsia="es-ES_tradnl"/>
              </w:rPr>
              <w:t>a</w:t>
            </w:r>
            <w:r w:rsidRPr="00470CF3">
              <w:rPr>
                <w:rFonts w:ascii="Verdana" w:eastAsia="Calibri" w:hAnsi="Verdana" w:cs="Arial"/>
                <w:lang w:val="es-ES" w:eastAsia="es-ES_tradnl"/>
              </w:rPr>
              <w:t xml:space="preserve"> participación de más del </w:t>
            </w:r>
            <w:r>
              <w:rPr>
                <w:rFonts w:ascii="Verdana" w:eastAsia="Calibri" w:hAnsi="Verdana" w:cs="Arial"/>
                <w:lang w:val="es-ES" w:eastAsia="es-ES_tradnl"/>
              </w:rPr>
              <w:t>cincuenta por ciento</w:t>
            </w:r>
            <w:r w:rsidRPr="00470CF3">
              <w:rPr>
                <w:rFonts w:ascii="Verdana" w:eastAsia="Calibri" w:hAnsi="Verdana" w:cs="Arial"/>
                <w:lang w:val="es-ES" w:eastAsia="es-ES_tradnl"/>
              </w:rPr>
              <w:t xml:space="preserve"> </w:t>
            </w:r>
            <w:r>
              <w:rPr>
                <w:rFonts w:ascii="Verdana" w:eastAsia="Calibri" w:hAnsi="Verdana" w:cs="Arial"/>
                <w:lang w:val="es-ES" w:eastAsia="es-ES_tradnl"/>
              </w:rPr>
              <w:t>(</w:t>
            </w:r>
            <w:r w:rsidRPr="00470CF3">
              <w:rPr>
                <w:rFonts w:ascii="Verdana" w:eastAsia="Calibri" w:hAnsi="Verdana" w:cs="Arial"/>
                <w:lang w:val="es-ES" w:eastAsia="es-ES_tradnl"/>
              </w:rPr>
              <w:t>50%</w:t>
            </w:r>
            <w:r>
              <w:rPr>
                <w:rFonts w:ascii="Verdana" w:eastAsia="Calibri" w:hAnsi="Verdana" w:cs="Arial"/>
                <w:lang w:val="es-ES" w:eastAsia="es-ES_tradnl"/>
              </w:rPr>
              <w:t>)</w:t>
            </w:r>
            <w:r w:rsidRPr="00470CF3">
              <w:rPr>
                <w:rFonts w:ascii="Verdana" w:eastAsia="Calibri" w:hAnsi="Verdana" w:cs="Arial"/>
                <w:lang w:val="es-ES" w:eastAsia="es-ES_tradnl"/>
              </w:rPr>
              <w:t xml:space="preserve"> de las acciones, partes de interés o cuotas de participación pertenezcan a mujeres; ii) y que los derechos de propiedad hayan pertenecido a estas por lo menos el último año anterior a la fecha del cierre del proceso de selección. </w:t>
            </w:r>
            <w:r w:rsidRPr="00470CF3">
              <w:rPr>
                <w:rFonts w:ascii="Verdana" w:eastAsia="Calibri" w:hAnsi="Verdana" w:cs="Arial"/>
                <w:lang w:val="es-ES_tradnl" w:eastAsia="es-ES_tradnl"/>
              </w:rPr>
              <w:t xml:space="preserve"> </w:t>
            </w:r>
          </w:p>
        </w:tc>
      </w:tr>
      <w:bookmarkEnd w:id="1"/>
    </w:tbl>
    <w:p w14:paraId="7DF1F03B" w14:textId="77777777" w:rsidR="009775DD" w:rsidRPr="00470CF3" w:rsidRDefault="009775DD" w:rsidP="009775DD">
      <w:pPr>
        <w:widowControl w:val="0"/>
        <w:autoSpaceDE w:val="0"/>
        <w:autoSpaceDN w:val="0"/>
        <w:spacing w:after="0" w:line="240" w:lineRule="auto"/>
        <w:ind w:left="360" w:hanging="360"/>
        <w:outlineLvl w:val="0"/>
        <w:rPr>
          <w:rFonts w:ascii="Verdana" w:eastAsia="Arial" w:hAnsi="Verdana" w:cs="Arial"/>
          <w:b/>
          <w:bCs/>
          <w:lang w:val="es-ES"/>
        </w:rPr>
      </w:pPr>
    </w:p>
    <w:p w14:paraId="4599F248" w14:textId="77777777" w:rsidR="009775DD" w:rsidRPr="00470CF3" w:rsidRDefault="009775DD" w:rsidP="009775DD">
      <w:pPr>
        <w:widowControl w:val="0"/>
        <w:autoSpaceDE w:val="0"/>
        <w:autoSpaceDN w:val="0"/>
        <w:spacing w:after="0" w:line="240" w:lineRule="auto"/>
        <w:ind w:left="360" w:hanging="360"/>
        <w:outlineLvl w:val="0"/>
        <w:rPr>
          <w:rFonts w:ascii="Verdana" w:eastAsia="Arial" w:hAnsi="Verdana" w:cs="Arial"/>
          <w:b/>
          <w:bCs/>
          <w:lang w:val="es-ES"/>
        </w:rPr>
      </w:pPr>
      <w:r w:rsidRPr="00470CF3">
        <w:rPr>
          <w:rFonts w:ascii="Verdana" w:eastAsia="Arial" w:hAnsi="Verdana" w:cs="Arial"/>
          <w:b/>
          <w:bCs/>
          <w:lang w:val="es-ES"/>
        </w:rPr>
        <w:t>3. Razones de la respuesta:</w:t>
      </w:r>
    </w:p>
    <w:p w14:paraId="3DF08EE5" w14:textId="77777777" w:rsidR="009775DD" w:rsidRPr="00470CF3" w:rsidRDefault="009775DD" w:rsidP="009775DD">
      <w:pPr>
        <w:spacing w:after="0" w:line="276" w:lineRule="auto"/>
        <w:jc w:val="both"/>
        <w:rPr>
          <w:rFonts w:ascii="Verdana" w:eastAsia="Calibri" w:hAnsi="Verdana" w:cs="Arial"/>
          <w:lang w:val="es-ES"/>
        </w:rPr>
      </w:pPr>
    </w:p>
    <w:p w14:paraId="50A6BFC2" w14:textId="77777777" w:rsidR="009775DD" w:rsidRPr="00470CF3" w:rsidRDefault="009775DD" w:rsidP="009775DD">
      <w:pPr>
        <w:spacing w:after="0" w:line="276" w:lineRule="auto"/>
        <w:jc w:val="both"/>
        <w:rPr>
          <w:rFonts w:ascii="Verdana" w:eastAsia="Calibri" w:hAnsi="Verdana" w:cs="Arial"/>
          <w:lang w:val="es-ES"/>
        </w:rPr>
      </w:pPr>
      <w:r w:rsidRPr="00470CF3">
        <w:rPr>
          <w:rFonts w:ascii="Verdana" w:eastAsia="Calibri" w:hAnsi="Verdana" w:cs="Arial"/>
          <w:lang w:val="es-ES"/>
        </w:rPr>
        <w:t>La respuesta anterior se sustenta en las siguientes consideraciones:</w:t>
      </w:r>
    </w:p>
    <w:p w14:paraId="281743C7" w14:textId="77777777" w:rsidR="009775DD" w:rsidRPr="00470CF3" w:rsidRDefault="009775DD" w:rsidP="009775DD">
      <w:pPr>
        <w:spacing w:after="0" w:line="276" w:lineRule="auto"/>
        <w:jc w:val="both"/>
        <w:rPr>
          <w:rFonts w:ascii="Verdana" w:eastAsia="Calibri" w:hAnsi="Verdana" w:cs="Arial"/>
          <w:lang w:val="es-ES"/>
        </w:rPr>
      </w:pPr>
    </w:p>
    <w:p w14:paraId="1F8FFC04" w14:textId="77777777" w:rsidR="009775DD" w:rsidRPr="00470CF3" w:rsidRDefault="009775DD" w:rsidP="009775DD">
      <w:pPr>
        <w:spacing w:after="120" w:line="276" w:lineRule="auto"/>
        <w:jc w:val="both"/>
        <w:rPr>
          <w:rFonts w:ascii="Verdana" w:eastAsia="Calibri" w:hAnsi="Verdana" w:cs="Arial"/>
          <w:lang w:val="es-ES_tradnl" w:eastAsia="es-ES_tradnl"/>
        </w:rPr>
      </w:pPr>
      <w:r w:rsidRPr="00470CF3">
        <w:rPr>
          <w:rFonts w:ascii="Verdana" w:eastAsia="Calibri" w:hAnsi="Verdana" w:cs="Arial"/>
          <w:lang w:val="es-ES"/>
        </w:rPr>
        <w:t xml:space="preserve">Respecto del objeto de su consulta debe advertirse que, </w:t>
      </w:r>
      <w:r w:rsidRPr="00470CF3">
        <w:rPr>
          <w:rFonts w:ascii="Verdana" w:eastAsia="Calibri" w:hAnsi="Verdana" w:cs="Arial"/>
          <w:lang w:val="es-ES_tradnl" w:eastAsia="es-ES_tradnl"/>
        </w:rPr>
        <w:t>el 31 de diciembre de 2020 se promulgó la Ley 2069, “Por medio de la cual se impulsa el emprendimiento en Colombia”. Como dispone el artículo 1, aquella “tiene por objeto establecer un marco regulatorio que propicie el emprendimiento y el crecimiento, consolidación y sostenibilidad de las empresas, con el fin de aumentar el bienestar social y generar equidad”</w:t>
      </w:r>
      <w:r w:rsidRPr="00470CF3">
        <w:rPr>
          <w:rFonts w:ascii="Verdana" w:eastAsia="Calibri" w:hAnsi="Verdana" w:cs="Arial"/>
          <w:vertAlign w:val="superscript"/>
          <w:lang w:val="es-ES_tradnl" w:eastAsia="es-ES_tradnl"/>
        </w:rPr>
        <w:footnoteReference w:id="1"/>
      </w:r>
      <w:r w:rsidRPr="00470CF3">
        <w:rPr>
          <w:rFonts w:ascii="Verdana" w:eastAsia="Calibri" w:hAnsi="Verdana" w:cs="Arial"/>
          <w:lang w:val="es-ES_tradnl" w:eastAsia="es-ES_tradnl"/>
        </w:rPr>
        <w:t xml:space="preserve">. Esto, a partir de “[…] un enfoque regionalizado de acuerdo con las realidades socioeconómicas de cada región”. </w:t>
      </w:r>
    </w:p>
    <w:p w14:paraId="71C3ED4F" w14:textId="77777777" w:rsidR="009775DD" w:rsidRPr="00470CF3" w:rsidRDefault="009775DD" w:rsidP="009775DD">
      <w:pPr>
        <w:spacing w:after="120" w:line="276" w:lineRule="auto"/>
        <w:ind w:firstLine="708"/>
        <w:jc w:val="both"/>
        <w:rPr>
          <w:rFonts w:ascii="Verdana" w:eastAsia="Calibri" w:hAnsi="Verdana" w:cs="Arial"/>
          <w:lang w:val="es-ES" w:eastAsia="es-ES"/>
        </w:rPr>
      </w:pPr>
      <w:r w:rsidRPr="77DDC22B">
        <w:rPr>
          <w:rFonts w:ascii="Verdana" w:eastAsia="Calibri" w:hAnsi="Verdana" w:cs="Arial"/>
          <w:lang w:val="es-ES" w:eastAsia="es-ES"/>
        </w:rPr>
        <w:t>En desarrollo de esta finalidad, se establecen medidas de apoyo para las micro, pequeñas y medianas empresas –Mipymes–, mediante la racionalización y simplificación de los trámites y tarifas</w:t>
      </w:r>
      <w:r w:rsidRPr="77DDC22B">
        <w:rPr>
          <w:rFonts w:ascii="Verdana" w:eastAsia="Calibri" w:hAnsi="Verdana" w:cs="Arial"/>
          <w:vertAlign w:val="superscript"/>
          <w:lang w:val="es-ES" w:eastAsia="es-ES"/>
        </w:rPr>
        <w:footnoteReference w:id="2"/>
      </w:r>
      <w:r w:rsidRPr="77DDC22B">
        <w:rPr>
          <w:rFonts w:ascii="Verdana" w:eastAsia="Calibri" w:hAnsi="Verdana" w:cs="Arial"/>
          <w:lang w:val="es-ES" w:eastAsia="es-ES"/>
        </w:rPr>
        <w:t>, así como incentivos a favor de aquellas dentro del sistema de compras y contratación pública</w:t>
      </w:r>
      <w:r w:rsidRPr="77DDC22B">
        <w:rPr>
          <w:rFonts w:ascii="Verdana" w:eastAsia="Calibri" w:hAnsi="Verdana" w:cs="Arial"/>
          <w:vertAlign w:val="superscript"/>
          <w:lang w:val="es-ES" w:eastAsia="es-ES"/>
        </w:rPr>
        <w:footnoteReference w:id="3"/>
      </w:r>
      <w:r w:rsidRPr="77DDC22B">
        <w:rPr>
          <w:rFonts w:ascii="Verdana" w:eastAsia="Calibri" w:hAnsi="Verdana" w:cs="Arial"/>
          <w:lang w:val="es-ES" w:eastAsia="es-ES"/>
        </w:rPr>
        <w:t>. También se consagran mecanismos de acceso al financiamiento</w:t>
      </w:r>
      <w:r w:rsidRPr="77DDC22B">
        <w:rPr>
          <w:rFonts w:ascii="Verdana" w:eastAsia="Calibri" w:hAnsi="Verdana" w:cs="Arial"/>
          <w:vertAlign w:val="superscript"/>
          <w:lang w:val="es-ES" w:eastAsia="es-ES"/>
        </w:rPr>
        <w:footnoteReference w:id="4"/>
      </w:r>
      <w:r w:rsidRPr="77DDC22B">
        <w:rPr>
          <w:rFonts w:ascii="Verdana" w:eastAsia="Calibri" w:hAnsi="Verdana" w:cs="Arial"/>
          <w:lang w:val="es-ES" w:eastAsia="es-ES"/>
        </w:rPr>
        <w:t>, se unifican las fuentes de emprendimiento y de desarrollo empresarial, para fortalecer y promover los distintos sectores de la economía</w:t>
      </w:r>
      <w:r w:rsidRPr="77DDC22B">
        <w:rPr>
          <w:rFonts w:ascii="Verdana" w:eastAsia="Calibri" w:hAnsi="Verdana" w:cs="Arial"/>
          <w:vertAlign w:val="superscript"/>
          <w:lang w:val="es-ES" w:eastAsia="es-ES"/>
        </w:rPr>
        <w:footnoteReference w:id="5"/>
      </w:r>
      <w:r w:rsidRPr="77DDC22B">
        <w:rPr>
          <w:rFonts w:ascii="Verdana" w:eastAsia="Calibri" w:hAnsi="Verdana" w:cs="Arial"/>
          <w:lang w:val="es-ES" w:eastAsia="es-ES"/>
        </w:rPr>
        <w:t xml:space="preserve"> y se prevén medidas de educación para el emprendimiento y la innovación</w:t>
      </w:r>
      <w:r w:rsidRPr="77DDC22B">
        <w:rPr>
          <w:rFonts w:ascii="Verdana" w:eastAsia="Calibri" w:hAnsi="Verdana" w:cs="Arial"/>
          <w:vertAlign w:val="superscript"/>
          <w:lang w:val="es-ES" w:eastAsia="es-ES"/>
        </w:rPr>
        <w:footnoteReference w:id="6"/>
      </w:r>
      <w:r w:rsidRPr="77DDC22B">
        <w:rPr>
          <w:rFonts w:ascii="Verdana" w:eastAsia="Calibri" w:hAnsi="Verdana" w:cs="Arial"/>
          <w:lang w:val="es-ES" w:eastAsia="es-ES"/>
        </w:rPr>
        <w:t>.</w:t>
      </w:r>
    </w:p>
    <w:p w14:paraId="0473D0F6" w14:textId="77777777" w:rsidR="009775DD" w:rsidRPr="00470CF3" w:rsidRDefault="009775DD" w:rsidP="009775DD">
      <w:pPr>
        <w:spacing w:after="0" w:line="276" w:lineRule="auto"/>
        <w:ind w:firstLine="709"/>
        <w:jc w:val="both"/>
        <w:rPr>
          <w:rFonts w:ascii="Verdana" w:eastAsia="Calibri" w:hAnsi="Verdana" w:cs="Arial"/>
          <w:bCs/>
          <w:lang w:eastAsia="es-ES_tradnl"/>
        </w:rPr>
      </w:pPr>
      <w:r w:rsidRPr="00470CF3">
        <w:rPr>
          <w:rFonts w:ascii="Verdana" w:eastAsia="Calibri" w:hAnsi="Verdana" w:cs="Arial"/>
          <w:lang w:val="es-ES_tradnl" w:eastAsia="es-ES_tradnl"/>
        </w:rPr>
        <w:lastRenderedPageBreak/>
        <w:t xml:space="preserve">Como se indicó, parte de la Ley 2069 contiene normas que modifican algunos aspectos de la contratación estatal para promover el emprendimiento. </w:t>
      </w:r>
      <w:r w:rsidRPr="00470CF3">
        <w:rPr>
          <w:rFonts w:ascii="Verdana" w:eastAsia="Calibri" w:hAnsi="Verdana" w:cs="Arial"/>
          <w:bCs/>
          <w:lang w:eastAsia="es-ES_tradnl"/>
        </w:rPr>
        <w:t xml:space="preserve">Particularmente, el artículo 32 </w:t>
      </w:r>
      <w:r w:rsidRPr="00470CF3">
        <w:rPr>
          <w:rFonts w:ascii="Verdana" w:eastAsia="Calibri" w:hAnsi="Verdana" w:cs="Arial"/>
          <w:bCs/>
          <w:i/>
          <w:iCs/>
          <w:lang w:eastAsia="es-ES_tradnl"/>
        </w:rPr>
        <w:t>ibidem</w:t>
      </w:r>
      <w:r w:rsidRPr="00470CF3">
        <w:rPr>
          <w:rFonts w:ascii="Verdana" w:eastAsia="Calibri" w:hAnsi="Verdana" w:cs="Arial"/>
          <w:bCs/>
          <w:vertAlign w:val="superscript"/>
          <w:lang w:eastAsia="es-ES_tradnl"/>
        </w:rPr>
        <w:footnoteReference w:id="7"/>
      </w:r>
      <w:r w:rsidRPr="00470CF3">
        <w:rPr>
          <w:rFonts w:ascii="Verdana" w:eastAsia="Calibri" w:hAnsi="Verdana" w:cs="Arial"/>
          <w:bCs/>
          <w:lang w:eastAsia="es-ES_tradnl"/>
        </w:rPr>
        <w:t xml:space="preserve"> regula criterios diferenciales y puntajes adicionales para los “emprendimientos y empresas de mujeres” en el sistema de compras y contratación pública. En relación con este aspecto, el inciso primero de la norma citada prescribe: </w:t>
      </w:r>
    </w:p>
    <w:p w14:paraId="6A241826" w14:textId="77777777" w:rsidR="009775DD" w:rsidRPr="00470CF3" w:rsidRDefault="009775DD" w:rsidP="009775DD">
      <w:pPr>
        <w:tabs>
          <w:tab w:val="left" w:pos="709"/>
        </w:tabs>
        <w:spacing w:after="0" w:line="276" w:lineRule="auto"/>
        <w:ind w:left="709" w:right="709"/>
        <w:contextualSpacing/>
        <w:jc w:val="both"/>
        <w:rPr>
          <w:rFonts w:ascii="Verdana" w:eastAsia="Calibri" w:hAnsi="Verdana" w:cs="Arial"/>
          <w:bCs/>
          <w:lang w:eastAsia="es-ES_tradnl"/>
        </w:rPr>
      </w:pPr>
    </w:p>
    <w:p w14:paraId="05BF5F25" w14:textId="77777777" w:rsidR="009775DD" w:rsidRPr="00470CF3" w:rsidRDefault="009775DD" w:rsidP="009775DD">
      <w:pPr>
        <w:tabs>
          <w:tab w:val="left" w:pos="709"/>
        </w:tabs>
        <w:spacing w:after="0" w:line="240" w:lineRule="auto"/>
        <w:ind w:left="709" w:right="709"/>
        <w:contextualSpacing/>
        <w:jc w:val="both"/>
        <w:rPr>
          <w:rFonts w:ascii="Verdana" w:eastAsia="Calibri" w:hAnsi="Verdana" w:cs="Arial"/>
          <w:bCs/>
          <w:sz w:val="20"/>
          <w:szCs w:val="20"/>
          <w:lang w:eastAsia="es-ES_tradnl"/>
        </w:rPr>
      </w:pPr>
      <w:r w:rsidRPr="00470CF3">
        <w:rPr>
          <w:rFonts w:ascii="Verdana" w:eastAsia="Calibri" w:hAnsi="Verdana" w:cs="Arial"/>
          <w:bCs/>
          <w:sz w:val="20"/>
          <w:szCs w:val="20"/>
          <w:lang w:eastAsia="es-ES_tradnl"/>
        </w:rPr>
        <w:t xml:space="preserve">“De acuerdo con el resultado del análisis del sector, las entidades estatales incluirán requisitos diferenciales y puntajes adicionales en los procesos de </w:t>
      </w:r>
      <w:bookmarkStart w:id="2" w:name="_Hlk63770487"/>
      <w:r w:rsidRPr="00470CF3">
        <w:rPr>
          <w:rFonts w:ascii="Verdana" w:eastAsia="Calibri" w:hAnsi="Verdana" w:cs="Arial"/>
          <w:bCs/>
          <w:sz w:val="20"/>
          <w:szCs w:val="20"/>
          <w:lang w:eastAsia="es-ES_tradnl"/>
        </w:rPr>
        <w:t>licitación pública, selección abreviada de menor cuantía y concurso de méritos</w:t>
      </w:r>
      <w:bookmarkEnd w:id="2"/>
      <w:r w:rsidRPr="00470CF3">
        <w:rPr>
          <w:rFonts w:ascii="Verdana" w:eastAsia="Calibri" w:hAnsi="Verdana" w:cs="Arial"/>
          <w:bCs/>
          <w:sz w:val="20"/>
          <w:szCs w:val="20"/>
          <w:lang w:eastAsia="es-ES_tradnl"/>
        </w:rPr>
        <w:t>,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p>
    <w:p w14:paraId="19B1D327" w14:textId="77777777" w:rsidR="009775DD" w:rsidRPr="00470CF3" w:rsidRDefault="009775DD" w:rsidP="009775DD">
      <w:pPr>
        <w:tabs>
          <w:tab w:val="left" w:pos="709"/>
        </w:tabs>
        <w:spacing w:after="0" w:line="276" w:lineRule="auto"/>
        <w:ind w:left="709" w:right="709"/>
        <w:contextualSpacing/>
        <w:jc w:val="both"/>
        <w:rPr>
          <w:rFonts w:ascii="Verdana" w:eastAsia="Calibri" w:hAnsi="Verdana" w:cs="Arial"/>
          <w:bCs/>
          <w:lang w:eastAsia="es-ES_tradnl"/>
        </w:rPr>
      </w:pPr>
    </w:p>
    <w:p w14:paraId="55FE484C" w14:textId="77777777" w:rsidR="009775DD" w:rsidRPr="00470CF3" w:rsidRDefault="009775DD" w:rsidP="009775DD">
      <w:pPr>
        <w:tabs>
          <w:tab w:val="left" w:pos="709"/>
        </w:tabs>
        <w:spacing w:after="120" w:line="276" w:lineRule="auto"/>
        <w:ind w:firstLine="709"/>
        <w:jc w:val="both"/>
        <w:rPr>
          <w:rFonts w:ascii="Verdana" w:eastAsia="Calibri" w:hAnsi="Verdana" w:cs="Arial"/>
          <w:bCs/>
          <w:lang w:eastAsia="es-ES_tradnl"/>
        </w:rPr>
      </w:pPr>
      <w:r w:rsidRPr="00470CF3">
        <w:rPr>
          <w:rFonts w:ascii="Verdana" w:eastAsia="Calibri" w:hAnsi="Verdana" w:cs="Arial"/>
          <w:bCs/>
          <w:lang w:eastAsia="es-ES_tradnl"/>
        </w:rPr>
        <w:t xml:space="preserve">De esta manera, los denominados “criterios diferenciales” del artículo señalado –que incluyen tanto los “requisitos diferenciales” como los “puntajes adicionales”– aplican a “[…] los procesos de licitación pública, selección abreviada de menor cuantía y concurso de méritos […]”, excluyendo las demás modalidades de selección del artículo 2 de la Ley 1150 de 2007. Así mismo, sin distinciones ulteriores, la norma en comento también se extiende a todos los procedimientos que realicen las Entidades Estatales excluidas de la Ley 80 de 1993.     </w:t>
      </w:r>
    </w:p>
    <w:p w14:paraId="1728703E" w14:textId="77777777" w:rsidR="009775DD" w:rsidRPr="00470CF3" w:rsidRDefault="009775DD" w:rsidP="009775DD">
      <w:pPr>
        <w:spacing w:after="120" w:line="276" w:lineRule="auto"/>
        <w:ind w:firstLine="709"/>
        <w:jc w:val="both"/>
        <w:rPr>
          <w:rFonts w:ascii="Verdana" w:eastAsia="Calibri" w:hAnsi="Verdana" w:cs="Arial"/>
          <w:lang w:val="es-ES_tradnl" w:eastAsia="es-ES_tradnl"/>
        </w:rPr>
      </w:pPr>
      <w:r w:rsidRPr="00470CF3">
        <w:rPr>
          <w:rFonts w:ascii="Verdana" w:eastAsia="Calibri" w:hAnsi="Verdana" w:cs="Arial"/>
          <w:bCs/>
          <w:lang w:eastAsia="es-ES_tradnl"/>
        </w:rPr>
        <w:t>No obstante, el artículo 32 de la Ley 2069 de 2020 alude a la necesidad del desarrollo normativo posterior. Al respecto, el parágrafo dispone que “La definición de emprendimientos y empresas de mujeres se reglamentará por el gobierno nacional”. En ese sentido, la aplicación de criterios diferenciales en favor de emprendimientos</w:t>
      </w:r>
      <w:r>
        <w:rPr>
          <w:rFonts w:ascii="Verdana" w:eastAsia="Calibri" w:hAnsi="Verdana" w:cs="Arial"/>
          <w:bCs/>
          <w:lang w:eastAsia="es-ES_tradnl"/>
        </w:rPr>
        <w:t xml:space="preserve"> y empresas</w:t>
      </w:r>
      <w:r w:rsidRPr="00470CF3">
        <w:rPr>
          <w:rFonts w:ascii="Verdana" w:eastAsia="Calibri" w:hAnsi="Verdana" w:cs="Arial"/>
          <w:bCs/>
          <w:lang w:eastAsia="es-ES_tradnl"/>
        </w:rPr>
        <w:t xml:space="preserve"> de mujeres estaba condicionada por el ejercicio de la potestad reglamentaria, en orden de establecer la regulación en </w:t>
      </w:r>
      <w:r w:rsidRPr="00470CF3">
        <w:rPr>
          <w:rFonts w:ascii="Verdana" w:eastAsia="Calibri" w:hAnsi="Verdana" w:cs="Arial"/>
          <w:bCs/>
          <w:lang w:eastAsia="es-ES_tradnl"/>
        </w:rPr>
        <w:lastRenderedPageBreak/>
        <w:t xml:space="preserve">marco de la cual las Entidades Estatales deben aplicar los criterios diferenciales establecidos en el artículo 32 de la Ley 2069 de 2020. </w:t>
      </w:r>
    </w:p>
    <w:p w14:paraId="0566ABD5" w14:textId="77777777" w:rsidR="009775DD" w:rsidRPr="00470CF3" w:rsidRDefault="009775DD" w:rsidP="009775DD">
      <w:pPr>
        <w:spacing w:after="120" w:line="276" w:lineRule="auto"/>
        <w:ind w:firstLine="709"/>
        <w:jc w:val="both"/>
        <w:rPr>
          <w:rFonts w:ascii="Verdana" w:eastAsia="Times New Roman" w:hAnsi="Verdana" w:cs="Arial"/>
          <w:lang w:eastAsia="es-CO"/>
        </w:rPr>
      </w:pPr>
      <w:r w:rsidRPr="00470CF3">
        <w:rPr>
          <w:rFonts w:ascii="Verdana" w:eastAsia="Calibri" w:hAnsi="Verdana" w:cs="Arial"/>
          <w:lang w:val="es-ES_tradnl" w:eastAsia="es-ES_tradnl"/>
        </w:rPr>
        <w:t>En este contexto, el pasado 24 de diciembre, el Gobierno Nacional expidió el Decreto 1860 de 2021</w:t>
      </w:r>
      <w:r w:rsidRPr="00470CF3">
        <w:rPr>
          <w:rFonts w:ascii="Verdana" w:eastAsia="Times New Roman" w:hAnsi="Verdana" w:cs="Arial"/>
          <w:lang w:eastAsia="es-ES_tradnl"/>
        </w:rPr>
        <w:t xml:space="preserve"> </w:t>
      </w:r>
      <w:r w:rsidRPr="00470CF3">
        <w:rPr>
          <w:rFonts w:ascii="Verdana" w:eastAsia="Calibri" w:hAnsi="Verdana" w:cs="Arial"/>
          <w:lang w:val="es-ES_tradnl" w:eastAsia="es-ES_tradnl"/>
        </w:rPr>
        <w:t xml:space="preserve">“Por el cual se modifica y adiciona el Decreto 1082 de 2015, Único Reglamentario del Sector Administrativo de Planeación Nacional, con el fin reglamentar los artículos 30, 31, 32, 34 y 35 de la Ley 2069 de 2020, en lo relativo al sistema de compras públicas y se dictan otras disposiciones”. En lo relativo al artículo 32 de la Ley 2069 de 2020, el artículo 3 del Decreto 1860 de 2021 adiciona los artículos 2.2.1.2.4.2.14 y 2.2.1.2.4.2.15 a la Subsección 2 de la Sección 4 del Capítulo 2 del Título 1 de la Parte 2 del Libro 2 del Decreto 1082 de 2015. La primera de las normas adicionadas consagra la definición de emprendimientos y empresas de mujeres, mientras que la segunda establece los criterios diferenciales incluyendo los puntajes adicionales y regula su aplicación. </w:t>
      </w:r>
    </w:p>
    <w:p w14:paraId="4EDAAB6C" w14:textId="77777777" w:rsidR="009775DD" w:rsidRPr="00470CF3" w:rsidRDefault="009775DD" w:rsidP="009775DD">
      <w:pPr>
        <w:spacing w:after="0" w:line="276" w:lineRule="auto"/>
        <w:ind w:firstLine="709"/>
        <w:jc w:val="both"/>
        <w:rPr>
          <w:rFonts w:ascii="Verdana" w:eastAsia="Calibri" w:hAnsi="Verdana" w:cs="Arial"/>
          <w:lang w:val="es-ES" w:eastAsia="es-ES_tradnl"/>
        </w:rPr>
      </w:pPr>
      <w:r w:rsidRPr="00470CF3">
        <w:rPr>
          <w:rFonts w:ascii="Verdana" w:eastAsia="Calibri" w:hAnsi="Verdana" w:cs="Arial"/>
          <w:lang w:val="es-ES" w:eastAsia="es-ES_tradnl"/>
        </w:rPr>
        <w:t xml:space="preserve">Así las cosas, el artículo 2.2.1.2.4.2.14 al Decreto 1082 de 2015 establece las condiciones y requisitos en atención a los cuales se definen los emprendimientos y empresas de mujeres, a las que les aplican los criterios diferenciales. Para estos efectos, cada uno de los cuatro (4) numerales de la norma establecen unas condiciones alternativas que definen los emprendimientos y empresas de mujeres, a efectos de aplicar los criterios diferenciales, en los siguientes términos:   </w:t>
      </w:r>
    </w:p>
    <w:p w14:paraId="35EF2C0C" w14:textId="77777777" w:rsidR="009775DD" w:rsidRPr="00470CF3" w:rsidRDefault="009775DD" w:rsidP="009775DD">
      <w:pPr>
        <w:spacing w:after="0" w:line="276" w:lineRule="auto"/>
        <w:contextualSpacing/>
        <w:jc w:val="both"/>
        <w:rPr>
          <w:rFonts w:ascii="Verdana" w:eastAsia="Calibri" w:hAnsi="Verdana" w:cs="Arial"/>
          <w:lang w:val="es-ES_tradnl" w:eastAsia="es-ES_tradnl"/>
        </w:rPr>
      </w:pPr>
    </w:p>
    <w:p w14:paraId="33798BB9"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470CF3">
        <w:rPr>
          <w:rFonts w:ascii="Verdana" w:eastAsia="Times New Roman" w:hAnsi="Verdana" w:cs="Arial"/>
          <w:sz w:val="20"/>
          <w:szCs w:val="20"/>
          <w:lang w:eastAsia="es-CO"/>
        </w:rPr>
        <w:t>“Artículo 2.2.1.2.4.2.14. Definición de emprendimientos y empresas de mujeres. Con el propósito de adoptar medidas afirmativas que incentiven la participación de las mujeres en el sistema de compras públicas, se entenderán como emprendimientos y empresas de mujeres aquellas que cumplan con alguna de las siguientes condiciones: </w:t>
      </w:r>
    </w:p>
    <w:p w14:paraId="58F1F6FF"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470CF3">
        <w:rPr>
          <w:rFonts w:ascii="Verdana" w:eastAsia="Times New Roman" w:hAnsi="Verdana" w:cs="Arial"/>
          <w:sz w:val="20"/>
          <w:szCs w:val="20"/>
          <w:lang w:eastAsia="es-CO"/>
        </w:rPr>
        <w:t>  </w:t>
      </w:r>
    </w:p>
    <w:p w14:paraId="559D76B8"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470CF3">
        <w:rPr>
          <w:rFonts w:ascii="Verdana" w:eastAsia="Times New Roman" w:hAnsi="Verdana" w:cs="Arial"/>
          <w:i/>
          <w:iCs/>
          <w:sz w:val="20"/>
          <w:szCs w:val="20"/>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14E041C5"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7A47DCA2"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470CF3">
        <w:rPr>
          <w:rFonts w:ascii="Verdana" w:eastAsia="Times New Roman" w:hAnsi="Verdana" w:cs="Arial"/>
          <w:i/>
          <w:iCs/>
          <w:sz w:val="20"/>
          <w:szCs w:val="20"/>
          <w:lang w:eastAsia="es-CO"/>
        </w:rPr>
        <w:lastRenderedPageBreak/>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31E82A4A"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32AB210A"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470CF3">
        <w:rPr>
          <w:rFonts w:ascii="Verdana" w:eastAsia="Times New Roman" w:hAnsi="Verdana" w:cs="Arial"/>
          <w:i/>
          <w:iCs/>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6A1F5366"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4ECF56EE"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470CF3">
        <w:rPr>
          <w:rFonts w:ascii="Verdana" w:eastAsia="Times New Roman" w:hAnsi="Verdana" w:cs="Arial"/>
          <w:i/>
          <w:iCs/>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0346D15D"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p>
    <w:p w14:paraId="4EDA9BA6"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i/>
          <w:iCs/>
          <w:sz w:val="20"/>
          <w:szCs w:val="20"/>
          <w:lang w:eastAsia="es-CO"/>
        </w:rPr>
      </w:pPr>
      <w:r w:rsidRPr="00470CF3">
        <w:rPr>
          <w:rFonts w:ascii="Verdana" w:eastAsia="Times New Roman" w:hAnsi="Verdana" w:cs="Arial"/>
          <w:i/>
          <w:iCs/>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3392185C"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06BD3EDE"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470CF3">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25217C07"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109FE6EC"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470CF3">
        <w:rPr>
          <w:rFonts w:ascii="Verdana" w:eastAsia="Times New Roman" w:hAnsi="Verdana" w:cs="Arial"/>
          <w:sz w:val="20"/>
          <w:szCs w:val="20"/>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616A9F0F"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p>
    <w:p w14:paraId="5264EC8C" w14:textId="77777777" w:rsidR="009775DD" w:rsidRPr="00470CF3" w:rsidRDefault="009775DD" w:rsidP="009775DD">
      <w:pPr>
        <w:shd w:val="clear" w:color="auto" w:fill="FFFFFF"/>
        <w:spacing w:after="0" w:line="240" w:lineRule="auto"/>
        <w:ind w:left="709" w:right="709"/>
        <w:contextualSpacing/>
        <w:jc w:val="both"/>
        <w:textAlignment w:val="baseline"/>
        <w:rPr>
          <w:rFonts w:ascii="Verdana" w:eastAsia="Times New Roman" w:hAnsi="Verdana" w:cs="Arial"/>
          <w:sz w:val="20"/>
          <w:szCs w:val="20"/>
          <w:lang w:eastAsia="es-CO"/>
        </w:rPr>
      </w:pPr>
      <w:r w:rsidRPr="00470CF3">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04D3987F" w14:textId="77777777" w:rsidR="009775DD" w:rsidRPr="00470CF3" w:rsidRDefault="009775DD" w:rsidP="009775DD">
      <w:pPr>
        <w:spacing w:after="0" w:line="276" w:lineRule="auto"/>
        <w:ind w:firstLine="709"/>
        <w:contextualSpacing/>
        <w:jc w:val="both"/>
        <w:rPr>
          <w:rFonts w:ascii="Verdana" w:eastAsia="Calibri" w:hAnsi="Verdana" w:cs="Arial"/>
          <w:lang w:val="es-ES_tradnl" w:eastAsia="es-ES_tradnl"/>
        </w:rPr>
      </w:pPr>
    </w:p>
    <w:p w14:paraId="448DE740" w14:textId="77777777" w:rsidR="009775DD" w:rsidRPr="00470CF3" w:rsidRDefault="009775DD" w:rsidP="009775DD">
      <w:pPr>
        <w:spacing w:after="120" w:line="276" w:lineRule="auto"/>
        <w:ind w:firstLine="709"/>
        <w:jc w:val="both"/>
        <w:rPr>
          <w:rFonts w:ascii="Verdana" w:eastAsia="Calibri" w:hAnsi="Verdana" w:cs="Arial"/>
          <w:lang w:val="es-ES" w:eastAsia="es-ES_tradnl"/>
        </w:rPr>
      </w:pPr>
      <w:r w:rsidRPr="00470CF3">
        <w:rPr>
          <w:rFonts w:ascii="Verdana" w:eastAsia="Calibri" w:hAnsi="Verdana" w:cs="Arial"/>
          <w:lang w:val="es-ES" w:eastAsia="es-ES_tradnl"/>
        </w:rPr>
        <w:t>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(4) supuestos de hecho previstos en la norma citada y acrediten estos supuestos con los documentos previstos para ello. Teniendo en cuenta el objeto de la consulta, resulta relevante el análisis del criterio definido en el numeral primero artículo precitado</w:t>
      </w:r>
      <w:r>
        <w:rPr>
          <w:rFonts w:ascii="Verdana" w:eastAsia="Calibri" w:hAnsi="Verdana" w:cs="Arial"/>
          <w:lang w:val="es-ES" w:eastAsia="es-ES_tradnl"/>
        </w:rPr>
        <w:t>, dado que usted se refiere a una condición de los “accionistas”</w:t>
      </w:r>
      <w:r w:rsidRPr="00470CF3">
        <w:rPr>
          <w:rFonts w:ascii="Verdana" w:eastAsia="Calibri" w:hAnsi="Verdana" w:cs="Arial"/>
          <w:lang w:val="es-ES" w:eastAsia="es-ES_tradnl"/>
        </w:rPr>
        <w:t xml:space="preserve">. </w:t>
      </w:r>
    </w:p>
    <w:p w14:paraId="12ED550D" w14:textId="77777777" w:rsidR="009775DD" w:rsidRPr="00470CF3" w:rsidRDefault="009775DD" w:rsidP="009775DD">
      <w:pPr>
        <w:spacing w:after="120" w:line="276" w:lineRule="auto"/>
        <w:ind w:firstLine="709"/>
        <w:jc w:val="both"/>
        <w:rPr>
          <w:rFonts w:ascii="Verdana" w:eastAsia="Calibri" w:hAnsi="Verdana" w:cs="Arial"/>
          <w:lang w:val="es-ES_tradnl"/>
        </w:rPr>
      </w:pPr>
      <w:r w:rsidRPr="00470CF3">
        <w:rPr>
          <w:rFonts w:ascii="Verdana" w:eastAsia="Calibri" w:hAnsi="Verdana" w:cs="Arial"/>
          <w:lang w:val="es-ES" w:eastAsia="es-ES_tradnl"/>
        </w:rPr>
        <w:t xml:space="preserve">El </w:t>
      </w:r>
      <w:r w:rsidRPr="00470CF3">
        <w:rPr>
          <w:rFonts w:ascii="Verdana" w:eastAsia="Times New Roman" w:hAnsi="Verdana" w:cs="Arial"/>
          <w:i/>
          <w:lang w:val="es-ES_tradnl" w:eastAsia="es-ES"/>
        </w:rPr>
        <w:t>numeral primero</w:t>
      </w:r>
      <w:r w:rsidRPr="00470CF3">
        <w:rPr>
          <w:rFonts w:ascii="Verdana" w:eastAsia="Times New Roman" w:hAnsi="Verdana" w:cs="Arial"/>
          <w:lang w:val="es-ES_tradnl" w:eastAsia="es-ES"/>
        </w:rPr>
        <w:t xml:space="preserve"> establece que </w:t>
      </w:r>
      <w:r w:rsidRPr="00470CF3">
        <w:rPr>
          <w:rFonts w:ascii="Verdana" w:eastAsia="Calibri" w:hAnsi="Verdana" w:cs="Arial"/>
          <w:lang w:val="es-ES_tradnl"/>
        </w:rPr>
        <w:t xml:space="preserve">una sociedad podrá ser considerada como un emprendimiento o empresa de mujeres cuando más del cincuenta por ciento (50%) de sus acciones, partes de interés o cuotas de participación, pertenezcan a mujeres. Sin embargo, el supuesto de hecho de la norma transcrita, adicionalmente, exige que la titularidad de tal participación haya pertenecido a mujeres, por lo menos, durante el año anterior a la fecha de cierre del proceso de selección. </w:t>
      </w:r>
    </w:p>
    <w:p w14:paraId="35E47C2F" w14:textId="77777777" w:rsidR="009775DD" w:rsidRPr="00470CF3" w:rsidRDefault="009775DD" w:rsidP="009775DD">
      <w:pPr>
        <w:spacing w:after="120" w:line="276" w:lineRule="auto"/>
        <w:ind w:firstLine="709"/>
        <w:jc w:val="both"/>
        <w:rPr>
          <w:rFonts w:ascii="Verdana" w:eastAsia="Calibri" w:hAnsi="Verdana" w:cs="Arial"/>
          <w:lang w:val="es-ES"/>
        </w:rPr>
      </w:pPr>
      <w:r w:rsidRPr="77DDC22B">
        <w:rPr>
          <w:rFonts w:ascii="Verdana" w:eastAsia="Calibri" w:hAnsi="Verdana" w:cs="Arial"/>
          <w:lang w:val="es-ES"/>
        </w:rPr>
        <w:t>Esto quiere decir que, no basta con que la participación en una sociedad sea mayoritariamente de mujeres para que sea considerada como un emprendimiento o empresa a los que se refiere la norma, sino que además es necesario que dicha participación mayoritaria se haya mantenido como mínimo durante el periodo de un (1) año, contado a partir de la fecha de cierre del proceso de selección. De esta manera, el primer criterio establecido en la norma para definir los emprendimientos y empresas de mujeres deja por fuera de dicha categoría a aquellas sociedades que, a pesar de contar con la participación mayoritaria de mujeres, no cuenten con el requerimiento del tiempo mínimo de un (1) año.</w:t>
      </w:r>
    </w:p>
    <w:p w14:paraId="197CF436" w14:textId="77777777" w:rsidR="009775DD" w:rsidRPr="00470CF3" w:rsidRDefault="009775DD" w:rsidP="009775DD">
      <w:pPr>
        <w:spacing w:after="120" w:line="276" w:lineRule="auto"/>
        <w:ind w:firstLine="709"/>
        <w:jc w:val="both"/>
        <w:rPr>
          <w:rFonts w:ascii="Verdana" w:hAnsi="Verdana" w:cs="Arial"/>
          <w:lang w:val="es-ES_tradnl" w:eastAsia="es-ES"/>
        </w:rPr>
      </w:pPr>
      <w:r w:rsidRPr="00470CF3">
        <w:rPr>
          <w:rFonts w:ascii="Verdana" w:eastAsia="Calibri" w:hAnsi="Verdana" w:cs="Arial"/>
          <w:lang w:val="es-ES_tradnl"/>
        </w:rPr>
        <w:t xml:space="preserve">Así mismo, debe precisarse que la participación mayoritaria de mujeres </w:t>
      </w:r>
      <w:r w:rsidRPr="00470CF3">
        <w:rPr>
          <w:rFonts w:ascii="Verdana" w:hAnsi="Verdana" w:cs="Arial"/>
        </w:rPr>
        <w:t xml:space="preserve">puede ser ejercida por diferentes personas durante el último año, siempre que durante dicho periodo la participación </w:t>
      </w:r>
      <w:r w:rsidRPr="00470CF3">
        <w:rPr>
          <w:rFonts w:ascii="Verdana" w:hAnsi="Verdana" w:cs="Arial"/>
          <w:i/>
          <w:iCs/>
        </w:rPr>
        <w:t>mayoritaria</w:t>
      </w:r>
      <w:r w:rsidRPr="00470CF3">
        <w:rPr>
          <w:rFonts w:ascii="Verdana" w:hAnsi="Verdana" w:cs="Arial"/>
        </w:rPr>
        <w:t xml:space="preserve"> de mujeres se haya mantenido, aunque se trate de mujeres distintas. En tal sentido, se cumple con la norma, toda vez que la finalidad y alcance es que la titularidad mayoritaria por un (1) año sea ejercida por mujeres, a pesar de que cambien las propietarias de las partes de interés o cuotas de participación. </w:t>
      </w:r>
    </w:p>
    <w:p w14:paraId="69B18CFD" w14:textId="77777777" w:rsidR="009775DD" w:rsidRPr="00470CF3" w:rsidRDefault="009775DD" w:rsidP="009775DD">
      <w:pPr>
        <w:shd w:val="clear" w:color="auto" w:fill="FFFFFF"/>
        <w:spacing w:after="120" w:line="276" w:lineRule="auto"/>
        <w:ind w:right="-93" w:firstLine="709"/>
        <w:jc w:val="both"/>
        <w:textAlignment w:val="baseline"/>
        <w:rPr>
          <w:rFonts w:ascii="Verdana" w:hAnsi="Verdana" w:cs="Arial"/>
        </w:rPr>
      </w:pPr>
      <w:r w:rsidRPr="00470CF3">
        <w:rPr>
          <w:rFonts w:ascii="Verdana" w:hAnsi="Verdana" w:cs="Arial"/>
        </w:rPr>
        <w:lastRenderedPageBreak/>
        <w:t xml:space="preserve">Como medio para la acreditación de este criterio, señala la normativa referida que: </w:t>
      </w:r>
      <w:r w:rsidRPr="00470CF3">
        <w:rPr>
          <w:rFonts w:ascii="Verdana" w:eastAsia="Times New Roman" w:hAnsi="Verdana" w:cs="Arial"/>
          <w:i/>
          <w:lang w:val="es-ES_tradnl" w:eastAsia="es-ES"/>
        </w:rPr>
        <w:t>“</w:t>
      </w:r>
      <w:r w:rsidRPr="00470CF3">
        <w:rPr>
          <w:rFonts w:ascii="Verdana" w:hAnsi="Verdana" w:cs="Arial"/>
          <w:i/>
        </w:rPr>
        <w:t>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r w:rsidRPr="00470CF3">
        <w:rPr>
          <w:rFonts w:ascii="Verdana" w:eastAsia="Times New Roman" w:hAnsi="Verdana" w:cs="Arial"/>
          <w:i/>
          <w:lang w:val="es-ES_tradnl" w:eastAsia="es-ES"/>
        </w:rPr>
        <w:t>”</w:t>
      </w:r>
      <w:r w:rsidRPr="00470CF3">
        <w:rPr>
          <w:rFonts w:ascii="Verdana" w:hAnsi="Verdana" w:cs="Arial"/>
        </w:rPr>
        <w:t>.</w:t>
      </w:r>
    </w:p>
    <w:p w14:paraId="5B7AA9CA" w14:textId="77777777" w:rsidR="009775DD" w:rsidRPr="00470CF3" w:rsidRDefault="009775DD" w:rsidP="009775DD">
      <w:pPr>
        <w:spacing w:after="120" w:line="276" w:lineRule="auto"/>
        <w:ind w:firstLine="709"/>
        <w:jc w:val="both"/>
        <w:rPr>
          <w:rFonts w:ascii="Verdana" w:eastAsia="Calibri" w:hAnsi="Verdana" w:cs="Arial"/>
          <w:lang w:val="es-ES" w:eastAsia="es-ES"/>
        </w:rPr>
      </w:pPr>
      <w:r w:rsidRPr="77DDC22B">
        <w:rPr>
          <w:rFonts w:ascii="Verdana" w:eastAsia="Calibri" w:hAnsi="Verdana" w:cs="Arial"/>
          <w:lang w:val="es-ES" w:eastAsia="es-ES"/>
        </w:rPr>
        <w:t xml:space="preserve">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Esto significa que a quienes pretendan acceder a tales beneficios en consideración a las definiciones establecidas en el numeral </w:t>
      </w:r>
      <w:r w:rsidRPr="77DDC22B">
        <w:rPr>
          <w:rFonts w:ascii="Verdana" w:eastAsia="Calibri" w:hAnsi="Verdana" w:cs="Arial"/>
          <w:i/>
          <w:lang w:val="es-ES" w:eastAsia="es-ES"/>
        </w:rPr>
        <w:t>primero</w:t>
      </w:r>
      <w:r w:rsidRPr="77DDC22B">
        <w:rPr>
          <w:rFonts w:ascii="Verdana" w:eastAsia="Calibri" w:hAnsi="Verdana" w:cs="Arial"/>
          <w:lang w:val="es-ES" w:eastAsia="es-ES"/>
        </w:rPr>
        <w:t xml:space="preserve"> del artículo 2.2.1.2.4.2.14, les corresponde presentar la mencionada certificación con sus respectivos soportes.</w:t>
      </w:r>
    </w:p>
    <w:p w14:paraId="0BD08918" w14:textId="77777777" w:rsidR="009775DD" w:rsidRDefault="009775DD" w:rsidP="009775DD">
      <w:pPr>
        <w:spacing w:after="120" w:line="276" w:lineRule="auto"/>
        <w:ind w:firstLine="709"/>
        <w:jc w:val="both"/>
        <w:rPr>
          <w:rFonts w:ascii="Verdana" w:eastAsia="Calibri" w:hAnsi="Verdana" w:cs="Arial"/>
          <w:lang w:val="es-ES" w:eastAsia="es-ES"/>
        </w:rPr>
      </w:pPr>
      <w:r w:rsidRPr="607FDB73">
        <w:rPr>
          <w:rFonts w:ascii="Verdana" w:eastAsia="Calibri" w:hAnsi="Verdana" w:cs="Arial"/>
          <w:lang w:val="es-ES" w:eastAsia="es-ES"/>
        </w:rPr>
        <w:t>En atención a la pregunta planteada, debe señalarse que, de acuerdo con el artículo 98 del Código de Comercio</w:t>
      </w:r>
      <w:r>
        <w:rPr>
          <w:rStyle w:val="Refdenotaalpie"/>
          <w:rFonts w:ascii="Verdana" w:eastAsia="Calibri" w:hAnsi="Verdana" w:cs="Arial"/>
          <w:lang w:val="es-ES_tradnl" w:eastAsia="es-ES_tradnl"/>
        </w:rPr>
        <w:footnoteReference w:id="8"/>
      </w:r>
      <w:r w:rsidRPr="607FDB73">
        <w:rPr>
          <w:rFonts w:ascii="Verdana" w:eastAsia="Calibri" w:hAnsi="Verdana" w:cs="Arial"/>
          <w:lang w:val="es-ES" w:eastAsia="es-ES"/>
        </w:rPr>
        <w:t>, las sociedades legalmente constituidas conforman una persona jurídica distinta de los socios o accionistas que la integran. En ese sentido, respecto al evento en su consulta, es necesario distinguir entre la persona jurídica y los socios que hacen parte de ella. Por ello, en el marco de un proceso de contratación deberá determinarse la calidad de la persona que funge como proponente, pues si el oferente es persona jurídica se deberá determinar si esta, como persona distinta de sus socios individualmente considerados, cumple con los requisitos exigidos no solo para participar en el proceso sino también para ser acreedor de los criterios establecidos.</w:t>
      </w:r>
    </w:p>
    <w:p w14:paraId="5A2827F9" w14:textId="77777777" w:rsidR="009775DD" w:rsidRPr="00470CF3" w:rsidRDefault="009775DD" w:rsidP="009775DD">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 xml:space="preserve">En este punto, dado que hace referencia a que una de las accionistas de empresa es mujer menor de edad, es importante referirse a la capacidad jurídica. La capacidad jurídica es </w:t>
      </w:r>
      <w:r w:rsidRPr="00916710">
        <w:rPr>
          <w:rFonts w:ascii="Verdana" w:eastAsia="Calibri" w:hAnsi="Verdana" w:cs="Arial"/>
          <w:lang w:eastAsia="es-ES_tradnl"/>
        </w:rPr>
        <w:t xml:space="preserve">entendida como la aptitud de un sujeto para ser titular de derecho y obligaciones, de ejercer o exigir los primeros y contraer </w:t>
      </w:r>
      <w:r w:rsidRPr="00916710">
        <w:rPr>
          <w:rFonts w:ascii="Verdana" w:eastAsia="Calibri" w:hAnsi="Verdana" w:cs="Arial"/>
          <w:lang w:eastAsia="es-ES_tradnl"/>
        </w:rPr>
        <w:lastRenderedPageBreak/>
        <w:t>las segundas en forma personal y de comparecer en juicio.</w:t>
      </w:r>
      <w:r>
        <w:rPr>
          <w:rFonts w:ascii="Verdana" w:eastAsia="Calibri" w:hAnsi="Verdana" w:cs="Arial"/>
          <w:lang w:eastAsia="es-ES_tradnl"/>
        </w:rPr>
        <w:t xml:space="preserve"> Así, l</w:t>
      </w:r>
      <w:r w:rsidRPr="00916710">
        <w:rPr>
          <w:rFonts w:ascii="Verdana" w:eastAsia="Calibri" w:hAnsi="Verdana" w:cs="Arial"/>
          <w:lang w:eastAsia="es-ES_tradnl"/>
        </w:rPr>
        <w:t>a capacidad jurídica permite crear, modificar o extinguir relaciones jurídicas de forma voluntaria y autónoma.</w:t>
      </w:r>
    </w:p>
    <w:p w14:paraId="51925585" w14:textId="77777777" w:rsidR="009775DD" w:rsidRDefault="009775DD" w:rsidP="009775DD">
      <w:pPr>
        <w:spacing w:after="120" w:line="276" w:lineRule="auto"/>
        <w:ind w:firstLine="709"/>
        <w:jc w:val="both"/>
        <w:rPr>
          <w:rFonts w:ascii="Verdana" w:eastAsia="Calibri" w:hAnsi="Verdana" w:cs="Arial"/>
        </w:rPr>
      </w:pPr>
      <w:r>
        <w:rPr>
          <w:rFonts w:ascii="Verdana" w:eastAsia="Calibri" w:hAnsi="Verdana" w:cs="Arial"/>
        </w:rPr>
        <w:t xml:space="preserve">De acuerdo con el </w:t>
      </w:r>
      <w:r w:rsidRPr="003C2B47">
        <w:rPr>
          <w:rFonts w:ascii="Verdana" w:eastAsia="Calibri" w:hAnsi="Verdana" w:cs="Arial"/>
        </w:rPr>
        <w:t>Manual para determinar y verificar los requisitos</w:t>
      </w:r>
      <w:r>
        <w:rPr>
          <w:rFonts w:ascii="Verdana" w:eastAsia="Calibri" w:hAnsi="Verdana" w:cs="Arial"/>
        </w:rPr>
        <w:t xml:space="preserve"> </w:t>
      </w:r>
      <w:r w:rsidRPr="003C2B47">
        <w:rPr>
          <w:rFonts w:ascii="Verdana" w:eastAsia="Calibri" w:hAnsi="Verdana" w:cs="Arial"/>
        </w:rPr>
        <w:t>habilitantes en los Procesos de Contratación</w:t>
      </w:r>
      <w:r>
        <w:rPr>
          <w:rFonts w:ascii="Verdana" w:eastAsia="Calibri" w:hAnsi="Verdana" w:cs="Arial"/>
        </w:rPr>
        <w:t>”</w:t>
      </w:r>
      <w:r w:rsidRPr="00DD3839">
        <w:rPr>
          <w:rFonts w:ascii="Verdana" w:eastAsia="Calibri" w:hAnsi="Verdana" w:cs="Arial"/>
        </w:rPr>
        <w:t>, la capacidad jurídica es la facultad que tiene una persona natural o jurídica para celebrar contratos con una Entidad Estatal, es decir, i) la capacidad de obligarse a cumplir el objeto del contrato y ii) de no estar incursa en inhabilidades o incompatibilidades que impidan la celebración del contrato.</w:t>
      </w:r>
    </w:p>
    <w:p w14:paraId="75E7B5E4" w14:textId="77777777" w:rsidR="009775DD" w:rsidRDefault="009775DD" w:rsidP="009775DD">
      <w:pPr>
        <w:spacing w:after="120" w:line="276" w:lineRule="auto"/>
        <w:ind w:firstLine="709"/>
        <w:jc w:val="both"/>
        <w:rPr>
          <w:rFonts w:ascii="Verdana" w:eastAsia="Calibri" w:hAnsi="Verdana" w:cs="Arial"/>
        </w:rPr>
      </w:pPr>
      <w:r>
        <w:rPr>
          <w:rFonts w:ascii="Verdana" w:eastAsia="Calibri" w:hAnsi="Verdana" w:cs="Arial"/>
        </w:rPr>
        <w:t xml:space="preserve">Tratándose de personas naturales la capacidad jurídica para contratar la tienen los mayores de edad, </w:t>
      </w:r>
      <w:r w:rsidRPr="009E415C">
        <w:rPr>
          <w:rFonts w:ascii="Verdana" w:eastAsia="Calibri" w:hAnsi="Verdana" w:cs="Arial"/>
        </w:rPr>
        <w:t>a menos que por disposición expresa se encuentren limitados por decisión judicial, como la interdicción judicial, y que no estén incursas en inhabilidades, incompatibilidades o prohibiciones para contratar derivadas de la ley.</w:t>
      </w:r>
      <w:r>
        <w:rPr>
          <w:rFonts w:ascii="Verdana" w:eastAsia="Calibri" w:hAnsi="Verdana" w:cs="Arial"/>
        </w:rPr>
        <w:t xml:space="preserve"> En el caso de las personas jurídicas, su capacidad jurídica </w:t>
      </w:r>
      <w:r w:rsidRPr="006A6102">
        <w:rPr>
          <w:rFonts w:ascii="Verdana" w:eastAsia="Calibri" w:hAnsi="Verdana" w:cs="Arial"/>
        </w:rPr>
        <w:t>está relacionada con: (i) la posibilidad de adelantar actividades en el marco de su objeto social; (ii) las facultades de su representante legal y la autorización del órgano social competente cuando esto es necesario de acuerdo con sus estatutos; y (iii) la ausencia de inhabilidades, incompatibilidades, conflicto de intereses o prohibiciones para contratar, derivadas de la ley.</w:t>
      </w:r>
    </w:p>
    <w:p w14:paraId="5539DF37" w14:textId="77777777" w:rsidR="009775DD" w:rsidRDefault="009775DD" w:rsidP="009775DD">
      <w:pPr>
        <w:spacing w:after="120" w:line="276" w:lineRule="auto"/>
        <w:ind w:firstLine="709"/>
        <w:jc w:val="both"/>
        <w:rPr>
          <w:rFonts w:ascii="Verdana" w:eastAsia="Calibri" w:hAnsi="Verdana" w:cs="Arial"/>
        </w:rPr>
      </w:pPr>
      <w:r>
        <w:rPr>
          <w:rFonts w:ascii="Verdana" w:eastAsia="Calibri" w:hAnsi="Verdana" w:cs="Arial"/>
        </w:rPr>
        <w:t xml:space="preserve">Así las cosas, si bien los menores de edad no tienen capacidad jurídica para contratar con el Estado, lo cierto es que el primer supuesto del artículo </w:t>
      </w:r>
      <w:r w:rsidRPr="00470CF3">
        <w:rPr>
          <w:rFonts w:ascii="Verdana" w:eastAsia="Calibri" w:hAnsi="Verdana" w:cs="Arial"/>
          <w:lang w:eastAsia="es-ES_tradnl"/>
        </w:rPr>
        <w:t>2.2.1.2.4.2.14.</w:t>
      </w:r>
      <w:r>
        <w:rPr>
          <w:rFonts w:ascii="Verdana" w:eastAsia="Calibri" w:hAnsi="Verdana" w:cs="Arial"/>
          <w:lang w:eastAsia="es-ES_tradnl"/>
        </w:rPr>
        <w:t xml:space="preserve"> del Decreto 1082 de 2015</w:t>
      </w:r>
      <w:r>
        <w:rPr>
          <w:rFonts w:ascii="Verdana" w:eastAsia="Calibri" w:hAnsi="Verdana" w:cs="Arial"/>
        </w:rPr>
        <w:t xml:space="preserve"> contempla el concepto de emprendimientos y empresas de mujeres cuando se trate de personas jurídicas. En ese sentido, el análisis que se haga respecto a la capacidad jurídica del proponente debe ser frente a la persona jurídica y no frente a sus socios, accionistas. </w:t>
      </w:r>
    </w:p>
    <w:p w14:paraId="283536B2" w14:textId="77777777" w:rsidR="009775DD" w:rsidRDefault="009775DD" w:rsidP="009775DD">
      <w:pPr>
        <w:spacing w:after="120" w:line="276" w:lineRule="auto"/>
        <w:ind w:firstLine="709"/>
        <w:jc w:val="both"/>
        <w:rPr>
          <w:rFonts w:ascii="Verdana" w:eastAsia="Calibri" w:hAnsi="Verdana" w:cs="Arial"/>
          <w:lang w:val="es-ES_tradnl" w:eastAsia="es-ES_tradnl"/>
        </w:rPr>
      </w:pPr>
      <w:r>
        <w:rPr>
          <w:rFonts w:ascii="Verdana" w:eastAsia="Calibri" w:hAnsi="Verdana" w:cs="Arial"/>
        </w:rPr>
        <w:t xml:space="preserve">Ahora bien, la capacidad jurídica es diferente a la aplicación de los criterios diferenciales que en materia de contratación estatal consagra el ordenamiento jurídico. En sentido, independientemente de que la edad de los socios, accionistas o constituyentes, tratándose de un oferente que sea una persona jurídica, para determinar si puede o no ser beneficiario de los criterios diferenciales a favor de las empresas y emprendimientos de mujeres, debe determinarse que la persona jurídica cumpla con los requisitos señalados en las normas desarrolladas en el presente concepto. Nótese que el numeral primero del artículo </w:t>
      </w:r>
      <w:r w:rsidRPr="00470CF3">
        <w:rPr>
          <w:rFonts w:ascii="Verdana" w:eastAsia="Calibri" w:hAnsi="Verdana" w:cs="Arial"/>
          <w:lang w:eastAsia="es-ES_tradnl"/>
        </w:rPr>
        <w:t>2.2.1.2.4.2.14.</w:t>
      </w:r>
      <w:r>
        <w:rPr>
          <w:rFonts w:ascii="Verdana" w:eastAsia="Calibri" w:hAnsi="Verdana" w:cs="Arial"/>
          <w:lang w:eastAsia="es-ES_tradnl"/>
        </w:rPr>
        <w:t xml:space="preserve"> del Decreto 1082 de 2015 no hace ninguna distinción </w:t>
      </w:r>
      <w:r>
        <w:rPr>
          <w:rFonts w:ascii="Verdana" w:eastAsia="Calibri" w:hAnsi="Verdana" w:cs="Arial"/>
          <w:lang w:eastAsia="es-ES_tradnl"/>
        </w:rPr>
        <w:lastRenderedPageBreak/>
        <w:t>en la calidad de los socios, diferente a que el porcentaje de participación de mujeres y d</w:t>
      </w:r>
      <w:r w:rsidRPr="00A05973">
        <w:rPr>
          <w:rFonts w:ascii="Verdana" w:eastAsia="Calibri" w:hAnsi="Verdana" w:cs="Arial"/>
          <w:lang w:eastAsia="es-ES_tradnl"/>
        </w:rPr>
        <w:t>onde no distingue el legislador, no le es dado hacerlo al intérprete</w:t>
      </w:r>
      <w:r>
        <w:rPr>
          <w:rFonts w:ascii="Verdana" w:eastAsia="Calibri" w:hAnsi="Verdana" w:cs="Arial"/>
          <w:lang w:eastAsia="es-ES_tradnl"/>
        </w:rPr>
        <w:t xml:space="preserve">. </w:t>
      </w:r>
    </w:p>
    <w:p w14:paraId="1C800BDB" w14:textId="77777777" w:rsidR="009775DD" w:rsidRDefault="009775DD" w:rsidP="009775DD">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 xml:space="preserve">A lo anterior se suma que, </w:t>
      </w:r>
      <w:r w:rsidRPr="00470CF3">
        <w:rPr>
          <w:rFonts w:ascii="Verdana" w:eastAsia="Calibri" w:hAnsi="Verdana" w:cs="Arial"/>
          <w:lang w:val="es-ES_tradnl" w:eastAsia="es-ES_tradnl"/>
        </w:rPr>
        <w:t xml:space="preserve">una de las finalidades de </w:t>
      </w:r>
      <w:r>
        <w:rPr>
          <w:rFonts w:ascii="Verdana" w:eastAsia="Calibri" w:hAnsi="Verdana" w:cs="Arial"/>
          <w:lang w:val="es-ES_tradnl" w:eastAsia="es-ES_tradnl"/>
        </w:rPr>
        <w:t>L</w:t>
      </w:r>
      <w:r w:rsidRPr="00470CF3">
        <w:rPr>
          <w:rFonts w:ascii="Verdana" w:eastAsia="Calibri" w:hAnsi="Verdana" w:cs="Arial"/>
          <w:lang w:val="es-ES_tradnl" w:eastAsia="es-ES_tradnl"/>
        </w:rPr>
        <w:t xml:space="preserve">ey de </w:t>
      </w:r>
      <w:r>
        <w:rPr>
          <w:rFonts w:ascii="Verdana" w:eastAsia="Calibri" w:hAnsi="Verdana" w:cs="Arial"/>
          <w:lang w:val="es-ES_tradnl" w:eastAsia="es-ES_tradnl"/>
        </w:rPr>
        <w:t>E</w:t>
      </w:r>
      <w:r w:rsidRPr="00470CF3">
        <w:rPr>
          <w:rFonts w:ascii="Verdana" w:eastAsia="Calibri" w:hAnsi="Verdana" w:cs="Arial"/>
          <w:lang w:val="es-ES_tradnl" w:eastAsia="es-ES_tradnl"/>
        </w:rPr>
        <w:t>mprendimiento se centra en propiciar el crecimiento, consolidación y sostenibilidad de los emprendimientos y empresas de mujeres, en aras en aumentar el bienestar social y generar equidad</w:t>
      </w:r>
      <w:r>
        <w:rPr>
          <w:rFonts w:ascii="Verdana" w:eastAsia="Calibri" w:hAnsi="Verdana" w:cs="Arial"/>
          <w:lang w:val="es-ES_tradnl" w:eastAsia="es-ES_tradnl"/>
        </w:rPr>
        <w:t>. Por ello,</w:t>
      </w:r>
      <w:r w:rsidRPr="00470CF3">
        <w:rPr>
          <w:rFonts w:ascii="Verdana" w:eastAsia="Calibri" w:hAnsi="Verdana" w:cs="Arial"/>
          <w:lang w:val="es-ES_tradnl" w:eastAsia="es-ES_tradnl"/>
        </w:rPr>
        <w:t xml:space="preserve"> es viable acreditar </w:t>
      </w:r>
      <w:r w:rsidRPr="00470CF3">
        <w:rPr>
          <w:rFonts w:ascii="Verdana" w:eastAsia="Century Gothic" w:hAnsi="Verdana" w:cs="Century Gothic"/>
        </w:rPr>
        <w:t>la condición de emprendimientos y empresas de mujeres</w:t>
      </w:r>
      <w:r>
        <w:rPr>
          <w:rFonts w:ascii="Verdana" w:eastAsia="Century Gothic" w:hAnsi="Verdana" w:cs="Century Gothic"/>
        </w:rPr>
        <w:t>,</w:t>
      </w:r>
      <w:r w:rsidRPr="00470CF3">
        <w:rPr>
          <w:rFonts w:ascii="Verdana" w:eastAsia="Century Gothic" w:hAnsi="Verdana" w:cs="Century Gothic"/>
        </w:rPr>
        <w:t xml:space="preserve"> conforme al numeral primero del artículo </w:t>
      </w:r>
      <w:r w:rsidRPr="00470CF3">
        <w:rPr>
          <w:rFonts w:ascii="Verdana" w:eastAsia="Calibri" w:hAnsi="Verdana" w:cs="Arial"/>
          <w:lang w:val="es-ES" w:eastAsia="es-ES_tradnl"/>
        </w:rPr>
        <w:t>2.2.1.2.4.2.14 del Decreto 1082 de 2015, cuando una o algunas de las accionistas sean mujeres menores de edad</w:t>
      </w:r>
      <w:r>
        <w:rPr>
          <w:rFonts w:ascii="Verdana" w:eastAsia="Calibri" w:hAnsi="Verdana" w:cs="Arial"/>
          <w:lang w:val="es-ES" w:eastAsia="es-ES_tradnl"/>
        </w:rPr>
        <w:t>.</w:t>
      </w:r>
      <w:r w:rsidRPr="00470CF3">
        <w:rPr>
          <w:rFonts w:ascii="Verdana" w:eastAsia="Calibri" w:hAnsi="Verdana" w:cs="Arial"/>
          <w:lang w:val="es-ES" w:eastAsia="es-ES_tradnl"/>
        </w:rPr>
        <w:t xml:space="preserve"> </w:t>
      </w:r>
      <w:r>
        <w:rPr>
          <w:rFonts w:ascii="Verdana" w:eastAsia="Calibri" w:hAnsi="Verdana" w:cs="Arial"/>
          <w:lang w:val="es-ES" w:eastAsia="es-ES_tradnl"/>
        </w:rPr>
        <w:t>L</w:t>
      </w:r>
      <w:r w:rsidRPr="00470CF3">
        <w:rPr>
          <w:rFonts w:ascii="Verdana" w:eastAsia="Calibri" w:hAnsi="Verdana" w:cs="Arial"/>
          <w:lang w:val="es-ES" w:eastAsia="es-ES_tradnl"/>
        </w:rPr>
        <w:t>o anterior, siempre que se cumplan con los supuestos previstos en la mencionada</w:t>
      </w:r>
      <w:r>
        <w:rPr>
          <w:rFonts w:ascii="Verdana" w:eastAsia="Calibri" w:hAnsi="Verdana" w:cs="Arial"/>
          <w:lang w:val="es-ES" w:eastAsia="es-ES_tradnl"/>
        </w:rPr>
        <w:t xml:space="preserve"> norma</w:t>
      </w:r>
      <w:r w:rsidRPr="00470CF3">
        <w:rPr>
          <w:rFonts w:ascii="Verdana" w:eastAsia="Calibri" w:hAnsi="Verdana" w:cs="Arial"/>
          <w:lang w:val="es-ES" w:eastAsia="es-ES_tradnl"/>
        </w:rPr>
        <w:t xml:space="preserve">: i) que la participación de más del </w:t>
      </w:r>
      <w:r>
        <w:rPr>
          <w:rFonts w:ascii="Verdana" w:eastAsia="Calibri" w:hAnsi="Verdana" w:cs="Arial"/>
          <w:lang w:val="es-ES" w:eastAsia="es-ES_tradnl"/>
        </w:rPr>
        <w:t>cincuenta por ciento (</w:t>
      </w:r>
      <w:r w:rsidRPr="00470CF3">
        <w:rPr>
          <w:rFonts w:ascii="Verdana" w:eastAsia="Calibri" w:hAnsi="Verdana" w:cs="Arial"/>
          <w:lang w:val="es-ES" w:eastAsia="es-ES_tradnl"/>
        </w:rPr>
        <w:t>50%</w:t>
      </w:r>
      <w:r>
        <w:rPr>
          <w:rFonts w:ascii="Verdana" w:eastAsia="Calibri" w:hAnsi="Verdana" w:cs="Arial"/>
          <w:lang w:val="es-ES" w:eastAsia="es-ES_tradnl"/>
        </w:rPr>
        <w:t>)</w:t>
      </w:r>
      <w:r w:rsidRPr="00470CF3">
        <w:rPr>
          <w:rFonts w:ascii="Verdana" w:eastAsia="Calibri" w:hAnsi="Verdana" w:cs="Arial"/>
          <w:lang w:val="es-ES" w:eastAsia="es-ES_tradnl"/>
        </w:rPr>
        <w:t xml:space="preserve"> de las acciones, partes de interés o cuotas de participación pertenezcan a mujeres</w:t>
      </w:r>
      <w:r w:rsidRPr="005261BB">
        <w:rPr>
          <w:rFonts w:ascii="Verdana" w:eastAsia="Calibri" w:hAnsi="Verdana" w:cs="Arial"/>
          <w:lang w:val="es-ES" w:eastAsia="es-ES_tradnl"/>
        </w:rPr>
        <w:t xml:space="preserve"> </w:t>
      </w:r>
      <w:r w:rsidRPr="00470CF3">
        <w:rPr>
          <w:rFonts w:ascii="Verdana" w:eastAsia="Calibri" w:hAnsi="Verdana" w:cs="Arial"/>
          <w:lang w:val="es-ES" w:eastAsia="es-ES_tradnl"/>
        </w:rPr>
        <w:t xml:space="preserve">y; ii) que los derechos de propiedad hayan pertenecido a estas por lo menos el último año anterior a la fecha del cierre del proceso de selección. </w:t>
      </w:r>
      <w:r w:rsidRPr="00470CF3">
        <w:rPr>
          <w:rFonts w:ascii="Verdana" w:eastAsia="Calibri" w:hAnsi="Verdana" w:cs="Arial"/>
          <w:lang w:val="es-ES_tradnl" w:eastAsia="es-ES_tradnl"/>
        </w:rPr>
        <w:t xml:space="preserve"> </w:t>
      </w:r>
    </w:p>
    <w:p w14:paraId="77538515" w14:textId="77777777" w:rsidR="009775DD" w:rsidRPr="00047B09" w:rsidRDefault="009775DD" w:rsidP="009775DD">
      <w:pPr>
        <w:spacing w:after="0" w:line="276" w:lineRule="auto"/>
        <w:jc w:val="both"/>
        <w:rPr>
          <w:rStyle w:val="Hipervnculo"/>
          <w:rFonts w:ascii="Verdana" w:eastAsia="Calibri" w:hAnsi="Verdana" w:cs="Arial"/>
          <w:color w:val="auto"/>
          <w:u w:val="none"/>
        </w:rPr>
      </w:pPr>
    </w:p>
    <w:p w14:paraId="5A255D21" w14:textId="77777777" w:rsidR="009775DD" w:rsidRPr="00470CF3" w:rsidRDefault="009775DD" w:rsidP="009775DD">
      <w:pPr>
        <w:pStyle w:val="Prrafodelista"/>
        <w:numPr>
          <w:ilvl w:val="0"/>
          <w:numId w:val="18"/>
        </w:numPr>
        <w:tabs>
          <w:tab w:val="left" w:pos="142"/>
          <w:tab w:val="left" w:pos="284"/>
        </w:tabs>
        <w:spacing w:after="0" w:line="276" w:lineRule="auto"/>
        <w:ind w:left="360"/>
        <w:jc w:val="both"/>
        <w:rPr>
          <w:rFonts w:ascii="Verdana" w:eastAsia="Century Gothic" w:hAnsi="Verdana" w:cs="Arial"/>
          <w:b/>
          <w:bCs/>
        </w:rPr>
      </w:pPr>
      <w:r w:rsidRPr="00470CF3">
        <w:rPr>
          <w:rFonts w:ascii="Verdana" w:eastAsia="Century Gothic" w:hAnsi="Verdana" w:cs="Arial"/>
          <w:b/>
          <w:bCs/>
        </w:rPr>
        <w:t>Referencias normativas, jurisprudenciales y otras fuentes:</w:t>
      </w:r>
    </w:p>
    <w:p w14:paraId="6672A768" w14:textId="77777777" w:rsidR="009775DD" w:rsidRPr="00470CF3" w:rsidRDefault="009775DD" w:rsidP="009775D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775DD" w:rsidRPr="00470CF3" w14:paraId="0D62BB7D" w14:textId="77777777" w:rsidTr="00211F61">
        <w:trPr>
          <w:trHeight w:val="870"/>
        </w:trPr>
        <w:tc>
          <w:tcPr>
            <w:tcW w:w="8647" w:type="dxa"/>
          </w:tcPr>
          <w:p w14:paraId="578D3A9D" w14:textId="77777777" w:rsidR="009775DD" w:rsidRDefault="009775DD" w:rsidP="00211F61">
            <w:pPr>
              <w:pStyle w:val="Prrafodelista"/>
              <w:widowControl w:val="0"/>
              <w:numPr>
                <w:ilvl w:val="0"/>
                <w:numId w:val="17"/>
              </w:numPr>
              <w:autoSpaceDE w:val="0"/>
              <w:autoSpaceDN w:val="0"/>
              <w:spacing w:line="276" w:lineRule="auto"/>
              <w:contextualSpacing w:val="0"/>
              <w:jc w:val="both"/>
              <w:rPr>
                <w:rFonts w:ascii="Verdana" w:hAnsi="Verdana" w:cs="Arial"/>
              </w:rPr>
            </w:pPr>
            <w:r w:rsidRPr="00470CF3">
              <w:rPr>
                <w:rFonts w:ascii="Verdana" w:hAnsi="Verdana" w:cs="Arial"/>
              </w:rPr>
              <w:t xml:space="preserve">Ley 2069 de 2020: Artículo 32.  </w:t>
            </w:r>
          </w:p>
          <w:p w14:paraId="600E8036" w14:textId="77777777" w:rsidR="009775DD" w:rsidRPr="00470CF3" w:rsidRDefault="009775DD" w:rsidP="00211F61">
            <w:pPr>
              <w:pStyle w:val="Prrafodelista"/>
              <w:widowControl w:val="0"/>
              <w:autoSpaceDE w:val="0"/>
              <w:autoSpaceDN w:val="0"/>
              <w:spacing w:line="276" w:lineRule="auto"/>
              <w:ind w:left="578"/>
              <w:contextualSpacing w:val="0"/>
              <w:jc w:val="both"/>
              <w:rPr>
                <w:rFonts w:ascii="Verdana" w:hAnsi="Verdana" w:cs="Arial"/>
              </w:rPr>
            </w:pPr>
          </w:p>
          <w:p w14:paraId="27597607" w14:textId="77777777" w:rsidR="009775DD" w:rsidRPr="00047B09" w:rsidRDefault="009775DD" w:rsidP="00211F61">
            <w:pPr>
              <w:pStyle w:val="Prrafodelista"/>
              <w:widowControl w:val="0"/>
              <w:numPr>
                <w:ilvl w:val="0"/>
                <w:numId w:val="17"/>
              </w:numPr>
              <w:autoSpaceDE w:val="0"/>
              <w:autoSpaceDN w:val="0"/>
              <w:spacing w:line="276" w:lineRule="auto"/>
              <w:contextualSpacing w:val="0"/>
              <w:jc w:val="both"/>
              <w:rPr>
                <w:rFonts w:ascii="Verdana" w:hAnsi="Verdana" w:cs="Arial"/>
              </w:rPr>
            </w:pPr>
            <w:r w:rsidRPr="00470CF3">
              <w:rPr>
                <w:rFonts w:ascii="Verdana" w:eastAsia="Calibri" w:hAnsi="Verdana" w:cs="Arial"/>
                <w:lang w:eastAsia="es-ES_tradnl"/>
              </w:rPr>
              <w:t>Decreto 1082 de 2015. Artículo 2.2.1.2.4.2.14.</w:t>
            </w:r>
          </w:p>
          <w:p w14:paraId="2E11BF4A" w14:textId="77777777" w:rsidR="009775DD" w:rsidRPr="00F83967" w:rsidRDefault="009775DD" w:rsidP="00211F61">
            <w:pPr>
              <w:widowControl w:val="0"/>
              <w:autoSpaceDE w:val="0"/>
              <w:autoSpaceDN w:val="0"/>
              <w:spacing w:line="276" w:lineRule="auto"/>
              <w:jc w:val="both"/>
              <w:rPr>
                <w:rFonts w:ascii="Verdana" w:hAnsi="Verdana" w:cs="Arial"/>
              </w:rPr>
            </w:pPr>
          </w:p>
          <w:p w14:paraId="79E43E10" w14:textId="77777777" w:rsidR="009775DD" w:rsidRPr="00047B09" w:rsidRDefault="009775DD" w:rsidP="00211F61">
            <w:pPr>
              <w:pStyle w:val="Prrafodelista"/>
              <w:widowControl w:val="0"/>
              <w:numPr>
                <w:ilvl w:val="0"/>
                <w:numId w:val="17"/>
              </w:numPr>
              <w:autoSpaceDE w:val="0"/>
              <w:autoSpaceDN w:val="0"/>
              <w:spacing w:line="276" w:lineRule="auto"/>
              <w:contextualSpacing w:val="0"/>
              <w:jc w:val="both"/>
              <w:rPr>
                <w:rFonts w:ascii="Verdana" w:hAnsi="Verdana" w:cs="Arial"/>
              </w:rPr>
            </w:pPr>
            <w:r w:rsidRPr="00470CF3">
              <w:rPr>
                <w:rFonts w:ascii="Verdana" w:eastAsia="Calibri" w:hAnsi="Verdana" w:cs="Arial"/>
                <w:lang w:eastAsia="es-ES_tradnl"/>
              </w:rPr>
              <w:t xml:space="preserve">Guía para incentivar la participación de Mujeres en el Sistema de Compras y Contratación Pública. Disponible para consulta en: </w:t>
            </w:r>
            <w:hyperlink r:id="rId12" w:history="1">
              <w:r w:rsidRPr="00470CF3">
                <w:rPr>
                  <w:rStyle w:val="Hipervnculo"/>
                  <w:rFonts w:ascii="Verdana" w:eastAsia="Calibri" w:hAnsi="Verdana" w:cs="Arial"/>
                  <w:lang w:eastAsia="es-ES_tradnl"/>
                </w:rPr>
                <w:t>GUÍA PARA INCENTIVAR LA PARTICIPACIÓN DE MUJERES EN EL SISTEMA DE COMPRAS Y CONTRATACIÓN PÚBLICA</w:t>
              </w:r>
            </w:hyperlink>
          </w:p>
          <w:p w14:paraId="442DF741" w14:textId="77777777" w:rsidR="009775DD" w:rsidRPr="00047B09" w:rsidRDefault="009775DD" w:rsidP="00211F61">
            <w:pPr>
              <w:pStyle w:val="Prrafodelista"/>
              <w:widowControl w:val="0"/>
              <w:autoSpaceDE w:val="0"/>
              <w:autoSpaceDN w:val="0"/>
              <w:spacing w:line="276" w:lineRule="auto"/>
              <w:ind w:left="578"/>
              <w:contextualSpacing w:val="0"/>
              <w:jc w:val="both"/>
              <w:rPr>
                <w:rFonts w:ascii="Verdana" w:hAnsi="Verdana" w:cs="Arial"/>
              </w:rPr>
            </w:pPr>
          </w:p>
          <w:p w14:paraId="327353CD" w14:textId="77777777" w:rsidR="009775DD" w:rsidRPr="00470CF3" w:rsidRDefault="009775DD" w:rsidP="00211F61">
            <w:pPr>
              <w:pStyle w:val="Prrafodelista"/>
              <w:widowControl w:val="0"/>
              <w:numPr>
                <w:ilvl w:val="0"/>
                <w:numId w:val="17"/>
              </w:numPr>
              <w:autoSpaceDE w:val="0"/>
              <w:autoSpaceDN w:val="0"/>
              <w:spacing w:line="276" w:lineRule="auto"/>
              <w:contextualSpacing w:val="0"/>
              <w:jc w:val="both"/>
              <w:rPr>
                <w:rFonts w:ascii="Verdana" w:hAnsi="Verdana" w:cs="Arial"/>
              </w:rPr>
            </w:pPr>
            <w:r w:rsidRPr="003C2B47">
              <w:rPr>
                <w:rFonts w:ascii="Verdana" w:eastAsia="Calibri" w:hAnsi="Verdana" w:cs="Arial"/>
              </w:rPr>
              <w:t>Manual para determinar y verificar los requisitos</w:t>
            </w:r>
            <w:r>
              <w:rPr>
                <w:rFonts w:ascii="Verdana" w:eastAsia="Calibri" w:hAnsi="Verdana" w:cs="Arial"/>
              </w:rPr>
              <w:t xml:space="preserve"> </w:t>
            </w:r>
            <w:r w:rsidRPr="003C2B47">
              <w:rPr>
                <w:rFonts w:ascii="Verdana" w:eastAsia="Calibri" w:hAnsi="Verdana" w:cs="Arial"/>
              </w:rPr>
              <w:t>habilitantes en los Procesos de Contratación</w:t>
            </w:r>
            <w:r>
              <w:rPr>
                <w:rFonts w:ascii="Verdana" w:eastAsia="Calibri" w:hAnsi="Verdana" w:cs="Arial"/>
              </w:rPr>
              <w:t xml:space="preserve">. </w:t>
            </w:r>
            <w:r w:rsidRPr="00470CF3">
              <w:rPr>
                <w:rFonts w:ascii="Verdana" w:eastAsia="Calibri" w:hAnsi="Verdana" w:cs="Arial"/>
                <w:lang w:eastAsia="es-ES_tradnl"/>
              </w:rPr>
              <w:t>Disponible para consulta en:</w:t>
            </w:r>
            <w:r>
              <w:rPr>
                <w:rFonts w:ascii="Verdana" w:eastAsia="Calibri" w:hAnsi="Verdana" w:cs="Arial"/>
                <w:lang w:eastAsia="es-ES_tradnl"/>
              </w:rPr>
              <w:t xml:space="preserve"> </w:t>
            </w:r>
            <w:hyperlink r:id="rId13" w:history="1">
              <w:r w:rsidRPr="00F83967">
                <w:rPr>
                  <w:rStyle w:val="Hipervnculo"/>
                  <w:rFonts w:ascii="Verdana" w:eastAsia="Calibri" w:hAnsi="Verdana" w:cs="Arial"/>
                  <w:lang w:eastAsia="es-ES_tradnl"/>
                </w:rPr>
                <w:t>MANUAL PARA DETERMINAR Y VERIFICAR LOS REQUISITOS HABILITANTES EN LOS PROCESOS DE CONTRATACIÓN</w:t>
              </w:r>
            </w:hyperlink>
          </w:p>
        </w:tc>
      </w:tr>
    </w:tbl>
    <w:p w14:paraId="1FBF5FFC" w14:textId="77777777" w:rsidR="009775DD" w:rsidRPr="00470CF3" w:rsidRDefault="009775DD" w:rsidP="009775DD">
      <w:pPr>
        <w:spacing w:after="0" w:line="276" w:lineRule="auto"/>
        <w:jc w:val="both"/>
        <w:rPr>
          <w:rFonts w:ascii="Verdana" w:eastAsia="Calibri" w:hAnsi="Verdana" w:cs="Arial"/>
          <w:color w:val="000000"/>
          <w:lang w:eastAsia="es-ES" w:bidi="es-ES"/>
        </w:rPr>
      </w:pPr>
    </w:p>
    <w:p w14:paraId="0BD21B85" w14:textId="77777777" w:rsidR="009775DD" w:rsidRPr="00470CF3" w:rsidRDefault="009775DD" w:rsidP="009775DD">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Arial"/>
          <w:b/>
          <w:bCs/>
        </w:rPr>
      </w:pPr>
      <w:r w:rsidRPr="00470CF3">
        <w:rPr>
          <w:rFonts w:ascii="Verdana" w:eastAsia="Century Gothic" w:hAnsi="Verdana" w:cs="Arial"/>
          <w:b/>
          <w:bCs/>
        </w:rPr>
        <w:t>Doctrina de la Agencia Nacional de Contratación Pública:</w:t>
      </w:r>
    </w:p>
    <w:p w14:paraId="1676700C" w14:textId="77777777" w:rsidR="009775DD" w:rsidRPr="00470CF3" w:rsidRDefault="009775DD" w:rsidP="009775DD">
      <w:pPr>
        <w:widowControl w:val="0"/>
        <w:autoSpaceDE w:val="0"/>
        <w:autoSpaceDN w:val="0"/>
        <w:spacing w:after="0" w:line="276" w:lineRule="auto"/>
        <w:jc w:val="both"/>
        <w:rPr>
          <w:rFonts w:ascii="Verdana" w:hAnsi="Verdana" w:cs="Arial"/>
        </w:rPr>
      </w:pPr>
    </w:p>
    <w:p w14:paraId="58B52EB6" w14:textId="77777777" w:rsidR="009775DD" w:rsidRPr="00470CF3" w:rsidRDefault="009775DD" w:rsidP="009775DD">
      <w:pPr>
        <w:widowControl w:val="0"/>
        <w:autoSpaceDE w:val="0"/>
        <w:autoSpaceDN w:val="0"/>
        <w:spacing w:after="0" w:line="276" w:lineRule="auto"/>
        <w:jc w:val="both"/>
        <w:rPr>
          <w:rFonts w:ascii="Verdana" w:eastAsia="Times New Roman" w:hAnsi="Verdana" w:cs="Arial"/>
          <w:shd w:val="clear" w:color="auto" w:fill="FFFFFF"/>
          <w:lang w:eastAsia="es-ES_tradnl"/>
        </w:rPr>
      </w:pPr>
      <w:r w:rsidRPr="00470CF3">
        <w:rPr>
          <w:rFonts w:ascii="Verdana" w:eastAsia="Times New Roman" w:hAnsi="Verdana" w:cs="Arial"/>
          <w:shd w:val="clear" w:color="auto" w:fill="FFFFFF"/>
          <w:lang w:eastAsia="es-ES_tradnl"/>
        </w:rPr>
        <w:t xml:space="preserve">La Subdirección de Gestión Contractual ha estudiado </w:t>
      </w:r>
      <w:r w:rsidRPr="00470CF3">
        <w:rPr>
          <w:rFonts w:ascii="Verdana" w:eastAsia="Calibri" w:hAnsi="Verdana" w:cs="Arial"/>
          <w:lang w:val="es-ES" w:eastAsia="es-ES"/>
        </w:rPr>
        <w:t xml:space="preserve">la </w:t>
      </w:r>
      <w:r w:rsidRPr="00470CF3">
        <w:rPr>
          <w:rFonts w:ascii="Verdana" w:eastAsia="Calibri" w:hAnsi="Verdana" w:cs="Arial"/>
          <w:lang w:val="es-ES" w:eastAsia="es-ES_tradnl"/>
        </w:rPr>
        <w:t xml:space="preserve">definición de emprendimientos y empresas de mujeres en los conceptos </w:t>
      </w:r>
      <w:r w:rsidRPr="00470CF3">
        <w:rPr>
          <w:rFonts w:ascii="Verdana" w:eastAsia="Times New Roman" w:hAnsi="Verdana" w:cs="Arial"/>
          <w:shd w:val="clear" w:color="auto" w:fill="FFFFFF"/>
          <w:lang w:eastAsia="es-ES_tradnl"/>
        </w:rPr>
        <w:t xml:space="preserve">C-029 de 21 de </w:t>
      </w:r>
      <w:r w:rsidRPr="00470CF3">
        <w:rPr>
          <w:rFonts w:ascii="Verdana" w:eastAsia="Times New Roman" w:hAnsi="Verdana" w:cs="Arial"/>
          <w:shd w:val="clear" w:color="auto" w:fill="FFFFFF"/>
          <w:lang w:eastAsia="es-ES_tradnl"/>
        </w:rPr>
        <w:lastRenderedPageBreak/>
        <w:t>febrero de 2021, C-037 del 26 de febrero de 2021, C-141 del 8 de abril de 2021, C-114 del 13 de abril de 2021 y C-031 del 1 de marzo de 2022, C-213 del 21 de abril de 2022, C-217 del 21 de abril de 2022, C-281 del 12 de mayo de 2022, C-322 del 20 de mayo de 2022, C-323 del 17 de junio de 2022, C-326 del 18 de mayo de 2022, C-398 del 15 de junio de 2022, C-399 del 21 de junio de 2022, C-421 del 6 de julio de 2022, C-429 del 18 de julio de 2022, C-438 del 11 de julio de 2022, C-454 del 13 de julio de 2022, C-476 del 21 de junio de 2022, C-479 del 26 de julio de 2022, C-504 del 8 de agosto de 2022, C-522 del 16 de agosto de 2022, C-642 del 11 de octubre de 2022, C-696 de 26 de octubre de 2022, C-781 de 25 de noviembre de 2022</w:t>
      </w:r>
      <w:r>
        <w:rPr>
          <w:rFonts w:ascii="Verdana" w:eastAsia="Times New Roman" w:hAnsi="Verdana" w:cs="Arial"/>
          <w:shd w:val="clear" w:color="auto" w:fill="FFFFFF"/>
          <w:lang w:eastAsia="es-ES_tradnl"/>
        </w:rPr>
        <w:t xml:space="preserve">, </w:t>
      </w:r>
      <w:r w:rsidRPr="00470CF3">
        <w:rPr>
          <w:rFonts w:ascii="Verdana" w:eastAsia="Times New Roman" w:hAnsi="Verdana" w:cs="Arial"/>
          <w:shd w:val="clear" w:color="auto" w:fill="FFFFFF"/>
          <w:lang w:eastAsia="es-ES_tradnl"/>
        </w:rPr>
        <w:t>C-076 del 04 de marzo del 2025</w:t>
      </w:r>
      <w:r>
        <w:rPr>
          <w:rFonts w:ascii="Verdana" w:eastAsia="Times New Roman" w:hAnsi="Verdana" w:cs="Arial"/>
          <w:shd w:val="clear" w:color="auto" w:fill="FFFFFF"/>
          <w:lang w:eastAsia="es-ES_tradnl"/>
        </w:rPr>
        <w:t xml:space="preserve"> y  C-171 de 2025</w:t>
      </w:r>
      <w:r w:rsidRPr="00470CF3">
        <w:rPr>
          <w:rFonts w:ascii="Verdana" w:eastAsia="Times New Roman" w:hAnsi="Verdana" w:cs="Arial"/>
          <w:shd w:val="clear" w:color="auto" w:fill="FFFFFF"/>
          <w:lang w:eastAsia="es-ES_tradnl"/>
        </w:rPr>
        <w:t xml:space="preserve">. </w:t>
      </w:r>
      <w:r w:rsidRPr="00470CF3">
        <w:rPr>
          <w:rStyle w:val="normaltextrun"/>
          <w:rFonts w:ascii="Verdana" w:hAnsi="Verdana" w:cs="Arial"/>
          <w:shd w:val="clear" w:color="auto" w:fill="FFFFFF"/>
          <w:lang w:val="es-ES"/>
        </w:rPr>
        <w:t>Es</w:t>
      </w:r>
      <w:r w:rsidRPr="00470CF3">
        <w:rPr>
          <w:rFonts w:ascii="Verdana" w:hAnsi="Verdana" w:cs="Arial"/>
        </w:rPr>
        <w:t>tos y otros conceptos se encuentran disponibles para consulta en el Sistema de relatoría de la Agencia, al cual se puede acceder a través del siguiente enlace:</w:t>
      </w:r>
      <w:r w:rsidRPr="00470CF3">
        <w:rPr>
          <w:rStyle w:val="normaltextrun"/>
          <w:rFonts w:ascii="Verdana" w:hAnsi="Verdana" w:cs="Arial"/>
          <w:shd w:val="clear" w:color="auto" w:fill="FFFFFF"/>
          <w:lang w:val="es-ES"/>
        </w:rPr>
        <w:t xml:space="preserve"> </w:t>
      </w:r>
      <w:hyperlink r:id="rId14" w:history="1">
        <w:r w:rsidRPr="00470CF3">
          <w:rPr>
            <w:rStyle w:val="Hipervnculo"/>
            <w:rFonts w:ascii="Verdana" w:hAnsi="Verdana" w:cs="Arial"/>
            <w:shd w:val="clear" w:color="auto" w:fill="FFFFFF"/>
            <w:lang w:val="es-ES"/>
          </w:rPr>
          <w:t>https://relatoria.colombiacompra.gov.co/busqueda/conceptos</w:t>
        </w:r>
      </w:hyperlink>
    </w:p>
    <w:p w14:paraId="39CDD85B" w14:textId="77777777" w:rsidR="009775DD" w:rsidRPr="00470CF3" w:rsidRDefault="009775DD" w:rsidP="009775DD">
      <w:pPr>
        <w:widowControl w:val="0"/>
        <w:autoSpaceDE w:val="0"/>
        <w:autoSpaceDN w:val="0"/>
        <w:spacing w:after="0" w:line="276" w:lineRule="auto"/>
        <w:jc w:val="both"/>
        <w:rPr>
          <w:rFonts w:ascii="Verdana" w:hAnsi="Verdana"/>
        </w:rPr>
      </w:pPr>
    </w:p>
    <w:p w14:paraId="16D386D3" w14:textId="77777777" w:rsidR="005063AE" w:rsidRPr="009A385A" w:rsidRDefault="005063AE" w:rsidP="005063AE">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4BE7FF3B" w14:textId="77777777" w:rsidR="005063AE" w:rsidRDefault="005063AE" w:rsidP="005063AE">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1E374537" w14:textId="77777777" w:rsidR="005063AE" w:rsidRPr="009A385A" w:rsidRDefault="005063AE" w:rsidP="005063AE">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 xml:space="preserve">se incorporaron orientaciones prácticas dirigidas a entidades públicas, proveedores, organismos de control y demás interesados, con el </w:t>
      </w:r>
      <w:r w:rsidRPr="00797327">
        <w:rPr>
          <w:rFonts w:ascii="Verdana" w:hAnsi="Verdana"/>
        </w:rPr>
        <w:lastRenderedPageBreak/>
        <w:t>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4F785C4" w14:textId="77777777" w:rsidR="005063AE" w:rsidRDefault="005063AE" w:rsidP="009775DD">
      <w:pPr>
        <w:widowControl w:val="0"/>
        <w:autoSpaceDE w:val="0"/>
        <w:autoSpaceDN w:val="0"/>
        <w:spacing w:after="0" w:line="276" w:lineRule="auto"/>
        <w:jc w:val="both"/>
        <w:rPr>
          <w:rFonts w:ascii="Verdana" w:hAnsi="Verdana" w:cs="Arial"/>
        </w:rPr>
      </w:pPr>
    </w:p>
    <w:p w14:paraId="364EF30B" w14:textId="671F406D" w:rsidR="009775DD" w:rsidRPr="00470CF3" w:rsidRDefault="009775DD" w:rsidP="009775DD">
      <w:pPr>
        <w:widowControl w:val="0"/>
        <w:autoSpaceDE w:val="0"/>
        <w:autoSpaceDN w:val="0"/>
        <w:spacing w:after="0" w:line="276" w:lineRule="auto"/>
        <w:jc w:val="both"/>
        <w:rPr>
          <w:rFonts w:ascii="Verdana" w:hAnsi="Verdana" w:cs="Arial"/>
          <w:color w:val="000000" w:themeColor="text1"/>
          <w:shd w:val="clear" w:color="auto" w:fill="FFFFFF"/>
        </w:rPr>
      </w:pPr>
      <w:r w:rsidRPr="00470CF3">
        <w:rPr>
          <w:rFonts w:ascii="Verdana" w:hAnsi="Verdana" w:cs="Arial"/>
        </w:rPr>
        <w:t xml:space="preserve">Por último, lo invitamos a seguirnos en las redes sociales en las cuales se difunde información institucional: </w:t>
      </w:r>
    </w:p>
    <w:p w14:paraId="0DCEC50A" w14:textId="77777777" w:rsidR="009775DD" w:rsidRPr="00470CF3" w:rsidRDefault="009775DD" w:rsidP="009775DD">
      <w:pPr>
        <w:spacing w:after="0" w:line="276" w:lineRule="auto"/>
        <w:jc w:val="both"/>
        <w:rPr>
          <w:rFonts w:ascii="Verdana" w:hAnsi="Verdana" w:cs="Arial"/>
        </w:rPr>
      </w:pPr>
      <w:r w:rsidRPr="00470CF3">
        <w:rPr>
          <w:rFonts w:ascii="Verdana" w:hAnsi="Verdana" w:cs="Arial"/>
        </w:rPr>
        <w:t xml:space="preserve">Twitter: </w:t>
      </w:r>
      <w:r w:rsidRPr="00470CF3">
        <w:rPr>
          <w:rStyle w:val="Hipervnculo"/>
          <w:rFonts w:ascii="Verdana" w:hAnsi="Verdana" w:cs="Arial"/>
          <w:shd w:val="clear" w:color="auto" w:fill="FFFFFF"/>
          <w:lang w:val="es-ES"/>
        </w:rPr>
        <w:t>@colombiacompra</w:t>
      </w:r>
      <w:r w:rsidRPr="00470CF3">
        <w:rPr>
          <w:rFonts w:ascii="Verdana" w:eastAsia="Aptos" w:hAnsi="Verdana" w:cs="Arial"/>
          <w:color w:val="156082"/>
        </w:rPr>
        <w:t xml:space="preserve"> </w:t>
      </w:r>
    </w:p>
    <w:p w14:paraId="5069D484" w14:textId="77777777" w:rsidR="009775DD" w:rsidRPr="00470CF3" w:rsidRDefault="009775DD" w:rsidP="009775DD">
      <w:pPr>
        <w:spacing w:after="0" w:line="276" w:lineRule="auto"/>
        <w:jc w:val="both"/>
        <w:rPr>
          <w:rFonts w:ascii="Verdana" w:hAnsi="Verdana" w:cs="Arial"/>
        </w:rPr>
      </w:pPr>
      <w:r w:rsidRPr="00470CF3">
        <w:rPr>
          <w:rFonts w:ascii="Verdana" w:hAnsi="Verdana" w:cs="Arial"/>
        </w:rPr>
        <w:t xml:space="preserve">Facebook: </w:t>
      </w:r>
      <w:r w:rsidRPr="00470CF3">
        <w:rPr>
          <w:rStyle w:val="Hipervnculo"/>
          <w:rFonts w:ascii="Verdana" w:hAnsi="Verdana" w:cs="Arial"/>
          <w:shd w:val="clear" w:color="auto" w:fill="FFFFFF"/>
          <w:lang w:val="es-ES"/>
        </w:rPr>
        <w:t>ColombiaCompraEficiente</w:t>
      </w:r>
    </w:p>
    <w:p w14:paraId="070ABB86" w14:textId="77777777" w:rsidR="009775DD" w:rsidRPr="00470CF3" w:rsidRDefault="009775DD" w:rsidP="009775DD">
      <w:pPr>
        <w:spacing w:after="0" w:line="276" w:lineRule="auto"/>
        <w:jc w:val="both"/>
        <w:rPr>
          <w:rFonts w:ascii="Verdana" w:hAnsi="Verdana" w:cs="Arial"/>
        </w:rPr>
      </w:pPr>
      <w:r w:rsidRPr="00470CF3">
        <w:rPr>
          <w:rFonts w:ascii="Verdana" w:hAnsi="Verdana" w:cs="Arial"/>
        </w:rPr>
        <w:t xml:space="preserve">LinkedIn: </w:t>
      </w:r>
      <w:r w:rsidRPr="00470CF3">
        <w:rPr>
          <w:rStyle w:val="Hipervnculo"/>
          <w:rFonts w:ascii="Verdana" w:hAnsi="Verdana" w:cs="Arial"/>
          <w:shd w:val="clear" w:color="auto" w:fill="FFFFFF"/>
          <w:lang w:val="es-ES"/>
        </w:rPr>
        <w:t>Agencia Nacional de Contratación Pública - Colombia Compra Eficiente</w:t>
      </w:r>
      <w:r w:rsidRPr="00470CF3">
        <w:rPr>
          <w:rFonts w:ascii="Verdana" w:eastAsia="Aptos" w:hAnsi="Verdana" w:cs="Arial"/>
          <w:color w:val="156082"/>
        </w:rPr>
        <w:t xml:space="preserve"> </w:t>
      </w:r>
      <w:r w:rsidRPr="00470CF3">
        <w:rPr>
          <w:rFonts w:ascii="Verdana" w:hAnsi="Verdana" w:cs="Arial"/>
        </w:rPr>
        <w:t xml:space="preserve">Instagram: </w:t>
      </w:r>
      <w:r w:rsidRPr="00470CF3">
        <w:rPr>
          <w:rStyle w:val="Hipervnculo"/>
          <w:rFonts w:ascii="Verdana" w:hAnsi="Verdana" w:cs="Arial"/>
          <w:shd w:val="clear" w:color="auto" w:fill="FFFFFF"/>
          <w:lang w:val="es-ES"/>
        </w:rPr>
        <w:t>@colombiacompraeficiente_cce</w:t>
      </w:r>
    </w:p>
    <w:p w14:paraId="41C8C8EA" w14:textId="77777777" w:rsidR="009775DD" w:rsidRPr="00470CF3" w:rsidRDefault="009775DD" w:rsidP="009775DD">
      <w:pPr>
        <w:widowControl w:val="0"/>
        <w:autoSpaceDE w:val="0"/>
        <w:autoSpaceDN w:val="0"/>
        <w:spacing w:after="0" w:line="276" w:lineRule="auto"/>
        <w:jc w:val="both"/>
        <w:rPr>
          <w:rFonts w:ascii="Verdana" w:hAnsi="Verdana" w:cs="Arial"/>
        </w:rPr>
      </w:pPr>
    </w:p>
    <w:p w14:paraId="4ED08C8D" w14:textId="77777777" w:rsidR="009775DD" w:rsidRPr="00470CF3" w:rsidRDefault="009775DD" w:rsidP="009775DD">
      <w:pPr>
        <w:widowControl w:val="0"/>
        <w:autoSpaceDE w:val="0"/>
        <w:autoSpaceDN w:val="0"/>
        <w:spacing w:after="0" w:line="276" w:lineRule="auto"/>
        <w:jc w:val="both"/>
        <w:rPr>
          <w:rFonts w:ascii="Verdana" w:eastAsia="Aptos" w:hAnsi="Verdana" w:cs="Arial"/>
          <w:lang w:val="es-ES_tradnl"/>
        </w:rPr>
      </w:pPr>
      <w:r w:rsidRPr="00470CF3">
        <w:rPr>
          <w:rFonts w:ascii="Verdana" w:eastAsia="Aptos" w:hAnsi="Verdana" w:cs="Arial"/>
        </w:rPr>
        <w:t xml:space="preserve">Este concepto tiene el alcance previsto en el artículo 28 del Código de Procedimiento Administrativo y de lo Contencioso Administrativo </w:t>
      </w:r>
      <w:r w:rsidRPr="00470CF3">
        <w:rPr>
          <w:rFonts w:ascii="Verdana" w:eastAsia="Aptos" w:hAnsi="Verdana" w:cs="Arial"/>
          <w:lang w:val="es-ES_tradnl"/>
        </w:rPr>
        <w:t>y las expresiones aquí utilizadas con mayúscula inicial deben ser entendidas con el significado que les otorga el artículo 2.2.1.1.1.3.1. del Decreto 1082 de 2015.</w:t>
      </w:r>
    </w:p>
    <w:p w14:paraId="31ACEB5E" w14:textId="77777777" w:rsidR="009775DD" w:rsidRPr="00470CF3" w:rsidRDefault="009775DD" w:rsidP="009775DD">
      <w:pPr>
        <w:widowControl w:val="0"/>
        <w:autoSpaceDE w:val="0"/>
        <w:autoSpaceDN w:val="0"/>
        <w:spacing w:after="0" w:line="276" w:lineRule="auto"/>
        <w:jc w:val="both"/>
        <w:rPr>
          <w:rFonts w:ascii="Verdana" w:eastAsia="Aptos" w:hAnsi="Verdana" w:cs="Arial"/>
        </w:rPr>
      </w:pPr>
    </w:p>
    <w:p w14:paraId="51CE4F70" w14:textId="77777777" w:rsidR="009775DD" w:rsidRPr="00470CF3" w:rsidRDefault="009775DD" w:rsidP="009775DD">
      <w:pPr>
        <w:spacing w:after="0" w:line="276" w:lineRule="auto"/>
        <w:rPr>
          <w:rFonts w:ascii="Verdana" w:hAnsi="Verdana" w:cs="Arial"/>
          <w:lang w:eastAsia="es-CO"/>
        </w:rPr>
      </w:pPr>
      <w:r w:rsidRPr="00470CF3">
        <w:rPr>
          <w:rFonts w:ascii="Verdana" w:eastAsia="Times New Roman" w:hAnsi="Verdana" w:cs="Arial"/>
          <w:lang w:eastAsia="es-CO"/>
        </w:rPr>
        <w:t>Atentamente,</w:t>
      </w:r>
      <w:r w:rsidRPr="00470CF3">
        <w:rPr>
          <w:rFonts w:ascii="Verdana" w:hAnsi="Verdana" w:cs="Arial"/>
          <w:lang w:eastAsia="es-CO"/>
        </w:rPr>
        <w:t xml:space="preserve"> </w:t>
      </w:r>
    </w:p>
    <w:p w14:paraId="72CA50CE" w14:textId="51C814BF" w:rsidR="009775DD" w:rsidRPr="00470CF3" w:rsidRDefault="0052799A" w:rsidP="009775DD">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03D0C8C5" wp14:editId="7BB2D7D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775DD" w:rsidRPr="00470CF3" w14:paraId="28FEDC8F" w14:textId="77777777" w:rsidTr="00211F61">
        <w:trPr>
          <w:trHeight w:val="315"/>
        </w:trPr>
        <w:tc>
          <w:tcPr>
            <w:tcW w:w="893" w:type="dxa"/>
            <w:vAlign w:val="center"/>
            <w:hideMark/>
          </w:tcPr>
          <w:bookmarkEnd w:id="0"/>
          <w:p w14:paraId="568AD5DC" w14:textId="77777777" w:rsidR="009775DD" w:rsidRPr="00470CF3" w:rsidRDefault="009775DD" w:rsidP="00211F61">
            <w:pPr>
              <w:contextualSpacing/>
              <w:rPr>
                <w:rFonts w:ascii="Verdana" w:hAnsi="Verdana" w:cs="Arial"/>
                <w:sz w:val="16"/>
                <w:szCs w:val="16"/>
                <w:lang w:val="es-ES" w:eastAsia="es-ES"/>
              </w:rPr>
            </w:pPr>
            <w:r w:rsidRPr="00470CF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73B4FD6" w14:textId="77777777" w:rsidR="009775DD" w:rsidRPr="00470CF3" w:rsidRDefault="009775DD" w:rsidP="00211F61">
            <w:pPr>
              <w:contextualSpacing/>
              <w:rPr>
                <w:rFonts w:ascii="Verdana" w:eastAsia="Arial" w:hAnsi="Verdana" w:cs="Arial"/>
                <w:sz w:val="16"/>
                <w:szCs w:val="16"/>
              </w:rPr>
            </w:pPr>
            <w:r>
              <w:rPr>
                <w:rFonts w:ascii="Verdana" w:eastAsia="Arial" w:hAnsi="Verdana" w:cs="Arial"/>
                <w:sz w:val="16"/>
                <w:szCs w:val="16"/>
              </w:rPr>
              <w:t>Richard Andrés Montenegro Siefken</w:t>
            </w:r>
          </w:p>
          <w:p w14:paraId="29728256" w14:textId="77777777" w:rsidR="009775DD" w:rsidRPr="00470CF3" w:rsidRDefault="009775DD" w:rsidP="00211F61">
            <w:pPr>
              <w:contextualSpacing/>
              <w:rPr>
                <w:rFonts w:ascii="Verdana" w:eastAsia="Arial" w:hAnsi="Verdana" w:cs="Arial"/>
                <w:sz w:val="16"/>
                <w:szCs w:val="16"/>
              </w:rPr>
            </w:pPr>
            <w:r w:rsidRPr="00470CF3">
              <w:rPr>
                <w:rStyle w:val="normaltextrun"/>
                <w:rFonts w:ascii="Verdana" w:eastAsia="Arial" w:hAnsi="Verdana" w:cs="Arial"/>
                <w:sz w:val="16"/>
                <w:szCs w:val="16"/>
              </w:rPr>
              <w:t>C</w:t>
            </w:r>
            <w:r w:rsidRPr="00470CF3">
              <w:rPr>
                <w:rStyle w:val="normaltextrun"/>
                <w:rFonts w:ascii="Verdana" w:hAnsi="Verdana" w:cs="Arial"/>
                <w:sz w:val="16"/>
                <w:szCs w:val="16"/>
              </w:rPr>
              <w:t>ontratista</w:t>
            </w:r>
            <w:r w:rsidRPr="00470CF3">
              <w:rPr>
                <w:rStyle w:val="normaltextrun"/>
                <w:rFonts w:ascii="Verdana" w:eastAsia="Arial" w:hAnsi="Verdana" w:cs="Arial"/>
                <w:sz w:val="16"/>
                <w:szCs w:val="16"/>
              </w:rPr>
              <w:t xml:space="preserve"> de la Subdirección de Gestión Contractual</w:t>
            </w:r>
          </w:p>
        </w:tc>
      </w:tr>
      <w:tr w:rsidR="009775DD" w:rsidRPr="00470CF3" w14:paraId="689BA937" w14:textId="77777777" w:rsidTr="00211F61">
        <w:trPr>
          <w:trHeight w:val="330"/>
        </w:trPr>
        <w:tc>
          <w:tcPr>
            <w:tcW w:w="893" w:type="dxa"/>
            <w:vAlign w:val="center"/>
            <w:hideMark/>
          </w:tcPr>
          <w:p w14:paraId="54602015" w14:textId="77777777" w:rsidR="009775DD" w:rsidRPr="00470CF3" w:rsidRDefault="009775DD" w:rsidP="00211F61">
            <w:pPr>
              <w:contextualSpacing/>
              <w:rPr>
                <w:rFonts w:ascii="Verdana" w:hAnsi="Verdana" w:cs="Arial"/>
                <w:sz w:val="16"/>
                <w:szCs w:val="16"/>
                <w:lang w:val="es-ES" w:eastAsia="es-ES"/>
              </w:rPr>
            </w:pPr>
            <w:r w:rsidRPr="00470CF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6BBA012" w14:textId="77777777" w:rsidR="009775DD" w:rsidRPr="00470CF3" w:rsidRDefault="009775DD" w:rsidP="00211F61">
            <w:pPr>
              <w:pStyle w:val="paragraph"/>
              <w:spacing w:after="0"/>
              <w:contextualSpacing/>
              <w:textAlignment w:val="baseline"/>
              <w:rPr>
                <w:rFonts w:ascii="Verdana" w:hAnsi="Verdana" w:cs="Arial"/>
                <w:sz w:val="16"/>
                <w:szCs w:val="16"/>
              </w:rPr>
            </w:pPr>
            <w:r>
              <w:rPr>
                <w:rFonts w:ascii="Verdana" w:hAnsi="Verdana" w:cs="Arial"/>
                <w:sz w:val="16"/>
                <w:szCs w:val="16"/>
              </w:rPr>
              <w:t>Juan David Cardenas Cabezas</w:t>
            </w:r>
          </w:p>
          <w:p w14:paraId="66F88F3B" w14:textId="77777777" w:rsidR="009775DD" w:rsidRPr="00470CF3" w:rsidRDefault="009775DD" w:rsidP="00211F61">
            <w:pPr>
              <w:pStyle w:val="paragraph"/>
              <w:contextualSpacing/>
              <w:rPr>
                <w:rFonts w:ascii="Verdana" w:eastAsia="Arial" w:hAnsi="Verdana" w:cs="Arial"/>
                <w:sz w:val="16"/>
                <w:szCs w:val="16"/>
              </w:rPr>
            </w:pPr>
            <w:r w:rsidRPr="00470CF3">
              <w:rPr>
                <w:rStyle w:val="normaltextrun"/>
                <w:rFonts w:ascii="Verdana" w:eastAsia="Arial" w:hAnsi="Verdana" w:cs="Arial"/>
                <w:sz w:val="16"/>
                <w:szCs w:val="16"/>
              </w:rPr>
              <w:t>C</w:t>
            </w:r>
            <w:r w:rsidRPr="00470CF3">
              <w:rPr>
                <w:rStyle w:val="normaltextrun"/>
                <w:rFonts w:ascii="Verdana" w:hAnsi="Verdana" w:cs="Arial"/>
                <w:sz w:val="16"/>
                <w:szCs w:val="16"/>
              </w:rPr>
              <w:t>ontratista</w:t>
            </w:r>
            <w:r w:rsidRPr="00470CF3">
              <w:rPr>
                <w:rStyle w:val="normaltextrun"/>
                <w:rFonts w:ascii="Verdana" w:eastAsia="Arial" w:hAnsi="Verdana" w:cs="Arial"/>
                <w:sz w:val="16"/>
                <w:szCs w:val="16"/>
              </w:rPr>
              <w:t xml:space="preserve"> de la Subdirección de Gestión Contractual</w:t>
            </w:r>
          </w:p>
        </w:tc>
      </w:tr>
      <w:tr w:rsidR="009775DD" w:rsidRPr="00470CF3" w14:paraId="17B51C34" w14:textId="77777777" w:rsidTr="00211F61">
        <w:trPr>
          <w:trHeight w:val="300"/>
        </w:trPr>
        <w:tc>
          <w:tcPr>
            <w:tcW w:w="893" w:type="dxa"/>
            <w:vAlign w:val="center"/>
          </w:tcPr>
          <w:p w14:paraId="36B79A91" w14:textId="77777777" w:rsidR="009775DD" w:rsidRPr="00470CF3" w:rsidRDefault="009775DD" w:rsidP="00211F61">
            <w:pPr>
              <w:contextualSpacing/>
              <w:rPr>
                <w:rFonts w:ascii="Verdana" w:hAnsi="Verdana" w:cs="Arial"/>
                <w:sz w:val="16"/>
                <w:szCs w:val="16"/>
                <w:lang w:val="es-ES" w:eastAsia="es-ES"/>
              </w:rPr>
            </w:pPr>
            <w:r w:rsidRPr="00470CF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CB1829E" w14:textId="77777777" w:rsidR="009775DD" w:rsidRPr="00470CF3" w:rsidRDefault="009775DD" w:rsidP="00211F61">
            <w:pPr>
              <w:contextualSpacing/>
              <w:rPr>
                <w:rFonts w:ascii="Verdana" w:eastAsia="Calibri" w:hAnsi="Verdana" w:cs="Arial"/>
                <w:sz w:val="16"/>
                <w:szCs w:val="16"/>
                <w:lang w:val="pt-BR" w:eastAsia="es-ES"/>
              </w:rPr>
            </w:pPr>
            <w:r w:rsidRPr="00470CF3">
              <w:rPr>
                <w:rFonts w:ascii="Verdana" w:eastAsia="Calibri" w:hAnsi="Verdana" w:cs="Arial"/>
                <w:sz w:val="16"/>
                <w:szCs w:val="16"/>
                <w:lang w:val="pt-BR" w:eastAsia="es-ES"/>
              </w:rPr>
              <w:t>Carolina Quintero Gacharná</w:t>
            </w:r>
          </w:p>
          <w:p w14:paraId="00ECCE5B" w14:textId="77777777" w:rsidR="009775DD" w:rsidRPr="00470CF3" w:rsidRDefault="009775DD" w:rsidP="00211F61">
            <w:pPr>
              <w:contextualSpacing/>
              <w:rPr>
                <w:rFonts w:ascii="Verdana" w:eastAsia="Calibri" w:hAnsi="Verdana" w:cs="Arial"/>
                <w:sz w:val="16"/>
                <w:szCs w:val="16"/>
                <w:lang w:val="pt-BR" w:eastAsia="es-ES"/>
              </w:rPr>
            </w:pPr>
            <w:r w:rsidRPr="00470CF3">
              <w:rPr>
                <w:rFonts w:ascii="Verdana" w:eastAsia="Calibri" w:hAnsi="Verdana" w:cs="Arial"/>
                <w:sz w:val="16"/>
                <w:szCs w:val="16"/>
                <w:lang w:eastAsia="es-ES"/>
              </w:rPr>
              <w:t>Subdirectora</w:t>
            </w:r>
            <w:r w:rsidRPr="00470CF3">
              <w:rPr>
                <w:rFonts w:ascii="Verdana" w:eastAsia="Calibri" w:hAnsi="Verdana" w:cs="Arial"/>
                <w:sz w:val="16"/>
                <w:szCs w:val="16"/>
                <w:lang w:val="pt-BR" w:eastAsia="es-ES"/>
              </w:rPr>
              <w:t xml:space="preserve"> de Gestión Contractual ANCP – CCE</w:t>
            </w:r>
          </w:p>
        </w:tc>
      </w:tr>
    </w:tbl>
    <w:p w14:paraId="1A07B1A3" w14:textId="77777777" w:rsidR="009775DD" w:rsidRPr="0044528D" w:rsidRDefault="009775DD" w:rsidP="009775DD">
      <w:pPr>
        <w:spacing w:after="0" w:line="240" w:lineRule="auto"/>
        <w:textAlignment w:val="baseline"/>
        <w:rPr>
          <w:rFonts w:ascii="Verdana" w:eastAsia="Times New Roman" w:hAnsi="Verdana" w:cs="Segoe UI"/>
          <w:b/>
          <w:bCs/>
          <w:color w:val="46589C"/>
          <w:lang w:val="es-ES" w:eastAsia="es-CO"/>
        </w:rPr>
      </w:pPr>
    </w:p>
    <w:p w14:paraId="0F293BF4" w14:textId="4E390E3E" w:rsidR="00127233" w:rsidRPr="00AC36B4" w:rsidRDefault="00127233" w:rsidP="00AC36B4"/>
    <w:sectPr w:rsidR="00127233" w:rsidRPr="00AC36B4"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643A5" w14:textId="77777777" w:rsidR="0091757B" w:rsidRDefault="0091757B" w:rsidP="004A1847">
      <w:pPr>
        <w:spacing w:after="0" w:line="240" w:lineRule="auto"/>
      </w:pPr>
      <w:r>
        <w:separator/>
      </w:r>
    </w:p>
  </w:endnote>
  <w:endnote w:type="continuationSeparator" w:id="0">
    <w:p w14:paraId="26197235" w14:textId="77777777" w:rsidR="0091757B" w:rsidRDefault="0091757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AC36B4"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AC36B4">
      <w:rPr>
        <w:rFonts w:ascii="Verdana" w:eastAsia="Verdana" w:hAnsi="Verdana" w:cs="Verdana"/>
        <w:b/>
        <w:bCs/>
        <w:color w:val="000000" w:themeColor="text1"/>
        <w:sz w:val="18"/>
        <w:szCs w:val="18"/>
        <w:lang w:val="pt-PT" w:eastAsia="es-CO"/>
      </w:rPr>
      <w:t xml:space="preserve">Código: </w:t>
    </w:r>
    <w:r w:rsidRPr="00AC36B4">
      <w:rPr>
        <w:rFonts w:ascii="Verdana" w:eastAsia="Verdana" w:hAnsi="Verdana" w:cs="Verdana"/>
        <w:color w:val="000000" w:themeColor="text1"/>
        <w:sz w:val="18"/>
        <w:szCs w:val="18"/>
        <w:lang w:val="pt-PT" w:eastAsia="es-CO"/>
      </w:rPr>
      <w:t xml:space="preserve">CCE-REC-FM-17 </w:t>
    </w:r>
    <w:r w:rsidRPr="00AC36B4">
      <w:rPr>
        <w:rFonts w:ascii="Verdana" w:eastAsia="Verdana" w:hAnsi="Verdana" w:cs="Verdana"/>
        <w:b/>
        <w:bCs/>
        <w:color w:val="000000" w:themeColor="text1"/>
        <w:sz w:val="18"/>
        <w:szCs w:val="18"/>
        <w:lang w:val="pt-PT" w:eastAsia="es-CO"/>
      </w:rPr>
      <w:t xml:space="preserve">V: </w:t>
    </w:r>
    <w:r w:rsidRPr="00AC36B4">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A7630" w14:textId="77777777" w:rsidR="0091757B" w:rsidRDefault="0091757B" w:rsidP="004A1847">
      <w:pPr>
        <w:spacing w:after="0" w:line="240" w:lineRule="auto"/>
      </w:pPr>
      <w:r>
        <w:separator/>
      </w:r>
    </w:p>
  </w:footnote>
  <w:footnote w:type="continuationSeparator" w:id="0">
    <w:p w14:paraId="09A34500" w14:textId="77777777" w:rsidR="0091757B" w:rsidRDefault="0091757B" w:rsidP="004A1847">
      <w:pPr>
        <w:spacing w:after="0" w:line="240" w:lineRule="auto"/>
      </w:pPr>
      <w:r>
        <w:continuationSeparator/>
      </w:r>
    </w:p>
  </w:footnote>
  <w:footnote w:id="1">
    <w:p w14:paraId="0809E153" w14:textId="77777777" w:rsidR="009775DD" w:rsidRPr="00047B09" w:rsidRDefault="009775DD" w:rsidP="009775DD">
      <w:pPr>
        <w:pStyle w:val="Textonotapie"/>
        <w:ind w:firstLine="708"/>
        <w:contextualSpacing/>
        <w:jc w:val="both"/>
        <w:rPr>
          <w:rStyle w:val="Hipervnculo1"/>
          <w:rFonts w:ascii="Verdana" w:hAnsi="Verdana" w:cs="Arial"/>
          <w:color w:val="000000" w:themeColor="text1"/>
          <w:sz w:val="16"/>
          <w:szCs w:val="16"/>
        </w:rPr>
      </w:pPr>
      <w:r w:rsidRPr="00047B09">
        <w:rPr>
          <w:rStyle w:val="Refdenotaalpie"/>
          <w:rFonts w:ascii="Verdana" w:hAnsi="Verdana" w:cs="Arial"/>
          <w:color w:val="000000" w:themeColor="text1"/>
          <w:sz w:val="16"/>
          <w:szCs w:val="16"/>
        </w:rPr>
        <w:footnoteRef/>
      </w:r>
      <w:r w:rsidRPr="00047B09">
        <w:rPr>
          <w:rFonts w:ascii="Verdana" w:hAnsi="Verdana" w:cs="Arial"/>
          <w:color w:val="000000" w:themeColor="text1"/>
          <w:sz w:val="16"/>
          <w:szCs w:val="16"/>
        </w:rPr>
        <w:t xml:space="preserve"> Texto del Proyecto de Ley 122 de 2020 Cámara. Exposición de motivos. Consultado el 29 de diciembre de 2021 en la página web: </w:t>
      </w:r>
      <w:hyperlink r:id="rId1" w:history="1">
        <w:r w:rsidRPr="00047B09">
          <w:rPr>
            <w:rStyle w:val="Hipervnculo"/>
            <w:rFonts w:ascii="Verdana" w:hAnsi="Verdana" w:cs="Arial"/>
            <w:sz w:val="16"/>
            <w:szCs w:val="16"/>
          </w:rPr>
          <w:t>http://leyes.senado.gov.co/proyectos/index.php/textos-radicados-senado/p-ley-2020-2021/1957-proyecto-de-ley-161-de-2020</w:t>
        </w:r>
      </w:hyperlink>
      <w:r w:rsidRPr="00047B09">
        <w:rPr>
          <w:rStyle w:val="Hipervnculo1"/>
          <w:rFonts w:ascii="Verdana" w:hAnsi="Verdana" w:cs="Arial"/>
          <w:color w:val="000000" w:themeColor="text1"/>
          <w:sz w:val="16"/>
          <w:szCs w:val="16"/>
        </w:rPr>
        <w:t xml:space="preserve"> </w:t>
      </w:r>
    </w:p>
    <w:p w14:paraId="7E15E95B" w14:textId="77777777" w:rsidR="009775DD" w:rsidRPr="00047B09" w:rsidRDefault="009775DD" w:rsidP="009775DD">
      <w:pPr>
        <w:pStyle w:val="Textonotapie"/>
        <w:ind w:firstLine="708"/>
        <w:contextualSpacing/>
        <w:jc w:val="both"/>
        <w:rPr>
          <w:rFonts w:ascii="Verdana" w:hAnsi="Verdana" w:cs="Arial"/>
          <w:color w:val="000000" w:themeColor="text1"/>
          <w:sz w:val="16"/>
          <w:szCs w:val="16"/>
          <w:u w:val="single"/>
        </w:rPr>
      </w:pPr>
    </w:p>
  </w:footnote>
  <w:footnote w:id="2">
    <w:p w14:paraId="29A63318" w14:textId="77777777" w:rsidR="009775DD" w:rsidRPr="00047B09" w:rsidRDefault="009775DD" w:rsidP="009775DD">
      <w:pPr>
        <w:pStyle w:val="Textonotapie"/>
        <w:ind w:firstLine="709"/>
        <w:contextualSpacing/>
        <w:jc w:val="both"/>
        <w:rPr>
          <w:rFonts w:ascii="Verdana" w:hAnsi="Verdana" w:cs="Arial"/>
          <w:color w:val="000000" w:themeColor="text1"/>
          <w:sz w:val="16"/>
          <w:szCs w:val="16"/>
          <w:lang w:val="es-ES"/>
        </w:rPr>
      </w:pPr>
      <w:r w:rsidRPr="00047B09">
        <w:rPr>
          <w:rStyle w:val="Refdenotaalpie"/>
          <w:rFonts w:ascii="Verdana" w:hAnsi="Verdana" w:cs="Arial"/>
          <w:color w:val="000000" w:themeColor="text1"/>
          <w:sz w:val="16"/>
          <w:szCs w:val="16"/>
        </w:rPr>
        <w:footnoteRef/>
      </w:r>
      <w:r w:rsidRPr="00047B09">
        <w:rPr>
          <w:rFonts w:ascii="Verdana" w:hAnsi="Verdana" w:cs="Arial"/>
          <w:color w:val="000000" w:themeColor="text1"/>
          <w:sz w:val="16"/>
          <w:szCs w:val="16"/>
        </w:rPr>
        <w:t xml:space="preserve"> </w:t>
      </w:r>
      <w:r w:rsidRPr="00047B09">
        <w:rPr>
          <w:rFonts w:ascii="Verdana" w:hAnsi="Verdana" w:cs="Arial"/>
          <w:color w:val="000000" w:themeColor="text1"/>
          <w:sz w:val="16"/>
          <w:szCs w:val="16"/>
          <w:lang w:val="es-ES"/>
        </w:rPr>
        <w:t>Artículos 2 al 29.</w:t>
      </w:r>
    </w:p>
    <w:p w14:paraId="6802F8A8" w14:textId="77777777" w:rsidR="009775DD" w:rsidRPr="00047B09" w:rsidRDefault="009775DD" w:rsidP="009775DD">
      <w:pPr>
        <w:pStyle w:val="Textonotapie"/>
        <w:ind w:firstLine="709"/>
        <w:contextualSpacing/>
        <w:jc w:val="both"/>
        <w:rPr>
          <w:rFonts w:ascii="Verdana" w:hAnsi="Verdana" w:cs="Arial"/>
          <w:color w:val="000000" w:themeColor="text1"/>
          <w:sz w:val="16"/>
          <w:szCs w:val="16"/>
          <w:lang w:val="es-ES"/>
        </w:rPr>
      </w:pPr>
    </w:p>
  </w:footnote>
  <w:footnote w:id="3">
    <w:p w14:paraId="550A362C" w14:textId="77777777" w:rsidR="009775DD" w:rsidRPr="00047B09" w:rsidRDefault="009775DD" w:rsidP="009775DD">
      <w:pPr>
        <w:pStyle w:val="Textonotapie"/>
        <w:ind w:firstLine="709"/>
        <w:contextualSpacing/>
        <w:jc w:val="both"/>
        <w:rPr>
          <w:rFonts w:ascii="Verdana" w:hAnsi="Verdana" w:cs="Arial"/>
          <w:color w:val="000000" w:themeColor="text1"/>
          <w:sz w:val="16"/>
          <w:szCs w:val="16"/>
          <w:lang w:val="es-ES"/>
        </w:rPr>
      </w:pPr>
      <w:r w:rsidRPr="00047B09">
        <w:rPr>
          <w:rStyle w:val="Refdenotaalpie"/>
          <w:rFonts w:ascii="Verdana" w:hAnsi="Verdana" w:cs="Arial"/>
          <w:color w:val="000000" w:themeColor="text1"/>
          <w:sz w:val="16"/>
          <w:szCs w:val="16"/>
        </w:rPr>
        <w:footnoteRef/>
      </w:r>
      <w:r w:rsidRPr="00047B09">
        <w:rPr>
          <w:rFonts w:ascii="Verdana" w:hAnsi="Verdana" w:cs="Arial"/>
          <w:color w:val="000000" w:themeColor="text1"/>
          <w:sz w:val="16"/>
          <w:szCs w:val="16"/>
        </w:rPr>
        <w:t xml:space="preserve"> </w:t>
      </w:r>
      <w:r w:rsidRPr="00047B09">
        <w:rPr>
          <w:rFonts w:ascii="Verdana" w:hAnsi="Verdana" w:cs="Arial"/>
          <w:color w:val="000000" w:themeColor="text1"/>
          <w:sz w:val="16"/>
          <w:szCs w:val="16"/>
          <w:lang w:val="es-ES"/>
        </w:rPr>
        <w:t>Artículos 30 al 36.</w:t>
      </w:r>
    </w:p>
    <w:p w14:paraId="03CD1A78" w14:textId="77777777" w:rsidR="009775DD" w:rsidRPr="00047B09" w:rsidRDefault="009775DD" w:rsidP="009775DD">
      <w:pPr>
        <w:pStyle w:val="Textonotapie"/>
        <w:ind w:firstLine="709"/>
        <w:contextualSpacing/>
        <w:jc w:val="both"/>
        <w:rPr>
          <w:rFonts w:ascii="Verdana" w:hAnsi="Verdana" w:cs="Arial"/>
          <w:color w:val="000000" w:themeColor="text1"/>
          <w:sz w:val="16"/>
          <w:szCs w:val="16"/>
          <w:lang w:val="es-ES"/>
        </w:rPr>
      </w:pPr>
    </w:p>
  </w:footnote>
  <w:footnote w:id="4">
    <w:p w14:paraId="6E7D10F5" w14:textId="77777777" w:rsidR="009775DD" w:rsidRPr="00047B09" w:rsidRDefault="009775DD" w:rsidP="009775DD">
      <w:pPr>
        <w:pStyle w:val="Textonotapie"/>
        <w:ind w:firstLine="709"/>
        <w:contextualSpacing/>
        <w:jc w:val="both"/>
        <w:rPr>
          <w:rFonts w:ascii="Verdana" w:hAnsi="Verdana" w:cs="Arial"/>
          <w:color w:val="000000" w:themeColor="text1"/>
          <w:sz w:val="16"/>
          <w:szCs w:val="16"/>
          <w:lang w:val="es-ES"/>
        </w:rPr>
      </w:pPr>
      <w:r w:rsidRPr="00047B09">
        <w:rPr>
          <w:rStyle w:val="Refdenotaalpie"/>
          <w:rFonts w:ascii="Verdana" w:hAnsi="Verdana" w:cs="Arial"/>
          <w:color w:val="000000" w:themeColor="text1"/>
          <w:sz w:val="16"/>
          <w:szCs w:val="16"/>
        </w:rPr>
        <w:footnoteRef/>
      </w:r>
      <w:r w:rsidRPr="00047B09">
        <w:rPr>
          <w:rFonts w:ascii="Verdana" w:hAnsi="Verdana" w:cs="Arial"/>
          <w:color w:val="000000" w:themeColor="text1"/>
          <w:sz w:val="16"/>
          <w:szCs w:val="16"/>
        </w:rPr>
        <w:t xml:space="preserve"> </w:t>
      </w:r>
      <w:r w:rsidRPr="00047B09">
        <w:rPr>
          <w:rFonts w:ascii="Verdana" w:hAnsi="Verdana" w:cs="Arial"/>
          <w:color w:val="000000" w:themeColor="text1"/>
          <w:sz w:val="16"/>
          <w:szCs w:val="16"/>
          <w:lang w:val="es-ES"/>
        </w:rPr>
        <w:t>Artículos 37 al 45.</w:t>
      </w:r>
    </w:p>
    <w:p w14:paraId="4F007D04" w14:textId="77777777" w:rsidR="009775DD" w:rsidRPr="00047B09" w:rsidRDefault="009775DD" w:rsidP="009775DD">
      <w:pPr>
        <w:pStyle w:val="Textonotapie"/>
        <w:ind w:firstLine="709"/>
        <w:contextualSpacing/>
        <w:jc w:val="both"/>
        <w:rPr>
          <w:rFonts w:ascii="Verdana" w:hAnsi="Verdana" w:cs="Arial"/>
          <w:color w:val="000000" w:themeColor="text1"/>
          <w:sz w:val="16"/>
          <w:szCs w:val="16"/>
          <w:lang w:val="es-ES"/>
        </w:rPr>
      </w:pPr>
    </w:p>
  </w:footnote>
  <w:footnote w:id="5">
    <w:p w14:paraId="60C8DF96" w14:textId="77777777" w:rsidR="009775DD" w:rsidRPr="00047B09" w:rsidRDefault="009775DD" w:rsidP="009775DD">
      <w:pPr>
        <w:pStyle w:val="Textonotapie"/>
        <w:ind w:firstLine="709"/>
        <w:contextualSpacing/>
        <w:jc w:val="both"/>
        <w:rPr>
          <w:rFonts w:ascii="Verdana" w:hAnsi="Verdana" w:cs="Arial"/>
          <w:color w:val="000000" w:themeColor="text1"/>
          <w:sz w:val="16"/>
          <w:szCs w:val="16"/>
          <w:lang w:val="es-ES"/>
        </w:rPr>
      </w:pPr>
      <w:r w:rsidRPr="00047B09">
        <w:rPr>
          <w:rStyle w:val="Refdenotaalpie"/>
          <w:rFonts w:ascii="Verdana" w:hAnsi="Verdana" w:cs="Arial"/>
          <w:color w:val="000000" w:themeColor="text1"/>
          <w:sz w:val="16"/>
          <w:szCs w:val="16"/>
        </w:rPr>
        <w:footnoteRef/>
      </w:r>
      <w:r w:rsidRPr="00047B09">
        <w:rPr>
          <w:rFonts w:ascii="Verdana" w:hAnsi="Verdana" w:cs="Arial"/>
          <w:color w:val="000000" w:themeColor="text1"/>
          <w:sz w:val="16"/>
          <w:szCs w:val="16"/>
        </w:rPr>
        <w:t xml:space="preserve"> </w:t>
      </w:r>
      <w:r w:rsidRPr="00047B09">
        <w:rPr>
          <w:rFonts w:ascii="Verdana" w:hAnsi="Verdana" w:cs="Arial"/>
          <w:color w:val="000000" w:themeColor="text1"/>
          <w:sz w:val="16"/>
          <w:szCs w:val="16"/>
          <w:lang w:val="es-ES"/>
        </w:rPr>
        <w:t>Artículos 46 al 73.</w:t>
      </w:r>
    </w:p>
    <w:p w14:paraId="1536753B" w14:textId="77777777" w:rsidR="009775DD" w:rsidRPr="00047B09" w:rsidRDefault="009775DD" w:rsidP="009775DD">
      <w:pPr>
        <w:pStyle w:val="Textonotapie"/>
        <w:ind w:firstLine="709"/>
        <w:contextualSpacing/>
        <w:jc w:val="both"/>
        <w:rPr>
          <w:rFonts w:ascii="Verdana" w:hAnsi="Verdana" w:cs="Arial"/>
          <w:color w:val="000000" w:themeColor="text1"/>
          <w:sz w:val="16"/>
          <w:szCs w:val="16"/>
          <w:lang w:val="es-ES"/>
        </w:rPr>
      </w:pPr>
    </w:p>
  </w:footnote>
  <w:footnote w:id="6">
    <w:p w14:paraId="653C15F3" w14:textId="77777777" w:rsidR="009775DD" w:rsidRPr="00047B09" w:rsidRDefault="009775DD" w:rsidP="009775DD">
      <w:pPr>
        <w:pStyle w:val="Textonotapie"/>
        <w:ind w:firstLine="709"/>
        <w:contextualSpacing/>
        <w:jc w:val="both"/>
        <w:rPr>
          <w:rFonts w:ascii="Verdana" w:hAnsi="Verdana" w:cs="Arial"/>
          <w:color w:val="000000" w:themeColor="text1"/>
          <w:sz w:val="16"/>
          <w:szCs w:val="16"/>
          <w:lang w:val="es-ES"/>
        </w:rPr>
      </w:pPr>
      <w:r w:rsidRPr="00047B09">
        <w:rPr>
          <w:rStyle w:val="Refdenotaalpie"/>
          <w:rFonts w:ascii="Verdana" w:hAnsi="Verdana" w:cs="Arial"/>
          <w:color w:val="000000" w:themeColor="text1"/>
          <w:sz w:val="16"/>
          <w:szCs w:val="16"/>
        </w:rPr>
        <w:footnoteRef/>
      </w:r>
      <w:r w:rsidRPr="00047B09">
        <w:rPr>
          <w:rFonts w:ascii="Verdana" w:hAnsi="Verdana" w:cs="Arial"/>
          <w:color w:val="000000" w:themeColor="text1"/>
          <w:sz w:val="16"/>
          <w:szCs w:val="16"/>
        </w:rPr>
        <w:t xml:space="preserve"> </w:t>
      </w:r>
      <w:r w:rsidRPr="00047B09">
        <w:rPr>
          <w:rFonts w:ascii="Verdana" w:hAnsi="Verdana" w:cs="Arial"/>
          <w:color w:val="000000" w:themeColor="text1"/>
          <w:sz w:val="16"/>
          <w:szCs w:val="16"/>
          <w:lang w:val="es-ES"/>
        </w:rPr>
        <w:t>Artículos 74 al 83.</w:t>
      </w:r>
    </w:p>
    <w:p w14:paraId="4D22E9FC" w14:textId="77777777" w:rsidR="009775DD" w:rsidRPr="00047B09" w:rsidRDefault="009775DD" w:rsidP="009775DD">
      <w:pPr>
        <w:pStyle w:val="Textonotapie"/>
        <w:ind w:firstLine="709"/>
        <w:contextualSpacing/>
        <w:jc w:val="both"/>
        <w:rPr>
          <w:rFonts w:ascii="Verdana" w:hAnsi="Verdana" w:cs="Arial"/>
          <w:color w:val="000000" w:themeColor="text1"/>
          <w:sz w:val="16"/>
          <w:szCs w:val="16"/>
          <w:lang w:val="es-ES"/>
        </w:rPr>
      </w:pPr>
    </w:p>
  </w:footnote>
  <w:footnote w:id="7">
    <w:p w14:paraId="4F77592A" w14:textId="77777777" w:rsidR="009775DD" w:rsidRPr="00047B09" w:rsidRDefault="009775DD" w:rsidP="009775DD">
      <w:pPr>
        <w:pStyle w:val="Textonotapie"/>
        <w:ind w:firstLine="709"/>
        <w:contextualSpacing/>
        <w:jc w:val="both"/>
        <w:rPr>
          <w:rFonts w:ascii="Verdana" w:hAnsi="Verdana" w:cs="Arial"/>
          <w:color w:val="000000" w:themeColor="text1"/>
          <w:sz w:val="16"/>
          <w:szCs w:val="16"/>
        </w:rPr>
      </w:pPr>
      <w:r w:rsidRPr="00047B09">
        <w:rPr>
          <w:rStyle w:val="Refdenotaalpie"/>
          <w:rFonts w:ascii="Verdana" w:hAnsi="Verdana" w:cs="Arial"/>
          <w:color w:val="000000" w:themeColor="text1"/>
          <w:sz w:val="16"/>
          <w:szCs w:val="16"/>
        </w:rPr>
        <w:footnoteRef/>
      </w:r>
      <w:r w:rsidRPr="00047B09">
        <w:rPr>
          <w:rFonts w:ascii="Verdana" w:hAnsi="Verdana" w:cs="Arial"/>
          <w:color w:val="000000" w:themeColor="text1"/>
          <w:sz w:val="16"/>
          <w:szCs w:val="16"/>
        </w:rPr>
        <w:t xml:space="preserve"> Ley 2069 de 2020 “Artículo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  Parágrafo primero. La definición de emprendimientos y empresas de mujeres se reglamentará por el gobierno nacional”.</w:t>
      </w:r>
    </w:p>
  </w:footnote>
  <w:footnote w:id="8">
    <w:p w14:paraId="30A47A53" w14:textId="77777777" w:rsidR="009775DD" w:rsidRPr="00047B09" w:rsidRDefault="009775DD" w:rsidP="009775DD">
      <w:pPr>
        <w:pStyle w:val="Textonotapie"/>
        <w:ind w:firstLine="708"/>
        <w:jc w:val="both"/>
        <w:rPr>
          <w:rFonts w:ascii="Verdana" w:hAnsi="Verdana"/>
          <w:sz w:val="16"/>
          <w:szCs w:val="16"/>
          <w:lang w:val="es-CO"/>
        </w:rPr>
      </w:pPr>
      <w:r w:rsidRPr="00047B09">
        <w:rPr>
          <w:rStyle w:val="Refdenotaalpie"/>
          <w:rFonts w:ascii="Verdana" w:hAnsi="Verdana"/>
          <w:sz w:val="16"/>
          <w:szCs w:val="16"/>
        </w:rPr>
        <w:footnoteRef/>
      </w:r>
      <w:r w:rsidRPr="00047B09">
        <w:rPr>
          <w:rFonts w:ascii="Verdana" w:hAnsi="Verdana"/>
          <w:sz w:val="16"/>
          <w:szCs w:val="16"/>
        </w:rPr>
        <w:t xml:space="preserve"> </w:t>
      </w:r>
      <w:bookmarkStart w:id="3" w:name="98"/>
      <w:r w:rsidRPr="00AA24AE">
        <w:rPr>
          <w:rFonts w:ascii="Verdana" w:hAnsi="Verdana"/>
          <w:sz w:val="16"/>
          <w:szCs w:val="16"/>
          <w:lang w:val="es-CO"/>
        </w:rPr>
        <w:t xml:space="preserve">Artículo </w:t>
      </w:r>
      <w:r w:rsidRPr="00047B09">
        <w:rPr>
          <w:rFonts w:ascii="Verdana" w:hAnsi="Verdana"/>
          <w:sz w:val="16"/>
          <w:szCs w:val="16"/>
          <w:lang w:val="es-CO"/>
        </w:rPr>
        <w:t xml:space="preserve">98. </w:t>
      </w:r>
      <w:r w:rsidRPr="00AA24AE">
        <w:rPr>
          <w:rFonts w:ascii="Verdana" w:hAnsi="Verdana"/>
          <w:sz w:val="16"/>
          <w:szCs w:val="16"/>
          <w:lang w:val="es-CO"/>
        </w:rPr>
        <w:t xml:space="preserve">Contrato </w:t>
      </w:r>
      <w:r>
        <w:rPr>
          <w:rFonts w:ascii="Verdana" w:hAnsi="Verdana"/>
          <w:sz w:val="16"/>
          <w:szCs w:val="16"/>
          <w:lang w:val="es-CO"/>
        </w:rPr>
        <w:t>d</w:t>
      </w:r>
      <w:r w:rsidRPr="00AA24AE">
        <w:rPr>
          <w:rFonts w:ascii="Verdana" w:hAnsi="Verdana"/>
          <w:sz w:val="16"/>
          <w:szCs w:val="16"/>
          <w:lang w:val="es-CO"/>
        </w:rPr>
        <w:t xml:space="preserve">e Sociedad </w:t>
      </w:r>
      <w:r w:rsidRPr="00047B09">
        <w:rPr>
          <w:rFonts w:ascii="Verdana" w:hAnsi="Verdana"/>
          <w:sz w:val="16"/>
          <w:szCs w:val="16"/>
          <w:lang w:val="es-CO"/>
        </w:rPr>
        <w:t xml:space="preserve">- </w:t>
      </w:r>
      <w:r w:rsidRPr="00AA24AE">
        <w:rPr>
          <w:rFonts w:ascii="Verdana" w:hAnsi="Verdana"/>
          <w:sz w:val="16"/>
          <w:szCs w:val="16"/>
          <w:lang w:val="es-CO"/>
        </w:rPr>
        <w:t xml:space="preserve">Concepto </w:t>
      </w:r>
      <w:r w:rsidRPr="00047B09">
        <w:rPr>
          <w:rFonts w:ascii="Verdana" w:hAnsi="Verdana"/>
          <w:sz w:val="16"/>
          <w:szCs w:val="16"/>
          <w:lang w:val="es-CO"/>
        </w:rPr>
        <w:t xml:space="preserve">- </w:t>
      </w:r>
      <w:r w:rsidRPr="00AA24AE">
        <w:rPr>
          <w:rFonts w:ascii="Verdana" w:hAnsi="Verdana"/>
          <w:sz w:val="16"/>
          <w:szCs w:val="16"/>
          <w:lang w:val="es-CO"/>
        </w:rPr>
        <w:t>Persona Jurídica Distinta</w:t>
      </w:r>
      <w:r w:rsidRPr="00047B09">
        <w:rPr>
          <w:rFonts w:ascii="Verdana" w:hAnsi="Verdana"/>
          <w:sz w:val="16"/>
          <w:szCs w:val="16"/>
          <w:lang w:val="es-CO"/>
        </w:rPr>
        <w:t>.</w:t>
      </w:r>
      <w:bookmarkEnd w:id="3"/>
      <w:r w:rsidRPr="00047B09">
        <w:rPr>
          <w:rFonts w:ascii="Verdana" w:hAnsi="Verdana"/>
          <w:sz w:val="16"/>
          <w:szCs w:val="16"/>
          <w:lang w:val="es-CO"/>
        </w:rPr>
        <w:t> </w:t>
      </w:r>
      <w:r>
        <w:rPr>
          <w:rFonts w:ascii="Verdana" w:hAnsi="Verdana"/>
          <w:sz w:val="16"/>
          <w:szCs w:val="16"/>
          <w:lang w:val="es-CO"/>
        </w:rPr>
        <w:t>“</w:t>
      </w:r>
      <w:r w:rsidRPr="00047B09">
        <w:rPr>
          <w:rFonts w:ascii="Verdana" w:hAnsi="Verdana"/>
          <w:sz w:val="16"/>
          <w:szCs w:val="16"/>
          <w:lang w:val="es-CO"/>
        </w:rPr>
        <w:t>Por el contrato de sociedad dos o más personas se obligan a hacer un aporte en dinero, en trabajo o en otros bienes apreciables en dinero, con el fin de repartirse entre sí las utilidades obtenidas en la empresa o actividad social.</w:t>
      </w:r>
    </w:p>
    <w:p w14:paraId="30F5825E" w14:textId="77777777" w:rsidR="009775DD" w:rsidRPr="00047B09" w:rsidRDefault="009775DD" w:rsidP="009775DD">
      <w:pPr>
        <w:pStyle w:val="Textonotapie"/>
        <w:ind w:firstLine="708"/>
        <w:jc w:val="both"/>
        <w:rPr>
          <w:rFonts w:ascii="Verdana" w:hAnsi="Verdana"/>
          <w:sz w:val="16"/>
          <w:szCs w:val="16"/>
          <w:lang w:val="es-CO"/>
        </w:rPr>
      </w:pPr>
      <w:r w:rsidRPr="00047B09">
        <w:rPr>
          <w:rFonts w:ascii="Verdana" w:hAnsi="Verdana"/>
          <w:sz w:val="16"/>
          <w:szCs w:val="16"/>
          <w:lang w:val="es-CO"/>
        </w:rPr>
        <w:t>La sociedad, una vez constituida legalmente, forma una persona jurídica distinta de los socios individualmente considerados</w:t>
      </w:r>
      <w:r>
        <w:rPr>
          <w:rFonts w:ascii="Verdana" w:hAnsi="Verdana"/>
          <w:sz w:val="16"/>
          <w:szCs w:val="16"/>
          <w:lang w:val="es-CO"/>
        </w:rPr>
        <w:t>”</w:t>
      </w:r>
      <w:r w:rsidRPr="00047B09">
        <w:rPr>
          <w:rFonts w:ascii="Verdana" w:hAnsi="Verdana"/>
          <w:sz w:val="16"/>
          <w:szCs w:val="16"/>
          <w:lang w:val="es-CO"/>
        </w:rPr>
        <w:t>.</w:t>
      </w:r>
    </w:p>
    <w:p w14:paraId="55971D2C" w14:textId="77777777" w:rsidR="009775DD" w:rsidRDefault="009775DD" w:rsidP="009775DD">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578" w:hanging="360"/>
      </w:pPr>
      <w:rPr>
        <w:rFonts w:ascii="Symbol" w:hAnsi="Symbol" w:hint="default"/>
      </w:rPr>
    </w:lvl>
    <w:lvl w:ilvl="1" w:tplc="040A0003" w:tentative="1">
      <w:start w:val="1"/>
      <w:numFmt w:val="bullet"/>
      <w:lvlText w:val="o"/>
      <w:lvlJc w:val="left"/>
      <w:pPr>
        <w:ind w:left="1298" w:hanging="360"/>
      </w:pPr>
      <w:rPr>
        <w:rFonts w:ascii="Courier New" w:hAnsi="Courier New" w:cs="Courier New" w:hint="default"/>
      </w:rPr>
    </w:lvl>
    <w:lvl w:ilvl="2" w:tplc="040A0005" w:tentative="1">
      <w:start w:val="1"/>
      <w:numFmt w:val="bullet"/>
      <w:lvlText w:val=""/>
      <w:lvlJc w:val="left"/>
      <w:pPr>
        <w:ind w:left="2018" w:hanging="360"/>
      </w:pPr>
      <w:rPr>
        <w:rFonts w:ascii="Wingdings" w:hAnsi="Wingdings" w:hint="default"/>
      </w:rPr>
    </w:lvl>
    <w:lvl w:ilvl="3" w:tplc="040A0001" w:tentative="1">
      <w:start w:val="1"/>
      <w:numFmt w:val="bullet"/>
      <w:lvlText w:val=""/>
      <w:lvlJc w:val="left"/>
      <w:pPr>
        <w:ind w:left="2738" w:hanging="360"/>
      </w:pPr>
      <w:rPr>
        <w:rFonts w:ascii="Symbol" w:hAnsi="Symbol" w:hint="default"/>
      </w:rPr>
    </w:lvl>
    <w:lvl w:ilvl="4" w:tplc="040A0003" w:tentative="1">
      <w:start w:val="1"/>
      <w:numFmt w:val="bullet"/>
      <w:lvlText w:val="o"/>
      <w:lvlJc w:val="left"/>
      <w:pPr>
        <w:ind w:left="3458" w:hanging="360"/>
      </w:pPr>
      <w:rPr>
        <w:rFonts w:ascii="Courier New" w:hAnsi="Courier New" w:cs="Courier New" w:hint="default"/>
      </w:rPr>
    </w:lvl>
    <w:lvl w:ilvl="5" w:tplc="040A0005" w:tentative="1">
      <w:start w:val="1"/>
      <w:numFmt w:val="bullet"/>
      <w:lvlText w:val=""/>
      <w:lvlJc w:val="left"/>
      <w:pPr>
        <w:ind w:left="4178" w:hanging="360"/>
      </w:pPr>
      <w:rPr>
        <w:rFonts w:ascii="Wingdings" w:hAnsi="Wingdings" w:hint="default"/>
      </w:rPr>
    </w:lvl>
    <w:lvl w:ilvl="6" w:tplc="040A0001" w:tentative="1">
      <w:start w:val="1"/>
      <w:numFmt w:val="bullet"/>
      <w:lvlText w:val=""/>
      <w:lvlJc w:val="left"/>
      <w:pPr>
        <w:ind w:left="4898" w:hanging="360"/>
      </w:pPr>
      <w:rPr>
        <w:rFonts w:ascii="Symbol" w:hAnsi="Symbol" w:hint="default"/>
      </w:rPr>
    </w:lvl>
    <w:lvl w:ilvl="7" w:tplc="040A0003" w:tentative="1">
      <w:start w:val="1"/>
      <w:numFmt w:val="bullet"/>
      <w:lvlText w:val="o"/>
      <w:lvlJc w:val="left"/>
      <w:pPr>
        <w:ind w:left="5618" w:hanging="360"/>
      </w:pPr>
      <w:rPr>
        <w:rFonts w:ascii="Courier New" w:hAnsi="Courier New" w:cs="Courier New" w:hint="default"/>
      </w:rPr>
    </w:lvl>
    <w:lvl w:ilvl="8" w:tplc="040A0005" w:tentative="1">
      <w:start w:val="1"/>
      <w:numFmt w:val="bullet"/>
      <w:lvlText w:val=""/>
      <w:lvlJc w:val="left"/>
      <w:pPr>
        <w:ind w:left="6338" w:hanging="360"/>
      </w:pPr>
      <w:rPr>
        <w:rFonts w:ascii="Wingdings" w:hAnsi="Wingdings" w:hint="default"/>
      </w:rPr>
    </w:lvl>
  </w:abstractNum>
  <w:abstractNum w:abstractNumId="10" w15:restartNumberingAfterBreak="0">
    <w:nsid w:val="5EB34F84"/>
    <w:multiLevelType w:val="hybridMultilevel"/>
    <w:tmpl w:val="DBC80B18"/>
    <w:lvl w:ilvl="0" w:tplc="B6CE9E64">
      <w:start w:val="4"/>
      <w:numFmt w:val="decimal"/>
      <w:lvlText w:val="%1."/>
      <w:lvlJc w:val="left"/>
      <w:pPr>
        <w:ind w:left="2061" w:hanging="360"/>
      </w:pPr>
      <w:rPr>
        <w:rFonts w:hint="default"/>
      </w:rPr>
    </w:lvl>
    <w:lvl w:ilvl="1" w:tplc="04090019" w:tentative="1">
      <w:start w:val="1"/>
      <w:numFmt w:val="lowerLetter"/>
      <w:lvlText w:val="%2."/>
      <w:lvlJc w:val="left"/>
      <w:pPr>
        <w:ind w:left="2781" w:hanging="360"/>
      </w:pPr>
    </w:lvl>
    <w:lvl w:ilvl="2" w:tplc="0409001B" w:tentative="1">
      <w:start w:val="1"/>
      <w:numFmt w:val="lowerRoman"/>
      <w:lvlText w:val="%3."/>
      <w:lvlJc w:val="right"/>
      <w:pPr>
        <w:ind w:left="3501" w:hanging="180"/>
      </w:pPr>
    </w:lvl>
    <w:lvl w:ilvl="3" w:tplc="0409000F" w:tentative="1">
      <w:start w:val="1"/>
      <w:numFmt w:val="decimal"/>
      <w:lvlText w:val="%4."/>
      <w:lvlJc w:val="left"/>
      <w:pPr>
        <w:ind w:left="4221" w:hanging="360"/>
      </w:pPr>
    </w:lvl>
    <w:lvl w:ilvl="4" w:tplc="04090019" w:tentative="1">
      <w:start w:val="1"/>
      <w:numFmt w:val="lowerLetter"/>
      <w:lvlText w:val="%5."/>
      <w:lvlJc w:val="left"/>
      <w:pPr>
        <w:ind w:left="4941" w:hanging="360"/>
      </w:pPr>
    </w:lvl>
    <w:lvl w:ilvl="5" w:tplc="0409001B" w:tentative="1">
      <w:start w:val="1"/>
      <w:numFmt w:val="lowerRoman"/>
      <w:lvlText w:val="%6."/>
      <w:lvlJc w:val="right"/>
      <w:pPr>
        <w:ind w:left="5661" w:hanging="180"/>
      </w:pPr>
    </w:lvl>
    <w:lvl w:ilvl="6" w:tplc="0409000F" w:tentative="1">
      <w:start w:val="1"/>
      <w:numFmt w:val="decimal"/>
      <w:lvlText w:val="%7."/>
      <w:lvlJc w:val="left"/>
      <w:pPr>
        <w:ind w:left="6381" w:hanging="360"/>
      </w:pPr>
    </w:lvl>
    <w:lvl w:ilvl="7" w:tplc="04090019" w:tentative="1">
      <w:start w:val="1"/>
      <w:numFmt w:val="lowerLetter"/>
      <w:lvlText w:val="%8."/>
      <w:lvlJc w:val="left"/>
      <w:pPr>
        <w:ind w:left="7101" w:hanging="360"/>
      </w:pPr>
    </w:lvl>
    <w:lvl w:ilvl="8" w:tplc="0409001B" w:tentative="1">
      <w:start w:val="1"/>
      <w:numFmt w:val="lowerRoman"/>
      <w:lvlText w:val="%9."/>
      <w:lvlJc w:val="right"/>
      <w:pPr>
        <w:ind w:left="7821"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15403437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679"/>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2043"/>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E1713"/>
    <w:rsid w:val="004F21C4"/>
    <w:rsid w:val="004F685F"/>
    <w:rsid w:val="005063AE"/>
    <w:rsid w:val="0052799A"/>
    <w:rsid w:val="005566E8"/>
    <w:rsid w:val="00574867"/>
    <w:rsid w:val="00591460"/>
    <w:rsid w:val="00596EA1"/>
    <w:rsid w:val="005A65E0"/>
    <w:rsid w:val="005C3777"/>
    <w:rsid w:val="005C5CDC"/>
    <w:rsid w:val="005D476C"/>
    <w:rsid w:val="006200BF"/>
    <w:rsid w:val="006219F8"/>
    <w:rsid w:val="006302F7"/>
    <w:rsid w:val="00646B9F"/>
    <w:rsid w:val="00665D70"/>
    <w:rsid w:val="006900D9"/>
    <w:rsid w:val="00706C16"/>
    <w:rsid w:val="007340C3"/>
    <w:rsid w:val="007417E2"/>
    <w:rsid w:val="0075235A"/>
    <w:rsid w:val="00756841"/>
    <w:rsid w:val="007649AB"/>
    <w:rsid w:val="00771D0C"/>
    <w:rsid w:val="007833AC"/>
    <w:rsid w:val="007B268C"/>
    <w:rsid w:val="007B7171"/>
    <w:rsid w:val="007C0C0F"/>
    <w:rsid w:val="007C3DC2"/>
    <w:rsid w:val="007E5497"/>
    <w:rsid w:val="00801897"/>
    <w:rsid w:val="00806F5F"/>
    <w:rsid w:val="00820278"/>
    <w:rsid w:val="008258C9"/>
    <w:rsid w:val="00844AE9"/>
    <w:rsid w:val="00865B68"/>
    <w:rsid w:val="00867F95"/>
    <w:rsid w:val="0087515A"/>
    <w:rsid w:val="008843B6"/>
    <w:rsid w:val="00891928"/>
    <w:rsid w:val="008A446D"/>
    <w:rsid w:val="008B25F1"/>
    <w:rsid w:val="008D180B"/>
    <w:rsid w:val="008F0EA7"/>
    <w:rsid w:val="0091757B"/>
    <w:rsid w:val="00923EEF"/>
    <w:rsid w:val="009419F9"/>
    <w:rsid w:val="0095685E"/>
    <w:rsid w:val="00961B09"/>
    <w:rsid w:val="00965334"/>
    <w:rsid w:val="0097093E"/>
    <w:rsid w:val="009775DD"/>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C36B4"/>
    <w:rsid w:val="00AD0B48"/>
    <w:rsid w:val="00B00C0E"/>
    <w:rsid w:val="00B01B1A"/>
    <w:rsid w:val="00B0381D"/>
    <w:rsid w:val="00B44A47"/>
    <w:rsid w:val="00B72CD3"/>
    <w:rsid w:val="00B72FFF"/>
    <w:rsid w:val="00BC3D36"/>
    <w:rsid w:val="00BD54A6"/>
    <w:rsid w:val="00BD7F72"/>
    <w:rsid w:val="00BF7425"/>
    <w:rsid w:val="00C04FB3"/>
    <w:rsid w:val="00C11D8B"/>
    <w:rsid w:val="00C1376D"/>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E15B2"/>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54E4"/>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775DD"/>
    <w:rPr>
      <w:rFonts w:ascii="Geomanist Light" w:hAnsi="Geomanist Light"/>
      <w:lang w:val="es-ES"/>
    </w:rPr>
  </w:style>
  <w:style w:type="paragraph" w:customStyle="1" w:styleId="Appelnotedebasde">
    <w:name w:val="Appel note de bas de..."/>
    <w:basedOn w:val="Normal"/>
    <w:link w:val="Refdenotaalpie"/>
    <w:rsid w:val="009775DD"/>
    <w:pPr>
      <w:spacing w:line="240" w:lineRule="exact"/>
    </w:pPr>
    <w:rPr>
      <w:vertAlign w:val="superscript"/>
    </w:rPr>
  </w:style>
  <w:style w:type="character" w:customStyle="1" w:styleId="Hipervnculo1">
    <w:name w:val="Hipervínculo1"/>
    <w:basedOn w:val="Fuentedeprrafopredeter"/>
    <w:uiPriority w:val="99"/>
    <w:unhideWhenUsed/>
    <w:rsid w:val="009775DD"/>
    <w:rPr>
      <w:color w:val="F2F2F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sites/cce_public/files/cce_documents/guia_para_incentivar_la_contratacion_de_mujeres.pdf"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rueda266@unab.edu.co"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leyes.senado.gov.co/proyectos/index.php/textos-radicados-senado/p-ley-2020-2021/1957-proyecto-de-ley-161-de-202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B0E22B6-9E8A-4B2D-BB11-F87D875319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15</Pages>
  <Words>5274</Words>
  <Characters>29008</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2026-03-16T15:26:00Z</dcterms:created>
  <dcterms:modified xsi:type="dcterms:W3CDTF">2026-03-17T17:24:00Z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