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FFAF73" w14:textId="77777777" w:rsidR="00904F02" w:rsidRDefault="00904F02" w:rsidP="00904F02">
      <w:pPr>
        <w:jc w:val="both"/>
        <w:rPr>
          <w:rFonts w:ascii="Verdana" w:hAnsi="Verdana" w:cs="Arial"/>
          <w:b/>
          <w:bCs/>
          <w:lang w:val="es-MX" w:eastAsia="es-ES"/>
        </w:rPr>
      </w:pPr>
      <w:bookmarkStart w:id="0" w:name="_Hlk143780582"/>
      <w:r w:rsidRPr="00904F02">
        <w:rPr>
          <w:rFonts w:ascii="Verdana" w:hAnsi="Verdana" w:cs="Arial"/>
          <w:b/>
          <w:bCs/>
          <w:lang w:val="es-MX" w:eastAsia="es-ES"/>
        </w:rPr>
        <w:t>LEY DE GARANTÍAS ELECTORALES ‒ Finalidad</w:t>
      </w:r>
    </w:p>
    <w:p w14:paraId="0763FA5F" w14:textId="1EF271FA" w:rsidR="00A31E20" w:rsidRPr="00A31E20" w:rsidRDefault="00A31E20" w:rsidP="00A31E20">
      <w:pPr>
        <w:tabs>
          <w:tab w:val="left" w:pos="426"/>
        </w:tabs>
        <w:spacing w:after="120" w:line="240" w:lineRule="auto"/>
        <w:jc w:val="both"/>
        <w:rPr>
          <w:rFonts w:ascii="Verdana" w:eastAsia="Times New Roman" w:hAnsi="Verdana" w:cs="Arial"/>
          <w:sz w:val="20"/>
          <w:szCs w:val="20"/>
          <w:lang w:eastAsia="es-CO"/>
        </w:rPr>
      </w:pPr>
      <w:r w:rsidRPr="00A31E20">
        <w:rPr>
          <w:rFonts w:ascii="Verdana" w:eastAsia="Calibri" w:hAnsi="Verdana" w:cs="Arial"/>
          <w:sz w:val="20"/>
          <w:szCs w:val="20"/>
        </w:rPr>
        <w:t>El ordenamiento jurídico colombiano contempla previsiones claras para evitar la obtención de beneficios personales en asuntos propios de la administración pública</w:t>
      </w:r>
      <w:r w:rsidRPr="00A31E20">
        <w:rPr>
          <w:rFonts w:ascii="Verdana" w:eastAsia="Calibri" w:hAnsi="Verdana" w:cs="Arial"/>
          <w:i/>
          <w:sz w:val="20"/>
          <w:szCs w:val="20"/>
        </w:rPr>
        <w:t xml:space="preserve">. </w:t>
      </w:r>
      <w:r w:rsidRPr="00A31E20">
        <w:rPr>
          <w:rFonts w:ascii="Verdana" w:eastAsia="Calibri" w:hAnsi="Verdana" w:cs="Arial"/>
          <w:sz w:val="20"/>
          <w:szCs w:val="20"/>
        </w:rPr>
        <w:t>Por ejemplo, el artículo 127 de la Constitución Política establece una prohibición contractual a los servidores públicos y, en cuanto a aspectos políticos, establece restricciones a ciertos empleados del Estado, incluso en época no electora</w:t>
      </w:r>
      <w:r w:rsidRPr="00A31E20">
        <w:rPr>
          <w:rFonts w:ascii="Verdana" w:eastAsia="Calibri" w:hAnsi="Verdana" w:cs="Arial"/>
          <w:sz w:val="20"/>
          <w:szCs w:val="20"/>
        </w:rPr>
        <w:t>l.</w:t>
      </w:r>
    </w:p>
    <w:p w14:paraId="1351B42D" w14:textId="25C9F8D5" w:rsidR="00A31E20" w:rsidRDefault="00A31E20" w:rsidP="003C4A1C">
      <w:pPr>
        <w:tabs>
          <w:tab w:val="left" w:pos="426"/>
        </w:tabs>
        <w:spacing w:line="240" w:lineRule="auto"/>
        <w:jc w:val="both"/>
        <w:rPr>
          <w:rFonts w:ascii="Verdana" w:hAnsi="Verdana" w:cs="Arial"/>
          <w:b/>
          <w:bCs/>
          <w:lang w:val="es-MX" w:eastAsia="es-ES"/>
        </w:rPr>
      </w:pPr>
      <w:r w:rsidRPr="00A31E20">
        <w:rPr>
          <w:rFonts w:ascii="Verdana" w:eastAsia="Times New Roman" w:hAnsi="Verdana" w:cs="Arial"/>
          <w:sz w:val="20"/>
          <w:szCs w:val="20"/>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w:t>
      </w:r>
      <w:r w:rsidR="001D191E">
        <w:rPr>
          <w:rFonts w:ascii="Verdana" w:eastAsia="Times New Roman" w:hAnsi="Verdana" w:cs="Arial"/>
          <w:sz w:val="20"/>
          <w:szCs w:val="20"/>
          <w:lang w:val="es-MX" w:eastAsia="es-CO"/>
        </w:rPr>
        <w:t>l.</w:t>
      </w:r>
      <w:r w:rsidRPr="00A31E20">
        <w:rPr>
          <w:rFonts w:ascii="Verdana" w:eastAsia="Times New Roman" w:hAnsi="Verdana" w:cs="Arial"/>
          <w:sz w:val="20"/>
          <w:szCs w:val="20"/>
          <w:lang w:val="es-MX" w:eastAsia="es-CO"/>
        </w:rPr>
        <w:t xml:space="preserve"> En esta medida, introduce limitaciones para realizar nombramientos, postulaciones, contrataciones o cualquier otro tipo de actividad que implique destinación de recursos públicos bajo el devenir propio de las Entidades Estatales.</w:t>
      </w:r>
      <w:r w:rsidRPr="00A31E20">
        <w:rPr>
          <w:rFonts w:ascii="Verdana" w:eastAsia="Calibri" w:hAnsi="Verdana" w:cs="Arial"/>
          <w:sz w:val="20"/>
          <w:szCs w:val="20"/>
          <w:lang w:val="es-ES"/>
        </w:rPr>
        <w:t xml:space="preserve"> </w:t>
      </w:r>
    </w:p>
    <w:p w14:paraId="0ECEAA59" w14:textId="4012263C" w:rsidR="00904F02" w:rsidRDefault="00904F02" w:rsidP="00904F02">
      <w:pPr>
        <w:jc w:val="both"/>
        <w:rPr>
          <w:rFonts w:ascii="Verdana" w:hAnsi="Verdana" w:cs="Arial"/>
          <w:b/>
          <w:bCs/>
          <w:lang w:val="es-MX" w:eastAsia="es-ES"/>
        </w:rPr>
      </w:pPr>
      <w:r w:rsidRPr="00904F02">
        <w:rPr>
          <w:rFonts w:ascii="Verdana" w:hAnsi="Verdana" w:cs="Arial"/>
          <w:b/>
          <w:bCs/>
          <w:lang w:val="es-MX" w:eastAsia="es-ES"/>
        </w:rPr>
        <w:t>LEY DE GARANTÍAS ELECTORALES – Prohibición – Artículo 33 – Contratación directa – Alcance</w:t>
      </w:r>
    </w:p>
    <w:p w14:paraId="5BFAC83A" w14:textId="15A52F7D" w:rsidR="008F0E59" w:rsidRPr="00E27034" w:rsidRDefault="00E27034" w:rsidP="00E27034">
      <w:pPr>
        <w:spacing w:after="120" w:line="240" w:lineRule="auto"/>
        <w:jc w:val="both"/>
        <w:rPr>
          <w:rFonts w:ascii="Verdana" w:eastAsia="Arial" w:hAnsi="Verdana" w:cs="Arial"/>
          <w:sz w:val="20"/>
          <w:szCs w:val="20"/>
          <w:lang w:val="es-ES" w:eastAsia="es-ES" w:bidi="es-ES"/>
        </w:rPr>
      </w:pPr>
      <w:r w:rsidRPr="00E27034">
        <w:rPr>
          <w:rFonts w:ascii="Verdana" w:eastAsia="Arial" w:hAnsi="Verdana" w:cs="Arial"/>
          <w:sz w:val="20"/>
          <w:szCs w:val="20"/>
          <w:lang w:val="es-ES" w:eastAsia="es-ES" w:bidi="es-ES"/>
        </w:rPr>
        <w:t xml:space="preserve">“[…] </w:t>
      </w:r>
      <w:r w:rsidR="008F0E59" w:rsidRPr="00E27034">
        <w:rPr>
          <w:rFonts w:ascii="Verdana" w:eastAsia="Arial" w:hAnsi="Verdana" w:cs="Arial"/>
          <w:sz w:val="20"/>
          <w:szCs w:val="20"/>
          <w:lang w:val="es-ES" w:eastAsia="es-ES" w:bidi="es-ES"/>
        </w:rPr>
        <w:t xml:space="preserve">la Ley 996 de 2005 establece dos (2) tipos de restricciones en materia de contratación, las cuales coinciden parcialmente. </w:t>
      </w:r>
      <w:r w:rsidR="008F0E59" w:rsidRPr="00E27034">
        <w:rPr>
          <w:rFonts w:ascii="Verdana" w:eastAsia="Arial" w:hAnsi="Verdana" w:cs="Arial"/>
          <w:i/>
          <w:iCs/>
          <w:sz w:val="20"/>
          <w:szCs w:val="20"/>
          <w:lang w:val="es-ES" w:eastAsia="es-ES" w:bidi="es-ES"/>
        </w:rPr>
        <w:t>En primer lugar</w:t>
      </w:r>
      <w:r w:rsidR="008F0E59" w:rsidRPr="00E27034">
        <w:rPr>
          <w:rFonts w:ascii="Verdana" w:eastAsia="Arial" w:hAnsi="Verdana" w:cs="Arial"/>
          <w:sz w:val="20"/>
          <w:szCs w:val="20"/>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008F0E59" w:rsidRPr="00E27034">
        <w:rPr>
          <w:rFonts w:ascii="Verdana" w:eastAsia="Arial" w:hAnsi="Verdana" w:cs="Arial"/>
          <w:i/>
          <w:iCs/>
          <w:sz w:val="20"/>
          <w:szCs w:val="20"/>
          <w:lang w:val="es-ES" w:eastAsia="es-ES" w:bidi="es-ES"/>
        </w:rPr>
        <w:t>En segundo lugar</w:t>
      </w:r>
      <w:r w:rsidR="008F0E59" w:rsidRPr="00E27034">
        <w:rPr>
          <w:rFonts w:ascii="Verdana" w:eastAsia="Arial" w:hAnsi="Verdana" w:cs="Arial"/>
          <w:sz w:val="20"/>
          <w:szCs w:val="20"/>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024E8397" w14:textId="30520465" w:rsidR="003C4A1C" w:rsidRPr="00904F02" w:rsidRDefault="008F0E59" w:rsidP="001D191E">
      <w:pPr>
        <w:spacing w:after="120" w:line="240" w:lineRule="auto"/>
        <w:jc w:val="both"/>
        <w:rPr>
          <w:rFonts w:ascii="Verdana" w:hAnsi="Verdana" w:cs="Arial"/>
          <w:b/>
          <w:bCs/>
          <w:lang w:val="es-MX" w:eastAsia="es-ES"/>
        </w:rPr>
      </w:pPr>
      <w:r w:rsidRPr="00E27034">
        <w:rPr>
          <w:rFonts w:ascii="Verdana" w:eastAsia="Arial" w:hAnsi="Verdana" w:cs="Arial"/>
          <w:sz w:val="20"/>
          <w:szCs w:val="20"/>
          <w:lang w:val="es-ES" w:eastAsia="es-ES" w:bidi="es-ES"/>
        </w:rPr>
        <w:t xml:space="preserve">Ambas restricciones no son excluyentes, lo que permite concluir que, en el período preelectoral para elección de </w:t>
      </w:r>
      <w:proofErr w:type="gramStart"/>
      <w:r w:rsidRPr="00E27034">
        <w:rPr>
          <w:rFonts w:ascii="Verdana" w:eastAsia="Arial" w:hAnsi="Verdana" w:cs="Arial"/>
          <w:sz w:val="20"/>
          <w:szCs w:val="20"/>
          <w:lang w:val="es-ES" w:eastAsia="es-ES" w:bidi="es-ES"/>
        </w:rPr>
        <w:t>Presidente</w:t>
      </w:r>
      <w:proofErr w:type="gramEnd"/>
      <w:r w:rsidRPr="00E27034">
        <w:rPr>
          <w:rFonts w:ascii="Verdana" w:eastAsia="Arial" w:hAnsi="Verdana" w:cs="Arial"/>
          <w:sz w:val="20"/>
          <w:szCs w:val="20"/>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E27034">
        <w:rPr>
          <w:rFonts w:ascii="Verdana" w:eastAsia="Arial" w:hAnsi="Verdana" w:cs="Arial"/>
          <w:sz w:val="20"/>
          <w:szCs w:val="20"/>
          <w:lang w:val="es-ES" w:eastAsia="es-ES" w:bidi="es-ES"/>
        </w:rPr>
        <w:t>Presidente</w:t>
      </w:r>
      <w:proofErr w:type="gramEnd"/>
      <w:r w:rsidRPr="00E27034">
        <w:rPr>
          <w:rFonts w:ascii="Verdana" w:eastAsia="Arial" w:hAnsi="Verdana" w:cs="Arial"/>
          <w:sz w:val="20"/>
          <w:szCs w:val="20"/>
          <w:lang w:val="es-ES" w:eastAsia="es-ES" w:bidi="es-ES"/>
        </w:rPr>
        <w:t xml:space="preserve"> de la República, las autoridades allí mencionadas sólo deben aplicar las restricciones contenidas en el parágrafo del artículo 38.</w:t>
      </w:r>
    </w:p>
    <w:p w14:paraId="60184C02" w14:textId="2B0F8E31" w:rsidR="00904F02" w:rsidRDefault="00904F02" w:rsidP="00904F02">
      <w:pPr>
        <w:jc w:val="both"/>
        <w:rPr>
          <w:rFonts w:ascii="Verdana" w:hAnsi="Verdana" w:cs="Arial"/>
          <w:b/>
          <w:bCs/>
          <w:lang w:val="es-MX" w:eastAsia="es-ES"/>
        </w:rPr>
      </w:pPr>
      <w:r w:rsidRPr="00904F02">
        <w:rPr>
          <w:rFonts w:ascii="Verdana" w:eastAsiaTheme="minorEastAsia" w:hAnsi="Verdana" w:cs="Arial"/>
          <w:b/>
          <w:bCs/>
          <w:color w:val="000000" w:themeColor="text1"/>
          <w:lang w:val="es-ES"/>
        </w:rPr>
        <w:t>LEY DE GARANTÍAS ELECTORALES – Excepciones – Destinatarios - Entidades sanitarias y hospitalarias</w:t>
      </w:r>
      <w:r w:rsidRPr="00904F02">
        <w:rPr>
          <w:rFonts w:ascii="Verdana" w:hAnsi="Verdana" w:cs="Arial"/>
          <w:b/>
          <w:bCs/>
          <w:lang w:val="es-MX" w:eastAsia="es-ES"/>
        </w:rPr>
        <w:t xml:space="preserve"> </w:t>
      </w:r>
    </w:p>
    <w:p w14:paraId="5BC83869" w14:textId="77777777" w:rsidR="00F053C5" w:rsidRPr="00F15741" w:rsidRDefault="00F053C5" w:rsidP="00F15741">
      <w:pPr>
        <w:tabs>
          <w:tab w:val="left" w:pos="426"/>
        </w:tabs>
        <w:spacing w:after="120" w:line="240" w:lineRule="auto"/>
        <w:jc w:val="both"/>
        <w:rPr>
          <w:rFonts w:ascii="Verdana" w:hAnsi="Verdana" w:cs="Arial"/>
          <w:color w:val="000000" w:themeColor="text1"/>
          <w:sz w:val="20"/>
          <w:szCs w:val="20"/>
          <w:lang w:val="es-ES"/>
        </w:rPr>
      </w:pPr>
      <w:r w:rsidRPr="00F15741">
        <w:rPr>
          <w:rFonts w:ascii="Verdana" w:hAnsi="Verdana" w:cs="Arial"/>
          <w:color w:val="000000" w:themeColor="text1"/>
          <w:sz w:val="20"/>
          <w:szCs w:val="20"/>
          <w:lang w:val="es-ES"/>
        </w:rPr>
        <w:t xml:space="preserve">Del aparte transcrito se desprende que, para la autoridad administrativa del sector salud, las Empresas Sociales del Estado son las entidades hospitalarias de que trata la excepción a la prohibición establecida en el artículo 33 de la ley de Garantías Electorales. De igual forma, incluyen también dentro de esta excepción a la prohibición, a aquellas instituciones públicas que, aunque no cumplieron con el deber de reestructuración establecido en el artículo 197 de la Ley 100 de 1993, prestan un servicio de salud directo como entidad hospitalaria. </w:t>
      </w:r>
    </w:p>
    <w:p w14:paraId="2B28F2C8" w14:textId="77777777" w:rsidR="00F053C5" w:rsidRPr="00F15741" w:rsidRDefault="00F053C5" w:rsidP="00F15741">
      <w:pPr>
        <w:tabs>
          <w:tab w:val="left" w:pos="426"/>
        </w:tabs>
        <w:spacing w:before="120" w:line="240" w:lineRule="auto"/>
        <w:jc w:val="both"/>
        <w:rPr>
          <w:rFonts w:ascii="Verdana" w:hAnsi="Verdana" w:cs="Arial"/>
          <w:color w:val="000000" w:themeColor="text1"/>
          <w:sz w:val="20"/>
          <w:szCs w:val="20"/>
          <w:lang w:val="es-ES"/>
        </w:rPr>
      </w:pPr>
      <w:r w:rsidRPr="00F15741">
        <w:rPr>
          <w:rFonts w:ascii="Verdana" w:hAnsi="Verdana" w:cs="Arial"/>
          <w:color w:val="000000" w:themeColor="text1"/>
          <w:sz w:val="20"/>
          <w:szCs w:val="20"/>
          <w:lang w:val="es-ES"/>
        </w:rPr>
        <w:t xml:space="preserve">Por tanto, las Empresas Sociales del Estado podrían suscribir contratos bajo la modalidad de contratación directa, porque el inciso segundo del artículo 33 de la Ley 996 de 2005 exceptuó de la prohibición de contratación bajo la modalidad referida a las entidades hospitalarias, categoría dentro de las cuales se incluye a las Empresas Sociales del Estado y, en consecuencia, podrán suscribir sus contratos en la forma establecida en sus manuales de contratación, sin que les resulte aplicable la prohibición establecida en el artículo 33 de la Ley 996 de 2005. </w:t>
      </w:r>
    </w:p>
    <w:p w14:paraId="6B9F5D39" w14:textId="77777777" w:rsidR="00F053C5" w:rsidRDefault="00F053C5" w:rsidP="00904F02">
      <w:pPr>
        <w:jc w:val="both"/>
        <w:rPr>
          <w:rFonts w:ascii="Verdana" w:hAnsi="Verdana" w:cs="Arial"/>
          <w:b/>
          <w:bCs/>
          <w:lang w:val="es-MX" w:eastAsia="es-ES"/>
        </w:rPr>
      </w:pPr>
    </w:p>
    <w:p w14:paraId="36A05941" w14:textId="77777777" w:rsidR="007C5732" w:rsidRPr="00904F02" w:rsidRDefault="007C5732" w:rsidP="00904F02">
      <w:pPr>
        <w:jc w:val="both"/>
        <w:rPr>
          <w:rFonts w:ascii="Verdana" w:hAnsi="Verdana" w:cs="Arial"/>
          <w:b/>
          <w:bCs/>
          <w:lang w:val="es-MX" w:eastAsia="es-ES"/>
        </w:rPr>
      </w:pPr>
    </w:p>
    <w:p w14:paraId="20F347F9" w14:textId="77777777" w:rsidR="00904F02" w:rsidRDefault="00904F02">
      <w:pPr>
        <w:rPr>
          <w:rFonts w:ascii="Verdana" w:eastAsia="Verdana" w:hAnsi="Verdana" w:cs="Verdana"/>
        </w:rPr>
      </w:pPr>
      <w:r>
        <w:rPr>
          <w:rFonts w:ascii="Verdana" w:eastAsia="Verdana" w:hAnsi="Verdana" w:cs="Verdana"/>
        </w:rPr>
        <w:br w:type="page"/>
      </w:r>
    </w:p>
    <w:p w14:paraId="1468C46D" w14:textId="4F7DCB28" w:rsidR="00C15139" w:rsidRPr="00FA1AED" w:rsidRDefault="00C01CC1" w:rsidP="00C01CC1">
      <w:pPr>
        <w:spacing w:after="0" w:line="240" w:lineRule="auto"/>
        <w:rPr>
          <w:rFonts w:ascii="Verdana" w:eastAsia="Verdana" w:hAnsi="Verdana" w:cs="Verdana"/>
        </w:rPr>
      </w:pPr>
      <w:r w:rsidRPr="005A10AC">
        <w:rPr>
          <w:rFonts w:ascii="Verdana" w:eastAsia="Verdana" w:hAnsi="Verdana" w:cs="Verdana"/>
          <w:noProof/>
        </w:rPr>
        <w:drawing>
          <wp:anchor distT="0" distB="0" distL="114300" distR="114300" simplePos="0" relativeHeight="251659264" behindDoc="1" locked="0" layoutInCell="1" allowOverlap="1" wp14:anchorId="3BAC39FF" wp14:editId="2BF91BBA">
            <wp:simplePos x="0" y="0"/>
            <wp:positionH relativeFrom="margin">
              <wp:posOffset>2994708</wp:posOffset>
            </wp:positionH>
            <wp:positionV relativeFrom="paragraph">
              <wp:posOffset>8255</wp:posOffset>
            </wp:positionV>
            <wp:extent cx="2574901" cy="711669"/>
            <wp:effectExtent l="0" t="0" r="0" b="0"/>
            <wp:wrapNone/>
            <wp:docPr id="148248735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74901" cy="71166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5139" w:rsidRPr="00FA1AED">
        <w:rPr>
          <w:rFonts w:ascii="Verdana" w:eastAsia="Verdana" w:hAnsi="Verdana" w:cs="Verdana"/>
        </w:rPr>
        <w:t>Bogotá D.C.</w:t>
      </w:r>
      <w:r w:rsidRPr="00FA1AED">
        <w:rPr>
          <w:rFonts w:ascii="Verdana" w:eastAsia="Verdana" w:hAnsi="Verdana" w:cs="Verdana"/>
        </w:rPr>
        <w:t xml:space="preserve">, </w:t>
      </w:r>
      <w:r w:rsidRPr="00C01CC1">
        <w:rPr>
          <w:rFonts w:ascii="Verdana" w:eastAsia="Verdana" w:hAnsi="Verdana" w:cs="Verdana"/>
        </w:rPr>
        <w:t>11</w:t>
      </w:r>
      <w:r w:rsidRPr="00C01CC1">
        <w:rPr>
          <w:rFonts w:ascii="Verdana" w:eastAsia="Verdana" w:hAnsi="Verdana" w:cs="Verdana"/>
        </w:rPr>
        <w:t xml:space="preserve"> </w:t>
      </w:r>
      <w:proofErr w:type="gramStart"/>
      <w:r w:rsidRPr="00C01CC1">
        <w:rPr>
          <w:rFonts w:ascii="Verdana" w:eastAsia="Verdana" w:hAnsi="Verdana" w:cs="Verdana"/>
        </w:rPr>
        <w:t>Marzo</w:t>
      </w:r>
      <w:proofErr w:type="gramEnd"/>
      <w:r w:rsidRPr="00C01CC1">
        <w:rPr>
          <w:rFonts w:ascii="Verdana" w:eastAsia="Verdana" w:hAnsi="Verdana" w:cs="Verdana"/>
        </w:rPr>
        <w:t xml:space="preserve"> 2026</w:t>
      </w:r>
      <w:r w:rsidR="00C15139" w:rsidRPr="00EA612E">
        <w:rPr>
          <w:rFonts w:ascii="Verdana" w:hAnsi="Verdana"/>
        </w:rPr>
        <w:tab/>
      </w:r>
      <w:r w:rsidR="00C15139" w:rsidRPr="00EA612E">
        <w:rPr>
          <w:rFonts w:ascii="Verdana" w:hAnsi="Verdana"/>
        </w:rPr>
        <w:br/>
      </w:r>
      <w:r w:rsidR="00C15139" w:rsidRPr="00EA612E">
        <w:rPr>
          <w:rFonts w:ascii="Verdana" w:hAnsi="Verdana"/>
        </w:rPr>
        <w:tab/>
      </w:r>
    </w:p>
    <w:p w14:paraId="12443EE0" w14:textId="3F94EE11" w:rsidR="00C15139" w:rsidRPr="00FA1AED" w:rsidRDefault="00C15139" w:rsidP="00EA612E">
      <w:pPr>
        <w:spacing w:after="0" w:line="240" w:lineRule="auto"/>
        <w:rPr>
          <w:rFonts w:ascii="Verdana" w:eastAsia="Verdana" w:hAnsi="Verdana" w:cs="Verdana"/>
        </w:rPr>
      </w:pPr>
    </w:p>
    <w:p w14:paraId="283441C1" w14:textId="77777777" w:rsidR="00330BDF" w:rsidRPr="00FA1AED" w:rsidRDefault="00330BDF" w:rsidP="00FA1AED">
      <w:pPr>
        <w:pStyle w:val="Sinespaciado"/>
        <w:rPr>
          <w:rFonts w:ascii="Verdana" w:hAnsi="Verdana"/>
          <w:lang w:eastAsia="es-ES"/>
        </w:rPr>
      </w:pPr>
      <w:bookmarkStart w:id="1" w:name="_Hlk186494164"/>
      <w:r w:rsidRPr="00FA1AED">
        <w:rPr>
          <w:rFonts w:ascii="Verdana" w:hAnsi="Verdana"/>
          <w:lang w:eastAsia="es-ES"/>
        </w:rPr>
        <w:t>Señor</w:t>
      </w:r>
    </w:p>
    <w:p w14:paraId="77CB4C05" w14:textId="77777777" w:rsidR="00330BDF" w:rsidRPr="00FA1AED" w:rsidRDefault="00330BDF">
      <w:pPr>
        <w:pStyle w:val="Sinespaciado"/>
        <w:rPr>
          <w:rFonts w:ascii="Verdana" w:hAnsi="Verdana" w:cs="Times New Roman"/>
          <w:b/>
          <w:bCs/>
        </w:rPr>
      </w:pPr>
      <w:r w:rsidRPr="00FA1AED">
        <w:rPr>
          <w:rFonts w:ascii="Verdana" w:hAnsi="Verdana" w:cs="Times New Roman"/>
          <w:b/>
          <w:bCs/>
        </w:rPr>
        <w:t>Juan Carlos Sánchez Fernandez</w:t>
      </w:r>
    </w:p>
    <w:p w14:paraId="4D3063E3" w14:textId="77777777" w:rsidR="00330BDF" w:rsidRPr="00FA1AED" w:rsidRDefault="00330BDF">
      <w:pPr>
        <w:pStyle w:val="Sinespaciado"/>
        <w:rPr>
          <w:rFonts w:ascii="Verdana" w:hAnsi="Verdana" w:cs="Times New Roman"/>
        </w:rPr>
      </w:pPr>
      <w:hyperlink r:id="rId12" w:history="1">
        <w:r w:rsidRPr="00FA1AED">
          <w:rPr>
            <w:rStyle w:val="Hipervnculo"/>
            <w:rFonts w:ascii="Verdana" w:eastAsia="Calibri" w:hAnsi="Verdana" w:cs="Times New Roman"/>
          </w:rPr>
          <w:t>gerencia@esehospicaldas.gov.co</w:t>
        </w:r>
      </w:hyperlink>
    </w:p>
    <w:p w14:paraId="5474CFE8" w14:textId="77777777" w:rsidR="00330BDF" w:rsidRPr="00FA1AED" w:rsidRDefault="00330BDF">
      <w:pPr>
        <w:pStyle w:val="Sinespaciado"/>
        <w:rPr>
          <w:rFonts w:ascii="Verdana" w:hAnsi="Verdana" w:cs="Times New Roman"/>
        </w:rPr>
      </w:pPr>
      <w:r w:rsidRPr="00FA1AED">
        <w:rPr>
          <w:rFonts w:ascii="Verdana" w:hAnsi="Verdana" w:cs="Times New Roman"/>
        </w:rPr>
        <w:t>Ciudad</w:t>
      </w:r>
    </w:p>
    <w:p w14:paraId="2058EC52" w14:textId="77777777" w:rsidR="00330BDF" w:rsidRPr="00FA1AED" w:rsidRDefault="00330BDF" w:rsidP="00EA612E">
      <w:pPr>
        <w:spacing w:after="0" w:line="240" w:lineRule="auto"/>
        <w:rPr>
          <w:rFonts w:ascii="Verdana" w:eastAsia="Calibri" w:hAnsi="Verdana" w:cs="Arial"/>
          <w:lang w:eastAsia="es-ES"/>
        </w:rPr>
      </w:pPr>
    </w:p>
    <w:p w14:paraId="0E6ED4FE" w14:textId="77777777" w:rsidR="00330BDF" w:rsidRPr="00FA1AED" w:rsidRDefault="00330BDF" w:rsidP="00EA612E">
      <w:pPr>
        <w:spacing w:after="0" w:line="240" w:lineRule="auto"/>
        <w:ind w:left="2124" w:firstLine="708"/>
        <w:rPr>
          <w:rFonts w:ascii="Verdana" w:eastAsia="Calibri" w:hAnsi="Verdana" w:cs="Arial"/>
          <w:b/>
          <w:bCs/>
          <w:color w:val="000000"/>
          <w:lang w:eastAsia="es-ES_tradnl"/>
        </w:rPr>
      </w:pPr>
    </w:p>
    <w:p w14:paraId="4CEDC786" w14:textId="34F9A55D" w:rsidR="00330BDF" w:rsidRPr="00FA1AED" w:rsidRDefault="00330BDF" w:rsidP="00EA612E">
      <w:pPr>
        <w:spacing w:after="0" w:line="240" w:lineRule="auto"/>
        <w:rPr>
          <w:rFonts w:ascii="Verdana" w:eastAsia="Calibri" w:hAnsi="Verdana" w:cs="Arial"/>
          <w:b/>
          <w:bCs/>
          <w:lang w:eastAsia="es-ES"/>
        </w:rPr>
      </w:pPr>
      <w:r w:rsidRPr="00FA1AED">
        <w:rPr>
          <w:rFonts w:ascii="Verdana" w:eastAsia="Calibri" w:hAnsi="Verdana" w:cs="Arial"/>
          <w:b/>
          <w:bCs/>
          <w:lang w:eastAsia="es-ES"/>
        </w:rPr>
        <w:t xml:space="preserve">                                    Concepto C – 143 de 2026</w:t>
      </w:r>
    </w:p>
    <w:p w14:paraId="590C42CF" w14:textId="77777777" w:rsidR="00330BDF" w:rsidRPr="00FA1AED" w:rsidRDefault="00330BDF" w:rsidP="00EA612E">
      <w:pPr>
        <w:spacing w:after="0" w:line="240"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F3443" w:rsidRPr="00FA1AED" w14:paraId="36D94988" w14:textId="77777777">
        <w:trPr>
          <w:trHeight w:val="884"/>
        </w:trPr>
        <w:tc>
          <w:tcPr>
            <w:tcW w:w="2689" w:type="dxa"/>
          </w:tcPr>
          <w:p w14:paraId="466BE4F4" w14:textId="77777777" w:rsidR="00330BDF" w:rsidRPr="00FA1AED" w:rsidRDefault="00330BDF" w:rsidP="00EA612E">
            <w:pPr>
              <w:jc w:val="both"/>
              <w:rPr>
                <w:rFonts w:ascii="Verdana" w:eastAsia="Calibri" w:hAnsi="Verdana" w:cs="Arial"/>
                <w:color w:val="000000"/>
                <w:lang w:eastAsia="es-ES_tradnl"/>
              </w:rPr>
            </w:pPr>
            <w:r w:rsidRPr="00FA1AED">
              <w:rPr>
                <w:rFonts w:ascii="Verdana" w:eastAsia="Calibri" w:hAnsi="Verdana" w:cs="Arial"/>
                <w:b/>
                <w:color w:val="000000"/>
                <w:lang w:eastAsia="es-ES_tradnl"/>
              </w:rPr>
              <w:t>Temas:</w:t>
            </w:r>
            <w:r w:rsidRPr="00FA1AED">
              <w:rPr>
                <w:rFonts w:ascii="Verdana" w:eastAsia="Calibri" w:hAnsi="Verdana" w:cs="Arial"/>
                <w:color w:val="000000"/>
                <w:lang w:eastAsia="es-ES_tradnl"/>
              </w:rPr>
              <w:t xml:space="preserve">                   </w:t>
            </w:r>
          </w:p>
        </w:tc>
        <w:tc>
          <w:tcPr>
            <w:tcW w:w="6100" w:type="dxa"/>
          </w:tcPr>
          <w:p w14:paraId="5535758D" w14:textId="6AE87BA0" w:rsidR="00330BDF" w:rsidRPr="00FA1AED" w:rsidRDefault="002415C2" w:rsidP="00EA612E">
            <w:pPr>
              <w:jc w:val="both"/>
              <w:rPr>
                <w:rFonts w:ascii="Verdana" w:hAnsi="Verdana" w:cs="Arial"/>
                <w:lang w:val="es-MX" w:eastAsia="es-ES"/>
              </w:rPr>
            </w:pPr>
            <w:r w:rsidRPr="00FA1AED">
              <w:rPr>
                <w:rFonts w:ascii="Verdana" w:hAnsi="Verdana" w:cs="Arial"/>
                <w:lang w:val="es-MX" w:eastAsia="es-ES"/>
              </w:rPr>
              <w:t xml:space="preserve">LEY DE GARANTÍAS ELECTORALES ‒ Finalidad / LEY DE GARANTÍAS ELECTORALES – Prohibición – Artículo 33 – Contratación directa – Alcance / </w:t>
            </w:r>
            <w:r w:rsidRPr="00FA1AED">
              <w:rPr>
                <w:rFonts w:ascii="Verdana" w:eastAsiaTheme="minorEastAsia" w:hAnsi="Verdana" w:cs="Arial"/>
                <w:color w:val="000000" w:themeColor="text1"/>
                <w:lang w:val="es-ES"/>
              </w:rPr>
              <w:t>LEY DE GARANTÍAS ELECTORALES – Excepciones – Destinatarios - Entidades sanitarias y hospitalarias</w:t>
            </w:r>
            <w:r w:rsidRPr="00FA1AED">
              <w:rPr>
                <w:rFonts w:ascii="Verdana" w:hAnsi="Verdana" w:cs="Arial"/>
                <w:lang w:val="es-MX" w:eastAsia="es-ES"/>
              </w:rPr>
              <w:t xml:space="preserve"> </w:t>
            </w:r>
          </w:p>
          <w:p w14:paraId="5F7C1909" w14:textId="62EDE2A4" w:rsidR="002415C2" w:rsidRPr="00FA1AED" w:rsidRDefault="002415C2" w:rsidP="00EA612E">
            <w:pPr>
              <w:jc w:val="both"/>
              <w:rPr>
                <w:rFonts w:ascii="Verdana" w:eastAsia="Calibri" w:hAnsi="Verdana" w:cs="Arial"/>
                <w:lang w:eastAsia="es-ES"/>
              </w:rPr>
            </w:pPr>
          </w:p>
        </w:tc>
      </w:tr>
      <w:tr w:rsidR="009F3443" w:rsidRPr="00FA1AED" w14:paraId="267F7800" w14:textId="77777777">
        <w:tc>
          <w:tcPr>
            <w:tcW w:w="2689" w:type="dxa"/>
          </w:tcPr>
          <w:p w14:paraId="48E6C963" w14:textId="77777777" w:rsidR="00330BDF" w:rsidRPr="00FA1AED" w:rsidRDefault="00330BDF" w:rsidP="00EA612E">
            <w:pPr>
              <w:jc w:val="both"/>
              <w:rPr>
                <w:rFonts w:ascii="Verdana" w:eastAsia="Calibri" w:hAnsi="Verdana" w:cs="Arial"/>
                <w:b/>
                <w:lang w:eastAsia="es-ES_tradnl"/>
              </w:rPr>
            </w:pPr>
            <w:r w:rsidRPr="00FA1AED">
              <w:rPr>
                <w:rFonts w:ascii="Verdana" w:eastAsia="Calibri" w:hAnsi="Verdana" w:cs="Arial"/>
                <w:b/>
                <w:lang w:eastAsia="es-ES_tradnl"/>
              </w:rPr>
              <w:t xml:space="preserve"> Radicación:</w:t>
            </w:r>
            <w:r w:rsidRPr="00FA1AED">
              <w:rPr>
                <w:rFonts w:ascii="Verdana" w:eastAsia="Calibri" w:hAnsi="Verdana" w:cs="Arial"/>
                <w:lang w:eastAsia="es-ES_tradnl"/>
              </w:rPr>
              <w:t xml:space="preserve">               </w:t>
            </w:r>
          </w:p>
        </w:tc>
        <w:tc>
          <w:tcPr>
            <w:tcW w:w="6100" w:type="dxa"/>
          </w:tcPr>
          <w:p w14:paraId="58C8B2C8" w14:textId="77777777" w:rsidR="00330BDF" w:rsidRPr="00FA1AED" w:rsidRDefault="00330BDF" w:rsidP="00EA612E">
            <w:pPr>
              <w:jc w:val="both"/>
              <w:rPr>
                <w:rFonts w:ascii="Verdana" w:eastAsia="Calibri" w:hAnsi="Verdana" w:cs="Arial"/>
                <w:lang w:eastAsia="es-ES_tradnl"/>
              </w:rPr>
            </w:pPr>
            <w:r w:rsidRPr="00FA1AED">
              <w:rPr>
                <w:rFonts w:ascii="Verdana" w:eastAsia="Calibri" w:hAnsi="Verdana" w:cs="Arial"/>
                <w:lang w:eastAsia="es-ES_tradnl"/>
              </w:rPr>
              <w:t>Respuesta a consultas con radicado No. 1_2026_02_02_001222</w:t>
            </w:r>
          </w:p>
        </w:tc>
      </w:tr>
    </w:tbl>
    <w:p w14:paraId="032B6D92" w14:textId="77777777" w:rsidR="00330BDF" w:rsidRPr="00D22F9B" w:rsidRDefault="00330BDF" w:rsidP="00330BDF">
      <w:pPr>
        <w:spacing w:after="0" w:line="276" w:lineRule="auto"/>
        <w:jc w:val="both"/>
        <w:rPr>
          <w:rFonts w:ascii="Verdana" w:eastAsia="Calibri" w:hAnsi="Verdana" w:cs="Arial"/>
          <w:color w:val="000000"/>
          <w:lang w:eastAsia="es-ES_tradnl"/>
        </w:rPr>
      </w:pPr>
    </w:p>
    <w:p w14:paraId="34173E26" w14:textId="77777777" w:rsidR="00330BDF" w:rsidRPr="00D22F9B" w:rsidRDefault="00330BDF" w:rsidP="00330BDF">
      <w:pPr>
        <w:spacing w:after="0" w:line="276" w:lineRule="auto"/>
        <w:jc w:val="both"/>
        <w:rPr>
          <w:rFonts w:ascii="Verdana" w:eastAsia="Calibri" w:hAnsi="Verdana" w:cs="Arial"/>
          <w:color w:val="000000"/>
          <w:lang w:eastAsia="es-ES_tradnl"/>
        </w:rPr>
      </w:pPr>
    </w:p>
    <w:p w14:paraId="7AB815EA" w14:textId="062CC6FF" w:rsidR="00330BDF" w:rsidRPr="00D22F9B" w:rsidRDefault="00330BDF" w:rsidP="00FA1AED">
      <w:pPr>
        <w:spacing w:after="0" w:line="276" w:lineRule="auto"/>
        <w:jc w:val="both"/>
        <w:rPr>
          <w:rFonts w:ascii="Verdana" w:eastAsia="Calibri" w:hAnsi="Verdana" w:cs="Arial"/>
          <w:lang w:eastAsia="es-ES"/>
        </w:rPr>
      </w:pPr>
      <w:r w:rsidRPr="00D22F9B">
        <w:rPr>
          <w:rFonts w:ascii="Verdana" w:eastAsia="Calibri" w:hAnsi="Verdana" w:cs="Arial"/>
          <w:lang w:eastAsia="es-ES"/>
        </w:rPr>
        <w:t>Estimad</w:t>
      </w:r>
      <w:r w:rsidR="004937C2">
        <w:rPr>
          <w:rFonts w:ascii="Verdana" w:eastAsia="Calibri" w:hAnsi="Verdana" w:cs="Arial"/>
          <w:lang w:eastAsia="es-ES"/>
        </w:rPr>
        <w:t>o</w:t>
      </w:r>
      <w:r>
        <w:rPr>
          <w:rFonts w:ascii="Verdana" w:eastAsia="Calibri" w:hAnsi="Verdana" w:cs="Arial"/>
          <w:lang w:eastAsia="es-ES"/>
        </w:rPr>
        <w:t xml:space="preserve"> señor </w:t>
      </w:r>
      <w:r w:rsidR="002C04FD">
        <w:rPr>
          <w:rFonts w:ascii="Verdana" w:eastAsia="Calibri" w:hAnsi="Verdana" w:cs="Arial"/>
          <w:lang w:eastAsia="es-ES"/>
        </w:rPr>
        <w:t>Sánchez</w:t>
      </w:r>
      <w:r>
        <w:rPr>
          <w:rFonts w:ascii="Verdana" w:eastAsia="Calibri" w:hAnsi="Verdana" w:cs="Arial"/>
          <w:lang w:eastAsia="es-ES"/>
        </w:rPr>
        <w:t>, cordial saludo</w:t>
      </w:r>
    </w:p>
    <w:p w14:paraId="032DA840" w14:textId="77777777" w:rsidR="00330BDF" w:rsidRPr="00D22F9B" w:rsidRDefault="00330BDF">
      <w:pPr>
        <w:tabs>
          <w:tab w:val="left" w:pos="3768"/>
        </w:tabs>
        <w:spacing w:after="0" w:line="276" w:lineRule="auto"/>
        <w:jc w:val="both"/>
        <w:rPr>
          <w:rFonts w:ascii="Verdana" w:eastAsia="Calibri" w:hAnsi="Verdana" w:cs="Arial"/>
          <w:color w:val="000000"/>
          <w:lang w:eastAsia="es-ES"/>
        </w:rPr>
      </w:pPr>
      <w:r w:rsidRPr="00D22F9B">
        <w:rPr>
          <w:rFonts w:ascii="Verdana" w:eastAsia="Calibri" w:hAnsi="Verdana" w:cs="Arial"/>
          <w:color w:val="000000"/>
          <w:lang w:eastAsia="es-ES"/>
        </w:rPr>
        <w:tab/>
      </w:r>
    </w:p>
    <w:p w14:paraId="099C44A5" w14:textId="720DE56B" w:rsidR="00330BDF" w:rsidRDefault="00330BDF" w:rsidP="00FA1AED">
      <w:pPr>
        <w:spacing w:after="0" w:line="276" w:lineRule="auto"/>
        <w:jc w:val="both"/>
        <w:rPr>
          <w:rFonts w:ascii="Verdana" w:eastAsia="Calibri" w:hAnsi="Verdana" w:cs="Arial"/>
          <w:i/>
          <w:iCs/>
          <w:lang w:eastAsia="es-ES"/>
        </w:rPr>
      </w:pPr>
      <w:r w:rsidRPr="00D22F9B">
        <w:rPr>
          <w:rFonts w:ascii="Verdana" w:eastAsia="Calibri" w:hAnsi="Verdana" w:cs="Arial"/>
          <w:color w:val="000000"/>
          <w:lang w:eastAsia="es-ES"/>
        </w:rPr>
        <w:t>En ejercicio de la competencia otorgada por los artículos 3, numeral 5º, y 11, numeral 8º, del Decreto Ley 4170 de 2011,</w:t>
      </w:r>
      <w:r w:rsidRPr="00D22F9B">
        <w:rPr>
          <w:rFonts w:ascii="Verdana" w:eastAsia="Arial MT" w:hAnsi="Verdana" w:cs="Arial MT"/>
          <w:lang w:eastAsia="es-ES"/>
        </w:rPr>
        <w:t xml:space="preserve"> </w:t>
      </w:r>
      <w:r w:rsidRPr="00D22F9B">
        <w:rPr>
          <w:rFonts w:ascii="Verdana" w:eastAsia="Calibri" w:hAnsi="Verdana" w:cs="Arial"/>
        </w:rPr>
        <w:t xml:space="preserve">así como lo establecido en el artículo 4 de la Resolución 1707 de 2018 expedida por esta Entidad, </w:t>
      </w:r>
      <w:r w:rsidRPr="00D22F9B">
        <w:rPr>
          <w:rFonts w:ascii="Verdana" w:eastAsia="Calibri" w:hAnsi="Verdana" w:cs="Arial"/>
          <w:color w:val="000000"/>
          <w:lang w:eastAsia="es-ES"/>
        </w:rPr>
        <w:t xml:space="preserve">la Agencia Nacional de Contratación Pública – Colombia Compra Eficiente responde su solicitud de concepto del </w:t>
      </w:r>
      <w:r>
        <w:rPr>
          <w:rFonts w:ascii="Verdana" w:eastAsia="Calibri" w:hAnsi="Verdana" w:cs="Arial"/>
          <w:color w:val="000000"/>
          <w:lang w:eastAsia="es-ES"/>
        </w:rPr>
        <w:t>02</w:t>
      </w:r>
      <w:r w:rsidRPr="00D22F9B">
        <w:rPr>
          <w:rFonts w:ascii="Verdana" w:eastAsia="Calibri" w:hAnsi="Verdana" w:cs="Arial"/>
          <w:color w:val="000000"/>
          <w:lang w:eastAsia="es-ES"/>
        </w:rPr>
        <w:t xml:space="preserve"> de </w:t>
      </w:r>
      <w:r>
        <w:rPr>
          <w:rFonts w:ascii="Verdana" w:eastAsia="Calibri" w:hAnsi="Verdana" w:cs="Arial"/>
          <w:color w:val="000000"/>
          <w:lang w:eastAsia="es-ES"/>
        </w:rPr>
        <w:t>febrero</w:t>
      </w:r>
      <w:r w:rsidRPr="00D22F9B">
        <w:rPr>
          <w:rFonts w:ascii="Verdana" w:eastAsia="Calibri" w:hAnsi="Verdana" w:cs="Arial"/>
          <w:color w:val="000000"/>
          <w:lang w:eastAsia="es-ES"/>
        </w:rPr>
        <w:t xml:space="preserve"> de 202</w:t>
      </w:r>
      <w:r>
        <w:rPr>
          <w:rFonts w:ascii="Verdana" w:eastAsia="Calibri" w:hAnsi="Verdana" w:cs="Arial"/>
          <w:color w:val="000000"/>
          <w:lang w:eastAsia="es-ES"/>
        </w:rPr>
        <w:t>6</w:t>
      </w:r>
      <w:r w:rsidRPr="00D22F9B">
        <w:rPr>
          <w:rFonts w:ascii="Verdana" w:eastAsia="Calibri" w:hAnsi="Verdana" w:cs="Arial"/>
          <w:color w:val="000000"/>
          <w:lang w:eastAsia="es-ES"/>
        </w:rPr>
        <w:t>,</w:t>
      </w:r>
      <w:r w:rsidRPr="00D22F9B">
        <w:rPr>
          <w:rFonts w:ascii="Verdana" w:eastAsia="Calibri" w:hAnsi="Verdana" w:cs="Arial"/>
          <w:lang w:eastAsia="es-ES"/>
        </w:rPr>
        <w:t xml:space="preserve"> en la que manifiesta lo siguiente:</w:t>
      </w:r>
      <w:r w:rsidRPr="00D22F9B">
        <w:rPr>
          <w:rFonts w:ascii="Verdana" w:eastAsia="Calibri" w:hAnsi="Verdana" w:cs="Arial"/>
          <w:i/>
          <w:iCs/>
          <w:lang w:eastAsia="es-ES"/>
        </w:rPr>
        <w:t xml:space="preserve"> </w:t>
      </w:r>
      <w:bookmarkStart w:id="2" w:name="_Hlk95313578"/>
    </w:p>
    <w:p w14:paraId="1A2724B9" w14:textId="77777777" w:rsidR="00FA1AED" w:rsidRPr="00D22F9B" w:rsidRDefault="00FA1AED" w:rsidP="00EA612E">
      <w:pPr>
        <w:spacing w:after="0" w:line="276" w:lineRule="auto"/>
        <w:jc w:val="both"/>
        <w:rPr>
          <w:rFonts w:ascii="Verdana" w:eastAsia="Calibri" w:hAnsi="Verdana" w:cs="Arial"/>
          <w:i/>
          <w:iCs/>
          <w:lang w:eastAsia="es-ES"/>
        </w:rPr>
      </w:pPr>
    </w:p>
    <w:p w14:paraId="4B02138F" w14:textId="7979D507" w:rsidR="00330BDF" w:rsidRDefault="00330BDF" w:rsidP="00FA1AED">
      <w:pPr>
        <w:spacing w:after="0" w:line="240" w:lineRule="auto"/>
        <w:ind w:left="709" w:right="709"/>
        <w:jc w:val="both"/>
        <w:rPr>
          <w:rFonts w:ascii="Verdana" w:eastAsia="Arial" w:hAnsi="Verdana" w:cs="Arial"/>
          <w:i/>
          <w:color w:val="000000"/>
          <w:sz w:val="20"/>
          <w:szCs w:val="20"/>
        </w:rPr>
      </w:pPr>
      <w:r w:rsidRPr="003F28DE">
        <w:rPr>
          <w:rFonts w:ascii="Verdana" w:eastAsia="Arial" w:hAnsi="Verdana" w:cs="Arial"/>
          <w:i/>
          <w:color w:val="000000"/>
          <w:sz w:val="20"/>
          <w:szCs w:val="20"/>
        </w:rPr>
        <w:t>“</w:t>
      </w:r>
      <w:bookmarkEnd w:id="2"/>
      <w:r>
        <w:rPr>
          <w:rFonts w:ascii="Verdana" w:eastAsia="Arial" w:hAnsi="Verdana" w:cs="Arial"/>
          <w:i/>
          <w:color w:val="000000"/>
          <w:sz w:val="20"/>
          <w:szCs w:val="20"/>
        </w:rPr>
        <w:t xml:space="preserve">(…) </w:t>
      </w:r>
      <w:r w:rsidRPr="00EA53D1">
        <w:rPr>
          <w:rFonts w:ascii="Verdana" w:eastAsia="Arial" w:hAnsi="Verdana" w:cs="Arial"/>
          <w:i/>
          <w:color w:val="000000"/>
          <w:sz w:val="20"/>
          <w:szCs w:val="20"/>
        </w:rPr>
        <w:t>De manera atenta me permito elevar consulta relacionada con la aplicación de la</w:t>
      </w:r>
      <w:r>
        <w:rPr>
          <w:rFonts w:ascii="Verdana" w:eastAsia="Arial" w:hAnsi="Verdana" w:cs="Arial"/>
          <w:i/>
          <w:color w:val="000000"/>
          <w:sz w:val="20"/>
          <w:szCs w:val="20"/>
        </w:rPr>
        <w:t xml:space="preserve"> </w:t>
      </w:r>
      <w:r w:rsidRPr="00EA53D1">
        <w:rPr>
          <w:rFonts w:ascii="Verdana" w:eastAsia="Arial" w:hAnsi="Verdana" w:cs="Arial"/>
          <w:i/>
          <w:color w:val="000000"/>
          <w:sz w:val="20"/>
          <w:szCs w:val="20"/>
        </w:rPr>
        <w:t>Ley de Garantías Electorales en las Empresas Sociales del Estado (E.S.E.),</w:t>
      </w:r>
      <w:r>
        <w:rPr>
          <w:rFonts w:ascii="Verdana" w:eastAsia="Arial" w:hAnsi="Verdana" w:cs="Arial"/>
          <w:i/>
          <w:color w:val="000000"/>
          <w:sz w:val="20"/>
          <w:szCs w:val="20"/>
        </w:rPr>
        <w:t xml:space="preserve"> </w:t>
      </w:r>
      <w:r w:rsidRPr="00EA53D1">
        <w:rPr>
          <w:rFonts w:ascii="Verdana" w:eastAsia="Arial" w:hAnsi="Verdana" w:cs="Arial"/>
          <w:i/>
          <w:color w:val="000000"/>
          <w:sz w:val="20"/>
          <w:szCs w:val="20"/>
        </w:rPr>
        <w:t>específicamente frente a la posibilidad de adelantar procesos de contratación</w:t>
      </w:r>
      <w:r>
        <w:rPr>
          <w:rFonts w:ascii="Verdana" w:eastAsia="Arial" w:hAnsi="Verdana" w:cs="Arial"/>
          <w:i/>
          <w:color w:val="000000"/>
          <w:sz w:val="20"/>
          <w:szCs w:val="20"/>
        </w:rPr>
        <w:t xml:space="preserve"> </w:t>
      </w:r>
      <w:r w:rsidRPr="00EA53D1">
        <w:rPr>
          <w:rFonts w:ascii="Verdana" w:eastAsia="Arial" w:hAnsi="Verdana" w:cs="Arial"/>
          <w:i/>
          <w:color w:val="000000"/>
          <w:sz w:val="20"/>
          <w:szCs w:val="20"/>
        </w:rPr>
        <w:t>directa.</w:t>
      </w:r>
    </w:p>
    <w:p w14:paraId="51EE62E1" w14:textId="77777777" w:rsidR="00FA1AED" w:rsidRPr="00EA53D1" w:rsidRDefault="00FA1AED" w:rsidP="00FA1AED">
      <w:pPr>
        <w:spacing w:after="0" w:line="240" w:lineRule="auto"/>
        <w:ind w:left="709" w:right="709"/>
        <w:jc w:val="both"/>
        <w:rPr>
          <w:rFonts w:ascii="Verdana" w:eastAsia="Arial" w:hAnsi="Verdana" w:cs="Arial"/>
          <w:i/>
          <w:color w:val="000000"/>
          <w:sz w:val="20"/>
          <w:szCs w:val="20"/>
        </w:rPr>
      </w:pPr>
    </w:p>
    <w:p w14:paraId="29B52677" w14:textId="37026489" w:rsidR="00330BDF" w:rsidRDefault="00330BDF" w:rsidP="00FA1AED">
      <w:pPr>
        <w:spacing w:after="0" w:line="240" w:lineRule="auto"/>
        <w:ind w:left="709" w:right="709"/>
        <w:jc w:val="both"/>
        <w:rPr>
          <w:rFonts w:ascii="Verdana" w:eastAsia="Arial" w:hAnsi="Verdana" w:cs="Arial"/>
          <w:i/>
          <w:color w:val="000000"/>
          <w:sz w:val="20"/>
          <w:szCs w:val="20"/>
        </w:rPr>
      </w:pPr>
      <w:r w:rsidRPr="00EA53D1">
        <w:rPr>
          <w:rFonts w:ascii="Verdana" w:eastAsia="Arial" w:hAnsi="Verdana" w:cs="Arial"/>
          <w:i/>
          <w:color w:val="000000"/>
          <w:sz w:val="20"/>
          <w:szCs w:val="20"/>
        </w:rPr>
        <w:t>En ese sentido, solicito se sirvan indicar si una Empresa Social del Estado puede</w:t>
      </w:r>
      <w:r>
        <w:rPr>
          <w:rFonts w:ascii="Verdana" w:eastAsia="Arial" w:hAnsi="Verdana" w:cs="Arial"/>
          <w:i/>
          <w:color w:val="000000"/>
          <w:sz w:val="20"/>
          <w:szCs w:val="20"/>
        </w:rPr>
        <w:t xml:space="preserve"> </w:t>
      </w:r>
      <w:r w:rsidRPr="00EA53D1">
        <w:rPr>
          <w:rFonts w:ascii="Verdana" w:eastAsia="Arial" w:hAnsi="Verdana" w:cs="Arial"/>
          <w:i/>
          <w:color w:val="000000"/>
          <w:sz w:val="20"/>
          <w:szCs w:val="20"/>
        </w:rPr>
        <w:t>realizar contratación directa durante la vigencia de la Ley de Garantías para la</w:t>
      </w:r>
      <w:r>
        <w:rPr>
          <w:rFonts w:ascii="Verdana" w:eastAsia="Arial" w:hAnsi="Verdana" w:cs="Arial"/>
          <w:i/>
          <w:color w:val="000000"/>
          <w:sz w:val="20"/>
          <w:szCs w:val="20"/>
        </w:rPr>
        <w:t xml:space="preserve"> </w:t>
      </w:r>
      <w:r w:rsidRPr="00EA53D1">
        <w:rPr>
          <w:rFonts w:ascii="Verdana" w:eastAsia="Arial" w:hAnsi="Verdana" w:cs="Arial"/>
          <w:i/>
          <w:color w:val="000000"/>
          <w:sz w:val="20"/>
          <w:szCs w:val="20"/>
        </w:rPr>
        <w:t>ejecución de actividades relacionadas con las Estrategias Básicas de Atención en</w:t>
      </w:r>
      <w:r>
        <w:rPr>
          <w:rFonts w:ascii="Verdana" w:eastAsia="Arial" w:hAnsi="Verdana" w:cs="Arial"/>
          <w:i/>
          <w:color w:val="000000"/>
          <w:sz w:val="20"/>
          <w:szCs w:val="20"/>
        </w:rPr>
        <w:t xml:space="preserve"> </w:t>
      </w:r>
      <w:r w:rsidRPr="00EA53D1">
        <w:rPr>
          <w:rFonts w:ascii="Verdana" w:eastAsia="Arial" w:hAnsi="Verdana" w:cs="Arial"/>
          <w:i/>
          <w:color w:val="000000"/>
          <w:sz w:val="20"/>
          <w:szCs w:val="20"/>
        </w:rPr>
        <w:t>Salud – EBAS, teniendo en cuenta su naturaleza misional, la continuidad en la</w:t>
      </w:r>
      <w:r>
        <w:rPr>
          <w:rFonts w:ascii="Verdana" w:eastAsia="Arial" w:hAnsi="Verdana" w:cs="Arial"/>
          <w:i/>
          <w:color w:val="000000"/>
          <w:sz w:val="20"/>
          <w:szCs w:val="20"/>
        </w:rPr>
        <w:t xml:space="preserve"> </w:t>
      </w:r>
      <w:r w:rsidRPr="00EA53D1">
        <w:rPr>
          <w:rFonts w:ascii="Verdana" w:eastAsia="Arial" w:hAnsi="Verdana" w:cs="Arial"/>
          <w:i/>
          <w:color w:val="000000"/>
          <w:sz w:val="20"/>
          <w:szCs w:val="20"/>
        </w:rPr>
        <w:t>prestación de los servicios de salud y el carácter esencial de dichas actividades.</w:t>
      </w:r>
    </w:p>
    <w:p w14:paraId="71D79C21" w14:textId="77777777" w:rsidR="00FA1AED" w:rsidRPr="00EA53D1" w:rsidRDefault="00FA1AED" w:rsidP="00FA1AED">
      <w:pPr>
        <w:spacing w:after="0" w:line="240" w:lineRule="auto"/>
        <w:ind w:left="709" w:right="709"/>
        <w:jc w:val="both"/>
        <w:rPr>
          <w:rFonts w:ascii="Verdana" w:eastAsia="Arial" w:hAnsi="Verdana" w:cs="Arial"/>
          <w:i/>
          <w:color w:val="000000"/>
          <w:sz w:val="20"/>
          <w:szCs w:val="20"/>
        </w:rPr>
      </w:pPr>
    </w:p>
    <w:p w14:paraId="25915F66" w14:textId="77777777" w:rsidR="00330BDF" w:rsidRDefault="00330BDF" w:rsidP="00FA1AED">
      <w:pPr>
        <w:spacing w:after="0" w:line="240" w:lineRule="auto"/>
        <w:ind w:left="709" w:right="709"/>
        <w:jc w:val="both"/>
        <w:rPr>
          <w:rFonts w:ascii="Verdana" w:eastAsia="Arial" w:hAnsi="Verdana" w:cs="Arial"/>
          <w:i/>
          <w:color w:val="000000"/>
          <w:sz w:val="20"/>
          <w:szCs w:val="20"/>
        </w:rPr>
      </w:pPr>
      <w:r w:rsidRPr="00EA53D1">
        <w:rPr>
          <w:rFonts w:ascii="Verdana" w:eastAsia="Arial" w:hAnsi="Verdana" w:cs="Arial"/>
          <w:i/>
          <w:color w:val="000000"/>
          <w:sz w:val="20"/>
          <w:szCs w:val="20"/>
        </w:rPr>
        <w:lastRenderedPageBreak/>
        <w:t>Así mismo, agradecería se precise si este tipo de contratación puede enmarcarse</w:t>
      </w:r>
      <w:r>
        <w:rPr>
          <w:rFonts w:ascii="Verdana" w:eastAsia="Arial" w:hAnsi="Verdana" w:cs="Arial"/>
          <w:i/>
          <w:color w:val="000000"/>
          <w:sz w:val="20"/>
          <w:szCs w:val="20"/>
        </w:rPr>
        <w:t xml:space="preserve"> </w:t>
      </w:r>
      <w:r w:rsidRPr="00EA53D1">
        <w:rPr>
          <w:rFonts w:ascii="Verdana" w:eastAsia="Arial" w:hAnsi="Verdana" w:cs="Arial"/>
          <w:i/>
          <w:color w:val="000000"/>
          <w:sz w:val="20"/>
          <w:szCs w:val="20"/>
        </w:rPr>
        <w:t>dentro de las excepciones previstas en la normatividad vigente y bajo qué</w:t>
      </w:r>
      <w:r>
        <w:rPr>
          <w:rFonts w:ascii="Verdana" w:eastAsia="Arial" w:hAnsi="Verdana" w:cs="Arial"/>
          <w:i/>
          <w:color w:val="000000"/>
          <w:sz w:val="20"/>
          <w:szCs w:val="20"/>
        </w:rPr>
        <w:t xml:space="preserve"> </w:t>
      </w:r>
      <w:r w:rsidRPr="00EA53D1">
        <w:rPr>
          <w:rFonts w:ascii="Verdana" w:eastAsia="Arial" w:hAnsi="Verdana" w:cs="Arial"/>
          <w:i/>
          <w:color w:val="000000"/>
          <w:sz w:val="20"/>
          <w:szCs w:val="20"/>
        </w:rPr>
        <w:t>condiciones o requisitos debería adelantarse, con el fin de garantizar el</w:t>
      </w:r>
      <w:r>
        <w:rPr>
          <w:rFonts w:ascii="Verdana" w:eastAsia="Arial" w:hAnsi="Verdana" w:cs="Arial"/>
          <w:i/>
          <w:color w:val="000000"/>
          <w:sz w:val="20"/>
          <w:szCs w:val="20"/>
        </w:rPr>
        <w:t xml:space="preserve"> </w:t>
      </w:r>
      <w:r w:rsidRPr="00EA53D1">
        <w:rPr>
          <w:rFonts w:ascii="Verdana" w:eastAsia="Arial" w:hAnsi="Verdana" w:cs="Arial"/>
          <w:i/>
          <w:color w:val="000000"/>
          <w:sz w:val="20"/>
          <w:szCs w:val="20"/>
        </w:rPr>
        <w:t>cumplimiento del marco legal aplicable</w:t>
      </w:r>
      <w:r w:rsidRPr="00391B39">
        <w:rPr>
          <w:rFonts w:ascii="Verdana" w:eastAsia="Arial" w:hAnsi="Verdana" w:cs="Arial"/>
          <w:i/>
          <w:color w:val="000000"/>
          <w:sz w:val="20"/>
          <w:szCs w:val="20"/>
        </w:rPr>
        <w:t>.</w:t>
      </w:r>
    </w:p>
    <w:p w14:paraId="53E83D4E" w14:textId="67C35B72" w:rsidR="00330BDF" w:rsidRPr="002C04FD" w:rsidRDefault="00330BDF" w:rsidP="00EA612E">
      <w:pPr>
        <w:spacing w:after="0" w:line="240" w:lineRule="auto"/>
        <w:ind w:left="709" w:right="709"/>
        <w:jc w:val="both"/>
        <w:rPr>
          <w:rFonts w:ascii="Verdana" w:eastAsia="Aptos" w:hAnsi="Verdana" w:cs="Times New Roman"/>
          <w:kern w:val="2"/>
          <w:sz w:val="20"/>
          <w:szCs w:val="20"/>
          <w14:ligatures w14:val="standardContextual"/>
        </w:rPr>
      </w:pPr>
      <w:r>
        <w:rPr>
          <w:rFonts w:ascii="Verdana" w:eastAsia="Arial" w:hAnsi="Verdana" w:cs="Arial"/>
          <w:i/>
          <w:color w:val="000000"/>
          <w:sz w:val="20"/>
          <w:szCs w:val="20"/>
        </w:rPr>
        <w:t>(…)</w:t>
      </w:r>
      <w:r w:rsidRPr="003F28DE">
        <w:rPr>
          <w:rFonts w:ascii="Verdana" w:eastAsia="Arial" w:hAnsi="Verdana" w:cs="Arial"/>
          <w:i/>
          <w:color w:val="000000"/>
          <w:sz w:val="20"/>
          <w:szCs w:val="20"/>
        </w:rPr>
        <w:t>”</w:t>
      </w:r>
    </w:p>
    <w:p w14:paraId="2A50D14A" w14:textId="77777777" w:rsidR="00FA1AED" w:rsidRDefault="00FA1AED" w:rsidP="00330BDF">
      <w:pPr>
        <w:spacing w:after="120" w:line="276" w:lineRule="auto"/>
        <w:jc w:val="both"/>
        <w:rPr>
          <w:rFonts w:ascii="Verdana" w:eastAsia="Calibri" w:hAnsi="Verdana" w:cs="Arial"/>
          <w:color w:val="000000"/>
          <w:lang w:eastAsia="es-ES"/>
        </w:rPr>
      </w:pPr>
    </w:p>
    <w:p w14:paraId="0F84ACA9" w14:textId="18B2F35A" w:rsidR="00330BDF" w:rsidRPr="00D22F9B" w:rsidRDefault="00330BDF" w:rsidP="00330BDF">
      <w:pPr>
        <w:spacing w:after="120" w:line="276" w:lineRule="auto"/>
        <w:jc w:val="both"/>
        <w:rPr>
          <w:rFonts w:ascii="Verdana" w:eastAsia="Calibri" w:hAnsi="Verdana" w:cs="Arial"/>
          <w:color w:val="000000"/>
          <w:lang w:eastAsia="es-ES"/>
        </w:rPr>
      </w:pPr>
      <w:r w:rsidRPr="00D22F9B">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840BF2">
        <w:rPr>
          <w:rFonts w:ascii="Verdana" w:eastAsia="Calibri" w:hAnsi="Verdana" w:cs="Arial"/>
          <w:color w:val="000000"/>
          <w:lang w:eastAsia="es-ES"/>
        </w:rPr>
        <w:t xml:space="preserve">la Agencia Nacional de Contratación Pública - </w:t>
      </w:r>
      <w:r w:rsidRPr="00D22F9B">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22F9B">
        <w:rPr>
          <w:rFonts w:ascii="Verdana" w:eastAsia="Calibri" w:hAnsi="Verdana" w:cs="Arial"/>
          <w:color w:val="000000"/>
          <w:lang w:eastAsia="es-ES_tradnl"/>
        </w:rPr>
        <w:tab/>
      </w:r>
    </w:p>
    <w:p w14:paraId="6FE08245" w14:textId="72ED35CC" w:rsidR="00330BDF" w:rsidRDefault="00330BDF" w:rsidP="00803DB6">
      <w:pPr>
        <w:spacing w:after="0" w:line="276" w:lineRule="auto"/>
        <w:ind w:firstLine="360"/>
        <w:jc w:val="both"/>
        <w:rPr>
          <w:rFonts w:ascii="Verdana" w:eastAsia="Calibri" w:hAnsi="Verdana" w:cs="Arial"/>
          <w:b/>
          <w:bCs/>
          <w:color w:val="000000"/>
          <w:lang w:eastAsia="es-ES"/>
        </w:rPr>
      </w:pPr>
      <w:r w:rsidRPr="00D22F9B">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D22F9B">
        <w:rPr>
          <w:rFonts w:ascii="Verdana" w:eastAsia="Calibri" w:hAnsi="Verdana" w:cs="Arial"/>
          <w:color w:val="7030A0"/>
          <w:lang w:eastAsia="es-ES"/>
        </w:rPr>
        <w:t xml:space="preserve"> </w:t>
      </w:r>
      <w:r w:rsidRPr="00D22F9B">
        <w:rPr>
          <w:rFonts w:ascii="Verdana" w:eastAsia="Calibri" w:hAnsi="Verdana" w:cs="Arial"/>
          <w:color w:val="000000"/>
          <w:lang w:eastAsia="es-ES"/>
        </w:rPr>
        <w:t>problemas</w:t>
      </w:r>
      <w:r w:rsidRPr="00D22F9B">
        <w:rPr>
          <w:rFonts w:ascii="Verdana" w:eastAsia="Calibri" w:hAnsi="Verdana" w:cs="Arial"/>
          <w:color w:val="7030A0"/>
          <w:lang w:eastAsia="es-ES"/>
        </w:rPr>
        <w:t xml:space="preserve"> </w:t>
      </w:r>
      <w:r w:rsidRPr="00D22F9B">
        <w:rPr>
          <w:rFonts w:ascii="Verdana" w:eastAsia="Calibri" w:hAnsi="Verdana" w:cs="Arial"/>
          <w:color w:val="000000"/>
          <w:lang w:eastAsia="es-ES"/>
        </w:rPr>
        <w:t>jurídicos</w:t>
      </w:r>
      <w:r w:rsidRPr="00D22F9B">
        <w:rPr>
          <w:rFonts w:ascii="Verdana" w:eastAsia="Calibri" w:hAnsi="Verdana" w:cs="Arial"/>
          <w:color w:val="7030A0"/>
          <w:lang w:eastAsia="es-ES"/>
        </w:rPr>
        <w:t xml:space="preserve"> </w:t>
      </w:r>
      <w:r w:rsidRPr="00D22F9B">
        <w:rPr>
          <w:rFonts w:ascii="Verdana" w:eastAsia="Calibri" w:hAnsi="Verdana" w:cs="Arial"/>
          <w:color w:val="000000"/>
          <w:lang w:eastAsia="es-ES"/>
        </w:rPr>
        <w:t>de su consulta.</w:t>
      </w:r>
      <w:r w:rsidRPr="002A396D">
        <w:rPr>
          <w:rFonts w:ascii="Verdana" w:eastAsia="Calibri" w:hAnsi="Verdana" w:cs="Arial"/>
          <w:b/>
          <w:bCs/>
          <w:color w:val="000000"/>
          <w:lang w:eastAsia="es-ES"/>
        </w:rPr>
        <w:t xml:space="preserve"> </w:t>
      </w:r>
    </w:p>
    <w:p w14:paraId="1135C5E7" w14:textId="77777777" w:rsidR="00803DB6" w:rsidRPr="002A396D" w:rsidRDefault="00803DB6" w:rsidP="00EA612E">
      <w:pPr>
        <w:spacing w:after="0" w:line="276" w:lineRule="auto"/>
        <w:ind w:firstLine="360"/>
        <w:jc w:val="both"/>
        <w:rPr>
          <w:rFonts w:ascii="Verdana" w:eastAsia="Calibri" w:hAnsi="Verdana" w:cs="Arial"/>
          <w:b/>
          <w:bCs/>
          <w:color w:val="000000"/>
          <w:lang w:eastAsia="es-ES"/>
        </w:rPr>
      </w:pPr>
    </w:p>
    <w:p w14:paraId="12F277B9" w14:textId="712DF767" w:rsidR="00330BDF" w:rsidRPr="00EA612E" w:rsidRDefault="00330BDF" w:rsidP="00EA612E">
      <w:pPr>
        <w:pStyle w:val="Prrafodelista"/>
        <w:numPr>
          <w:ilvl w:val="0"/>
          <w:numId w:val="19"/>
        </w:numPr>
        <w:tabs>
          <w:tab w:val="left" w:pos="142"/>
          <w:tab w:val="left" w:pos="284"/>
        </w:tabs>
        <w:spacing w:after="0" w:line="276" w:lineRule="auto"/>
        <w:contextualSpacing w:val="0"/>
        <w:jc w:val="both"/>
        <w:rPr>
          <w:rFonts w:ascii="Verdana" w:eastAsia="Century Gothic" w:hAnsi="Verdana" w:cs="Century Gothic"/>
          <w:b/>
          <w:bCs/>
        </w:rPr>
      </w:pPr>
      <w:r w:rsidRPr="00EA612E">
        <w:rPr>
          <w:rFonts w:ascii="Verdana" w:eastAsia="Century Gothic" w:hAnsi="Verdana" w:cs="Century Gothic"/>
          <w:b/>
          <w:bCs/>
        </w:rPr>
        <w:t>Problema planteado:</w:t>
      </w:r>
    </w:p>
    <w:p w14:paraId="7AE7A1FC" w14:textId="77777777" w:rsidR="00330BDF" w:rsidRPr="002A396D" w:rsidRDefault="00330BDF" w:rsidP="00EA612E">
      <w:pPr>
        <w:tabs>
          <w:tab w:val="left" w:pos="142"/>
          <w:tab w:val="left" w:pos="284"/>
        </w:tabs>
        <w:spacing w:after="0" w:line="276" w:lineRule="auto"/>
        <w:ind w:left="360"/>
        <w:jc w:val="both"/>
        <w:rPr>
          <w:rFonts w:ascii="Verdana" w:eastAsia="Century Gothic" w:hAnsi="Verdana" w:cs="Century Gothic"/>
        </w:rPr>
      </w:pPr>
    </w:p>
    <w:p w14:paraId="233E4014" w14:textId="4B8485CB" w:rsidR="00330BDF" w:rsidRDefault="00330BDF" w:rsidP="00803DB6">
      <w:pPr>
        <w:spacing w:after="0" w:line="276" w:lineRule="auto"/>
        <w:jc w:val="both"/>
        <w:rPr>
          <w:rFonts w:ascii="Verdana" w:eastAsia="Century Gothic" w:hAnsi="Verdana" w:cs="Century Gothic"/>
        </w:rPr>
      </w:pPr>
      <w:r w:rsidRPr="00D22F9B">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D22F9B">
        <w:rPr>
          <w:rFonts w:ascii="Verdana" w:eastAsia="Century Gothic" w:hAnsi="Verdana" w:cs="Century Gothic"/>
        </w:rPr>
        <w:t xml:space="preserve"> siguiente problema jurídico</w:t>
      </w:r>
      <w:r>
        <w:rPr>
          <w:rFonts w:ascii="Verdana" w:eastAsia="Century Gothic" w:hAnsi="Verdana" w:cs="Century Gothic"/>
        </w:rPr>
        <w:t xml:space="preserve">: ¿Resultan </w:t>
      </w:r>
      <w:r w:rsidRPr="001059DC">
        <w:rPr>
          <w:rFonts w:ascii="Verdana" w:eastAsia="Century Gothic" w:hAnsi="Verdana" w:cs="Century Gothic"/>
        </w:rPr>
        <w:t>aplicables a las Empresas Sociales del Estado las excepciones previstas en el artículo 33 de la Ley 996 de 2005 (Ley de Garantías Electorales), que permiten la celebración de contratos mediante la modalidad de contratación directa</w:t>
      </w:r>
      <w:r w:rsidR="00803DB6">
        <w:rPr>
          <w:rFonts w:ascii="Verdana" w:eastAsia="Century Gothic" w:hAnsi="Verdana" w:cs="Century Gothic"/>
        </w:rPr>
        <w:t xml:space="preserve"> durante el periodo en que aplican</w:t>
      </w:r>
      <w:r>
        <w:rPr>
          <w:rFonts w:ascii="Verdana" w:eastAsia="Century Gothic" w:hAnsi="Verdana" w:cs="Century Gothic"/>
        </w:rPr>
        <w:t>?</w:t>
      </w:r>
    </w:p>
    <w:p w14:paraId="41E4AA8D" w14:textId="77777777" w:rsidR="00803DB6" w:rsidRDefault="00803DB6" w:rsidP="00EA612E">
      <w:pPr>
        <w:spacing w:after="0" w:line="276" w:lineRule="auto"/>
        <w:jc w:val="both"/>
        <w:rPr>
          <w:rFonts w:ascii="Verdana" w:eastAsia="Century Gothic" w:hAnsi="Verdana" w:cs="Century Gothic"/>
        </w:rPr>
      </w:pPr>
    </w:p>
    <w:p w14:paraId="262CF8BD" w14:textId="2D3E71B9" w:rsidR="00330BDF" w:rsidRPr="00D22F9B" w:rsidRDefault="00330BDF" w:rsidP="00EA612E">
      <w:pPr>
        <w:pStyle w:val="Prrafodelista"/>
        <w:numPr>
          <w:ilvl w:val="0"/>
          <w:numId w:val="19"/>
        </w:numPr>
        <w:tabs>
          <w:tab w:val="left" w:pos="142"/>
          <w:tab w:val="left" w:pos="284"/>
        </w:tabs>
        <w:spacing w:after="0" w:line="276" w:lineRule="auto"/>
        <w:contextualSpacing w:val="0"/>
        <w:jc w:val="both"/>
        <w:rPr>
          <w:rFonts w:ascii="Verdana" w:eastAsia="Century Gothic" w:hAnsi="Verdana" w:cs="Century Gothic"/>
          <w:b/>
          <w:bCs/>
        </w:rPr>
      </w:pPr>
      <w:r w:rsidRPr="00D22F9B">
        <w:rPr>
          <w:rFonts w:ascii="Verdana" w:eastAsia="Century Gothic" w:hAnsi="Verdana" w:cs="Century Gothic"/>
          <w:b/>
          <w:bCs/>
        </w:rPr>
        <w:t>Respuesta:</w:t>
      </w:r>
    </w:p>
    <w:p w14:paraId="264F2A5A" w14:textId="77777777" w:rsidR="00330BDF" w:rsidRPr="00D22F9B" w:rsidRDefault="00330BDF" w:rsidP="00803DB6">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267FB" w:rsidRPr="00D22F9B" w14:paraId="1C748295" w14:textId="77777777" w:rsidTr="009C7F78">
        <w:trPr>
          <w:jc w:val="center"/>
        </w:trPr>
        <w:tc>
          <w:tcPr>
            <w:tcW w:w="8828" w:type="dxa"/>
          </w:tcPr>
          <w:p w14:paraId="4618814E" w14:textId="4A6B32C3" w:rsidR="00330BDF" w:rsidRPr="001F1A8B" w:rsidRDefault="00330BDF" w:rsidP="00190526">
            <w:pPr>
              <w:spacing w:after="120" w:line="276" w:lineRule="auto"/>
              <w:jc w:val="both"/>
              <w:rPr>
                <w:rFonts w:ascii="Verdana" w:eastAsia="Calibri" w:hAnsi="Verdana" w:cs="Arial"/>
              </w:rPr>
            </w:pPr>
            <w:bookmarkStart w:id="3" w:name="_Hlk171694685"/>
            <w:r w:rsidRPr="001F1A8B">
              <w:rPr>
                <w:rFonts w:ascii="Verdana" w:eastAsia="Calibri" w:hAnsi="Verdana" w:cs="Arial"/>
              </w:rPr>
              <w:t>En relación con el problema jurídico formulado y conforme a lo previsto en el artículo 33 de la Ley 996 de 2005, el legislador estableció excepciones puntuales a la prohibición general de celebrar contratos mediante la modalidad de contratación directa durante el período preelectoral</w:t>
            </w:r>
            <w:r w:rsidR="00190526">
              <w:rPr>
                <w:rFonts w:ascii="Verdana" w:eastAsia="Calibri" w:hAnsi="Verdana" w:cs="Arial"/>
              </w:rPr>
              <w:t xml:space="preserve"> de la presidencia de la </w:t>
            </w:r>
            <w:r w:rsidR="00A063BC">
              <w:rPr>
                <w:rFonts w:ascii="Verdana" w:eastAsia="Calibri" w:hAnsi="Verdana" w:cs="Arial"/>
              </w:rPr>
              <w:t>R</w:t>
            </w:r>
            <w:r w:rsidR="00190526">
              <w:rPr>
                <w:rFonts w:ascii="Verdana" w:eastAsia="Calibri" w:hAnsi="Verdana" w:cs="Arial"/>
              </w:rPr>
              <w:t>epublica</w:t>
            </w:r>
            <w:r w:rsidRPr="001F1A8B">
              <w:rPr>
                <w:rFonts w:ascii="Verdana" w:eastAsia="Calibri" w:hAnsi="Verdana" w:cs="Arial"/>
              </w:rPr>
              <w:t>. Dichas excepciones, consagradas de manera taxativa en el inciso final de la citada disposición, habilitan a las entidades estatales para contratar sin acudir a procesos de selección pública cuando se configuren determinados supuestos de especial relevancia para el interés general.</w:t>
            </w:r>
          </w:p>
          <w:p w14:paraId="35257989" w14:textId="31D61D4A" w:rsidR="00330BDF" w:rsidRPr="001F1A8B" w:rsidRDefault="00330BDF" w:rsidP="00EA612E">
            <w:pPr>
              <w:spacing w:after="120" w:line="276" w:lineRule="auto"/>
              <w:ind w:firstLine="709"/>
              <w:jc w:val="both"/>
              <w:rPr>
                <w:rFonts w:ascii="Verdana" w:eastAsia="Calibri" w:hAnsi="Verdana" w:cs="Arial"/>
              </w:rPr>
            </w:pPr>
            <w:r w:rsidRPr="001F1A8B">
              <w:rPr>
                <w:rFonts w:ascii="Verdana" w:eastAsia="Calibri" w:hAnsi="Verdana" w:cs="Arial"/>
              </w:rPr>
              <w:t>Entre estos eventos se encuentran los contratos destinados a garantizar la defensa y seguridad del Estado, las operaciones de crédito público, así como aquellos requeridos para la atención de emergencias en los sectores educativo</w:t>
            </w:r>
            <w:r w:rsidR="003D64E6">
              <w:rPr>
                <w:rFonts w:ascii="Verdana" w:eastAsia="Calibri" w:hAnsi="Verdana" w:cs="Arial"/>
              </w:rPr>
              <w:t>,</w:t>
            </w:r>
            <w:r w:rsidR="008D73B3">
              <w:rPr>
                <w:rFonts w:ascii="Verdana" w:eastAsia="Calibri" w:hAnsi="Verdana" w:cs="Arial"/>
              </w:rPr>
              <w:t xml:space="preserve"> </w:t>
            </w:r>
            <w:r w:rsidRPr="001F1A8B">
              <w:rPr>
                <w:rFonts w:ascii="Verdana" w:eastAsia="Calibri" w:hAnsi="Verdana" w:cs="Arial"/>
              </w:rPr>
              <w:t>sanitario o para enfrentar situaciones derivadas de desastres. Igualmente, la norma permite la contratación directa en los casos orientados a la reconstrucción de infraestructura vial, energética o de comunicaciones que haya resultado afectada por atentados, acciones terroristas, desastres naturales o eventos de fuerza mayor</w:t>
            </w:r>
            <w:r w:rsidR="00B146A6">
              <w:rPr>
                <w:rFonts w:ascii="Verdana" w:eastAsia="Calibri" w:hAnsi="Verdana" w:cs="Arial"/>
              </w:rPr>
              <w:t>, así como aquellos contratos necesarios para garantizar la operatividad y funcionalidad de las entidades del sector salud y hospitalario.</w:t>
            </w:r>
          </w:p>
          <w:p w14:paraId="79B43B55" w14:textId="043EB06B" w:rsidR="00330BDF" w:rsidRDefault="00330BDF" w:rsidP="00EA612E">
            <w:pPr>
              <w:spacing w:after="120" w:line="276" w:lineRule="auto"/>
              <w:ind w:firstLine="709"/>
              <w:jc w:val="both"/>
              <w:rPr>
                <w:rFonts w:ascii="Verdana" w:eastAsia="Calibri" w:hAnsi="Verdana" w:cs="Arial"/>
              </w:rPr>
            </w:pPr>
            <w:r w:rsidRPr="001F1A8B">
              <w:rPr>
                <w:rFonts w:ascii="Verdana" w:eastAsia="Calibri" w:hAnsi="Verdana" w:cs="Arial"/>
              </w:rPr>
              <w:t xml:space="preserve">De manera particular, </w:t>
            </w:r>
            <w:r w:rsidR="00D61B4F">
              <w:rPr>
                <w:rFonts w:ascii="Verdana" w:eastAsia="Calibri" w:hAnsi="Verdana" w:cs="Arial"/>
              </w:rPr>
              <w:t xml:space="preserve">conforme a la consulta que nos ocupa, </w:t>
            </w:r>
            <w:r w:rsidRPr="001F1A8B">
              <w:rPr>
                <w:rFonts w:ascii="Verdana" w:eastAsia="Calibri" w:hAnsi="Verdana" w:cs="Arial"/>
              </w:rPr>
              <w:t>merece un énfasis especial la excepción relativa a los contratos necesarios para las entidades del sector salud y hospitalario. Esta previsión responde al carácter esencial e ininterrumpido del servicio público de salud, cuyo cumplimiento no admite dilaciones derivadas de restricciones electorales, en la medida en que se encuentra directamente ligado a la protección de derechos fundamentales como la vida, la integridad personal y la salud. En este sentido, el legislador reconoció que la paralización o limitación de la actividad contractual en este sector podría comprometer gravemente la prestación del servicio y, por ende, el interés general.</w:t>
            </w:r>
          </w:p>
          <w:p w14:paraId="4EA30327" w14:textId="6849AEA2" w:rsidR="00C01C95" w:rsidRPr="001F1A8B" w:rsidRDefault="00C01C95" w:rsidP="00EA612E">
            <w:pPr>
              <w:spacing w:after="120" w:line="276" w:lineRule="auto"/>
              <w:ind w:firstLine="709"/>
              <w:jc w:val="both"/>
              <w:rPr>
                <w:rFonts w:ascii="Verdana" w:eastAsia="Calibri" w:hAnsi="Verdana" w:cs="Arial"/>
              </w:rPr>
            </w:pPr>
            <w:r w:rsidRPr="00C01C95">
              <w:rPr>
                <w:rFonts w:ascii="Verdana" w:eastAsia="Calibri" w:hAnsi="Verdana" w:cs="Arial"/>
              </w:rPr>
              <w:t xml:space="preserve">En conclusión, de la </w:t>
            </w:r>
            <w:r w:rsidR="00190526">
              <w:rPr>
                <w:rFonts w:ascii="Verdana" w:eastAsia="Calibri" w:hAnsi="Verdana" w:cs="Arial"/>
              </w:rPr>
              <w:t>lectura taxativa</w:t>
            </w:r>
            <w:r w:rsidRPr="00C01C95">
              <w:rPr>
                <w:rFonts w:ascii="Verdana" w:eastAsia="Calibri" w:hAnsi="Verdana" w:cs="Arial"/>
              </w:rPr>
              <w:t xml:space="preserve"> del artículo 33 de la Ley 996 de 2005 se infiere que la excepción a la prohibición de contratar durante el período preelectoral cobija a las entidades hospitalarias, categoría en la que se inscriben las Empresas Sociales del Estado y aquellas instituciones públicas que, aun sin haber culminado el proceso de reestructuración previsto en la Ley 100 de 1993, prestan de manera directa servicios de salud. En tal medida, dichas entidades se encuentran jurídicamente habilitadas para celebrar contratos bajo la modalidad de contratación directa,</w:t>
            </w:r>
            <w:r w:rsidR="00EB76D7">
              <w:rPr>
                <w:rFonts w:ascii="Verdana" w:eastAsia="Calibri" w:hAnsi="Verdana" w:cs="Arial"/>
              </w:rPr>
              <w:t xml:space="preserve"> durante la vigencia de la prohibición,</w:t>
            </w:r>
            <w:r w:rsidRPr="00C01C95">
              <w:rPr>
                <w:rFonts w:ascii="Verdana" w:eastAsia="Calibri" w:hAnsi="Verdana" w:cs="Arial"/>
              </w:rPr>
              <w:t xml:space="preserve"> conforme a las reglas y procedimientos previstos en sus respectivos manuales de contratación, sin que les sea oponible la restricción general establecida por la Ley de Garantías Electorales, en atención a la naturaleza esencial y continua del servicio público de salud que están llamadas a garantizar.</w:t>
            </w:r>
          </w:p>
          <w:p w14:paraId="12551F6C" w14:textId="77777777" w:rsidR="00330BDF" w:rsidRPr="001F1A8B" w:rsidRDefault="00330BDF" w:rsidP="00EA612E">
            <w:pPr>
              <w:spacing w:after="120" w:line="276" w:lineRule="auto"/>
              <w:ind w:firstLine="709"/>
              <w:jc w:val="both"/>
              <w:rPr>
                <w:rFonts w:ascii="Verdana" w:eastAsia="Calibri" w:hAnsi="Verdana" w:cs="Arial"/>
              </w:rPr>
            </w:pPr>
            <w:r w:rsidRPr="001F1A8B">
              <w:rPr>
                <w:rFonts w:ascii="Verdana" w:eastAsia="Calibri" w:hAnsi="Verdana" w:cs="Arial"/>
              </w:rPr>
              <w:t>Así, la excepción en comento no solo se justifica por razones de urgencia, sino también por la necesidad de garantizar la continuidad en la prestación de los servicios de salud, el suministro oportuno de bienes y servicios médicos y el adecuado funcionamiento de la red hospitalaria, aun en contextos de restricción electoral.</w:t>
            </w:r>
          </w:p>
          <w:p w14:paraId="66A3294E" w14:textId="77777777" w:rsidR="00330BDF" w:rsidRPr="001F1A8B" w:rsidRDefault="00330BDF" w:rsidP="00EA612E">
            <w:pPr>
              <w:spacing w:after="120" w:line="276" w:lineRule="auto"/>
              <w:ind w:firstLine="709"/>
              <w:jc w:val="both"/>
              <w:rPr>
                <w:rFonts w:ascii="Verdana" w:eastAsia="Calibri" w:hAnsi="Verdana" w:cs="Arial"/>
              </w:rPr>
            </w:pPr>
            <w:r w:rsidRPr="001F1A8B">
              <w:rPr>
                <w:rFonts w:ascii="Verdana" w:eastAsia="Calibri" w:hAnsi="Verdana" w:cs="Arial"/>
              </w:rPr>
              <w:t>Sin perjuicio de lo anterior, es deber de cada entidad pública efectuar un análisis serio, objetivo y debidamente motivado de la naturaleza y finalidad del contrato que pretende celebrar, a fin de constatar que este se enmarca efectivamente dentro de las excepciones legales previstas. Solo en la medida en que se cumpla dicho examen resultará procedente la contratación directa, en observancia de los principios de legalidad, necesidad, proporcionalidad y responsabilidad que rigen la función administrativa</w:t>
            </w:r>
            <w:r>
              <w:rPr>
                <w:rFonts w:ascii="Verdana" w:eastAsia="Calibri" w:hAnsi="Verdana" w:cs="Arial"/>
              </w:rPr>
              <w:t>.</w:t>
            </w:r>
          </w:p>
        </w:tc>
      </w:tr>
    </w:tbl>
    <w:p w14:paraId="3CC26186" w14:textId="77777777" w:rsidR="00330BDF" w:rsidRPr="00D22F9B" w:rsidRDefault="00330BDF" w:rsidP="00EB76D7">
      <w:pPr>
        <w:tabs>
          <w:tab w:val="left" w:pos="142"/>
          <w:tab w:val="left" w:pos="284"/>
        </w:tabs>
        <w:spacing w:after="0" w:line="276" w:lineRule="auto"/>
        <w:jc w:val="both"/>
        <w:rPr>
          <w:rFonts w:ascii="Verdana" w:eastAsia="Century Gothic" w:hAnsi="Verdana" w:cs="Century Gothic"/>
          <w:b/>
          <w:bCs/>
        </w:rPr>
      </w:pPr>
    </w:p>
    <w:bookmarkEnd w:id="3"/>
    <w:p w14:paraId="082431E4" w14:textId="77777777" w:rsidR="00330BDF" w:rsidRDefault="00330BDF" w:rsidP="00EA612E">
      <w:pPr>
        <w:pStyle w:val="Prrafodelista"/>
        <w:numPr>
          <w:ilvl w:val="0"/>
          <w:numId w:val="19"/>
        </w:numPr>
        <w:tabs>
          <w:tab w:val="left" w:pos="142"/>
          <w:tab w:val="left" w:pos="284"/>
        </w:tabs>
        <w:spacing w:after="0" w:line="276" w:lineRule="auto"/>
        <w:contextualSpacing w:val="0"/>
        <w:jc w:val="both"/>
        <w:rPr>
          <w:rFonts w:ascii="Verdana" w:eastAsia="Century Gothic" w:hAnsi="Verdana" w:cs="Century Gothic"/>
          <w:b/>
          <w:bCs/>
        </w:rPr>
      </w:pPr>
      <w:r w:rsidRPr="00D22F9B">
        <w:rPr>
          <w:rFonts w:ascii="Verdana" w:eastAsia="Century Gothic" w:hAnsi="Verdana" w:cs="Century Gothic"/>
          <w:b/>
          <w:bCs/>
        </w:rPr>
        <w:t>Razones de las respuestas:</w:t>
      </w:r>
    </w:p>
    <w:p w14:paraId="42734809" w14:textId="77777777" w:rsidR="00EB76D7" w:rsidRDefault="00EB76D7" w:rsidP="00EB76D7">
      <w:pPr>
        <w:spacing w:after="0" w:line="276" w:lineRule="auto"/>
        <w:jc w:val="both"/>
        <w:rPr>
          <w:rFonts w:ascii="Verdana" w:eastAsia="Calibri" w:hAnsi="Verdana" w:cs="Arial"/>
        </w:rPr>
      </w:pPr>
    </w:p>
    <w:p w14:paraId="1CF81202" w14:textId="2DAC34D3" w:rsidR="00330BDF" w:rsidRPr="00EA612E" w:rsidRDefault="00330BDF" w:rsidP="00EA612E">
      <w:pPr>
        <w:spacing w:after="0" w:line="276" w:lineRule="auto"/>
        <w:jc w:val="both"/>
        <w:rPr>
          <w:rFonts w:ascii="Verdana" w:eastAsia="Calibri" w:hAnsi="Verdana" w:cs="Arial"/>
        </w:rPr>
      </w:pPr>
      <w:r w:rsidRPr="00EA612E">
        <w:rPr>
          <w:rFonts w:ascii="Verdana" w:eastAsia="Calibri" w:hAnsi="Verdana" w:cs="Arial"/>
        </w:rPr>
        <w:t xml:space="preserve">Lo anterior se sustenta en las siguientes consideraciones: </w:t>
      </w:r>
    </w:p>
    <w:p w14:paraId="0C9C45A8" w14:textId="77777777" w:rsidR="00EB76D7" w:rsidRDefault="00EB76D7" w:rsidP="00EB76D7">
      <w:pPr>
        <w:tabs>
          <w:tab w:val="left" w:pos="426"/>
        </w:tabs>
        <w:spacing w:after="120" w:line="276" w:lineRule="auto"/>
        <w:jc w:val="both"/>
        <w:rPr>
          <w:rFonts w:ascii="Verdana" w:eastAsia="Calibri" w:hAnsi="Verdana" w:cs="Arial"/>
        </w:rPr>
      </w:pPr>
    </w:p>
    <w:p w14:paraId="73D79E94" w14:textId="5B9F62C0" w:rsidR="00330BDF" w:rsidRPr="002D6B43" w:rsidRDefault="00330BDF" w:rsidP="00EA612E">
      <w:pPr>
        <w:tabs>
          <w:tab w:val="left" w:pos="426"/>
        </w:tabs>
        <w:spacing w:after="120" w:line="276" w:lineRule="auto"/>
        <w:jc w:val="both"/>
        <w:rPr>
          <w:rFonts w:ascii="Verdana" w:eastAsia="Times New Roman" w:hAnsi="Verdana" w:cs="Arial"/>
          <w:lang w:eastAsia="es-CO"/>
        </w:rPr>
      </w:pPr>
      <w:r>
        <w:rPr>
          <w:rFonts w:ascii="Verdana" w:eastAsia="Calibri" w:hAnsi="Verdana" w:cs="Arial"/>
        </w:rPr>
        <w:t xml:space="preserve">El </w:t>
      </w:r>
      <w:r w:rsidRPr="002D6B43">
        <w:rPr>
          <w:rFonts w:ascii="Verdana" w:eastAsia="Calibri" w:hAnsi="Verdana" w:cs="Arial"/>
        </w:rPr>
        <w:t>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1"/>
      </w:r>
      <w:r w:rsidRPr="002D6B43">
        <w:rPr>
          <w:rFonts w:ascii="Verdana" w:eastAsia="Calibri" w:hAnsi="Verdana" w:cs="Arial"/>
        </w:rPr>
        <w:t xml:space="preserve">. </w:t>
      </w:r>
    </w:p>
    <w:p w14:paraId="31EB9B63" w14:textId="77777777" w:rsidR="00330BDF" w:rsidRDefault="00330BDF" w:rsidP="00330BDF">
      <w:pPr>
        <w:tabs>
          <w:tab w:val="left" w:pos="426"/>
        </w:tabs>
        <w:spacing w:after="120" w:line="276" w:lineRule="auto"/>
        <w:ind w:firstLine="709"/>
        <w:jc w:val="both"/>
        <w:rPr>
          <w:rFonts w:ascii="Verdana" w:eastAsia="Calibri" w:hAnsi="Verdana" w:cs="Arial"/>
          <w:lang w:val="es-ES"/>
        </w:rPr>
      </w:pPr>
      <w:bookmarkStart w:id="4" w:name="_Hlk99576829"/>
      <w:r>
        <w:rPr>
          <w:rFonts w:ascii="Verdana" w:eastAsia="Times New Roman" w:hAnsi="Verdana" w:cs="Arial"/>
          <w:lang w:val="es-MX" w:eastAsia="es-CO"/>
        </w:rPr>
        <w:t>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2"/>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3A5322BA">
        <w:rPr>
          <w:rFonts w:ascii="Verdana" w:eastAsia="Calibri" w:hAnsi="Verdana" w:cs="Arial"/>
          <w:lang w:val="es-ES"/>
        </w:rPr>
        <w:t xml:space="preserve"> </w:t>
      </w:r>
      <w:bookmarkEnd w:id="4"/>
    </w:p>
    <w:p w14:paraId="36B4F61D" w14:textId="50EC50E8" w:rsidR="00330BDF" w:rsidRPr="006B14B5" w:rsidRDefault="000010FA" w:rsidP="00330BDF">
      <w:pPr>
        <w:tabs>
          <w:tab w:val="left" w:pos="426"/>
        </w:tabs>
        <w:spacing w:after="0" w:line="276" w:lineRule="auto"/>
        <w:ind w:firstLine="709"/>
        <w:jc w:val="both"/>
        <w:rPr>
          <w:rFonts w:ascii="Verdana" w:eastAsia="Calibri" w:hAnsi="Verdana" w:cs="Arial"/>
          <w:lang w:val="es-ES_tradnl"/>
        </w:rPr>
      </w:pPr>
      <w:r>
        <w:rPr>
          <w:rFonts w:ascii="Verdana" w:eastAsia="Times New Roman" w:hAnsi="Verdana" w:cs="Arial"/>
          <w:lang w:val="es-MX" w:eastAsia="es-CO"/>
        </w:rPr>
        <w:t>L</w:t>
      </w:r>
      <w:r w:rsidR="00330BDF" w:rsidRPr="00E2397D">
        <w:rPr>
          <w:rFonts w:ascii="Verdana" w:eastAsia="Times New Roman" w:hAnsi="Verdana" w:cs="Arial"/>
          <w:lang w:val="es-MX" w:eastAsia="es-CO"/>
        </w:rPr>
        <w:t>a Corte Constitucional ha abordado la definición de la Ley de Garantías Electorales. De esta manera, explica que tiene como propósito:</w:t>
      </w:r>
    </w:p>
    <w:p w14:paraId="57528582" w14:textId="77777777" w:rsidR="00330BDF" w:rsidRPr="00E2397D" w:rsidRDefault="00330BDF" w:rsidP="00330BDF">
      <w:pPr>
        <w:spacing w:after="0" w:line="276" w:lineRule="auto"/>
        <w:ind w:right="709"/>
        <w:contextualSpacing/>
        <w:jc w:val="both"/>
        <w:rPr>
          <w:rFonts w:ascii="Verdana" w:eastAsia="Times New Roman" w:hAnsi="Verdana" w:cs="Arial"/>
          <w:lang w:val="es-ES" w:eastAsia="es-CO"/>
        </w:rPr>
      </w:pPr>
    </w:p>
    <w:p w14:paraId="13D8B74D" w14:textId="77777777" w:rsidR="00330BDF" w:rsidRPr="00E2397D" w:rsidRDefault="00330BDF" w:rsidP="004B20F9">
      <w:pPr>
        <w:spacing w:line="240" w:lineRule="auto"/>
        <w:ind w:left="709" w:right="709"/>
        <w:contextualSpacing/>
        <w:jc w:val="both"/>
        <w:rPr>
          <w:rFonts w:ascii="Verdana" w:eastAsia="Times New Roman" w:hAnsi="Verdana" w:cs="Arial"/>
          <w:sz w:val="20"/>
          <w:szCs w:val="20"/>
          <w:lang w:val="es-MX" w:eastAsia="es-CO"/>
        </w:rPr>
      </w:pPr>
      <w:r w:rsidRPr="005F0BEC">
        <w:rPr>
          <w:rFonts w:ascii="Verdana" w:eastAsia="Times New Roman" w:hAnsi="Verdana" w:cs="Arial"/>
          <w:sz w:val="20"/>
          <w:szCs w:val="20"/>
          <w:lang w:val="es-MX"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7BFCCE19" w14:textId="77777777" w:rsidR="00330BDF" w:rsidRPr="00E2397D" w:rsidRDefault="00330BDF" w:rsidP="004B20F9">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06A2C104" w14:textId="5F337D80" w:rsidR="00775ADB" w:rsidRDefault="00632BE6" w:rsidP="00F021F2">
      <w:pPr>
        <w:tabs>
          <w:tab w:val="left" w:pos="426"/>
        </w:tabs>
        <w:spacing w:after="0" w:line="240" w:lineRule="auto"/>
        <w:ind w:left="709" w:right="758"/>
        <w:jc w:val="both"/>
        <w:rPr>
          <w:rFonts w:ascii="Verdana" w:eastAsia="Times New Roman" w:hAnsi="Verdana" w:cs="Arial"/>
          <w:sz w:val="20"/>
          <w:szCs w:val="20"/>
          <w:lang w:val="es-MX" w:eastAsia="es-CO"/>
        </w:rPr>
      </w:pPr>
      <w:bookmarkStart w:id="5" w:name="_Hlk78818186"/>
      <w:r w:rsidRPr="005F0BEC">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5F0BEC">
        <w:rPr>
          <w:rFonts w:ascii="Verdana" w:eastAsia="Times New Roman" w:hAnsi="Verdana" w:cs="Arial"/>
          <w:sz w:val="20"/>
          <w:szCs w:val="20"/>
          <w:vertAlign w:val="superscript"/>
          <w:lang w:val="es-MX" w:eastAsia="es-CO"/>
        </w:rPr>
        <w:footnoteReference w:id="3"/>
      </w:r>
    </w:p>
    <w:p w14:paraId="40B65955" w14:textId="77777777" w:rsidR="00F021F2" w:rsidRDefault="00F021F2" w:rsidP="00F021F2">
      <w:pPr>
        <w:tabs>
          <w:tab w:val="left" w:pos="426"/>
        </w:tabs>
        <w:spacing w:after="0" w:line="240" w:lineRule="auto"/>
        <w:ind w:left="709" w:right="758"/>
        <w:jc w:val="both"/>
        <w:rPr>
          <w:rFonts w:ascii="Verdana" w:eastAsia="Times New Roman" w:hAnsi="Verdana" w:cs="Arial"/>
          <w:lang w:val="es-MX" w:eastAsia="es-CO"/>
        </w:rPr>
      </w:pPr>
    </w:p>
    <w:p w14:paraId="0196B51E" w14:textId="457DD009" w:rsidR="00330BDF" w:rsidRDefault="00330BDF" w:rsidP="006A38CF">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5"/>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53D47065" w14:textId="77777777" w:rsidR="006A38CF" w:rsidRPr="00886C02" w:rsidRDefault="006A38CF" w:rsidP="006A38CF">
      <w:pPr>
        <w:spacing w:after="0" w:line="276" w:lineRule="auto"/>
        <w:ind w:firstLine="709"/>
        <w:jc w:val="both"/>
        <w:rPr>
          <w:rFonts w:ascii="Verdana" w:eastAsia="Times New Roman" w:hAnsi="Verdana" w:cs="Arial"/>
          <w:lang w:val="es-MX" w:eastAsia="es-CO"/>
        </w:rPr>
      </w:pPr>
    </w:p>
    <w:p w14:paraId="0DAF03A3" w14:textId="77777777" w:rsidR="00330BDF" w:rsidRPr="00E2397D" w:rsidRDefault="00330BDF" w:rsidP="007A1A49">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E2B3F7D" w14:textId="77777777" w:rsidR="00330BDF" w:rsidRPr="00E2397D" w:rsidRDefault="00330BDF" w:rsidP="007A1A49">
      <w:pPr>
        <w:spacing w:after="0" w:line="240" w:lineRule="auto"/>
        <w:ind w:right="709"/>
        <w:contextualSpacing/>
        <w:jc w:val="both"/>
        <w:rPr>
          <w:rFonts w:ascii="Verdana" w:eastAsia="Times New Roman" w:hAnsi="Verdana" w:cs="Arial"/>
          <w:lang w:val="es-MX" w:eastAsia="es-CO"/>
        </w:rPr>
      </w:pPr>
    </w:p>
    <w:p w14:paraId="2C2F5107" w14:textId="77777777" w:rsidR="00330BDF" w:rsidRDefault="00330BDF" w:rsidP="006A38CF">
      <w:pPr>
        <w:spacing w:after="0" w:line="240" w:lineRule="auto"/>
        <w:ind w:left="709" w:right="618"/>
        <w:jc w:val="both"/>
        <w:rPr>
          <w:rFonts w:ascii="Verdana" w:eastAsia="Times New Roman" w:hAnsi="Verdana" w:cs="Arial"/>
          <w:sz w:val="20"/>
          <w:szCs w:val="20"/>
          <w:lang w:val="es-MX" w:eastAsia="es-CO"/>
        </w:rPr>
      </w:pPr>
      <w:r w:rsidRPr="00850B54">
        <w:rPr>
          <w:rFonts w:ascii="Verdana" w:eastAsia="Times New Roman" w:hAnsi="Verdana" w:cs="Arial"/>
          <w:sz w:val="20"/>
          <w:szCs w:val="20"/>
          <w:lang w:val="es-MX" w:eastAsia="es-CO"/>
        </w:rPr>
        <w:t>La jurisprudencia de la Corte Constitucional</w:t>
      </w:r>
      <w:r w:rsidRPr="00850B54">
        <w:rPr>
          <w:rFonts w:ascii="Verdana" w:eastAsia="Times New Roman" w:hAnsi="Verdana" w:cs="Arial"/>
          <w:sz w:val="20"/>
          <w:szCs w:val="20"/>
          <w:lang w:val="es-MX" w:eastAsia="es-CO"/>
        </w:rPr>
        <w:footnoteReference w:id="4"/>
      </w:r>
      <w:r w:rsidRPr="00850B54">
        <w:rPr>
          <w:rFonts w:ascii="Verdana" w:eastAsia="Times New Roman" w:hAnsi="Verdana" w:cs="Arial"/>
          <w:sz w:val="20"/>
          <w:szCs w:val="20"/>
          <w:lang w:val="es-MX" w:eastAsia="es-CO"/>
        </w:rPr>
        <w:t> y del Consejo de Estado</w:t>
      </w:r>
      <w:r w:rsidRPr="00850B54">
        <w:rPr>
          <w:rFonts w:ascii="Verdana" w:eastAsia="Times New Roman" w:hAnsi="Verdana" w:cs="Arial"/>
          <w:sz w:val="20"/>
          <w:szCs w:val="20"/>
          <w:lang w:val="es-MX" w:eastAsia="es-CO"/>
        </w:rPr>
        <w:footnoteReference w:id="5"/>
      </w:r>
      <w:r w:rsidRPr="00850B54">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850B54">
        <w:rPr>
          <w:rFonts w:ascii="Verdana" w:eastAsia="Times New Roman" w:hAnsi="Verdana" w:cs="Arial"/>
          <w:sz w:val="20"/>
          <w:szCs w:val="20"/>
          <w:vertAlign w:val="superscript"/>
          <w:lang w:val="es-MX" w:eastAsia="es-CO"/>
        </w:rPr>
        <w:footnoteReference w:id="6"/>
      </w:r>
      <w:r w:rsidRPr="00850B54">
        <w:rPr>
          <w:rFonts w:ascii="Verdana" w:eastAsia="Times New Roman" w:hAnsi="Verdana" w:cs="Arial"/>
          <w:sz w:val="20"/>
          <w:szCs w:val="20"/>
          <w:lang w:val="es-MX" w:eastAsia="es-CO"/>
        </w:rPr>
        <w:t>.</w:t>
      </w:r>
    </w:p>
    <w:p w14:paraId="72860305" w14:textId="77777777" w:rsidR="006A38CF" w:rsidRPr="00850B54" w:rsidRDefault="006A38CF" w:rsidP="006A38CF">
      <w:pPr>
        <w:spacing w:after="0" w:line="240" w:lineRule="auto"/>
        <w:ind w:left="709" w:right="618"/>
        <w:jc w:val="both"/>
        <w:rPr>
          <w:rFonts w:ascii="Verdana" w:eastAsia="Times New Roman" w:hAnsi="Verdana" w:cs="Arial"/>
          <w:sz w:val="20"/>
          <w:szCs w:val="20"/>
          <w:lang w:val="es-MX" w:eastAsia="es-CO"/>
        </w:rPr>
      </w:pPr>
    </w:p>
    <w:p w14:paraId="09A3AD5E" w14:textId="77777777" w:rsidR="00330BDF" w:rsidRPr="00E2397D" w:rsidRDefault="00330BDF" w:rsidP="00330BDF">
      <w:pPr>
        <w:spacing w:line="276" w:lineRule="auto"/>
        <w:ind w:firstLine="709"/>
        <w:jc w:val="both"/>
        <w:rPr>
          <w:rFonts w:ascii="Verdana" w:eastAsia="Arial" w:hAnsi="Verdana" w:cs="Arial"/>
          <w:lang w:val="es-ES" w:eastAsia="es-ES" w:bidi="es-ES"/>
        </w:rPr>
      </w:pPr>
      <w:r w:rsidRPr="00850B54">
        <w:rPr>
          <w:rFonts w:ascii="Verdana" w:eastAsia="Arial" w:hAnsi="Verdana" w:cs="Arial"/>
          <w:lang w:val="es-ES" w:eastAsia="es-ES" w:bidi="es-ES"/>
        </w:rPr>
        <w:t>De</w:t>
      </w:r>
      <w:r w:rsidRPr="00E2397D">
        <w:rPr>
          <w:rFonts w:ascii="Verdana" w:eastAsia="Arial" w:hAnsi="Verdana" w:cs="Arial"/>
          <w:lang w:val="es-ES" w:eastAsia="es-ES" w:bidi="es-ES"/>
        </w:rPr>
        <w:t xml:space="preserve"> conformidad con lo anterior, </w:t>
      </w:r>
      <w:bookmarkStart w:id="6" w:name="_Hlk77236098"/>
      <w:bookmarkStart w:id="7"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673E92B3" w14:textId="77777777" w:rsidR="00330BDF" w:rsidRDefault="00330BDF" w:rsidP="00330BDF">
      <w:pPr>
        <w:spacing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6"/>
    </w:p>
    <w:p w14:paraId="668ED147" w14:textId="77777777" w:rsidR="00330BDF" w:rsidRPr="00E2397D" w:rsidRDefault="00330BDF" w:rsidP="00330BDF">
      <w:pPr>
        <w:spacing w:line="276" w:lineRule="auto"/>
        <w:ind w:firstLine="709"/>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7"/>
      </w:r>
      <w:r w:rsidRPr="00E2397D">
        <w:rPr>
          <w:rFonts w:ascii="Verdana" w:eastAsia="Calibri" w:hAnsi="Verdana" w:cs="Arial"/>
        </w:rPr>
        <w:t>.</w:t>
      </w:r>
    </w:p>
    <w:p w14:paraId="0FFF76B3" w14:textId="77777777" w:rsidR="00330BDF" w:rsidRDefault="00330BDF" w:rsidP="00330BDF">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bookmarkEnd w:id="7"/>
      <w:r w:rsidRPr="00E2397D">
        <w:rPr>
          <w:rFonts w:ascii="Verdana" w:eastAsia="Calibri" w:hAnsi="Verdana" w:cs="Arial"/>
          <w:vertAlign w:val="superscript"/>
        </w:rPr>
        <w:footnoteReference w:id="8"/>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567965B3" w14:textId="77777777" w:rsidR="00330BDF" w:rsidRPr="00E2397D" w:rsidRDefault="00330BDF" w:rsidP="00330BDF">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3A5322BA">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0A3F7878" w14:textId="77777777" w:rsidR="00330BDF" w:rsidRPr="00E2397D" w:rsidRDefault="00330BDF" w:rsidP="00330BDF">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3FFD5169" w14:textId="77777777" w:rsidR="00330BDF" w:rsidRPr="00E2397D" w:rsidRDefault="00330BDF" w:rsidP="00330BDF">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w:t>
      </w:r>
      <w:r w:rsidRPr="3A5322BA">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E2397D">
        <w:rPr>
          <w:rFonts w:ascii="Verdana" w:eastAsia="Arial" w:hAnsi="Verdana" w:cs="Arial"/>
          <w:sz w:val="20"/>
          <w:szCs w:val="20"/>
          <w:lang w:eastAsia="es-ES" w:bidi="es-ES"/>
        </w:rPr>
        <w:t>”.</w:t>
      </w:r>
      <w:r w:rsidRPr="00E2397D">
        <w:rPr>
          <w:rFonts w:ascii="Verdana" w:eastAsia="Arial" w:hAnsi="Verdana" w:cs="Arial"/>
          <w:sz w:val="20"/>
          <w:szCs w:val="20"/>
          <w:vertAlign w:val="superscript"/>
          <w:lang w:eastAsia="es-ES" w:bidi="es-ES"/>
        </w:rPr>
        <w:footnoteReference w:id="9"/>
      </w:r>
    </w:p>
    <w:p w14:paraId="7428FD5C" w14:textId="77777777" w:rsidR="00330BDF" w:rsidRPr="00E2397D" w:rsidRDefault="00330BDF" w:rsidP="00330BDF">
      <w:pPr>
        <w:widowControl w:val="0"/>
        <w:autoSpaceDE w:val="0"/>
        <w:autoSpaceDN w:val="0"/>
        <w:spacing w:after="0" w:line="276" w:lineRule="auto"/>
        <w:contextualSpacing/>
        <w:rPr>
          <w:rFonts w:ascii="Verdana" w:eastAsia="Arial" w:hAnsi="Verdana" w:cs="Arial"/>
          <w:lang w:val="es-ES" w:eastAsia="es-ES" w:bidi="es-ES"/>
        </w:rPr>
      </w:pPr>
    </w:p>
    <w:p w14:paraId="638CB8EB" w14:textId="77777777" w:rsidR="00330BDF" w:rsidRPr="00E2397D" w:rsidRDefault="00330BDF" w:rsidP="00330BDF">
      <w:pPr>
        <w:spacing w:after="120" w:line="276" w:lineRule="auto"/>
        <w:ind w:firstLine="709"/>
        <w:jc w:val="both"/>
        <w:rPr>
          <w:rFonts w:ascii="Verdana" w:eastAsia="Arial" w:hAnsi="Verdana" w:cs="Arial"/>
          <w:lang w:val="es-ES" w:eastAsia="es-ES" w:bidi="es-ES"/>
        </w:rPr>
      </w:pPr>
      <w:r w:rsidRPr="3A5322BA">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3A5322BA">
        <w:rPr>
          <w:rFonts w:ascii="Verdana" w:eastAsia="Arial" w:hAnsi="Verdana" w:cs="Arial"/>
          <w:i/>
          <w:iCs/>
          <w:lang w:val="es-ES" w:eastAsia="es-ES" w:bidi="es-ES"/>
        </w:rPr>
        <w:t>En primer lugar</w:t>
      </w:r>
      <w:r w:rsidRPr="3A5322BA">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3A5322BA">
        <w:rPr>
          <w:rFonts w:ascii="Verdana" w:eastAsia="Arial" w:hAnsi="Verdana" w:cs="Arial"/>
          <w:i/>
          <w:iCs/>
          <w:lang w:val="es-ES" w:eastAsia="es-ES" w:bidi="es-ES"/>
        </w:rPr>
        <w:t>En segundo lugar</w:t>
      </w:r>
      <w:r w:rsidRPr="3A5322BA">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289EEB03" w14:textId="77777777" w:rsidR="00330BDF" w:rsidRPr="00E2397D" w:rsidRDefault="00330BDF" w:rsidP="00330BDF">
      <w:pPr>
        <w:spacing w:after="120" w:line="276" w:lineRule="auto"/>
        <w:ind w:firstLine="709"/>
        <w:jc w:val="both"/>
        <w:rPr>
          <w:rFonts w:ascii="Verdana" w:eastAsia="Arial" w:hAnsi="Verdana" w:cs="Arial"/>
          <w:lang w:val="es-ES" w:eastAsia="es-ES" w:bidi="es-ES"/>
        </w:rPr>
      </w:pPr>
      <w:r w:rsidRPr="3A5322BA">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3A5322BA">
        <w:rPr>
          <w:rFonts w:ascii="Verdana" w:eastAsia="Arial" w:hAnsi="Verdana" w:cs="Arial"/>
          <w:lang w:val="es-ES" w:eastAsia="es-ES" w:bidi="es-ES"/>
        </w:rPr>
        <w:t>Presidente</w:t>
      </w:r>
      <w:proofErr w:type="gramEnd"/>
      <w:r w:rsidRPr="3A5322BA">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3A5322BA">
        <w:rPr>
          <w:rFonts w:ascii="Verdana" w:eastAsia="Arial" w:hAnsi="Verdana" w:cs="Arial"/>
          <w:lang w:val="es-ES" w:eastAsia="es-ES" w:bidi="es-ES"/>
        </w:rPr>
        <w:t>Presidente</w:t>
      </w:r>
      <w:proofErr w:type="gramEnd"/>
      <w:r w:rsidRPr="3A5322BA">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73AA8B2F" w14:textId="77777777" w:rsidR="00330BDF" w:rsidRDefault="00330BDF" w:rsidP="00330BDF">
      <w:pPr>
        <w:spacing w:after="120" w:line="276" w:lineRule="auto"/>
        <w:ind w:firstLine="709"/>
        <w:jc w:val="both"/>
        <w:rPr>
          <w:rFonts w:ascii="Verdana" w:eastAsia="Arial" w:hAnsi="Verdana" w:cs="Arial"/>
          <w:lang w:val="es-ES" w:eastAsia="es-ES" w:bidi="es-ES"/>
        </w:rPr>
      </w:pPr>
      <w:r w:rsidRPr="3A5322BA">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3A5322BA">
        <w:rPr>
          <w:rFonts w:ascii="Verdana" w:eastAsia="Arial" w:hAnsi="Verdana" w:cs="Arial"/>
          <w:lang w:val="es-ES" w:eastAsia="es-ES" w:bidi="es-ES"/>
        </w:rPr>
        <w:t>Presidente</w:t>
      </w:r>
      <w:proofErr w:type="gramEnd"/>
      <w:r w:rsidRPr="3A5322BA">
        <w:rPr>
          <w:rFonts w:ascii="Verdana" w:eastAsia="Arial" w:hAnsi="Verdana" w:cs="Arial"/>
          <w:lang w:val="es-ES" w:eastAsia="es-ES" w:bidi="es-ES"/>
        </w:rPr>
        <w:t xml:space="preserve"> o el </w:t>
      </w:r>
      <w:proofErr w:type="gramStart"/>
      <w:r w:rsidRPr="3A5322BA">
        <w:rPr>
          <w:rFonts w:ascii="Verdana" w:eastAsia="Arial" w:hAnsi="Verdana" w:cs="Arial"/>
          <w:lang w:val="es-ES" w:eastAsia="es-ES" w:bidi="es-ES"/>
        </w:rPr>
        <w:t>Vicepresidente</w:t>
      </w:r>
      <w:proofErr w:type="gramEnd"/>
      <w:r w:rsidRPr="3A5322BA">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3A5322BA">
        <w:rPr>
          <w:rFonts w:ascii="Verdana" w:eastAsia="Arial" w:hAnsi="Verdana" w:cs="Arial"/>
          <w:lang w:val="es-ES" w:eastAsia="es-ES" w:bidi="es-ES"/>
        </w:rPr>
        <w:t>Presidente</w:t>
      </w:r>
      <w:proofErr w:type="gramEnd"/>
      <w:r w:rsidRPr="3A5322BA">
        <w:rPr>
          <w:rFonts w:ascii="Verdana" w:eastAsia="Arial" w:hAnsi="Verdana" w:cs="Arial"/>
          <w:lang w:val="es-ES" w:eastAsia="es-ES" w:bidi="es-ES"/>
        </w:rPr>
        <w:t xml:space="preserve"> y el </w:t>
      </w:r>
      <w:proofErr w:type="gramStart"/>
      <w:r w:rsidRPr="3A5322BA">
        <w:rPr>
          <w:rFonts w:ascii="Verdana" w:eastAsia="Arial" w:hAnsi="Verdana" w:cs="Arial"/>
          <w:lang w:val="es-ES" w:eastAsia="es-ES" w:bidi="es-ES"/>
        </w:rPr>
        <w:t>Vicepresidente</w:t>
      </w:r>
      <w:proofErr w:type="gramEnd"/>
      <w:r w:rsidRPr="3A5322BA">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3A5322BA">
        <w:rPr>
          <w:rFonts w:ascii="Verdana" w:eastAsia="Arial" w:hAnsi="Verdana" w:cs="Arial"/>
          <w:lang w:val="es-ES" w:eastAsia="es-ES" w:bidi="es-ES"/>
        </w:rPr>
        <w:t>Vicepresidente</w:t>
      </w:r>
      <w:proofErr w:type="gramEnd"/>
      <w:r w:rsidRPr="3A5322BA">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w:t>
      </w:r>
    </w:p>
    <w:p w14:paraId="70AA73A5" w14:textId="77777777" w:rsidR="00330BDF" w:rsidRDefault="00330BDF" w:rsidP="00330BDF">
      <w:pPr>
        <w:widowControl w:val="0"/>
        <w:spacing w:after="120" w:line="276" w:lineRule="auto"/>
        <w:ind w:right="113" w:firstLine="709"/>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56237E98" w14:textId="77777777" w:rsidR="00330BDF" w:rsidRDefault="00330BDF" w:rsidP="00330BDF">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ibídem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2ABC7E96" w14:textId="77777777" w:rsidR="00330BDF" w:rsidRDefault="00330BDF" w:rsidP="00330BDF">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6D666C51" w14:textId="2432B3A7" w:rsidR="00330BDF" w:rsidRPr="00E2397D" w:rsidRDefault="00330BDF" w:rsidP="008625CC">
      <w:pPr>
        <w:spacing w:line="276" w:lineRule="auto"/>
        <w:ind w:firstLine="708"/>
        <w:jc w:val="both"/>
        <w:rPr>
          <w:rFonts w:ascii="Verdana" w:eastAsia="Arial" w:hAnsi="Verdana" w:cs="Arial"/>
          <w:lang w:val="es-ES" w:eastAsia="es-ES" w:bidi="es-ES"/>
        </w:rPr>
      </w:pPr>
      <w:r>
        <w:rPr>
          <w:rFonts w:ascii="Verdana" w:eastAsia="Times New Roman" w:hAnsi="Verdana" w:cs="Arial"/>
          <w:bCs/>
          <w:lang w:val="es-ES" w:eastAsia="es-CO"/>
        </w:rPr>
        <w:t xml:space="preserve">Así mismo, </w:t>
      </w:r>
      <w:r>
        <w:rPr>
          <w:rFonts w:ascii="Verdana" w:eastAsia="Times New Roman" w:hAnsi="Verdana" w:cs="Arial"/>
          <w:bCs/>
          <w:lang w:val="es-MX" w:eastAsia="es-CO"/>
        </w:rPr>
        <w:t>c</w:t>
      </w:r>
      <w:r w:rsidRPr="00894384">
        <w:rPr>
          <w:rFonts w:ascii="Verdana" w:eastAsia="Times New Roman" w:hAnsi="Verdana" w:cs="Arial"/>
          <w:bCs/>
          <w:lang w:val="es-MX" w:eastAsia="es-CO"/>
        </w:rPr>
        <w:t>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10"/>
      </w:r>
      <w:r w:rsidRPr="00894384">
        <w:rPr>
          <w:rFonts w:ascii="Verdana" w:eastAsia="Times New Roman" w:hAnsi="Verdana" w:cs="Arial"/>
          <w:bCs/>
          <w:lang w:val="es-MX" w:eastAsia="es-CO"/>
        </w:rPr>
        <w:t>.</w:t>
      </w:r>
    </w:p>
    <w:p w14:paraId="0D565691" w14:textId="77777777" w:rsidR="00330BDF" w:rsidRPr="005F5922" w:rsidRDefault="00330BDF" w:rsidP="00330BDF">
      <w:pPr>
        <w:spacing w:after="0" w:line="276" w:lineRule="auto"/>
        <w:jc w:val="both"/>
        <w:rPr>
          <w:rFonts w:ascii="Verdana" w:eastAsia="Times New Roman" w:hAnsi="Verdana" w:cs="Arial"/>
          <w:i/>
          <w:lang w:val="es-MX" w:eastAsia="es-CO" w:bidi="es-ES"/>
        </w:rPr>
      </w:pPr>
      <w:r w:rsidRPr="00E2397D">
        <w:rPr>
          <w:rFonts w:ascii="Verdana" w:eastAsia="Arial" w:hAnsi="Verdana" w:cs="Arial"/>
          <w:lang w:val="es-ES" w:eastAsia="es-ES" w:bidi="es-ES"/>
        </w:rPr>
        <w:t xml:space="preserve">Ahora bien, </w:t>
      </w:r>
      <w:r w:rsidRPr="00E2397D">
        <w:rPr>
          <w:rFonts w:ascii="Verdana" w:eastAsia="Calibri" w:hAnsi="Verdana" w:cs="Arial"/>
          <w:lang w:eastAsia="es-ES" w:bidi="es-ES"/>
        </w:rPr>
        <w:t xml:space="preserve">para </w:t>
      </w:r>
      <w:r>
        <w:rPr>
          <w:rFonts w:ascii="Verdana" w:eastAsia="Calibri" w:hAnsi="Verdana" w:cs="Arial"/>
          <w:lang w:eastAsia="es-ES" w:bidi="es-ES"/>
        </w:rPr>
        <w:t xml:space="preserve">responder al problema jurídico </w:t>
      </w:r>
      <w:r w:rsidRPr="00E2397D">
        <w:rPr>
          <w:rFonts w:ascii="Verdana" w:eastAsia="Calibri" w:hAnsi="Verdana" w:cs="Arial"/>
          <w:lang w:eastAsia="es-ES" w:bidi="es-ES"/>
        </w:rPr>
        <w:t xml:space="preserve">planteado resulta necesario precisar el alcance de la prohibición </w:t>
      </w:r>
      <w:r w:rsidRPr="00E2397D">
        <w:rPr>
          <w:rFonts w:ascii="Verdana" w:eastAsia="Arial" w:hAnsi="Verdana" w:cs="Arial"/>
          <w:lang w:val="es-ES" w:eastAsia="es-ES" w:bidi="es-ES"/>
        </w:rPr>
        <w:t>establecida en e</w:t>
      </w:r>
      <w:r w:rsidRPr="00E2397D">
        <w:rPr>
          <w:rFonts w:ascii="Verdana" w:eastAsia="Calibri" w:hAnsi="Verdana" w:cs="Arial"/>
        </w:rPr>
        <w:t xml:space="preserve">l </w:t>
      </w:r>
      <w:r w:rsidRPr="3A5322BA">
        <w:rPr>
          <w:rFonts w:ascii="Verdana" w:eastAsia="Times New Roman" w:hAnsi="Verdana" w:cs="Arial"/>
          <w:lang w:val="es-MX"/>
        </w:rPr>
        <w:t>artículo 33 de la Ley 996 de 2005.</w:t>
      </w:r>
      <w:bookmarkStart w:id="10" w:name="_Hlk78820161"/>
      <w:r>
        <w:rPr>
          <w:rFonts w:ascii="Verdana" w:eastAsia="Times New Roman" w:hAnsi="Verdana" w:cs="Arial"/>
          <w:lang w:val="es-MX"/>
        </w:rPr>
        <w:t xml:space="preserve"> </w:t>
      </w:r>
      <w:r w:rsidRPr="3A5322BA">
        <w:rPr>
          <w:rFonts w:ascii="Verdana" w:eastAsia="Times New Roman" w:hAnsi="Verdana" w:cs="Arial"/>
          <w:lang w:val="es-MX"/>
        </w:rPr>
        <w:t xml:space="preserve">El ámbito material de la prohibición contenida en esta disposición está delimitado por la expresión </w:t>
      </w:r>
      <w:r w:rsidRPr="3A5322BA">
        <w:rPr>
          <w:rFonts w:ascii="Verdana" w:eastAsia="Calibri" w:hAnsi="Verdana" w:cs="Arial"/>
          <w:lang w:val="es-MX"/>
        </w:rPr>
        <w:t>“</w:t>
      </w:r>
      <w:r w:rsidRPr="3A5322BA">
        <w:rPr>
          <w:rFonts w:ascii="Verdana" w:eastAsia="Times New Roman" w:hAnsi="Verdana" w:cs="Arial"/>
          <w:lang w:val="es-MX"/>
        </w:rPr>
        <w:t>queda prohibida la contratación directa</w:t>
      </w:r>
      <w:r w:rsidRPr="3A5322BA">
        <w:rPr>
          <w:rFonts w:ascii="Verdana" w:eastAsia="Calibri" w:hAnsi="Verdana" w:cs="Arial"/>
          <w:lang w:val="es-MX"/>
        </w:rPr>
        <w:t>”</w:t>
      </w:r>
      <w:r w:rsidRPr="3A5322BA">
        <w:rPr>
          <w:rFonts w:ascii="Verdana" w:eastAsia="Times New Roman" w:hAnsi="Verdana" w:cs="Arial"/>
          <w:lang w:val="es-MX"/>
        </w:rPr>
        <w:t xml:space="preserve">. </w:t>
      </w:r>
      <w:r w:rsidRPr="0057193B">
        <w:rPr>
          <w:rFonts w:ascii="Verdana" w:eastAsia="Times New Roman" w:hAnsi="Verdana" w:cs="Arial"/>
          <w:lang w:val="es-MX" w:eastAsia="es-CO"/>
        </w:rPr>
        <w:t xml:space="preserve">A propósito de </w:t>
      </w:r>
      <w:r w:rsidRPr="0057193B">
        <w:rPr>
          <w:rFonts w:ascii="Verdana" w:eastAsia="Times New Roman" w:hAnsi="Verdana" w:cs="Arial"/>
          <w:lang w:eastAsia="es-CO"/>
        </w:rPr>
        <w:t>esta restricción de la Ley de Garantías Electorales, la Sala de Consulta y Servicio Civil del Consejo de Estado ha considerado que:</w:t>
      </w:r>
    </w:p>
    <w:p w14:paraId="4443A4F5" w14:textId="77777777" w:rsidR="00330BDF" w:rsidRPr="005F5922" w:rsidRDefault="00330BDF" w:rsidP="00330BDF">
      <w:pPr>
        <w:spacing w:after="0" w:line="276" w:lineRule="auto"/>
        <w:ind w:left="708" w:right="709"/>
        <w:jc w:val="both"/>
        <w:rPr>
          <w:rFonts w:ascii="Verdana" w:eastAsia="Calibri" w:hAnsi="Verdana" w:cs="Arial"/>
          <w:lang w:val="es-MX"/>
        </w:rPr>
      </w:pPr>
    </w:p>
    <w:p w14:paraId="3EC0CCFE" w14:textId="0507C40A" w:rsidR="00330BDF" w:rsidRPr="005F5922" w:rsidRDefault="00330BDF" w:rsidP="008625CC">
      <w:pPr>
        <w:spacing w:line="240" w:lineRule="auto"/>
        <w:ind w:left="709" w:right="709"/>
        <w:jc w:val="both"/>
        <w:rPr>
          <w:rFonts w:ascii="Verdana" w:eastAsia="Calibri" w:hAnsi="Verdana" w:cs="Arial"/>
          <w:sz w:val="20"/>
          <w:szCs w:val="20"/>
          <w:lang w:val="es-MX"/>
        </w:rPr>
      </w:pPr>
      <w:r w:rsidRPr="00633C68">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633C68">
        <w:rPr>
          <w:rFonts w:ascii="Verdana" w:eastAsia="Times New Roman" w:hAnsi="Verdana" w:cs="Arial"/>
          <w:sz w:val="20"/>
          <w:szCs w:val="20"/>
          <w:vertAlign w:val="superscript"/>
          <w:lang w:eastAsia="es-CO"/>
        </w:rPr>
        <w:footnoteReference w:id="11"/>
      </w:r>
      <w:r w:rsidRPr="00633C68">
        <w:rPr>
          <w:rFonts w:ascii="Verdana" w:eastAsia="Calibri" w:hAnsi="Verdana" w:cs="Arial"/>
          <w:sz w:val="20"/>
          <w:szCs w:val="20"/>
          <w:lang w:val="es-MX"/>
        </w:rPr>
        <w:t>.</w:t>
      </w:r>
    </w:p>
    <w:p w14:paraId="0584FCFA" w14:textId="77777777" w:rsidR="00330BDF" w:rsidRPr="005F5922" w:rsidRDefault="00330BDF" w:rsidP="00330BDF">
      <w:pPr>
        <w:spacing w:after="0" w:line="240" w:lineRule="auto"/>
        <w:ind w:left="709" w:right="709"/>
        <w:jc w:val="both"/>
        <w:rPr>
          <w:rFonts w:ascii="Verdana" w:eastAsia="Calibri" w:hAnsi="Verdana" w:cs="Arial"/>
          <w:sz w:val="20"/>
          <w:szCs w:val="20"/>
          <w:lang w:val="es-MX"/>
        </w:rPr>
      </w:pPr>
      <w:r w:rsidRPr="00633C68">
        <w:rPr>
          <w:rFonts w:ascii="Verdana" w:eastAsia="Calibri" w:hAnsi="Verdana" w:cs="Arial"/>
          <w:sz w:val="20"/>
          <w:szCs w:val="20"/>
          <w:lang w:val="es-MX"/>
        </w:rPr>
        <w:t>Esta Sala ha entendido que</w:t>
      </w:r>
      <w:r>
        <w:rPr>
          <w:rFonts w:ascii="Verdana" w:eastAsia="Calibri" w:hAnsi="Verdana" w:cs="Arial"/>
          <w:sz w:val="20"/>
          <w:szCs w:val="20"/>
          <w:lang w:val="es-MX"/>
        </w:rPr>
        <w:t xml:space="preserve"> </w:t>
      </w:r>
      <w:r w:rsidRPr="00633C68">
        <w:rPr>
          <w:rFonts w:ascii="Verdana" w:eastAsia="Calibri" w:hAnsi="Verdana" w:cs="Arial"/>
          <w:sz w:val="20"/>
          <w:szCs w:val="20"/>
          <w:lang w:val="es-MX"/>
        </w:rPr>
        <w:t>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633C68">
        <w:rPr>
          <w:rFonts w:ascii="Verdana" w:eastAsia="Times New Roman" w:hAnsi="Verdana" w:cs="Arial"/>
          <w:sz w:val="20"/>
          <w:szCs w:val="20"/>
          <w:vertAlign w:val="superscript"/>
          <w:lang w:val="es-MX"/>
        </w:rPr>
        <w:footnoteReference w:id="12"/>
      </w:r>
      <w:r w:rsidRPr="00633C68">
        <w:rPr>
          <w:rFonts w:ascii="Verdana" w:eastAsia="Times New Roman" w:hAnsi="Verdana" w:cs="Arial"/>
          <w:sz w:val="20"/>
          <w:szCs w:val="20"/>
          <w:vertAlign w:val="superscript"/>
          <w:lang w:val="es-MX"/>
        </w:rPr>
        <w:t>.</w:t>
      </w:r>
      <w:r w:rsidRPr="00633C68">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633C68">
        <w:rPr>
          <w:rFonts w:ascii="Verdana" w:eastAsia="Times New Roman" w:hAnsi="Verdana" w:cs="Arial"/>
          <w:sz w:val="20"/>
          <w:szCs w:val="20"/>
          <w:vertAlign w:val="superscript"/>
          <w:lang w:eastAsia="es-CO"/>
        </w:rPr>
        <w:footnoteReference w:id="13"/>
      </w:r>
      <w:r w:rsidRPr="00633C68">
        <w:rPr>
          <w:rFonts w:ascii="Verdana" w:eastAsia="Calibri" w:hAnsi="Verdana" w:cs="Arial"/>
          <w:sz w:val="20"/>
          <w:szCs w:val="20"/>
          <w:lang w:val="es-MX"/>
        </w:rPr>
        <w:t xml:space="preserve"> .</w:t>
      </w:r>
    </w:p>
    <w:p w14:paraId="59E9A7FC" w14:textId="77777777" w:rsidR="00330BDF" w:rsidRPr="0057193B" w:rsidRDefault="00330BDF" w:rsidP="00330BDF">
      <w:pPr>
        <w:shd w:val="clear" w:color="auto" w:fill="FFFFFF"/>
        <w:spacing w:after="0" w:line="276" w:lineRule="auto"/>
        <w:ind w:firstLine="709"/>
        <w:jc w:val="both"/>
        <w:rPr>
          <w:rFonts w:ascii="Verdana" w:eastAsia="Times New Roman" w:hAnsi="Verdana" w:cs="Arial"/>
          <w:lang w:eastAsia="x-none"/>
        </w:rPr>
      </w:pPr>
    </w:p>
    <w:p w14:paraId="73DE4BFB" w14:textId="77777777" w:rsidR="00330BDF" w:rsidRPr="0057193B" w:rsidRDefault="00330BDF" w:rsidP="00330BDF">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sidRPr="0057193B">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57193B">
        <w:rPr>
          <w:rFonts w:ascii="Verdana" w:eastAsia="Times New Roman" w:hAnsi="Verdana" w:cs="Arial"/>
          <w:lang w:val="es-ES_tradnl" w:eastAsia="x-none"/>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57193B">
        <w:rPr>
          <w:rFonts w:ascii="Verdana" w:eastAsia="Times New Roman" w:hAnsi="Verdana" w:cs="Arial"/>
          <w:vertAlign w:val="superscript"/>
          <w:lang w:val="en-GB" w:eastAsia="x-none"/>
        </w:rPr>
        <w:footnoteReference w:id="14"/>
      </w:r>
      <w:r w:rsidRPr="0057193B">
        <w:rPr>
          <w:rFonts w:ascii="Verdana" w:eastAsia="Times New Roman" w:hAnsi="Verdana" w:cs="Arial"/>
          <w:lang w:eastAsia="x-none"/>
        </w:rPr>
        <w:t xml:space="preserve"> y sistematizó las causales de contratación directa</w:t>
      </w:r>
      <w:r w:rsidRPr="0057193B">
        <w:rPr>
          <w:rFonts w:ascii="Verdana" w:eastAsia="Times New Roman" w:hAnsi="Verdana" w:cs="Arial"/>
          <w:vertAlign w:val="superscript"/>
          <w:lang w:val="en-GB" w:eastAsia="x-none"/>
        </w:rPr>
        <w:footnoteReference w:id="15"/>
      </w:r>
      <w:r w:rsidRPr="0057193B">
        <w:rPr>
          <w:rFonts w:ascii="Verdana" w:eastAsia="Times New Roman" w:hAnsi="Verdana" w:cs="Arial"/>
          <w:lang w:eastAsia="x-none"/>
        </w:rPr>
        <w:t xml:space="preserve">, </w:t>
      </w:r>
      <w:r w:rsidRPr="0057193B">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3215C96E" w14:textId="77777777" w:rsidR="00330BDF" w:rsidRPr="0057193B" w:rsidRDefault="00330BDF" w:rsidP="00330BDF">
      <w:pPr>
        <w:spacing w:after="120" w:line="276" w:lineRule="auto"/>
        <w:ind w:firstLine="708"/>
        <w:jc w:val="both"/>
        <w:rPr>
          <w:rFonts w:ascii="Verdana" w:eastAsia="Times New Roman" w:hAnsi="Verdana" w:cs="Arial"/>
          <w:lang w:val="es-MX"/>
        </w:rPr>
      </w:pPr>
      <w:r w:rsidRPr="0057193B">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sidRPr="0057193B">
        <w:rPr>
          <w:rFonts w:ascii="Verdana" w:eastAsia="Times New Roman" w:hAnsi="Verdana" w:cs="Arial"/>
          <w:lang w:eastAsia="x-none"/>
        </w:rPr>
        <w:t>contratación directa</w:t>
      </w:r>
      <w:r>
        <w:rPr>
          <w:rFonts w:ascii="Verdana" w:eastAsia="Times New Roman" w:hAnsi="Verdana" w:cs="Arial"/>
          <w:lang w:eastAsia="en-GB"/>
        </w:rPr>
        <w:t>”</w:t>
      </w:r>
      <w:r w:rsidRPr="0057193B">
        <w:rPr>
          <w:rFonts w:ascii="Verdana" w:eastAsia="Times New Roman" w:hAnsi="Verdana" w:cs="Arial"/>
          <w:lang w:eastAsia="x-none"/>
        </w:rPr>
        <w:t xml:space="preserve">, precisando el Consejo de Estado –en el concepto citado– que, </w:t>
      </w:r>
      <w:r>
        <w:rPr>
          <w:rFonts w:ascii="Verdana" w:eastAsia="Times New Roman" w:hAnsi="Verdana" w:cs="Arial"/>
          <w:lang w:eastAsia="x-none"/>
        </w:rPr>
        <w:t>“</w:t>
      </w:r>
      <w:r w:rsidRPr="0057193B">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3A5322BA">
        <w:rPr>
          <w:rFonts w:ascii="Verdana" w:eastAsia="Times New Roman" w:hAnsi="Verdana" w:cs="Arial"/>
          <w:vertAlign w:val="superscript"/>
          <w:lang w:val="en-GB"/>
        </w:rPr>
        <w:footnoteReference w:id="16"/>
      </w:r>
      <w:r w:rsidRPr="0057193B">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57193B">
        <w:rPr>
          <w:rFonts w:ascii="Verdana" w:eastAsia="Times New Roman" w:hAnsi="Verdana" w:cs="Arial"/>
          <w:lang w:eastAsia="x-none"/>
        </w:rPr>
        <w:t xml:space="preserve">. </w:t>
      </w:r>
    </w:p>
    <w:p w14:paraId="08DD5482" w14:textId="77777777" w:rsidR="00330BDF" w:rsidRPr="0057193B" w:rsidRDefault="00330BDF" w:rsidP="00330BDF">
      <w:pPr>
        <w:spacing w:after="120" w:line="276" w:lineRule="auto"/>
        <w:ind w:firstLine="708"/>
        <w:jc w:val="both"/>
        <w:rPr>
          <w:rFonts w:ascii="Verdana" w:eastAsia="Times New Roman" w:hAnsi="Verdana" w:cs="Arial"/>
          <w:bCs/>
          <w:lang w:val="es-MX" w:eastAsia="es-CO"/>
        </w:rPr>
      </w:pPr>
      <w:r w:rsidRPr="3A5322BA">
        <w:rPr>
          <w:rFonts w:ascii="Verdana" w:eastAsia="Times New Roman" w:hAnsi="Verdana" w:cs="Arial"/>
          <w:lang w:val="es-MX"/>
        </w:rPr>
        <w:t>E</w:t>
      </w:r>
      <w:r w:rsidRPr="0057193B">
        <w:rPr>
          <w:rFonts w:ascii="Verdana" w:eastAsia="Times New Roman"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eastAsia="Times New Roman" w:hAnsi="Verdana" w:cs="Arial"/>
          <w:lang w:eastAsia="x-none"/>
        </w:rPr>
        <w:t>“</w:t>
      </w:r>
      <w:r w:rsidRPr="0057193B">
        <w:rPr>
          <w:rFonts w:ascii="Verdana" w:eastAsia="Times New Roman" w:hAnsi="Verdana" w:cs="Arial"/>
          <w:lang w:eastAsia="x-none"/>
        </w:rPr>
        <w:t>contratación directa</w:t>
      </w:r>
      <w:r>
        <w:rPr>
          <w:rFonts w:ascii="Verdana" w:eastAsia="Times New Roman" w:hAnsi="Verdana" w:cs="Arial"/>
          <w:lang w:eastAsia="x-none"/>
        </w:rPr>
        <w:t>”</w:t>
      </w:r>
      <w:r w:rsidRPr="0057193B">
        <w:rPr>
          <w:rFonts w:ascii="Verdana" w:eastAsia="Times New Roman" w:hAnsi="Verdana" w:cs="Arial"/>
          <w:lang w:eastAsia="x-none"/>
        </w:rPr>
        <w:t>, es que la convocatoria para 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17"/>
      </w:r>
      <w:r w:rsidRPr="0057193B">
        <w:rPr>
          <w:rFonts w:ascii="Verdana" w:eastAsia="Times New Roman" w:hAnsi="Verdana" w:cs="Arial"/>
          <w:lang w:eastAsia="x-none"/>
        </w:rPr>
        <w:t xml:space="preserve">. </w:t>
      </w:r>
    </w:p>
    <w:p w14:paraId="2DFFC702" w14:textId="77777777" w:rsidR="00330BDF" w:rsidRPr="0057193B" w:rsidRDefault="00330BDF" w:rsidP="00330BDF">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w:t>
      </w:r>
      <w:r w:rsidRPr="3A5322BA">
        <w:rPr>
          <w:rFonts w:ascii="Verdana" w:eastAsia="Times New Roman" w:hAnsi="Verdana" w:cs="Arial"/>
          <w:lang w:val="es-MX" w:eastAsia="es-CO"/>
        </w:rPr>
        <w:t xml:space="preserve"> Electorales</w:t>
      </w:r>
      <w:r w:rsidRPr="0057193B">
        <w:rPr>
          <w:rFonts w:ascii="Verdana" w:eastAsia="Times New Roman" w:hAnsi="Verdana" w:cs="Arial"/>
          <w:bCs/>
          <w:lang w:val="es-MX" w:eastAsia="es-CO"/>
        </w:rPr>
        <w:t xml:space="preserve">,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3A5322BA">
        <w:rPr>
          <w:rFonts w:ascii="Verdana" w:eastAsia="Times New Roman" w:hAnsi="Verdana" w:cs="Arial"/>
          <w:lang w:val="es-MX" w:eastAsia="es-CO"/>
        </w:rPr>
        <w:t>“</w:t>
      </w:r>
      <w:r w:rsidRPr="0057193B">
        <w:rPr>
          <w:rFonts w:ascii="Verdana" w:eastAsia="Times New Roman" w:hAnsi="Verdana" w:cs="Arial"/>
          <w:bCs/>
          <w:lang w:val="es-MX" w:eastAsia="es-CO"/>
        </w:rPr>
        <w:t>contratación directa</w:t>
      </w:r>
      <w:r w:rsidRPr="3A5322BA">
        <w:rPr>
          <w:rFonts w:ascii="Verdana" w:eastAsia="Times New Roman" w:hAnsi="Verdana" w:cs="Arial"/>
          <w:lang w:val="es-MX" w:eastAsia="es-CO"/>
        </w:rPr>
        <w:t>”.</w:t>
      </w:r>
    </w:p>
    <w:p w14:paraId="48827204" w14:textId="77777777" w:rsidR="00330BDF" w:rsidRPr="0057193B" w:rsidRDefault="00330BDF" w:rsidP="00330BDF">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18"/>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p>
    <w:p w14:paraId="4F5CD892" w14:textId="77777777" w:rsidR="00330BDF" w:rsidRPr="0057193B" w:rsidRDefault="00330BDF" w:rsidP="00330BDF">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37ED4011" w14:textId="77777777" w:rsidR="00330BDF" w:rsidRPr="00447D82" w:rsidRDefault="00330BDF" w:rsidP="00330BDF">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w:t>
      </w:r>
      <w:r w:rsidRPr="3A5322BA">
        <w:rPr>
          <w:rFonts w:ascii="Verdana" w:eastAsia="Times New Roman" w:hAnsi="Verdana" w:cs="Arial"/>
          <w:lang w:val="es-MX" w:eastAsia="es-CO"/>
        </w:rPr>
        <w:t xml:space="preserve"> Electorales</w:t>
      </w:r>
      <w:r w:rsidRPr="0057193B">
        <w:rPr>
          <w:rFonts w:ascii="Verdana" w:eastAsia="Times New Roman" w:hAnsi="Verdana" w:cs="Arial"/>
          <w:bCs/>
          <w:lang w:val="es-MX" w:eastAsia="es-CO"/>
        </w:rPr>
        <w:t>,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19"/>
      </w:r>
      <w:r w:rsidRPr="0057193B">
        <w:rPr>
          <w:rFonts w:ascii="Verdana" w:eastAsia="Times New Roman" w:hAnsi="Verdana" w:cs="Arial"/>
          <w:bCs/>
          <w:lang w:val="es-MX" w:eastAsia="es-CO"/>
        </w:rPr>
        <w:t>. Además, también es posible que contratos celebrados previamente se continúen ejecutando con normalidad.</w:t>
      </w:r>
      <w:r>
        <w:rPr>
          <w:rFonts w:ascii="Verdana" w:eastAsia="Times New Roman" w:hAnsi="Verdana" w:cs="Arial"/>
          <w:bCs/>
          <w:lang w:val="es-MX" w:eastAsia="es-CO"/>
        </w:rPr>
        <w:t xml:space="preserve"> </w:t>
      </w:r>
    </w:p>
    <w:p w14:paraId="23BF9CA7" w14:textId="68B7D770" w:rsidR="00330BDF" w:rsidRDefault="00330BDF" w:rsidP="00330BDF">
      <w:pPr>
        <w:spacing w:after="120" w:line="276" w:lineRule="auto"/>
        <w:ind w:firstLine="708"/>
        <w:jc w:val="both"/>
        <w:rPr>
          <w:rFonts w:ascii="Verdana" w:eastAsia="Times New Roman" w:hAnsi="Verdana" w:cs="Arial"/>
          <w:lang w:val="es-MX" w:eastAsia="es-CO"/>
        </w:rPr>
      </w:pPr>
      <w:r w:rsidRPr="3A5322BA">
        <w:rPr>
          <w:rFonts w:ascii="Verdana" w:eastAsia="Times New Roman" w:hAnsi="Verdana" w:cs="Arial"/>
          <w:lang w:val="es-MX"/>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w:t>
      </w:r>
      <w:r w:rsidRPr="3A5322BA">
        <w:rPr>
          <w:rFonts w:ascii="Verdana" w:eastAsia="Times New Roman" w:hAnsi="Verdana" w:cs="Arial"/>
          <w:i/>
          <w:lang w:val="es-MX"/>
        </w:rPr>
        <w:t>los que deban realizar las entidades sanitarias y hospitalarias.</w:t>
      </w:r>
    </w:p>
    <w:p w14:paraId="08E9694B" w14:textId="77777777" w:rsidR="00330BDF" w:rsidRPr="0057193B" w:rsidRDefault="00330BDF" w:rsidP="00330BDF">
      <w:pPr>
        <w:spacing w:after="120" w:line="276" w:lineRule="auto"/>
        <w:ind w:firstLine="708"/>
        <w:jc w:val="both"/>
        <w:rPr>
          <w:rFonts w:ascii="Verdana" w:eastAsia="Times New Roman" w:hAnsi="Verdana" w:cs="Arial"/>
          <w:bCs/>
          <w:lang w:val="es-MX" w:eastAsia="es-CO"/>
        </w:rPr>
      </w:pPr>
      <w:r w:rsidRPr="3A5322BA">
        <w:rPr>
          <w:rFonts w:ascii="Verdana" w:eastAsia="Times New Roman" w:hAnsi="Verdana" w:cs="Arial"/>
          <w:lang w:val="es-MX" w:eastAsia="es-CO"/>
        </w:rPr>
        <w:t>Conforme a las anteriores excepciones, es</w:t>
      </w:r>
      <w:r w:rsidRPr="0057193B">
        <w:rPr>
          <w:rFonts w:ascii="Verdana" w:eastAsia="Times New Roman" w:hAnsi="Verdana" w:cs="Arial"/>
          <w:bCs/>
          <w:lang w:val="es-MX" w:eastAsia="es-CO"/>
        </w:rPr>
        <w:t xml:space="preserve">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7D7925AE" w14:textId="77777777" w:rsidR="00330BDF" w:rsidRDefault="00330BDF" w:rsidP="00330BDF">
      <w:pPr>
        <w:spacing w:after="120" w:line="276" w:lineRule="auto"/>
        <w:ind w:firstLine="709"/>
        <w:jc w:val="both"/>
        <w:rPr>
          <w:rFonts w:ascii="Verdana" w:eastAsia="Times New Roman" w:hAnsi="Verdana" w:cs="Arial"/>
          <w:lang w:val="es-MX"/>
        </w:rPr>
      </w:pPr>
      <w:r w:rsidRPr="3A5322BA">
        <w:rPr>
          <w:rFonts w:ascii="Verdana" w:eastAsia="Times New Roman" w:hAnsi="Verdana" w:cs="Arial"/>
          <w:lang w:val="es-MX"/>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57193B">
        <w:rPr>
          <w:rFonts w:ascii="Verdana" w:eastAsia="Calibri" w:hAnsi="Verdana" w:cs="Arial"/>
          <w:vertAlign w:val="superscript"/>
          <w:lang w:val="es-MX"/>
        </w:rPr>
        <w:footnoteReference w:id="20"/>
      </w:r>
      <w:r w:rsidRPr="3A5322BA">
        <w:rPr>
          <w:rFonts w:ascii="Verdana" w:eastAsia="Times New Roman" w:hAnsi="Verdana" w:cs="Arial"/>
          <w:lang w:val="es-MX"/>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2BA77056" w14:textId="77777777" w:rsidR="00330BDF" w:rsidRPr="005F5922" w:rsidRDefault="00330BDF" w:rsidP="00330BDF">
      <w:pPr>
        <w:tabs>
          <w:tab w:val="left" w:pos="426"/>
        </w:tabs>
        <w:spacing w:after="120" w:line="276" w:lineRule="auto"/>
        <w:ind w:firstLine="709"/>
        <w:jc w:val="both"/>
        <w:rPr>
          <w:rFonts w:ascii="Verdana" w:hAnsi="Verdana" w:cs="Arial"/>
          <w:color w:val="000000" w:themeColor="text1"/>
          <w:lang w:val="es-ES"/>
        </w:rPr>
      </w:pPr>
      <w:r w:rsidRPr="3A5322BA">
        <w:rPr>
          <w:rFonts w:ascii="Verdana" w:hAnsi="Verdana" w:cs="Arial"/>
          <w:color w:val="000000" w:themeColor="text1"/>
          <w:lang w:val="es-ES"/>
        </w:rPr>
        <w:t>En este punto, es pertinente analizar el quinto evento</w:t>
      </w:r>
      <w:r w:rsidRPr="3A5322BA">
        <w:rPr>
          <w:rFonts w:ascii="Verdana" w:hAnsi="Verdana" w:cs="Arial"/>
          <w:i/>
          <w:iCs/>
          <w:color w:val="000000" w:themeColor="text1"/>
          <w:lang w:val="es-ES"/>
        </w:rPr>
        <w:t xml:space="preserve"> </w:t>
      </w:r>
      <w:r w:rsidRPr="3A5322BA">
        <w:rPr>
          <w:rFonts w:ascii="Verdana" w:hAnsi="Verdana" w:cs="Arial"/>
          <w:color w:val="000000" w:themeColor="text1"/>
          <w:lang w:val="es-ES"/>
        </w:rPr>
        <w:t xml:space="preserve">exceptuado de la prohibición, relacionado con la contratación por parte de las entidades sanitarias y hospitalarias. Para ello, debe tenerse en cuenta el artículo 94 de la Ley 100 de 1993, que dispone </w:t>
      </w:r>
      <w:r w:rsidRPr="3A5322BA">
        <w:rPr>
          <w:rFonts w:ascii="Verdana" w:hAnsi="Verdana" w:cs="Arial"/>
          <w:color w:val="000000" w:themeColor="text1"/>
          <w:lang w:val="es-ES" w:eastAsia="es-CO"/>
        </w:rPr>
        <w:t>“</w:t>
      </w:r>
      <w:r w:rsidRPr="3A5322BA">
        <w:rPr>
          <w:rFonts w:ascii="Verdana" w:hAnsi="Verdana" w:cs="Arial"/>
          <w:color w:val="000000" w:themeColor="text1"/>
          <w:lang w:val="es-ES"/>
        </w:rPr>
        <w:t xml:space="preserve">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518D4AEA" w14:textId="77777777" w:rsidR="00330BDF" w:rsidRPr="005F5922" w:rsidRDefault="00330BDF" w:rsidP="00330BDF">
      <w:pPr>
        <w:tabs>
          <w:tab w:val="left" w:pos="426"/>
        </w:tabs>
        <w:spacing w:after="120" w:line="276" w:lineRule="auto"/>
        <w:ind w:firstLine="709"/>
        <w:jc w:val="both"/>
        <w:rPr>
          <w:rFonts w:ascii="Verdana" w:hAnsi="Verdana" w:cs="Arial"/>
          <w:color w:val="000000" w:themeColor="text1"/>
        </w:rPr>
      </w:pPr>
      <w:r w:rsidRPr="3A5322BA">
        <w:rPr>
          <w:rFonts w:ascii="Verdana" w:hAnsi="Verdana" w:cs="Arial"/>
          <w:color w:val="000000" w:themeColor="text1"/>
          <w:lang w:val="es-ES"/>
        </w:rPr>
        <w:t>Es decir que, a partir de la entrada en vigencia de la Ley 100 de 1993, las Empresas Sociales del Estado son las entidades públicas que tienen a su cargo la prestación de servicios de salud de manera directa. Igualmente, el artículo 197 de la misma disposición</w:t>
      </w:r>
      <w:r w:rsidRPr="005F5922">
        <w:rPr>
          <w:rFonts w:ascii="Verdana" w:hAnsi="Verdana" w:cs="Arial"/>
          <w:color w:val="000000" w:themeColor="text1"/>
          <w:vertAlign w:val="superscript"/>
          <w:lang w:val="es-ES_tradnl"/>
        </w:rPr>
        <w:footnoteReference w:id="21"/>
      </w:r>
      <w:r w:rsidRPr="3A5322BA">
        <w:rPr>
          <w:rFonts w:ascii="Verdana" w:hAnsi="Verdana" w:cs="Arial"/>
          <w:color w:val="000000" w:themeColor="text1"/>
          <w:lang w:val="es-ES"/>
        </w:rPr>
        <w:t xml:space="preserve"> otorgó un término de seis (6) meses a las entidades territoriales prestadoras del servicio de salud para restructurarlas en Empresas Sociales del Estado. </w:t>
      </w:r>
    </w:p>
    <w:p w14:paraId="347FCB46" w14:textId="77777777" w:rsidR="00330BDF" w:rsidRPr="005F5922" w:rsidRDefault="00330BDF" w:rsidP="00330BDF">
      <w:pPr>
        <w:tabs>
          <w:tab w:val="left" w:pos="426"/>
        </w:tabs>
        <w:spacing w:after="120" w:line="276" w:lineRule="auto"/>
        <w:ind w:firstLine="709"/>
        <w:jc w:val="both"/>
        <w:rPr>
          <w:rFonts w:ascii="Verdana" w:hAnsi="Verdana" w:cs="Arial"/>
          <w:color w:val="000000" w:themeColor="text1"/>
          <w:lang w:val="es-ES"/>
        </w:rPr>
      </w:pPr>
      <w:r w:rsidRPr="3A5322BA">
        <w:rPr>
          <w:rFonts w:ascii="Verdana" w:hAnsi="Verdana" w:cs="Arial"/>
          <w:color w:val="000000" w:themeColor="text1"/>
          <w:lang w:val="es-ES"/>
        </w:rPr>
        <w:t xml:space="preserve">De lo anterior se desprende que, bajo la Ley 100 de 1993, dentro de la estructura de la administración pública las entidades encargadas de prestar el servicio de salud de manera directa son las Empresas Sociales del Estado. Además, el mismo artículo 197 de la disposición referida estableció el deber de reestructurar y transformar en Empresas Sociales del Estado a las entidades descentralizadas que, al momento de entrada en vigor de la ley referida, prestaban directamente este servicio.  </w:t>
      </w:r>
    </w:p>
    <w:p w14:paraId="25A61539" w14:textId="77777777" w:rsidR="00330BDF" w:rsidRPr="005F5922" w:rsidRDefault="00330BDF" w:rsidP="00330BDF">
      <w:pPr>
        <w:tabs>
          <w:tab w:val="left" w:pos="426"/>
        </w:tabs>
        <w:spacing w:after="120" w:line="276" w:lineRule="auto"/>
        <w:ind w:firstLine="709"/>
        <w:jc w:val="both"/>
        <w:rPr>
          <w:rFonts w:ascii="Verdana" w:hAnsi="Verdana" w:cs="Arial"/>
          <w:color w:val="000000" w:themeColor="text1"/>
          <w:lang w:val="es-ES"/>
        </w:rPr>
      </w:pPr>
      <w:r w:rsidRPr="3A5322BA">
        <w:rPr>
          <w:rFonts w:ascii="Verdana" w:hAnsi="Verdana" w:cs="Arial"/>
          <w:color w:val="000000" w:themeColor="text1"/>
          <w:lang w:val="es-ES"/>
        </w:rPr>
        <w:t xml:space="preserve">Así, se observa que la voluntad del legislador plasmada en la Ley 100 de 1993 fue homogeneizar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 en Empresas Sociales del Estado. </w:t>
      </w:r>
    </w:p>
    <w:p w14:paraId="6F88E88C" w14:textId="77777777" w:rsidR="00330BDF" w:rsidRPr="005F5922" w:rsidRDefault="00330BDF" w:rsidP="00330BDF">
      <w:pPr>
        <w:tabs>
          <w:tab w:val="left" w:pos="426"/>
        </w:tabs>
        <w:spacing w:after="0" w:line="276" w:lineRule="auto"/>
        <w:ind w:firstLine="709"/>
        <w:jc w:val="both"/>
        <w:rPr>
          <w:rFonts w:ascii="Verdana" w:hAnsi="Verdana" w:cs="Arial"/>
          <w:color w:val="000000" w:themeColor="text1"/>
          <w:lang w:val="es-ES"/>
        </w:rPr>
      </w:pPr>
      <w:r w:rsidRPr="3A5322BA">
        <w:rPr>
          <w:rFonts w:ascii="Verdana" w:hAnsi="Verdana" w:cs="Arial"/>
          <w:color w:val="000000" w:themeColor="text1"/>
          <w:lang w:val="es-ES"/>
        </w:rPr>
        <w:t xml:space="preserve">Este proceso de reestructuración, dada las implicaciones administrativas que suponen, no ha sido inmediato, según se observa de lo señalado por el Ministerio de la Protección Social como cabeza del sector salud del orden nacional. En este sentido, en concepto del 14 de marzo de 2006, identificado con radicación No. 38644, al pronunciarse sobre el alcance de la regla de excepción establecida en el inciso 2 del artículo 33 de la Ley de Garantías Electorales, frente a las entidades sanitarias y hospitalarias, puso de presente el retardo en el proceso de reestructuración mencionado en la Ley 100 de 1993, así: </w:t>
      </w:r>
    </w:p>
    <w:p w14:paraId="724E2F94" w14:textId="77777777" w:rsidR="00330BDF" w:rsidRPr="005F5922" w:rsidRDefault="00330BDF" w:rsidP="00330BDF">
      <w:pPr>
        <w:tabs>
          <w:tab w:val="left" w:pos="426"/>
        </w:tabs>
        <w:spacing w:after="0" w:line="276" w:lineRule="auto"/>
        <w:ind w:firstLine="709"/>
        <w:jc w:val="both"/>
        <w:rPr>
          <w:rFonts w:ascii="Verdana" w:hAnsi="Verdana" w:cs="Arial"/>
          <w:color w:val="000000" w:themeColor="text1"/>
          <w:lang w:val="es-ES"/>
        </w:rPr>
      </w:pPr>
    </w:p>
    <w:p w14:paraId="3C84302F" w14:textId="77777777" w:rsidR="00330BDF" w:rsidRPr="005F5922" w:rsidRDefault="00330BDF" w:rsidP="00330BDF">
      <w:pPr>
        <w:tabs>
          <w:tab w:val="left" w:pos="426"/>
        </w:tabs>
        <w:spacing w:after="0" w:line="240" w:lineRule="auto"/>
        <w:ind w:left="709" w:right="709"/>
        <w:jc w:val="both"/>
        <w:rPr>
          <w:rFonts w:ascii="Verdana" w:hAnsi="Verdana" w:cs="Arial"/>
          <w:color w:val="000000" w:themeColor="text1"/>
          <w:sz w:val="20"/>
          <w:szCs w:val="20"/>
          <w:shd w:val="clear" w:color="auto" w:fill="FFFFFF"/>
          <w:lang w:val="es-ES"/>
        </w:rPr>
      </w:pPr>
      <w:r w:rsidRPr="00221312">
        <w:rPr>
          <w:rFonts w:ascii="Verdana" w:hAnsi="Verdana" w:cs="Arial"/>
          <w:color w:val="000000" w:themeColor="text1"/>
          <w:sz w:val="20"/>
          <w:szCs w:val="20"/>
          <w:shd w:val="clear" w:color="auto" w:fill="FFFFFF"/>
          <w:lang w:val="es-ES"/>
        </w:rPr>
        <w:t xml:space="preserve">“[…] se encuentran cubiertos por la excepción contemplada en el inciso 2 del artículo 33 de la Ley de Garantías Electorales, las entidades hospitalarias que a la luz de las normas vigentes </w:t>
      </w:r>
      <w:r w:rsidRPr="3A5322BA">
        <w:rPr>
          <w:rFonts w:ascii="Verdana" w:hAnsi="Verdana" w:cs="Arial"/>
          <w:i/>
          <w:iCs/>
          <w:color w:val="000000" w:themeColor="text1"/>
          <w:sz w:val="20"/>
          <w:szCs w:val="20"/>
          <w:shd w:val="clear" w:color="auto" w:fill="FFFFFF"/>
          <w:lang w:val="es-ES"/>
        </w:rPr>
        <w:t xml:space="preserve">no son otras distintas que las Empresas Sociales del estado y todas aquellas instituciones públicas </w:t>
      </w:r>
      <w:proofErr w:type="gramStart"/>
      <w:r w:rsidRPr="3A5322BA">
        <w:rPr>
          <w:rFonts w:ascii="Verdana" w:hAnsi="Verdana" w:cs="Arial"/>
          <w:i/>
          <w:iCs/>
          <w:color w:val="000000" w:themeColor="text1"/>
          <w:sz w:val="20"/>
          <w:szCs w:val="20"/>
          <w:shd w:val="clear" w:color="auto" w:fill="FFFFFF"/>
          <w:lang w:val="es-ES"/>
        </w:rPr>
        <w:t>que</w:t>
      </w:r>
      <w:proofErr w:type="gramEnd"/>
      <w:r w:rsidRPr="3A5322BA">
        <w:rPr>
          <w:rFonts w:ascii="Verdana" w:hAnsi="Verdana" w:cs="Arial"/>
          <w:i/>
          <w:iCs/>
          <w:color w:val="000000" w:themeColor="text1"/>
          <w:sz w:val="20"/>
          <w:szCs w:val="20"/>
          <w:shd w:val="clear" w:color="auto" w:fill="FFFFFF"/>
          <w:lang w:val="es-ES"/>
        </w:rPr>
        <w:t xml:space="preserve"> a pesar de no haberse transformado en Empresas Sociales del Estado, prestan un servicio de salud directo sobre el usuario en su carácter general de entidad hospitalaria</w:t>
      </w:r>
      <w:r w:rsidRPr="00221312">
        <w:rPr>
          <w:rFonts w:ascii="Verdana" w:hAnsi="Verdana" w:cs="Arial"/>
          <w:color w:val="000000" w:themeColor="text1"/>
          <w:sz w:val="20"/>
          <w:szCs w:val="20"/>
          <w:shd w:val="clear" w:color="auto" w:fill="FFFFFF"/>
          <w:lang w:val="es-ES"/>
        </w:rPr>
        <w:t xml:space="preserve"> […]”. (Énfasis fuera de texto) </w:t>
      </w:r>
    </w:p>
    <w:p w14:paraId="363958CF" w14:textId="77777777" w:rsidR="00330BDF" w:rsidRPr="005F5922" w:rsidRDefault="00330BDF" w:rsidP="00330BDF">
      <w:pPr>
        <w:tabs>
          <w:tab w:val="left" w:pos="426"/>
        </w:tabs>
        <w:spacing w:after="0" w:line="276" w:lineRule="auto"/>
        <w:ind w:left="709" w:right="709"/>
        <w:jc w:val="both"/>
        <w:rPr>
          <w:rFonts w:ascii="Verdana" w:hAnsi="Verdana" w:cs="Arial"/>
          <w:color w:val="000000" w:themeColor="text1"/>
          <w:lang w:val="es-ES"/>
        </w:rPr>
      </w:pPr>
    </w:p>
    <w:p w14:paraId="5110DFF4" w14:textId="77777777" w:rsidR="00330BDF" w:rsidRPr="005F5922" w:rsidRDefault="00330BDF" w:rsidP="00330BDF">
      <w:pPr>
        <w:tabs>
          <w:tab w:val="left" w:pos="426"/>
        </w:tabs>
        <w:spacing w:after="120" w:line="276" w:lineRule="auto"/>
        <w:ind w:firstLine="709"/>
        <w:jc w:val="both"/>
        <w:rPr>
          <w:rFonts w:ascii="Verdana" w:hAnsi="Verdana" w:cs="Arial"/>
          <w:color w:val="000000" w:themeColor="text1"/>
          <w:lang w:val="es-ES"/>
        </w:rPr>
      </w:pPr>
      <w:r w:rsidRPr="3A5322BA">
        <w:rPr>
          <w:rFonts w:ascii="Verdana" w:hAnsi="Verdana" w:cs="Arial"/>
          <w:color w:val="000000" w:themeColor="text1"/>
          <w:lang w:val="es-ES"/>
        </w:rPr>
        <w:t xml:space="preserve">Del aparte transcrito se desprende que, para la autoridad administrativa del sector salud, las Empresas Sociales del Estado son las entidades hospitalarias de que trata la excepción a la prohibición establecida en el artículo 33 de la ley de Garantías Electorales. De igual forma, incluyen también dentro de esta excepción a la prohibición, a aquellas instituciones públicas que, aunque no cumplieron con el deber de reestructuración establecido en el artículo 197 de la Ley 100 de 1993, prestan un servicio de salud directo como entidad hospitalaria. </w:t>
      </w:r>
    </w:p>
    <w:p w14:paraId="0F6C7CEB" w14:textId="77777777" w:rsidR="00330BDF" w:rsidRPr="005F5922" w:rsidRDefault="00330BDF" w:rsidP="00330BDF">
      <w:pPr>
        <w:tabs>
          <w:tab w:val="left" w:pos="426"/>
        </w:tabs>
        <w:spacing w:before="120" w:line="276" w:lineRule="auto"/>
        <w:ind w:firstLine="709"/>
        <w:jc w:val="both"/>
        <w:rPr>
          <w:rFonts w:ascii="Verdana" w:hAnsi="Verdana" w:cs="Arial"/>
          <w:color w:val="000000" w:themeColor="text1"/>
          <w:lang w:val="es-ES"/>
        </w:rPr>
      </w:pPr>
      <w:r w:rsidRPr="3A5322BA">
        <w:rPr>
          <w:rFonts w:ascii="Verdana" w:hAnsi="Verdana" w:cs="Arial"/>
          <w:color w:val="000000" w:themeColor="text1"/>
          <w:lang w:val="es-ES"/>
        </w:rPr>
        <w:t xml:space="preserve">Por tanto, las Empresas Sociales del Estado podrían suscribir contratos bajo la modalidad de contratación directa, porque el inciso segundo del artículo 33 de la Ley 996 de 2005 exceptuó de la prohibición de contratación bajo la modalidad referida a las entidades hospitalarias, categoría dentro de las cuales se incluye a las Empresas Sociales del Estado y, en consecuencia, podrán suscribir sus contratos en la forma establecida en sus manuales de contratación, sin que les resulte aplicable la prohibición establecida en el artículo 33 de la Ley 996 de 2005. </w:t>
      </w:r>
    </w:p>
    <w:p w14:paraId="5000FEB7" w14:textId="77777777" w:rsidR="00330BDF" w:rsidRPr="005F5922" w:rsidRDefault="00330BDF" w:rsidP="00330BDF">
      <w:pPr>
        <w:spacing w:before="120" w:after="120" w:line="276" w:lineRule="auto"/>
        <w:ind w:firstLine="709"/>
        <w:jc w:val="both"/>
        <w:rPr>
          <w:rFonts w:ascii="Verdana" w:eastAsia="Arial" w:hAnsi="Verdana" w:cs="Arial"/>
          <w:color w:val="000000" w:themeColor="text1"/>
          <w:lang w:val="es-ES"/>
        </w:rPr>
      </w:pPr>
      <w:r w:rsidRPr="3A5322BA">
        <w:rPr>
          <w:rFonts w:ascii="Verdana" w:eastAsia="Arial" w:hAnsi="Verdana" w:cs="Arial"/>
          <w:color w:val="000000" w:themeColor="text1"/>
        </w:rPr>
        <w:t xml:space="preserve">De otro lado, en relación con las entidades sanitarias, conviene diferenciar los conceptos de entidad sanitaria y autoridad sanitara. En efecto, el artículo 2.8.8.1.1.3 del Decreto 780 de 2016, “Por medio del cual se expide el Decreto Único Reglamentario del Sector Salud y Protección Social”, define las </w:t>
      </w:r>
      <w:r w:rsidRPr="3A5322BA">
        <w:rPr>
          <w:rFonts w:ascii="Verdana" w:eastAsia="Arial" w:hAnsi="Verdana" w:cs="Arial"/>
          <w:i/>
          <w:iCs/>
          <w:color w:val="000000" w:themeColor="text1"/>
        </w:rPr>
        <w:t>entidades sanitarias</w:t>
      </w:r>
      <w:r w:rsidRPr="3A5322BA">
        <w:rPr>
          <w:rFonts w:ascii="Verdana" w:eastAsia="Arial" w:hAnsi="Verdana" w:cs="Arial"/>
          <w:color w:val="000000" w:themeColor="text1"/>
        </w:rPr>
        <w:t xml:space="preserve"> como “Entidades del Estado que prestan servicios sanitarios o de sanidad con el propósito de preservar la salud humana y la salud pública”. Así mismo, el artículo citado también define las </w:t>
      </w:r>
      <w:r w:rsidRPr="3A5322BA">
        <w:rPr>
          <w:rFonts w:ascii="Verdana" w:eastAsia="Arial" w:hAnsi="Verdana" w:cs="Arial"/>
          <w:i/>
          <w:iCs/>
          <w:color w:val="000000" w:themeColor="text1"/>
        </w:rPr>
        <w:t>autoridades sanitarias</w:t>
      </w:r>
      <w:r w:rsidRPr="3A5322BA">
        <w:rPr>
          <w:rFonts w:ascii="Verdana" w:eastAsia="Arial" w:hAnsi="Verdana" w:cs="Arial"/>
          <w:color w:val="000000" w:themeColor="text1"/>
        </w:rPr>
        <w:t xml:space="preserve"> como “Entidades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w:t>
      </w:r>
      <w:r w:rsidRPr="005F5922">
        <w:rPr>
          <w:rFonts w:ascii="Verdana" w:eastAsia="Arial" w:hAnsi="Verdana" w:cs="Arial"/>
          <w:bCs/>
          <w:color w:val="000000" w:themeColor="text1"/>
          <w:vertAlign w:val="superscript"/>
        </w:rPr>
        <w:footnoteReference w:id="22"/>
      </w:r>
      <w:r w:rsidRPr="3A5322BA">
        <w:rPr>
          <w:rFonts w:ascii="Verdana" w:eastAsia="Arial" w:hAnsi="Verdana" w:cs="Arial"/>
          <w:color w:val="000000" w:themeColor="text1"/>
        </w:rPr>
        <w:t xml:space="preserve">. Sin embargo, es necesario tener en cuenta que la excepción del artículo 33 de la Ley de Garantías Electorales solo aplica a las </w:t>
      </w:r>
      <w:r w:rsidRPr="3A5322BA">
        <w:rPr>
          <w:rFonts w:ascii="Verdana" w:eastAsia="Arial" w:hAnsi="Verdana" w:cs="Arial"/>
          <w:i/>
          <w:iCs/>
          <w:color w:val="000000" w:themeColor="text1"/>
        </w:rPr>
        <w:t>entidades sanitarias</w:t>
      </w:r>
      <w:r w:rsidRPr="3A5322BA">
        <w:rPr>
          <w:rFonts w:ascii="Verdana" w:eastAsia="Arial" w:hAnsi="Verdana" w:cs="Arial"/>
          <w:color w:val="000000" w:themeColor="text1"/>
        </w:rPr>
        <w:t xml:space="preserve">, no a las </w:t>
      </w:r>
      <w:r w:rsidRPr="3A5322BA">
        <w:rPr>
          <w:rFonts w:ascii="Verdana" w:eastAsia="Arial" w:hAnsi="Verdana" w:cs="Arial"/>
          <w:i/>
          <w:iCs/>
          <w:color w:val="000000" w:themeColor="text1"/>
        </w:rPr>
        <w:t>autoridades sanitarias</w:t>
      </w:r>
      <w:r w:rsidRPr="3A5322BA">
        <w:rPr>
          <w:rFonts w:ascii="Verdana" w:eastAsia="Arial" w:hAnsi="Verdana" w:cs="Arial"/>
          <w:color w:val="000000" w:themeColor="text1"/>
        </w:rPr>
        <w:t xml:space="preserve">. </w:t>
      </w:r>
      <w:r w:rsidRPr="3A5322BA">
        <w:rPr>
          <w:rFonts w:ascii="Verdana" w:eastAsia="Arial" w:hAnsi="Verdana" w:cs="Arial"/>
          <w:color w:val="000000" w:themeColor="text1"/>
          <w:lang w:val="es-ES"/>
        </w:rPr>
        <w:t xml:space="preserve">Así las cosas, para efectos de la excepción del artículo 33 es indiferente que la entidad estatal tenga funciones de </w:t>
      </w:r>
      <w:r w:rsidRPr="3A5322BA">
        <w:rPr>
          <w:rFonts w:ascii="Verdana" w:eastAsia="Arial" w:hAnsi="Verdana" w:cs="Arial"/>
          <w:i/>
          <w:iCs/>
          <w:color w:val="000000" w:themeColor="text1"/>
          <w:lang w:val="es-ES"/>
        </w:rPr>
        <w:t>autoridad sanitaria</w:t>
      </w:r>
      <w:r w:rsidRPr="3A5322BA">
        <w:rPr>
          <w:rFonts w:ascii="Verdana" w:eastAsia="Arial" w:hAnsi="Verdana" w:cs="Arial"/>
          <w:color w:val="000000" w:themeColor="text1"/>
          <w:lang w:val="es-ES"/>
        </w:rPr>
        <w:t xml:space="preserve">, pues lo relevante para determinar si la contratación está exceptuada de la prohibición general no es el carácter de autoridad sanitaria, sino que se trate de una </w:t>
      </w:r>
      <w:r w:rsidRPr="3A5322BA">
        <w:rPr>
          <w:rFonts w:ascii="Verdana" w:eastAsia="Arial" w:hAnsi="Verdana" w:cs="Arial"/>
          <w:i/>
          <w:iCs/>
          <w:color w:val="000000" w:themeColor="text1"/>
          <w:lang w:val="es-ES"/>
        </w:rPr>
        <w:t>entidad sanitaria</w:t>
      </w:r>
      <w:r w:rsidRPr="3A5322BA">
        <w:rPr>
          <w:rFonts w:ascii="Verdana" w:eastAsia="Arial" w:hAnsi="Verdana" w:cs="Arial"/>
          <w:color w:val="000000" w:themeColor="text1"/>
          <w:lang w:val="es-ES"/>
        </w:rPr>
        <w:t xml:space="preserve">. </w:t>
      </w:r>
    </w:p>
    <w:p w14:paraId="513886ED" w14:textId="71DC6622" w:rsidR="00330BDF" w:rsidRPr="0057193B" w:rsidRDefault="00330BDF" w:rsidP="00330BDF">
      <w:pPr>
        <w:spacing w:line="276" w:lineRule="auto"/>
        <w:ind w:firstLine="709"/>
        <w:jc w:val="both"/>
        <w:rPr>
          <w:rFonts w:ascii="Verdana" w:eastAsia="Times New Roman" w:hAnsi="Verdana" w:cs="Arial"/>
          <w:sz w:val="20"/>
          <w:szCs w:val="20"/>
          <w:lang w:val="es-MX" w:eastAsia="x-none"/>
        </w:rPr>
      </w:pPr>
      <w:r w:rsidRPr="3A5322BA">
        <w:rPr>
          <w:rFonts w:ascii="Verdana" w:eastAsia="Arial" w:hAnsi="Verdana" w:cs="Arial"/>
          <w:color w:val="000000" w:themeColor="text1"/>
          <w:lang w:val="es-ES"/>
        </w:rPr>
        <w:t>Atendiendo el marco jurídico analizado</w:t>
      </w:r>
      <w:r w:rsidRPr="3A5322BA">
        <w:rPr>
          <w:rFonts w:ascii="Verdana" w:eastAsia="Times New Roman" w:hAnsi="Verdana" w:cs="Arial"/>
          <w:lang w:val="es-MX"/>
        </w:rPr>
        <w:t xml:space="preserve">, le compete a cada entidad estatal que considera celebrar un contrato específico, definir si este se enmarca en la prohibición establecida en el artículo 33 que restringe la contratación directa en el periodo preelectoral a las elecciones presidenciales. Lo anterior, adicionalmente, teniendo en cuenta las excepciones a la prohibición establecidas en el inciso segundo del mismo artículo 33. Además, se reitera que la restricción aplica frente a la contratación directa, entendida como cualquier sistema de selección o procedimiento de contratación utilizado por las entidades estatales que no incluya la convocatoria pública en alguna de sus etapas, ni permita la participación de una pluralidad de oferentes; por lo que las entidades que se rigen por el derecho privado podrán celebrar contratos de acuerdo con los procedimientos contractuales desarrollados en sus manuales de contratación, bajo el entendido que estos permitan la participación de una pluralidad de oferentes. </w:t>
      </w:r>
    </w:p>
    <w:p w14:paraId="009D00C7" w14:textId="483A3DBC" w:rsidR="00330BDF" w:rsidRDefault="00330BDF" w:rsidP="00AB1892">
      <w:pPr>
        <w:spacing w:after="0" w:line="276" w:lineRule="auto"/>
        <w:ind w:firstLine="709"/>
        <w:jc w:val="both"/>
        <w:rPr>
          <w:rFonts w:ascii="Verdana" w:eastAsia="Times New Roman" w:hAnsi="Verdana" w:cs="Arial"/>
          <w:color w:val="000000" w:themeColor="text1"/>
          <w:lang w:val="es-ES" w:eastAsia="es-ES"/>
        </w:rPr>
      </w:pPr>
      <w:r w:rsidRPr="3A5322BA">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7D5F30DB" w14:textId="77777777" w:rsidR="00AB1892" w:rsidRPr="004C2E9A" w:rsidRDefault="00AB1892" w:rsidP="00EA612E">
      <w:pPr>
        <w:spacing w:after="0" w:line="276" w:lineRule="auto"/>
        <w:ind w:firstLine="709"/>
        <w:jc w:val="both"/>
        <w:rPr>
          <w:rFonts w:ascii="Verdana" w:eastAsia="Times New Roman" w:hAnsi="Verdana" w:cs="Arial"/>
          <w:color w:val="000000"/>
          <w:lang w:val="es-ES" w:eastAsia="es-ES"/>
        </w:rPr>
      </w:pPr>
    </w:p>
    <w:bookmarkEnd w:id="10"/>
    <w:p w14:paraId="22337B22" w14:textId="77777777" w:rsidR="00330BDF" w:rsidRPr="00D22F9B" w:rsidRDefault="00330BDF" w:rsidP="00EA612E">
      <w:pPr>
        <w:pStyle w:val="Prrafodelista"/>
        <w:numPr>
          <w:ilvl w:val="0"/>
          <w:numId w:val="19"/>
        </w:numPr>
        <w:tabs>
          <w:tab w:val="left" w:pos="142"/>
          <w:tab w:val="left" w:pos="284"/>
        </w:tabs>
        <w:spacing w:after="0" w:line="276" w:lineRule="auto"/>
        <w:contextualSpacing w:val="0"/>
        <w:jc w:val="both"/>
        <w:rPr>
          <w:rFonts w:ascii="Verdana" w:eastAsia="Century Gothic" w:hAnsi="Verdana" w:cs="Century Gothic"/>
          <w:b/>
          <w:bCs/>
        </w:rPr>
      </w:pPr>
      <w:r w:rsidRPr="00D22F9B">
        <w:rPr>
          <w:rFonts w:ascii="Verdana" w:eastAsia="Century Gothic" w:hAnsi="Verdana" w:cs="Century Gothic"/>
          <w:b/>
          <w:bCs/>
        </w:rPr>
        <w:t>Referencias normativas y jurisprudenciales:</w:t>
      </w:r>
    </w:p>
    <w:p w14:paraId="2C077A9B" w14:textId="77777777" w:rsidR="00330BDF" w:rsidRPr="00D22F9B" w:rsidRDefault="00330BDF" w:rsidP="00330BDF">
      <w:pPr>
        <w:widowControl w:val="0"/>
        <w:autoSpaceDE w:val="0"/>
        <w:autoSpaceDN w:val="0"/>
        <w:spacing w:after="0" w:line="276" w:lineRule="auto"/>
        <w:jc w:val="both"/>
        <w:rPr>
          <w:rFonts w:ascii="Verdana" w:eastAsia="Calibri"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30BDF" w:rsidRPr="00D22F9B" w14:paraId="314FB8C3" w14:textId="77777777">
        <w:trPr>
          <w:trHeight w:val="410"/>
          <w:jc w:val="center"/>
        </w:trPr>
        <w:tc>
          <w:tcPr>
            <w:tcW w:w="8647" w:type="dxa"/>
          </w:tcPr>
          <w:p w14:paraId="35F75494" w14:textId="6DBD727D" w:rsidR="00330BDF" w:rsidRPr="00886B78" w:rsidRDefault="00330BDF" w:rsidP="008F4A6F">
            <w:pPr>
              <w:pStyle w:val="Sinespaciado"/>
              <w:numPr>
                <w:ilvl w:val="0"/>
                <w:numId w:val="17"/>
              </w:numPr>
              <w:spacing w:line="276" w:lineRule="auto"/>
              <w:jc w:val="both"/>
              <w:rPr>
                <w:rFonts w:ascii="Verdana" w:hAnsi="Verdana"/>
                <w:lang w:val="es-ES" w:eastAsia="es-ES" w:bidi="es-ES"/>
              </w:rPr>
            </w:pPr>
            <w:r w:rsidRPr="00886B78">
              <w:rPr>
                <w:rFonts w:ascii="Verdana" w:hAnsi="Verdana"/>
                <w:lang w:eastAsia="es-ES" w:bidi="es-ES"/>
              </w:rPr>
              <w:t>Constitución Política</w:t>
            </w:r>
            <w:r w:rsidR="00AB1892">
              <w:rPr>
                <w:rFonts w:ascii="Verdana" w:hAnsi="Verdana"/>
                <w:lang w:eastAsia="es-ES" w:bidi="es-ES"/>
              </w:rPr>
              <w:t>, a</w:t>
            </w:r>
            <w:r w:rsidRPr="00886B78">
              <w:rPr>
                <w:rFonts w:ascii="Verdana" w:hAnsi="Verdana"/>
                <w:lang w:eastAsia="es-ES" w:bidi="es-ES"/>
              </w:rPr>
              <w:t>rtículo 127</w:t>
            </w:r>
            <w:r w:rsidR="00D450A3">
              <w:rPr>
                <w:rFonts w:ascii="Verdana" w:hAnsi="Verdana"/>
                <w:lang w:eastAsia="es-ES" w:bidi="es-ES"/>
              </w:rPr>
              <w:t>, 190 y 197</w:t>
            </w:r>
            <w:r w:rsidR="00AB1892">
              <w:rPr>
                <w:rFonts w:ascii="Verdana" w:hAnsi="Verdana"/>
                <w:lang w:eastAsia="es-ES" w:bidi="es-ES"/>
              </w:rPr>
              <w:t>,</w:t>
            </w:r>
          </w:p>
          <w:p w14:paraId="6C747FCD" w14:textId="77777777" w:rsidR="00330BDF" w:rsidRPr="00886B78" w:rsidRDefault="00330BDF" w:rsidP="008F4A6F">
            <w:pPr>
              <w:pStyle w:val="Sinespaciado"/>
              <w:numPr>
                <w:ilvl w:val="0"/>
                <w:numId w:val="17"/>
              </w:numPr>
              <w:spacing w:line="276" w:lineRule="auto"/>
              <w:jc w:val="both"/>
              <w:rPr>
                <w:rFonts w:ascii="Verdana" w:hAnsi="Verdana"/>
                <w:lang w:val="es-ES" w:eastAsia="es-ES" w:bidi="es-ES"/>
              </w:rPr>
            </w:pPr>
            <w:r w:rsidRPr="00886B78">
              <w:rPr>
                <w:rFonts w:ascii="Verdana" w:hAnsi="Verdana"/>
                <w:lang w:val="es-ES" w:eastAsia="es-ES" w:bidi="es-ES"/>
              </w:rPr>
              <w:t xml:space="preserve">Ley 80 de 1993, artículos 39, 41, 44, 46, 49 y 60. </w:t>
            </w:r>
          </w:p>
          <w:p w14:paraId="7B4DA088" w14:textId="77777777" w:rsidR="00AB1892" w:rsidRPr="00886B78" w:rsidRDefault="00AB1892" w:rsidP="00AB1892">
            <w:pPr>
              <w:pStyle w:val="Sinespaciado"/>
              <w:numPr>
                <w:ilvl w:val="0"/>
                <w:numId w:val="17"/>
              </w:numPr>
              <w:spacing w:line="276" w:lineRule="auto"/>
              <w:jc w:val="both"/>
              <w:rPr>
                <w:rFonts w:ascii="Verdana" w:hAnsi="Verdana"/>
                <w:lang w:val="es-ES" w:eastAsia="es-ES" w:bidi="es-ES"/>
              </w:rPr>
            </w:pPr>
            <w:r>
              <w:rPr>
                <w:rFonts w:ascii="Verdana" w:hAnsi="Verdana"/>
                <w:bCs/>
                <w:lang w:val="es-ES" w:eastAsia="es-ES" w:bidi="es-ES"/>
              </w:rPr>
              <w:t>Ley 100 de 1993, artículo 94, 197.</w:t>
            </w:r>
          </w:p>
          <w:p w14:paraId="46ED5160" w14:textId="77777777" w:rsidR="00AB1892" w:rsidRPr="00A72697" w:rsidRDefault="00AB1892" w:rsidP="00AB1892">
            <w:pPr>
              <w:pStyle w:val="Sinespaciado"/>
              <w:numPr>
                <w:ilvl w:val="0"/>
                <w:numId w:val="17"/>
              </w:numPr>
              <w:spacing w:line="276" w:lineRule="auto"/>
              <w:jc w:val="both"/>
              <w:rPr>
                <w:rFonts w:ascii="Verdana" w:hAnsi="Verdana"/>
                <w:lang w:val="es-ES" w:eastAsia="es-ES" w:bidi="es-ES"/>
              </w:rPr>
            </w:pPr>
            <w:r w:rsidRPr="00886B78">
              <w:rPr>
                <w:rFonts w:ascii="Verdana" w:hAnsi="Verdana"/>
                <w:bCs/>
                <w:lang w:val="es-ES" w:eastAsia="es-ES" w:bidi="es-ES"/>
              </w:rPr>
              <w:t>Ley 996 de 2005</w:t>
            </w:r>
            <w:r>
              <w:rPr>
                <w:rFonts w:ascii="Verdana" w:hAnsi="Verdana"/>
                <w:bCs/>
                <w:lang w:val="es-ES" w:eastAsia="es-ES" w:bidi="es-ES"/>
              </w:rPr>
              <w:t>,</w:t>
            </w:r>
            <w:r w:rsidRPr="00886B78">
              <w:rPr>
                <w:rFonts w:ascii="Verdana" w:hAnsi="Verdana"/>
                <w:bCs/>
                <w:lang w:val="es-ES" w:eastAsia="es-ES" w:bidi="es-ES"/>
              </w:rPr>
              <w:t xml:space="preserve"> artículos 33 y 38 parágrafo.</w:t>
            </w:r>
          </w:p>
          <w:p w14:paraId="4C57CF50" w14:textId="1995D496" w:rsidR="00330BDF" w:rsidRPr="00886B78" w:rsidRDefault="00330BDF" w:rsidP="008F4A6F">
            <w:pPr>
              <w:pStyle w:val="Sinespaciado"/>
              <w:numPr>
                <w:ilvl w:val="0"/>
                <w:numId w:val="17"/>
              </w:numPr>
              <w:spacing w:line="276" w:lineRule="auto"/>
              <w:jc w:val="both"/>
              <w:rPr>
                <w:rFonts w:ascii="Verdana" w:hAnsi="Verdana"/>
                <w:lang w:val="es-ES" w:eastAsia="es-ES" w:bidi="es-ES"/>
              </w:rPr>
            </w:pPr>
            <w:r w:rsidRPr="00886B78">
              <w:rPr>
                <w:rFonts w:ascii="Verdana" w:hAnsi="Verdana"/>
                <w:lang w:val="es-ES" w:eastAsia="es-ES" w:bidi="es-ES"/>
              </w:rPr>
              <w:t xml:space="preserve">Ley 1150 de 2007, artículo </w:t>
            </w:r>
            <w:r w:rsidR="00A47EA1">
              <w:rPr>
                <w:rFonts w:ascii="Verdana" w:hAnsi="Verdana"/>
                <w:lang w:val="es-ES" w:eastAsia="es-ES" w:bidi="es-ES"/>
              </w:rPr>
              <w:t>2</w:t>
            </w:r>
            <w:r w:rsidR="00A72697">
              <w:rPr>
                <w:rFonts w:ascii="Verdana" w:hAnsi="Verdana"/>
                <w:lang w:val="es-ES" w:eastAsia="es-ES" w:bidi="es-ES"/>
              </w:rPr>
              <w:t xml:space="preserve">, </w:t>
            </w:r>
            <w:r w:rsidR="00A72697" w:rsidRPr="00A72697">
              <w:rPr>
                <w:rFonts w:ascii="Verdana" w:hAnsi="Verdana"/>
                <w:lang w:val="es-ES" w:eastAsia="es-ES" w:bidi="es-ES"/>
              </w:rPr>
              <w:t>numeral 4</w:t>
            </w:r>
            <w:r w:rsidRPr="00886B78">
              <w:rPr>
                <w:rFonts w:ascii="Verdana" w:hAnsi="Verdana"/>
                <w:lang w:val="es-ES" w:eastAsia="es-ES" w:bidi="es-ES"/>
              </w:rPr>
              <w:t xml:space="preserve"> </w:t>
            </w:r>
          </w:p>
          <w:p w14:paraId="4873A86F" w14:textId="77777777" w:rsidR="004E4CFC" w:rsidRDefault="004E4CFC" w:rsidP="004E4CFC">
            <w:pPr>
              <w:pStyle w:val="Sinespaciado"/>
              <w:numPr>
                <w:ilvl w:val="0"/>
                <w:numId w:val="17"/>
              </w:numPr>
              <w:spacing w:line="276" w:lineRule="auto"/>
              <w:jc w:val="both"/>
              <w:rPr>
                <w:rFonts w:ascii="Verdana" w:hAnsi="Verdana"/>
                <w:lang w:val="es-ES" w:eastAsia="es-ES" w:bidi="es-ES"/>
              </w:rPr>
            </w:pPr>
            <w:r w:rsidRPr="004E4CFC">
              <w:rPr>
                <w:rFonts w:ascii="Verdana" w:hAnsi="Verdana"/>
                <w:lang w:val="es-ES" w:eastAsia="es-ES" w:bidi="es-ES"/>
              </w:rPr>
              <w:t>Decreto 780 de 2016, artículo 2.8.8.1.4.2</w:t>
            </w:r>
          </w:p>
          <w:p w14:paraId="666F09D0" w14:textId="3165C83E" w:rsidR="004E4CFC" w:rsidRPr="004E4CFC" w:rsidRDefault="00C22F05" w:rsidP="004E4CFC">
            <w:pPr>
              <w:pStyle w:val="Sinespaciado"/>
              <w:numPr>
                <w:ilvl w:val="0"/>
                <w:numId w:val="17"/>
              </w:numPr>
              <w:spacing w:line="276" w:lineRule="auto"/>
              <w:jc w:val="both"/>
              <w:rPr>
                <w:rFonts w:ascii="Verdana" w:hAnsi="Verdana"/>
                <w:lang w:val="es-ES" w:eastAsia="es-ES" w:bidi="es-ES"/>
              </w:rPr>
            </w:pPr>
            <w:r w:rsidRPr="004E4CFC">
              <w:rPr>
                <w:rFonts w:ascii="Verdana" w:hAnsi="Verdana"/>
                <w:lang w:val="es-ES" w:eastAsia="es-ES" w:bidi="es-ES"/>
              </w:rPr>
              <w:t>Corte Constitucional, Sentencia C- 1153 de 11 de noviembre de 2005, M.P. Marco Gerardo Monroy Cabra.</w:t>
            </w:r>
          </w:p>
          <w:p w14:paraId="4CD84CCC" w14:textId="77777777" w:rsidR="004E4CFC" w:rsidRDefault="004E4CFC" w:rsidP="004E4CFC">
            <w:pPr>
              <w:pStyle w:val="Sinespaciado"/>
              <w:numPr>
                <w:ilvl w:val="0"/>
                <w:numId w:val="17"/>
              </w:numPr>
              <w:spacing w:line="276" w:lineRule="auto"/>
              <w:jc w:val="both"/>
              <w:rPr>
                <w:rFonts w:ascii="Verdana" w:hAnsi="Verdana"/>
                <w:lang w:val="es-ES" w:eastAsia="es-ES" w:bidi="es-ES"/>
              </w:rPr>
            </w:pPr>
            <w:r w:rsidRPr="004E4CFC">
              <w:rPr>
                <w:rFonts w:ascii="Verdana" w:hAnsi="Verdana"/>
                <w:lang w:val="es-ES" w:eastAsia="es-ES" w:bidi="es-ES"/>
              </w:rPr>
              <w:t xml:space="preserve">Consejo de Estado, Sala de Consulta y Servicio Civil de fecha 24 de julio de 2013, radicado 2166, C. P. Álvaro Namén Vargas. </w:t>
            </w:r>
          </w:p>
          <w:p w14:paraId="2FFBD1A5" w14:textId="77777777" w:rsidR="00C52102" w:rsidRPr="004E4CFC" w:rsidRDefault="00C52102" w:rsidP="00C52102">
            <w:pPr>
              <w:pStyle w:val="Sinespaciado"/>
              <w:numPr>
                <w:ilvl w:val="0"/>
                <w:numId w:val="17"/>
              </w:numPr>
              <w:spacing w:line="276" w:lineRule="auto"/>
              <w:jc w:val="both"/>
              <w:rPr>
                <w:rFonts w:ascii="Verdana" w:hAnsi="Verdana"/>
                <w:lang w:val="es-ES" w:eastAsia="es-ES" w:bidi="es-ES"/>
              </w:rPr>
            </w:pPr>
            <w:r w:rsidRPr="004E4CFC">
              <w:rPr>
                <w:rFonts w:ascii="Verdana" w:hAnsi="Verdana"/>
                <w:lang w:val="es-ES" w:eastAsia="es-ES" w:bidi="es-ES"/>
              </w:rPr>
              <w:t>Consejo de Estado. Sala de Consulta y Servicio Civil. Concepto del 2 de septiembre de 2013. Radicación número: 11001-03-06-000-2013-00412-00 (2168). Consejero Ponente: Álvaro Namén Vargas.</w:t>
            </w:r>
          </w:p>
          <w:p w14:paraId="21071EF4" w14:textId="77777777" w:rsidR="004E4CFC" w:rsidRPr="004E4CFC" w:rsidRDefault="004E4CFC" w:rsidP="004E4CFC">
            <w:pPr>
              <w:pStyle w:val="Sinespaciado"/>
              <w:numPr>
                <w:ilvl w:val="0"/>
                <w:numId w:val="17"/>
              </w:numPr>
              <w:spacing w:line="276" w:lineRule="auto"/>
              <w:jc w:val="both"/>
              <w:rPr>
                <w:rFonts w:ascii="Verdana" w:hAnsi="Verdana"/>
                <w:lang w:val="es-ES" w:eastAsia="es-ES" w:bidi="es-ES"/>
              </w:rPr>
            </w:pPr>
            <w:r w:rsidRPr="004E4CFC">
              <w:rPr>
                <w:rFonts w:ascii="Verdana" w:hAnsi="Verdana"/>
                <w:lang w:val="es-ES" w:eastAsia="es-ES" w:bidi="es-ES"/>
              </w:rPr>
              <w:t xml:space="preserve">Consejo de Estado. Sala de Consulta y Servicio Civil. Concepto del 17 de febrero de 2015. C.P. William Zambrano Cetina. Radicación No. 11001-03-06-000-2015-00164-00(2269). </w:t>
            </w:r>
          </w:p>
          <w:p w14:paraId="23187B82" w14:textId="77777777" w:rsidR="00330BDF" w:rsidRDefault="004E4CFC" w:rsidP="00C52102">
            <w:pPr>
              <w:pStyle w:val="Sinespaciado"/>
              <w:numPr>
                <w:ilvl w:val="0"/>
                <w:numId w:val="17"/>
              </w:numPr>
              <w:spacing w:line="276" w:lineRule="auto"/>
              <w:jc w:val="both"/>
              <w:rPr>
                <w:rFonts w:ascii="Verdana" w:hAnsi="Verdana"/>
                <w:lang w:val="es-ES" w:eastAsia="es-ES" w:bidi="es-ES"/>
              </w:rPr>
            </w:pPr>
            <w:r w:rsidRPr="004E4CFC">
              <w:rPr>
                <w:rFonts w:ascii="Verdana" w:hAnsi="Verdana"/>
                <w:lang w:val="es-ES" w:eastAsia="es-ES" w:bidi="es-ES"/>
              </w:rPr>
              <w:t>Consejo de Estado. Sala de Consulta y Servicio Civil, Concepto de 8 de mayo de 2018. Radicación Número: 11001-03-06-000-2018-00095-00(2382). Consejero Ponente: Álvaro Namén Vargas</w:t>
            </w:r>
          </w:p>
          <w:p w14:paraId="6D4CAB2C" w14:textId="47E5C4B7" w:rsidR="007D1A5A" w:rsidRPr="00C52102" w:rsidRDefault="007D1A5A" w:rsidP="00284AD6">
            <w:pPr>
              <w:pStyle w:val="Sinespaciado"/>
              <w:numPr>
                <w:ilvl w:val="0"/>
                <w:numId w:val="17"/>
              </w:numPr>
              <w:spacing w:line="276" w:lineRule="auto"/>
              <w:jc w:val="both"/>
              <w:rPr>
                <w:rFonts w:ascii="Verdana" w:hAnsi="Verdana"/>
                <w:lang w:val="es-ES" w:eastAsia="es-ES" w:bidi="es-ES"/>
              </w:rPr>
            </w:pPr>
            <w:r w:rsidRPr="004E4CFC">
              <w:rPr>
                <w:rFonts w:ascii="Verdana" w:hAnsi="Verdana"/>
                <w:lang w:val="es-ES" w:eastAsia="es-ES" w:bidi="es-ES"/>
              </w:rPr>
              <w:t>Colombia Compra Eficiente. Circular Externa Única. Numeral 16.5.</w:t>
            </w:r>
            <w:r w:rsidR="00284AD6">
              <w:rPr>
                <w:rFonts w:ascii="Verdana" w:hAnsi="Verdana"/>
                <w:lang w:val="es-ES" w:eastAsia="es-ES" w:bidi="es-ES"/>
              </w:rPr>
              <w:t xml:space="preserve"> Disponible en línea: </w:t>
            </w:r>
            <w:hyperlink r:id="rId13" w:history="1">
              <w:r w:rsidR="00284AD6" w:rsidRPr="00861082">
                <w:rPr>
                  <w:rStyle w:val="Hipervnculo"/>
                  <w:rFonts w:ascii="Verdana" w:eastAsia="Calibri" w:hAnsi="Verdana" w:cs="Arial"/>
                  <w:lang w:val="es-ES"/>
                </w:rPr>
                <w:t>https://www.colombiacompra.gov.co/normativa-y-relatoria/circular-unica-externa</w:t>
              </w:r>
            </w:hyperlink>
          </w:p>
        </w:tc>
      </w:tr>
    </w:tbl>
    <w:p w14:paraId="5A6FDB64" w14:textId="77777777" w:rsidR="00330BDF" w:rsidRPr="00AB1892" w:rsidRDefault="00330BDF" w:rsidP="00AB1892">
      <w:pPr>
        <w:widowControl w:val="0"/>
        <w:autoSpaceDE w:val="0"/>
        <w:autoSpaceDN w:val="0"/>
        <w:spacing w:after="0" w:line="276" w:lineRule="auto"/>
        <w:jc w:val="both"/>
        <w:rPr>
          <w:rFonts w:ascii="Verdana" w:eastAsia="Calibri" w:hAnsi="Verdana" w:cs="Arial"/>
        </w:rPr>
      </w:pPr>
    </w:p>
    <w:p w14:paraId="10408145" w14:textId="77777777" w:rsidR="00330BDF" w:rsidRPr="00FA58D8" w:rsidRDefault="00330BDF" w:rsidP="00EA612E">
      <w:pPr>
        <w:pStyle w:val="Prrafodelista"/>
        <w:numPr>
          <w:ilvl w:val="0"/>
          <w:numId w:val="19"/>
        </w:numPr>
        <w:tabs>
          <w:tab w:val="left" w:pos="142"/>
          <w:tab w:val="left" w:pos="284"/>
        </w:tabs>
        <w:spacing w:after="0" w:line="276" w:lineRule="auto"/>
        <w:contextualSpacing w:val="0"/>
        <w:jc w:val="both"/>
        <w:rPr>
          <w:rFonts w:ascii="Verdana" w:eastAsia="Century Gothic" w:hAnsi="Verdana" w:cs="Century Gothic"/>
          <w:b/>
          <w:bCs/>
        </w:rPr>
      </w:pPr>
      <w:r w:rsidRPr="00AB1892">
        <w:rPr>
          <w:rFonts w:ascii="Verdana" w:eastAsia="Century Gothic" w:hAnsi="Verdana" w:cs="Century Gothic"/>
          <w:b/>
          <w:bCs/>
        </w:rPr>
        <w:t xml:space="preserve">Doctrina de la </w:t>
      </w:r>
      <w:r w:rsidRPr="00FA58D8">
        <w:rPr>
          <w:rFonts w:ascii="Verdana" w:eastAsia="Century Gothic" w:hAnsi="Verdana" w:cs="Century Gothic"/>
          <w:b/>
          <w:bCs/>
        </w:rPr>
        <w:t>Agencia Nacional de Contratación Pública:</w:t>
      </w:r>
    </w:p>
    <w:p w14:paraId="15ABE3CC" w14:textId="77777777" w:rsidR="00330BDF" w:rsidRPr="00AB1892" w:rsidRDefault="00330BDF">
      <w:pPr>
        <w:widowControl w:val="0"/>
        <w:autoSpaceDE w:val="0"/>
        <w:autoSpaceDN w:val="0"/>
        <w:spacing w:after="0" w:line="276" w:lineRule="auto"/>
        <w:jc w:val="both"/>
        <w:rPr>
          <w:rFonts w:ascii="Verdana" w:eastAsia="Calibri" w:hAnsi="Verdana" w:cs="Arial"/>
          <w:color w:val="000000"/>
          <w:kern w:val="2"/>
          <w:shd w:val="clear" w:color="auto" w:fill="FFFFFF"/>
          <w14:ligatures w14:val="standardContextual"/>
        </w:rPr>
      </w:pPr>
    </w:p>
    <w:p w14:paraId="3B368B41" w14:textId="255B8C66" w:rsidR="00812ECD" w:rsidRDefault="00330BDF" w:rsidP="00AB1892">
      <w:pPr>
        <w:widowControl w:val="0"/>
        <w:autoSpaceDE w:val="0"/>
        <w:autoSpaceDN w:val="0"/>
        <w:spacing w:after="0" w:line="276" w:lineRule="auto"/>
        <w:jc w:val="both"/>
        <w:rPr>
          <w:rFonts w:ascii="Verdana" w:hAnsi="Verdana" w:cs="Arial"/>
          <w:shd w:val="clear" w:color="auto" w:fill="FFFFFF"/>
        </w:rPr>
      </w:pPr>
      <w:r w:rsidRPr="00AB1892">
        <w:rPr>
          <w:rStyle w:val="normaltextrun"/>
          <w:rFonts w:ascii="Verdana" w:hAnsi="Verdana" w:cs="Arial"/>
          <w:shd w:val="clear" w:color="auto" w:fill="FFFFFF"/>
          <w:lang w:val="es-ES_tradnl"/>
        </w:rPr>
        <w:t xml:space="preserve">Esta Subdirección se ha pronunciado sobre </w:t>
      </w:r>
      <w:r w:rsidRPr="00AB1892">
        <w:rPr>
          <w:rFonts w:ascii="Verdana" w:hAnsi="Verdana" w:cs="Arial"/>
          <w:shd w:val="clear" w:color="auto" w:fill="FFFFFF"/>
          <w:lang w:val="es-ES"/>
        </w:rPr>
        <w:t xml:space="preserve">la finalidad y propósito de la Ley de Garantías Electorales,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entre otros. </w:t>
      </w:r>
      <w:r w:rsidRPr="00AB1892">
        <w:rPr>
          <w:rFonts w:ascii="Verdana" w:hAnsi="Verdana" w:cs="Arial"/>
          <w:shd w:val="clear" w:color="auto" w:fill="FFFFFF"/>
        </w:rPr>
        <w:t xml:space="preserve">Esta Subdirección se ha pronunciado sobre la liquidación en los conceptos 4201912000004908 del 27 de septiembre de 2019, CU-028 de 25 de febrero de 2020, C-221 de 21 de abril de 2020, C-078 del 17 de marzo de 2021, C-220 del 18 de mayo de 2021, C-444 del 23 de julio de 2021, C-747 del 8 de noviembre de 2022, C-739 de del 29 de noviembre de 2022, C- 176 de 3 de mayo de 2023, C-158 del 6 de junio de 2023, C-326 del 15 de agosto de 2024, C-568 del 18 de octubre de 2024 y C-774 del 20 de noviembre de 2024. </w:t>
      </w:r>
      <w:r w:rsidRPr="00AB1892">
        <w:rPr>
          <w:rFonts w:ascii="Verdana" w:eastAsia="Aptos" w:hAnsi="Verdana" w:cs="Arial"/>
          <w:shd w:val="clear" w:color="auto" w:fill="FFFFFF"/>
          <w:lang w:val="es-ES"/>
        </w:rPr>
        <w:t xml:space="preserve">Sobre la nulidad de los contratos estatales, esta Subdirección se ha referido en los Conceptos </w:t>
      </w:r>
      <w:r w:rsidRPr="00AB1892">
        <w:rPr>
          <w:rFonts w:ascii="Verdana" w:eastAsia="Calibri" w:hAnsi="Verdana" w:cs="Arial"/>
          <w:lang w:val="es-ES_tradnl" w:eastAsia="es-MX"/>
        </w:rPr>
        <w:t>C</w:t>
      </w:r>
      <w:r w:rsidRPr="00AB1892">
        <w:rPr>
          <w:rFonts w:ascii="Verdana" w:eastAsia="Aptos" w:hAnsi="Verdana" w:cs="Times New Roman"/>
        </w:rPr>
        <w:t xml:space="preserve"> </w:t>
      </w:r>
      <w:r w:rsidRPr="00AB1892">
        <w:rPr>
          <w:rFonts w:ascii="Verdana" w:eastAsia="Calibri" w:hAnsi="Verdana" w:cs="Arial"/>
          <w:lang w:val="es-ES_tradnl" w:eastAsia="es-MX"/>
        </w:rPr>
        <w:t>C-600 del 13 de octubre de 2020, C-378 del 31 de agosto de 2021, C-575 del 13 de octubre de 2021, C-896 del 17 de enero de 2023, C-041 del 20 de febrero de 2025</w:t>
      </w:r>
      <w:r w:rsidRPr="00AB1892">
        <w:rPr>
          <w:rFonts w:ascii="Verdana" w:eastAsia="Aptos" w:hAnsi="Verdana" w:cs="Arial"/>
          <w:shd w:val="clear" w:color="auto" w:fill="FFFFFF"/>
          <w:lang w:val="es-ES"/>
        </w:rPr>
        <w:t xml:space="preserve">, C-466 del 16 de mayo de 2025, C-510 del 4 de junio de 2025, C-696 del 11 de julio de 2025, 1868 del 09 de febrero de 2026, entre otros. </w:t>
      </w:r>
      <w:r w:rsidRPr="00AB1892">
        <w:rPr>
          <w:rFonts w:ascii="Verdana" w:hAnsi="Verdana" w:cs="Arial"/>
          <w:shd w:val="clear" w:color="auto" w:fill="FFFFFF"/>
        </w:rPr>
        <w:t>E</w:t>
      </w:r>
      <w:proofErr w:type="spellStart"/>
      <w:r w:rsidRPr="00AB1892">
        <w:rPr>
          <w:rFonts w:ascii="Verdana" w:hAnsi="Verdana" w:cs="Arial"/>
          <w:shd w:val="clear" w:color="auto" w:fill="FFFFFF"/>
          <w:lang w:val="es-ES"/>
        </w:rPr>
        <w:t>stos</w:t>
      </w:r>
      <w:proofErr w:type="spellEnd"/>
      <w:r w:rsidRPr="00AB1892">
        <w:rPr>
          <w:rFonts w:ascii="Verdana" w:hAnsi="Verdana" w:cs="Arial"/>
          <w:shd w:val="clear" w:color="auto" w:fill="FFFFFF"/>
          <w:lang w:val="es-ES"/>
        </w:rPr>
        <w:t xml:space="preserve"> y otros </w:t>
      </w:r>
      <w:r w:rsidRPr="00AB1892">
        <w:rPr>
          <w:rFonts w:ascii="Verdana" w:hAnsi="Verdana"/>
        </w:rPr>
        <w:t>conceptos se encuentran disponibles para consulta en el Sistema de relatoría de la Agencia, al cual se puede acceder a través del siguiente enlace:</w:t>
      </w:r>
      <w:r w:rsidRPr="00AB1892">
        <w:rPr>
          <w:rFonts w:ascii="Verdana" w:hAnsi="Verdana" w:cs="Arial"/>
          <w:shd w:val="clear" w:color="auto" w:fill="FFFFFF"/>
        </w:rPr>
        <w:t xml:space="preserve"> </w:t>
      </w:r>
      <w:hyperlink r:id="rId14" w:history="1">
        <w:r w:rsidRPr="00AB1892">
          <w:rPr>
            <w:rFonts w:ascii="Verdana" w:hAnsi="Verdana" w:cs="Arial"/>
            <w:color w:val="0563C1" w:themeColor="hyperlink"/>
            <w:u w:val="single"/>
            <w:shd w:val="clear" w:color="auto" w:fill="FFFFFF"/>
          </w:rPr>
          <w:t>https://relatoria.colombiacompra.gov.co/busqueda/conceptos</w:t>
        </w:r>
      </w:hyperlink>
      <w:r w:rsidRPr="00AB1892">
        <w:rPr>
          <w:rFonts w:ascii="Verdana" w:hAnsi="Verdana" w:cs="Arial"/>
          <w:shd w:val="clear" w:color="auto" w:fill="FFFFFF"/>
        </w:rPr>
        <w:t>.</w:t>
      </w:r>
    </w:p>
    <w:p w14:paraId="4425F441" w14:textId="77777777" w:rsidR="00AB1892" w:rsidRPr="00AB1892" w:rsidRDefault="00AB1892" w:rsidP="00EA612E">
      <w:pPr>
        <w:widowControl w:val="0"/>
        <w:autoSpaceDE w:val="0"/>
        <w:autoSpaceDN w:val="0"/>
        <w:spacing w:after="0" w:line="276" w:lineRule="auto"/>
        <w:jc w:val="both"/>
        <w:rPr>
          <w:rFonts w:ascii="Verdana" w:hAnsi="Verdana" w:cs="Arial"/>
          <w:shd w:val="clear" w:color="auto" w:fill="FFFFFF"/>
        </w:rPr>
      </w:pPr>
    </w:p>
    <w:p w14:paraId="31B3497B" w14:textId="5878A15B" w:rsidR="00330BDF" w:rsidRDefault="00330BDF" w:rsidP="00AB1892">
      <w:pPr>
        <w:widowControl w:val="0"/>
        <w:autoSpaceDE w:val="0"/>
        <w:autoSpaceDN w:val="0"/>
        <w:spacing w:after="0" w:line="276" w:lineRule="auto"/>
        <w:jc w:val="both"/>
        <w:rPr>
          <w:rFonts w:ascii="Verdana" w:hAnsi="Verdana"/>
        </w:rPr>
      </w:pPr>
      <w:r w:rsidRPr="00AB1892">
        <w:rPr>
          <w:rFonts w:ascii="Verdana" w:hAnsi="Verdana"/>
        </w:rPr>
        <w:t xml:space="preserve">Aprovechamos la oportunidad de manifestar la entera disposición de la Agencia Nacional de Contratación </w:t>
      </w:r>
      <w:r w:rsidRPr="00FA58D8">
        <w:rPr>
          <w:rFonts w:ascii="Verdana" w:hAnsi="Verdana"/>
        </w:rPr>
        <w:t xml:space="preserve">Pública –Colombia Compra Eficiente– para atender las peticiones o solicitudes, así como para brindar el apoyo que se requiera en el marco de nuestras funciones a través de nuestros diferentes canales de atención: </w:t>
      </w:r>
    </w:p>
    <w:p w14:paraId="26D2F421" w14:textId="77777777" w:rsidR="00AB1892" w:rsidRPr="00AB1892" w:rsidRDefault="00AB1892" w:rsidP="00EA612E">
      <w:pPr>
        <w:widowControl w:val="0"/>
        <w:autoSpaceDE w:val="0"/>
        <w:autoSpaceDN w:val="0"/>
        <w:spacing w:after="0" w:line="276" w:lineRule="auto"/>
        <w:jc w:val="both"/>
        <w:rPr>
          <w:rFonts w:ascii="Verdana" w:hAnsi="Verdana"/>
        </w:rPr>
      </w:pPr>
    </w:p>
    <w:p w14:paraId="4616AF40" w14:textId="77777777" w:rsidR="00330BDF" w:rsidRPr="00AB1892" w:rsidRDefault="00330BDF" w:rsidP="00EA612E">
      <w:pPr>
        <w:pStyle w:val="Prrafodelista"/>
        <w:numPr>
          <w:ilvl w:val="0"/>
          <w:numId w:val="18"/>
        </w:numPr>
        <w:spacing w:after="0" w:line="276" w:lineRule="auto"/>
        <w:contextualSpacing w:val="0"/>
        <w:jc w:val="both"/>
        <w:rPr>
          <w:rFonts w:ascii="Verdana" w:eastAsia="Verdana" w:hAnsi="Verdana" w:cs="Verdana"/>
          <w:color w:val="4472C4" w:themeColor="accent1"/>
          <w:u w:val="single"/>
        </w:rPr>
      </w:pPr>
      <w:r w:rsidRPr="00AB1892">
        <w:rPr>
          <w:rFonts w:ascii="Verdana" w:eastAsia="Verdana" w:hAnsi="Verdana" w:cs="Verdana"/>
        </w:rPr>
        <w:t xml:space="preserve">Línea nacional gratuita o servicio a la ciudadanía (Mesa de servicio): </w:t>
      </w:r>
      <w:r w:rsidRPr="00FA58D8">
        <w:rPr>
          <w:rStyle w:val="Hipervnculo"/>
          <w:rFonts w:ascii="Verdana" w:hAnsi="Verdana"/>
          <w:lang w:val="es-CO"/>
        </w:rPr>
        <w:t>01800 0520808</w:t>
      </w:r>
    </w:p>
    <w:p w14:paraId="6F4E1399" w14:textId="7F1501F7" w:rsidR="00330BDF" w:rsidRPr="00AB1892" w:rsidRDefault="00330BDF" w:rsidP="00EA612E">
      <w:pPr>
        <w:pStyle w:val="Prrafodelista"/>
        <w:numPr>
          <w:ilvl w:val="0"/>
          <w:numId w:val="18"/>
        </w:numPr>
        <w:spacing w:after="0" w:line="276" w:lineRule="auto"/>
        <w:contextualSpacing w:val="0"/>
        <w:rPr>
          <w:rFonts w:ascii="Verdana" w:eastAsia="Verdana" w:hAnsi="Verdana" w:cs="Verdana"/>
          <w:color w:val="4472C4" w:themeColor="accent1"/>
          <w:u w:val="single"/>
          <w:lang w:val="es-CO"/>
        </w:rPr>
      </w:pPr>
      <w:r w:rsidRPr="00AB1892">
        <w:rPr>
          <w:rFonts w:ascii="Verdana" w:eastAsia="Verdana" w:hAnsi="Verdana" w:cs="Verdana"/>
          <w:lang w:val="es-CO"/>
        </w:rPr>
        <w:t>Línea en Bogotá (Mesa de servicio):</w:t>
      </w:r>
      <w:r w:rsidR="00CB5524" w:rsidRPr="00AB1892">
        <w:rPr>
          <w:rFonts w:ascii="Verdana" w:eastAsia="Verdana" w:hAnsi="Verdana" w:cs="Verdana"/>
          <w:lang w:val="es-CO"/>
        </w:rPr>
        <w:t xml:space="preserve"> </w:t>
      </w:r>
      <w:r w:rsidRPr="00AB1892">
        <w:rPr>
          <w:rStyle w:val="Hipervnculo"/>
          <w:rFonts w:ascii="Verdana" w:hAnsi="Verdana"/>
          <w:lang w:val="es-CO"/>
        </w:rPr>
        <w:t>+57 601 7456788</w:t>
      </w:r>
    </w:p>
    <w:p w14:paraId="2152BD42" w14:textId="77777777" w:rsidR="00330BDF" w:rsidRPr="00AB1892" w:rsidRDefault="00330BDF" w:rsidP="00EA612E">
      <w:pPr>
        <w:pStyle w:val="Prrafodelista"/>
        <w:numPr>
          <w:ilvl w:val="0"/>
          <w:numId w:val="18"/>
        </w:numPr>
        <w:spacing w:after="0" w:line="276" w:lineRule="auto"/>
        <w:contextualSpacing w:val="0"/>
        <w:rPr>
          <w:rFonts w:ascii="Verdana" w:eastAsia="Verdana" w:hAnsi="Verdana" w:cs="Verdana"/>
          <w:color w:val="0000FF"/>
          <w:u w:val="single"/>
          <w:lang w:val="es-CO"/>
        </w:rPr>
      </w:pPr>
      <w:r w:rsidRPr="00AB1892">
        <w:rPr>
          <w:rFonts w:ascii="Verdana" w:eastAsia="Verdana" w:hAnsi="Verdana" w:cs="Verdana"/>
          <w:lang w:val="es-CO"/>
        </w:rPr>
        <w:t xml:space="preserve">Correo de radicación de correspondencia: </w:t>
      </w:r>
      <w:hyperlink r:id="rId15" w:history="1">
        <w:r w:rsidRPr="00AB1892">
          <w:rPr>
            <w:rStyle w:val="Hipervnculo"/>
            <w:rFonts w:ascii="Verdana" w:eastAsia="Verdana" w:hAnsi="Verdana" w:cs="Verdana"/>
            <w:lang w:val="es-CO"/>
          </w:rPr>
          <w:t>ventanilladeradicacion@colombiacompra.gov.co</w:t>
        </w:r>
      </w:hyperlink>
    </w:p>
    <w:p w14:paraId="7E335D5F" w14:textId="77777777" w:rsidR="00330BDF" w:rsidRPr="00AB1892" w:rsidRDefault="00330BDF" w:rsidP="00EA612E">
      <w:pPr>
        <w:pStyle w:val="Prrafodelista"/>
        <w:numPr>
          <w:ilvl w:val="0"/>
          <w:numId w:val="18"/>
        </w:numPr>
        <w:spacing w:after="0" w:line="276" w:lineRule="auto"/>
        <w:contextualSpacing w:val="0"/>
        <w:jc w:val="both"/>
        <w:rPr>
          <w:rFonts w:ascii="Verdana" w:hAnsi="Verdana"/>
        </w:rPr>
      </w:pPr>
      <w:r w:rsidRPr="00AB1892">
        <w:rPr>
          <w:rFonts w:ascii="Verdana" w:eastAsia="Verdana" w:hAnsi="Verdana" w:cs="Verdana"/>
          <w:lang w:val="es-CO"/>
        </w:rPr>
        <w:t xml:space="preserve">Formulario web para PQRSD: </w:t>
      </w:r>
      <w:hyperlink r:id="rId16" w:history="1">
        <w:r w:rsidRPr="00AB1892">
          <w:rPr>
            <w:rStyle w:val="Hipervnculo"/>
            <w:rFonts w:ascii="Verdana" w:eastAsia="Verdana" w:hAnsi="Verdana" w:cs="Verdana"/>
            <w:lang w:val="es-CO"/>
          </w:rPr>
          <w:t>https://www.colombiacompra.gov.co/pqrsd/informacion-importante-antes-de-formular-una-pqrsd</w:t>
        </w:r>
      </w:hyperlink>
    </w:p>
    <w:p w14:paraId="5965B6E1" w14:textId="77777777" w:rsidR="00AB1892" w:rsidRDefault="00AB1892" w:rsidP="00AB1892">
      <w:pPr>
        <w:spacing w:after="0" w:line="276" w:lineRule="auto"/>
        <w:jc w:val="both"/>
        <w:rPr>
          <w:rFonts w:ascii="Verdana" w:hAnsi="Verdana"/>
        </w:rPr>
      </w:pPr>
    </w:p>
    <w:p w14:paraId="04CC895E" w14:textId="05EC6830" w:rsidR="001A7818" w:rsidRPr="00AB1892" w:rsidRDefault="00330BDF" w:rsidP="00EA612E">
      <w:pPr>
        <w:spacing w:after="0" w:line="276" w:lineRule="auto"/>
        <w:jc w:val="both"/>
        <w:rPr>
          <w:rFonts w:ascii="Verdana" w:hAnsi="Verdana"/>
        </w:rPr>
      </w:pPr>
      <w:r w:rsidRPr="00AB1892">
        <w:rPr>
          <w:rFonts w:ascii="Verdana" w:hAnsi="Verdana"/>
        </w:rPr>
        <w:t xml:space="preserve">Evalúa el servicio que ofrece la Agencia por el canal de atención de PQRSD en el siguiente enlace: </w:t>
      </w:r>
      <w:hyperlink r:id="rId17" w:history="1">
        <w:r w:rsidRPr="00AB1892">
          <w:rPr>
            <w:rStyle w:val="Hipervnculo"/>
            <w:rFonts w:ascii="Verdana" w:hAnsi="Verdana"/>
          </w:rPr>
          <w:t>https://forms.office.com/r/pPHyWVs2SZ</w:t>
        </w:r>
      </w:hyperlink>
      <w:r w:rsidRPr="00AB1892">
        <w:rPr>
          <w:rFonts w:ascii="Verdana" w:hAnsi="Verdana"/>
        </w:rPr>
        <w:t xml:space="preserve">. </w:t>
      </w:r>
    </w:p>
    <w:p w14:paraId="767D160E" w14:textId="77777777" w:rsidR="00AB1892" w:rsidRDefault="00AB1892" w:rsidP="00AB1892">
      <w:pPr>
        <w:spacing w:after="0" w:line="276" w:lineRule="auto"/>
        <w:jc w:val="both"/>
        <w:rPr>
          <w:rFonts w:ascii="Verdana" w:hAnsi="Verdana"/>
        </w:rPr>
      </w:pPr>
    </w:p>
    <w:p w14:paraId="635F75BF" w14:textId="2E25AD7B" w:rsidR="00330BDF" w:rsidRPr="00AB1892" w:rsidRDefault="00330BDF" w:rsidP="00EA612E">
      <w:pPr>
        <w:spacing w:after="0" w:line="276" w:lineRule="auto"/>
        <w:jc w:val="both"/>
        <w:rPr>
          <w:rFonts w:ascii="Verdana" w:hAnsi="Verdana"/>
        </w:rPr>
      </w:pPr>
      <w:r w:rsidRPr="00AB1892">
        <w:rPr>
          <w:rFonts w:ascii="Verdana" w:hAnsi="Verdana"/>
        </w:rPr>
        <w:t>¡Ayúdanos a mejorar porque el compromiso es de todos!</w:t>
      </w:r>
      <w:r w:rsidR="00726325" w:rsidRPr="00AB1892">
        <w:rPr>
          <w:rFonts w:ascii="Verdana" w:hAnsi="Verdana"/>
        </w:rPr>
        <w:t xml:space="preserve"> </w:t>
      </w:r>
      <w:r w:rsidRPr="00AB1892">
        <w:rPr>
          <w:rFonts w:ascii="Verdana" w:hAnsi="Verdana"/>
        </w:rPr>
        <w:t xml:space="preserve">Por último, lo invitamos a seguirnos en las redes sociales en las cuales se difunde información institucional: </w:t>
      </w:r>
    </w:p>
    <w:p w14:paraId="60350C22" w14:textId="77777777" w:rsidR="00330BDF" w:rsidRPr="00AB1892" w:rsidRDefault="00330BDF" w:rsidP="00AB1892">
      <w:pPr>
        <w:spacing w:after="0" w:line="276" w:lineRule="auto"/>
        <w:jc w:val="both"/>
        <w:rPr>
          <w:rFonts w:ascii="Verdana" w:hAnsi="Verdana"/>
        </w:rPr>
      </w:pPr>
      <w:r w:rsidRPr="00AB1892">
        <w:rPr>
          <w:rFonts w:ascii="Verdana" w:hAnsi="Verdana"/>
        </w:rPr>
        <w:t xml:space="preserve">Twitter: </w:t>
      </w:r>
      <w:r w:rsidRPr="00AB1892">
        <w:rPr>
          <w:rStyle w:val="Hipervnculo"/>
          <w:rFonts w:ascii="Verdana" w:hAnsi="Verdana"/>
        </w:rPr>
        <w:t>@colombiacompra</w:t>
      </w:r>
      <w:r w:rsidRPr="00AB1892">
        <w:rPr>
          <w:rFonts w:ascii="Verdana" w:hAnsi="Verdana"/>
        </w:rPr>
        <w:t xml:space="preserve"> </w:t>
      </w:r>
    </w:p>
    <w:p w14:paraId="6E1F55D5" w14:textId="77777777" w:rsidR="00330BDF" w:rsidRPr="00AB1892" w:rsidRDefault="00330BDF">
      <w:pPr>
        <w:spacing w:after="0" w:line="276" w:lineRule="auto"/>
        <w:jc w:val="both"/>
        <w:rPr>
          <w:rFonts w:ascii="Verdana" w:hAnsi="Verdana"/>
        </w:rPr>
      </w:pPr>
      <w:r w:rsidRPr="00AB1892">
        <w:rPr>
          <w:rFonts w:ascii="Verdana" w:hAnsi="Verdana"/>
        </w:rPr>
        <w:t xml:space="preserve">Facebook: </w:t>
      </w:r>
      <w:proofErr w:type="spellStart"/>
      <w:r w:rsidRPr="00AB1892">
        <w:rPr>
          <w:rStyle w:val="Hipervnculo"/>
          <w:rFonts w:ascii="Verdana" w:hAnsi="Verdana"/>
        </w:rPr>
        <w:t>ColombiaCompraEficiente</w:t>
      </w:r>
      <w:proofErr w:type="spellEnd"/>
    </w:p>
    <w:p w14:paraId="432CB248" w14:textId="77777777" w:rsidR="00330BDF" w:rsidRPr="00AB1892" w:rsidRDefault="00330BDF">
      <w:pPr>
        <w:spacing w:after="0" w:line="276" w:lineRule="auto"/>
        <w:jc w:val="both"/>
        <w:rPr>
          <w:rFonts w:ascii="Verdana" w:hAnsi="Verdana"/>
        </w:rPr>
      </w:pPr>
      <w:r w:rsidRPr="00AB1892">
        <w:rPr>
          <w:rFonts w:ascii="Verdana" w:hAnsi="Verdana"/>
        </w:rPr>
        <w:t xml:space="preserve">LinkedIn: </w:t>
      </w:r>
      <w:r w:rsidRPr="00AB1892">
        <w:rPr>
          <w:rStyle w:val="Hipervnculo"/>
          <w:rFonts w:ascii="Verdana" w:hAnsi="Verdana"/>
        </w:rPr>
        <w:t>Agencia Nacional de Contratación Pública - Colombia Compra Eficiente</w:t>
      </w:r>
      <w:r w:rsidRPr="00AB1892">
        <w:rPr>
          <w:rFonts w:ascii="Verdana" w:hAnsi="Verdana"/>
        </w:rPr>
        <w:t xml:space="preserve"> </w:t>
      </w:r>
    </w:p>
    <w:p w14:paraId="24C04F32" w14:textId="77777777" w:rsidR="00330BDF" w:rsidRPr="00AB1892" w:rsidRDefault="00330BDF" w:rsidP="00EA612E">
      <w:pPr>
        <w:spacing w:after="0" w:line="276" w:lineRule="auto"/>
        <w:jc w:val="both"/>
        <w:rPr>
          <w:rFonts w:ascii="Verdana" w:hAnsi="Verdana"/>
        </w:rPr>
      </w:pPr>
      <w:r w:rsidRPr="00AB1892">
        <w:rPr>
          <w:rFonts w:ascii="Verdana" w:hAnsi="Verdana"/>
        </w:rPr>
        <w:t xml:space="preserve">Instagram: </w:t>
      </w:r>
      <w:r w:rsidRPr="00AB1892">
        <w:rPr>
          <w:rStyle w:val="Hipervnculo"/>
          <w:rFonts w:ascii="Verdana" w:hAnsi="Verdana"/>
        </w:rPr>
        <w:t>@colombiacompraeficiente_cce</w:t>
      </w:r>
    </w:p>
    <w:p w14:paraId="78B883E3" w14:textId="77777777" w:rsidR="00AB1892" w:rsidRDefault="00AB1892" w:rsidP="00AB1892">
      <w:pPr>
        <w:spacing w:after="0" w:line="276" w:lineRule="auto"/>
        <w:jc w:val="both"/>
        <w:rPr>
          <w:rFonts w:ascii="Verdana" w:eastAsia="Calibri" w:hAnsi="Verdana" w:cs="Times New Roman"/>
        </w:rPr>
      </w:pPr>
    </w:p>
    <w:p w14:paraId="3B0EAB57" w14:textId="677DCD49" w:rsidR="00330BDF" w:rsidRPr="00AB1892" w:rsidRDefault="00330BDF" w:rsidP="00AB1892">
      <w:pPr>
        <w:spacing w:after="0" w:line="276" w:lineRule="auto"/>
        <w:jc w:val="both"/>
        <w:rPr>
          <w:rFonts w:ascii="Verdana" w:hAnsi="Verdana"/>
        </w:rPr>
      </w:pPr>
      <w:r w:rsidRPr="00AB1892">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CCFFCD4" w14:textId="77777777" w:rsidR="00330BDF" w:rsidRPr="00AB1892" w:rsidRDefault="00330BDF">
      <w:pPr>
        <w:spacing w:after="0" w:line="276" w:lineRule="auto"/>
        <w:rPr>
          <w:rFonts w:ascii="Verdana" w:eastAsia="Times New Roman" w:hAnsi="Verdana" w:cs="Arial"/>
          <w:lang w:eastAsia="es-CO"/>
        </w:rPr>
      </w:pPr>
      <w:bookmarkStart w:id="11" w:name="_Hlk117695077"/>
    </w:p>
    <w:p w14:paraId="12231641" w14:textId="2A772C22" w:rsidR="00330BDF" w:rsidRDefault="00330BDF" w:rsidP="00330BDF">
      <w:pPr>
        <w:spacing w:line="276" w:lineRule="auto"/>
        <w:rPr>
          <w:rFonts w:ascii="Verdana" w:eastAsia="Times New Roman" w:hAnsi="Verdana" w:cs="Arial"/>
          <w:lang w:eastAsia="es-CO"/>
        </w:rPr>
      </w:pPr>
      <w:r w:rsidRPr="00D22F9B">
        <w:rPr>
          <w:rFonts w:ascii="Verdana" w:eastAsia="Times New Roman" w:hAnsi="Verdana" w:cs="Arial"/>
          <w:lang w:eastAsia="es-CO"/>
        </w:rPr>
        <w:t xml:space="preserve">Atentamente, </w:t>
      </w:r>
    </w:p>
    <w:p w14:paraId="671968CB" w14:textId="098C4413" w:rsidR="00330BDF" w:rsidRDefault="00F061B2" w:rsidP="00330BDF">
      <w:pPr>
        <w:spacing w:line="276" w:lineRule="auto"/>
        <w:rPr>
          <w:rFonts w:ascii="Verdana" w:eastAsia="Times New Roman" w:hAnsi="Verdana" w:cs="Arial"/>
          <w:lang w:eastAsia="es-CO"/>
        </w:rPr>
      </w:pPr>
      <w:r w:rsidRPr="00F061B2">
        <w:rPr>
          <w:rFonts w:ascii="Verdana" w:eastAsia="Times New Roman" w:hAnsi="Verdana" w:cs="Arial"/>
          <w:lang w:eastAsia="es-CO"/>
        </w:rPr>
        <w:drawing>
          <wp:anchor distT="0" distB="0" distL="114300" distR="114300" simplePos="0" relativeHeight="251660288" behindDoc="1" locked="0" layoutInCell="1" allowOverlap="1" wp14:anchorId="443E22D5" wp14:editId="6D2E526D">
            <wp:simplePos x="0" y="0"/>
            <wp:positionH relativeFrom="margin">
              <wp:align>center</wp:align>
            </wp:positionH>
            <wp:positionV relativeFrom="paragraph">
              <wp:posOffset>7608</wp:posOffset>
            </wp:positionV>
            <wp:extent cx="2951291" cy="1095555"/>
            <wp:effectExtent l="0" t="0" r="1905" b="9525"/>
            <wp:wrapNone/>
            <wp:docPr id="1191612957"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51291" cy="10955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ECB2B49" w14:textId="33A63000" w:rsidR="00F061B2" w:rsidRPr="00F061B2" w:rsidRDefault="00F061B2" w:rsidP="00F061B2">
      <w:pPr>
        <w:spacing w:line="276" w:lineRule="auto"/>
        <w:rPr>
          <w:rFonts w:ascii="Verdana" w:eastAsia="Times New Roman" w:hAnsi="Verdana" w:cs="Arial"/>
          <w:lang w:eastAsia="es-CO"/>
        </w:rPr>
      </w:pPr>
    </w:p>
    <w:p w14:paraId="54D621E4" w14:textId="77777777" w:rsidR="00330BDF" w:rsidRDefault="00330BDF" w:rsidP="00330BDF">
      <w:pPr>
        <w:spacing w:line="276" w:lineRule="auto"/>
        <w:rPr>
          <w:rFonts w:ascii="Verdana" w:eastAsia="Times New Roman" w:hAnsi="Verdana" w:cs="Arial"/>
          <w:lang w:eastAsia="es-CO"/>
        </w:rPr>
      </w:pPr>
    </w:p>
    <w:p w14:paraId="35DF021E" w14:textId="77777777" w:rsidR="00330BDF" w:rsidRPr="00D456A7" w:rsidRDefault="00330BDF" w:rsidP="00330BDF">
      <w:pPr>
        <w:spacing w:line="276" w:lineRule="auto"/>
        <w:rPr>
          <w:rFonts w:ascii="Verdana" w:eastAsia="Times New Roman" w:hAnsi="Verdana" w:cs="Arial"/>
          <w:lang w:eastAsia="es-CO"/>
        </w:rPr>
      </w:pPr>
    </w:p>
    <w:p w14:paraId="47610E04" w14:textId="77777777" w:rsidR="00330BDF" w:rsidRPr="00D22F9B" w:rsidRDefault="00330BDF" w:rsidP="00330BDF">
      <w:pPr>
        <w:spacing w:after="0" w:line="276" w:lineRule="auto"/>
        <w:jc w:val="center"/>
        <w:rPr>
          <w:rFonts w:ascii="Verdana" w:eastAsia="Times New Roman" w:hAnsi="Verdana" w:cs="Arial"/>
          <w:lang w:eastAsia="es-CO"/>
        </w:rPr>
      </w:pPr>
      <w:r w:rsidRPr="00D22F9B">
        <w:rPr>
          <w:rFonts w:ascii="Verdana" w:eastAsia="Times New Roman" w:hAnsi="Verdana" w:cs="Arial"/>
          <w:lang w:eastAsia="es-CO"/>
        </w:rPr>
        <w:t xml:space="preserve"> </w:t>
      </w:r>
    </w:p>
    <w:bookmarkEnd w:id="11"/>
    <w:p w14:paraId="7163967A" w14:textId="77777777" w:rsidR="00330BDF" w:rsidRPr="00D22F9B" w:rsidRDefault="00330BDF" w:rsidP="00330BDF">
      <w:pPr>
        <w:spacing w:after="0" w:line="276" w:lineRule="auto"/>
        <w:jc w:val="center"/>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450A3" w:rsidRPr="00432BAE" w14:paraId="00D576A8" w14:textId="77777777">
        <w:trPr>
          <w:trHeight w:val="315"/>
        </w:trPr>
        <w:tc>
          <w:tcPr>
            <w:tcW w:w="893" w:type="dxa"/>
            <w:vAlign w:val="center"/>
            <w:hideMark/>
          </w:tcPr>
          <w:p w14:paraId="1490BD29" w14:textId="77777777" w:rsidR="00330BDF" w:rsidRPr="004F246A" w:rsidRDefault="00330BDF">
            <w:pPr>
              <w:spacing w:line="276" w:lineRule="auto"/>
              <w:rPr>
                <w:rFonts w:ascii="Verdana" w:eastAsia="Times New Roman" w:hAnsi="Verdana" w:cs="Arial"/>
                <w:color w:val="000000"/>
                <w:sz w:val="16"/>
                <w:szCs w:val="16"/>
                <w:lang w:eastAsia="es-ES"/>
              </w:rPr>
            </w:pPr>
            <w:r w:rsidRPr="004F246A">
              <w:rPr>
                <w:rFonts w:ascii="Verdana" w:eastAsia="Times New Roman" w:hAnsi="Verdana" w:cs="Arial"/>
                <w:color w:val="000000"/>
                <w:sz w:val="16"/>
                <w:szCs w:val="16"/>
                <w:lang w:eastAsia="es-ES"/>
              </w:rPr>
              <w:t>Elaboró:</w:t>
            </w:r>
          </w:p>
        </w:tc>
        <w:tc>
          <w:tcPr>
            <w:tcW w:w="5628" w:type="dxa"/>
            <w:tcBorders>
              <w:top w:val="nil"/>
              <w:left w:val="nil"/>
              <w:bottom w:val="dotted" w:sz="4" w:space="0" w:color="7F7F7F"/>
              <w:right w:val="nil"/>
            </w:tcBorders>
            <w:vAlign w:val="center"/>
            <w:hideMark/>
          </w:tcPr>
          <w:p w14:paraId="0FB584AC" w14:textId="77777777" w:rsidR="00330BDF" w:rsidRPr="004F246A" w:rsidRDefault="00330BDF">
            <w:pPr>
              <w:spacing w:line="276" w:lineRule="auto"/>
              <w:rPr>
                <w:rFonts w:ascii="Verdana" w:eastAsia="Arial" w:hAnsi="Verdana" w:cs="Arial"/>
                <w:color w:val="000000"/>
                <w:sz w:val="16"/>
                <w:szCs w:val="16"/>
              </w:rPr>
            </w:pPr>
            <w:r w:rsidRPr="004F246A">
              <w:rPr>
                <w:rFonts w:ascii="Verdana" w:eastAsia="Arial" w:hAnsi="Verdana" w:cs="Arial"/>
                <w:color w:val="000000"/>
                <w:sz w:val="16"/>
                <w:szCs w:val="16"/>
              </w:rPr>
              <w:t>Ángela María Olmos Andrade</w:t>
            </w:r>
          </w:p>
          <w:p w14:paraId="41AF657E" w14:textId="77777777" w:rsidR="00330BDF" w:rsidRPr="004F246A" w:rsidRDefault="00330BDF">
            <w:pPr>
              <w:spacing w:line="276" w:lineRule="auto"/>
              <w:rPr>
                <w:rFonts w:ascii="Verdana" w:eastAsia="Arial" w:hAnsi="Verdana" w:cs="Arial"/>
                <w:color w:val="000000"/>
                <w:sz w:val="16"/>
                <w:szCs w:val="16"/>
              </w:rPr>
            </w:pPr>
            <w:r w:rsidRPr="004F246A">
              <w:rPr>
                <w:rFonts w:ascii="Verdana" w:eastAsia="Arial" w:hAnsi="Verdana" w:cs="Arial"/>
                <w:color w:val="000000"/>
                <w:sz w:val="16"/>
                <w:szCs w:val="16"/>
              </w:rPr>
              <w:t>Analista T2 - 02 de la Subdirección de Gestión Contractual</w:t>
            </w:r>
          </w:p>
        </w:tc>
      </w:tr>
      <w:tr w:rsidR="00D450A3" w:rsidRPr="00432BAE" w14:paraId="414F1D6E" w14:textId="77777777">
        <w:trPr>
          <w:trHeight w:val="330"/>
        </w:trPr>
        <w:tc>
          <w:tcPr>
            <w:tcW w:w="893" w:type="dxa"/>
            <w:vAlign w:val="center"/>
            <w:hideMark/>
          </w:tcPr>
          <w:p w14:paraId="1835C361" w14:textId="77777777" w:rsidR="00330BDF" w:rsidRPr="004F246A" w:rsidRDefault="00330BDF">
            <w:pPr>
              <w:spacing w:line="276" w:lineRule="auto"/>
              <w:rPr>
                <w:rFonts w:ascii="Verdana" w:eastAsia="Times New Roman" w:hAnsi="Verdana" w:cs="Arial"/>
                <w:color w:val="000000"/>
                <w:sz w:val="16"/>
                <w:szCs w:val="16"/>
                <w:lang w:eastAsia="es-ES"/>
              </w:rPr>
            </w:pPr>
            <w:r w:rsidRPr="004F246A">
              <w:rPr>
                <w:rFonts w:ascii="Verdana" w:eastAsia="Times New Roman" w:hAnsi="Verdana" w:cs="Arial"/>
                <w:color w:val="000000"/>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61952A7E" w14:textId="311B90A9" w:rsidR="00330BDF" w:rsidRPr="004F246A" w:rsidRDefault="00330BDF">
            <w:pPr>
              <w:spacing w:line="276" w:lineRule="auto"/>
              <w:rPr>
                <w:rFonts w:ascii="Verdana" w:eastAsia="Times New Roman" w:hAnsi="Verdana" w:cs="Arial"/>
                <w:color w:val="000000"/>
                <w:sz w:val="16"/>
                <w:szCs w:val="16"/>
              </w:rPr>
            </w:pPr>
            <w:r>
              <w:rPr>
                <w:rFonts w:ascii="Verdana" w:eastAsia="Times New Roman" w:hAnsi="Verdana" w:cs="Arial"/>
                <w:color w:val="000000"/>
                <w:sz w:val="16"/>
                <w:szCs w:val="16"/>
              </w:rPr>
              <w:t>Diana Lucia Saavedra</w:t>
            </w:r>
            <w:r w:rsidR="00AB1892">
              <w:rPr>
                <w:rFonts w:ascii="Verdana" w:eastAsia="Times New Roman" w:hAnsi="Verdana" w:cs="Arial"/>
                <w:color w:val="000000"/>
                <w:sz w:val="16"/>
                <w:szCs w:val="16"/>
              </w:rPr>
              <w:t xml:space="preserve"> Castañeda</w:t>
            </w:r>
          </w:p>
          <w:p w14:paraId="328C0957" w14:textId="77777777" w:rsidR="00330BDF" w:rsidRPr="004F246A" w:rsidRDefault="00330BDF">
            <w:pPr>
              <w:spacing w:line="276" w:lineRule="auto"/>
              <w:textAlignment w:val="baseline"/>
              <w:rPr>
                <w:rFonts w:ascii="Verdana" w:eastAsia="Times New Roman" w:hAnsi="Verdana" w:cs="Arial"/>
                <w:color w:val="000000"/>
                <w:sz w:val="16"/>
                <w:szCs w:val="16"/>
              </w:rPr>
            </w:pPr>
            <w:r>
              <w:rPr>
                <w:rFonts w:ascii="Verdana" w:eastAsia="Times New Roman" w:hAnsi="Verdana" w:cs="Arial"/>
                <w:color w:val="000000"/>
                <w:sz w:val="16"/>
                <w:szCs w:val="16"/>
              </w:rPr>
              <w:t>Contratista</w:t>
            </w:r>
            <w:r w:rsidRPr="004F246A">
              <w:rPr>
                <w:rFonts w:ascii="Verdana" w:eastAsia="Times New Roman" w:hAnsi="Verdana" w:cs="Arial"/>
                <w:color w:val="000000"/>
                <w:sz w:val="16"/>
                <w:szCs w:val="16"/>
              </w:rPr>
              <w:t xml:space="preserve"> de la Subdirección de Gestión Contractual</w:t>
            </w:r>
          </w:p>
        </w:tc>
      </w:tr>
      <w:tr w:rsidR="00D450A3" w:rsidRPr="00432BAE" w14:paraId="741E8686" w14:textId="77777777">
        <w:trPr>
          <w:trHeight w:val="300"/>
        </w:trPr>
        <w:tc>
          <w:tcPr>
            <w:tcW w:w="893" w:type="dxa"/>
            <w:vAlign w:val="center"/>
            <w:hideMark/>
          </w:tcPr>
          <w:p w14:paraId="1328E21A" w14:textId="77777777" w:rsidR="00330BDF" w:rsidRPr="004F246A" w:rsidRDefault="00330BDF">
            <w:pPr>
              <w:spacing w:line="276" w:lineRule="auto"/>
              <w:rPr>
                <w:rFonts w:ascii="Verdana" w:eastAsia="Times New Roman" w:hAnsi="Verdana" w:cs="Arial"/>
                <w:color w:val="000000"/>
                <w:sz w:val="16"/>
                <w:szCs w:val="16"/>
                <w:lang w:eastAsia="es-ES"/>
              </w:rPr>
            </w:pPr>
            <w:r w:rsidRPr="004F246A">
              <w:rPr>
                <w:rFonts w:ascii="Verdana" w:eastAsia="Times New Roman" w:hAnsi="Verdana" w:cs="Arial"/>
                <w:color w:val="000000"/>
                <w:sz w:val="16"/>
                <w:szCs w:val="16"/>
                <w:lang w:eastAsia="es-ES"/>
              </w:rPr>
              <w:t>Aprobó:</w:t>
            </w:r>
          </w:p>
        </w:tc>
        <w:tc>
          <w:tcPr>
            <w:tcW w:w="5628" w:type="dxa"/>
            <w:tcBorders>
              <w:top w:val="dotted" w:sz="4" w:space="0" w:color="7F7F7F"/>
              <w:left w:val="nil"/>
              <w:bottom w:val="dotted" w:sz="4" w:space="0" w:color="7F7F7F"/>
              <w:right w:val="nil"/>
            </w:tcBorders>
            <w:vAlign w:val="center"/>
            <w:hideMark/>
          </w:tcPr>
          <w:p w14:paraId="2276AA75" w14:textId="77777777" w:rsidR="00330BDF" w:rsidRPr="004F246A" w:rsidRDefault="00330BDF">
            <w:pPr>
              <w:spacing w:line="276" w:lineRule="auto"/>
              <w:rPr>
                <w:rFonts w:ascii="Verdana" w:eastAsia="Times New Roman" w:hAnsi="Verdana" w:cs="Arial"/>
                <w:color w:val="000000"/>
                <w:sz w:val="16"/>
                <w:szCs w:val="16"/>
              </w:rPr>
            </w:pPr>
            <w:r w:rsidRPr="004F246A">
              <w:rPr>
                <w:rFonts w:ascii="Verdana" w:eastAsia="Times New Roman" w:hAnsi="Verdana" w:cs="Arial"/>
                <w:color w:val="000000"/>
                <w:sz w:val="16"/>
                <w:szCs w:val="16"/>
              </w:rPr>
              <w:t>Carolina Quintero Gacharná</w:t>
            </w:r>
          </w:p>
          <w:p w14:paraId="3D760805" w14:textId="77777777" w:rsidR="00330BDF" w:rsidRPr="004F246A" w:rsidRDefault="00330BDF">
            <w:pPr>
              <w:spacing w:line="276" w:lineRule="auto"/>
              <w:rPr>
                <w:rFonts w:ascii="Verdana" w:eastAsia="Times New Roman" w:hAnsi="Verdana" w:cs="Arial"/>
                <w:color w:val="000000"/>
                <w:sz w:val="16"/>
                <w:szCs w:val="16"/>
              </w:rPr>
            </w:pPr>
            <w:r w:rsidRPr="004F246A">
              <w:rPr>
                <w:rFonts w:ascii="Verdana" w:eastAsia="Times New Roman" w:hAnsi="Verdana" w:cs="Arial"/>
                <w:color w:val="000000"/>
                <w:sz w:val="16"/>
                <w:szCs w:val="16"/>
              </w:rPr>
              <w:t>Subdirectora de Gestión Contractual ANCP – CCE</w:t>
            </w:r>
          </w:p>
        </w:tc>
      </w:tr>
      <w:bookmarkEnd w:id="1"/>
    </w:tbl>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69BC4D14" w14:textId="0EA97348" w:rsidR="00C15139" w:rsidRPr="000E2B93" w:rsidRDefault="00C15139" w:rsidP="00726325">
      <w:pPr>
        <w:spacing w:after="0" w:line="240" w:lineRule="auto"/>
        <w:jc w:val="both"/>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6604D0" w14:textId="77777777" w:rsidR="00BA74AA" w:rsidRDefault="00BA74AA" w:rsidP="004A1847">
      <w:pPr>
        <w:spacing w:after="0" w:line="240" w:lineRule="auto"/>
      </w:pPr>
      <w:r>
        <w:separator/>
      </w:r>
    </w:p>
  </w:endnote>
  <w:endnote w:type="continuationSeparator" w:id="0">
    <w:p w14:paraId="298C459C" w14:textId="77777777" w:rsidR="00BA74AA" w:rsidRDefault="00BA74A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6C72A4" w14:textId="77777777" w:rsidR="00BA74AA" w:rsidRDefault="00BA74AA" w:rsidP="004A1847">
      <w:pPr>
        <w:spacing w:after="0" w:line="240" w:lineRule="auto"/>
      </w:pPr>
      <w:r>
        <w:separator/>
      </w:r>
    </w:p>
  </w:footnote>
  <w:footnote w:type="continuationSeparator" w:id="0">
    <w:p w14:paraId="37882CAE" w14:textId="77777777" w:rsidR="00BA74AA" w:rsidRDefault="00BA74AA" w:rsidP="004A1847">
      <w:pPr>
        <w:spacing w:after="0" w:line="240" w:lineRule="auto"/>
      </w:pPr>
      <w:r>
        <w:continuationSeparator/>
      </w:r>
    </w:p>
  </w:footnote>
  <w:footnote w:id="1">
    <w:p w14:paraId="1983D9BB" w14:textId="77777777" w:rsidR="00330BDF" w:rsidRPr="00785662" w:rsidRDefault="00330BDF" w:rsidP="00330BDF">
      <w:pPr>
        <w:pStyle w:val="Textonotapie"/>
        <w:ind w:firstLine="709"/>
        <w:jc w:val="both"/>
        <w:rPr>
          <w:rFonts w:ascii="Verdana" w:hAnsi="Verdana" w:cs="Arial"/>
          <w:sz w:val="14"/>
          <w:szCs w:val="14"/>
        </w:rPr>
      </w:pPr>
      <w:r w:rsidRPr="00785662">
        <w:rPr>
          <w:rStyle w:val="Refdenotaalpie"/>
          <w:rFonts w:ascii="Verdana" w:hAnsi="Verdana" w:cs="Arial"/>
          <w:sz w:val="14"/>
          <w:szCs w:val="14"/>
        </w:rPr>
        <w:footnoteRef/>
      </w:r>
      <w:r w:rsidRPr="00785662">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244AAA8" w14:textId="77777777" w:rsidR="00330BDF" w:rsidRPr="00785662" w:rsidRDefault="00330BDF" w:rsidP="00330BDF">
      <w:pPr>
        <w:pStyle w:val="Textonotapie"/>
        <w:ind w:firstLine="709"/>
        <w:jc w:val="both"/>
        <w:rPr>
          <w:rFonts w:ascii="Verdana" w:hAnsi="Verdana" w:cs="Arial"/>
          <w:sz w:val="14"/>
          <w:szCs w:val="14"/>
        </w:rPr>
      </w:pPr>
      <w:r w:rsidRPr="00785662">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4F53D30F" w14:textId="77777777" w:rsidR="00330BDF" w:rsidRPr="00785662" w:rsidRDefault="00330BDF" w:rsidP="00330BDF">
      <w:pPr>
        <w:pStyle w:val="Textonotapie"/>
        <w:ind w:firstLine="709"/>
        <w:jc w:val="both"/>
        <w:rPr>
          <w:rFonts w:ascii="Verdana" w:hAnsi="Verdana" w:cs="Arial"/>
          <w:sz w:val="14"/>
          <w:szCs w:val="14"/>
        </w:rPr>
      </w:pPr>
    </w:p>
  </w:footnote>
  <w:footnote w:id="2">
    <w:p w14:paraId="48B607F7" w14:textId="2713E13D" w:rsidR="00330BDF" w:rsidRPr="007A1A49" w:rsidRDefault="00330BDF" w:rsidP="00330BDF">
      <w:pPr>
        <w:pStyle w:val="Textonotapie"/>
        <w:ind w:firstLine="709"/>
        <w:jc w:val="both"/>
        <w:rPr>
          <w:rFonts w:ascii="Verdana" w:hAnsi="Verdana" w:cs="Arial"/>
          <w:sz w:val="14"/>
          <w:szCs w:val="14"/>
        </w:rPr>
      </w:pPr>
      <w:r w:rsidRPr="007A1A49">
        <w:rPr>
          <w:rStyle w:val="Refdenotaalpie"/>
          <w:rFonts w:ascii="Verdana" w:hAnsi="Verdana" w:cs="Arial"/>
          <w:sz w:val="14"/>
          <w:szCs w:val="14"/>
        </w:rPr>
        <w:footnoteRef/>
      </w:r>
      <w:r w:rsidRPr="007A1A49">
        <w:rPr>
          <w:rFonts w:ascii="Verdana" w:hAnsi="Verdana" w:cs="Arial"/>
          <w:sz w:val="14"/>
          <w:szCs w:val="14"/>
        </w:rPr>
        <w:t xml:space="preserve"> Gaceta del Congreso de la República No. 71 del 2005.</w:t>
      </w:r>
    </w:p>
  </w:footnote>
  <w:footnote w:id="3">
    <w:p w14:paraId="0A5C656D" w14:textId="4E97CFCA" w:rsidR="00632BE6" w:rsidRPr="003F2A9C" w:rsidRDefault="00632BE6" w:rsidP="00632BE6">
      <w:pPr>
        <w:pStyle w:val="Textonotapie"/>
        <w:ind w:firstLine="709"/>
        <w:jc w:val="both"/>
        <w:rPr>
          <w:rFonts w:ascii="Verdana" w:hAnsi="Verdana" w:cs="Arial"/>
          <w:sz w:val="16"/>
          <w:szCs w:val="16"/>
          <w:lang w:val="pt-BR"/>
        </w:rPr>
      </w:pPr>
      <w:r w:rsidRPr="007A1A49">
        <w:rPr>
          <w:rStyle w:val="Refdenotaalpie"/>
          <w:rFonts w:ascii="Verdana" w:hAnsi="Verdana" w:cs="Arial"/>
          <w:sz w:val="14"/>
          <w:szCs w:val="14"/>
        </w:rPr>
        <w:footnoteRef/>
      </w:r>
      <w:r w:rsidRPr="007A1A49">
        <w:rPr>
          <w:rFonts w:ascii="Verdana" w:hAnsi="Verdana" w:cs="Arial"/>
          <w:sz w:val="14"/>
          <w:szCs w:val="14"/>
          <w:lang w:val="pt-BR"/>
        </w:rPr>
        <w:t xml:space="preserve"> Corte Constitucional, Sentencia C- 1153 de 2005, M.P. Marco Gerardo </w:t>
      </w:r>
      <w:proofErr w:type="spellStart"/>
      <w:r w:rsidRPr="007A1A49">
        <w:rPr>
          <w:rFonts w:ascii="Verdana" w:hAnsi="Verdana" w:cs="Arial"/>
          <w:sz w:val="14"/>
          <w:szCs w:val="14"/>
          <w:lang w:val="pt-BR"/>
        </w:rPr>
        <w:t>Monroy</w:t>
      </w:r>
      <w:proofErr w:type="spellEnd"/>
      <w:r w:rsidRPr="007A1A49">
        <w:rPr>
          <w:rFonts w:ascii="Verdana" w:hAnsi="Verdana" w:cs="Arial"/>
          <w:sz w:val="14"/>
          <w:szCs w:val="14"/>
          <w:lang w:val="pt-BR"/>
        </w:rPr>
        <w:t xml:space="preserve"> Cabra.</w:t>
      </w:r>
    </w:p>
  </w:footnote>
  <w:footnote w:id="4">
    <w:p w14:paraId="15ABC025" w14:textId="77777777" w:rsidR="00330BDF" w:rsidRPr="007A1A49" w:rsidRDefault="00330BDF" w:rsidP="00330BDF">
      <w:pPr>
        <w:pStyle w:val="Textonotapie"/>
        <w:jc w:val="both"/>
        <w:rPr>
          <w:rFonts w:ascii="Verdana" w:hAnsi="Verdana" w:cs="Arial"/>
          <w:sz w:val="14"/>
          <w:szCs w:val="14"/>
          <w:lang w:val="pt-BR"/>
        </w:rPr>
      </w:pPr>
      <w:r w:rsidRPr="007A1A49">
        <w:rPr>
          <w:rStyle w:val="Refdenotaalpie"/>
          <w:rFonts w:ascii="Verdana" w:hAnsi="Verdana" w:cs="Arial"/>
          <w:sz w:val="14"/>
          <w:szCs w:val="14"/>
        </w:rPr>
        <w:footnoteRef/>
      </w:r>
      <w:r w:rsidRPr="007A1A49">
        <w:rPr>
          <w:rFonts w:ascii="Verdana" w:hAnsi="Verdana" w:cs="Arial"/>
          <w:sz w:val="14"/>
          <w:szCs w:val="14"/>
          <w:lang w:val="pt-BR"/>
        </w:rPr>
        <w:t xml:space="preserve"> Corte Constitucional. Sentencias: C-233 de 4 de abril de 2002, expediente: D-3704; C-551 de 9 de </w:t>
      </w:r>
      <w:proofErr w:type="spellStart"/>
      <w:r w:rsidRPr="007A1A49">
        <w:rPr>
          <w:rFonts w:ascii="Verdana" w:hAnsi="Verdana" w:cs="Arial"/>
          <w:sz w:val="14"/>
          <w:szCs w:val="14"/>
          <w:lang w:val="pt-BR"/>
        </w:rPr>
        <w:t>julio</w:t>
      </w:r>
      <w:proofErr w:type="spellEnd"/>
      <w:r w:rsidRPr="007A1A49">
        <w:rPr>
          <w:rFonts w:ascii="Verdana" w:hAnsi="Verdana" w:cs="Arial"/>
          <w:sz w:val="14"/>
          <w:szCs w:val="14"/>
          <w:lang w:val="pt-BR"/>
        </w:rPr>
        <w:t xml:space="preserve"> de 2003, expediente: CRF-001 de 9 de </w:t>
      </w:r>
      <w:proofErr w:type="spellStart"/>
      <w:r w:rsidRPr="007A1A49">
        <w:rPr>
          <w:rFonts w:ascii="Verdana" w:hAnsi="Verdana" w:cs="Arial"/>
          <w:sz w:val="14"/>
          <w:szCs w:val="14"/>
          <w:lang w:val="pt-BR"/>
        </w:rPr>
        <w:t>julio</w:t>
      </w:r>
      <w:proofErr w:type="spellEnd"/>
      <w:r w:rsidRPr="007A1A49">
        <w:rPr>
          <w:rFonts w:ascii="Verdana" w:hAnsi="Verdana" w:cs="Arial"/>
          <w:sz w:val="14"/>
          <w:szCs w:val="14"/>
          <w:lang w:val="pt-BR"/>
        </w:rPr>
        <w:t xml:space="preserve"> de 2003; C-652 de 5 de agosto de 2003, expediente: D-4330; C-353 de 20 de </w:t>
      </w:r>
      <w:proofErr w:type="spellStart"/>
      <w:r w:rsidRPr="007A1A49">
        <w:rPr>
          <w:rFonts w:ascii="Verdana" w:hAnsi="Verdana" w:cs="Arial"/>
          <w:sz w:val="14"/>
          <w:szCs w:val="14"/>
          <w:lang w:val="pt-BR"/>
        </w:rPr>
        <w:t>mayo</w:t>
      </w:r>
      <w:proofErr w:type="spellEnd"/>
      <w:r w:rsidRPr="007A1A49">
        <w:rPr>
          <w:rFonts w:ascii="Verdana" w:hAnsi="Verdana" w:cs="Arial"/>
          <w:sz w:val="14"/>
          <w:szCs w:val="14"/>
          <w:lang w:val="pt-BR"/>
        </w:rPr>
        <w:t xml:space="preserve"> de 2009, expediente: D-7518, C-541 de 30 de </w:t>
      </w:r>
      <w:proofErr w:type="spellStart"/>
      <w:r w:rsidRPr="007A1A49">
        <w:rPr>
          <w:rFonts w:ascii="Verdana" w:hAnsi="Verdana" w:cs="Arial"/>
          <w:sz w:val="14"/>
          <w:szCs w:val="14"/>
          <w:lang w:val="pt-BR"/>
        </w:rPr>
        <w:t>junio</w:t>
      </w:r>
      <w:proofErr w:type="spellEnd"/>
      <w:r w:rsidRPr="007A1A49">
        <w:rPr>
          <w:rFonts w:ascii="Verdana" w:hAnsi="Verdana" w:cs="Arial"/>
          <w:sz w:val="14"/>
          <w:szCs w:val="14"/>
          <w:lang w:val="pt-BR"/>
        </w:rPr>
        <w:t xml:space="preserve"> de 2010, expediente: DD7966; entre </w:t>
      </w:r>
      <w:proofErr w:type="spellStart"/>
      <w:r w:rsidRPr="007A1A49">
        <w:rPr>
          <w:rFonts w:ascii="Verdana" w:hAnsi="Verdana" w:cs="Arial"/>
          <w:sz w:val="14"/>
          <w:szCs w:val="14"/>
          <w:lang w:val="pt-BR"/>
        </w:rPr>
        <w:t>otras</w:t>
      </w:r>
      <w:proofErr w:type="spellEnd"/>
      <w:r w:rsidRPr="007A1A49">
        <w:rPr>
          <w:rFonts w:ascii="Verdana" w:hAnsi="Verdana" w:cs="Arial"/>
          <w:sz w:val="14"/>
          <w:szCs w:val="14"/>
          <w:lang w:val="pt-BR"/>
        </w:rPr>
        <w:t>.</w:t>
      </w:r>
    </w:p>
  </w:footnote>
  <w:footnote w:id="5">
    <w:p w14:paraId="78F71218" w14:textId="77777777" w:rsidR="00330BDF" w:rsidRPr="007A1A49" w:rsidRDefault="00330BDF" w:rsidP="00330BDF">
      <w:pPr>
        <w:pStyle w:val="Textonotapie"/>
        <w:ind w:firstLine="709"/>
        <w:jc w:val="both"/>
        <w:rPr>
          <w:rFonts w:ascii="Verdana" w:hAnsi="Verdana" w:cs="Arial"/>
          <w:sz w:val="14"/>
          <w:szCs w:val="14"/>
          <w:lang w:val="es-CO"/>
        </w:rPr>
      </w:pPr>
      <w:r w:rsidRPr="007A1A49">
        <w:rPr>
          <w:rStyle w:val="Refdenotaalpie"/>
          <w:rFonts w:ascii="Verdana" w:hAnsi="Verdana" w:cs="Arial"/>
          <w:sz w:val="14"/>
          <w:szCs w:val="14"/>
        </w:rPr>
        <w:footnoteRef/>
      </w:r>
      <w:r w:rsidRPr="007A1A49">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397E2DF0" w14:textId="77777777" w:rsidR="00330BDF" w:rsidRPr="003F2A9C" w:rsidRDefault="00330BDF" w:rsidP="00330BDF">
      <w:pPr>
        <w:pStyle w:val="Textonotapie"/>
        <w:ind w:firstLine="709"/>
        <w:jc w:val="both"/>
        <w:rPr>
          <w:rFonts w:ascii="Verdana" w:hAnsi="Verdana" w:cs="Arial"/>
          <w:sz w:val="16"/>
          <w:szCs w:val="16"/>
        </w:rPr>
      </w:pPr>
      <w:r w:rsidRPr="007A1A49">
        <w:rPr>
          <w:rStyle w:val="Refdenotaalpie"/>
          <w:rFonts w:ascii="Verdana" w:hAnsi="Verdana" w:cs="Arial"/>
          <w:sz w:val="14"/>
          <w:szCs w:val="14"/>
        </w:rPr>
        <w:footnoteRef/>
      </w:r>
      <w:r w:rsidRPr="007A1A49">
        <w:rPr>
          <w:rFonts w:ascii="Verdana" w:hAnsi="Verdana" w:cs="Arial"/>
          <w:sz w:val="14"/>
          <w:szCs w:val="14"/>
        </w:rPr>
        <w:t xml:space="preserve"> Consejo de Estado, Sala de Consulta y Servicio Civil de fecha 24 de julio de 2013, radicado 2166, C. P. Álvaro Namén Vargas.</w:t>
      </w:r>
      <w:r w:rsidRPr="003F2A9C">
        <w:rPr>
          <w:rFonts w:ascii="Verdana" w:hAnsi="Verdana" w:cs="Arial"/>
          <w:sz w:val="16"/>
          <w:szCs w:val="16"/>
        </w:rPr>
        <w:t xml:space="preserve">  </w:t>
      </w:r>
    </w:p>
  </w:footnote>
  <w:footnote w:id="7">
    <w:p w14:paraId="38B5168C" w14:textId="77777777" w:rsidR="00330BDF" w:rsidRPr="007A1A49" w:rsidRDefault="00330BDF" w:rsidP="00330BDF">
      <w:pPr>
        <w:spacing w:after="0" w:line="240" w:lineRule="auto"/>
        <w:ind w:firstLine="709"/>
        <w:jc w:val="both"/>
        <w:rPr>
          <w:rFonts w:ascii="Verdana" w:eastAsia="Times New Roman" w:hAnsi="Verdana" w:cs="Arial"/>
          <w:sz w:val="14"/>
          <w:szCs w:val="14"/>
        </w:rPr>
      </w:pPr>
      <w:r w:rsidRPr="007A1A49">
        <w:rPr>
          <w:rStyle w:val="Refdenotaalpie"/>
          <w:rFonts w:ascii="Verdana" w:hAnsi="Verdana" w:cs="Arial"/>
          <w:sz w:val="14"/>
          <w:szCs w:val="14"/>
        </w:rPr>
        <w:footnoteRef/>
      </w:r>
      <w:r w:rsidRPr="007A1A49">
        <w:rPr>
          <w:rFonts w:ascii="Verdana" w:hAnsi="Verdana" w:cs="Arial"/>
          <w:sz w:val="14"/>
          <w:szCs w:val="14"/>
        </w:rPr>
        <w:t xml:space="preserve"> </w:t>
      </w:r>
      <w:bookmarkStart w:id="8" w:name="33"/>
      <w:r w:rsidRPr="007A1A49">
        <w:rPr>
          <w:rFonts w:ascii="Verdana" w:eastAsia="Calibri" w:hAnsi="Verdana" w:cs="Arial"/>
          <w:color w:val="000000"/>
          <w:sz w:val="14"/>
          <w:szCs w:val="14"/>
        </w:rPr>
        <w:t>“</w:t>
      </w:r>
      <w:r w:rsidRPr="007A1A49">
        <w:rPr>
          <w:rFonts w:ascii="Verdana" w:eastAsia="Times New Roman" w:hAnsi="Verdana" w:cs="Arial"/>
          <w:sz w:val="14"/>
          <w:szCs w:val="14"/>
        </w:rPr>
        <w:t>Artículo 33. Restricciones a la contratación pública.</w:t>
      </w:r>
      <w:bookmarkEnd w:id="8"/>
      <w:r w:rsidRPr="007A1A49">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1ACF2BCD" w14:textId="3AC51328" w:rsidR="00330BDF" w:rsidRPr="007A1A49" w:rsidRDefault="00330BDF" w:rsidP="007A1A49">
      <w:pPr>
        <w:spacing w:after="0" w:line="240" w:lineRule="auto"/>
        <w:ind w:firstLine="709"/>
        <w:jc w:val="both"/>
        <w:rPr>
          <w:rFonts w:ascii="Verdana" w:eastAsia="Times New Roman" w:hAnsi="Verdana" w:cs="Arial"/>
          <w:sz w:val="14"/>
          <w:szCs w:val="14"/>
        </w:rPr>
      </w:pPr>
      <w:r w:rsidRPr="007A1A49">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7A1A49">
        <w:rPr>
          <w:rFonts w:ascii="Verdana" w:eastAsia="Calibri" w:hAnsi="Verdana" w:cs="Arial"/>
          <w:color w:val="000000"/>
          <w:sz w:val="14"/>
          <w:szCs w:val="14"/>
        </w:rPr>
        <w:t>”</w:t>
      </w:r>
      <w:r w:rsidRPr="007A1A49">
        <w:rPr>
          <w:rFonts w:ascii="Verdana" w:eastAsia="Times New Roman" w:hAnsi="Verdana" w:cs="Arial"/>
          <w:sz w:val="14"/>
          <w:szCs w:val="14"/>
        </w:rPr>
        <w:t>.</w:t>
      </w:r>
    </w:p>
  </w:footnote>
  <w:footnote w:id="8">
    <w:p w14:paraId="18D01105" w14:textId="77777777" w:rsidR="00330BDF" w:rsidRPr="007A1A49" w:rsidRDefault="00330BDF" w:rsidP="00330BDF">
      <w:pPr>
        <w:pStyle w:val="NormalWeb"/>
        <w:spacing w:before="0" w:beforeAutospacing="0" w:after="0" w:afterAutospacing="0"/>
        <w:ind w:firstLine="709"/>
        <w:jc w:val="both"/>
        <w:rPr>
          <w:rFonts w:ascii="Verdana" w:hAnsi="Verdana" w:cs="Arial"/>
          <w:sz w:val="14"/>
          <w:szCs w:val="14"/>
          <w:lang w:val="es-MX"/>
        </w:rPr>
      </w:pPr>
      <w:r w:rsidRPr="007A1A49">
        <w:rPr>
          <w:rStyle w:val="Refdenotaalpie"/>
          <w:rFonts w:ascii="Verdana" w:hAnsi="Verdana" w:cs="Arial"/>
          <w:sz w:val="14"/>
          <w:szCs w:val="14"/>
        </w:rPr>
        <w:footnoteRef/>
      </w:r>
      <w:r w:rsidRPr="007A1A49">
        <w:rPr>
          <w:rFonts w:ascii="Verdana" w:hAnsi="Verdana" w:cs="Arial"/>
          <w:sz w:val="14"/>
          <w:szCs w:val="14"/>
        </w:rPr>
        <w:t xml:space="preserve"> </w:t>
      </w:r>
      <w:bookmarkStart w:id="9" w:name="38"/>
      <w:r w:rsidRPr="007A1A49">
        <w:rPr>
          <w:rFonts w:ascii="Verdana" w:eastAsia="Calibri" w:hAnsi="Verdana" w:cs="Arial"/>
          <w:color w:val="000000"/>
          <w:sz w:val="14"/>
          <w:szCs w:val="14"/>
        </w:rPr>
        <w:t>“</w:t>
      </w:r>
      <w:r w:rsidRPr="007A1A49">
        <w:rPr>
          <w:rFonts w:ascii="Verdana" w:hAnsi="Verdana" w:cs="Arial"/>
          <w:sz w:val="14"/>
          <w:szCs w:val="14"/>
          <w:lang w:val="es-MX"/>
        </w:rPr>
        <w:t>Artículo 38. Prohibiciones para los servidores públicos. A los empleados del Estado les está prohibido:</w:t>
      </w:r>
      <w:bookmarkEnd w:id="9"/>
      <w:r w:rsidRPr="007A1A49">
        <w:rPr>
          <w:rFonts w:ascii="Verdana" w:hAnsi="Verdana" w:cs="Arial"/>
          <w:sz w:val="14"/>
          <w:szCs w:val="14"/>
          <w:lang w:val="es-MX"/>
        </w:rPr>
        <w:t xml:space="preserve"> […]</w:t>
      </w:r>
    </w:p>
    <w:p w14:paraId="0129B37A" w14:textId="77777777" w:rsidR="00330BDF" w:rsidRPr="003F2A9C" w:rsidRDefault="00330BDF" w:rsidP="00330BDF">
      <w:pPr>
        <w:pStyle w:val="NormalWeb"/>
        <w:spacing w:before="0" w:beforeAutospacing="0" w:after="0" w:afterAutospacing="0"/>
        <w:ind w:firstLine="709"/>
        <w:jc w:val="both"/>
        <w:rPr>
          <w:rFonts w:ascii="Verdana" w:hAnsi="Verdana" w:cs="Arial"/>
          <w:sz w:val="16"/>
          <w:szCs w:val="16"/>
          <w:lang w:val="es-MX"/>
        </w:rPr>
      </w:pPr>
      <w:r w:rsidRPr="007A1A49">
        <w:rPr>
          <w:rStyle w:val="baj"/>
          <w:rFonts w:ascii="Verdana" w:hAnsi="Verdana" w:cs="Arial"/>
          <w:sz w:val="14"/>
          <w:szCs w:val="14"/>
          <w:lang w:val="es-MX"/>
        </w:rPr>
        <w:t>Parágrafo.</w:t>
      </w:r>
      <w:r w:rsidRPr="007A1A49">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7A1A49">
        <w:rPr>
          <w:rFonts w:ascii="Verdana" w:eastAsia="Calibri" w:hAnsi="Verdana" w:cs="Arial"/>
          <w:color w:val="000000"/>
          <w:sz w:val="14"/>
          <w:szCs w:val="14"/>
        </w:rPr>
        <w:t>”</w:t>
      </w:r>
      <w:r w:rsidRPr="007A1A49">
        <w:rPr>
          <w:rFonts w:ascii="Verdana" w:hAnsi="Verdana" w:cs="Arial"/>
          <w:sz w:val="14"/>
          <w:szCs w:val="14"/>
          <w:lang w:val="es-MX"/>
        </w:rPr>
        <w:t>.</w:t>
      </w:r>
    </w:p>
  </w:footnote>
  <w:footnote w:id="9">
    <w:p w14:paraId="37D70DD0" w14:textId="77777777" w:rsidR="00330BDF" w:rsidRPr="008302D6" w:rsidRDefault="00330BDF" w:rsidP="00330BDF">
      <w:pPr>
        <w:spacing w:after="0" w:line="240" w:lineRule="auto"/>
        <w:ind w:left="100" w:right="244" w:firstLine="709"/>
        <w:jc w:val="both"/>
        <w:rPr>
          <w:rFonts w:ascii="Verdana" w:hAnsi="Verdana" w:cs="Arial"/>
          <w:sz w:val="16"/>
          <w:szCs w:val="16"/>
          <w:lang w:val="es-ES"/>
        </w:rPr>
      </w:pPr>
      <w:r w:rsidRPr="008302D6">
        <w:rPr>
          <w:rStyle w:val="Refdenotaalpie"/>
          <w:rFonts w:ascii="Verdana" w:hAnsi="Verdana" w:cs="Arial"/>
          <w:sz w:val="16"/>
          <w:szCs w:val="16"/>
        </w:rPr>
        <w:footnoteRef/>
      </w:r>
      <w:r w:rsidRPr="008302D6">
        <w:rPr>
          <w:rFonts w:ascii="Verdana" w:hAnsi="Verdana" w:cs="Arial"/>
          <w:sz w:val="16"/>
          <w:szCs w:val="16"/>
        </w:rPr>
        <w:t xml:space="preserve"> </w:t>
      </w:r>
      <w:r w:rsidRPr="007A1A49">
        <w:rPr>
          <w:rFonts w:ascii="Verdana" w:hAnsi="Verdana" w:cs="Arial"/>
          <w:sz w:val="14"/>
          <w:szCs w:val="14"/>
        </w:rPr>
        <w:t>Consejo de Estado. Sala de Consulta y Servicio Civil. Concepto del 17 de febrero de 2015. C.P. William Zambrano Cetina. Radicación No. 11001-03-06-000-2015-00164-00(2269).</w:t>
      </w:r>
    </w:p>
  </w:footnote>
  <w:footnote w:id="10">
    <w:p w14:paraId="5039AAC5" w14:textId="77777777" w:rsidR="00330BDF" w:rsidRPr="008A7D98" w:rsidRDefault="00330BDF" w:rsidP="00330BDF">
      <w:pPr>
        <w:pStyle w:val="Textonotapie"/>
        <w:ind w:firstLine="708"/>
        <w:jc w:val="both"/>
        <w:rPr>
          <w:rFonts w:ascii="Verdana" w:hAnsi="Verdana" w:cs="Arial"/>
          <w:sz w:val="14"/>
          <w:szCs w:val="14"/>
        </w:rPr>
      </w:pPr>
      <w:r w:rsidRPr="003F2A9C">
        <w:rPr>
          <w:rStyle w:val="Refdenotaalpie"/>
          <w:rFonts w:ascii="Verdana" w:hAnsi="Verdana" w:cs="Arial"/>
          <w:sz w:val="16"/>
          <w:szCs w:val="16"/>
        </w:rPr>
        <w:footnoteRef/>
      </w:r>
      <w:r w:rsidRPr="003F2A9C">
        <w:rPr>
          <w:rFonts w:ascii="Verdana" w:hAnsi="Verdana" w:cs="Arial"/>
          <w:sz w:val="16"/>
          <w:szCs w:val="16"/>
        </w:rPr>
        <w:t xml:space="preserve"> </w:t>
      </w:r>
      <w:r w:rsidRPr="008A7D98">
        <w:rPr>
          <w:rFonts w:ascii="Verdana" w:hAnsi="Verdana" w:cs="Arial"/>
          <w:sz w:val="14"/>
          <w:szCs w:val="14"/>
        </w:rPr>
        <w:t xml:space="preserve">Colombia Compra Eficiente. Circular Externa Única. Numeral 16.5. </w:t>
      </w:r>
    </w:p>
  </w:footnote>
  <w:footnote w:id="11">
    <w:p w14:paraId="4F593470" w14:textId="77777777" w:rsidR="00330BDF" w:rsidRPr="003479E3" w:rsidRDefault="00330BDF" w:rsidP="00330BDF">
      <w:pPr>
        <w:pStyle w:val="Textonotapie"/>
        <w:ind w:right="51" w:firstLine="709"/>
        <w:jc w:val="both"/>
        <w:rPr>
          <w:rFonts w:ascii="Verdana" w:hAnsi="Verdana" w:cs="Arial"/>
          <w:sz w:val="14"/>
          <w:szCs w:val="14"/>
        </w:rPr>
      </w:pPr>
      <w:r w:rsidRPr="003479E3">
        <w:rPr>
          <w:rStyle w:val="Refdenotaalpie"/>
          <w:rFonts w:ascii="Verdana" w:hAnsi="Verdana" w:cs="Arial"/>
          <w:sz w:val="14"/>
          <w:szCs w:val="14"/>
        </w:rPr>
        <w:footnoteRef/>
      </w:r>
      <w:r w:rsidRPr="003479E3">
        <w:rPr>
          <w:rFonts w:ascii="Verdana" w:hAnsi="Verdana" w:cs="Arial"/>
          <w:sz w:val="14"/>
          <w:szCs w:val="14"/>
        </w:rPr>
        <w:t xml:space="preserve"> “</w:t>
      </w:r>
      <w:r w:rsidRPr="003479E3">
        <w:rPr>
          <w:rFonts w:ascii="Verdana" w:hAnsi="Verdana" w:cs="Arial"/>
          <w:sz w:val="14"/>
          <w:szCs w:val="14"/>
          <w:lang w:val="es-ES"/>
        </w:rPr>
        <w:t xml:space="preserve">[25] </w:t>
      </w:r>
      <w:r w:rsidRPr="003479E3">
        <w:rPr>
          <w:rFonts w:ascii="Verdana" w:hAnsi="Verdana" w:cs="Arial"/>
          <w:sz w:val="14"/>
          <w:szCs w:val="14"/>
        </w:rPr>
        <w:t>Cfr. Consejo de Estado. Sección Tercera. Sentencia de 3 de diciembre de 2007. Radicados: 24.715, 25.206, 25.409, 24.524, 27.834, 25.410, 26.105, 28.244, 31.447 -acumulados-“.</w:t>
      </w:r>
    </w:p>
  </w:footnote>
  <w:footnote w:id="12">
    <w:p w14:paraId="4EEE9FC2" w14:textId="1C45289F" w:rsidR="00330BDF" w:rsidRPr="003479E3" w:rsidRDefault="00330BDF" w:rsidP="00330BDF">
      <w:pPr>
        <w:pStyle w:val="Textonotapie"/>
        <w:ind w:right="51" w:firstLine="709"/>
        <w:jc w:val="both"/>
        <w:rPr>
          <w:rFonts w:ascii="Verdana" w:hAnsi="Verdana" w:cs="Arial"/>
          <w:sz w:val="14"/>
          <w:szCs w:val="14"/>
        </w:rPr>
      </w:pPr>
      <w:r w:rsidRPr="003479E3">
        <w:rPr>
          <w:rStyle w:val="Refdenotaalpie"/>
          <w:rFonts w:ascii="Verdana" w:hAnsi="Verdana" w:cs="Arial"/>
          <w:sz w:val="14"/>
          <w:szCs w:val="14"/>
        </w:rPr>
        <w:footnoteRef/>
      </w:r>
      <w:r w:rsidRPr="003479E3">
        <w:rPr>
          <w:rFonts w:ascii="Verdana" w:hAnsi="Verdana" w:cs="Arial"/>
          <w:sz w:val="14"/>
          <w:szCs w:val="14"/>
        </w:rPr>
        <w:t xml:space="preserve"> “</w:t>
      </w:r>
      <w:r w:rsidRPr="003479E3">
        <w:rPr>
          <w:rFonts w:ascii="Verdana" w:hAnsi="Verdana" w:cs="Arial"/>
          <w:sz w:val="14"/>
          <w:szCs w:val="14"/>
          <w:lang w:val="es-ES"/>
        </w:rPr>
        <w:t xml:space="preserve">[26] </w:t>
      </w:r>
      <w:r w:rsidRPr="003479E3">
        <w:rPr>
          <w:rFonts w:ascii="Verdana" w:hAnsi="Verdana" w:cs="Arial"/>
          <w:sz w:val="14"/>
          <w:szCs w:val="14"/>
        </w:rPr>
        <w:t>Al respecto ver el concepto 1712 de 2 de febrero de 2006. Consejo de Estado Sala de Consulta y Servicio Civil”.</w:t>
      </w:r>
    </w:p>
  </w:footnote>
  <w:footnote w:id="13">
    <w:p w14:paraId="791F1C53" w14:textId="18893944" w:rsidR="00330BDF" w:rsidRPr="003479E3" w:rsidRDefault="00330BDF" w:rsidP="000371D0">
      <w:pPr>
        <w:pStyle w:val="Textonotapie"/>
        <w:ind w:firstLine="709"/>
        <w:jc w:val="both"/>
        <w:rPr>
          <w:rFonts w:ascii="Verdana" w:hAnsi="Verdana" w:cs="Arial"/>
          <w:sz w:val="14"/>
          <w:szCs w:val="14"/>
        </w:rPr>
      </w:pPr>
      <w:r w:rsidRPr="003479E3">
        <w:rPr>
          <w:rStyle w:val="Refdenotaalpie"/>
          <w:rFonts w:ascii="Verdana" w:hAnsi="Verdana" w:cs="Arial"/>
          <w:sz w:val="14"/>
          <w:szCs w:val="14"/>
        </w:rPr>
        <w:footnoteRef/>
      </w:r>
      <w:r w:rsidRPr="003479E3">
        <w:rPr>
          <w:rFonts w:ascii="Verdana" w:hAnsi="Verdana" w:cs="Arial"/>
          <w:sz w:val="14"/>
          <w:szCs w:val="14"/>
        </w:rPr>
        <w:t xml:space="preserve"> Consejo de Estado. Sala de Consulta y Servicio Civil. Concepto del 2 de septiembre de 2013. Radicación número: 11001-03-06-000-2013-00412-00 (2168). Consejero Ponente: Álvaro Namén Vargas.</w:t>
      </w:r>
    </w:p>
  </w:footnote>
  <w:footnote w:id="14">
    <w:p w14:paraId="304A72A3" w14:textId="4393D365" w:rsidR="00330BDF" w:rsidRPr="003479E3" w:rsidRDefault="00330BDF" w:rsidP="00095ABD">
      <w:pPr>
        <w:pStyle w:val="Textonotapie"/>
        <w:ind w:firstLine="709"/>
        <w:jc w:val="both"/>
        <w:rPr>
          <w:rFonts w:ascii="Verdana" w:hAnsi="Verdana" w:cs="Arial"/>
          <w:sz w:val="14"/>
          <w:szCs w:val="14"/>
          <w:lang w:val="es-ES"/>
        </w:rPr>
      </w:pPr>
      <w:r w:rsidRPr="003479E3">
        <w:rPr>
          <w:rStyle w:val="Refdenotaalpie"/>
          <w:rFonts w:ascii="Verdana" w:hAnsi="Verdana" w:cs="Arial"/>
          <w:sz w:val="14"/>
          <w:szCs w:val="14"/>
        </w:rPr>
        <w:footnoteRef/>
      </w:r>
      <w:r w:rsidRPr="003479E3">
        <w:rPr>
          <w:rFonts w:ascii="Verdana" w:hAnsi="Verdana" w:cs="Arial"/>
          <w:sz w:val="14"/>
          <w:szCs w:val="14"/>
        </w:rPr>
        <w:t xml:space="preserve"> </w:t>
      </w:r>
      <w:r w:rsidRPr="003479E3">
        <w:rPr>
          <w:rFonts w:ascii="Verdana" w:hAnsi="Verdana" w:cs="Arial"/>
          <w:sz w:val="14"/>
          <w:szCs w:val="14"/>
          <w:lang w:val="es-ES"/>
        </w:rPr>
        <w:t xml:space="preserve">Artículo 2. </w:t>
      </w:r>
    </w:p>
  </w:footnote>
  <w:footnote w:id="15">
    <w:p w14:paraId="331C9568" w14:textId="77777777" w:rsidR="00330BDF" w:rsidRPr="003479E3" w:rsidRDefault="00330BDF" w:rsidP="00330BDF">
      <w:pPr>
        <w:pStyle w:val="Textonotapie"/>
        <w:ind w:firstLine="709"/>
        <w:jc w:val="both"/>
        <w:rPr>
          <w:rFonts w:ascii="Verdana" w:hAnsi="Verdana" w:cs="Arial"/>
          <w:sz w:val="14"/>
          <w:szCs w:val="14"/>
          <w:lang w:val="es-ES"/>
        </w:rPr>
      </w:pPr>
      <w:r w:rsidRPr="003479E3">
        <w:rPr>
          <w:rStyle w:val="Refdenotaalpie"/>
          <w:rFonts w:ascii="Verdana" w:hAnsi="Verdana" w:cs="Arial"/>
          <w:sz w:val="14"/>
          <w:szCs w:val="14"/>
        </w:rPr>
        <w:footnoteRef/>
      </w:r>
      <w:r w:rsidRPr="003479E3">
        <w:rPr>
          <w:rFonts w:ascii="Verdana" w:hAnsi="Verdana" w:cs="Arial"/>
          <w:sz w:val="14"/>
          <w:szCs w:val="14"/>
        </w:rPr>
        <w:t xml:space="preserve"> </w:t>
      </w:r>
      <w:r w:rsidRPr="003479E3">
        <w:rPr>
          <w:rFonts w:ascii="Verdana" w:hAnsi="Verdana" w:cs="Arial"/>
          <w:i/>
          <w:sz w:val="14"/>
          <w:szCs w:val="14"/>
          <w:lang w:val="es-ES"/>
        </w:rPr>
        <w:t>Ídem</w:t>
      </w:r>
      <w:r w:rsidRPr="003479E3">
        <w:rPr>
          <w:rFonts w:ascii="Verdana" w:hAnsi="Verdana" w:cs="Arial"/>
          <w:sz w:val="14"/>
          <w:szCs w:val="14"/>
          <w:lang w:val="es-ES"/>
        </w:rPr>
        <w:t>.</w:t>
      </w:r>
    </w:p>
  </w:footnote>
  <w:footnote w:id="16">
    <w:p w14:paraId="12064537" w14:textId="01BDC5B8" w:rsidR="00330BDF" w:rsidRPr="003479E3" w:rsidRDefault="00330BDF" w:rsidP="00330BDF">
      <w:pPr>
        <w:pStyle w:val="Textonotapie"/>
        <w:ind w:firstLine="709"/>
        <w:jc w:val="both"/>
        <w:rPr>
          <w:rFonts w:ascii="Verdana" w:hAnsi="Verdana" w:cs="Arial"/>
          <w:sz w:val="14"/>
          <w:szCs w:val="14"/>
          <w:lang w:val="es-ES"/>
        </w:rPr>
      </w:pPr>
      <w:r w:rsidRPr="003479E3">
        <w:rPr>
          <w:rStyle w:val="Refdenotaalpie"/>
          <w:rFonts w:ascii="Verdana" w:hAnsi="Verdana" w:cs="Arial"/>
          <w:sz w:val="14"/>
          <w:szCs w:val="14"/>
        </w:rPr>
        <w:footnoteRef/>
      </w:r>
      <w:r w:rsidRPr="003479E3">
        <w:rPr>
          <w:rStyle w:val="Refdenotaalpie"/>
          <w:rFonts w:ascii="Verdana" w:hAnsi="Verdana" w:cs="Arial"/>
          <w:sz w:val="14"/>
          <w:szCs w:val="14"/>
        </w:rPr>
        <w:t xml:space="preserve"> </w:t>
      </w:r>
      <w:r w:rsidRPr="003479E3">
        <w:rPr>
          <w:rFonts w:ascii="Verdana" w:hAnsi="Verdana" w:cs="Arial"/>
          <w:sz w:val="14"/>
          <w:szCs w:val="14"/>
          <w:lang w:val="es-ES"/>
        </w:rPr>
        <w:t xml:space="preserve">“[…] A este respecto, cabe recordar que el artículo 860 del Código de Comercio regula la licitación en el derecho privado”. </w:t>
      </w:r>
    </w:p>
  </w:footnote>
  <w:footnote w:id="17">
    <w:p w14:paraId="159A060E" w14:textId="77777777" w:rsidR="00330BDF" w:rsidRPr="003479E3" w:rsidRDefault="00330BDF" w:rsidP="00330BDF">
      <w:pPr>
        <w:shd w:val="clear" w:color="auto" w:fill="FFFFFF" w:themeFill="background1"/>
        <w:spacing w:after="0" w:line="240" w:lineRule="auto"/>
        <w:ind w:firstLine="709"/>
        <w:jc w:val="both"/>
        <w:rPr>
          <w:rFonts w:ascii="Verdana" w:hAnsi="Verdana" w:cs="Arial"/>
          <w:sz w:val="14"/>
          <w:szCs w:val="14"/>
          <w:lang w:val="es-ES"/>
        </w:rPr>
      </w:pPr>
      <w:r w:rsidRPr="003479E3">
        <w:rPr>
          <w:rStyle w:val="Refdenotaalpie"/>
          <w:rFonts w:ascii="Verdana" w:hAnsi="Verdana" w:cs="Arial"/>
          <w:sz w:val="14"/>
          <w:szCs w:val="14"/>
        </w:rPr>
        <w:footnoteRef/>
      </w:r>
      <w:r w:rsidRPr="003479E3">
        <w:rPr>
          <w:rStyle w:val="Refdenotaalpie"/>
          <w:rFonts w:ascii="Verdana" w:hAnsi="Verdana" w:cs="Arial"/>
          <w:sz w:val="14"/>
          <w:szCs w:val="14"/>
        </w:rPr>
        <w:t xml:space="preserve"> </w:t>
      </w:r>
      <w:r w:rsidRPr="003479E3">
        <w:rPr>
          <w:rFonts w:ascii="Verdana" w:hAnsi="Verdana" w:cs="Arial"/>
          <w:sz w:val="14"/>
          <w:szCs w:val="14"/>
          <w:lang w:val="es-ES"/>
        </w:rPr>
        <w:t>Consejo de Estado. Sala de Consulta y Servicio Civil, Concepto de 8 de mayo de 2018. Radicación Número: 11001-03-06-000-2018-00095-00(2382). Consejero Ponente: Álvaro Namén Vargas.</w:t>
      </w:r>
    </w:p>
  </w:footnote>
  <w:footnote w:id="18">
    <w:p w14:paraId="50E70DF8" w14:textId="77777777" w:rsidR="00330BDF" w:rsidRPr="003F2A9C" w:rsidRDefault="00330BDF" w:rsidP="00330BDF">
      <w:pPr>
        <w:pStyle w:val="Textonotapie"/>
        <w:ind w:firstLine="709"/>
        <w:jc w:val="both"/>
        <w:rPr>
          <w:rFonts w:ascii="Verdana" w:hAnsi="Verdana" w:cs="Arial"/>
          <w:sz w:val="16"/>
          <w:szCs w:val="16"/>
        </w:rPr>
      </w:pPr>
      <w:r w:rsidRPr="003479E3">
        <w:rPr>
          <w:rStyle w:val="Refdenotaalpie"/>
          <w:rFonts w:ascii="Verdana" w:hAnsi="Verdana" w:cs="Arial"/>
          <w:sz w:val="14"/>
          <w:szCs w:val="14"/>
        </w:rPr>
        <w:footnoteRef/>
      </w:r>
      <w:r w:rsidRPr="003479E3">
        <w:rPr>
          <w:rFonts w:ascii="Verdana" w:hAnsi="Verdana" w:cs="Arial"/>
          <w:sz w:val="14"/>
          <w:szCs w:val="14"/>
        </w:rPr>
        <w:t xml:space="preserve"> Consejo de Estado. Sala de Consulta y Servicio Civil. Concepto del 08 de mayo de 2018. Exp. 2.382. C.P. Álvaro Namén Vargas.</w:t>
      </w:r>
    </w:p>
  </w:footnote>
  <w:footnote w:id="19">
    <w:p w14:paraId="34D8B99E" w14:textId="05BC5281" w:rsidR="00330BDF" w:rsidRPr="003F2A9C" w:rsidRDefault="00330BDF" w:rsidP="00330BDF">
      <w:pPr>
        <w:pStyle w:val="Textonotapie"/>
        <w:ind w:firstLine="708"/>
        <w:jc w:val="both"/>
        <w:rPr>
          <w:rFonts w:ascii="Verdana" w:hAnsi="Verdana" w:cs="Arial"/>
          <w:sz w:val="16"/>
          <w:szCs w:val="16"/>
        </w:rPr>
      </w:pPr>
      <w:r w:rsidRPr="003479E3">
        <w:rPr>
          <w:rStyle w:val="Refdenotaalpie"/>
          <w:rFonts w:ascii="Verdana" w:hAnsi="Verdana" w:cs="Arial"/>
          <w:sz w:val="14"/>
          <w:szCs w:val="14"/>
        </w:rPr>
        <w:footnoteRef/>
      </w:r>
      <w:r w:rsidRPr="003479E3">
        <w:rPr>
          <w:rFonts w:ascii="Verdana" w:hAnsi="Verdana" w:cs="Arial"/>
          <w:sz w:val="14"/>
          <w:szCs w:val="14"/>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20">
    <w:p w14:paraId="6A70B2D4" w14:textId="732BB2EB" w:rsidR="00330BDF" w:rsidRPr="003479E3" w:rsidRDefault="00330BDF" w:rsidP="00330BDF">
      <w:pPr>
        <w:pStyle w:val="Textonotapie"/>
        <w:ind w:firstLine="709"/>
        <w:jc w:val="both"/>
        <w:rPr>
          <w:rFonts w:ascii="Verdana" w:hAnsi="Verdana" w:cs="Arial"/>
          <w:sz w:val="14"/>
          <w:szCs w:val="14"/>
        </w:rPr>
      </w:pPr>
      <w:r w:rsidRPr="003479E3">
        <w:rPr>
          <w:rStyle w:val="Refdenotaalpie"/>
          <w:rFonts w:ascii="Verdana" w:hAnsi="Verdana" w:cs="Arial"/>
          <w:sz w:val="14"/>
          <w:szCs w:val="14"/>
        </w:rPr>
        <w:footnoteRef/>
      </w:r>
      <w:r w:rsidRPr="003479E3">
        <w:rPr>
          <w:rFonts w:ascii="Verdana" w:hAnsi="Verdana" w:cs="Arial"/>
          <w:sz w:val="14"/>
          <w:szCs w:val="14"/>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1">
    <w:p w14:paraId="00895D3D" w14:textId="77777777" w:rsidR="00330BDF" w:rsidRPr="005F5922" w:rsidRDefault="00330BDF" w:rsidP="00330BDF">
      <w:pPr>
        <w:pStyle w:val="Textonotapie"/>
        <w:ind w:firstLine="708"/>
        <w:jc w:val="both"/>
        <w:rPr>
          <w:rFonts w:ascii="Verdana" w:hAnsi="Verdana" w:cs="Arial"/>
          <w:color w:val="000000" w:themeColor="text1"/>
          <w:sz w:val="16"/>
          <w:szCs w:val="16"/>
          <w:lang w:val="es-ES"/>
        </w:rPr>
      </w:pPr>
      <w:r w:rsidRPr="003479E3">
        <w:rPr>
          <w:rStyle w:val="Refdenotaalpie"/>
          <w:rFonts w:ascii="Verdana" w:hAnsi="Verdana" w:cs="Arial"/>
          <w:color w:val="000000" w:themeColor="text1"/>
          <w:sz w:val="14"/>
          <w:szCs w:val="14"/>
        </w:rPr>
        <w:footnoteRef/>
      </w:r>
      <w:r w:rsidRPr="003479E3">
        <w:rPr>
          <w:rFonts w:ascii="Verdana" w:hAnsi="Verdana" w:cs="Arial"/>
          <w:color w:val="000000" w:themeColor="text1"/>
          <w:sz w:val="14"/>
          <w:szCs w:val="14"/>
        </w:rPr>
        <w:t xml:space="preserve"> </w:t>
      </w:r>
      <w:r w:rsidRPr="003479E3">
        <w:rPr>
          <w:rFonts w:ascii="Verdana" w:hAnsi="Verdana" w:cs="Arial"/>
          <w:color w:val="000000" w:themeColor="text1"/>
          <w:sz w:val="14"/>
          <w:szCs w:val="14"/>
          <w:lang w:val="es-CO"/>
        </w:rPr>
        <w:t>«</w:t>
      </w:r>
      <w:r w:rsidRPr="003479E3">
        <w:rPr>
          <w:rFonts w:ascii="Verdana" w:hAnsi="Verdana" w:cs="Arial"/>
          <w:color w:val="000000" w:themeColor="text1"/>
          <w:sz w:val="14"/>
          <w:szCs w:val="14"/>
        </w:rPr>
        <w:t>Artículo 197. Empresas sociales de salud de carácter territorial. Las entidades territoriales deberán disponer, dentro de los seis (6) meses siguientes a la fecha de vigencia de esta Ley, la reestructuración de las entidades descentralizadas cuyo objeto principal sea la prestación de servicios de salud, con el fin de adecuarlas a lo dispuesto en este capítulo.</w:t>
      </w:r>
    </w:p>
  </w:footnote>
  <w:footnote w:id="22">
    <w:p w14:paraId="30CAA80E" w14:textId="77777777" w:rsidR="00330BDF" w:rsidRPr="003479E3" w:rsidRDefault="00330BDF" w:rsidP="00330BDF">
      <w:pPr>
        <w:pStyle w:val="Textonotapie"/>
        <w:ind w:firstLine="708"/>
        <w:jc w:val="both"/>
        <w:rPr>
          <w:rFonts w:ascii="Verdana" w:hAnsi="Verdana" w:cs="Arial"/>
          <w:color w:val="000000" w:themeColor="text1"/>
          <w:sz w:val="14"/>
          <w:szCs w:val="14"/>
        </w:rPr>
      </w:pPr>
      <w:r w:rsidRPr="003479E3">
        <w:rPr>
          <w:rStyle w:val="Refdenotaalpie"/>
          <w:rFonts w:ascii="Verdana" w:hAnsi="Verdana" w:cs="Arial"/>
          <w:color w:val="000000" w:themeColor="text1"/>
          <w:sz w:val="14"/>
          <w:szCs w:val="14"/>
        </w:rPr>
        <w:footnoteRef/>
      </w:r>
      <w:r w:rsidRPr="003479E3">
        <w:rPr>
          <w:rFonts w:ascii="Verdana" w:hAnsi="Verdana" w:cs="Arial"/>
          <w:color w:val="000000" w:themeColor="text1"/>
          <w:sz w:val="14"/>
          <w:szCs w:val="14"/>
        </w:rPr>
        <w:t xml:space="preserve"> El artículo 2.8.8.1.4.2 del Decreto 780 de 2016 dispone que «Para efectos de la aplicación del presente Capítulo, entiéndase por Autoridades Sanitarias del Sivigila, el Ministerio de Salud y Protección Social; el Instituto Nacional de Salud (INS); el Instituto Nacional de Vigilancia de Medicamentos y Alimentos (Invima), las Direcciones Territoriales de Salud, </w:t>
      </w:r>
      <w:r w:rsidRPr="003479E3">
        <w:rPr>
          <w:rFonts w:ascii="Verdana" w:hAnsi="Verdana" w:cs="Arial"/>
          <w:i/>
          <w:iCs/>
          <w:color w:val="000000" w:themeColor="text1"/>
          <w:sz w:val="14"/>
          <w:szCs w:val="14"/>
        </w:rPr>
        <w:t>y todas aquellas entidades que de acuerdo con la ley ejerzan funciones de vigilancia y control sanitario</w:t>
      </w:r>
      <w:r w:rsidRPr="003479E3">
        <w:rPr>
          <w:rFonts w:ascii="Verdana" w:hAnsi="Verdana" w:cs="Arial"/>
          <w:color w:val="000000" w:themeColor="text1"/>
          <w:sz w:val="14"/>
          <w:szCs w:val="14"/>
        </w:rPr>
        <w:t xml:space="preserve">, las cuales deben adoptar medidas sanitarias que garanticen la protección de la salud pública y el cumplimiento de lo dispuesto en esta norma, así como adelantar los procedimientos y aplicar las sanciones a que hubiere lugar» (Énfasis fuera de texto).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5pt;height:11.5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0B794139"/>
    <w:multiLevelType w:val="hybridMultilevel"/>
    <w:tmpl w:val="935240E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1934292"/>
    <w:multiLevelType w:val="hybridMultilevel"/>
    <w:tmpl w:val="80909676"/>
    <w:lvl w:ilvl="0" w:tplc="D452D83C">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59AE221C"/>
    <w:multiLevelType w:val="hybridMultilevel"/>
    <w:tmpl w:val="2FAEAD0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5F371B4A"/>
    <w:multiLevelType w:val="hybridMultilevel"/>
    <w:tmpl w:val="7D8AB1EA"/>
    <w:lvl w:ilvl="0" w:tplc="240A000F">
      <w:start w:val="2"/>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59959744">
    <w:abstractNumId w:val="6"/>
  </w:num>
  <w:num w:numId="2" w16cid:durableId="669333318">
    <w:abstractNumId w:val="1"/>
  </w:num>
  <w:num w:numId="3" w16cid:durableId="333651104">
    <w:abstractNumId w:val="4"/>
  </w:num>
  <w:num w:numId="4" w16cid:durableId="30875252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5708366">
    <w:abstractNumId w:val="1"/>
  </w:num>
  <w:num w:numId="6" w16cid:durableId="391541889">
    <w:abstractNumId w:val="15"/>
  </w:num>
  <w:num w:numId="7" w16cid:durableId="437532831">
    <w:abstractNumId w:val="5"/>
  </w:num>
  <w:num w:numId="8" w16cid:durableId="797265162">
    <w:abstractNumId w:val="14"/>
  </w:num>
  <w:num w:numId="9" w16cid:durableId="974066144">
    <w:abstractNumId w:val="7"/>
  </w:num>
  <w:num w:numId="10" w16cid:durableId="2118256052">
    <w:abstractNumId w:val="13"/>
  </w:num>
  <w:num w:numId="11" w16cid:durableId="1290554193">
    <w:abstractNumId w:val="8"/>
  </w:num>
  <w:num w:numId="12" w16cid:durableId="1956709190">
    <w:abstractNumId w:val="0"/>
  </w:num>
  <w:num w:numId="13" w16cid:durableId="894851772">
    <w:abstractNumId w:val="3"/>
  </w:num>
  <w:num w:numId="14" w16cid:durableId="408619924">
    <w:abstractNumId w:val="16"/>
  </w:num>
  <w:num w:numId="15" w16cid:durableId="2010326809">
    <w:abstractNumId w:val="12"/>
  </w:num>
  <w:num w:numId="16" w16cid:durableId="1924952742">
    <w:abstractNumId w:val="11"/>
  </w:num>
  <w:num w:numId="17" w16cid:durableId="294065147">
    <w:abstractNumId w:val="10"/>
  </w:num>
  <w:num w:numId="18" w16cid:durableId="1498502212">
    <w:abstractNumId w:val="9"/>
  </w:num>
  <w:num w:numId="19" w16cid:durableId="7941735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0FA"/>
    <w:rsid w:val="00016F78"/>
    <w:rsid w:val="000371D0"/>
    <w:rsid w:val="00041789"/>
    <w:rsid w:val="00046945"/>
    <w:rsid w:val="00061B2A"/>
    <w:rsid w:val="00082362"/>
    <w:rsid w:val="00095ABD"/>
    <w:rsid w:val="000A683E"/>
    <w:rsid w:val="000B19B9"/>
    <w:rsid w:val="000B3699"/>
    <w:rsid w:val="000D0334"/>
    <w:rsid w:val="000D15BD"/>
    <w:rsid w:val="000D5DA7"/>
    <w:rsid w:val="000E4C26"/>
    <w:rsid w:val="000E6375"/>
    <w:rsid w:val="000F6486"/>
    <w:rsid w:val="00101E6B"/>
    <w:rsid w:val="00116940"/>
    <w:rsid w:val="00125105"/>
    <w:rsid w:val="00127233"/>
    <w:rsid w:val="00147DFE"/>
    <w:rsid w:val="00153D59"/>
    <w:rsid w:val="0015699B"/>
    <w:rsid w:val="0016606C"/>
    <w:rsid w:val="0017378B"/>
    <w:rsid w:val="001836C2"/>
    <w:rsid w:val="00190526"/>
    <w:rsid w:val="001A33BF"/>
    <w:rsid w:val="001A7818"/>
    <w:rsid w:val="001C3E18"/>
    <w:rsid w:val="001C5029"/>
    <w:rsid w:val="001D191E"/>
    <w:rsid w:val="001E4177"/>
    <w:rsid w:val="001F0B24"/>
    <w:rsid w:val="001F7DC6"/>
    <w:rsid w:val="0022400B"/>
    <w:rsid w:val="0023441D"/>
    <w:rsid w:val="002415C2"/>
    <w:rsid w:val="002421BB"/>
    <w:rsid w:val="002571E5"/>
    <w:rsid w:val="0025796E"/>
    <w:rsid w:val="002707A2"/>
    <w:rsid w:val="0027364F"/>
    <w:rsid w:val="00284AD6"/>
    <w:rsid w:val="0028785A"/>
    <w:rsid w:val="00290E94"/>
    <w:rsid w:val="002951A0"/>
    <w:rsid w:val="002962BC"/>
    <w:rsid w:val="002A093D"/>
    <w:rsid w:val="002A0DD0"/>
    <w:rsid w:val="002A49AC"/>
    <w:rsid w:val="002A64FD"/>
    <w:rsid w:val="002C04FD"/>
    <w:rsid w:val="002C4977"/>
    <w:rsid w:val="002C7A84"/>
    <w:rsid w:val="002D469B"/>
    <w:rsid w:val="002D5A06"/>
    <w:rsid w:val="002E2BF8"/>
    <w:rsid w:val="002E4FD9"/>
    <w:rsid w:val="00305031"/>
    <w:rsid w:val="0030657A"/>
    <w:rsid w:val="00322A85"/>
    <w:rsid w:val="00324168"/>
    <w:rsid w:val="00326C75"/>
    <w:rsid w:val="00330834"/>
    <w:rsid w:val="00330BDF"/>
    <w:rsid w:val="003448F4"/>
    <w:rsid w:val="00362A07"/>
    <w:rsid w:val="00363F95"/>
    <w:rsid w:val="00365DB7"/>
    <w:rsid w:val="00374F5E"/>
    <w:rsid w:val="00377E3E"/>
    <w:rsid w:val="0039756E"/>
    <w:rsid w:val="003A779E"/>
    <w:rsid w:val="003B0D90"/>
    <w:rsid w:val="003C49A6"/>
    <w:rsid w:val="003C4A1C"/>
    <w:rsid w:val="003D0F4D"/>
    <w:rsid w:val="003D5B0D"/>
    <w:rsid w:val="003D64E6"/>
    <w:rsid w:val="003E0499"/>
    <w:rsid w:val="003E4F80"/>
    <w:rsid w:val="003E6439"/>
    <w:rsid w:val="003F3941"/>
    <w:rsid w:val="00404816"/>
    <w:rsid w:val="00406575"/>
    <w:rsid w:val="00414C74"/>
    <w:rsid w:val="00415A15"/>
    <w:rsid w:val="0042722E"/>
    <w:rsid w:val="00427610"/>
    <w:rsid w:val="0044528D"/>
    <w:rsid w:val="00466E39"/>
    <w:rsid w:val="004704E9"/>
    <w:rsid w:val="004775C6"/>
    <w:rsid w:val="004800E7"/>
    <w:rsid w:val="004877C6"/>
    <w:rsid w:val="004937C2"/>
    <w:rsid w:val="004A1847"/>
    <w:rsid w:val="004A305D"/>
    <w:rsid w:val="004B20F9"/>
    <w:rsid w:val="004E4CFC"/>
    <w:rsid w:val="004F21C4"/>
    <w:rsid w:val="004F685F"/>
    <w:rsid w:val="0052582C"/>
    <w:rsid w:val="00536538"/>
    <w:rsid w:val="005521C5"/>
    <w:rsid w:val="005566E8"/>
    <w:rsid w:val="00574867"/>
    <w:rsid w:val="00580370"/>
    <w:rsid w:val="00591207"/>
    <w:rsid w:val="00591460"/>
    <w:rsid w:val="005A10AC"/>
    <w:rsid w:val="005A65E0"/>
    <w:rsid w:val="005B42E6"/>
    <w:rsid w:val="005C3777"/>
    <w:rsid w:val="005C5CDC"/>
    <w:rsid w:val="005D4291"/>
    <w:rsid w:val="005D476C"/>
    <w:rsid w:val="005E29D8"/>
    <w:rsid w:val="005E77F4"/>
    <w:rsid w:val="005F0BEC"/>
    <w:rsid w:val="005F530E"/>
    <w:rsid w:val="006022D2"/>
    <w:rsid w:val="006200BF"/>
    <w:rsid w:val="006219F8"/>
    <w:rsid w:val="00623C51"/>
    <w:rsid w:val="006302F7"/>
    <w:rsid w:val="00632BE6"/>
    <w:rsid w:val="006343E1"/>
    <w:rsid w:val="00646B9F"/>
    <w:rsid w:val="00665D70"/>
    <w:rsid w:val="006900D9"/>
    <w:rsid w:val="006A38CF"/>
    <w:rsid w:val="006E2699"/>
    <w:rsid w:val="00706C16"/>
    <w:rsid w:val="007178CB"/>
    <w:rsid w:val="00726325"/>
    <w:rsid w:val="007267FB"/>
    <w:rsid w:val="00731635"/>
    <w:rsid w:val="007340C3"/>
    <w:rsid w:val="0075235A"/>
    <w:rsid w:val="00756841"/>
    <w:rsid w:val="007649AB"/>
    <w:rsid w:val="00771D0C"/>
    <w:rsid w:val="0077590F"/>
    <w:rsid w:val="00775ADB"/>
    <w:rsid w:val="007833AC"/>
    <w:rsid w:val="00785662"/>
    <w:rsid w:val="007A1A49"/>
    <w:rsid w:val="007B268C"/>
    <w:rsid w:val="007B7171"/>
    <w:rsid w:val="007B78D0"/>
    <w:rsid w:val="007C0C0F"/>
    <w:rsid w:val="007C3DC2"/>
    <w:rsid w:val="007C5732"/>
    <w:rsid w:val="007D1A5A"/>
    <w:rsid w:val="007D4B4B"/>
    <w:rsid w:val="007E5497"/>
    <w:rsid w:val="007F143D"/>
    <w:rsid w:val="00803DB6"/>
    <w:rsid w:val="00806F5F"/>
    <w:rsid w:val="00812ECD"/>
    <w:rsid w:val="0081342B"/>
    <w:rsid w:val="00820278"/>
    <w:rsid w:val="008216A0"/>
    <w:rsid w:val="008258C9"/>
    <w:rsid w:val="00840BF2"/>
    <w:rsid w:val="00844AE9"/>
    <w:rsid w:val="00850B54"/>
    <w:rsid w:val="00852EC9"/>
    <w:rsid w:val="008625CC"/>
    <w:rsid w:val="008669E7"/>
    <w:rsid w:val="00867F95"/>
    <w:rsid w:val="00870A98"/>
    <w:rsid w:val="008843B6"/>
    <w:rsid w:val="00885B18"/>
    <w:rsid w:val="00891928"/>
    <w:rsid w:val="008A446D"/>
    <w:rsid w:val="008A55AF"/>
    <w:rsid w:val="008A7D98"/>
    <w:rsid w:val="008B25F1"/>
    <w:rsid w:val="008C1FDE"/>
    <w:rsid w:val="008D131E"/>
    <w:rsid w:val="008D180B"/>
    <w:rsid w:val="008D73B3"/>
    <w:rsid w:val="008E2940"/>
    <w:rsid w:val="008E37DB"/>
    <w:rsid w:val="008F0E59"/>
    <w:rsid w:val="008F0EA7"/>
    <w:rsid w:val="008F4A6F"/>
    <w:rsid w:val="008F7174"/>
    <w:rsid w:val="00904F02"/>
    <w:rsid w:val="00920BA2"/>
    <w:rsid w:val="00923EEF"/>
    <w:rsid w:val="00926895"/>
    <w:rsid w:val="00927EDD"/>
    <w:rsid w:val="009419F9"/>
    <w:rsid w:val="009442B8"/>
    <w:rsid w:val="00955388"/>
    <w:rsid w:val="0095685E"/>
    <w:rsid w:val="00960E91"/>
    <w:rsid w:val="00961B09"/>
    <w:rsid w:val="00965334"/>
    <w:rsid w:val="0097093E"/>
    <w:rsid w:val="00973EB6"/>
    <w:rsid w:val="00991EEB"/>
    <w:rsid w:val="009A0C0E"/>
    <w:rsid w:val="009A0DFA"/>
    <w:rsid w:val="009A1C6F"/>
    <w:rsid w:val="009B2D26"/>
    <w:rsid w:val="009C3E8B"/>
    <w:rsid w:val="009C71FA"/>
    <w:rsid w:val="009C72E7"/>
    <w:rsid w:val="009C7F78"/>
    <w:rsid w:val="009C7F7E"/>
    <w:rsid w:val="009D1BEF"/>
    <w:rsid w:val="009D2F22"/>
    <w:rsid w:val="009D3058"/>
    <w:rsid w:val="009D72CA"/>
    <w:rsid w:val="009F3443"/>
    <w:rsid w:val="009F3A13"/>
    <w:rsid w:val="00A063BC"/>
    <w:rsid w:val="00A122D3"/>
    <w:rsid w:val="00A14468"/>
    <w:rsid w:val="00A17F13"/>
    <w:rsid w:val="00A20739"/>
    <w:rsid w:val="00A2364A"/>
    <w:rsid w:val="00A23AF9"/>
    <w:rsid w:val="00A2658F"/>
    <w:rsid w:val="00A31E20"/>
    <w:rsid w:val="00A33C78"/>
    <w:rsid w:val="00A35C75"/>
    <w:rsid w:val="00A42A08"/>
    <w:rsid w:val="00A42CB4"/>
    <w:rsid w:val="00A47EA1"/>
    <w:rsid w:val="00A5361D"/>
    <w:rsid w:val="00A72697"/>
    <w:rsid w:val="00A977C2"/>
    <w:rsid w:val="00AB0ADB"/>
    <w:rsid w:val="00AB1892"/>
    <w:rsid w:val="00AB4218"/>
    <w:rsid w:val="00B00C0E"/>
    <w:rsid w:val="00B01B1A"/>
    <w:rsid w:val="00B0381D"/>
    <w:rsid w:val="00B07413"/>
    <w:rsid w:val="00B07ACF"/>
    <w:rsid w:val="00B146A6"/>
    <w:rsid w:val="00B44A47"/>
    <w:rsid w:val="00B657E9"/>
    <w:rsid w:val="00B72CD3"/>
    <w:rsid w:val="00B72FFF"/>
    <w:rsid w:val="00BA74AA"/>
    <w:rsid w:val="00BC1BD4"/>
    <w:rsid w:val="00BC354E"/>
    <w:rsid w:val="00BC3D36"/>
    <w:rsid w:val="00BD54A6"/>
    <w:rsid w:val="00BD7F72"/>
    <w:rsid w:val="00BE7308"/>
    <w:rsid w:val="00BF04F5"/>
    <w:rsid w:val="00BF109A"/>
    <w:rsid w:val="00BF3613"/>
    <w:rsid w:val="00BF3D82"/>
    <w:rsid w:val="00BF7425"/>
    <w:rsid w:val="00C015A2"/>
    <w:rsid w:val="00C01C95"/>
    <w:rsid w:val="00C01CC1"/>
    <w:rsid w:val="00C04FB3"/>
    <w:rsid w:val="00C11D8B"/>
    <w:rsid w:val="00C1507D"/>
    <w:rsid w:val="00C15139"/>
    <w:rsid w:val="00C16B46"/>
    <w:rsid w:val="00C220C7"/>
    <w:rsid w:val="00C22F05"/>
    <w:rsid w:val="00C31967"/>
    <w:rsid w:val="00C330EB"/>
    <w:rsid w:val="00C4307D"/>
    <w:rsid w:val="00C47140"/>
    <w:rsid w:val="00C47324"/>
    <w:rsid w:val="00C50D69"/>
    <w:rsid w:val="00C52102"/>
    <w:rsid w:val="00C5365C"/>
    <w:rsid w:val="00C733F6"/>
    <w:rsid w:val="00C754BE"/>
    <w:rsid w:val="00C7563B"/>
    <w:rsid w:val="00C76B1C"/>
    <w:rsid w:val="00C85335"/>
    <w:rsid w:val="00C9192E"/>
    <w:rsid w:val="00C925AC"/>
    <w:rsid w:val="00CB5524"/>
    <w:rsid w:val="00CB6357"/>
    <w:rsid w:val="00CC1B26"/>
    <w:rsid w:val="00CE268E"/>
    <w:rsid w:val="00CF3405"/>
    <w:rsid w:val="00D05D26"/>
    <w:rsid w:val="00D222FD"/>
    <w:rsid w:val="00D361FD"/>
    <w:rsid w:val="00D423A2"/>
    <w:rsid w:val="00D44E26"/>
    <w:rsid w:val="00D450A3"/>
    <w:rsid w:val="00D520D8"/>
    <w:rsid w:val="00D61B4F"/>
    <w:rsid w:val="00D63AC2"/>
    <w:rsid w:val="00D65840"/>
    <w:rsid w:val="00D7383B"/>
    <w:rsid w:val="00D7788A"/>
    <w:rsid w:val="00DA231B"/>
    <w:rsid w:val="00DA2439"/>
    <w:rsid w:val="00DC17C5"/>
    <w:rsid w:val="00DC39FC"/>
    <w:rsid w:val="00DE0814"/>
    <w:rsid w:val="00DE12FB"/>
    <w:rsid w:val="00DF340B"/>
    <w:rsid w:val="00DF5254"/>
    <w:rsid w:val="00E02524"/>
    <w:rsid w:val="00E16408"/>
    <w:rsid w:val="00E20894"/>
    <w:rsid w:val="00E22125"/>
    <w:rsid w:val="00E245AB"/>
    <w:rsid w:val="00E24973"/>
    <w:rsid w:val="00E27034"/>
    <w:rsid w:val="00E2764C"/>
    <w:rsid w:val="00E27F2E"/>
    <w:rsid w:val="00E352C6"/>
    <w:rsid w:val="00E50AFE"/>
    <w:rsid w:val="00E75C92"/>
    <w:rsid w:val="00E771DC"/>
    <w:rsid w:val="00E86315"/>
    <w:rsid w:val="00E8772A"/>
    <w:rsid w:val="00E90F6B"/>
    <w:rsid w:val="00E92C27"/>
    <w:rsid w:val="00EA0E3D"/>
    <w:rsid w:val="00EA39D3"/>
    <w:rsid w:val="00EA612E"/>
    <w:rsid w:val="00EA7BFD"/>
    <w:rsid w:val="00EB76D7"/>
    <w:rsid w:val="00EB7F2E"/>
    <w:rsid w:val="00EC38A7"/>
    <w:rsid w:val="00EE0072"/>
    <w:rsid w:val="00EE1AA8"/>
    <w:rsid w:val="00EF5564"/>
    <w:rsid w:val="00F021F2"/>
    <w:rsid w:val="00F053C5"/>
    <w:rsid w:val="00F05FCA"/>
    <w:rsid w:val="00F061B2"/>
    <w:rsid w:val="00F074A5"/>
    <w:rsid w:val="00F15741"/>
    <w:rsid w:val="00F172AE"/>
    <w:rsid w:val="00F23FEA"/>
    <w:rsid w:val="00F31EDC"/>
    <w:rsid w:val="00F462B3"/>
    <w:rsid w:val="00F5664F"/>
    <w:rsid w:val="00F666C4"/>
    <w:rsid w:val="00F678AA"/>
    <w:rsid w:val="00F71D45"/>
    <w:rsid w:val="00F73988"/>
    <w:rsid w:val="00F76985"/>
    <w:rsid w:val="00F76AFC"/>
    <w:rsid w:val="00FA1AED"/>
    <w:rsid w:val="00FA47C0"/>
    <w:rsid w:val="00FA58D8"/>
    <w:rsid w:val="00FB58CB"/>
    <w:rsid w:val="00FB5DD1"/>
    <w:rsid w:val="00FC2B5D"/>
    <w:rsid w:val="00FC4ED5"/>
    <w:rsid w:val="00FD0BFF"/>
    <w:rsid w:val="00FF1449"/>
    <w:rsid w:val="00FF5052"/>
    <w:rsid w:val="00FF7963"/>
    <w:rsid w:val="071B8F93"/>
    <w:rsid w:val="07C73DD1"/>
    <w:rsid w:val="09908A09"/>
    <w:rsid w:val="0FF4CCA8"/>
    <w:rsid w:val="13CFC91B"/>
    <w:rsid w:val="19A2EC2C"/>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2"/>
    </o:shapelayout>
  </w:shapeDefaults>
  <w:decimalSymbol w:val=","/>
  <w:listSeparator w:val=";"/>
  <w14:docId w14:val="279607BD"/>
  <w15:chartTrackingRefBased/>
  <w15:docId w15:val="{568EFA66-8E1A-4FAF-919A-E96A7F0EDF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30BD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30BDF"/>
    <w:rPr>
      <w:rFonts w:ascii="Geomanist Light" w:hAnsi="Geomanist Light"/>
      <w:lang w:val="es-ES"/>
    </w:rPr>
  </w:style>
  <w:style w:type="paragraph" w:styleId="Textoindependiente">
    <w:name w:val="Body Text"/>
    <w:basedOn w:val="Normal"/>
    <w:link w:val="TextoindependienteCar"/>
    <w:uiPriority w:val="1"/>
    <w:qFormat/>
    <w:rsid w:val="00330BDF"/>
    <w:pPr>
      <w:widowControl w:val="0"/>
      <w:autoSpaceDE w:val="0"/>
      <w:autoSpaceDN w:val="0"/>
      <w:spacing w:after="0" w:line="240" w:lineRule="auto"/>
      <w:ind w:firstLine="709"/>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330BDF"/>
    <w:rPr>
      <w:rFonts w:ascii="Verdana" w:eastAsia="Verdana" w:hAnsi="Verdana" w:cs="Verdana"/>
      <w:lang w:val="es-ES"/>
    </w:rPr>
  </w:style>
  <w:style w:type="character" w:customStyle="1" w:styleId="NormalWebCar">
    <w:name w:val="Normal (Web) Car"/>
    <w:link w:val="NormalWeb"/>
    <w:uiPriority w:val="99"/>
    <w:rsid w:val="00330BDF"/>
    <w:rPr>
      <w:rFonts w:ascii="Times New Roman" w:eastAsia="Times New Roman" w:hAnsi="Times New Roman" w:cs="Times New Roman"/>
      <w:sz w:val="24"/>
      <w:szCs w:val="24"/>
      <w:lang w:eastAsia="es-CO"/>
    </w:rPr>
  </w:style>
  <w:style w:type="character" w:customStyle="1" w:styleId="baj">
    <w:name w:val="b_aj"/>
    <w:basedOn w:val="Fuentedeprrafopredeter"/>
    <w:rsid w:val="00330BDF"/>
  </w:style>
  <w:style w:type="paragraph" w:styleId="Sinespaciado">
    <w:name w:val="No Spacing"/>
    <w:uiPriority w:val="1"/>
    <w:qFormat/>
    <w:rsid w:val="00330BD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normativa-y-relatoria/circular-unica-externa"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GERENCIA@ESEHOSPICALDAS.GOV.CO"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mailto:ventanilladeradicacion@colombiacompra.gov.c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openxmlformats.org/package/2006/metadata/core-properties"/>
    <ds:schemaRef ds:uri="http://schemas.microsoft.com/office/2006/metadata/properties"/>
    <ds:schemaRef ds:uri="http://purl.org/dc/elements/1.1/"/>
    <ds:schemaRef ds:uri="http://www.w3.org/XML/1998/namespace"/>
    <ds:schemaRef ds:uri="http://schemas.microsoft.com/office/2006/documentManagement/types"/>
    <ds:schemaRef ds:uri="http://purl.org/dc/terms/"/>
    <ds:schemaRef ds:uri="http://schemas.microsoft.com/office/infopath/2007/PartnerControls"/>
    <ds:schemaRef ds:uri="fb02ccb1-9bfe-43f1-9075-a12505bf7b0f"/>
    <ds:schemaRef ds:uri="http://purl.org/dc/dcmitype/"/>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4770E3DD-0743-4638-B37F-C4A6EE64BBDF}">
  <ds:schemaRefs>
    <ds:schemaRef ds:uri="http://schemas.openxmlformats.org/officeDocument/2006/bibliography"/>
  </ds:schemaRefs>
</ds:datastoreItem>
</file>

<file path=customXml/itemProps4.xml><?xml version="1.0" encoding="utf-8"?>
<ds:datastoreItem xmlns:ds="http://schemas.openxmlformats.org/officeDocument/2006/customXml" ds:itemID="{8D6173C4-BA76-42AA-B79F-9EE5D1F3A4EF}"/>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14</TotalTime>
  <Pages>21</Pages>
  <Words>7091</Words>
  <Characters>38510</Characters>
  <Application>Microsoft Office Word</Application>
  <DocSecurity>0</DocSecurity>
  <Lines>770</Lines>
  <Paragraphs>157</Paragraphs>
  <ScaleCrop>false</ScaleCrop>
  <Company/>
  <LinksUpToDate>false</LinksUpToDate>
  <CharactersWithSpaces>45444</CharactersWithSpaces>
  <SharedDoc>false</SharedDoc>
  <HLinks>
    <vt:vector size="30" baseType="variant">
      <vt:variant>
        <vt:i4>4456513</vt:i4>
      </vt:variant>
      <vt:variant>
        <vt:i4>12</vt:i4>
      </vt:variant>
      <vt:variant>
        <vt:i4>0</vt:i4>
      </vt:variant>
      <vt:variant>
        <vt:i4>5</vt:i4>
      </vt:variant>
      <vt:variant>
        <vt:lpwstr>https://forms.office.com/r/pPHyWVs2SZ</vt:lpwstr>
      </vt:variant>
      <vt:variant>
        <vt:lpwstr/>
      </vt:variant>
      <vt:variant>
        <vt:i4>3407926</vt:i4>
      </vt:variant>
      <vt:variant>
        <vt:i4>9</vt:i4>
      </vt:variant>
      <vt:variant>
        <vt:i4>0</vt:i4>
      </vt:variant>
      <vt:variant>
        <vt:i4>5</vt:i4>
      </vt:variant>
      <vt:variant>
        <vt:lpwstr>https://www.colombiacompra.gov.co/pqrsd/informacion-importante-antes-de-formular-una-pqrsd</vt:lpwstr>
      </vt:variant>
      <vt:variant>
        <vt:lpwstr/>
      </vt:variant>
      <vt:variant>
        <vt:i4>4980779</vt:i4>
      </vt:variant>
      <vt:variant>
        <vt:i4>6</vt:i4>
      </vt:variant>
      <vt:variant>
        <vt:i4>0</vt:i4>
      </vt:variant>
      <vt:variant>
        <vt:i4>5</vt:i4>
      </vt:variant>
      <vt:variant>
        <vt:lpwstr>mailto:ventanilladeradicacion@colombiacompra.gov.co</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3473494</vt:i4>
      </vt:variant>
      <vt:variant>
        <vt:i4>0</vt:i4>
      </vt:variant>
      <vt:variant>
        <vt:i4>0</vt:i4>
      </vt:variant>
      <vt:variant>
        <vt:i4>5</vt:i4>
      </vt:variant>
      <vt:variant>
        <vt:lpwstr>mailto:GERENCIA@ESEHOSPICALDAS.GOV.CO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Angela Maria Olmos Andrade</cp:lastModifiedBy>
  <cp:revision>14</cp:revision>
  <cp:lastPrinted>2023-01-10T21:18:00Z</cp:lastPrinted>
  <dcterms:created xsi:type="dcterms:W3CDTF">2026-03-11T13:28:00Z</dcterms:created>
  <dcterms:modified xsi:type="dcterms:W3CDTF">2026-03-13T14:20:00Z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