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C4F1B" w14:textId="3B97B2C9" w:rsidR="00C851C7" w:rsidRPr="00C55BDE" w:rsidRDefault="00C851C7" w:rsidP="00C851C7">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35BD88D2"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sidR="002D1555">
        <w:rPr>
          <w:rFonts w:ascii="Verdana" w:hAnsi="Verdana" w:cs="Arial"/>
          <w:b/>
          <w:bCs/>
          <w:lang w:val="es-ES" w:eastAsia="es-ES"/>
        </w:rPr>
        <w:t xml:space="preserve"> </w:t>
      </w:r>
      <w:r w:rsidR="002D1555" w:rsidRPr="00C55BDE">
        <w:rPr>
          <w:rFonts w:ascii="Verdana" w:hAnsi="Verdana" w:cs="Arial"/>
          <w:b/>
          <w:bCs/>
          <w:lang w:val="es-ES" w:eastAsia="es-ES"/>
        </w:rPr>
        <w:t>‒</w:t>
      </w:r>
      <w:r w:rsidR="002D1555">
        <w:rPr>
          <w:rFonts w:ascii="Verdana" w:hAnsi="Verdana" w:cs="Arial"/>
          <w:b/>
          <w:bCs/>
          <w:lang w:val="es-ES" w:eastAsia="es-ES"/>
        </w:rPr>
        <w:t xml:space="preserve"> Celebración </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47D6B28B" w14:textId="77777777" w:rsidR="00765900" w:rsidRDefault="00765900" w:rsidP="00765900">
      <w:pPr>
        <w:spacing w:after="0"/>
        <w:jc w:val="both"/>
        <w:rPr>
          <w:rFonts w:ascii="Verdana" w:hAnsi="Verdana" w:cs="Arial"/>
          <w:b/>
          <w:lang w:val="es-MX" w:eastAsia="es-ES_tradnl"/>
        </w:rPr>
      </w:pPr>
    </w:p>
    <w:p w14:paraId="0DF9F04B" w14:textId="5DAA4467" w:rsidR="002D1555" w:rsidRPr="009B5A20" w:rsidRDefault="009B5A20" w:rsidP="009B5A20">
      <w:pPr>
        <w:spacing w:after="0"/>
        <w:jc w:val="both"/>
        <w:rPr>
          <w:rFonts w:ascii="Verdana" w:hAnsi="Verdana" w:cs="Arial"/>
          <w:b/>
          <w:lang w:val="es-MX" w:eastAsia="es-ES_tradnl"/>
        </w:rPr>
      </w:pPr>
      <w:r w:rsidRPr="00C55BDE">
        <w:rPr>
          <w:rFonts w:ascii="Verdana" w:hAnsi="Verdana" w:cs="Arial"/>
          <w:sz w:val="20"/>
          <w:szCs w:val="20"/>
          <w:lang w:val="es-ES"/>
        </w:rPr>
        <w:t>[…]</w:t>
      </w:r>
    </w:p>
    <w:p w14:paraId="43705CBF" w14:textId="264DB3DD" w:rsidR="002D1555" w:rsidRPr="002D1555" w:rsidRDefault="002D1555" w:rsidP="002D1555">
      <w:pPr>
        <w:spacing w:after="0" w:line="240" w:lineRule="auto"/>
        <w:jc w:val="both"/>
        <w:rPr>
          <w:rFonts w:ascii="Verdana" w:hAnsi="Verdana" w:cs="Arial"/>
          <w:sz w:val="20"/>
          <w:szCs w:val="20"/>
          <w:lang w:val="es-ES"/>
        </w:rPr>
      </w:pPr>
      <w:r w:rsidRPr="002D1555">
        <w:rPr>
          <w:rFonts w:ascii="Verdana" w:hAnsi="Verdana" w:cs="Arial"/>
          <w:sz w:val="20"/>
          <w:szCs w:val="20"/>
          <w:lang w:val="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D4892A3" w14:textId="77777777" w:rsidR="002D1555" w:rsidRPr="009B5A20" w:rsidRDefault="002D1555" w:rsidP="00765900">
      <w:pPr>
        <w:spacing w:after="0"/>
        <w:jc w:val="both"/>
        <w:rPr>
          <w:rFonts w:ascii="Verdana" w:hAnsi="Verdana" w:cs="Arial"/>
          <w:b/>
          <w:bCs/>
          <w:lang w:val="es-MX" w:eastAsia="es-ES_tradnl"/>
        </w:rPr>
      </w:pPr>
    </w:p>
    <w:p w14:paraId="7FC03EBE" w14:textId="77777777" w:rsidR="009B5A20" w:rsidRDefault="009B5A20" w:rsidP="009B5A20">
      <w:pPr>
        <w:spacing w:line="276" w:lineRule="auto"/>
        <w:jc w:val="both"/>
        <w:rPr>
          <w:rFonts w:ascii="Verdana" w:hAnsi="Verdana" w:cs="Arial"/>
          <w:b/>
          <w:bCs/>
          <w:lang w:val="es-MX" w:eastAsia="es-ES_tradnl"/>
        </w:rPr>
      </w:pPr>
      <w:r w:rsidRPr="009B5A20">
        <w:rPr>
          <w:rFonts w:ascii="Verdana" w:eastAsia="Calibri" w:hAnsi="Verdana" w:cs="Arial"/>
          <w:b/>
          <w:bCs/>
          <w:lang w:val="es-ES" w:eastAsia="es-ES"/>
        </w:rPr>
        <w:t xml:space="preserve">LEY DE GARANTÍAS ELECTORALES ‒ Artículo 33 ‒ Ámbito material ‒ Destinatarios </w:t>
      </w:r>
    </w:p>
    <w:p w14:paraId="72D41059" w14:textId="63FBC7D7" w:rsidR="009B5A20" w:rsidRPr="009B5A20" w:rsidRDefault="009B5A20" w:rsidP="009B5A20">
      <w:pPr>
        <w:spacing w:after="0" w:line="240" w:lineRule="auto"/>
        <w:jc w:val="both"/>
        <w:rPr>
          <w:rFonts w:ascii="Verdana" w:eastAsia="Calibri" w:hAnsi="Verdana" w:cs="Arial"/>
          <w:sz w:val="20"/>
          <w:szCs w:val="20"/>
          <w:lang w:eastAsia="x-none"/>
        </w:rPr>
      </w:pPr>
      <w:r w:rsidRPr="009B5A20">
        <w:rPr>
          <w:rFonts w:ascii="Verdana" w:eastAsia="Times New Roman" w:hAnsi="Verdana" w:cs="Arial"/>
          <w:sz w:val="20"/>
          <w:szCs w:val="20"/>
          <w:lang w:eastAsia="x-none"/>
        </w:rPr>
        <w:t>L</w:t>
      </w:r>
      <w:r w:rsidRPr="009B5A20">
        <w:rPr>
          <w:rFonts w:ascii="Verdana" w:eastAsia="Times New Roman" w:hAnsi="Verdana" w:cs="Arial"/>
          <w:sz w:val="20"/>
          <w:szCs w:val="20"/>
          <w:lang w:eastAsia="x-none"/>
        </w:rPr>
        <w:t>a prohibición del artículo 33 de la Ley de Garantías Electorales se refiere a “cualquier sistema que no implique convocatoria pública y posibilidad de pluralidad de oferentes</w:t>
      </w:r>
      <w:r w:rsidRPr="009B5A20">
        <w:rPr>
          <w:rFonts w:ascii="Verdana" w:eastAsia="Times New Roman" w:hAnsi="Verdana" w:cs="Arial"/>
          <w:sz w:val="20"/>
          <w:szCs w:val="20"/>
          <w:lang w:eastAsia="en-GB"/>
        </w:rPr>
        <w:t>”</w:t>
      </w:r>
      <w:r w:rsidRPr="009B5A20">
        <w:rPr>
          <w:rFonts w:ascii="Verdana" w:eastAsia="Times New Roman" w:hAnsi="Verdana" w:cs="Arial"/>
          <w:sz w:val="20"/>
          <w:szCs w:val="20"/>
          <w:lang w:eastAsia="x-none"/>
        </w:rPr>
        <w:t xml:space="preserve">, por lo que excluye las demás modalidades de contratación previstas en la Ley 1150 de 2007, esto es, la licitación pública, la selección abreviada, el concurso de méritos </w:t>
      </w:r>
      <w:r w:rsidRPr="009B5A20">
        <w:rPr>
          <w:rFonts w:ascii="Verdana" w:eastAsia="Times New Roman" w:hAnsi="Verdana" w:cs="Arial"/>
          <w:sz w:val="20"/>
          <w:szCs w:val="20"/>
          <w:lang w:val="es-ES_tradnl" w:eastAsia="x-none"/>
        </w:rPr>
        <w:t xml:space="preserve">y la mínima cuantía </w:t>
      </w:r>
      <w:r w:rsidRPr="009B5A20">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9B5A20">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15D18F6F" w14:textId="4A258D69" w:rsidR="009B5A20" w:rsidRDefault="009B5A20" w:rsidP="009B5A20">
      <w:pPr>
        <w:spacing w:after="0" w:line="240" w:lineRule="auto"/>
        <w:jc w:val="both"/>
        <w:rPr>
          <w:rFonts w:ascii="Verdana" w:eastAsia="Times New Roman" w:hAnsi="Verdana" w:cs="Arial"/>
          <w:bCs/>
          <w:sz w:val="20"/>
          <w:szCs w:val="20"/>
          <w:lang w:eastAsia="x-none"/>
        </w:rPr>
      </w:pPr>
      <w:r w:rsidRPr="009B5A20">
        <w:rPr>
          <w:rFonts w:ascii="Verdana" w:eastAsia="Arial" w:hAnsi="Verdana" w:cs="Arial"/>
          <w:sz w:val="20"/>
          <w:szCs w:val="20"/>
          <w:lang w:val="es-MX" w:eastAsia="es-ES" w:bidi="es-ES"/>
        </w:rPr>
        <w:t>[…]</w:t>
      </w:r>
    </w:p>
    <w:p w14:paraId="58E24D37" w14:textId="77777777" w:rsidR="009B5A20" w:rsidRPr="009B5A20" w:rsidRDefault="009B5A20" w:rsidP="009B5A20">
      <w:pPr>
        <w:spacing w:after="0" w:line="240" w:lineRule="auto"/>
        <w:jc w:val="both"/>
        <w:rPr>
          <w:rFonts w:ascii="Verdana" w:eastAsia="Times New Roman" w:hAnsi="Verdana" w:cs="Arial"/>
          <w:bCs/>
          <w:sz w:val="20"/>
          <w:szCs w:val="20"/>
          <w:lang w:eastAsia="x-none"/>
        </w:rPr>
      </w:pPr>
    </w:p>
    <w:p w14:paraId="1E4C0BD3" w14:textId="2524F4D7" w:rsidR="009B5A20" w:rsidRDefault="009B5A20" w:rsidP="009B5A20">
      <w:pPr>
        <w:jc w:val="both"/>
        <w:rPr>
          <w:rFonts w:ascii="Verdana" w:eastAsia="Times New Roman" w:hAnsi="Verdana" w:cs="Arial"/>
          <w:bCs/>
          <w:sz w:val="20"/>
          <w:szCs w:val="20"/>
          <w:lang w:val="es-MX" w:eastAsia="x-none"/>
        </w:rPr>
      </w:pPr>
      <w:r w:rsidRPr="009B5A20">
        <w:rPr>
          <w:rFonts w:ascii="Verdana" w:eastAsia="Times New Roman" w:hAnsi="Verdana" w:cs="Arial"/>
          <w:bCs/>
          <w:sz w:val="20"/>
          <w:szCs w:val="20"/>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Times New Roman" w:hAnsi="Verdana" w:cs="Arial"/>
          <w:bCs/>
          <w:sz w:val="20"/>
          <w:szCs w:val="20"/>
          <w:lang w:val="es-MX" w:eastAsia="x-none"/>
        </w:rPr>
        <w:t>.</w:t>
      </w:r>
    </w:p>
    <w:p w14:paraId="5AD12929" w14:textId="77777777" w:rsidR="009B5A20" w:rsidRPr="009B5A20" w:rsidRDefault="009B5A20" w:rsidP="009B5A20">
      <w:pPr>
        <w:spacing w:after="0" w:line="240" w:lineRule="auto"/>
        <w:jc w:val="both"/>
        <w:rPr>
          <w:rFonts w:ascii="Verdana" w:hAnsi="Verdana" w:cs="Arial"/>
          <w:b/>
          <w:bCs/>
          <w:sz w:val="20"/>
          <w:szCs w:val="20"/>
          <w:lang w:val="es-MX" w:eastAsia="es-ES_tradnl"/>
        </w:rPr>
      </w:pPr>
    </w:p>
    <w:p w14:paraId="690DCB9A" w14:textId="77777777" w:rsidR="009B5A20" w:rsidRDefault="009B5A20" w:rsidP="009B5A20">
      <w:pPr>
        <w:spacing w:line="276" w:lineRule="auto"/>
        <w:jc w:val="both"/>
        <w:rPr>
          <w:rFonts w:ascii="Verdana" w:hAnsi="Verdana" w:cs="Arial"/>
          <w:b/>
          <w:bCs/>
          <w:color w:val="000000" w:themeColor="text1"/>
          <w:shd w:val="clear" w:color="auto" w:fill="FFFFFF"/>
          <w:lang w:val="es-ES"/>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Plataforma Transaccional </w:t>
      </w:r>
    </w:p>
    <w:p w14:paraId="2CD0B0BD" w14:textId="77777777" w:rsidR="009B5A20" w:rsidRDefault="009B5A20" w:rsidP="009B5A20">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primer lugar, es importante destacar que el SECOP II es 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40B8F233" w14:textId="77777777" w:rsidR="009B5A20" w:rsidRPr="009B5A20" w:rsidRDefault="009B5A20" w:rsidP="009B5A20">
      <w:pPr>
        <w:spacing w:after="0" w:line="240" w:lineRule="auto"/>
        <w:jc w:val="both"/>
        <w:rPr>
          <w:rFonts w:ascii="Verdana" w:eastAsia="Times New Roman" w:hAnsi="Verdana" w:cs="Arial"/>
          <w:sz w:val="20"/>
          <w:szCs w:val="20"/>
          <w:lang w:eastAsia="x-none"/>
        </w:rPr>
      </w:pPr>
    </w:p>
    <w:p w14:paraId="0C7FBFB9" w14:textId="1F98000C" w:rsidR="009B5A20" w:rsidRDefault="009B5A20" w:rsidP="009B5A20">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1E74B177" w14:textId="77777777" w:rsidR="009B5A20" w:rsidRPr="009B5A20" w:rsidRDefault="009B5A20" w:rsidP="009B5A20">
      <w:pPr>
        <w:spacing w:after="0" w:line="240" w:lineRule="auto"/>
        <w:jc w:val="both"/>
        <w:rPr>
          <w:rFonts w:ascii="Verdana" w:eastAsia="Times New Roman" w:hAnsi="Verdana" w:cs="Arial"/>
          <w:sz w:val="20"/>
          <w:szCs w:val="20"/>
          <w:lang w:eastAsia="x-none"/>
        </w:rPr>
      </w:pPr>
    </w:p>
    <w:p w14:paraId="3D0EFDB0" w14:textId="77777777" w:rsidR="009B5A20" w:rsidRDefault="009B5A20" w:rsidP="009B5A20">
      <w:pPr>
        <w:spacing w:line="276" w:lineRule="auto"/>
        <w:jc w:val="both"/>
        <w:rPr>
          <w:rFonts w:ascii="Verdana" w:hAnsi="Verdana" w:cs="Arial"/>
          <w:b/>
          <w:bCs/>
          <w:color w:val="000000" w:themeColor="text1"/>
          <w:shd w:val="clear" w:color="auto" w:fill="FFFFFF"/>
          <w:lang w:val="es-MX"/>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Contrato electrónico </w:t>
      </w:r>
      <w:r w:rsidRPr="009B5A20">
        <w:rPr>
          <w:rFonts w:ascii="Verdana" w:eastAsia="Calibri" w:hAnsi="Verdana" w:cs="Arial"/>
          <w:b/>
          <w:bCs/>
          <w:lang w:val="es-ES" w:eastAsia="es-ES"/>
        </w:rPr>
        <w:t xml:space="preserve">– Aprobación </w:t>
      </w:r>
      <w:r w:rsidRPr="009B5A20">
        <w:rPr>
          <w:rFonts w:ascii="Verdana" w:hAnsi="Verdana" w:cs="Arial"/>
          <w:b/>
          <w:bCs/>
          <w:color w:val="000000" w:themeColor="text1"/>
          <w:shd w:val="clear" w:color="auto" w:fill="FFFFFF"/>
          <w:lang w:val="es-MX"/>
        </w:rPr>
        <w:t>– Perfeccionamiento</w:t>
      </w:r>
    </w:p>
    <w:p w14:paraId="76BA2201" w14:textId="68DFF87C" w:rsidR="00B652CB" w:rsidRDefault="00B652CB" w:rsidP="00B652C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 xml:space="preserve">Conforme lo señala “Guía SECOP II – Gestión Contractual Para Entidades Estatales” es importante que previamente el usuario administrador de la Entidad Estatal haya configurado flujos de aprobación en este hito del proceso con el fin de que el contrato </w:t>
      </w:r>
      <w:r w:rsidRPr="00B652CB">
        <w:rPr>
          <w:rFonts w:ascii="Verdana" w:eastAsia="Times New Roman" w:hAnsi="Verdana" w:cs="Arial"/>
          <w:sz w:val="20"/>
          <w:szCs w:val="20"/>
          <w:lang w:eastAsia="x-none"/>
        </w:rPr>
        <w:lastRenderedPageBreak/>
        <w:t>electrónico sea enviado al ordenador del gasto representante legal de la entidad para su aprobación final. Una vez el ordenador del gasto de la entidad realice la aprobación el estado del contrato cambia a “Firmado” y quedará público para consulta de cualquier interesado.</w:t>
      </w:r>
    </w:p>
    <w:p w14:paraId="5B10366D" w14:textId="77777777" w:rsidR="00B652CB" w:rsidRPr="00B652CB" w:rsidRDefault="00B652CB" w:rsidP="00B652CB">
      <w:pPr>
        <w:spacing w:after="0" w:line="240" w:lineRule="auto"/>
        <w:jc w:val="both"/>
        <w:rPr>
          <w:rFonts w:ascii="Verdana" w:eastAsia="Times New Roman" w:hAnsi="Verdana" w:cs="Arial"/>
          <w:sz w:val="20"/>
          <w:szCs w:val="20"/>
          <w:lang w:eastAsia="x-none"/>
        </w:rPr>
      </w:pPr>
    </w:p>
    <w:p w14:paraId="06A7E1FA" w14:textId="608CF022" w:rsidR="009B5A20" w:rsidRDefault="00B652CB" w:rsidP="00B652C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0A6B34CA" w14:textId="77777777" w:rsidR="00B652CB" w:rsidRPr="00B652CB" w:rsidRDefault="00B652CB" w:rsidP="00B652CB">
      <w:pPr>
        <w:spacing w:after="0" w:line="240" w:lineRule="auto"/>
        <w:jc w:val="both"/>
        <w:rPr>
          <w:rFonts w:ascii="Verdana" w:eastAsia="Times New Roman" w:hAnsi="Verdana" w:cs="Arial"/>
          <w:sz w:val="20"/>
          <w:szCs w:val="20"/>
          <w:lang w:eastAsia="x-none"/>
        </w:rPr>
      </w:pPr>
    </w:p>
    <w:p w14:paraId="13B28E38" w14:textId="60D095C8" w:rsidR="009B5A20" w:rsidRPr="009B5A20" w:rsidRDefault="009B5A20" w:rsidP="009B5A20">
      <w:pPr>
        <w:spacing w:line="276" w:lineRule="auto"/>
        <w:jc w:val="both"/>
        <w:rPr>
          <w:rFonts w:ascii="Verdana" w:hAnsi="Verdana" w:cs="Arial"/>
          <w:b/>
          <w:bCs/>
          <w:lang w:val="es-ES" w:eastAsia="es-ES"/>
        </w:rPr>
      </w:pPr>
      <w:r w:rsidRPr="009B5A20">
        <w:rPr>
          <w:rFonts w:ascii="Verdana" w:hAnsi="Verdana" w:cs="Arial"/>
          <w:b/>
          <w:bCs/>
          <w:color w:val="000000" w:themeColor="text1"/>
          <w:shd w:val="clear" w:color="auto" w:fill="FFFFFF"/>
          <w:lang w:val="es-MX"/>
        </w:rPr>
        <w:t xml:space="preserve"> </w:t>
      </w: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 xml:space="preserve">– Aplicación ley de garantías – Nulidad </w:t>
      </w:r>
    </w:p>
    <w:p w14:paraId="63C526C7" w14:textId="77777777" w:rsidR="00F5369B" w:rsidRDefault="00F5369B" w:rsidP="009B4037">
      <w:pPr>
        <w:spacing w:after="0" w:line="240" w:lineRule="auto"/>
        <w:rPr>
          <w:rFonts w:ascii="Verdana" w:hAnsi="Verdana"/>
        </w:rPr>
      </w:pPr>
    </w:p>
    <w:p w14:paraId="4DC04D2A" w14:textId="77777777" w:rsidR="009B5A20" w:rsidRPr="00B652CB" w:rsidRDefault="009B5A20" w:rsidP="00B652C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 xml:space="preserve">Así las cosas, tratándose de procesos gestionados en SECOP II, las actuaciones necesarias para que el contrato adquiera el estado de “firmado” deben realizarse antes de la </w:t>
      </w:r>
      <w:proofErr w:type="gramStart"/>
      <w:r w:rsidRPr="00B652CB">
        <w:rPr>
          <w:rFonts w:ascii="Verdana" w:eastAsia="Times New Roman" w:hAnsi="Verdana" w:cs="Arial"/>
          <w:sz w:val="20"/>
          <w:szCs w:val="20"/>
          <w:lang w:eastAsia="x-none"/>
        </w:rPr>
        <w:t>entrada en vigencia</w:t>
      </w:r>
      <w:proofErr w:type="gramEnd"/>
      <w:r w:rsidRPr="00B652CB">
        <w:rPr>
          <w:rFonts w:ascii="Verdana" w:eastAsia="Times New Roman" w:hAnsi="Verdana" w:cs="Arial"/>
          <w:sz w:val="20"/>
          <w:szCs w:val="20"/>
          <w:lang w:eastAsia="x-none"/>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11797C66" w14:textId="77777777" w:rsidR="00F5369B" w:rsidRDefault="00F5369B" w:rsidP="009B4037">
      <w:pPr>
        <w:spacing w:after="0" w:line="240" w:lineRule="auto"/>
        <w:rPr>
          <w:rFonts w:ascii="Verdana" w:hAnsi="Verdana"/>
        </w:rPr>
      </w:pPr>
    </w:p>
    <w:p w14:paraId="0E09DD1E" w14:textId="77777777" w:rsidR="00B652CB" w:rsidRDefault="00B652CB" w:rsidP="00B652CB">
      <w:pPr>
        <w:spacing w:after="0" w:line="240" w:lineRule="auto"/>
        <w:jc w:val="both"/>
        <w:rPr>
          <w:rFonts w:ascii="Verdana" w:eastAsia="Times New Roman" w:hAnsi="Verdana" w:cs="Arial"/>
          <w:bCs/>
          <w:sz w:val="20"/>
          <w:szCs w:val="20"/>
          <w:lang w:eastAsia="x-none"/>
        </w:rPr>
      </w:pPr>
      <w:r w:rsidRPr="009B5A20">
        <w:rPr>
          <w:rFonts w:ascii="Verdana" w:eastAsia="Arial" w:hAnsi="Verdana" w:cs="Arial"/>
          <w:sz w:val="20"/>
          <w:szCs w:val="20"/>
          <w:lang w:val="es-MX" w:eastAsia="es-ES" w:bidi="es-ES"/>
        </w:rPr>
        <w:t>[…]</w:t>
      </w:r>
    </w:p>
    <w:p w14:paraId="096B5207" w14:textId="77777777" w:rsidR="00F5369B" w:rsidRDefault="00F5369B" w:rsidP="009B4037">
      <w:pPr>
        <w:spacing w:after="0" w:line="240" w:lineRule="auto"/>
        <w:rPr>
          <w:rFonts w:ascii="Verdana" w:hAnsi="Verdana"/>
        </w:rPr>
      </w:pPr>
    </w:p>
    <w:p w14:paraId="4B0B9473" w14:textId="46852D22" w:rsidR="00F5369B" w:rsidRPr="00B652CB" w:rsidRDefault="00B652CB" w:rsidP="00B652C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señala como 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51C1C61A" w14:textId="77777777" w:rsidR="00F5369B" w:rsidRDefault="00F5369B" w:rsidP="009B4037">
      <w:pPr>
        <w:spacing w:after="0" w:line="240" w:lineRule="auto"/>
        <w:rPr>
          <w:rFonts w:ascii="Verdana" w:hAnsi="Verdana"/>
        </w:rPr>
      </w:pPr>
    </w:p>
    <w:p w14:paraId="6912C195" w14:textId="77777777" w:rsidR="00F5369B" w:rsidRDefault="00F5369B" w:rsidP="009B4037">
      <w:pPr>
        <w:spacing w:after="0" w:line="240" w:lineRule="auto"/>
        <w:rPr>
          <w:rFonts w:ascii="Verdana" w:hAnsi="Verdana"/>
        </w:rPr>
      </w:pPr>
    </w:p>
    <w:p w14:paraId="0AFFAE2D" w14:textId="77777777" w:rsidR="00F5369B" w:rsidRDefault="00F5369B" w:rsidP="009B4037">
      <w:pPr>
        <w:spacing w:after="0" w:line="240" w:lineRule="auto"/>
        <w:rPr>
          <w:rFonts w:ascii="Verdana" w:hAnsi="Verdana"/>
        </w:rPr>
      </w:pPr>
    </w:p>
    <w:p w14:paraId="0ED8BD11" w14:textId="77777777" w:rsidR="00F5369B" w:rsidRDefault="00F5369B" w:rsidP="009B4037">
      <w:pPr>
        <w:spacing w:after="0" w:line="240" w:lineRule="auto"/>
        <w:rPr>
          <w:rFonts w:ascii="Verdana" w:hAnsi="Verdana"/>
        </w:rPr>
      </w:pPr>
    </w:p>
    <w:p w14:paraId="60E4AA2B" w14:textId="77777777" w:rsidR="00F5369B" w:rsidRDefault="00F5369B" w:rsidP="009B4037">
      <w:pPr>
        <w:spacing w:after="0" w:line="240" w:lineRule="auto"/>
        <w:rPr>
          <w:rFonts w:ascii="Verdana" w:hAnsi="Verdana"/>
        </w:rPr>
      </w:pPr>
    </w:p>
    <w:p w14:paraId="0A2E6F75" w14:textId="77777777" w:rsidR="00F5369B" w:rsidRDefault="00F5369B" w:rsidP="009B4037">
      <w:pPr>
        <w:spacing w:after="0" w:line="240" w:lineRule="auto"/>
        <w:rPr>
          <w:rFonts w:ascii="Verdana" w:hAnsi="Verdana"/>
        </w:rPr>
      </w:pPr>
    </w:p>
    <w:p w14:paraId="07191EB9" w14:textId="77777777" w:rsidR="00F5369B" w:rsidRDefault="00F5369B" w:rsidP="009B4037">
      <w:pPr>
        <w:spacing w:after="0" w:line="240" w:lineRule="auto"/>
        <w:rPr>
          <w:rFonts w:ascii="Verdana" w:hAnsi="Verdana"/>
        </w:rPr>
      </w:pPr>
    </w:p>
    <w:p w14:paraId="6216B8FD" w14:textId="77777777" w:rsidR="00D85FD5" w:rsidRDefault="00D85FD5" w:rsidP="004876D0">
      <w:pPr>
        <w:spacing w:after="0" w:line="240" w:lineRule="auto"/>
        <w:rPr>
          <w:rFonts w:ascii="Verdana" w:hAnsi="Verdana"/>
        </w:rPr>
      </w:pPr>
    </w:p>
    <w:p w14:paraId="405282B9" w14:textId="62B3F016" w:rsidR="004876D0" w:rsidRDefault="004876D0" w:rsidP="004876D0">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4848DE">
        <w:rPr>
          <w:rFonts w:ascii="Verdana" w:eastAsia="Geomanist Light" w:hAnsi="Verdana" w:cs="Arial"/>
          <w:color w:val="201F1E"/>
        </w:rPr>
        <w:t>12 de marzo de 2026</w:t>
      </w:r>
    </w:p>
    <w:p w14:paraId="386DC781" w14:textId="710F098F" w:rsidR="004876D0" w:rsidRDefault="004848DE" w:rsidP="004876D0">
      <w:pPr>
        <w:spacing w:after="0"/>
        <w:rPr>
          <w:rFonts w:ascii="Verdana" w:hAnsi="Verdana"/>
        </w:rPr>
      </w:pPr>
      <w:r w:rsidRPr="004848DE">
        <w:rPr>
          <w:rFonts w:ascii="Verdana" w:hAnsi="Verdana"/>
          <w:noProof/>
        </w:rPr>
        <w:drawing>
          <wp:anchor distT="0" distB="0" distL="114300" distR="114300" simplePos="0" relativeHeight="251658240" behindDoc="0" locked="0" layoutInCell="1" allowOverlap="1" wp14:anchorId="381280AB" wp14:editId="33D558C5">
            <wp:simplePos x="0" y="0"/>
            <wp:positionH relativeFrom="margin">
              <wp:align>right</wp:align>
            </wp:positionH>
            <wp:positionV relativeFrom="paragraph">
              <wp:posOffset>180340</wp:posOffset>
            </wp:positionV>
            <wp:extent cx="2438400" cy="845820"/>
            <wp:effectExtent l="0" t="0" r="0" b="0"/>
            <wp:wrapSquare wrapText="bothSides"/>
            <wp:docPr id="9206004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8400" cy="8458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8B6099" w14:textId="2C73C9BC" w:rsidR="004876D0" w:rsidRDefault="004876D0" w:rsidP="004848DE">
      <w:pPr>
        <w:spacing w:after="0"/>
        <w:jc w:val="right"/>
        <w:rPr>
          <w:rFonts w:ascii="Verdana" w:hAnsi="Verdana"/>
        </w:rPr>
      </w:pPr>
      <w:r w:rsidRPr="00C55BDE">
        <w:rPr>
          <w:rFonts w:ascii="Verdana" w:hAnsi="Verdana"/>
        </w:rPr>
        <w:tab/>
      </w:r>
    </w:p>
    <w:p w14:paraId="0C05CB64" w14:textId="77777777" w:rsidR="004876D0" w:rsidRDefault="004876D0" w:rsidP="004876D0">
      <w:pPr>
        <w:spacing w:after="0"/>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55586DD4" w14:textId="77777777" w:rsidR="004876D0" w:rsidRPr="00DA3609" w:rsidRDefault="004876D0" w:rsidP="004876D0">
      <w:pPr>
        <w:spacing w:after="0"/>
        <w:rPr>
          <w:rFonts w:ascii="Verdana" w:hAnsi="Verdana"/>
          <w:b/>
          <w:bCs/>
        </w:rPr>
      </w:pPr>
      <w:r w:rsidRPr="002151B7">
        <w:rPr>
          <w:rFonts w:ascii="Verdana" w:hAnsi="Verdana"/>
          <w:b/>
          <w:bCs/>
        </w:rPr>
        <w:t>Yina Patricia Mej</w:t>
      </w:r>
      <w:r>
        <w:rPr>
          <w:rFonts w:ascii="Verdana" w:hAnsi="Verdana"/>
          <w:b/>
          <w:bCs/>
        </w:rPr>
        <w:t>í</w:t>
      </w:r>
      <w:r w:rsidRPr="002151B7">
        <w:rPr>
          <w:rFonts w:ascii="Verdana" w:hAnsi="Verdana"/>
          <w:b/>
          <w:bCs/>
        </w:rPr>
        <w:t>a Rodríguez</w:t>
      </w:r>
    </w:p>
    <w:p w14:paraId="3C7A4831" w14:textId="77777777" w:rsidR="004876D0" w:rsidRPr="00DA3609" w:rsidRDefault="004876D0" w:rsidP="004876D0">
      <w:pPr>
        <w:spacing w:after="0" w:line="240" w:lineRule="auto"/>
        <w:jc w:val="both"/>
        <w:rPr>
          <w:rFonts w:ascii="Verdana" w:hAnsi="Verdana"/>
        </w:rPr>
      </w:pPr>
      <w:hyperlink r:id="rId12" w:history="1">
        <w:r w:rsidRPr="009965FB">
          <w:rPr>
            <w:rStyle w:val="Hipervnculo"/>
            <w:rFonts w:ascii="Verdana" w:hAnsi="Verdana"/>
          </w:rPr>
          <w:t>yina.mejia@gobiernobogota.gov.co</w:t>
        </w:r>
      </w:hyperlink>
      <w:r>
        <w:rPr>
          <w:rFonts w:ascii="Verdana" w:hAnsi="Verdana"/>
        </w:rPr>
        <w:t xml:space="preserve"> </w:t>
      </w:r>
      <w:r w:rsidRPr="00DA3609">
        <w:rPr>
          <w:rFonts w:ascii="Verdana" w:hAnsi="Verdana"/>
        </w:rPr>
        <w:t xml:space="preserve">  </w:t>
      </w:r>
    </w:p>
    <w:p w14:paraId="3A30420A" w14:textId="77777777" w:rsidR="004876D0" w:rsidRPr="00CE3F9C" w:rsidRDefault="004876D0" w:rsidP="004876D0">
      <w:pPr>
        <w:spacing w:after="0" w:line="240" w:lineRule="auto"/>
        <w:jc w:val="both"/>
      </w:pPr>
      <w:r>
        <w:rPr>
          <w:rFonts w:ascii="Verdana" w:hAnsi="Verdana"/>
        </w:rPr>
        <w:t>Bogotá</w:t>
      </w:r>
      <w:r w:rsidRPr="00CF2943">
        <w:rPr>
          <w:rFonts w:ascii="Verdana" w:eastAsia="Calibri" w:hAnsi="Verdana" w:cs="Arial"/>
          <w:color w:val="000000" w:themeColor="text1"/>
          <w:lang w:val="es-ES_tradnl" w:eastAsia="es-ES"/>
        </w:rPr>
        <w:t xml:space="preserve"> </w:t>
      </w:r>
      <w:r>
        <w:rPr>
          <w:rFonts w:ascii="Verdana" w:eastAsia="Calibri" w:hAnsi="Verdana" w:cs="Arial"/>
          <w:color w:val="000000" w:themeColor="text1"/>
          <w:lang w:val="es-ES_tradnl" w:eastAsia="es-ES"/>
        </w:rPr>
        <w:t>D.C</w:t>
      </w:r>
    </w:p>
    <w:p w14:paraId="686242FC" w14:textId="77777777" w:rsidR="004876D0" w:rsidRPr="00C55BDE" w:rsidRDefault="004876D0" w:rsidP="004876D0">
      <w:pPr>
        <w:spacing w:after="0" w:line="240" w:lineRule="auto"/>
        <w:rPr>
          <w:rFonts w:ascii="Verdana" w:eastAsia="Calibri" w:hAnsi="Verdana" w:cs="Arial"/>
          <w:b/>
          <w:bCs/>
          <w:color w:val="000000" w:themeColor="text1"/>
          <w:lang w:val="es-ES_tradnl" w:eastAsia="es-ES_tradnl"/>
        </w:rPr>
      </w:pPr>
    </w:p>
    <w:p w14:paraId="1CB0B715" w14:textId="77777777" w:rsidR="004876D0" w:rsidRPr="00C55BDE" w:rsidRDefault="004876D0" w:rsidP="004876D0">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146</w:t>
      </w:r>
      <w:r w:rsidRPr="00C55BDE">
        <w:rPr>
          <w:rFonts w:ascii="Verdana" w:eastAsia="Calibri" w:hAnsi="Verdana" w:cs="Arial"/>
          <w:b/>
          <w:bCs/>
          <w:color w:val="000000" w:themeColor="text1"/>
          <w:lang w:val="es-ES_tradnl" w:eastAsia="es-ES_tradnl"/>
        </w:rPr>
        <w:t xml:space="preserve"> del 202</w:t>
      </w:r>
      <w:r>
        <w:rPr>
          <w:rFonts w:ascii="Verdana" w:eastAsia="Calibri" w:hAnsi="Verdana" w:cs="Arial"/>
          <w:b/>
          <w:bCs/>
          <w:color w:val="000000" w:themeColor="text1"/>
          <w:lang w:val="es-ES_tradnl" w:eastAsia="es-ES_tradnl"/>
        </w:rPr>
        <w:t>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876D0" w:rsidRPr="00C55BDE" w14:paraId="5475785B" w14:textId="77777777" w:rsidTr="00EA32A5">
        <w:trPr>
          <w:gridAfter w:val="1"/>
          <w:wAfter w:w="6100" w:type="dxa"/>
          <w:trHeight w:val="133"/>
        </w:trPr>
        <w:tc>
          <w:tcPr>
            <w:tcW w:w="2689" w:type="dxa"/>
          </w:tcPr>
          <w:p w14:paraId="426C6BEF" w14:textId="77777777" w:rsidR="004876D0" w:rsidRPr="00C55BDE" w:rsidRDefault="004876D0" w:rsidP="00EA32A5">
            <w:pPr>
              <w:jc w:val="both"/>
              <w:rPr>
                <w:rFonts w:ascii="Verdana" w:eastAsia="Calibri" w:hAnsi="Verdana" w:cs="Arial"/>
                <w:b/>
                <w:bCs/>
                <w:color w:val="000000" w:themeColor="text1"/>
                <w:highlight w:val="cyan"/>
                <w:lang w:val="es-ES_tradnl" w:eastAsia="es-ES_tradnl"/>
              </w:rPr>
            </w:pPr>
          </w:p>
        </w:tc>
      </w:tr>
      <w:tr w:rsidR="004876D0" w:rsidRPr="00C55BDE" w14:paraId="5DCAC253" w14:textId="77777777" w:rsidTr="00EA32A5">
        <w:trPr>
          <w:trHeight w:val="884"/>
        </w:trPr>
        <w:tc>
          <w:tcPr>
            <w:tcW w:w="2689" w:type="dxa"/>
          </w:tcPr>
          <w:p w14:paraId="39970E4E" w14:textId="77777777" w:rsidR="004876D0" w:rsidRPr="00C55BDE" w:rsidRDefault="004876D0" w:rsidP="00EA32A5">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730C989B" w14:textId="77777777" w:rsidR="004876D0" w:rsidRPr="00A23DBA" w:rsidRDefault="004876D0" w:rsidP="00EA32A5">
            <w:pPr>
              <w:spacing w:line="276" w:lineRule="auto"/>
              <w:jc w:val="both"/>
              <w:rPr>
                <w:rFonts w:ascii="Verdana" w:hAnsi="Verdana" w:cs="Arial"/>
                <w:lang w:val="es-ES" w:eastAsia="es-ES"/>
              </w:rPr>
            </w:pPr>
            <w:r w:rsidRPr="00C55BDE">
              <w:rPr>
                <w:rFonts w:ascii="Verdana" w:hAnsi="Verdana" w:cs="Arial"/>
                <w:lang w:val="es-ES" w:eastAsia="es-ES"/>
              </w:rPr>
              <w:t>LEY DE GARANTÍAS ELECTORALES – Finalidad / LEY DE GARANTÍAS ELECTORALES ‒ Restricciones ‒ Contratación ‒ Tipos de elección ‒</w:t>
            </w:r>
            <w:r>
              <w:rPr>
                <w:rFonts w:ascii="Verdana" w:hAnsi="Verdana" w:cs="Arial"/>
                <w:lang w:val="es-ES" w:eastAsia="es-ES"/>
              </w:rPr>
              <w:t xml:space="preserve"> Celebración </w:t>
            </w:r>
            <w:r w:rsidRPr="00C55BDE">
              <w:rPr>
                <w:rFonts w:ascii="Verdana" w:hAnsi="Verdana" w:cs="Arial"/>
                <w:lang w:val="es-MX" w:eastAsia="es-ES_tradnl"/>
              </w:rPr>
              <w:t>/</w:t>
            </w:r>
            <w:r w:rsidRPr="00C55BDE">
              <w:rPr>
                <w:rFonts w:ascii="Verdana" w:hAnsi="Verdana"/>
              </w:rPr>
              <w:t xml:space="preserve"> </w:t>
            </w:r>
            <w:r w:rsidRPr="00686D64">
              <w:rPr>
                <w:rFonts w:ascii="Verdana" w:eastAsia="Calibri" w:hAnsi="Verdana" w:cs="Arial"/>
                <w:lang w:val="es-ES" w:eastAsia="es-ES"/>
              </w:rPr>
              <w:t>LEY DE GARANTÍAS ELECTORALES ‒ Artículo 33 ‒ Ámbito material</w:t>
            </w:r>
            <w:r>
              <w:rPr>
                <w:rFonts w:ascii="Verdana" w:eastAsia="Calibri" w:hAnsi="Verdana" w:cs="Arial"/>
                <w:lang w:val="es-ES" w:eastAsia="es-ES"/>
              </w:rPr>
              <w:t xml:space="preserve"> </w:t>
            </w:r>
            <w:r w:rsidRPr="00686D64">
              <w:rPr>
                <w:rFonts w:ascii="Verdana" w:eastAsia="Calibri" w:hAnsi="Verdana" w:cs="Arial"/>
                <w:lang w:val="es-ES" w:eastAsia="es-ES"/>
              </w:rPr>
              <w:t>‒</w:t>
            </w:r>
            <w:r>
              <w:rPr>
                <w:rFonts w:ascii="Verdana" w:eastAsia="Calibri" w:hAnsi="Verdana" w:cs="Arial"/>
                <w:lang w:val="es-ES" w:eastAsia="es-ES"/>
              </w:rPr>
              <w:t xml:space="preserve"> Destinatarios </w:t>
            </w:r>
            <w:r w:rsidRPr="00C55BDE">
              <w:rPr>
                <w:rFonts w:ascii="Verdana" w:hAnsi="Verdana" w:cs="Arial"/>
                <w:lang w:val="es-MX" w:eastAsia="es-ES_tradnl"/>
              </w:rPr>
              <w:t>/</w:t>
            </w:r>
            <w:r>
              <w:rPr>
                <w:rFonts w:ascii="Verdana" w:hAnsi="Verdana" w:cs="Arial"/>
                <w:lang w:val="es-MX" w:eastAsia="es-ES_tradnl"/>
              </w:rPr>
              <w:t xml:space="preserve">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ES"/>
              </w:rPr>
              <w:t xml:space="preserve"> Plataforma Transaccional </w:t>
            </w:r>
            <w:r>
              <w:rPr>
                <w:rFonts w:ascii="Verdana" w:eastAsia="Calibri" w:hAnsi="Verdana" w:cs="Arial"/>
                <w:lang w:val="es-ES" w:eastAsia="es-ES"/>
              </w:rPr>
              <w:t xml:space="preserve">/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ES"/>
              </w:rPr>
              <w:t xml:space="preserve"> Contrato electrónico </w:t>
            </w:r>
            <w:r>
              <w:rPr>
                <w:rFonts w:ascii="Verdana" w:eastAsia="Calibri" w:hAnsi="Verdana" w:cs="Arial"/>
                <w:lang w:val="es-ES" w:eastAsia="es-ES"/>
              </w:rPr>
              <w:t xml:space="preserve">– Aprobación </w:t>
            </w:r>
            <w:r>
              <w:rPr>
                <w:rFonts w:ascii="Verdana" w:hAnsi="Verdana" w:cs="Arial"/>
                <w:color w:val="000000" w:themeColor="text1"/>
                <w:shd w:val="clear" w:color="auto" w:fill="FFFFFF"/>
                <w:lang w:val="es-MX"/>
              </w:rPr>
              <w:t xml:space="preserve">– Perfeccionamiento /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 Aplicación ley de gara</w:t>
            </w:r>
            <w:r w:rsidRPr="00562602">
              <w:rPr>
                <w:rFonts w:ascii="Verdana" w:hAnsi="Verdana" w:cs="Arial"/>
                <w:color w:val="000000" w:themeColor="text1"/>
                <w:shd w:val="clear" w:color="auto" w:fill="FFFFFF"/>
                <w:lang w:val="es-MX"/>
              </w:rPr>
              <w:t>ntías</w:t>
            </w:r>
            <w:r>
              <w:rPr>
                <w:rFonts w:ascii="Verdana" w:hAnsi="Verdana" w:cs="Arial"/>
                <w:color w:val="000000" w:themeColor="text1"/>
                <w:shd w:val="clear" w:color="auto" w:fill="FFFFFF"/>
                <w:lang w:val="es-MX"/>
              </w:rPr>
              <w:t xml:space="preserve"> – Nulidad </w:t>
            </w:r>
          </w:p>
          <w:p w14:paraId="45475D15" w14:textId="77777777" w:rsidR="004876D0" w:rsidRPr="00C55BDE" w:rsidRDefault="004876D0" w:rsidP="00EA32A5">
            <w:pPr>
              <w:spacing w:line="276" w:lineRule="auto"/>
              <w:jc w:val="both"/>
              <w:rPr>
                <w:rFonts w:ascii="Verdana" w:hAnsi="Verdana" w:cs="Arial"/>
                <w:bCs/>
                <w:color w:val="000000" w:themeColor="text1"/>
                <w:highlight w:val="cyan"/>
              </w:rPr>
            </w:pPr>
          </w:p>
        </w:tc>
      </w:tr>
      <w:tr w:rsidR="004876D0" w:rsidRPr="00C55BDE" w14:paraId="261E3DC6" w14:textId="77777777" w:rsidTr="00EA32A5">
        <w:tc>
          <w:tcPr>
            <w:tcW w:w="2689" w:type="dxa"/>
          </w:tcPr>
          <w:p w14:paraId="468DBFDF" w14:textId="77777777" w:rsidR="004876D0" w:rsidRPr="00C55BDE" w:rsidRDefault="004876D0" w:rsidP="00EA32A5">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4706A00F" w14:textId="77777777" w:rsidR="004876D0" w:rsidRPr="00F31AC8" w:rsidRDefault="004876D0" w:rsidP="00EA32A5">
            <w:pPr>
              <w:jc w:val="both"/>
              <w:rPr>
                <w:rFonts w:ascii="Verdana" w:hAnsi="Verdana"/>
              </w:rPr>
            </w:pPr>
            <w:r w:rsidRPr="00C55BDE">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Pr>
                <w:rFonts w:ascii="Verdana" w:hAnsi="Verdana" w:cs="Calibri"/>
                <w:color w:val="000000"/>
              </w:rPr>
              <w:t>1_2026_02_03_001338</w:t>
            </w:r>
          </w:p>
          <w:p w14:paraId="64373551" w14:textId="77777777" w:rsidR="004876D0" w:rsidRPr="00C55BDE" w:rsidRDefault="004876D0" w:rsidP="00EA32A5">
            <w:pPr>
              <w:jc w:val="both"/>
              <w:rPr>
                <w:rFonts w:ascii="Verdana" w:hAnsi="Verdana" w:cs="Arial"/>
              </w:rPr>
            </w:pPr>
            <w:r w:rsidRPr="00C55BDE">
              <w:rPr>
                <w:rFonts w:ascii="Verdana" w:hAnsi="Verdana"/>
              </w:rPr>
              <w:t xml:space="preserve"> </w:t>
            </w:r>
            <w:r>
              <w:rPr>
                <w:rFonts w:ascii="Verdana" w:hAnsi="Verdana"/>
              </w:rPr>
              <w:t xml:space="preserve">                                                                                                                                                                                                                                                                                                                                                           </w:t>
            </w:r>
          </w:p>
          <w:p w14:paraId="35054469" w14:textId="77777777" w:rsidR="004876D0" w:rsidRPr="00C55BDE" w:rsidRDefault="004876D0" w:rsidP="00EA32A5">
            <w:pPr>
              <w:jc w:val="both"/>
              <w:rPr>
                <w:rFonts w:ascii="Verdana" w:hAnsi="Verdana"/>
                <w:color w:val="000000"/>
              </w:rPr>
            </w:pPr>
          </w:p>
        </w:tc>
      </w:tr>
    </w:tbl>
    <w:p w14:paraId="71348F4C" w14:textId="77777777" w:rsidR="004876D0" w:rsidRPr="00C55BDE" w:rsidRDefault="004876D0" w:rsidP="004876D0">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C55BDE">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Mejía</w:t>
      </w:r>
      <w:r w:rsidRPr="00C55BDE">
        <w:rPr>
          <w:rFonts w:ascii="Verdana" w:eastAsia="Calibri" w:hAnsi="Verdana" w:cs="Arial"/>
          <w:color w:val="000000" w:themeColor="text1"/>
          <w:lang w:val="es-ES" w:eastAsia="es-ES"/>
        </w:rPr>
        <w:t xml:space="preserve">: </w:t>
      </w:r>
    </w:p>
    <w:p w14:paraId="086A438F" w14:textId="77777777" w:rsidR="004876D0" w:rsidRPr="00C55BDE" w:rsidRDefault="004876D0" w:rsidP="004876D0">
      <w:pPr>
        <w:spacing w:after="0"/>
        <w:rPr>
          <w:rFonts w:ascii="Verdana" w:eastAsia="Times New Roman" w:hAnsi="Verdana" w:cs="Segoe UI"/>
          <w:lang w:eastAsia="es-CO"/>
        </w:rPr>
      </w:pPr>
    </w:p>
    <w:p w14:paraId="6FAE7C9E" w14:textId="77777777" w:rsidR="004876D0" w:rsidRPr="00BA1D42" w:rsidRDefault="004876D0" w:rsidP="004876D0">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del</w:t>
      </w:r>
      <w:r w:rsidRPr="00C55BDE">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3</w:t>
      </w:r>
      <w:r w:rsidRPr="00C55BD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C55BDE">
        <w:rPr>
          <w:rFonts w:ascii="Verdana" w:eastAsia="Calibri" w:hAnsi="Verdana" w:cs="Arial"/>
          <w:color w:val="000000" w:themeColor="text1"/>
          <w:lang w:val="es-ES" w:eastAsia="es-ES"/>
        </w:rPr>
        <w:t xml:space="preserve"> del 202</w:t>
      </w:r>
      <w:r>
        <w:rPr>
          <w:rFonts w:ascii="Verdana" w:eastAsia="Calibri" w:hAnsi="Verdana" w:cs="Arial"/>
          <w:color w:val="000000" w:themeColor="text1"/>
          <w:lang w:val="es-ES" w:eastAsia="es-ES"/>
        </w:rPr>
        <w:t>6</w:t>
      </w:r>
      <w:r w:rsidRPr="00C55BDE">
        <w:rPr>
          <w:rFonts w:ascii="Verdana" w:eastAsia="Calibri" w:hAnsi="Verdana" w:cs="Arial"/>
          <w:color w:val="000000" w:themeColor="text1"/>
          <w:lang w:val="es-ES" w:eastAsia="es-ES"/>
        </w:rPr>
        <w:t xml:space="preserve">, en la cual manifiesta lo siguiente: </w:t>
      </w:r>
    </w:p>
    <w:p w14:paraId="13EFB808" w14:textId="77777777" w:rsidR="004876D0" w:rsidRPr="00446315" w:rsidRDefault="004876D0" w:rsidP="004876D0">
      <w:pPr>
        <w:pStyle w:val="Default"/>
        <w:rPr>
          <w:rFonts w:ascii="Verdana" w:hAnsi="Verdana" w:cs="Verdana"/>
        </w:rPr>
      </w:pPr>
    </w:p>
    <w:p w14:paraId="6E73BD7B" w14:textId="77777777" w:rsidR="004876D0" w:rsidRDefault="004876D0" w:rsidP="004876D0">
      <w:pPr>
        <w:spacing w:after="0" w:line="240" w:lineRule="auto"/>
        <w:ind w:left="709" w:right="709"/>
        <w:jc w:val="both"/>
        <w:rPr>
          <w:rFonts w:ascii="Verdana" w:hAnsi="Verdana" w:cs="Verdana"/>
          <w:color w:val="000000" w:themeColor="text1"/>
          <w:sz w:val="20"/>
          <w:szCs w:val="20"/>
        </w:rPr>
      </w:pPr>
      <w:r>
        <w:rPr>
          <w:rFonts w:ascii="Verdana" w:hAnsi="Verdana" w:cs="Verdana"/>
          <w:color w:val="000000" w:themeColor="text1"/>
          <w:sz w:val="20"/>
          <w:szCs w:val="20"/>
        </w:rPr>
        <w:t>“</w:t>
      </w:r>
      <w:r w:rsidRPr="00446315">
        <w:rPr>
          <w:rFonts w:ascii="Verdana" w:hAnsi="Verdana" w:cs="Verdana"/>
          <w:color w:val="000000" w:themeColor="text1"/>
          <w:sz w:val="20"/>
          <w:szCs w:val="20"/>
        </w:rPr>
        <w:t xml:space="preserve">De manera atenta solicitamos a esa entidad emitir concepto jurídico orientador frente a la siguiente situación presentada en el marco de un proceso contractual adelantado por esta Entidad Estatal a través de la plataforma SECOP II.1. Hechos relevantes1.El proceso contractual fue estructurado, publicado y adelantado con anterioridad a la entrada en vigencia de las restricciones establecidas en la Ley 996 de 2005 (Ley de Garantías Electorales).2.Como resultado del proceso, se realizó la publicación y adjudicación antes del inicio del periodo de Ley de Garantías.3.El proveedor adjudicatario efectuó oportunamente la </w:t>
      </w:r>
      <w:r w:rsidRPr="00446315">
        <w:rPr>
          <w:rFonts w:ascii="Verdana" w:hAnsi="Verdana" w:cs="Verdana"/>
          <w:color w:val="000000" w:themeColor="text1"/>
          <w:sz w:val="20"/>
          <w:szCs w:val="20"/>
        </w:rPr>
        <w:lastRenderedPageBreak/>
        <w:t>aprobación y firma electrónica del contrato en la plataforma SECOP II.4.No obstante, por una situación administrativa interna, la Entidad Estatal no alcanzó a surtir en ese mismo momento el flujo de aprobación y firma final por parte del Ordenador del Gasto o Representante Legal, quedando pendiente este paso dentro del hito “Aprobación del contrato” en SECOP II.5.Posteriormente inició la vigencia del periodo de restricciones de la Ley de Garantías, momento en el cual se advirtió que la firma final por parte de la Entidad no se había realizado.2. Duda jurídica</w:t>
      </w:r>
      <w:r>
        <w:rPr>
          <w:rFonts w:ascii="Verdana" w:hAnsi="Verdana" w:cs="Verdana"/>
          <w:color w:val="000000" w:themeColor="text1"/>
          <w:sz w:val="20"/>
          <w:szCs w:val="20"/>
        </w:rPr>
        <w:t xml:space="preserve">. </w:t>
      </w:r>
      <w:r w:rsidRPr="00446315">
        <w:rPr>
          <w:rFonts w:ascii="Verdana" w:hAnsi="Verdana" w:cs="Verdana"/>
          <w:color w:val="000000" w:themeColor="text1"/>
          <w:sz w:val="20"/>
          <w:szCs w:val="20"/>
        </w:rPr>
        <w:t>Teniendo en cuenta lo anterior, respetuosamente solicitamos su orientación sobre los siguientes puntos:</w:t>
      </w:r>
    </w:p>
    <w:p w14:paraId="693908D3" w14:textId="77777777" w:rsidR="004876D0" w:rsidRDefault="004876D0" w:rsidP="004876D0">
      <w:pPr>
        <w:spacing w:after="0" w:line="240" w:lineRule="auto"/>
        <w:ind w:left="709" w:right="709"/>
        <w:jc w:val="both"/>
        <w:rPr>
          <w:rFonts w:ascii="Verdana" w:hAnsi="Verdana" w:cs="Verdana"/>
          <w:color w:val="000000" w:themeColor="text1"/>
          <w:sz w:val="20"/>
          <w:szCs w:val="20"/>
        </w:rPr>
      </w:pPr>
    </w:p>
    <w:p w14:paraId="4C146B48" w14:textId="77777777" w:rsidR="004876D0" w:rsidRDefault="004876D0" w:rsidP="004876D0">
      <w:pPr>
        <w:spacing w:after="0" w:line="240" w:lineRule="auto"/>
        <w:ind w:left="709" w:right="709"/>
        <w:jc w:val="both"/>
        <w:rPr>
          <w:rFonts w:ascii="Verdana" w:hAnsi="Verdana" w:cs="Verdana"/>
          <w:color w:val="000000" w:themeColor="text1"/>
          <w:sz w:val="20"/>
          <w:szCs w:val="20"/>
        </w:rPr>
      </w:pPr>
      <w:r w:rsidRPr="00446315">
        <w:rPr>
          <w:rFonts w:ascii="Verdana" w:hAnsi="Verdana" w:cs="Verdana"/>
          <w:color w:val="000000" w:themeColor="text1"/>
          <w:sz w:val="20"/>
          <w:szCs w:val="20"/>
        </w:rPr>
        <w:t xml:space="preserve">1.Si la firma pendiente por parte de la Entidad Estatal, dentro de un proceso que fue estructurado, adjudicado y aceptado por el contratista antes de la </w:t>
      </w:r>
      <w:proofErr w:type="gramStart"/>
      <w:r w:rsidRPr="00446315">
        <w:rPr>
          <w:rFonts w:ascii="Verdana" w:hAnsi="Verdana" w:cs="Verdana"/>
          <w:color w:val="000000" w:themeColor="text1"/>
          <w:sz w:val="20"/>
          <w:szCs w:val="20"/>
        </w:rPr>
        <w:t>entrada en vigencia</w:t>
      </w:r>
      <w:proofErr w:type="gramEnd"/>
      <w:r w:rsidRPr="00446315">
        <w:rPr>
          <w:rFonts w:ascii="Verdana" w:hAnsi="Verdana" w:cs="Verdana"/>
          <w:color w:val="000000" w:themeColor="text1"/>
          <w:sz w:val="20"/>
          <w:szCs w:val="20"/>
        </w:rPr>
        <w:t xml:space="preserve"> de la Ley de Garantías, puede entenderse como la culminación formal de un trámite contractual previamente definido y no como la celebración de un nuevo contrato en vigencia de la restricción.</w:t>
      </w:r>
    </w:p>
    <w:p w14:paraId="466480D3" w14:textId="77777777" w:rsidR="004876D0" w:rsidRDefault="004876D0" w:rsidP="004876D0">
      <w:pPr>
        <w:spacing w:after="0" w:line="240" w:lineRule="auto"/>
        <w:ind w:left="709" w:right="709"/>
        <w:jc w:val="both"/>
        <w:rPr>
          <w:rFonts w:ascii="Verdana" w:hAnsi="Verdana" w:cs="Verdana"/>
          <w:color w:val="000000" w:themeColor="text1"/>
          <w:sz w:val="20"/>
          <w:szCs w:val="20"/>
        </w:rPr>
      </w:pPr>
    </w:p>
    <w:p w14:paraId="18AEE610" w14:textId="77777777" w:rsidR="004876D0" w:rsidRDefault="004876D0" w:rsidP="004876D0">
      <w:pPr>
        <w:spacing w:after="0" w:line="240" w:lineRule="auto"/>
        <w:ind w:left="709" w:right="709"/>
        <w:jc w:val="both"/>
        <w:rPr>
          <w:rFonts w:ascii="Verdana" w:hAnsi="Verdana" w:cs="Verdana"/>
          <w:color w:val="000000" w:themeColor="text1"/>
          <w:sz w:val="20"/>
          <w:szCs w:val="20"/>
        </w:rPr>
      </w:pPr>
      <w:r w:rsidRPr="00446315">
        <w:rPr>
          <w:rFonts w:ascii="Verdana" w:hAnsi="Verdana" w:cs="Verdana"/>
          <w:color w:val="000000" w:themeColor="text1"/>
          <w:sz w:val="20"/>
          <w:szCs w:val="20"/>
        </w:rPr>
        <w:t>2.Si, bajo este escenario, la suscripción electrónica por parte del Ordenador del Gasto durante la vigencia de la Ley de Garantías configuraría o no una vulneración a la prohibición contenida en el artículo 33 de la Ley 996 de 2005, especialmente cuando no se trata de un proceso iniciado o adjudicado durante dicho periodo.</w:t>
      </w:r>
    </w:p>
    <w:p w14:paraId="08BCAB43" w14:textId="77777777" w:rsidR="004876D0" w:rsidRDefault="004876D0" w:rsidP="004876D0">
      <w:pPr>
        <w:spacing w:after="0" w:line="240" w:lineRule="auto"/>
        <w:ind w:left="709" w:right="709"/>
        <w:jc w:val="both"/>
        <w:rPr>
          <w:rFonts w:ascii="Verdana" w:hAnsi="Verdana" w:cs="Verdana"/>
          <w:color w:val="000000" w:themeColor="text1"/>
          <w:sz w:val="20"/>
          <w:szCs w:val="20"/>
        </w:rPr>
      </w:pPr>
    </w:p>
    <w:p w14:paraId="4902ECB3" w14:textId="77777777" w:rsidR="004876D0" w:rsidRDefault="004876D0" w:rsidP="004876D0">
      <w:pPr>
        <w:spacing w:after="0" w:line="240" w:lineRule="auto"/>
        <w:ind w:left="709" w:right="709"/>
        <w:jc w:val="both"/>
        <w:rPr>
          <w:rFonts w:ascii="Verdana" w:hAnsi="Verdana" w:cs="Verdana"/>
          <w:color w:val="000000" w:themeColor="text1"/>
          <w:sz w:val="20"/>
          <w:szCs w:val="20"/>
        </w:rPr>
      </w:pPr>
      <w:r w:rsidRPr="00446315">
        <w:rPr>
          <w:rFonts w:ascii="Verdana" w:hAnsi="Verdana" w:cs="Verdana"/>
          <w:color w:val="000000" w:themeColor="text1"/>
          <w:sz w:val="20"/>
          <w:szCs w:val="20"/>
        </w:rPr>
        <w:t>3.Cuál sería la actuación jurídicamente más adecuada para la Entidad Estatal frente a este contrato, considerando los principios de planeación, buena fe, seguridad jurídica, responsabilidad patrimonial del Estado y continuidad en la prestación del servicio.</w:t>
      </w:r>
    </w:p>
    <w:p w14:paraId="103F742F" w14:textId="77777777" w:rsidR="004876D0" w:rsidRDefault="004876D0" w:rsidP="004876D0">
      <w:pPr>
        <w:spacing w:after="0" w:line="240" w:lineRule="auto"/>
        <w:ind w:left="709" w:right="709"/>
        <w:jc w:val="both"/>
        <w:rPr>
          <w:rFonts w:ascii="Verdana" w:hAnsi="Verdana" w:cs="Verdana"/>
          <w:color w:val="000000" w:themeColor="text1"/>
          <w:sz w:val="20"/>
          <w:szCs w:val="20"/>
        </w:rPr>
      </w:pPr>
    </w:p>
    <w:p w14:paraId="6D58EACA" w14:textId="77777777" w:rsidR="004876D0" w:rsidRPr="00446315" w:rsidRDefault="004876D0" w:rsidP="004876D0">
      <w:pPr>
        <w:spacing w:after="0" w:line="240" w:lineRule="auto"/>
        <w:ind w:left="709" w:right="709"/>
        <w:jc w:val="both"/>
        <w:rPr>
          <w:rFonts w:ascii="Verdana" w:hAnsi="Verdana" w:cs="Verdana"/>
          <w:color w:val="000000" w:themeColor="text1"/>
          <w:sz w:val="20"/>
          <w:szCs w:val="20"/>
        </w:rPr>
      </w:pPr>
      <w:r w:rsidRPr="00446315">
        <w:rPr>
          <w:rFonts w:ascii="Verdana" w:hAnsi="Verdana" w:cs="Verdana"/>
          <w:color w:val="000000" w:themeColor="text1"/>
          <w:sz w:val="20"/>
          <w:szCs w:val="20"/>
        </w:rPr>
        <w:t>3. Finalidad de la consulta</w:t>
      </w:r>
      <w:r>
        <w:rPr>
          <w:rFonts w:ascii="Verdana" w:hAnsi="Verdana" w:cs="Verdana"/>
          <w:color w:val="000000" w:themeColor="text1"/>
          <w:sz w:val="20"/>
          <w:szCs w:val="20"/>
        </w:rPr>
        <w:t>. L</w:t>
      </w:r>
      <w:r w:rsidRPr="00446315">
        <w:rPr>
          <w:rFonts w:ascii="Verdana" w:hAnsi="Verdana" w:cs="Verdana"/>
          <w:color w:val="000000" w:themeColor="text1"/>
          <w:sz w:val="20"/>
          <w:szCs w:val="20"/>
        </w:rPr>
        <w:t>a presente solicitud se formula con el propósito de garantizar que las decisiones institucionales se adopten con fundamento en criterios técnicos unificados, y de prevenir eventuales riesgos disciplinarios, fiscales o contractuales derivados de la interpretación de las restricciones de la Ley de Garantías. Agradecemos de antemano la orientación que esa Agencia pueda brindar sobre el particular.</w:t>
      </w:r>
      <w:r w:rsidRPr="00446315">
        <w:rPr>
          <w:rFonts w:ascii="Verdana" w:eastAsia="Century Gothic" w:hAnsi="Verdana" w:cs="Century Gothic"/>
          <w:i/>
          <w:iCs/>
          <w:color w:val="000000" w:themeColor="text1"/>
          <w:sz w:val="20"/>
          <w:szCs w:val="20"/>
        </w:rPr>
        <w:t>”</w:t>
      </w:r>
    </w:p>
    <w:p w14:paraId="07343EAC" w14:textId="77777777" w:rsidR="004876D0" w:rsidRPr="00C55BDE" w:rsidRDefault="004876D0" w:rsidP="004876D0">
      <w:pPr>
        <w:spacing w:after="0" w:line="240" w:lineRule="auto"/>
        <w:ind w:left="709" w:right="709"/>
        <w:jc w:val="both"/>
        <w:rPr>
          <w:rFonts w:ascii="Verdana" w:eastAsia="Times New Roman" w:hAnsi="Verdana" w:cs="Arial"/>
          <w:i/>
          <w:iCs/>
          <w:sz w:val="20"/>
          <w:szCs w:val="20"/>
          <w:lang w:eastAsia="es-ES_tradnl"/>
        </w:rPr>
      </w:pPr>
    </w:p>
    <w:p w14:paraId="7A55068D" w14:textId="77777777" w:rsidR="004876D0" w:rsidRPr="00C55BDE" w:rsidRDefault="004876D0" w:rsidP="004876D0">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themeColor="text1"/>
          <w:lang w:val="es-ES" w:eastAsia="es-ES"/>
        </w:rPr>
        <w:t xml:space="preserve">la Agencia Nacional de Contratación Pública - </w:t>
      </w:r>
      <w:r w:rsidRPr="00C55BDE">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w:t>
      </w:r>
      <w:r w:rsidRPr="00C55BDE">
        <w:rPr>
          <w:rFonts w:ascii="Verdana" w:eastAsia="Calibri" w:hAnsi="Verdana" w:cs="Arial"/>
          <w:color w:val="000000" w:themeColor="text1"/>
          <w:lang w:val="es-ES" w:eastAsia="es-ES"/>
        </w:rPr>
        <w:lastRenderedPageBreak/>
        <w:t xml:space="preserve">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2AE946A9" w14:textId="77777777" w:rsidR="004876D0" w:rsidRPr="00C55BDE" w:rsidRDefault="004876D0" w:rsidP="004876D0">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color w:val="000000" w:themeColor="text1"/>
          <w:lang w:val="es-ES" w:eastAsia="es-ES"/>
        </w:rPr>
        <w:t>señalando alg</w:t>
      </w:r>
      <w:r w:rsidRPr="00C55BDE">
        <w:rPr>
          <w:rFonts w:ascii="Verdana" w:eastAsia="Calibri" w:hAnsi="Verdana" w:cs="Arial"/>
          <w:color w:val="000000" w:themeColor="text1"/>
          <w:lang w:val="es-ES" w:eastAsia="es-ES"/>
        </w:rPr>
        <w:t>unas consideraciones sobre las normas generales relacionadas con los problemas jurídicos</w:t>
      </w:r>
      <w:r>
        <w:rPr>
          <w:rFonts w:ascii="Verdana" w:eastAsia="Calibri" w:hAnsi="Verdana" w:cs="Arial"/>
          <w:color w:val="000000" w:themeColor="text1"/>
          <w:lang w:val="es-ES" w:eastAsia="es-ES"/>
        </w:rPr>
        <w:t xml:space="preserve"> </w:t>
      </w:r>
      <w:r w:rsidRPr="00C55BDE">
        <w:rPr>
          <w:rFonts w:ascii="Verdana" w:eastAsia="Calibri" w:hAnsi="Verdana" w:cs="Arial"/>
          <w:color w:val="000000" w:themeColor="text1"/>
          <w:lang w:val="es-ES" w:eastAsia="es-ES"/>
        </w:rPr>
        <w:t xml:space="preserve">de su consulta. </w:t>
      </w:r>
    </w:p>
    <w:p w14:paraId="5248898D" w14:textId="77777777" w:rsidR="004876D0" w:rsidRPr="00C55BDE" w:rsidRDefault="004876D0" w:rsidP="004876D0">
      <w:pPr>
        <w:spacing w:after="0" w:line="276" w:lineRule="auto"/>
        <w:jc w:val="both"/>
        <w:rPr>
          <w:rFonts w:ascii="Verdana" w:eastAsia="Calibri" w:hAnsi="Verdana" w:cs="Arial"/>
          <w:color w:val="000000" w:themeColor="text1"/>
          <w:lang w:val="es-ES" w:eastAsia="es-ES"/>
        </w:rPr>
      </w:pPr>
    </w:p>
    <w:p w14:paraId="43D1BCFD" w14:textId="77777777" w:rsidR="004876D0" w:rsidRPr="00C55BDE" w:rsidRDefault="004876D0" w:rsidP="004876D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604C1CC9" w14:textId="77777777" w:rsidR="004876D0" w:rsidRPr="00C55BDE" w:rsidRDefault="004876D0" w:rsidP="004876D0">
      <w:pPr>
        <w:tabs>
          <w:tab w:val="left" w:pos="426"/>
        </w:tabs>
        <w:spacing w:after="0" w:line="276" w:lineRule="auto"/>
        <w:jc w:val="both"/>
        <w:rPr>
          <w:rFonts w:ascii="Verdana" w:eastAsia="Century Gothic" w:hAnsi="Verdana" w:cs="Century Gothic"/>
          <w:color w:val="000000" w:themeColor="text1"/>
          <w:lang w:val="es-ES"/>
        </w:rPr>
      </w:pPr>
    </w:p>
    <w:p w14:paraId="62F933EB" w14:textId="77777777" w:rsidR="004876D0" w:rsidRPr="00C55BDE" w:rsidRDefault="004876D0" w:rsidP="004876D0">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C55BDE">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C55BDE">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C55BDE">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C55BDE">
        <w:rPr>
          <w:rFonts w:ascii="Verdana" w:eastAsia="Century Gothic" w:hAnsi="Verdana" w:cs="Century Gothic"/>
          <w:color w:val="000000" w:themeColor="text1"/>
        </w:rPr>
        <w:t>:</w:t>
      </w:r>
      <w:r>
        <w:rPr>
          <w:rFonts w:ascii="Verdana" w:eastAsia="Century Gothic" w:hAnsi="Verdana" w:cs="Century Gothic"/>
          <w:color w:val="000000" w:themeColor="text1"/>
        </w:rPr>
        <w:t xml:space="preserve"> i) </w:t>
      </w:r>
      <w:r w:rsidRPr="00A53FD7">
        <w:rPr>
          <w:rFonts w:ascii="Verdana" w:eastAsia="Century Gothic" w:hAnsi="Verdana" w:cs="Century Gothic"/>
          <w:color w:val="000000" w:themeColor="text1"/>
        </w:rPr>
        <w:t>¿</w:t>
      </w:r>
      <w:r>
        <w:rPr>
          <w:rFonts w:ascii="Verdana" w:eastAsia="Century Gothic" w:hAnsi="Verdana" w:cs="Century Gothic"/>
          <w:color w:val="000000" w:themeColor="text1"/>
        </w:rPr>
        <w:t>c</w:t>
      </w:r>
      <w:r w:rsidRPr="00A53FD7">
        <w:rPr>
          <w:rFonts w:ascii="Verdana" w:eastAsia="Century Gothic" w:hAnsi="Verdana" w:cs="Century Gothic"/>
          <w:color w:val="000000" w:themeColor="text1"/>
        </w:rPr>
        <w:t xml:space="preserve">uál es el momento de celebración del contrato estatal en </w:t>
      </w:r>
      <w:r>
        <w:rPr>
          <w:rFonts w:ascii="Verdana" w:eastAsia="Century Gothic" w:hAnsi="Verdana" w:cs="Century Gothic"/>
          <w:color w:val="000000" w:themeColor="text1"/>
        </w:rPr>
        <w:t xml:space="preserve">la plataforma de </w:t>
      </w:r>
      <w:r w:rsidRPr="00A53FD7">
        <w:rPr>
          <w:rFonts w:ascii="Verdana" w:eastAsia="Century Gothic" w:hAnsi="Verdana" w:cs="Century Gothic"/>
          <w:color w:val="000000" w:themeColor="text1"/>
        </w:rPr>
        <w:t>SECOP II</w:t>
      </w:r>
      <w:r>
        <w:rPr>
          <w:rFonts w:ascii="Verdana" w:eastAsia="Century Gothic" w:hAnsi="Verdana" w:cs="Century Gothic"/>
          <w:color w:val="000000" w:themeColor="text1"/>
        </w:rPr>
        <w:t>,</w:t>
      </w:r>
      <w:r w:rsidRPr="00A53FD7">
        <w:rPr>
          <w:rFonts w:ascii="Verdana" w:eastAsia="Century Gothic" w:hAnsi="Verdana" w:cs="Century Gothic"/>
          <w:color w:val="000000" w:themeColor="text1"/>
        </w:rPr>
        <w:t xml:space="preserve"> para efectos de la aplicación de las restricciones de la Ley de Garantías</w:t>
      </w:r>
      <w:r>
        <w:rPr>
          <w:rFonts w:ascii="Verdana" w:eastAsia="Century Gothic" w:hAnsi="Verdana" w:cs="Century Gothic"/>
          <w:color w:val="000000" w:themeColor="text1"/>
        </w:rPr>
        <w:t xml:space="preserve"> Electorales?;</w:t>
      </w:r>
      <w:r w:rsidRPr="00A53FD7">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y </w:t>
      </w:r>
      <w:proofErr w:type="spellStart"/>
      <w:r>
        <w:rPr>
          <w:rFonts w:ascii="Verdana" w:eastAsia="Century Gothic" w:hAnsi="Verdana" w:cs="Century Gothic"/>
          <w:color w:val="000000" w:themeColor="text1"/>
        </w:rPr>
        <w:t>ii</w:t>
      </w:r>
      <w:proofErr w:type="spellEnd"/>
      <w:r>
        <w:rPr>
          <w:rFonts w:ascii="Verdana" w:eastAsia="Century Gothic" w:hAnsi="Verdana" w:cs="Century Gothic"/>
          <w:color w:val="000000" w:themeColor="text1"/>
        </w:rPr>
        <w:t>)</w:t>
      </w:r>
      <w:r w:rsidRPr="00A53FD7">
        <w:rPr>
          <w:rFonts w:ascii="Verdana" w:eastAsia="Century Gothic" w:hAnsi="Verdana" w:cs="Century Gothic"/>
          <w:color w:val="000000" w:themeColor="text1"/>
        </w:rPr>
        <w:t xml:space="preserve"> </w:t>
      </w:r>
      <w:r>
        <w:rPr>
          <w:rFonts w:ascii="Verdana" w:eastAsia="Century Gothic" w:hAnsi="Verdana" w:cs="Century Gothic"/>
          <w:color w:val="000000" w:themeColor="text1"/>
        </w:rPr>
        <w:t>¿</w:t>
      </w:r>
      <w:r w:rsidRPr="00A53FD7">
        <w:rPr>
          <w:rFonts w:ascii="Verdana" w:eastAsia="Century Gothic" w:hAnsi="Verdana" w:cs="Century Gothic"/>
          <w:color w:val="000000" w:themeColor="text1"/>
        </w:rPr>
        <w:t>cuáles son las consecuencias</w:t>
      </w:r>
      <w:r>
        <w:rPr>
          <w:rFonts w:ascii="Verdana" w:eastAsia="Century Gothic" w:hAnsi="Verdana" w:cs="Century Gothic"/>
          <w:color w:val="000000" w:themeColor="text1"/>
        </w:rPr>
        <w:t xml:space="preserve"> jurídicas</w:t>
      </w:r>
      <w:r w:rsidRPr="00A53FD7">
        <w:rPr>
          <w:rFonts w:ascii="Verdana" w:eastAsia="Century Gothic" w:hAnsi="Verdana" w:cs="Century Gothic"/>
          <w:color w:val="000000" w:themeColor="text1"/>
        </w:rPr>
        <w:t xml:space="preserve"> cuando su perfeccionamiento</w:t>
      </w:r>
      <w:r>
        <w:rPr>
          <w:rFonts w:ascii="Verdana" w:eastAsia="Century Gothic" w:hAnsi="Verdana" w:cs="Century Gothic"/>
          <w:color w:val="000000" w:themeColor="text1"/>
        </w:rPr>
        <w:t xml:space="preserve"> en la plataforma del SECOP II</w:t>
      </w:r>
      <w:r w:rsidRPr="00A53FD7">
        <w:rPr>
          <w:rFonts w:ascii="Verdana" w:eastAsia="Century Gothic" w:hAnsi="Verdana" w:cs="Century Gothic"/>
          <w:color w:val="000000" w:themeColor="text1"/>
        </w:rPr>
        <w:t xml:space="preserve"> ocurre dentro del período de prohibición</w:t>
      </w:r>
      <w:r w:rsidRPr="00753842">
        <w:rPr>
          <w:rFonts w:ascii="Verdana" w:eastAsia="Century Gothic" w:hAnsi="Verdana" w:cs="Century Gothic"/>
          <w:color w:val="000000" w:themeColor="text1"/>
        </w:rPr>
        <w:t>, aun cuando las etapas previas de estructuración, publicación, adjudicación y aceptación por parte del contratista se llevaron a cabo con anterioridad a dicho periodo</w:t>
      </w:r>
      <w:r w:rsidRPr="00A53FD7">
        <w:rPr>
          <w:rFonts w:ascii="Verdana" w:eastAsia="Century Gothic" w:hAnsi="Verdana" w:cs="Century Gothic"/>
          <w:color w:val="000000" w:themeColor="text1"/>
        </w:rPr>
        <w:t>?</w:t>
      </w:r>
      <w:r>
        <w:rPr>
          <w:rFonts w:ascii="Verdana" w:eastAsia="Century Gothic" w:hAnsi="Verdana" w:cs="Century Gothic"/>
          <w:color w:val="000000" w:themeColor="text1"/>
        </w:rPr>
        <w:t xml:space="preserve"> </w:t>
      </w:r>
    </w:p>
    <w:p w14:paraId="0D49A39A" w14:textId="77777777" w:rsidR="004876D0" w:rsidRPr="00C55BDE" w:rsidRDefault="004876D0" w:rsidP="004876D0">
      <w:pPr>
        <w:spacing w:after="0" w:line="276" w:lineRule="auto"/>
        <w:jc w:val="both"/>
        <w:rPr>
          <w:rFonts w:ascii="Verdana" w:eastAsia="Century Gothic" w:hAnsi="Verdana" w:cs="Century Gothic"/>
          <w:color w:val="000000" w:themeColor="text1"/>
        </w:rPr>
      </w:pPr>
    </w:p>
    <w:p w14:paraId="5D160DA1" w14:textId="77777777" w:rsidR="004876D0" w:rsidRPr="00C55BDE" w:rsidRDefault="004876D0" w:rsidP="004876D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3215CCA7" w14:textId="77777777" w:rsidR="004876D0" w:rsidRPr="00C55BDE" w:rsidRDefault="004876D0" w:rsidP="004876D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76D0" w:rsidRPr="00C55BDE" w14:paraId="06FF245E" w14:textId="77777777" w:rsidTr="00EA32A5">
        <w:tc>
          <w:tcPr>
            <w:tcW w:w="8828" w:type="dxa"/>
          </w:tcPr>
          <w:p w14:paraId="0959037B" w14:textId="77777777" w:rsidR="004876D0" w:rsidRDefault="004876D0" w:rsidP="00EA32A5">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i. Las restricciones consagradas en la Ley de Garantías Electorales se dirigen a dos (2) tipos de campañas electorales claramente diferenciadas: las presidenciales y las demás que se adelanten para la elección de los demás cargos de elección popular, tanto a nivel nacional como territorial.</w:t>
            </w:r>
          </w:p>
          <w:p w14:paraId="36E72CDF" w14:textId="77777777" w:rsidR="004876D0" w:rsidRDefault="004876D0" w:rsidP="00EA32A5">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w:t>
            </w:r>
            <w:r>
              <w:rPr>
                <w:rFonts w:ascii="Verdana" w:eastAsia="Calibri" w:hAnsi="Verdana" w:cs="Arial"/>
              </w:rPr>
              <w:lastRenderedPageBreak/>
              <w:t>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DB140C6" w14:textId="77777777" w:rsidR="004876D0" w:rsidRDefault="004876D0" w:rsidP="00EA32A5">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F31AC8">
              <w:rPr>
                <w:rFonts w:ascii="Verdana" w:eastAsia="Calibri" w:hAnsi="Verdana" w:cs="Arial"/>
                <w:i/>
                <w:iCs/>
              </w:rPr>
              <w:t xml:space="preserve">“[…] </w:t>
            </w:r>
            <w:r w:rsidRPr="00F31AC8">
              <w:rPr>
                <w:rFonts w:ascii="Verdana" w:eastAsia="Calibri" w:hAnsi="Verdana" w:cs="Arial"/>
                <w:i/>
                <w:iCs/>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31AC8">
              <w:rPr>
                <w:rFonts w:ascii="Verdana" w:eastAsia="Calibri" w:hAnsi="Verdana" w:cs="Arial"/>
                <w:i/>
                <w:iCs/>
              </w:rPr>
              <w:t>”</w:t>
            </w:r>
            <w:r w:rsidRPr="00F31AC8">
              <w:rPr>
                <w:rFonts w:ascii="Verdana" w:eastAsia="Calibri" w:hAnsi="Verdana" w:cs="Arial"/>
                <w:i/>
                <w:iCs/>
                <w:lang w:val="es-MX"/>
              </w:rPr>
              <w:t>.</w:t>
            </w:r>
            <w:r>
              <w:rPr>
                <w:rFonts w:ascii="Verdana" w:eastAsia="Arial" w:hAnsi="Verdana" w:cs="Arial"/>
                <w:lang w:val="es-ES" w:eastAsia="es-ES" w:bidi="es-ES"/>
              </w:rPr>
              <w:t xml:space="preserve"> </w:t>
            </w:r>
          </w:p>
          <w:p w14:paraId="740EDCFE" w14:textId="77777777" w:rsidR="004876D0" w:rsidRDefault="004876D0" w:rsidP="00EA32A5">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9410025" w14:textId="77777777" w:rsidR="004876D0" w:rsidRDefault="004876D0" w:rsidP="00EA32A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w:t>
            </w:r>
            <w:r w:rsidRPr="009D36B8">
              <w:rPr>
                <w:rFonts w:ascii="Verdana" w:eastAsia="Times New Roman" w:hAnsi="Verdana" w:cs="Arial"/>
                <w:bCs/>
                <w:i/>
                <w:iCs/>
                <w:lang w:val="es-ES" w:eastAsia="es-CO"/>
              </w:rPr>
              <w:t>perfeccionamiento</w:t>
            </w:r>
            <w:r>
              <w:rPr>
                <w:rFonts w:ascii="Verdana" w:eastAsia="Times New Roman" w:hAnsi="Verdana" w:cs="Arial"/>
                <w:bCs/>
                <w:lang w:val="es-ES" w:eastAsia="es-CO"/>
              </w:rPr>
              <w:t xml:space="preserve">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DAF7FA8" w14:textId="77777777" w:rsidR="004876D0" w:rsidRDefault="004876D0" w:rsidP="00EA32A5">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Ahora bien, con la implementación del SECOP II como plataforma transaccional para la actividad contractual del Estado, se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w:t>
            </w:r>
            <w:r>
              <w:rPr>
                <w:rFonts w:ascii="Verdana" w:eastAsia="Calibri" w:hAnsi="Verdana" w:cs="Arial"/>
                <w:lang w:val="es-ES"/>
              </w:rPr>
              <w:lastRenderedPageBreak/>
              <w:t>procedimiento por parte de la Entidad Estatal para que se cambie el estado del proceso a “adjudicado”, con lo cual se genera el contrato electrónico en estado “en edición”.</w:t>
            </w:r>
          </w:p>
          <w:p w14:paraId="60C11F61" w14:textId="77777777" w:rsidR="004876D0" w:rsidRDefault="004876D0" w:rsidP="00EA32A5">
            <w:pPr>
              <w:spacing w:after="120" w:line="276" w:lineRule="auto"/>
              <w:ind w:firstLine="567"/>
              <w:jc w:val="both"/>
              <w:rPr>
                <w:rFonts w:ascii="Verdana" w:eastAsia="Calibri" w:hAnsi="Verdana" w:cs="Arial"/>
              </w:rPr>
            </w:pPr>
            <w:r>
              <w:rPr>
                <w:rFonts w:ascii="Verdana" w:eastAsia="Calibri" w:hAnsi="Verdana" w:cs="Arial"/>
                <w:lang w:val="es-ES"/>
              </w:rPr>
              <w:t>Conforme lo señala “</w:t>
            </w:r>
            <w:r w:rsidRPr="00DA39A2">
              <w:rPr>
                <w:rFonts w:ascii="Verdana" w:eastAsia="Calibri" w:hAnsi="Verdana" w:cs="Arial"/>
                <w:lang w:val="es-ES"/>
              </w:rPr>
              <w:t>Guía SECOP II – Gestión Contractual Para Entidades Estatales</w:t>
            </w:r>
            <w:r>
              <w:rPr>
                <w:rStyle w:val="Refdenotaalpie"/>
                <w:rFonts w:ascii="Verdana" w:eastAsia="Calibri" w:hAnsi="Verdana" w:cs="Arial"/>
                <w:lang w:val="es-ES"/>
              </w:rPr>
              <w:footnoteReference w:id="1"/>
            </w:r>
            <w:r>
              <w:rPr>
                <w:rFonts w:ascii="Verdana" w:eastAsia="Calibri" w:hAnsi="Verdana" w:cs="Arial"/>
                <w:lang w:val="es-ES"/>
              </w:rPr>
              <w:t xml:space="preserve">” </w:t>
            </w:r>
            <w:r>
              <w:rPr>
                <w:rFonts w:ascii="Verdana" w:eastAsia="Calibri" w:hAnsi="Verdana" w:cs="Arial"/>
              </w:rPr>
              <w:t>e</w:t>
            </w:r>
            <w:r w:rsidRPr="006F3792">
              <w:rPr>
                <w:rFonts w:ascii="Verdana" w:eastAsia="Calibri" w:hAnsi="Verdana" w:cs="Arial"/>
              </w:rPr>
              <w:t xml:space="preserve">s importante que previamente el </w:t>
            </w:r>
            <w:r>
              <w:rPr>
                <w:rFonts w:ascii="Verdana" w:eastAsia="Calibri" w:hAnsi="Verdana" w:cs="Arial"/>
              </w:rPr>
              <w:t>u</w:t>
            </w:r>
            <w:r w:rsidRPr="006F3792">
              <w:rPr>
                <w:rFonts w:ascii="Verdana" w:eastAsia="Calibri" w:hAnsi="Verdana" w:cs="Arial"/>
              </w:rPr>
              <w:t xml:space="preserve">suario </w:t>
            </w:r>
            <w:r>
              <w:rPr>
                <w:rFonts w:ascii="Verdana" w:eastAsia="Calibri" w:hAnsi="Verdana" w:cs="Arial"/>
              </w:rPr>
              <w:t>a</w:t>
            </w:r>
            <w:r w:rsidRPr="006F3792">
              <w:rPr>
                <w:rFonts w:ascii="Verdana" w:eastAsia="Calibri" w:hAnsi="Verdana" w:cs="Arial"/>
              </w:rPr>
              <w:t xml:space="preserve">dministrador </w:t>
            </w:r>
            <w:r>
              <w:rPr>
                <w:rFonts w:ascii="Verdana" w:eastAsia="Calibri" w:hAnsi="Verdana" w:cs="Arial"/>
              </w:rPr>
              <w:t xml:space="preserve">de la Entidad Estatal </w:t>
            </w:r>
            <w:r w:rsidRPr="006F3792">
              <w:rPr>
                <w:rFonts w:ascii="Verdana" w:eastAsia="Calibri" w:hAnsi="Verdana" w:cs="Arial"/>
              </w:rPr>
              <w:t xml:space="preserve">haya configurado </w:t>
            </w:r>
            <w:r>
              <w:rPr>
                <w:rFonts w:ascii="Verdana" w:eastAsia="Calibri" w:hAnsi="Verdana" w:cs="Arial"/>
              </w:rPr>
              <w:t>fl</w:t>
            </w:r>
            <w:r w:rsidRPr="006F3792">
              <w:rPr>
                <w:rFonts w:ascii="Verdana" w:eastAsia="Calibri" w:hAnsi="Verdana" w:cs="Arial"/>
              </w:rPr>
              <w:t xml:space="preserve">ujos de </w:t>
            </w:r>
            <w:r>
              <w:rPr>
                <w:rFonts w:ascii="Verdana" w:eastAsia="Calibri" w:hAnsi="Verdana" w:cs="Arial"/>
              </w:rPr>
              <w:t>a</w:t>
            </w:r>
            <w:r w:rsidRPr="006F3792">
              <w:rPr>
                <w:rFonts w:ascii="Verdana" w:eastAsia="Calibri" w:hAnsi="Verdana" w:cs="Arial"/>
              </w:rPr>
              <w:t xml:space="preserve">probación en este hito del proceso con el fin de que el contrato electrónico sea enviado al </w:t>
            </w:r>
            <w:r>
              <w:rPr>
                <w:rFonts w:ascii="Verdana" w:eastAsia="Calibri" w:hAnsi="Verdana" w:cs="Arial"/>
              </w:rPr>
              <w:t>o</w:t>
            </w:r>
            <w:r w:rsidRPr="006F3792">
              <w:rPr>
                <w:rFonts w:ascii="Verdana" w:eastAsia="Calibri" w:hAnsi="Verdana" w:cs="Arial"/>
              </w:rPr>
              <w:t xml:space="preserve">rdenador del </w:t>
            </w:r>
            <w:r>
              <w:rPr>
                <w:rFonts w:ascii="Verdana" w:eastAsia="Calibri" w:hAnsi="Verdana" w:cs="Arial"/>
              </w:rPr>
              <w:t>g</w:t>
            </w:r>
            <w:r w:rsidRPr="006F3792">
              <w:rPr>
                <w:rFonts w:ascii="Verdana" w:eastAsia="Calibri" w:hAnsi="Verdana" w:cs="Arial"/>
              </w:rPr>
              <w:t xml:space="preserve">asto </w:t>
            </w:r>
            <w:r>
              <w:rPr>
                <w:rFonts w:ascii="Verdana" w:eastAsia="Calibri" w:hAnsi="Verdana" w:cs="Arial"/>
              </w:rPr>
              <w:t>r</w:t>
            </w:r>
            <w:r w:rsidRPr="006F3792">
              <w:rPr>
                <w:rFonts w:ascii="Verdana" w:eastAsia="Calibri" w:hAnsi="Verdana" w:cs="Arial"/>
              </w:rPr>
              <w:t xml:space="preserve">epresentante </w:t>
            </w:r>
            <w:r>
              <w:rPr>
                <w:rFonts w:ascii="Verdana" w:eastAsia="Calibri" w:hAnsi="Verdana" w:cs="Arial"/>
              </w:rPr>
              <w:t>l</w:t>
            </w:r>
            <w:r w:rsidRPr="006F3792">
              <w:rPr>
                <w:rFonts w:ascii="Verdana" w:eastAsia="Calibri" w:hAnsi="Verdana" w:cs="Arial"/>
              </w:rPr>
              <w:t>egal de la entidad para su aprobación final.</w:t>
            </w:r>
            <w:r>
              <w:rPr>
                <w:rFonts w:ascii="Verdana" w:eastAsia="Calibri" w:hAnsi="Verdana" w:cs="Arial"/>
                <w:lang w:val="es-ES"/>
              </w:rPr>
              <w:t xml:space="preserve"> </w:t>
            </w:r>
            <w:r w:rsidRPr="00421E16">
              <w:rPr>
                <w:rFonts w:ascii="Verdana" w:eastAsia="Calibri" w:hAnsi="Verdana" w:cs="Arial"/>
              </w:rPr>
              <w:t xml:space="preserve">Una vez el </w:t>
            </w:r>
            <w:r>
              <w:rPr>
                <w:rFonts w:ascii="Verdana" w:eastAsia="Calibri" w:hAnsi="Verdana" w:cs="Arial"/>
              </w:rPr>
              <w:t>o</w:t>
            </w:r>
            <w:r w:rsidRPr="00421E16">
              <w:rPr>
                <w:rFonts w:ascii="Verdana" w:eastAsia="Calibri" w:hAnsi="Verdana" w:cs="Arial"/>
              </w:rPr>
              <w:t xml:space="preserve">rdenador del </w:t>
            </w:r>
            <w:r>
              <w:rPr>
                <w:rFonts w:ascii="Verdana" w:eastAsia="Calibri" w:hAnsi="Verdana" w:cs="Arial"/>
              </w:rPr>
              <w:t>g</w:t>
            </w:r>
            <w:r w:rsidRPr="00421E16">
              <w:rPr>
                <w:rFonts w:ascii="Verdana" w:eastAsia="Calibri" w:hAnsi="Verdana" w:cs="Arial"/>
              </w:rPr>
              <w:t>asto de la entidad realice la aprobación el estado del contrato cambia a “Firmado” y quedará público para consulta de cualquier interesado.</w:t>
            </w:r>
          </w:p>
          <w:p w14:paraId="6BDDB3C9" w14:textId="77777777" w:rsidR="004876D0" w:rsidRPr="0009030A" w:rsidRDefault="004876D0" w:rsidP="00EA32A5">
            <w:pPr>
              <w:spacing w:after="120" w:line="276" w:lineRule="auto"/>
              <w:ind w:firstLine="709"/>
              <w:jc w:val="both"/>
              <w:rPr>
                <w:rFonts w:ascii="Verdana" w:eastAsia="Calibri" w:hAnsi="Verdana" w:cs="Arial"/>
                <w:lang w:val="es-ES"/>
              </w:rPr>
            </w:pPr>
            <w:r>
              <w:rPr>
                <w:rFonts w:ascii="Verdana" w:eastAsia="Calibri" w:hAnsi="Verdana" w:cs="Arial"/>
                <w:lang w:val="es-ES"/>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33472746" w14:textId="77777777" w:rsidR="004876D0" w:rsidRDefault="004876D0" w:rsidP="00EA32A5">
            <w:pPr>
              <w:spacing w:after="120" w:line="276" w:lineRule="auto"/>
              <w:ind w:firstLine="567"/>
              <w:jc w:val="both"/>
              <w:rPr>
                <w:rFonts w:ascii="Verdana" w:eastAsia="Calibri" w:hAnsi="Verdana" w:cs="Arial"/>
                <w:lang w:val="es-ES"/>
              </w:rPr>
            </w:pPr>
            <w:r w:rsidRPr="00D16B34">
              <w:rPr>
                <w:rFonts w:ascii="Verdana" w:eastAsia="Calibri" w:hAnsi="Verdana" w:cs="Arial"/>
                <w:lang w:val="es-ES"/>
              </w:rPr>
              <w:t xml:space="preserve">Bajo este contexto, </w:t>
            </w:r>
            <w:r>
              <w:rPr>
                <w:rFonts w:ascii="Verdana" w:eastAsia="Calibri" w:hAnsi="Verdana" w:cs="Arial"/>
                <w:lang w:val="es-ES"/>
              </w:rPr>
              <w:t xml:space="preserve">en atención a la consulta planteada, es pertinente señalar que debido a </w:t>
            </w:r>
            <w:r w:rsidRPr="00D16B34">
              <w:rPr>
                <w:rFonts w:ascii="Verdana" w:eastAsia="Calibri" w:hAnsi="Verdana" w:cs="Arial"/>
                <w:lang w:val="es-ES"/>
              </w:rPr>
              <w:t xml:space="preserve">que el concepto “celebrar” para efectos de las restricciones a la contratación previstas </w:t>
            </w:r>
            <w:r>
              <w:rPr>
                <w:rFonts w:ascii="Verdana" w:eastAsia="Calibri" w:hAnsi="Verdana" w:cs="Arial"/>
                <w:lang w:val="es-ES"/>
              </w:rPr>
              <w:t xml:space="preserve">en </w:t>
            </w:r>
            <w:r w:rsidRPr="00D16B34">
              <w:rPr>
                <w:rFonts w:ascii="Verdana" w:eastAsia="Calibri" w:hAnsi="Verdana" w:cs="Arial"/>
                <w:lang w:val="es-ES"/>
              </w:rPr>
              <w:t xml:space="preserve">la Ley de Garantías Electorales se asocia al momento del perfeccionamiento del contrato estatal, </w:t>
            </w:r>
            <w:r>
              <w:rPr>
                <w:rFonts w:ascii="Verdana" w:eastAsia="Calibri" w:hAnsi="Verdana" w:cs="Arial"/>
                <w:lang w:val="es-ES"/>
              </w:rPr>
              <w:t xml:space="preserve">es necesario tener en cuenta dicho </w:t>
            </w:r>
            <w:r w:rsidRPr="00D16B34">
              <w:rPr>
                <w:rFonts w:ascii="Verdana" w:eastAsia="Calibri" w:hAnsi="Verdana" w:cs="Arial"/>
                <w:lang w:val="es-ES"/>
              </w:rPr>
              <w:t xml:space="preserve">hito en los procesos adelantados a través de la plataforma SECOP II. </w:t>
            </w:r>
            <w:r>
              <w:rPr>
                <w:rFonts w:ascii="Verdana" w:eastAsia="Calibri" w:hAnsi="Verdana" w:cs="Arial"/>
                <w:lang w:val="es-ES"/>
              </w:rPr>
              <w:t>De esta forma, como se indicó, al tratarse de un</w:t>
            </w:r>
            <w:r w:rsidRPr="00D16B34">
              <w:rPr>
                <w:rFonts w:ascii="Verdana" w:eastAsia="Calibri" w:hAnsi="Verdana" w:cs="Arial"/>
                <w:lang w:val="es-ES"/>
              </w:rPr>
              <w:t xml:space="preserve"> sistema transaccional, el contrato se entiende celebrado una vez se ha surtido la </w:t>
            </w:r>
            <w:r>
              <w:rPr>
                <w:rFonts w:ascii="Verdana" w:eastAsia="Calibri" w:hAnsi="Verdana" w:cs="Arial"/>
                <w:lang w:val="es-ES"/>
              </w:rPr>
              <w:t xml:space="preserve">aprobación </w:t>
            </w:r>
            <w:r w:rsidRPr="00D16B34">
              <w:rPr>
                <w:rFonts w:ascii="Verdana" w:eastAsia="Calibri" w:hAnsi="Verdana" w:cs="Arial"/>
                <w:lang w:val="es-ES"/>
              </w:rPr>
              <w:t>y publicación por parte de la entidad estatal, momento en el cual la plataforma registra el estado de “firmado”, dejando constancia de la concurrencia de voluntades y del cumplimiento de</w:t>
            </w:r>
            <w:r>
              <w:rPr>
                <w:rFonts w:ascii="Verdana" w:eastAsia="Calibri" w:hAnsi="Verdana" w:cs="Arial"/>
                <w:lang w:val="es-ES"/>
              </w:rPr>
              <w:t>l</w:t>
            </w:r>
            <w:r w:rsidRPr="00D16B34">
              <w:rPr>
                <w:rFonts w:ascii="Verdana" w:eastAsia="Calibri" w:hAnsi="Verdana" w:cs="Arial"/>
                <w:lang w:val="es-ES"/>
              </w:rPr>
              <w:t xml:space="preserve"> requisito </w:t>
            </w:r>
            <w:r>
              <w:rPr>
                <w:rFonts w:ascii="Verdana" w:eastAsia="Calibri" w:hAnsi="Verdana" w:cs="Arial"/>
                <w:lang w:val="es-ES"/>
              </w:rPr>
              <w:t>de perfeccionamiento</w:t>
            </w:r>
            <w:r w:rsidRPr="00D16B34">
              <w:rPr>
                <w:rFonts w:ascii="Verdana" w:eastAsia="Calibri" w:hAnsi="Verdana" w:cs="Arial"/>
                <w:lang w:val="es-ES"/>
              </w:rPr>
              <w:t>.</w:t>
            </w:r>
          </w:p>
          <w:p w14:paraId="4BBA68A5" w14:textId="77777777" w:rsidR="004876D0" w:rsidRDefault="004876D0" w:rsidP="00EA32A5">
            <w:pPr>
              <w:spacing w:after="120" w:line="276" w:lineRule="auto"/>
              <w:ind w:firstLine="567"/>
              <w:jc w:val="both"/>
              <w:rPr>
                <w:rFonts w:ascii="Verdana" w:eastAsia="Calibri" w:hAnsi="Verdana" w:cs="Arial"/>
              </w:rPr>
            </w:pPr>
            <w:r w:rsidRPr="00467A2E">
              <w:rPr>
                <w:rFonts w:ascii="Verdana" w:eastAsia="Calibri" w:hAnsi="Verdana" w:cs="Arial"/>
              </w:rPr>
              <w:t xml:space="preserve">En este orden de ideas, dentro del flujo de aprobación </w:t>
            </w:r>
            <w:r>
              <w:rPr>
                <w:rFonts w:ascii="Verdana" w:eastAsia="Calibri" w:hAnsi="Verdana" w:cs="Arial"/>
              </w:rPr>
              <w:t>que la entidad haya configurado en el</w:t>
            </w:r>
            <w:r w:rsidRPr="00467A2E">
              <w:rPr>
                <w:rFonts w:ascii="Verdana" w:eastAsia="Calibri" w:hAnsi="Verdana" w:cs="Arial"/>
              </w:rPr>
              <w:t xml:space="preserve"> SECOP II, el momento en que el ordenador del gasto emite su aprobación final constituye el hito en el cual se consolida efectivamente la concurrencia de voluntades y el acuerdo contractual. Ello obedece a que, de manera previa, el proveedor ya ha otorgado su aprobación </w:t>
            </w:r>
            <w:r>
              <w:rPr>
                <w:rFonts w:ascii="Verdana" w:eastAsia="Calibri" w:hAnsi="Verdana" w:cs="Arial"/>
              </w:rPr>
              <w:lastRenderedPageBreak/>
              <w:t xml:space="preserve">al </w:t>
            </w:r>
            <w:r w:rsidRPr="00467A2E">
              <w:rPr>
                <w:rFonts w:ascii="Verdana" w:eastAsia="Calibri" w:hAnsi="Verdana" w:cs="Arial"/>
              </w:rPr>
              <w:t>contrato, manifestando su aceptación integral de las condiciones pactadas. Así, con la aprobación posterior del ordenador del gasto se perfecciona el consentimiento recíproco sobre el objeto y la contraprestación</w:t>
            </w:r>
            <w:r>
              <w:rPr>
                <w:rFonts w:ascii="Verdana" w:eastAsia="Calibri" w:hAnsi="Verdana" w:cs="Arial"/>
              </w:rPr>
              <w:t xml:space="preserve"> y</w:t>
            </w:r>
            <w:r w:rsidRPr="00467A2E">
              <w:rPr>
                <w:rFonts w:ascii="Verdana" w:eastAsia="Calibri" w:hAnsi="Verdana" w:cs="Arial"/>
              </w:rPr>
              <w:t xml:space="preserve"> queda formalmente estructurado el acuerdo.</w:t>
            </w:r>
          </w:p>
          <w:p w14:paraId="494D4EF8" w14:textId="77777777" w:rsidR="004876D0" w:rsidRPr="00F06BC6" w:rsidRDefault="004876D0" w:rsidP="00EA32A5">
            <w:pPr>
              <w:spacing w:after="120" w:line="276" w:lineRule="auto"/>
              <w:ind w:firstLine="567"/>
              <w:jc w:val="both"/>
              <w:rPr>
                <w:rFonts w:ascii="Verdana" w:eastAsia="Calibri" w:hAnsi="Verdana" w:cs="Arial"/>
              </w:rPr>
            </w:pPr>
            <w:r>
              <w:rPr>
                <w:rFonts w:ascii="Verdana" w:eastAsia="Calibri" w:hAnsi="Verdana" w:cs="Arial"/>
                <w:lang w:val="es-ES"/>
              </w:rPr>
              <w:t>Así las cosas, t</w:t>
            </w:r>
            <w:r w:rsidRPr="00D16B34">
              <w:rPr>
                <w:rFonts w:ascii="Verdana" w:eastAsia="Calibri" w:hAnsi="Verdana" w:cs="Arial"/>
                <w:lang w:val="es-ES"/>
              </w:rPr>
              <w:t xml:space="preserve">ratándose de procesos gestionados en SECOP II, las actuaciones necesarias para que el contrato adquiera el estado de “firmado” deben realizarse antes de la </w:t>
            </w:r>
            <w:proofErr w:type="gramStart"/>
            <w:r w:rsidRPr="00D16B34">
              <w:rPr>
                <w:rFonts w:ascii="Verdana" w:eastAsia="Calibri" w:hAnsi="Verdana" w:cs="Arial"/>
                <w:lang w:val="es-ES"/>
              </w:rPr>
              <w:t>entrada en vigencia</w:t>
            </w:r>
            <w:proofErr w:type="gramEnd"/>
            <w:r w:rsidRPr="00D16B34">
              <w:rPr>
                <w:rFonts w:ascii="Verdana" w:eastAsia="Calibri" w:hAnsi="Verdana" w:cs="Arial"/>
                <w:lang w:val="es-ES"/>
              </w:rPr>
              <w:t xml:space="preserve"> de las restricciones previstas en la Ley de Garantías</w:t>
            </w:r>
            <w:r>
              <w:rPr>
                <w:rFonts w:ascii="Verdana" w:eastAsia="Calibri" w:hAnsi="Verdana" w:cs="Arial"/>
                <w:lang w:val="es-ES"/>
              </w:rPr>
              <w:t xml:space="preserve"> Electorales</w:t>
            </w:r>
            <w:r w:rsidRPr="00D16B34">
              <w:rPr>
                <w:rFonts w:ascii="Verdana" w:eastAsia="Calibri" w:hAnsi="Verdana" w:cs="Arial"/>
                <w:lang w:val="es-ES"/>
              </w:rPr>
              <w:t>. De lo contrario, si el perfeccionamiento</w:t>
            </w:r>
            <w:r>
              <w:rPr>
                <w:rFonts w:ascii="Verdana" w:eastAsia="Calibri" w:hAnsi="Verdana" w:cs="Arial"/>
                <w:lang w:val="es-ES"/>
              </w:rPr>
              <w:t>, es decir, si la aprobación final por parte del ordenador del gasto y su registro como estado “firmado” en la plataforma</w:t>
            </w:r>
            <w:r w:rsidRPr="00D16B34">
              <w:rPr>
                <w:rFonts w:ascii="Verdana" w:eastAsia="Calibri" w:hAnsi="Verdana" w:cs="Arial"/>
                <w:lang w:val="es-ES"/>
              </w:rPr>
              <w:t xml:space="preserve"> se produce cuando ya se encuentra vigente la prohibición establecida en el artículo 33</w:t>
            </w:r>
            <w:r>
              <w:rPr>
                <w:rFonts w:ascii="Verdana" w:eastAsia="Calibri" w:hAnsi="Verdana" w:cs="Arial"/>
                <w:lang w:val="es-ES"/>
              </w:rPr>
              <w:t xml:space="preserve"> ibidem</w:t>
            </w:r>
            <w:r w:rsidRPr="00D16B34">
              <w:rPr>
                <w:rFonts w:ascii="Verdana" w:eastAsia="Calibri" w:hAnsi="Verdana" w:cs="Arial"/>
                <w:lang w:val="es-ES"/>
              </w:rPr>
              <w:t xml:space="preserve">, </w:t>
            </w:r>
            <w:r>
              <w:rPr>
                <w:rFonts w:ascii="Verdana" w:eastAsia="Calibri" w:hAnsi="Verdana" w:cs="Arial"/>
                <w:lang w:val="es-ES"/>
              </w:rPr>
              <w:t xml:space="preserve">se entiende </w:t>
            </w:r>
            <w:r w:rsidRPr="00D16B34">
              <w:rPr>
                <w:rFonts w:ascii="Verdana" w:eastAsia="Calibri" w:hAnsi="Verdana" w:cs="Arial"/>
                <w:lang w:val="es-ES"/>
              </w:rPr>
              <w:t>que el contrato fue celebrado en vigencia de dicha restricción, con las consecuencias jurídicas a que haya lugar, sin que resulte suficiente que etapas previas del proceso se hubieren adelantado con anterioridad.</w:t>
            </w:r>
          </w:p>
          <w:p w14:paraId="35DB4F72" w14:textId="77777777" w:rsidR="004876D0" w:rsidRDefault="004876D0" w:rsidP="00EA32A5">
            <w:pPr>
              <w:spacing w:after="120" w:line="276" w:lineRule="auto"/>
              <w:jc w:val="both"/>
              <w:rPr>
                <w:rFonts w:ascii="Verdana" w:eastAsia="Calibri" w:hAnsi="Verdana" w:cs="Arial"/>
              </w:rPr>
            </w:pPr>
            <w:proofErr w:type="spellStart"/>
            <w:r>
              <w:rPr>
                <w:rFonts w:ascii="Verdana" w:eastAsia="Times New Roman" w:hAnsi="Verdana" w:cs="Arial"/>
                <w:bCs/>
                <w:lang w:val="es-ES" w:eastAsia="es-CO"/>
              </w:rPr>
              <w:t>ii</w:t>
            </w:r>
            <w:proofErr w:type="spellEnd"/>
            <w:r>
              <w:rPr>
                <w:rFonts w:ascii="Verdana" w:eastAsia="Times New Roman" w:hAnsi="Verdana" w:cs="Arial"/>
                <w:bCs/>
                <w:lang w:val="es-ES" w:eastAsia="es-CO"/>
              </w:rPr>
              <w:t xml:space="preserve">. 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w:t>
            </w:r>
            <w:r w:rsidRPr="008D2665">
              <w:rPr>
                <w:rFonts w:ascii="Verdana" w:eastAsia="Calibri" w:hAnsi="Verdana" w:cs="Arial"/>
              </w:rPr>
              <w:t xml:space="preserve">señala como causales de nulidad del contrato estatal, las siguientes: </w:t>
            </w:r>
            <w:r>
              <w:rPr>
                <w:rFonts w:ascii="Verdana" w:eastAsia="Calibri" w:hAnsi="Verdana" w:cs="Arial"/>
              </w:rPr>
              <w:t>1.</w:t>
            </w:r>
            <w:r w:rsidRPr="008D2665">
              <w:rPr>
                <w:rFonts w:ascii="Verdana" w:eastAsia="Calibri" w:hAnsi="Verdana" w:cs="Arial"/>
              </w:rPr>
              <w:t xml:space="preserve"> </w:t>
            </w:r>
            <w:r>
              <w:rPr>
                <w:rFonts w:ascii="Verdana" w:eastAsia="Calibri" w:hAnsi="Verdana" w:cs="Arial"/>
              </w:rPr>
              <w:t>Q</w:t>
            </w:r>
            <w:r w:rsidRPr="008D2665">
              <w:rPr>
                <w:rFonts w:ascii="Verdana" w:eastAsia="Calibri" w:hAnsi="Verdana" w:cs="Arial"/>
              </w:rPr>
              <w:t>ue el contrato se celebre con personas incursas en causales de inhabilidad o incompatibilidad previstas en la Constitución y la ley</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2. Que</w:t>
            </w:r>
            <w:r w:rsidRPr="008D2665">
              <w:rPr>
                <w:rFonts w:ascii="Verdana" w:eastAsia="Calibri" w:hAnsi="Verdana" w:cs="Arial"/>
              </w:rPr>
              <w:t xml:space="preserve"> se celebre contra expresa prohibición constitucional o legal</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3.</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celebre con abuso o desviación de poder</w:t>
            </w:r>
            <w:r>
              <w:rPr>
                <w:rFonts w:ascii="Verdana" w:eastAsia="Calibri" w:hAnsi="Verdana" w:cs="Arial"/>
              </w:rPr>
              <w:t>. 4.</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declaren nulos los actos administrativos en que se fundamenten</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5. Que</w:t>
            </w:r>
            <w:r w:rsidRPr="008D2665">
              <w:rPr>
                <w:rFonts w:ascii="Verdana" w:eastAsia="Calibri" w:hAnsi="Verdana" w:cs="Arial"/>
              </w:rPr>
              <w:t xml:space="preserve"> se hubieren celebrado con desconocimiento de los criterios previstos para el tratamiento de ofertas nacionales y extranjeras o con violación de la reciprocidad</w:t>
            </w:r>
            <w:r>
              <w:rPr>
                <w:rFonts w:ascii="Verdana" w:eastAsia="Calibri" w:hAnsi="Verdana" w:cs="Arial"/>
              </w:rPr>
              <w:t>.</w:t>
            </w:r>
          </w:p>
          <w:p w14:paraId="3983899A" w14:textId="77777777" w:rsidR="004876D0" w:rsidRDefault="004876D0" w:rsidP="00EA32A5">
            <w:pPr>
              <w:spacing w:after="120" w:line="276" w:lineRule="auto"/>
              <w:ind w:firstLine="743"/>
              <w:jc w:val="both"/>
              <w:rPr>
                <w:rFonts w:ascii="Verdana" w:eastAsia="Calibri" w:hAnsi="Verdana" w:cs="Arial"/>
              </w:rPr>
            </w:pPr>
            <w:r>
              <w:rPr>
                <w:rFonts w:ascii="Verdana" w:eastAsia="Calibri" w:hAnsi="Verdana" w:cs="Arial"/>
                <w:bCs/>
              </w:rPr>
              <w:t xml:space="preserve">En concordancia con lo anterior, el artículo 45 de la Ley 80 de 1993 </w:t>
            </w:r>
            <w:r w:rsidRPr="00D53326">
              <w:rPr>
                <w:rFonts w:ascii="Verdana" w:eastAsia="Calibri" w:hAnsi="Verdana" w:cs="Arial"/>
                <w:bCs/>
              </w:rPr>
              <w:t xml:space="preserve">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las hipótesis señaladas en los numerales 1, 2 y 4 del artículo 44 de la Ley 80 de 1993, la entidad debe terminar el contrato mediante acto administrativo y ordenar su liquidación en el estado en que se encuentre. Estas situaciones se refieren a </w:t>
            </w:r>
            <w:r w:rsidRPr="00D53326">
              <w:rPr>
                <w:rFonts w:ascii="Verdana" w:eastAsia="Calibri" w:hAnsi="Verdana" w:cs="Arial"/>
                <w:bCs/>
              </w:rPr>
              <w:lastRenderedPageBreak/>
              <w:t>los casos en que</w:t>
            </w:r>
            <w:r w:rsidRPr="00D53326">
              <w:rPr>
                <w:rFonts w:ascii="Verdana" w:eastAsia="Calibri" w:hAnsi="Verdana" w:cs="Arial"/>
              </w:rPr>
              <w:t xml:space="preserve"> el contrato se celebre con personas incursas en causales de inhabilidad o incompatibilidad previstas en la Constitución y la ley, que se celebre contra expresa prohibición constitucional o legal, o que se declaren nulos los actos administrativos en que se fundamenten. </w:t>
            </w:r>
          </w:p>
          <w:p w14:paraId="0642B3D6" w14:textId="77777777" w:rsidR="004876D0" w:rsidRDefault="004876D0" w:rsidP="00EA32A5">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47F9D8E1" w14:textId="77777777" w:rsidR="004876D0" w:rsidRPr="007B2BC2" w:rsidRDefault="004876D0" w:rsidP="00EA32A5">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entendido como el momento en que se surte la aprobación final por parte del ordenador del gasto y se publica el contrato en 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57021C29" w14:textId="77777777" w:rsidR="004876D0" w:rsidRPr="00E91F51" w:rsidRDefault="004876D0" w:rsidP="00EA32A5">
            <w:pPr>
              <w:spacing w:after="120" w:line="276" w:lineRule="auto"/>
              <w:ind w:firstLine="567"/>
              <w:jc w:val="both"/>
              <w:rPr>
                <w:rFonts w:ascii="Verdana" w:eastAsia="Times New Roman" w:hAnsi="Verdana" w:cs="Arial"/>
                <w:bCs/>
                <w:lang w:val="es-ES" w:eastAsia="es-CO"/>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xml:space="preserve">. Lo anterior, sin perjuicio de las responsabilidades de tipo disciplinario, fiscal y penal que puedan generarse. </w:t>
            </w:r>
          </w:p>
        </w:tc>
      </w:tr>
    </w:tbl>
    <w:p w14:paraId="0522EAF7" w14:textId="77777777" w:rsidR="004876D0" w:rsidRPr="00C55BDE" w:rsidRDefault="004876D0" w:rsidP="004876D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79CBDC7" w14:textId="77777777" w:rsidR="004876D0" w:rsidRPr="00C55BDE" w:rsidRDefault="004876D0" w:rsidP="004876D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43295009" w14:textId="77777777" w:rsidR="004876D0" w:rsidRPr="00C55BDE" w:rsidRDefault="004876D0" w:rsidP="004876D0">
      <w:pPr>
        <w:spacing w:after="0" w:line="276" w:lineRule="auto"/>
        <w:jc w:val="both"/>
        <w:rPr>
          <w:rFonts w:ascii="Verdana" w:eastAsia="Calibri" w:hAnsi="Verdana" w:cs="Arial"/>
          <w:color w:val="000000" w:themeColor="text1"/>
          <w:lang w:val="es-ES"/>
        </w:rPr>
      </w:pPr>
    </w:p>
    <w:p w14:paraId="22F053D2" w14:textId="77777777" w:rsidR="004876D0" w:rsidRDefault="004876D0" w:rsidP="004876D0">
      <w:pPr>
        <w:spacing w:after="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78CC5E00" w14:textId="77777777" w:rsidR="004876D0" w:rsidRPr="00C55BDE" w:rsidRDefault="004876D0" w:rsidP="004876D0">
      <w:pPr>
        <w:spacing w:after="0" w:line="276" w:lineRule="auto"/>
        <w:jc w:val="both"/>
        <w:rPr>
          <w:rFonts w:ascii="Verdana" w:eastAsia="Calibri" w:hAnsi="Verdana" w:cs="Arial"/>
          <w:color w:val="000000" w:themeColor="text1"/>
          <w:lang w:val="es-ES"/>
        </w:rPr>
      </w:pPr>
    </w:p>
    <w:p w14:paraId="533F277A" w14:textId="77777777" w:rsidR="004876D0" w:rsidRDefault="004876D0" w:rsidP="004876D0">
      <w:pPr>
        <w:tabs>
          <w:tab w:val="left" w:pos="426"/>
        </w:tabs>
        <w:spacing w:after="120" w:line="276" w:lineRule="auto"/>
        <w:jc w:val="both"/>
        <w:rPr>
          <w:rFonts w:ascii="Verdana" w:eastAsia="Times New Roman" w:hAnsi="Verdana" w:cs="Arial"/>
          <w:lang w:eastAsia="es-CO"/>
        </w:rPr>
      </w:pPr>
      <w:r>
        <w:rPr>
          <w:rFonts w:ascii="Verdana" w:eastAsia="Calibri" w:hAnsi="Verdana" w:cs="Arial"/>
        </w:rPr>
        <w:t>i. El ordenamiento jurídico colombiano contempla previsiones claras para evitar la obtención de beneficios personales en asuntos propios de la administración pública</w:t>
      </w:r>
      <w:r>
        <w:rPr>
          <w:rFonts w:ascii="Verdana" w:eastAsia="Calibri" w:hAnsi="Verdana" w:cs="Arial"/>
          <w:i/>
        </w:rPr>
        <w:t xml:space="preserve">. </w:t>
      </w:r>
      <w:r>
        <w:rPr>
          <w:rFonts w:ascii="Verdana" w:eastAsia="Calibri" w:hAnsi="Verdana" w:cs="Arial"/>
        </w:rPr>
        <w:t xml:space="preserve">Por ejemplo, el artículo 127 de la Constitución Política establece una prohibición contractual a los servidores públicos y, en cuanto a aspectos </w:t>
      </w:r>
      <w:r>
        <w:rPr>
          <w:rFonts w:ascii="Verdana" w:eastAsia="Calibri" w:hAnsi="Verdana" w:cs="Arial"/>
        </w:rPr>
        <w:lastRenderedPageBreak/>
        <w:t>políticos, establece restricciones a ciertos empleados del Estado, incluso en época no electoral</w:t>
      </w:r>
      <w:r>
        <w:rPr>
          <w:rFonts w:ascii="Verdana" w:hAnsi="Verdana"/>
          <w:vertAlign w:val="superscript"/>
        </w:rPr>
        <w:footnoteReference w:id="2"/>
      </w:r>
      <w:r>
        <w:rPr>
          <w:rFonts w:ascii="Verdana" w:eastAsia="Calibri" w:hAnsi="Verdana" w:cs="Arial"/>
        </w:rPr>
        <w:t xml:space="preserve">. </w:t>
      </w:r>
    </w:p>
    <w:p w14:paraId="38DA485D" w14:textId="77777777" w:rsidR="004876D0" w:rsidRDefault="004876D0" w:rsidP="004876D0">
      <w:pPr>
        <w:tabs>
          <w:tab w:val="left" w:pos="426"/>
        </w:tabs>
        <w:spacing w:after="120" w:line="276" w:lineRule="auto"/>
        <w:ind w:firstLine="709"/>
        <w:jc w:val="both"/>
        <w:rPr>
          <w:rFonts w:ascii="Verdana" w:eastAsia="Calibri" w:hAnsi="Verdana" w:cs="Arial"/>
          <w:lang w:val="es-ES_tradnl"/>
        </w:rPr>
      </w:pPr>
      <w:r>
        <w:rPr>
          <w:rFonts w:ascii="Verdana" w:eastAsia="Times New Roman" w:hAnsi="Verdana" w:cs="Arial"/>
          <w:lang w:eastAsia="es-CO"/>
        </w:rPr>
        <w:t>En el mismo sentido</w:t>
      </w:r>
      <w:r>
        <w:rPr>
          <w:rFonts w:ascii="Verdana" w:eastAsia="Times New Roman" w:hAnsi="Verdana" w:cs="Arial"/>
          <w:lang w:val="es-MX" w:eastAsia="es-CO"/>
        </w:rPr>
        <w:t xml:space="preserve">, </w:t>
      </w:r>
      <w:bookmarkStart w:id="1" w:name="_Hlk99576829"/>
      <w:r>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Pr>
          <w:rFonts w:ascii="Verdana" w:eastAsia="Times New Roman" w:hAnsi="Verdana" w:cs="Arial"/>
          <w:vertAlign w:val="superscript"/>
          <w:lang w:val="es-MX" w:eastAsia="es-CO"/>
        </w:rPr>
        <w:footnoteReference w:id="3"/>
      </w:r>
      <w:r>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1"/>
    </w:p>
    <w:p w14:paraId="2916F7D8" w14:textId="77777777" w:rsidR="004876D0" w:rsidRDefault="004876D0" w:rsidP="004876D0">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12EEE0F" w14:textId="77777777" w:rsidR="004876D0" w:rsidRDefault="004876D0" w:rsidP="004876D0">
      <w:pPr>
        <w:spacing w:after="0" w:line="276" w:lineRule="auto"/>
        <w:ind w:right="709"/>
        <w:contextualSpacing/>
        <w:jc w:val="both"/>
        <w:rPr>
          <w:rFonts w:ascii="Verdana" w:eastAsia="Times New Roman" w:hAnsi="Verdana" w:cs="Arial"/>
          <w:lang w:val="es-ES" w:eastAsia="es-CO"/>
        </w:rPr>
      </w:pPr>
    </w:p>
    <w:p w14:paraId="306FB86D" w14:textId="77777777" w:rsidR="004876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902F48E" w14:textId="77777777" w:rsidR="004876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16CC5F4" w14:textId="77777777" w:rsidR="004876D0" w:rsidRDefault="004876D0" w:rsidP="004876D0">
      <w:pPr>
        <w:spacing w:after="0" w:line="240" w:lineRule="auto"/>
        <w:ind w:left="709" w:right="709"/>
        <w:contextualSpacing/>
        <w:jc w:val="both"/>
        <w:rPr>
          <w:rFonts w:ascii="Verdana" w:eastAsia="Times New Roman" w:hAnsi="Verdana" w:cs="Arial"/>
          <w:sz w:val="12"/>
          <w:szCs w:val="12"/>
          <w:lang w:val="es-MX" w:eastAsia="es-CO"/>
        </w:rPr>
      </w:pPr>
    </w:p>
    <w:p w14:paraId="14F2D75E" w14:textId="77777777" w:rsidR="004876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4"/>
      </w:r>
    </w:p>
    <w:p w14:paraId="433CEDB1" w14:textId="77777777" w:rsidR="004876D0" w:rsidRDefault="004876D0" w:rsidP="004876D0">
      <w:pPr>
        <w:spacing w:after="0" w:line="276" w:lineRule="auto"/>
        <w:ind w:firstLine="709"/>
        <w:jc w:val="both"/>
        <w:rPr>
          <w:rFonts w:ascii="Verdana" w:eastAsia="Times New Roman" w:hAnsi="Verdana" w:cs="Arial"/>
          <w:lang w:val="es-MX" w:eastAsia="es-CO"/>
        </w:rPr>
      </w:pPr>
      <w:bookmarkStart w:id="2" w:name="_Hlk78818186"/>
    </w:p>
    <w:p w14:paraId="13777027" w14:textId="77777777" w:rsidR="004876D0" w:rsidRDefault="004876D0" w:rsidP="004876D0">
      <w:pPr>
        <w:spacing w:after="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lastRenderedPageBreak/>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68163B44" w14:textId="77777777" w:rsidR="004876D0" w:rsidRDefault="004876D0" w:rsidP="004876D0">
      <w:pPr>
        <w:spacing w:after="0" w:line="276" w:lineRule="auto"/>
        <w:ind w:firstLine="709"/>
        <w:jc w:val="both"/>
        <w:rPr>
          <w:rFonts w:ascii="Verdana" w:eastAsia="Times New Roman" w:hAnsi="Verdana" w:cs="Arial"/>
          <w:lang w:val="es-MX" w:eastAsia="es-CO"/>
        </w:rPr>
      </w:pPr>
    </w:p>
    <w:p w14:paraId="37EC9B43" w14:textId="77777777" w:rsidR="004876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Pr>
          <w:rFonts w:ascii="Verdana" w:eastAsia="Times New Roman" w:hAnsi="Verdana" w:cs="Arial"/>
          <w:sz w:val="20"/>
          <w:szCs w:val="20"/>
          <w:lang w:val="es-MX" w:eastAsia="es-CO"/>
        </w:rPr>
        <w:t>legis</w:t>
      </w:r>
      <w:proofErr w:type="spellEnd"/>
      <w:r>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B0D20FA" w14:textId="77777777" w:rsidR="004876D0" w:rsidRDefault="004876D0" w:rsidP="004876D0">
      <w:pPr>
        <w:spacing w:after="0" w:line="240" w:lineRule="auto"/>
        <w:ind w:right="709"/>
        <w:contextualSpacing/>
        <w:jc w:val="both"/>
        <w:rPr>
          <w:rFonts w:ascii="Verdana" w:eastAsia="Times New Roman" w:hAnsi="Verdana" w:cs="Arial"/>
          <w:sz w:val="12"/>
          <w:szCs w:val="12"/>
          <w:lang w:val="es-MX" w:eastAsia="es-CO"/>
        </w:rPr>
      </w:pPr>
    </w:p>
    <w:p w14:paraId="11B6BCD0" w14:textId="77777777" w:rsidR="004876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7"/>
      </w:r>
      <w:r>
        <w:rPr>
          <w:rFonts w:ascii="Verdana" w:eastAsia="Times New Roman" w:hAnsi="Verdana" w:cs="Arial"/>
          <w:sz w:val="20"/>
          <w:szCs w:val="20"/>
          <w:lang w:val="es-MX" w:eastAsia="es-CO"/>
        </w:rPr>
        <w:t>.</w:t>
      </w:r>
    </w:p>
    <w:p w14:paraId="2A762E90" w14:textId="77777777" w:rsidR="004876D0" w:rsidRDefault="004876D0" w:rsidP="004876D0">
      <w:pPr>
        <w:spacing w:after="0" w:line="276" w:lineRule="auto"/>
        <w:jc w:val="both"/>
        <w:rPr>
          <w:rFonts w:ascii="Verdana" w:eastAsia="Calibri" w:hAnsi="Verdana" w:cs="Arial"/>
          <w:bCs/>
          <w:lang w:val="es-ES_tradnl"/>
        </w:rPr>
      </w:pPr>
    </w:p>
    <w:p w14:paraId="12E50A3B" w14:textId="77777777" w:rsidR="004876D0" w:rsidRDefault="004876D0" w:rsidP="004876D0">
      <w:pPr>
        <w:spacing w:after="0" w:line="276" w:lineRule="auto"/>
        <w:ind w:firstLine="709"/>
        <w:jc w:val="both"/>
        <w:rPr>
          <w:rFonts w:ascii="Verdana" w:eastAsia="Arial" w:hAnsi="Verdana" w:cs="Arial"/>
          <w:lang w:val="es-ES" w:eastAsia="es-ES" w:bidi="es-ES"/>
        </w:rPr>
      </w:pPr>
      <w:r>
        <w:rPr>
          <w:rFonts w:ascii="Verdana" w:eastAsia="Times New Roman" w:hAnsi="Verdana" w:cs="Arial"/>
          <w:lang w:val="es-MX" w:eastAsia="es-CO"/>
        </w:rPr>
        <w:t>De</w:t>
      </w:r>
      <w:r>
        <w:rPr>
          <w:rFonts w:ascii="Verdana" w:eastAsia="Arial" w:hAnsi="Verdana" w:cs="Arial"/>
          <w:lang w:val="es-ES" w:eastAsia="es-ES" w:bidi="es-ES"/>
        </w:rPr>
        <w:t xml:space="preserve"> conformidad con lo anterior, </w:t>
      </w:r>
      <w:bookmarkStart w:id="3" w:name="_Hlk77236098"/>
      <w:bookmarkStart w:id="4" w:name="_Hlk100679383"/>
      <w:r>
        <w:rPr>
          <w:rFonts w:ascii="Verdana" w:eastAsia="Arial" w:hAnsi="Verdana" w:cs="Arial"/>
          <w:lang w:val="es-ES" w:eastAsia="es-ES" w:bidi="es-ES"/>
        </w:rPr>
        <w:t xml:space="preserve">la Ley de Garantías Electorales estableció una serie de regulaciones y prohibiciones dirigidas a los servidores públicos. Con </w:t>
      </w:r>
      <w:r>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7C62A95" w14:textId="77777777" w:rsidR="004876D0" w:rsidRDefault="004876D0" w:rsidP="004876D0">
      <w:pPr>
        <w:spacing w:after="0" w:line="276" w:lineRule="auto"/>
        <w:ind w:firstLine="709"/>
        <w:jc w:val="both"/>
        <w:rPr>
          <w:rFonts w:ascii="Verdana" w:eastAsia="Arial" w:hAnsi="Verdana" w:cs="Arial"/>
          <w:lang w:val="es-ES" w:eastAsia="es-ES" w:bidi="es-ES"/>
        </w:rPr>
      </w:pPr>
    </w:p>
    <w:p w14:paraId="085C9C54" w14:textId="77777777" w:rsidR="004876D0" w:rsidRDefault="004876D0" w:rsidP="004876D0">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Precisado el propósito de la Ley, es pertinente señalar que, en materia de contratación estatal,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63E60247" w14:textId="77777777" w:rsidR="004876D0" w:rsidRDefault="004876D0" w:rsidP="004876D0">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8"/>
      </w:r>
      <w:r>
        <w:rPr>
          <w:rFonts w:ascii="Verdana" w:eastAsia="Calibri" w:hAnsi="Verdana" w:cs="Arial"/>
        </w:rPr>
        <w:t>.</w:t>
      </w:r>
    </w:p>
    <w:p w14:paraId="09F24DBD" w14:textId="77777777" w:rsidR="004876D0" w:rsidRDefault="004876D0" w:rsidP="004876D0">
      <w:pPr>
        <w:widowControl w:val="0"/>
        <w:autoSpaceDE w:val="0"/>
        <w:autoSpaceDN w:val="0"/>
        <w:spacing w:after="120" w:line="276" w:lineRule="auto"/>
        <w:ind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rPr>
        <w:t>”</w:t>
      </w:r>
      <w:bookmarkEnd w:id="4"/>
      <w:r>
        <w:rPr>
          <w:rFonts w:ascii="Verdana" w:eastAsia="Calibri" w:hAnsi="Verdana" w:cs="Arial"/>
          <w:vertAlign w:val="superscript"/>
        </w:rPr>
        <w:footnoteReference w:id="9"/>
      </w:r>
      <w:r>
        <w:rPr>
          <w:rFonts w:ascii="Verdana" w:eastAsia="Calibri" w:hAnsi="Verdana" w:cs="Arial"/>
          <w:lang w:val="es-MX"/>
        </w:rPr>
        <w:t>.</w:t>
      </w:r>
      <w:r>
        <w:rPr>
          <w:rFonts w:ascii="Verdana" w:eastAsia="Arial" w:hAnsi="Verdana" w:cs="Arial"/>
          <w:lang w:val="es-ES" w:eastAsia="es-ES" w:bidi="es-ES"/>
        </w:rPr>
        <w:t xml:space="preserve"> </w:t>
      </w:r>
    </w:p>
    <w:p w14:paraId="2F9D0D60" w14:textId="77777777" w:rsidR="004876D0" w:rsidRDefault="004876D0" w:rsidP="004876D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considera:</w:t>
      </w:r>
    </w:p>
    <w:p w14:paraId="3716DAD1" w14:textId="77777777" w:rsidR="004876D0" w:rsidRDefault="004876D0" w:rsidP="004876D0">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2D54D96" w14:textId="77777777" w:rsidR="004876D0" w:rsidRDefault="004876D0" w:rsidP="004876D0">
      <w:pPr>
        <w:widowControl w:val="0"/>
        <w:autoSpaceDE w:val="0"/>
        <w:autoSpaceDN w:val="0"/>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Pr>
          <w:rFonts w:ascii="Verdana" w:eastAsia="Arial" w:hAnsi="Verdana" w:cs="Arial"/>
          <w:sz w:val="20"/>
          <w:szCs w:val="20"/>
          <w:lang w:eastAsia="es-ES" w:bidi="es-ES"/>
        </w:rPr>
        <w:t>Presidente</w:t>
      </w:r>
      <w:proofErr w:type="gramEnd"/>
      <w:r>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eastAsia="es-ES" w:bidi="es-ES"/>
        </w:rPr>
        <w:footnoteReference w:id="10"/>
      </w:r>
    </w:p>
    <w:p w14:paraId="4C0E15CF" w14:textId="77777777" w:rsidR="004876D0" w:rsidRDefault="004876D0" w:rsidP="004876D0">
      <w:pPr>
        <w:widowControl w:val="0"/>
        <w:autoSpaceDE w:val="0"/>
        <w:autoSpaceDN w:val="0"/>
        <w:spacing w:line="276" w:lineRule="auto"/>
        <w:contextualSpacing/>
        <w:rPr>
          <w:rFonts w:ascii="Verdana" w:eastAsia="Arial" w:hAnsi="Verdana" w:cs="Arial"/>
          <w:lang w:val="es-ES" w:eastAsia="es-ES" w:bidi="es-ES"/>
        </w:rPr>
      </w:pPr>
    </w:p>
    <w:p w14:paraId="53678762" w14:textId="77777777" w:rsidR="004876D0" w:rsidRDefault="004876D0" w:rsidP="004876D0">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xml:space="preserve">, también se encuentra la prohibición del parágrafo del artículo 38, el cual debe aplicarse respecto de cualquier tipo de </w:t>
      </w:r>
      <w:r>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p>
    <w:p w14:paraId="45C19BA2" w14:textId="77777777" w:rsidR="004876D0" w:rsidRDefault="004876D0" w:rsidP="004876D0">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2F7C784F" w14:textId="77777777" w:rsidR="004876D0" w:rsidRDefault="004876D0" w:rsidP="004876D0">
      <w:pPr>
        <w:spacing w:after="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y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5203C19" w14:textId="77777777" w:rsidR="004876D0" w:rsidRDefault="004876D0" w:rsidP="004876D0">
      <w:pPr>
        <w:widowControl w:val="0"/>
        <w:autoSpaceDE w:val="0"/>
        <w:autoSpaceDN w:val="0"/>
        <w:spacing w:after="0" w:line="276" w:lineRule="auto"/>
        <w:jc w:val="both"/>
        <w:rPr>
          <w:rFonts w:ascii="Verdana" w:eastAsia="Arial" w:hAnsi="Verdana" w:cs="Arial"/>
          <w:lang w:val="es-ES" w:eastAsia="es-ES" w:bidi="es-ES"/>
        </w:rPr>
      </w:pPr>
    </w:p>
    <w:p w14:paraId="50AE7D46" w14:textId="77777777" w:rsidR="004876D0" w:rsidRDefault="004876D0" w:rsidP="004876D0">
      <w:pPr>
        <w:spacing w:after="120" w:line="276" w:lineRule="auto"/>
        <w:jc w:val="both"/>
        <w:rPr>
          <w:rFonts w:ascii="Verdana" w:eastAsia="Times New Roman" w:hAnsi="Verdana" w:cs="Arial"/>
          <w:bCs/>
          <w:lang w:eastAsia="es-CO"/>
        </w:rPr>
      </w:pPr>
      <w:proofErr w:type="spellStart"/>
      <w:r>
        <w:rPr>
          <w:rFonts w:ascii="Verdana" w:eastAsia="Times New Roman" w:hAnsi="Verdana" w:cs="Arial"/>
          <w:bCs/>
          <w:lang w:val="es-MX" w:eastAsia="es-CO"/>
        </w:rPr>
        <w:t>iii</w:t>
      </w:r>
      <w:proofErr w:type="spellEnd"/>
      <w:r>
        <w:rPr>
          <w:rFonts w:ascii="Verdana" w:eastAsia="Times New Roman" w:hAnsi="Verdana" w:cs="Arial"/>
          <w:bCs/>
          <w:lang w:val="es-MX" w:eastAsia="es-CO"/>
        </w:rPr>
        <w:t>. 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5108B960" w14:textId="77777777" w:rsidR="004876D0" w:rsidRDefault="004876D0" w:rsidP="004876D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Pr>
          <w:rFonts w:ascii="Verdana" w:eastAsia="Times New Roman" w:hAnsi="Verdana" w:cs="Arial"/>
          <w:bCs/>
          <w:lang w:val="es-ES" w:eastAsia="es-CO"/>
        </w:rPr>
        <w:t xml:space="preserve">la </w:t>
      </w:r>
      <w:r>
        <w:rPr>
          <w:rFonts w:ascii="Verdana" w:eastAsia="Times New Roman" w:hAnsi="Verdana" w:cs="Arial"/>
          <w:bCs/>
          <w:lang w:val="es-ES" w:eastAsia="es-CO"/>
        </w:rPr>
        <w:lastRenderedPageBreak/>
        <w:t xml:space="preserve">existencia de los contratos estatales, es decir, la producción de efectos jurídicos en los términos del artículo 1501 </w:t>
      </w:r>
      <w:r>
        <w:rPr>
          <w:rFonts w:ascii="Verdana" w:eastAsia="Times New Roman" w:hAnsi="Verdana" w:cs="Arial"/>
          <w:bCs/>
          <w:i/>
          <w:lang w:val="es-ES" w:eastAsia="es-CO"/>
        </w:rPr>
        <w:t>ibidem</w:t>
      </w:r>
      <w:r>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6BC74A3" w14:textId="77777777" w:rsidR="004876D0" w:rsidRDefault="004876D0" w:rsidP="004876D0">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6D3661D" w14:textId="77777777" w:rsidR="004876D0" w:rsidRDefault="004876D0" w:rsidP="004876D0">
      <w:pPr>
        <w:spacing w:after="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Ahora bien, </w:t>
      </w:r>
      <w:r>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w:t>
      </w:r>
      <w:proofErr w:type="gramStart"/>
      <w:r>
        <w:rPr>
          <w:rFonts w:ascii="Verdana" w:eastAsia="Times New Roman" w:hAnsi="Verdana" w:cs="Arial"/>
          <w:bCs/>
          <w:lang w:val="es-MX" w:eastAsia="es-CO"/>
        </w:rPr>
        <w:t>los mismos</w:t>
      </w:r>
      <w:proofErr w:type="gramEnd"/>
      <w:r>
        <w:rPr>
          <w:rFonts w:ascii="Verdana" w:eastAsia="Times New Roman" w:hAnsi="Verdana" w:cs="Arial"/>
          <w:bCs/>
          <w:lang w:val="es-MX" w:eastAsia="es-CO"/>
        </w:rPr>
        <w:t>, pueden tener lugar en el período de aplicación de la Ley de Garantías Electorales, sin que ello haga nugatoria la restricción de la contratación directa y siempre que cumplan los principios de planeación, transparencia y responsabilidad</w:t>
      </w:r>
      <w:r>
        <w:rPr>
          <w:rFonts w:ascii="Verdana" w:eastAsia="Times New Roman" w:hAnsi="Verdana" w:cs="Arial"/>
          <w:bCs/>
          <w:vertAlign w:val="superscript"/>
          <w:lang w:val="es-MX" w:eastAsia="es-CO"/>
        </w:rPr>
        <w:footnoteReference w:id="11"/>
      </w:r>
      <w:r>
        <w:rPr>
          <w:rFonts w:ascii="Verdana" w:eastAsia="Times New Roman" w:hAnsi="Verdana" w:cs="Arial"/>
          <w:bCs/>
          <w:lang w:val="es-MX" w:eastAsia="es-CO"/>
        </w:rPr>
        <w:t xml:space="preserve">. </w:t>
      </w:r>
    </w:p>
    <w:p w14:paraId="4701124B" w14:textId="77777777" w:rsidR="004876D0" w:rsidRPr="00B54909" w:rsidRDefault="004876D0" w:rsidP="004876D0">
      <w:pPr>
        <w:spacing w:after="0" w:line="276" w:lineRule="auto"/>
        <w:ind w:firstLine="709"/>
        <w:jc w:val="both"/>
        <w:rPr>
          <w:rFonts w:ascii="Verdana" w:eastAsia="Arial" w:hAnsi="Verdana" w:cs="Arial"/>
          <w:lang w:val="es-ES" w:eastAsia="es-ES" w:bidi="es-ES"/>
        </w:rPr>
      </w:pPr>
    </w:p>
    <w:p w14:paraId="0F27A416" w14:textId="77777777" w:rsidR="004876D0" w:rsidRPr="00B54909" w:rsidRDefault="004876D0" w:rsidP="004876D0">
      <w:pPr>
        <w:spacing w:after="0" w:line="276" w:lineRule="auto"/>
        <w:jc w:val="both"/>
        <w:rPr>
          <w:rFonts w:ascii="Verdana" w:eastAsia="Arial" w:hAnsi="Verdana" w:cs="Arial"/>
          <w:lang w:val="es-ES" w:eastAsia="es-ES" w:bidi="es-ES"/>
        </w:rPr>
      </w:pPr>
      <w:proofErr w:type="spellStart"/>
      <w:r w:rsidRPr="00B54909">
        <w:rPr>
          <w:rFonts w:ascii="Verdana" w:eastAsia="Arial" w:hAnsi="Verdana" w:cs="Arial"/>
          <w:lang w:val="es-ES" w:eastAsia="es-ES" w:bidi="es-ES"/>
        </w:rPr>
        <w:t>iv</w:t>
      </w:r>
      <w:proofErr w:type="spellEnd"/>
      <w:r w:rsidRPr="00B54909">
        <w:rPr>
          <w:rFonts w:ascii="Verdana" w:eastAsia="Arial" w:hAnsi="Verdana" w:cs="Arial"/>
          <w:lang w:val="es-ES" w:eastAsia="es-ES" w:bidi="es-ES"/>
        </w:rPr>
        <w:t>. Teniendo en cuenta el objeto de la consulta, resulta importante analizar</w:t>
      </w:r>
      <w:r>
        <w:rPr>
          <w:rFonts w:ascii="Verdana" w:eastAsia="Arial" w:hAnsi="Verdana" w:cs="Arial"/>
          <w:lang w:val="es-ES" w:eastAsia="es-ES" w:bidi="es-ES"/>
        </w:rPr>
        <w:t xml:space="preserve"> cada prohibición.</w:t>
      </w:r>
      <w:r w:rsidRPr="00B54909">
        <w:rPr>
          <w:rFonts w:ascii="Verdana" w:eastAsia="Arial" w:hAnsi="Verdana" w:cs="Arial"/>
          <w:lang w:val="es-ES" w:eastAsia="es-ES" w:bidi="es-ES"/>
        </w:rPr>
        <w:t xml:space="preserve"> </w:t>
      </w:r>
      <w:r>
        <w:rPr>
          <w:rFonts w:ascii="Verdana" w:eastAsia="Times New Roman" w:hAnsi="Verdana" w:cs="Arial"/>
          <w:bCs/>
          <w:lang w:val="es-MX" w:eastAsia="x-none"/>
        </w:rPr>
        <w:t>E</w:t>
      </w:r>
      <w:r w:rsidRPr="00B54909">
        <w:rPr>
          <w:rFonts w:ascii="Verdana" w:eastAsia="Times New Roman" w:hAnsi="Verdana" w:cs="Arial"/>
          <w:bCs/>
          <w:lang w:val="es-MX" w:eastAsia="x-none"/>
        </w:rPr>
        <w:t xml:space="preserve">l ámbito material de la prohibición contenida en el artículo 33 de la Ley 996 de 2005 está delimitado por la expresión </w:t>
      </w:r>
      <w:r w:rsidRPr="00F31AC8">
        <w:rPr>
          <w:rFonts w:ascii="Verdana" w:eastAsia="Calibri" w:hAnsi="Verdana" w:cs="Arial"/>
          <w:bCs/>
          <w:lang w:val="es-MX"/>
        </w:rPr>
        <w:t>“</w:t>
      </w:r>
      <w:r w:rsidRPr="00B54909">
        <w:rPr>
          <w:rFonts w:ascii="Verdana" w:eastAsia="Times New Roman" w:hAnsi="Verdana" w:cs="Arial"/>
          <w:bCs/>
          <w:lang w:val="es-MX" w:eastAsia="x-none"/>
        </w:rPr>
        <w:t>queda prohibida la contratación directa</w:t>
      </w:r>
      <w:r w:rsidRPr="00F31AC8">
        <w:rPr>
          <w:rFonts w:ascii="Verdana" w:eastAsia="Calibri" w:hAnsi="Verdana" w:cs="Arial"/>
          <w:lang w:val="es-MX"/>
        </w:rPr>
        <w:t>”</w:t>
      </w:r>
      <w:r w:rsidRPr="00B54909">
        <w:rPr>
          <w:rFonts w:ascii="Verdana" w:eastAsia="Times New Roman" w:hAnsi="Verdana" w:cs="Arial"/>
          <w:bCs/>
          <w:lang w:val="es-MX" w:eastAsia="x-none"/>
        </w:rPr>
        <w:t xml:space="preserve">. </w:t>
      </w:r>
      <w:r w:rsidRPr="00B54909">
        <w:rPr>
          <w:rFonts w:ascii="Verdana" w:eastAsia="Times New Roman" w:hAnsi="Verdana" w:cs="Arial"/>
          <w:lang w:val="es-MX" w:eastAsia="es-CO"/>
        </w:rPr>
        <w:t xml:space="preserve"> A propósito de </w:t>
      </w:r>
      <w:r w:rsidRPr="00B54909">
        <w:rPr>
          <w:rFonts w:ascii="Verdana" w:eastAsia="Times New Roman" w:hAnsi="Verdana" w:cs="Arial"/>
          <w:lang w:eastAsia="es-CO"/>
        </w:rPr>
        <w:t>esta restricción de la Ley de Garantías Electorales, la Sala de Consulta y Servicio Civil del Consejo de Estado ha considerado que:</w:t>
      </w:r>
    </w:p>
    <w:p w14:paraId="7ECE957D" w14:textId="77777777" w:rsidR="004876D0" w:rsidRPr="00B54909" w:rsidRDefault="004876D0" w:rsidP="004876D0">
      <w:pPr>
        <w:spacing w:after="0" w:line="276" w:lineRule="auto"/>
        <w:ind w:left="708" w:right="709"/>
        <w:jc w:val="both"/>
        <w:rPr>
          <w:rFonts w:ascii="Verdana" w:eastAsia="Calibri" w:hAnsi="Verdana" w:cs="Arial"/>
          <w:lang w:val="es-MX"/>
        </w:rPr>
      </w:pPr>
    </w:p>
    <w:p w14:paraId="5649D0C6" w14:textId="77777777" w:rsidR="004876D0" w:rsidRDefault="004876D0" w:rsidP="004876D0">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“La contratación directa es un mecanismo de selección de carácter excepcional, en virtud del cual las entidades públicas pueden contratar </w:t>
      </w:r>
      <w:r>
        <w:rPr>
          <w:rFonts w:ascii="Verdana" w:eastAsia="Calibri" w:hAnsi="Verdana" w:cs="Arial"/>
          <w:sz w:val="20"/>
          <w:szCs w:val="20"/>
          <w:lang w:val="es-MX"/>
        </w:rPr>
        <w:lastRenderedPageBreak/>
        <w:t>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2"/>
      </w:r>
      <w:r>
        <w:rPr>
          <w:rFonts w:ascii="Verdana" w:eastAsia="Calibri" w:hAnsi="Verdana" w:cs="Arial"/>
          <w:sz w:val="20"/>
          <w:szCs w:val="20"/>
          <w:lang w:val="es-MX"/>
        </w:rPr>
        <w:t>.</w:t>
      </w:r>
    </w:p>
    <w:p w14:paraId="68DB1937" w14:textId="77777777" w:rsidR="004876D0" w:rsidRDefault="004876D0" w:rsidP="004876D0">
      <w:pPr>
        <w:spacing w:after="0" w:line="240" w:lineRule="auto"/>
        <w:ind w:left="709" w:right="709"/>
        <w:jc w:val="both"/>
        <w:rPr>
          <w:rFonts w:ascii="Verdana" w:eastAsia="Calibri" w:hAnsi="Verdana" w:cs="Arial"/>
          <w:sz w:val="20"/>
          <w:szCs w:val="20"/>
          <w:lang w:val="es-MX"/>
        </w:rPr>
      </w:pPr>
    </w:p>
    <w:p w14:paraId="3863324A" w14:textId="77777777" w:rsidR="004876D0" w:rsidRDefault="004876D0" w:rsidP="004876D0">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3"/>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4"/>
      </w:r>
      <w:r>
        <w:rPr>
          <w:rFonts w:ascii="Verdana" w:eastAsia="Calibri" w:hAnsi="Verdana" w:cs="Arial"/>
          <w:sz w:val="20"/>
          <w:szCs w:val="20"/>
          <w:lang w:val="es-MX"/>
        </w:rPr>
        <w:t>.</w:t>
      </w:r>
    </w:p>
    <w:p w14:paraId="508D1C85" w14:textId="77777777" w:rsidR="004876D0" w:rsidRDefault="004876D0" w:rsidP="004876D0">
      <w:pPr>
        <w:shd w:val="clear" w:color="auto" w:fill="FFFFFF"/>
        <w:spacing w:after="0" w:line="276" w:lineRule="auto"/>
        <w:ind w:firstLine="709"/>
        <w:jc w:val="both"/>
        <w:rPr>
          <w:rFonts w:ascii="Verdana" w:eastAsia="Times New Roman" w:hAnsi="Verdana" w:cs="Arial"/>
          <w:lang w:eastAsia="x-none"/>
        </w:rPr>
      </w:pPr>
    </w:p>
    <w:p w14:paraId="508BF9C6" w14:textId="77777777" w:rsidR="004876D0" w:rsidRPr="002D6975" w:rsidRDefault="004876D0" w:rsidP="004876D0">
      <w:pPr>
        <w:spacing w:after="120" w:line="276" w:lineRule="auto"/>
        <w:ind w:firstLine="709"/>
        <w:jc w:val="both"/>
        <w:rPr>
          <w:rFonts w:ascii="Verdana" w:eastAsia="Times New Roman" w:hAnsi="Verdana" w:cs="Arial"/>
          <w:bCs/>
          <w:lang w:eastAsia="x-none"/>
        </w:rPr>
      </w:pPr>
      <w:r w:rsidRPr="002D6975">
        <w:rPr>
          <w:rFonts w:ascii="Verdana" w:eastAsia="Times New Roman" w:hAnsi="Verdana" w:cs="Arial"/>
          <w:lang w:eastAsia="x-none"/>
        </w:rPr>
        <w:t xml:space="preserve">De acuerdo con el citado concepto, la prohibición del artículo 33 de la Ley de Garantías Electorales se refiere a </w:t>
      </w:r>
      <w:r w:rsidRPr="00F31AC8">
        <w:rPr>
          <w:rFonts w:ascii="Verdana" w:eastAsia="Times New Roman" w:hAnsi="Verdana" w:cs="Arial"/>
          <w:lang w:eastAsia="en-GB"/>
        </w:rPr>
        <w:t>“</w:t>
      </w:r>
      <w:r w:rsidRPr="002D6975">
        <w:rPr>
          <w:rFonts w:ascii="Verdana" w:eastAsia="Times New Roman" w:hAnsi="Verdana" w:cs="Arial"/>
          <w:lang w:eastAsia="x-none"/>
        </w:rPr>
        <w:t>cualquier sistema que no implique convocatoria pública y posibilidad de pluralidad de oferentes</w:t>
      </w:r>
      <w:r w:rsidRPr="002D6975">
        <w:rPr>
          <w:rFonts w:ascii="Verdana" w:eastAsia="Times New Roman" w:hAnsi="Verdana" w:cs="Arial"/>
          <w:lang w:eastAsia="en-GB"/>
        </w:rPr>
        <w:t>”</w:t>
      </w:r>
      <w:r w:rsidRPr="002D6975">
        <w:rPr>
          <w:rFonts w:ascii="Verdana" w:eastAsia="Times New Roman" w:hAnsi="Verdana" w:cs="Arial"/>
          <w:lang w:eastAsia="x-none"/>
        </w:rPr>
        <w:t>, por lo que excluye las demás modalidades de contratación previstas en la Ley 1150 de 2007, es</w:t>
      </w:r>
      <w:r>
        <w:rPr>
          <w:rFonts w:ascii="Verdana" w:eastAsia="Times New Roman" w:hAnsi="Verdana" w:cs="Arial"/>
          <w:lang w:eastAsia="x-none"/>
        </w:rPr>
        <w:t>to es</w:t>
      </w:r>
      <w:r w:rsidRPr="002D6975">
        <w:rPr>
          <w:rFonts w:ascii="Verdana" w:eastAsia="Times New Roman" w:hAnsi="Verdana" w:cs="Arial"/>
          <w:lang w:eastAsia="x-none"/>
        </w:rPr>
        <w:t xml:space="preserve">, la licitación pública, la selección abreviada, el concurso de méritos </w:t>
      </w:r>
      <w:r w:rsidRPr="002D6975">
        <w:rPr>
          <w:rFonts w:ascii="Verdana" w:eastAsia="Times New Roman" w:hAnsi="Verdana" w:cs="Arial"/>
          <w:lang w:val="es-ES_tradnl" w:eastAsia="x-none"/>
        </w:rPr>
        <w:t xml:space="preserve">y la mínima cuantía </w:t>
      </w:r>
      <w:r w:rsidRPr="002D6975">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2D6975">
        <w:rPr>
          <w:rFonts w:ascii="Verdana" w:eastAsia="Times New Roman" w:hAnsi="Verdana" w:cs="Arial"/>
          <w:vertAlign w:val="superscript"/>
          <w:lang w:val="en-GB" w:eastAsia="x-none"/>
        </w:rPr>
        <w:footnoteReference w:id="15"/>
      </w:r>
      <w:r w:rsidRPr="002D6975">
        <w:rPr>
          <w:rFonts w:ascii="Verdana" w:eastAsia="Times New Roman" w:hAnsi="Verdana" w:cs="Arial"/>
          <w:lang w:eastAsia="x-none"/>
        </w:rPr>
        <w:t xml:space="preserve"> y sistematizó las causales de contratación directa</w:t>
      </w:r>
      <w:r w:rsidRPr="002D6975">
        <w:rPr>
          <w:rFonts w:ascii="Verdana" w:eastAsia="Times New Roman" w:hAnsi="Verdana" w:cs="Arial"/>
          <w:vertAlign w:val="superscript"/>
          <w:lang w:val="en-GB" w:eastAsia="x-none"/>
        </w:rPr>
        <w:footnoteReference w:id="16"/>
      </w:r>
      <w:r w:rsidRPr="002D6975">
        <w:rPr>
          <w:rFonts w:ascii="Verdana" w:eastAsia="Times New Roman" w:hAnsi="Verdana" w:cs="Arial"/>
          <w:lang w:eastAsia="x-none"/>
        </w:rPr>
        <w:t xml:space="preserve">, </w:t>
      </w:r>
      <w:r w:rsidRPr="002D6975">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24FA0A81" w14:textId="77777777" w:rsidR="004876D0" w:rsidRPr="002D6975" w:rsidRDefault="004876D0" w:rsidP="004876D0">
      <w:pPr>
        <w:spacing w:after="120" w:line="276" w:lineRule="auto"/>
        <w:ind w:firstLine="709"/>
        <w:jc w:val="both"/>
        <w:rPr>
          <w:rFonts w:ascii="Verdana" w:eastAsia="Times New Roman" w:hAnsi="Verdana" w:cs="Arial"/>
          <w:lang w:val="es-MX" w:eastAsia="x-none"/>
        </w:rPr>
      </w:pPr>
      <w:r w:rsidRPr="002D6975">
        <w:rPr>
          <w:rFonts w:ascii="Verdana" w:eastAsia="Times New Roman" w:hAnsi="Verdana" w:cs="Arial"/>
          <w:lang w:eastAsia="x-none"/>
        </w:rPr>
        <w:t xml:space="preserve">De esta forma, con fundamento en la evolución de la normativa sobre la contratación pública, se ha depurado la noción de </w:t>
      </w:r>
      <w:r w:rsidRPr="00F31AC8">
        <w:rPr>
          <w:rFonts w:ascii="Verdana" w:eastAsia="Times New Roman" w:hAnsi="Verdana" w:cs="Arial"/>
          <w:lang w:eastAsia="en-GB"/>
        </w:rPr>
        <w:t>“</w:t>
      </w:r>
      <w:r w:rsidRPr="002D6975">
        <w:rPr>
          <w:rFonts w:ascii="Verdana" w:eastAsia="Times New Roman" w:hAnsi="Verdana" w:cs="Arial"/>
          <w:lang w:eastAsia="x-none"/>
        </w:rPr>
        <w:t>contratación directa</w:t>
      </w:r>
      <w:r w:rsidRPr="002D6975">
        <w:rPr>
          <w:rFonts w:ascii="Verdana" w:eastAsia="Times New Roman" w:hAnsi="Verdana" w:cs="Arial"/>
          <w:lang w:eastAsia="en-GB"/>
        </w:rPr>
        <w:t>”</w:t>
      </w:r>
      <w:r w:rsidRPr="002D6975">
        <w:rPr>
          <w:rFonts w:ascii="Verdana" w:eastAsia="Times New Roman" w:hAnsi="Verdana" w:cs="Arial"/>
          <w:lang w:eastAsia="x-none"/>
        </w:rPr>
        <w:t xml:space="preserve">, precisando el Consejo de Estado –en el concepto citado– que, “aun cuando no </w:t>
      </w:r>
      <w:r w:rsidRPr="002D6975">
        <w:rPr>
          <w:rFonts w:ascii="Verdana" w:eastAsia="Times New Roman" w:hAnsi="Verdana" w:cs="Arial"/>
          <w:lang w:eastAsia="x-none"/>
        </w:rPr>
        <w:lastRenderedPageBreak/>
        <w:t>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D6975">
        <w:rPr>
          <w:rFonts w:ascii="Verdana" w:eastAsia="Times New Roman" w:hAnsi="Verdana" w:cs="Arial"/>
          <w:vertAlign w:val="superscript"/>
          <w:lang w:val="en-GB" w:eastAsia="x-none"/>
        </w:rPr>
        <w:footnoteReference w:id="17"/>
      </w:r>
      <w:r w:rsidRPr="002D6975">
        <w:rPr>
          <w:rFonts w:ascii="Verdana" w:eastAsia="Times New Roman" w:hAnsi="Verdana" w:cs="Arial"/>
          <w:lang w:eastAsia="x-none"/>
        </w:rPr>
        <w:t>, han establecido sistemas de contratación que implican convocatoria pública y participación de varios oferentes</w:t>
      </w:r>
      <w:r w:rsidRPr="002D6975">
        <w:rPr>
          <w:rFonts w:ascii="Verdana" w:eastAsia="Times New Roman" w:hAnsi="Verdana" w:cs="Arial"/>
          <w:lang w:eastAsia="en-GB"/>
        </w:rPr>
        <w:t>”</w:t>
      </w:r>
      <w:r w:rsidRPr="002D6975">
        <w:rPr>
          <w:rFonts w:ascii="Verdana" w:eastAsia="Times New Roman" w:hAnsi="Verdana" w:cs="Arial"/>
          <w:lang w:eastAsia="x-none"/>
        </w:rPr>
        <w:t xml:space="preserve">. </w:t>
      </w:r>
    </w:p>
    <w:p w14:paraId="2771CE15" w14:textId="77777777" w:rsidR="004876D0" w:rsidRPr="002D6975" w:rsidRDefault="004876D0" w:rsidP="004876D0">
      <w:pPr>
        <w:spacing w:after="120" w:line="276" w:lineRule="auto"/>
        <w:ind w:firstLine="709"/>
        <w:jc w:val="both"/>
        <w:rPr>
          <w:rFonts w:ascii="Verdana" w:eastAsia="Times New Roman" w:hAnsi="Verdana" w:cs="Arial"/>
          <w:bCs/>
          <w:lang w:val="es-MX" w:eastAsia="es-CO"/>
        </w:rPr>
      </w:pPr>
      <w:r w:rsidRPr="002D6975">
        <w:rPr>
          <w:rFonts w:ascii="Verdana" w:eastAsia="Times New Roman" w:hAnsi="Verdana" w:cs="Arial"/>
          <w:bCs/>
          <w:lang w:val="es-MX" w:eastAsia="x-none"/>
        </w:rPr>
        <w:t>E</w:t>
      </w:r>
      <w:r w:rsidRPr="002D6975">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D6975">
        <w:rPr>
          <w:rFonts w:ascii="Verdana" w:eastAsia="Times New Roman" w:hAnsi="Verdana" w:cs="Arial"/>
          <w:vertAlign w:val="superscript"/>
          <w:lang w:eastAsia="x-none"/>
        </w:rPr>
        <w:footnoteReference w:id="18"/>
      </w:r>
      <w:r w:rsidRPr="002D6975">
        <w:rPr>
          <w:rFonts w:ascii="Verdana" w:eastAsia="Times New Roman" w:hAnsi="Verdana" w:cs="Arial"/>
          <w:lang w:eastAsia="x-none"/>
        </w:rPr>
        <w:t xml:space="preserve">. </w:t>
      </w:r>
    </w:p>
    <w:p w14:paraId="53FBBF97" w14:textId="77777777" w:rsidR="004876D0" w:rsidRPr="002D6975" w:rsidRDefault="004876D0" w:rsidP="004876D0">
      <w:pPr>
        <w:spacing w:after="120" w:line="276" w:lineRule="auto"/>
        <w:ind w:firstLine="709"/>
        <w:jc w:val="both"/>
        <w:rPr>
          <w:rFonts w:ascii="Verdana" w:eastAsia="Times New Roman" w:hAnsi="Verdana" w:cs="Arial"/>
          <w:bCs/>
          <w:lang w:val="es-MX" w:eastAsia="es-CO"/>
        </w:rPr>
      </w:pPr>
      <w:r w:rsidRPr="002D6975">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val="es-MX" w:eastAsia="es-CO"/>
        </w:rPr>
        <w:t xml:space="preserve"> Electorales</w:t>
      </w:r>
      <w:r w:rsidRPr="002D6975">
        <w:rPr>
          <w:rFonts w:ascii="Verdana" w:eastAsia="Times New Roman" w:hAnsi="Verdana" w:cs="Arial"/>
          <w:bCs/>
          <w:lang w:val="es-MX" w:eastAsia="es-CO"/>
        </w:rPr>
        <w:t>,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BF1D407" w14:textId="77777777" w:rsidR="004876D0" w:rsidRPr="002D6975" w:rsidRDefault="004876D0" w:rsidP="004876D0">
      <w:pPr>
        <w:spacing w:after="120" w:line="276" w:lineRule="auto"/>
        <w:ind w:firstLine="709"/>
        <w:jc w:val="both"/>
        <w:rPr>
          <w:rFonts w:ascii="Verdana" w:eastAsia="Times New Roman" w:hAnsi="Verdana" w:cs="Arial"/>
          <w:bCs/>
          <w:lang w:val="es-MX" w:eastAsia="x-none"/>
        </w:rPr>
      </w:pPr>
      <w:r w:rsidRPr="002D6975">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sidRPr="002D6975">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2D6975">
        <w:rPr>
          <w:rFonts w:ascii="Verdana" w:eastAsia="Times New Roman" w:hAnsi="Verdana" w:cs="Arial"/>
          <w:vertAlign w:val="superscript"/>
          <w:lang w:eastAsia="x-none"/>
        </w:rPr>
        <w:footnoteReference w:id="19"/>
      </w:r>
      <w:r w:rsidRPr="002D6975">
        <w:rPr>
          <w:rFonts w:ascii="Verdana" w:eastAsia="Times New Roman" w:hAnsi="Verdana" w:cs="Arial"/>
          <w:bCs/>
          <w:lang w:val="es-MX" w:eastAsia="x-none"/>
        </w:rPr>
        <w:t>.</w:t>
      </w:r>
      <w:r w:rsidRPr="002D6975">
        <w:rPr>
          <w:rFonts w:ascii="Verdana" w:eastAsia="Times New Roman" w:hAnsi="Verdana" w:cs="Arial"/>
          <w:vertAlign w:val="superscript"/>
          <w:lang w:val="es-MX" w:eastAsia="x-none"/>
        </w:rPr>
        <w:t xml:space="preserve"> </w:t>
      </w:r>
    </w:p>
    <w:p w14:paraId="075FF806" w14:textId="77777777" w:rsidR="004876D0" w:rsidRPr="002D6975" w:rsidRDefault="004876D0" w:rsidP="004876D0">
      <w:pPr>
        <w:spacing w:after="120" w:line="276" w:lineRule="auto"/>
        <w:ind w:firstLine="709"/>
        <w:jc w:val="both"/>
        <w:rPr>
          <w:rFonts w:ascii="Verdana" w:eastAsia="Times New Roman" w:hAnsi="Verdana" w:cs="Arial"/>
          <w:lang w:eastAsia="x-none"/>
        </w:rPr>
      </w:pPr>
      <w:r w:rsidRPr="002D6975">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D6975">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7BAABD1" w14:textId="77777777" w:rsidR="004876D0" w:rsidRDefault="004876D0" w:rsidP="004876D0">
      <w:pPr>
        <w:spacing w:after="120" w:line="276" w:lineRule="auto"/>
        <w:ind w:firstLine="709"/>
        <w:jc w:val="both"/>
        <w:rPr>
          <w:rFonts w:ascii="Verdana" w:eastAsia="Times New Roman" w:hAnsi="Verdana" w:cs="Arial"/>
          <w:bCs/>
          <w:lang w:val="es-MX" w:eastAsia="es-CO"/>
        </w:rPr>
      </w:pPr>
      <w:r w:rsidRPr="002D6975">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2D6975">
        <w:rPr>
          <w:rFonts w:ascii="Verdana" w:eastAsia="Times New Roman" w:hAnsi="Verdana" w:cs="Arial"/>
          <w:bCs/>
          <w:lang w:val="es-MX" w:eastAsia="x-none"/>
        </w:rPr>
        <w:t>ii</w:t>
      </w:r>
      <w:proofErr w:type="spellEnd"/>
      <w:r w:rsidRPr="002D6975">
        <w:rPr>
          <w:rFonts w:ascii="Verdana" w:eastAsia="Times New Roman" w:hAnsi="Verdana" w:cs="Arial"/>
          <w:bCs/>
          <w:lang w:val="es-MX" w:eastAsia="x-none"/>
        </w:rPr>
        <w:t xml:space="preserve">) los contratos de crédito público; </w:t>
      </w:r>
      <w:proofErr w:type="spellStart"/>
      <w:r w:rsidRPr="002D6975">
        <w:rPr>
          <w:rFonts w:ascii="Verdana" w:eastAsia="Times New Roman" w:hAnsi="Verdana" w:cs="Arial"/>
          <w:bCs/>
          <w:lang w:val="es-MX" w:eastAsia="x-none"/>
        </w:rPr>
        <w:t>iii</w:t>
      </w:r>
      <w:proofErr w:type="spellEnd"/>
      <w:r w:rsidRPr="002D6975">
        <w:rPr>
          <w:rFonts w:ascii="Verdana" w:eastAsia="Times New Roman" w:hAnsi="Verdana" w:cs="Arial"/>
          <w:bCs/>
          <w:lang w:val="es-MX" w:eastAsia="x-none"/>
        </w:rPr>
        <w:t xml:space="preserve">) los requeridos para cubrir las emergencias educativas, sanitarias y desastres; </w:t>
      </w:r>
      <w:proofErr w:type="spellStart"/>
      <w:r w:rsidRPr="002D6975">
        <w:rPr>
          <w:rFonts w:ascii="Verdana" w:eastAsia="Times New Roman" w:hAnsi="Verdana" w:cs="Arial"/>
          <w:bCs/>
          <w:lang w:val="es-MX" w:eastAsia="x-none"/>
        </w:rPr>
        <w:t>iv</w:t>
      </w:r>
      <w:proofErr w:type="spellEnd"/>
      <w:r w:rsidRPr="002D6975">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D6975">
        <w:rPr>
          <w:rFonts w:ascii="Verdana" w:eastAsia="Times New Roman" w:hAnsi="Verdana" w:cs="Arial"/>
          <w:bCs/>
          <w:lang w:val="es-MX" w:eastAsia="es-CO"/>
        </w:rPr>
        <w:t xml:space="preserve"> </w:t>
      </w:r>
    </w:p>
    <w:p w14:paraId="1F5E15CB" w14:textId="77777777" w:rsidR="004876D0" w:rsidRDefault="004876D0" w:rsidP="004876D0">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es-CO"/>
        </w:rPr>
        <w:t>Conforme a dichas causales, e</w:t>
      </w:r>
      <w:r w:rsidRPr="002D6975">
        <w:rPr>
          <w:rFonts w:ascii="Verdana" w:eastAsia="Times New Roman" w:hAnsi="Verdana" w:cs="Arial"/>
          <w:bCs/>
          <w:lang w:val="es-MX" w:eastAsia="es-CO"/>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Pr>
          <w:rFonts w:ascii="Verdana" w:eastAsia="Times New Roman" w:hAnsi="Verdana" w:cs="Arial"/>
          <w:bCs/>
          <w:lang w:val="es-MX" w:eastAsia="x-none"/>
        </w:rPr>
        <w:t xml:space="preserve"> 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20"/>
      </w:r>
      <w:r>
        <w:rPr>
          <w:rFonts w:ascii="Verdana" w:eastAsia="Times New Roman" w:hAnsi="Verdana" w:cs="Arial"/>
          <w:bCs/>
          <w:lang w:val="es-MX" w:eastAsia="x-none"/>
        </w:rPr>
        <w:t xml:space="preserve">. De ahí que </w:t>
      </w:r>
      <w:r>
        <w:rPr>
          <w:rFonts w:ascii="Verdana" w:eastAsia="Times New Roman" w:hAnsi="Verdana" w:cs="Arial"/>
          <w:bCs/>
          <w:lang w:val="es-MX" w:eastAsia="x-none"/>
        </w:rPr>
        <w:lastRenderedPageBreak/>
        <w:t>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776CE4E" w14:textId="77777777" w:rsidR="004876D0" w:rsidRDefault="004876D0" w:rsidP="004876D0">
      <w:pPr>
        <w:spacing w:after="0" w:line="276" w:lineRule="auto"/>
        <w:jc w:val="both"/>
        <w:rPr>
          <w:rFonts w:ascii="Verdana" w:eastAsia="Times New Roman" w:hAnsi="Verdana" w:cs="Arial"/>
          <w:bCs/>
          <w:lang w:val="es-MX" w:eastAsia="x-none"/>
        </w:rPr>
      </w:pPr>
    </w:p>
    <w:p w14:paraId="23D58411" w14:textId="77777777" w:rsidR="004876D0" w:rsidRDefault="004876D0" w:rsidP="004876D0">
      <w:pPr>
        <w:spacing w:after="0" w:line="276" w:lineRule="auto"/>
        <w:jc w:val="both"/>
        <w:rPr>
          <w:rFonts w:ascii="Verdana" w:eastAsia="Times New Roman" w:hAnsi="Verdana" w:cs="Arial"/>
          <w:bCs/>
          <w:lang w:val="es-MX" w:eastAsia="x-none"/>
        </w:rPr>
      </w:pPr>
      <w:r>
        <w:rPr>
          <w:rFonts w:ascii="Verdana" w:eastAsia="Times New Roman" w:hAnsi="Verdana" w:cs="Arial"/>
          <w:bCs/>
          <w:lang w:val="es-MX" w:eastAsia="x-none"/>
        </w:rPr>
        <w:t>v.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Al respecto, </w:t>
      </w:r>
      <w:r>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51385239" w14:textId="77777777" w:rsidR="004876D0" w:rsidRDefault="004876D0" w:rsidP="004876D0">
      <w:pPr>
        <w:spacing w:after="0" w:line="276" w:lineRule="auto"/>
        <w:jc w:val="both"/>
        <w:rPr>
          <w:rFonts w:ascii="Verdana" w:eastAsia="Times New Roman" w:hAnsi="Verdana" w:cs="Arial"/>
          <w:bCs/>
          <w:lang w:val="es-MX" w:eastAsia="x-none"/>
        </w:rPr>
      </w:pPr>
    </w:p>
    <w:p w14:paraId="78B72A92" w14:textId="77777777" w:rsidR="004876D0" w:rsidRDefault="004876D0" w:rsidP="004876D0">
      <w:pPr>
        <w:spacing w:after="0" w:line="240" w:lineRule="auto"/>
        <w:ind w:left="709" w:right="709"/>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eastAsia="Times New Roman" w:hAnsi="Verdana" w:cs="Arial"/>
          <w:bCs/>
          <w:sz w:val="20"/>
          <w:szCs w:val="20"/>
          <w:vertAlign w:val="superscript"/>
          <w:lang w:val="es-MX" w:eastAsia="x-none"/>
        </w:rPr>
        <w:footnoteReference w:id="21"/>
      </w:r>
      <w:r>
        <w:rPr>
          <w:rFonts w:ascii="Verdana" w:eastAsia="Times New Roman" w:hAnsi="Verdana" w:cs="Arial"/>
          <w:bCs/>
          <w:sz w:val="20"/>
          <w:szCs w:val="20"/>
          <w:lang w:val="es-MX" w:eastAsia="x-none"/>
        </w:rPr>
        <w:t>.</w:t>
      </w:r>
      <w:r>
        <w:rPr>
          <w:rFonts w:ascii="Verdana" w:eastAsia="Times New Roman" w:hAnsi="Verdana" w:cs="Arial"/>
          <w:bCs/>
          <w:sz w:val="20"/>
          <w:szCs w:val="20"/>
          <w:lang w:val="es-MX" w:eastAsia="es-CO"/>
        </w:rPr>
        <w:t xml:space="preserve"> </w:t>
      </w:r>
    </w:p>
    <w:p w14:paraId="25E92963" w14:textId="77777777" w:rsidR="004876D0" w:rsidRPr="00CF5D82" w:rsidRDefault="004876D0" w:rsidP="004876D0">
      <w:pPr>
        <w:spacing w:after="0" w:line="276" w:lineRule="auto"/>
        <w:ind w:firstLine="708"/>
        <w:jc w:val="both"/>
        <w:rPr>
          <w:rFonts w:ascii="Verdana" w:eastAsia="Times New Roman" w:hAnsi="Verdana" w:cs="Arial"/>
          <w:bCs/>
          <w:lang w:val="es-MX" w:eastAsia="es-CO"/>
        </w:rPr>
      </w:pPr>
    </w:p>
    <w:p w14:paraId="7CE588A9" w14:textId="77777777" w:rsidR="004876D0" w:rsidRPr="00CF5D82" w:rsidRDefault="004876D0" w:rsidP="004876D0">
      <w:pPr>
        <w:spacing w:after="0" w:line="276" w:lineRule="auto"/>
        <w:ind w:firstLine="708"/>
        <w:jc w:val="both"/>
        <w:rPr>
          <w:rFonts w:ascii="Verdana" w:eastAsia="Calibri" w:hAnsi="Verdana" w:cs="Arial"/>
          <w:lang w:val="es-MX"/>
        </w:rPr>
      </w:pPr>
      <w:r w:rsidRPr="00CF5D82">
        <w:rPr>
          <w:rFonts w:ascii="Verdana" w:eastAsia="Times New Roman" w:hAnsi="Verdana" w:cs="Arial"/>
          <w:bCs/>
          <w:lang w:val="es-MX" w:eastAsia="x-none"/>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w:t>
      </w:r>
      <w:r w:rsidRPr="00CF5D82">
        <w:rPr>
          <w:rFonts w:ascii="Verdana" w:eastAsia="Times New Roman" w:hAnsi="Verdana" w:cs="Arial"/>
          <w:bCs/>
          <w:lang w:val="es-MX" w:eastAsia="x-none"/>
        </w:rPr>
        <w:lastRenderedPageBreak/>
        <w:t>Estado y a las Sociedades de Economía Mixta, salvo cuando la celebración de un convenio interadministrativo sea ordenada, para ambas partes, por el Legislador”</w:t>
      </w:r>
      <w:r w:rsidRPr="00F31AC8">
        <w:rPr>
          <w:rFonts w:ascii="Verdana" w:eastAsia="Calibri" w:hAnsi="Verdana" w:cs="Arial"/>
          <w:vertAlign w:val="superscript"/>
          <w:lang w:val="es-MX"/>
        </w:rPr>
        <w:footnoteReference w:id="22"/>
      </w:r>
      <w:r w:rsidRPr="00CF5D82">
        <w:rPr>
          <w:rFonts w:ascii="Verdana" w:eastAsia="Times New Roman" w:hAnsi="Verdana" w:cs="Arial"/>
          <w:bCs/>
          <w:lang w:val="es-MX" w:eastAsia="x-none"/>
        </w:rPr>
        <w:t>.</w:t>
      </w:r>
      <w:r w:rsidRPr="00CF5D82">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CB8C976" w14:textId="77777777" w:rsidR="004876D0" w:rsidRPr="00CF5D82" w:rsidRDefault="004876D0" w:rsidP="004876D0">
      <w:pPr>
        <w:spacing w:after="0" w:line="276" w:lineRule="auto"/>
        <w:jc w:val="both"/>
        <w:rPr>
          <w:rFonts w:ascii="Verdana" w:eastAsia="Calibri" w:hAnsi="Verdana" w:cs="Arial"/>
          <w:lang w:val="es-MX"/>
        </w:rPr>
      </w:pPr>
    </w:p>
    <w:p w14:paraId="28157655" w14:textId="77777777" w:rsidR="004876D0" w:rsidRPr="00CF5D82" w:rsidRDefault="004876D0" w:rsidP="004876D0">
      <w:pPr>
        <w:spacing w:after="0" w:line="240" w:lineRule="auto"/>
        <w:ind w:left="708" w:right="709"/>
        <w:jc w:val="both"/>
        <w:rPr>
          <w:rFonts w:ascii="Verdana" w:eastAsia="Calibri" w:hAnsi="Verdana" w:cs="Arial"/>
          <w:sz w:val="20"/>
          <w:szCs w:val="20"/>
          <w:lang w:val="es-MX"/>
        </w:rPr>
      </w:pPr>
      <w:r w:rsidRPr="00CF5D82">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A6952C6" w14:textId="77777777" w:rsidR="004876D0" w:rsidRPr="00F31AC8" w:rsidRDefault="004876D0" w:rsidP="004876D0">
      <w:pPr>
        <w:spacing w:after="0" w:line="240" w:lineRule="auto"/>
        <w:ind w:right="709"/>
        <w:jc w:val="both"/>
        <w:rPr>
          <w:rFonts w:ascii="Verdana" w:eastAsia="Calibri" w:hAnsi="Verdana" w:cs="Arial"/>
          <w:sz w:val="20"/>
          <w:szCs w:val="20"/>
          <w:lang w:val="es-MX"/>
        </w:rPr>
      </w:pPr>
      <w:r w:rsidRPr="00CF5D82">
        <w:rPr>
          <w:rFonts w:ascii="Verdana" w:eastAsia="Calibri" w:hAnsi="Verdana" w:cs="Arial"/>
          <w:sz w:val="20"/>
          <w:szCs w:val="20"/>
          <w:lang w:val="es-MX"/>
        </w:rPr>
        <w:tab/>
      </w:r>
    </w:p>
    <w:p w14:paraId="1599631A" w14:textId="77777777" w:rsidR="004876D0" w:rsidRPr="00CF5D82" w:rsidRDefault="004876D0" w:rsidP="004876D0">
      <w:pPr>
        <w:spacing w:after="0" w:line="240" w:lineRule="auto"/>
        <w:ind w:left="708" w:right="709"/>
        <w:jc w:val="both"/>
        <w:rPr>
          <w:rFonts w:ascii="Verdana" w:eastAsia="Calibri" w:hAnsi="Verdana" w:cs="Arial"/>
          <w:sz w:val="20"/>
          <w:szCs w:val="20"/>
          <w:lang w:val="es-MX"/>
        </w:rPr>
      </w:pPr>
      <w:r w:rsidRPr="00CF5D82">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CF5D82">
        <w:rPr>
          <w:rFonts w:ascii="Verdana" w:eastAsia="Calibri" w:hAnsi="Verdana" w:cs="Arial"/>
          <w:sz w:val="20"/>
          <w:szCs w:val="20"/>
          <w:vertAlign w:val="superscript"/>
          <w:lang w:val="es-MX"/>
        </w:rPr>
        <w:footnoteReference w:id="23"/>
      </w:r>
      <w:r w:rsidRPr="00CF5D82">
        <w:rPr>
          <w:rFonts w:ascii="Verdana" w:eastAsia="Times New Roman" w:hAnsi="Verdana" w:cs="Arial"/>
          <w:bCs/>
          <w:sz w:val="20"/>
          <w:szCs w:val="20"/>
          <w:lang w:val="es-MX" w:eastAsia="x-none"/>
        </w:rPr>
        <w:t>.</w:t>
      </w:r>
    </w:p>
    <w:p w14:paraId="387BA8DF" w14:textId="77777777" w:rsidR="004876D0" w:rsidRDefault="004876D0" w:rsidP="004876D0">
      <w:pPr>
        <w:spacing w:after="0" w:line="276" w:lineRule="auto"/>
        <w:jc w:val="both"/>
        <w:rPr>
          <w:rFonts w:ascii="Verdana" w:eastAsia="Calibri" w:hAnsi="Verdana" w:cs="Arial"/>
          <w:lang w:val="es-MX"/>
        </w:rPr>
      </w:pPr>
    </w:p>
    <w:p w14:paraId="7B0A5756" w14:textId="77777777" w:rsidR="004876D0" w:rsidRDefault="004876D0" w:rsidP="004876D0">
      <w:pPr>
        <w:spacing w:after="120" w:line="276" w:lineRule="auto"/>
        <w:ind w:firstLine="709"/>
        <w:jc w:val="both"/>
        <w:rPr>
          <w:rFonts w:ascii="Verdana" w:eastAsia="Times New Roman" w:hAnsi="Verdana" w:cs="Arial"/>
          <w:lang w:eastAsia="es-CO"/>
        </w:rPr>
      </w:pPr>
      <w:r>
        <w:rPr>
          <w:rFonts w:ascii="Verdana" w:eastAsia="Calibri" w:hAnsi="Verdana" w:cs="Arial"/>
          <w:lang w:val="es-MX"/>
        </w:rPr>
        <w:t xml:space="preserve">De acuerdo con estos pronunciamientos de la Sala de Consulta y Servicio Civil del Consejo de Estado, la prohibición de la contratación directa también </w:t>
      </w:r>
      <w:r>
        <w:rPr>
          <w:rFonts w:ascii="Verdana" w:eastAsia="Calibri" w:hAnsi="Verdana" w:cs="Arial"/>
          <w:lang w:val="es-MX"/>
        </w:rPr>
        <w:lastRenderedPageBreak/>
        <w:t xml:space="preserve">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vertAlign w:val="superscript"/>
          <w:lang w:val="es-MX"/>
        </w:rPr>
        <w:footnoteReference w:id="24"/>
      </w:r>
      <w:r>
        <w:rPr>
          <w:rFonts w:ascii="Verdana" w:eastAsia="Calibri" w:hAnsi="Verdana" w:cs="Arial"/>
          <w:lang w:val="es-MX"/>
        </w:rPr>
        <w:t>.</w:t>
      </w:r>
      <w:r>
        <w:rPr>
          <w:rFonts w:ascii="Verdana" w:eastAsia="Times New Roman" w:hAnsi="Verdana" w:cs="Arial"/>
          <w:lang w:val="es-MX" w:eastAsia="es-CO"/>
        </w:rPr>
        <w:t xml:space="preserve"> </w:t>
      </w:r>
    </w:p>
    <w:p w14:paraId="56C586C3" w14:textId="77777777" w:rsidR="004876D0" w:rsidRDefault="004876D0" w:rsidP="004876D0">
      <w:pPr>
        <w:spacing w:after="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72CFBEE1" w14:textId="77777777" w:rsidR="004876D0" w:rsidRDefault="004876D0" w:rsidP="004876D0">
      <w:pPr>
        <w:spacing w:after="0" w:line="276" w:lineRule="auto"/>
        <w:ind w:firstLine="709"/>
        <w:jc w:val="both"/>
        <w:rPr>
          <w:rFonts w:ascii="Verdana" w:eastAsia="Times New Roman" w:hAnsi="Verdana" w:cs="Arial"/>
          <w:bCs/>
          <w:lang w:val="es-MX" w:eastAsia="x-none"/>
        </w:rPr>
      </w:pPr>
    </w:p>
    <w:p w14:paraId="26DAA7FD" w14:textId="77777777" w:rsidR="004876D0" w:rsidRPr="00E16931" w:rsidRDefault="004876D0" w:rsidP="004876D0">
      <w:pPr>
        <w:spacing w:after="120" w:line="276" w:lineRule="auto"/>
        <w:jc w:val="both"/>
        <w:rPr>
          <w:rFonts w:ascii="Verdana" w:eastAsia="Times New Roman" w:hAnsi="Verdana" w:cs="Arial"/>
          <w:bCs/>
          <w:lang w:val="es-MX" w:eastAsia="x-none"/>
        </w:rPr>
      </w:pPr>
      <w:r w:rsidRPr="00E16931">
        <w:rPr>
          <w:rFonts w:ascii="Verdana" w:eastAsia="Times New Roman" w:hAnsi="Verdana" w:cs="Arial"/>
          <w:bCs/>
          <w:lang w:val="es-MX" w:eastAsia="x-none"/>
        </w:rPr>
        <w:t xml:space="preserve">vi. Ahora bien, para efectos de dar respuesta concreta al problema jurídico planteado, es pertinente precisar el momento en el cual se realiza el perfeccionamiento del contrato en el SECOP II. </w:t>
      </w:r>
      <w:r>
        <w:rPr>
          <w:rFonts w:ascii="Verdana" w:eastAsia="Times New Roman" w:hAnsi="Verdana" w:cs="Arial"/>
          <w:bCs/>
          <w:lang w:val="es-MX" w:eastAsia="x-none"/>
        </w:rPr>
        <w:t>En primer lugar</w:t>
      </w:r>
      <w:r w:rsidRPr="00E16931">
        <w:rPr>
          <w:rFonts w:ascii="Verdana" w:eastAsia="Times New Roman" w:hAnsi="Verdana" w:cs="Arial"/>
          <w:bCs/>
          <w:lang w:val="es-MX" w:eastAsia="x-none"/>
        </w:rPr>
        <w:t xml:space="preserve">, es importante destacar que </w:t>
      </w:r>
      <w:r w:rsidRPr="00E16931">
        <w:rPr>
          <w:rFonts w:ascii="Verdana" w:eastAsia="Calibri" w:hAnsi="Verdana" w:cs="Arial"/>
          <w:color w:val="000000" w:themeColor="text1"/>
        </w:rPr>
        <w:t xml:space="preserve">el SECOP II es una plataforma transaccional, que permite gestionar en línea todos los procedimientos de contratación, </w:t>
      </w:r>
      <w:r w:rsidRPr="00E16931">
        <w:rPr>
          <w:rFonts w:ascii="Verdana" w:eastAsia="Calibri" w:hAnsi="Verdana" w:cs="Arial"/>
          <w:lang w:val="es-ES"/>
        </w:rPr>
        <w:t xml:space="preserve">con cuentas y usuarios asociados a estas, para las entidades y los proveedores, y vista pública para cualquier interesado en hacer seguimiento a la contratación pública. Desde sus cuentas, las entidades crean, evalúan y adjudican procedimientos de </w:t>
      </w:r>
      <w:r w:rsidRPr="00E16931">
        <w:rPr>
          <w:rFonts w:ascii="Verdana" w:eastAsia="Calibri" w:hAnsi="Verdana" w:cs="Arial"/>
          <w:lang w:val="es-ES"/>
        </w:rPr>
        <w:lastRenderedPageBreak/>
        <w:t xml:space="preserve">contratación, y gestionan la fase de ejecución del contrato. </w:t>
      </w:r>
      <w:r>
        <w:rPr>
          <w:rFonts w:ascii="Verdana" w:eastAsia="Calibri" w:hAnsi="Verdana" w:cs="Arial"/>
          <w:lang w:val="es-ES"/>
        </w:rPr>
        <w:t>Por su parte, l</w:t>
      </w:r>
      <w:r w:rsidRPr="00E16931">
        <w:rPr>
          <w:rFonts w:ascii="Verdana" w:eastAsia="Calibri" w:hAnsi="Verdana" w:cs="Arial"/>
          <w:lang w:val="es-ES"/>
        </w:rPr>
        <w:t>os proveedores pueden hacer comentarios a los documentos del procedimiento, presentar ofertas y seguir el procedimiento de selección en línea.</w:t>
      </w:r>
    </w:p>
    <w:p w14:paraId="2D6B5E44" w14:textId="77777777" w:rsidR="004876D0" w:rsidRPr="00E16931" w:rsidRDefault="004876D0" w:rsidP="004876D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s</w:t>
      </w:r>
      <w:r>
        <w:rPr>
          <w:rFonts w:ascii="Verdana" w:eastAsia="Calibri" w:hAnsi="Verdana" w:cs="Arial"/>
          <w:lang w:val="es-ES"/>
        </w:rPr>
        <w:t>e desarrolla de manera</w:t>
      </w:r>
      <w:r w:rsidRPr="00E16931">
        <w:rPr>
          <w:rFonts w:ascii="Verdana" w:eastAsia="Calibri" w:hAnsi="Verdana" w:cs="Arial"/>
          <w:lang w:val="es-ES"/>
        </w:rPr>
        <w:t xml:space="preserve"> físic</w:t>
      </w:r>
      <w:r>
        <w:rPr>
          <w:rFonts w:ascii="Verdana" w:eastAsia="Calibri" w:hAnsi="Verdana" w:cs="Arial"/>
          <w:lang w:val="es-ES"/>
        </w:rPr>
        <w:t>a</w:t>
      </w:r>
      <w:r w:rsidRPr="00E16931">
        <w:rPr>
          <w:rFonts w:ascii="Verdana" w:eastAsia="Calibri" w:hAnsi="Verdana" w:cs="Arial"/>
          <w:lang w:val="es-ES"/>
        </w:rPr>
        <w:t>,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0B0C29E1" w14:textId="77777777" w:rsidR="004876D0" w:rsidRPr="00E16931" w:rsidRDefault="004876D0" w:rsidP="004876D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6CAF41AD" w14:textId="77777777" w:rsidR="004876D0" w:rsidRPr="00E16931" w:rsidRDefault="004876D0" w:rsidP="004876D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1A7778BF" w14:textId="77777777" w:rsidR="004876D0" w:rsidRPr="00E16931" w:rsidRDefault="004876D0" w:rsidP="004876D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El documento “Procesos de Contratación: Gestión Contractual en el SECOP II” expedido por esta entidad, detallas los pasos para aprobación del contrato </w:t>
      </w:r>
      <w:r w:rsidRPr="00E16931">
        <w:rPr>
          <w:rFonts w:ascii="Verdana" w:eastAsia="Calibri" w:hAnsi="Verdana" w:cs="Arial"/>
          <w:lang w:val="es-ES"/>
        </w:rPr>
        <w:lastRenderedPageBreak/>
        <w:t>en el SECOP II</w:t>
      </w:r>
      <w:r w:rsidRPr="00F31AC8">
        <w:rPr>
          <w:rFonts w:ascii="Verdana" w:hAnsi="Verdana"/>
          <w:vertAlign w:val="superscript"/>
          <w:lang w:val="es-ES"/>
        </w:rPr>
        <w:footnoteReference w:id="25"/>
      </w:r>
      <w:r w:rsidRPr="00E16931">
        <w:rPr>
          <w:rFonts w:ascii="Verdana" w:eastAsia="Calibri" w:hAnsi="Verdana" w:cs="Arial"/>
          <w:lang w:val="es-ES"/>
        </w:rPr>
        <w:t xml:space="preserve">. Específicamente, el literal III establece el procedimiento a seguir para aprobar o rechazar el contrato, según el cual el proveedor, </w:t>
      </w:r>
      <w:r w:rsidRPr="00E16931">
        <w:rPr>
          <w:rFonts w:ascii="Verdana" w:eastAsia="Calibri" w:hAnsi="Verdana" w:cs="Arial"/>
        </w:rPr>
        <w:t>una vez revise el contrato electrónico puede “Aprobar” o “Rechazar” el contrato. En caso de estar de acuerdo con las condiciones establecidas por la Entidad Estatal, se debe dar clic en “Aprobar contrato” y automáticamente el SECOP II guarda los cambios y el estado del contrato cambia a “Firmado y enviado a la Entidad Estatal”.</w:t>
      </w:r>
      <w:r w:rsidRPr="00E16931">
        <w:rPr>
          <w:rFonts w:ascii="Verdana" w:eastAsia="Calibri" w:hAnsi="Verdana" w:cs="Arial"/>
          <w:lang w:val="es-ES"/>
        </w:rPr>
        <w:t xml:space="preserve">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w:t>
      </w:r>
    </w:p>
    <w:p w14:paraId="745FE444" w14:textId="77777777" w:rsidR="004876D0" w:rsidRPr="00E16931" w:rsidRDefault="004876D0" w:rsidP="004876D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 </w:t>
      </w:r>
      <w:r>
        <w:rPr>
          <w:rFonts w:ascii="Verdana" w:eastAsia="Calibri" w:hAnsi="Verdana" w:cs="Arial"/>
          <w:lang w:val="es-ES"/>
        </w:rPr>
        <w:t>Ahora bien, c</w:t>
      </w:r>
      <w:r w:rsidRPr="00E16931">
        <w:rPr>
          <w:rFonts w:ascii="Verdana" w:eastAsia="Calibri" w:hAnsi="Verdana" w:cs="Arial"/>
          <w:lang w:val="es-ES"/>
        </w:rPr>
        <w:t>onforme lo señala “Guía SECOP II – Gestión Contractual Para Entidades Estatales</w:t>
      </w:r>
      <w:r w:rsidRPr="00E16931">
        <w:rPr>
          <w:rStyle w:val="Refdenotaalpie"/>
          <w:rFonts w:ascii="Verdana" w:eastAsia="Calibri" w:hAnsi="Verdana" w:cs="Arial"/>
          <w:lang w:val="es-ES"/>
        </w:rPr>
        <w:footnoteReference w:id="26"/>
      </w:r>
      <w:r w:rsidRPr="00E16931">
        <w:rPr>
          <w:rFonts w:ascii="Verdana" w:eastAsia="Calibri" w:hAnsi="Verdana" w:cs="Arial"/>
          <w:lang w:val="es-ES"/>
        </w:rPr>
        <w:t xml:space="preserve">” </w:t>
      </w:r>
      <w:r w:rsidRPr="00E16931">
        <w:rPr>
          <w:rFonts w:ascii="Verdana" w:eastAsia="Calibri" w:hAnsi="Verdana" w:cs="Arial"/>
        </w:rPr>
        <w:t xml:space="preserve">es </w:t>
      </w:r>
      <w:r>
        <w:rPr>
          <w:rFonts w:ascii="Verdana" w:eastAsia="Calibri" w:hAnsi="Verdana" w:cs="Arial"/>
        </w:rPr>
        <w:t>imprescindible</w:t>
      </w:r>
      <w:r w:rsidRPr="00E16931">
        <w:rPr>
          <w:rFonts w:ascii="Verdana" w:eastAsia="Calibri" w:hAnsi="Verdana" w:cs="Arial"/>
        </w:rPr>
        <w:t xml:space="preserve"> que previamente el usuario administrador de la Entidad Estatal haya configurado flujos de aprobación</w:t>
      </w:r>
      <w:r w:rsidRPr="00E16931">
        <w:rPr>
          <w:rStyle w:val="Refdenotaalpie"/>
          <w:rFonts w:ascii="Verdana" w:eastAsia="Calibri" w:hAnsi="Verdana" w:cs="Arial"/>
        </w:rPr>
        <w:footnoteReference w:id="27"/>
      </w:r>
      <w:r w:rsidRPr="00E16931">
        <w:rPr>
          <w:rFonts w:ascii="Verdana" w:eastAsia="Calibri" w:hAnsi="Verdana" w:cs="Arial"/>
        </w:rPr>
        <w:t xml:space="preserve"> en este hito del proceso</w:t>
      </w:r>
      <w:r>
        <w:rPr>
          <w:rFonts w:ascii="Verdana" w:eastAsia="Calibri" w:hAnsi="Verdana" w:cs="Arial"/>
        </w:rPr>
        <w:t>,</w:t>
      </w:r>
      <w:r w:rsidRPr="00E16931">
        <w:rPr>
          <w:rFonts w:ascii="Verdana" w:eastAsia="Calibri" w:hAnsi="Verdana" w:cs="Arial"/>
        </w:rPr>
        <w:t xml:space="preserve"> con el fin de que el contrato electrónico sea enviado al ordenador del gasto representante legal de la entidad para su aprobación final.</w:t>
      </w:r>
      <w:r w:rsidRPr="00E16931">
        <w:rPr>
          <w:rFonts w:ascii="Verdana" w:eastAsia="Calibri" w:hAnsi="Verdana" w:cs="Arial"/>
          <w:lang w:val="es-ES"/>
        </w:rPr>
        <w:t xml:space="preserve"> </w:t>
      </w:r>
      <w:r w:rsidRPr="00E16931">
        <w:rPr>
          <w:rFonts w:ascii="Verdana" w:eastAsia="Calibri" w:hAnsi="Verdana" w:cs="Arial"/>
        </w:rPr>
        <w:t>Una vez el ordenador del gasto de la entidad realice la aprobación el estado del contrato cambia a “Firmado” y quedará público para consulta de cualquier interesado.</w:t>
      </w:r>
    </w:p>
    <w:p w14:paraId="1DC4FD57" w14:textId="77777777" w:rsidR="004876D0" w:rsidRPr="00E16931" w:rsidRDefault="004876D0" w:rsidP="004876D0">
      <w:pPr>
        <w:spacing w:after="120" w:line="276" w:lineRule="auto"/>
        <w:ind w:firstLine="567"/>
        <w:jc w:val="both"/>
        <w:rPr>
          <w:rFonts w:ascii="Verdana" w:eastAsia="Calibri" w:hAnsi="Verdana" w:cs="Arial"/>
          <w:lang w:val="es-ES"/>
        </w:rPr>
      </w:pPr>
      <w:r w:rsidRPr="00E16931">
        <w:rPr>
          <w:rFonts w:ascii="Verdana" w:hAnsi="Verdana"/>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2937B72B" w14:textId="77777777" w:rsidR="004876D0" w:rsidRPr="00E16931" w:rsidRDefault="004876D0" w:rsidP="004876D0">
      <w:pPr>
        <w:spacing w:after="120" w:line="276" w:lineRule="auto"/>
        <w:ind w:firstLine="709"/>
        <w:jc w:val="both"/>
        <w:rPr>
          <w:rFonts w:ascii="Verdana" w:eastAsia="Calibri" w:hAnsi="Verdana" w:cs="Arial"/>
          <w:lang w:val="es-ES"/>
        </w:rPr>
      </w:pPr>
      <w:r w:rsidRPr="00E16931">
        <w:rPr>
          <w:rFonts w:ascii="Verdana" w:eastAsia="Calibri" w:hAnsi="Verdana" w:cs="Arial"/>
          <w:lang w:val="es-ES"/>
        </w:rPr>
        <w:t>Así las cosas, cuando el proceso de contratación se adelanta por el SECOP II</w:t>
      </w:r>
      <w:r>
        <w:rPr>
          <w:rFonts w:ascii="Verdana" w:eastAsia="Calibri" w:hAnsi="Verdana" w:cs="Arial"/>
          <w:lang w:val="es-ES"/>
        </w:rPr>
        <w:t>,</w:t>
      </w:r>
      <w:r w:rsidRPr="00E16931">
        <w:rPr>
          <w:rFonts w:ascii="Verdana" w:eastAsia="Calibri" w:hAnsi="Verdana" w:cs="Arial"/>
          <w:lang w:val="es-ES"/>
        </w:rPr>
        <w:t xml:space="preserve"> la aprobación del contrato para su perfeccionamiento y posterior ejecución deberá efectuarse en dicha plataforma de conformidad con el procedimiento </w:t>
      </w:r>
      <w:r w:rsidRPr="00E16931">
        <w:rPr>
          <w:rFonts w:ascii="Verdana" w:eastAsia="Calibri" w:hAnsi="Verdana" w:cs="Arial"/>
          <w:lang w:val="es-ES"/>
        </w:rPr>
        <w:lastRenderedPageBreak/>
        <w:t xml:space="preserve">descrito. En todo caso, hasta que no se efectué la aprobación en el SECOP II por parte del ordenador del gasto de la Entidad no se entiende perfeccionado el contrato. </w:t>
      </w:r>
    </w:p>
    <w:p w14:paraId="597AA7D0" w14:textId="77777777" w:rsidR="004876D0" w:rsidRPr="00E16931" w:rsidRDefault="004876D0" w:rsidP="004876D0">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Bajo este contexto, en atención a la consulta planteada, es pertinente señalar que debido a que el concepto de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5184C36F" w14:textId="77777777" w:rsidR="004876D0" w:rsidRPr="00E16931" w:rsidRDefault="004876D0" w:rsidP="004876D0">
      <w:pPr>
        <w:spacing w:after="120" w:line="276" w:lineRule="auto"/>
        <w:ind w:firstLine="567"/>
        <w:jc w:val="both"/>
        <w:rPr>
          <w:rFonts w:ascii="Verdana" w:eastAsia="Calibri" w:hAnsi="Verdana" w:cs="Arial"/>
        </w:rPr>
      </w:pPr>
      <w:r w:rsidRPr="00E16931">
        <w:rPr>
          <w:rFonts w:ascii="Verdana" w:eastAsia="Calibri" w:hAnsi="Verdana" w:cs="Arial"/>
        </w:rPr>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6D4A503D" w14:textId="77777777" w:rsidR="004876D0" w:rsidRPr="00E16931" w:rsidRDefault="004876D0" w:rsidP="004876D0">
      <w:pPr>
        <w:spacing w:after="120" w:line="276" w:lineRule="auto"/>
        <w:ind w:firstLine="567"/>
        <w:jc w:val="both"/>
        <w:rPr>
          <w:rFonts w:ascii="Verdana" w:eastAsia="Calibri" w:hAnsi="Verdana" w:cs="Arial"/>
        </w:rPr>
      </w:pPr>
      <w:r w:rsidRPr="00E16931">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56F528F9" w14:textId="77777777" w:rsidR="004876D0" w:rsidRDefault="004876D0" w:rsidP="004876D0">
      <w:pPr>
        <w:spacing w:after="0" w:line="276" w:lineRule="auto"/>
        <w:ind w:firstLine="567"/>
        <w:jc w:val="both"/>
        <w:rPr>
          <w:rFonts w:ascii="Verdana" w:eastAsia="Times New Roman" w:hAnsi="Verdana" w:cs="Arial"/>
          <w:bCs/>
          <w:lang w:val="es-ES" w:eastAsia="es-CO"/>
        </w:rPr>
      </w:pPr>
      <w:r w:rsidRPr="00E16931">
        <w:rPr>
          <w:rFonts w:ascii="Verdana" w:eastAsia="Calibri" w:hAnsi="Verdana" w:cs="Arial"/>
          <w:lang w:val="es-ES"/>
        </w:rPr>
        <w:t xml:space="preserve">En consecuencia, tratándose de procesos gestionados en SECOP II, las actuaciones necesarias para que el contrato adquiera el estado de “firmado” deben realizarse antes de la </w:t>
      </w:r>
      <w:proofErr w:type="gramStart"/>
      <w:r w:rsidRPr="00E16931">
        <w:rPr>
          <w:rFonts w:ascii="Verdana" w:eastAsia="Calibri" w:hAnsi="Verdana" w:cs="Arial"/>
          <w:lang w:val="es-ES"/>
        </w:rPr>
        <w:t>entrada en vigencia</w:t>
      </w:r>
      <w:proofErr w:type="gramEnd"/>
      <w:r w:rsidRPr="00E16931">
        <w:rPr>
          <w:rFonts w:ascii="Verdana" w:eastAsia="Calibri" w:hAnsi="Verdana" w:cs="Arial"/>
          <w:lang w:val="es-ES"/>
        </w:rPr>
        <w:t xml:space="preserve"> de las restricciones previstas </w:t>
      </w:r>
      <w:r w:rsidRPr="00E16931">
        <w:rPr>
          <w:rFonts w:ascii="Verdana" w:eastAsia="Calibri" w:hAnsi="Verdana" w:cs="Arial"/>
          <w:lang w:val="es-ES"/>
        </w:rPr>
        <w:lastRenderedPageBreak/>
        <w:t xml:space="preserve">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w:t>
      </w:r>
      <w:r w:rsidRPr="00F31AC8">
        <w:rPr>
          <w:rFonts w:ascii="Verdana" w:eastAsia="Calibri" w:hAnsi="Verdana" w:cs="Arial"/>
          <w:i/>
          <w:iCs/>
          <w:lang w:val="es-ES"/>
        </w:rPr>
        <w:t>ibidem</w:t>
      </w:r>
      <w:r w:rsidRPr="00E16931">
        <w:rPr>
          <w:rFonts w:ascii="Verdana" w:eastAsia="Calibri" w:hAnsi="Verdana" w:cs="Arial"/>
          <w:lang w:val="es-ES"/>
        </w:rPr>
        <w:t>, se entiende que el contrato fue celebrado en vigencia de dicha restricción, con las consecuencias jurídicas a que haya lugar, sin que resulte suficiente que etapas previas del proceso se hubieren adelantado con anterioridad</w:t>
      </w:r>
      <w:r>
        <w:rPr>
          <w:rFonts w:ascii="Verdana" w:eastAsia="Calibri" w:hAnsi="Verdana" w:cs="Arial"/>
          <w:lang w:val="es-ES"/>
        </w:rPr>
        <w:t xml:space="preserve"> o que se hayan aprobado los demás flujos de aprobación configurados por la Entidad Estatal, previos al del ordenador del gasto</w:t>
      </w:r>
      <w:r w:rsidRPr="00E16931">
        <w:rPr>
          <w:rFonts w:ascii="Verdana" w:eastAsia="Calibri" w:hAnsi="Verdana" w:cs="Arial"/>
          <w:lang w:val="es-ES"/>
        </w:rPr>
        <w:t>.</w:t>
      </w:r>
      <w:r>
        <w:rPr>
          <w:rFonts w:ascii="Verdana" w:eastAsia="Times New Roman" w:hAnsi="Verdana" w:cs="Arial"/>
          <w:bCs/>
          <w:lang w:val="es-ES" w:eastAsia="es-CO"/>
        </w:rPr>
        <w:t xml:space="preserve"> </w:t>
      </w:r>
      <w:r w:rsidRPr="00E16931">
        <w:rPr>
          <w:rFonts w:ascii="Verdana" w:eastAsia="Times New Roman" w:hAnsi="Verdana" w:cs="Arial"/>
          <w:bCs/>
          <w:lang w:val="es-ES" w:eastAsia="es-CO"/>
        </w:rPr>
        <w:t xml:space="preserve">En este último evento, la entidad deberá revisar la validez del contrato y analizar una posible configuración de nulidad a la luz de lo dispuesto en el artículo 44 de la Ley 80 de 1993. </w:t>
      </w:r>
    </w:p>
    <w:p w14:paraId="1631B931" w14:textId="77777777" w:rsidR="004876D0" w:rsidRDefault="004876D0" w:rsidP="004876D0">
      <w:pPr>
        <w:spacing w:after="0" w:line="276" w:lineRule="auto"/>
        <w:jc w:val="both"/>
        <w:rPr>
          <w:rFonts w:ascii="Verdana" w:eastAsia="Times New Roman" w:hAnsi="Verdana" w:cs="Arial"/>
          <w:bCs/>
          <w:lang w:val="es-ES" w:eastAsia="es-CO"/>
        </w:rPr>
      </w:pPr>
    </w:p>
    <w:p w14:paraId="0C9A5363" w14:textId="77777777" w:rsidR="004876D0" w:rsidRPr="00E16931" w:rsidRDefault="004876D0" w:rsidP="004876D0">
      <w:pPr>
        <w:spacing w:after="120" w:line="276" w:lineRule="auto"/>
        <w:jc w:val="both"/>
        <w:rPr>
          <w:rFonts w:ascii="Verdana" w:eastAsia="Calibri" w:hAnsi="Verdana" w:cs="Arial"/>
        </w:rPr>
      </w:pPr>
      <w:proofErr w:type="spellStart"/>
      <w:r>
        <w:rPr>
          <w:rFonts w:ascii="Verdana" w:eastAsia="Times New Roman" w:hAnsi="Verdana" w:cs="Arial"/>
          <w:bCs/>
          <w:lang w:val="es-ES" w:eastAsia="es-CO"/>
        </w:rPr>
        <w:t>vii</w:t>
      </w:r>
      <w:proofErr w:type="spellEnd"/>
      <w:r>
        <w:rPr>
          <w:rFonts w:ascii="Verdana" w:eastAsia="Times New Roman" w:hAnsi="Verdana" w:cs="Arial"/>
          <w:bCs/>
          <w:lang w:val="es-ES" w:eastAsia="es-CO"/>
        </w:rPr>
        <w:t xml:space="preserve">. </w:t>
      </w:r>
      <w:r w:rsidRPr="00E16931">
        <w:rPr>
          <w:rFonts w:ascii="Verdana" w:eastAsia="Times New Roman" w:hAnsi="Verdana" w:cs="Arial"/>
          <w:bCs/>
          <w:lang w:val="es-ES" w:eastAsia="es-CO"/>
        </w:rPr>
        <w:t xml:space="preserve">Sobre el régimen de nulidad, la norma en cita </w:t>
      </w:r>
      <w:r w:rsidRPr="00E16931">
        <w:rPr>
          <w:rFonts w:ascii="Verdana" w:eastAsia="Calibri" w:hAnsi="Verdana" w:cs="Arial"/>
        </w:rPr>
        <w:t>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actos administrativos en que se fundamenten. 5. se hubieren celebrado con desconocimiento de los criterios previstos para el tratamiento de ofertas nacionales y extranjeras o con violación de la reciprocidad</w:t>
      </w:r>
      <w:r w:rsidRPr="00E16931">
        <w:rPr>
          <w:rFonts w:ascii="Verdana" w:eastAsia="Arial" w:hAnsi="Verdana" w:cs="Arial"/>
          <w:vertAlign w:val="superscript"/>
          <w:lang w:val="es-ES"/>
        </w:rPr>
        <w:footnoteReference w:id="28"/>
      </w:r>
      <w:r w:rsidRPr="00E16931">
        <w:rPr>
          <w:rFonts w:ascii="Verdana" w:eastAsia="Calibri" w:hAnsi="Verdana" w:cs="Arial"/>
        </w:rPr>
        <w:t>.</w:t>
      </w:r>
    </w:p>
    <w:p w14:paraId="177DB47D" w14:textId="77777777" w:rsidR="004876D0" w:rsidRDefault="004876D0" w:rsidP="004876D0">
      <w:pPr>
        <w:spacing w:after="0" w:line="276" w:lineRule="auto"/>
        <w:ind w:firstLine="709"/>
        <w:jc w:val="both"/>
        <w:rPr>
          <w:rFonts w:ascii="Verdana" w:eastAsia="Calibri" w:hAnsi="Verdana" w:cs="Times New Roman"/>
          <w:bCs/>
        </w:rPr>
      </w:pPr>
      <w:r>
        <w:rPr>
          <w:rFonts w:ascii="Verdana" w:eastAsia="Calibri" w:hAnsi="Verdana" w:cs="Times New Roman"/>
          <w:bCs/>
        </w:rPr>
        <w:t>En concordancia con lo anterior, el artículo 45 de la Ley 80 de 1993 prescribe:</w:t>
      </w:r>
    </w:p>
    <w:p w14:paraId="4C81E9BD" w14:textId="77777777" w:rsidR="004876D0" w:rsidRPr="00A72235" w:rsidRDefault="004876D0" w:rsidP="004876D0">
      <w:pPr>
        <w:spacing w:after="0" w:line="276" w:lineRule="auto"/>
        <w:ind w:firstLine="709"/>
        <w:jc w:val="both"/>
        <w:rPr>
          <w:rFonts w:ascii="Verdana" w:eastAsia="Calibri" w:hAnsi="Verdana" w:cs="Times New Roman"/>
          <w:bCs/>
        </w:rPr>
      </w:pPr>
    </w:p>
    <w:p w14:paraId="2EF0D8B2" w14:textId="77777777" w:rsidR="004876D0" w:rsidRDefault="004876D0" w:rsidP="004876D0">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68B5E0C1" w14:textId="77777777" w:rsidR="004876D0" w:rsidRPr="002E1F8D" w:rsidRDefault="004876D0" w:rsidP="004876D0">
      <w:pPr>
        <w:spacing w:after="0" w:line="240" w:lineRule="auto"/>
        <w:ind w:left="709" w:right="709"/>
        <w:jc w:val="both"/>
        <w:rPr>
          <w:rFonts w:ascii="Verdana" w:eastAsia="Calibri" w:hAnsi="Verdana" w:cs="Times New Roman"/>
          <w:sz w:val="20"/>
          <w:szCs w:val="20"/>
        </w:rPr>
      </w:pPr>
    </w:p>
    <w:p w14:paraId="247C3FE1" w14:textId="77777777" w:rsidR="004876D0" w:rsidRPr="002E1F8D" w:rsidRDefault="004876D0" w:rsidP="004876D0">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 xml:space="preserve">En los casos previstos en los numerales 1o., 2o. y 4o. del artículo anterior, el jefe o representante legal de la entidad respectiva deberá dar por </w:t>
      </w:r>
      <w:r w:rsidRPr="6746F96C">
        <w:rPr>
          <w:rFonts w:ascii="Verdana" w:eastAsia="Calibri" w:hAnsi="Verdana" w:cs="Times New Roman"/>
          <w:sz w:val="20"/>
          <w:szCs w:val="20"/>
        </w:rPr>
        <w:lastRenderedPageBreak/>
        <w:t>terminado el contrato mediante acto administrativo</w:t>
      </w:r>
      <w:r>
        <w:rPr>
          <w:rFonts w:ascii="Verdana" w:eastAsia="Calibri" w:hAnsi="Verdana" w:cs="Times New Roman"/>
          <w:sz w:val="20"/>
          <w:szCs w:val="20"/>
        </w:rPr>
        <w:t xml:space="preserve"> </w:t>
      </w:r>
      <w:r w:rsidRPr="6746F96C">
        <w:rPr>
          <w:rFonts w:ascii="Verdana" w:eastAsia="Calibri" w:hAnsi="Verdana" w:cs="Times New Roman"/>
          <w:sz w:val="20"/>
          <w:szCs w:val="20"/>
        </w:rPr>
        <w:t>debidamente motivado y ordenará su liquidación en el estado en que se encuentre”. </w:t>
      </w:r>
    </w:p>
    <w:p w14:paraId="4DAB6691" w14:textId="77777777" w:rsidR="004876D0" w:rsidRDefault="004876D0" w:rsidP="004876D0">
      <w:pPr>
        <w:spacing w:after="0" w:line="276" w:lineRule="auto"/>
        <w:jc w:val="both"/>
        <w:rPr>
          <w:rFonts w:ascii="Verdana" w:eastAsia="Calibri" w:hAnsi="Verdana" w:cs="Times New Roman"/>
          <w:bCs/>
        </w:rPr>
      </w:pPr>
    </w:p>
    <w:p w14:paraId="438A9B9F" w14:textId="77777777" w:rsidR="004876D0" w:rsidRDefault="004876D0" w:rsidP="004876D0">
      <w:pPr>
        <w:spacing w:after="120" w:line="276" w:lineRule="auto"/>
        <w:jc w:val="both"/>
        <w:rPr>
          <w:rFonts w:ascii="Verdana" w:eastAsia="Calibri" w:hAnsi="Verdana" w:cs="Arial"/>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8D2665">
        <w:rPr>
          <w:rFonts w:ascii="Verdana" w:eastAsia="Calibri" w:hAnsi="Verdana" w:cs="Arial"/>
        </w:rPr>
        <w:t xml:space="preserve"> el contrato se celebre con personas incursas en causales de inhabilidad o incompatibilidad previstas en la Constitución y la ley</w:t>
      </w:r>
      <w:r>
        <w:rPr>
          <w:rFonts w:ascii="Verdana" w:eastAsia="Calibri" w:hAnsi="Verdana" w:cs="Arial"/>
        </w:rPr>
        <w:t xml:space="preserve">, </w:t>
      </w:r>
      <w:r w:rsidRPr="00F31AC8">
        <w:rPr>
          <w:rFonts w:ascii="Verdana" w:eastAsia="Calibri" w:hAnsi="Verdana" w:cs="Arial"/>
          <w:i/>
          <w:iCs/>
        </w:rPr>
        <w:t>que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w:t>
      </w:r>
    </w:p>
    <w:p w14:paraId="3780FF86" w14:textId="77777777" w:rsidR="004876D0" w:rsidRDefault="004876D0" w:rsidP="004876D0">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6AD78C92" w14:textId="77777777" w:rsidR="004876D0" w:rsidRPr="0075226F" w:rsidRDefault="004876D0" w:rsidP="004876D0">
      <w:pPr>
        <w:spacing w:after="120" w:line="276" w:lineRule="auto"/>
        <w:ind w:firstLine="567"/>
        <w:jc w:val="both"/>
        <w:rPr>
          <w:rFonts w:ascii="Verdana" w:eastAsia="Calibri" w:hAnsi="Verdana" w:cs="Arial"/>
          <w:lang w:val="es-ES"/>
        </w:rPr>
      </w:pPr>
      <w:r>
        <w:rPr>
          <w:rFonts w:ascii="Verdana" w:eastAsia="Calibri" w:hAnsi="Verdana" w:cs="Arial"/>
        </w:rPr>
        <w:t xml:space="preserve">Sobre </w:t>
      </w:r>
      <w:r w:rsidRPr="0091487B">
        <w:rPr>
          <w:rFonts w:ascii="Verdana" w:eastAsia="Calibri" w:hAnsi="Verdana" w:cs="Arial"/>
        </w:rPr>
        <w:t>el alcance de la causal de nulidad contenida en el numeral 2 del artículo 44 de la Ley 80 de 1993,</w:t>
      </w:r>
      <w:r>
        <w:rPr>
          <w:rFonts w:ascii="Verdana" w:eastAsia="Calibri" w:hAnsi="Verdana" w:cs="Arial"/>
        </w:rPr>
        <w:t xml:space="preserve"> el Consejo de Estado ha señalado que “</w:t>
      </w:r>
      <w:r w:rsidRPr="0075226F">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Pr>
          <w:rStyle w:val="Refdenotaalpie"/>
          <w:rFonts w:ascii="Verdana" w:eastAsia="Calibri" w:hAnsi="Verdana" w:cs="Arial"/>
          <w:bCs/>
          <w:iCs/>
        </w:rPr>
        <w:footnoteReference w:id="29"/>
      </w:r>
      <w:r>
        <w:rPr>
          <w:rFonts w:ascii="Verdana" w:eastAsia="Calibri" w:hAnsi="Verdana" w:cs="Arial"/>
          <w:bCs/>
          <w:iCs/>
        </w:rPr>
        <w:t>”</w:t>
      </w:r>
      <w:r w:rsidRPr="0075226F">
        <w:rPr>
          <w:rFonts w:ascii="Verdana" w:eastAsia="Calibri" w:hAnsi="Verdana" w:cs="Arial"/>
          <w:bCs/>
          <w:iCs/>
        </w:rPr>
        <w:t xml:space="preserve">. </w:t>
      </w:r>
      <w:r>
        <w:rPr>
          <w:rFonts w:ascii="Verdana" w:eastAsia="Calibri" w:hAnsi="Verdana" w:cs="Arial"/>
          <w:bCs/>
          <w:iCs/>
        </w:rPr>
        <w:t xml:space="preserve">Tal es el caso de los </w:t>
      </w:r>
      <w:r>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6A38B586" w14:textId="77777777" w:rsidR="004876D0" w:rsidRPr="007B2BC2" w:rsidRDefault="004876D0" w:rsidP="004876D0">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lastRenderedPageBreak/>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entendido como el momento en que se surte la aprobación final por parte del ordenador del gasto y se publica el contrato en 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1C98B285" w14:textId="77777777" w:rsidR="004876D0" w:rsidRDefault="004876D0" w:rsidP="004876D0">
      <w:pPr>
        <w:spacing w:after="120" w:line="276" w:lineRule="auto"/>
        <w:ind w:firstLine="567"/>
        <w:jc w:val="both"/>
        <w:rPr>
          <w:rFonts w:ascii="Verdana" w:eastAsia="Times New Roman" w:hAnsi="Verdana" w:cs="Arial"/>
          <w:bCs/>
          <w:lang w:val="es-ES" w:eastAsia="es-CO"/>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xml:space="preserve">. Lo anterior, sin perjuicio de las responsabilidades de tipo disciplinario, fiscal y penal que puedan generarse. </w:t>
      </w:r>
    </w:p>
    <w:p w14:paraId="29054DD1" w14:textId="77777777" w:rsidR="004876D0" w:rsidRDefault="004876D0" w:rsidP="004876D0">
      <w:pPr>
        <w:spacing w:after="0" w:line="276" w:lineRule="auto"/>
        <w:ind w:firstLine="567"/>
        <w:jc w:val="both"/>
        <w:rPr>
          <w:rFonts w:ascii="Verdana" w:eastAsia="Times New Roman" w:hAnsi="Verdana" w:cs="Arial"/>
          <w:bCs/>
          <w:lang w:eastAsia="x-none"/>
        </w:rPr>
      </w:pPr>
      <w:r>
        <w:rPr>
          <w:rFonts w:ascii="Verdana" w:eastAsia="Times New Roman" w:hAnsi="Verdana" w:cs="Arial"/>
          <w:bCs/>
          <w:lang w:val="es-MX" w:eastAsia="x-none"/>
        </w:rPr>
        <w:t xml:space="preserve">Finalmente, </w:t>
      </w:r>
      <w:r w:rsidRPr="00F85BDC">
        <w:rPr>
          <w:rFonts w:ascii="Verdana" w:eastAsia="Times New Roman" w:hAnsi="Verdana" w:cs="Arial"/>
          <w:bCs/>
          <w:lang w:eastAsia="x-none"/>
        </w:rPr>
        <w:t xml:space="preserve">resulta pertinente </w:t>
      </w:r>
      <w:r>
        <w:rPr>
          <w:rFonts w:ascii="Verdana" w:eastAsia="Times New Roman" w:hAnsi="Verdana" w:cs="Arial"/>
          <w:bCs/>
          <w:lang w:eastAsia="x-none"/>
        </w:rPr>
        <w:t>enfatizar</w:t>
      </w:r>
      <w:r w:rsidRPr="00F85BDC">
        <w:rPr>
          <w:rFonts w:ascii="Verdana" w:eastAsia="Times New Roman" w:hAnsi="Verdana" w:cs="Arial"/>
          <w:bCs/>
          <w:lang w:eastAsia="x-none"/>
        </w:rPr>
        <w:t xml:space="preserve"> en el deber de planeación que asiste a las Entidades Estatales, el cual impone la obligación de estructurar y adelantar oportunamente las actuaciones precontractuales y contractuales necesarias para el cumplimiento de sus fines. Una adecuada </w:t>
      </w:r>
      <w:r>
        <w:rPr>
          <w:rFonts w:ascii="Verdana" w:eastAsia="Times New Roman" w:hAnsi="Verdana" w:cs="Arial"/>
          <w:bCs/>
          <w:lang w:eastAsia="x-none"/>
        </w:rPr>
        <w:t xml:space="preserve">planeación en la gestión de los procesos, </w:t>
      </w:r>
      <w:r w:rsidRPr="00F85BDC">
        <w:rPr>
          <w:rFonts w:ascii="Verdana" w:eastAsia="Times New Roman" w:hAnsi="Verdana" w:cs="Arial"/>
          <w:bCs/>
          <w:lang w:eastAsia="x-none"/>
        </w:rPr>
        <w:t>especialmente en contextos sujetos a restricciones temporales como las derivadas de la Ley de Garantías</w:t>
      </w:r>
      <w:r>
        <w:rPr>
          <w:rFonts w:ascii="Verdana" w:eastAsia="Times New Roman" w:hAnsi="Verdana" w:cs="Arial"/>
          <w:bCs/>
          <w:lang w:eastAsia="x-none"/>
        </w:rPr>
        <w:t xml:space="preserve"> Electorales,</w:t>
      </w:r>
      <w:r w:rsidRPr="00F85BDC">
        <w:rPr>
          <w:rFonts w:ascii="Verdana" w:eastAsia="Times New Roman" w:hAnsi="Verdana" w:cs="Arial"/>
          <w:bCs/>
          <w:lang w:eastAsia="x-none"/>
        </w:rPr>
        <w:t xml:space="preserve"> permite mitigar riesgos jurídicos y evitar que, por deficiencias</w:t>
      </w:r>
      <w:r>
        <w:rPr>
          <w:rFonts w:ascii="Verdana" w:eastAsia="Times New Roman" w:hAnsi="Verdana" w:cs="Arial"/>
          <w:bCs/>
          <w:lang w:eastAsia="x-none"/>
        </w:rPr>
        <w:t xml:space="preserve"> o retrasos</w:t>
      </w:r>
      <w:r w:rsidRPr="00F85BDC">
        <w:rPr>
          <w:rFonts w:ascii="Verdana" w:eastAsia="Times New Roman" w:hAnsi="Verdana" w:cs="Arial"/>
          <w:bCs/>
          <w:lang w:eastAsia="x-none"/>
        </w:rPr>
        <w:t xml:space="preserve"> en la gestión, se configuren situaciones que puedan dar lugar a eventuales causales de nulidad</w:t>
      </w:r>
      <w:r>
        <w:rPr>
          <w:rFonts w:ascii="Verdana" w:eastAsia="Times New Roman" w:hAnsi="Verdana" w:cs="Arial"/>
          <w:bCs/>
          <w:lang w:eastAsia="x-none"/>
        </w:rPr>
        <w:t xml:space="preserve">. </w:t>
      </w:r>
    </w:p>
    <w:p w14:paraId="4B8718ED" w14:textId="77777777" w:rsidR="004876D0" w:rsidRDefault="004876D0" w:rsidP="004876D0">
      <w:pPr>
        <w:spacing w:after="0" w:line="276" w:lineRule="auto"/>
        <w:ind w:firstLine="567"/>
        <w:jc w:val="both"/>
        <w:rPr>
          <w:rFonts w:ascii="Verdana" w:eastAsia="Times New Roman" w:hAnsi="Verdana" w:cs="Arial"/>
          <w:bCs/>
          <w:lang w:eastAsia="x-none"/>
        </w:rPr>
      </w:pPr>
    </w:p>
    <w:p w14:paraId="18D41950" w14:textId="77777777" w:rsidR="004876D0" w:rsidRPr="00C55BDE" w:rsidRDefault="004876D0" w:rsidP="004876D0">
      <w:pPr>
        <w:spacing w:after="120" w:line="276" w:lineRule="auto"/>
        <w:jc w:val="both"/>
        <w:rPr>
          <w:rFonts w:ascii="Verdana" w:eastAsia="Times New Roman" w:hAnsi="Verdana" w:cs="Arial"/>
          <w:lang w:eastAsia="es-CO"/>
        </w:rPr>
      </w:pPr>
      <w:proofErr w:type="spellStart"/>
      <w:r>
        <w:rPr>
          <w:rFonts w:ascii="Verdana" w:hAnsi="Verdana" w:cs="Arial"/>
          <w:bCs/>
          <w:color w:val="000000" w:themeColor="text1"/>
        </w:rPr>
        <w:t>vii</w:t>
      </w:r>
      <w:proofErr w:type="spellEnd"/>
      <w:r>
        <w:rPr>
          <w:rFonts w:ascii="Verdana" w:hAnsi="Verdana" w:cs="Arial"/>
          <w:bCs/>
          <w:color w:val="000000" w:themeColor="text1"/>
        </w:rPr>
        <w:t xml:space="preserve">. </w:t>
      </w: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BDBC40B" w14:textId="77777777" w:rsidR="004876D0" w:rsidRPr="00C55BDE" w:rsidRDefault="004876D0" w:rsidP="004876D0">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w:t>
      </w:r>
      <w:r w:rsidRPr="00C55BDE">
        <w:rPr>
          <w:rFonts w:ascii="Verdana" w:hAnsi="Verdana" w:cs="Arial"/>
          <w:bCs/>
          <w:color w:val="000000" w:themeColor="text1"/>
        </w:rPr>
        <w:lastRenderedPageBreak/>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8FC9364" w14:textId="77777777" w:rsidR="004876D0" w:rsidRPr="00C55BDE" w:rsidRDefault="004876D0" w:rsidP="004876D0">
      <w:pPr>
        <w:spacing w:after="0" w:line="276" w:lineRule="auto"/>
        <w:ind w:firstLine="708"/>
        <w:jc w:val="both"/>
        <w:rPr>
          <w:rFonts w:ascii="Verdana" w:hAnsi="Verdana" w:cs="Arial"/>
          <w:bCs/>
          <w:color w:val="000000" w:themeColor="text1"/>
        </w:rPr>
      </w:pPr>
    </w:p>
    <w:p w14:paraId="6CAF4269" w14:textId="77777777" w:rsidR="004876D0" w:rsidRPr="00C55BDE" w:rsidRDefault="004876D0" w:rsidP="004876D0">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1A93A33E" w14:textId="77777777" w:rsidR="004876D0" w:rsidRPr="00C55BDE" w:rsidRDefault="004876D0" w:rsidP="004876D0">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876D0" w:rsidRPr="00C55BDE" w14:paraId="0B792BBA" w14:textId="77777777" w:rsidTr="00EA32A5">
        <w:trPr>
          <w:trHeight w:val="491"/>
          <w:jc w:val="center"/>
        </w:trPr>
        <w:tc>
          <w:tcPr>
            <w:tcW w:w="8647" w:type="dxa"/>
          </w:tcPr>
          <w:p w14:paraId="2CEA46FC"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artículos 127, 329, 356.</w:t>
            </w:r>
          </w:p>
          <w:p w14:paraId="32B1F3A3"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lang w:val="es-ES" w:eastAsia="es-ES" w:bidi="es-ES"/>
              </w:rPr>
              <w:t>Ley 80 de 1993, artículo 2.</w:t>
            </w:r>
          </w:p>
          <w:p w14:paraId="6FDC6FA1"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lang w:val="es-ES" w:eastAsia="es-ES" w:bidi="es-ES"/>
              </w:rPr>
              <w:t>Ley 715 de 2001.</w:t>
            </w:r>
          </w:p>
          <w:p w14:paraId="76B37543"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bCs/>
                <w:lang w:val="es-ES" w:eastAsia="es-ES" w:bidi="es-ES"/>
              </w:rPr>
              <w:t>Ley 996 de 2005, artículos 33 y 38.</w:t>
            </w:r>
          </w:p>
          <w:p w14:paraId="5DA67C41"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lang w:val="es-ES" w:eastAsia="es-ES" w:bidi="es-ES"/>
              </w:rPr>
              <w:t>Decreto 1088 de 1993.</w:t>
            </w:r>
          </w:p>
          <w:p w14:paraId="56F9BFA0"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eastAsia="Arial MT" w:hAnsi="Verdana" w:cs="Arial"/>
                <w:lang w:val="es-ES" w:eastAsia="es-ES" w:bidi="es-ES"/>
              </w:rPr>
              <w:t>Decreto 1953 de 2014.</w:t>
            </w:r>
          </w:p>
          <w:p w14:paraId="46393A30"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55BDE">
              <w:rPr>
                <w:rFonts w:ascii="Verdana" w:hAnsi="Verdana" w:cs="Arial"/>
                <w:bCs/>
                <w:color w:val="000000" w:themeColor="text1"/>
                <w:lang w:val="es-ES"/>
              </w:rPr>
              <w:t>Decreto 1068 de 2015, artículo 2.2.1.1.1.</w:t>
            </w:r>
          </w:p>
          <w:p w14:paraId="1C7A0DD8"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C55BDE">
              <w:rPr>
                <w:rFonts w:ascii="Verdana" w:hAnsi="Verdana" w:cs="Arial"/>
                <w:lang w:val="pt-BR"/>
              </w:rPr>
              <w:t>Corte Constitucional. Sentencia C-671 de 2015. M.P. Alberto Rojas Ríos.</w:t>
            </w:r>
          </w:p>
          <w:p w14:paraId="1171D91C"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C55BDE">
              <w:rPr>
                <w:rFonts w:ascii="Verdana" w:hAnsi="Verdana" w:cs="Arial"/>
                <w:lang w:val="es-ES"/>
              </w:rPr>
              <w:t>Consejo de Estado, Sección Primera. Sentencia de 3 de marzo de 2005</w:t>
            </w:r>
            <w:r>
              <w:rPr>
                <w:rFonts w:ascii="Verdana" w:hAnsi="Verdana" w:cs="Arial"/>
                <w:lang w:val="es-ES"/>
              </w:rPr>
              <w:t xml:space="preserve">.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57A2BF24" w14:textId="77777777" w:rsidR="004876D0" w:rsidRPr="00C55BDE" w:rsidRDefault="004876D0" w:rsidP="00EA32A5">
            <w:pPr>
              <w:numPr>
                <w:ilvl w:val="0"/>
                <w:numId w:val="17"/>
              </w:numPr>
              <w:spacing w:after="120" w:line="276" w:lineRule="auto"/>
              <w:ind w:left="714" w:hanging="357"/>
              <w:jc w:val="both"/>
              <w:rPr>
                <w:rFonts w:ascii="Verdana" w:hAnsi="Verdana" w:cs="Arial"/>
                <w:lang w:val="es-ES"/>
              </w:rPr>
            </w:pPr>
            <w:r w:rsidRPr="00C55BDE">
              <w:rPr>
                <w:rFonts w:ascii="Verdana" w:hAnsi="Verdana" w:cs="Arial"/>
              </w:rPr>
              <w:t>Consejo de Estado. Sala de Consulta y Servicio Civil. Concepto del 15 de noviembre de 2007. Expediente número 1863. Consejero Ponente: Luis Fernando Álvarez Jaramillo</w:t>
            </w:r>
          </w:p>
          <w:p w14:paraId="198BBC38" w14:textId="77777777" w:rsidR="004876D0" w:rsidRPr="00C55BDE" w:rsidRDefault="004876D0"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C55BDE">
              <w:rPr>
                <w:rFonts w:ascii="Verdana" w:hAnsi="Verdana" w:cs="Arial"/>
                <w:lang w:val="es-ES"/>
              </w:rPr>
              <w:t>Consejo de Estado, Sala de Consulta y Servicio Civil, Concepto de fecha 24 de julio de 2013</w:t>
            </w:r>
            <w:r>
              <w:rPr>
                <w:rFonts w:ascii="Verdana" w:hAnsi="Verdana" w:cs="Arial"/>
                <w:lang w:val="es-ES"/>
              </w:rPr>
              <w:t>.</w:t>
            </w:r>
            <w:r w:rsidRPr="00C55BDE">
              <w:rPr>
                <w:rFonts w:ascii="Verdana" w:hAnsi="Verdana" w:cs="Arial"/>
                <w:lang w:val="es-ES"/>
              </w:rPr>
              <w:t xml:space="preserve"> Rad. 2166, C. P. Álvaro Namén Vargas. </w:t>
            </w:r>
          </w:p>
          <w:p w14:paraId="20C078A7" w14:textId="77777777" w:rsidR="004876D0" w:rsidRPr="00C55BDE" w:rsidRDefault="004876D0" w:rsidP="00EA32A5">
            <w:pPr>
              <w:numPr>
                <w:ilvl w:val="0"/>
                <w:numId w:val="17"/>
              </w:numPr>
              <w:spacing w:after="120" w:line="276" w:lineRule="auto"/>
              <w:ind w:left="714" w:hanging="357"/>
              <w:jc w:val="both"/>
              <w:rPr>
                <w:rFonts w:ascii="Verdana" w:hAnsi="Verdana" w:cs="Arial"/>
                <w:lang w:val="es-ES"/>
              </w:rPr>
            </w:pPr>
            <w:r w:rsidRPr="00C55BDE">
              <w:rPr>
                <w:rFonts w:ascii="Verdana" w:hAnsi="Verdana" w:cs="Arial"/>
              </w:rPr>
              <w:t>Consejo de Estado. Sala de Consulta y Servicio Civil. Concepto del 2 de septiembre de 2013</w:t>
            </w:r>
            <w:r>
              <w:rPr>
                <w:rFonts w:ascii="Verdana" w:hAnsi="Verdana" w:cs="Arial"/>
              </w:rPr>
              <w:t>.</w:t>
            </w:r>
            <w:r w:rsidRPr="00C55BDE">
              <w:rPr>
                <w:rFonts w:ascii="Verdana" w:hAnsi="Verdana" w:cs="Arial"/>
              </w:rPr>
              <w:t xml:space="preserve"> Radicado No: 2168. CP: Alvaro Namén Vargas.</w:t>
            </w:r>
          </w:p>
          <w:p w14:paraId="12E15D03" w14:textId="77777777" w:rsidR="004876D0" w:rsidRDefault="004876D0" w:rsidP="00EA32A5">
            <w:pPr>
              <w:numPr>
                <w:ilvl w:val="0"/>
                <w:numId w:val="17"/>
              </w:numPr>
              <w:spacing w:after="120" w:line="276" w:lineRule="auto"/>
              <w:ind w:left="714" w:hanging="357"/>
              <w:jc w:val="both"/>
              <w:rPr>
                <w:rFonts w:ascii="Verdana" w:hAnsi="Verdana" w:cs="Arial"/>
                <w:lang w:val="es-ES"/>
              </w:rPr>
            </w:pPr>
            <w:r w:rsidRPr="00562602">
              <w:rPr>
                <w:rFonts w:ascii="Verdana" w:hAnsi="Verdana" w:cs="Arial"/>
                <w:lang w:val="es-ES"/>
              </w:rPr>
              <w:lastRenderedPageBreak/>
              <w:t>Consejo de Estado, Sala de lo Contencioso Administrativo, Sección Tercera, Subsección A.  Primera. Sentencia de 11 de junio de 2014, expediente número 34649. C.P: Hernán Andrade Rincon.</w:t>
            </w:r>
          </w:p>
          <w:p w14:paraId="6AB9F45C" w14:textId="77777777" w:rsidR="004876D0" w:rsidRPr="00C55BDE" w:rsidRDefault="004876D0" w:rsidP="00EA32A5">
            <w:pPr>
              <w:numPr>
                <w:ilvl w:val="0"/>
                <w:numId w:val="17"/>
              </w:numPr>
              <w:spacing w:after="120" w:line="276" w:lineRule="auto"/>
              <w:ind w:left="714" w:hanging="357"/>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p w14:paraId="7AE05711" w14:textId="77777777" w:rsidR="004876D0" w:rsidRPr="00747561" w:rsidRDefault="004876D0" w:rsidP="00EA32A5">
            <w:pPr>
              <w:numPr>
                <w:ilvl w:val="0"/>
                <w:numId w:val="17"/>
              </w:numPr>
              <w:spacing w:after="120" w:line="276" w:lineRule="auto"/>
              <w:ind w:left="714" w:hanging="357"/>
              <w:jc w:val="both"/>
              <w:rPr>
                <w:rFonts w:ascii="Verdana" w:hAnsi="Verdana" w:cs="Arial"/>
                <w:lang w:val="es-ES"/>
              </w:rPr>
            </w:pPr>
            <w:r w:rsidRPr="00C55BDE">
              <w:rPr>
                <w:rFonts w:ascii="Verdana" w:hAnsi="Verdana" w:cs="Arial"/>
                <w:lang w:val="es-ES"/>
              </w:rPr>
              <w:t>Consejo de Estado, Sala de Consulta y Servicio Civil, Concepto de fecha 8 de mayo de 2018, No. 2382. C. P. Álvaro Namén Vargas.</w:t>
            </w:r>
          </w:p>
        </w:tc>
      </w:tr>
    </w:tbl>
    <w:p w14:paraId="428F3E7C" w14:textId="77777777" w:rsidR="004876D0" w:rsidRPr="00747561" w:rsidRDefault="004876D0" w:rsidP="004876D0">
      <w:pPr>
        <w:widowControl w:val="0"/>
        <w:autoSpaceDE w:val="0"/>
        <w:autoSpaceDN w:val="0"/>
        <w:spacing w:after="0" w:line="276" w:lineRule="auto"/>
        <w:jc w:val="both"/>
        <w:rPr>
          <w:rFonts w:ascii="Verdana" w:hAnsi="Verdana" w:cs="Arial"/>
          <w:lang w:val="es-ES_tradnl"/>
        </w:rPr>
      </w:pPr>
    </w:p>
    <w:p w14:paraId="0C5CF291" w14:textId="77777777" w:rsidR="004876D0" w:rsidRPr="00747561" w:rsidRDefault="004876D0" w:rsidP="004876D0">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747561">
        <w:rPr>
          <w:rFonts w:ascii="Verdana" w:eastAsia="Century Gothic" w:hAnsi="Verdana" w:cs="Century Gothic"/>
          <w:b/>
          <w:bCs/>
          <w:lang w:val="es-ES_tradnl"/>
        </w:rPr>
        <w:t>Doctrina de la Agencia Nacional de Contratación Pública:</w:t>
      </w:r>
    </w:p>
    <w:p w14:paraId="64D25E25" w14:textId="77777777" w:rsidR="004876D0" w:rsidRPr="00747561" w:rsidRDefault="004876D0" w:rsidP="004876D0">
      <w:pPr>
        <w:widowControl w:val="0"/>
        <w:autoSpaceDE w:val="0"/>
        <w:autoSpaceDN w:val="0"/>
        <w:spacing w:after="0" w:line="276" w:lineRule="auto"/>
        <w:jc w:val="both"/>
        <w:rPr>
          <w:rFonts w:ascii="Verdana" w:hAnsi="Verdana" w:cs="Arial"/>
          <w:lang w:val="es-ES_tradnl"/>
        </w:rPr>
      </w:pPr>
    </w:p>
    <w:p w14:paraId="7572977E" w14:textId="77777777" w:rsidR="004876D0" w:rsidRDefault="004876D0" w:rsidP="004876D0">
      <w:pPr>
        <w:widowControl w:val="0"/>
        <w:autoSpaceDE w:val="0"/>
        <w:autoSpaceDN w:val="0"/>
        <w:spacing w:after="0" w:line="276" w:lineRule="auto"/>
        <w:jc w:val="both"/>
        <w:rPr>
          <w:rFonts w:ascii="Verdana" w:hAnsi="Verdana" w:cs="Arial"/>
          <w:shd w:val="clear" w:color="auto" w:fill="FFFFFF"/>
        </w:rPr>
      </w:pPr>
      <w:r w:rsidRPr="00747561">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 y C-1608 del 4 de diciembre de 2025.</w:t>
      </w:r>
      <w:r w:rsidRPr="00F31AC8">
        <w:rPr>
          <w:rFonts w:ascii="Verdana" w:hAnsi="Verdana" w:cs="Arial"/>
          <w:shd w:val="clear" w:color="auto" w:fill="FFFFFF"/>
        </w:rPr>
        <w:t xml:space="preserve"> </w:t>
      </w:r>
      <w:r w:rsidRPr="00877011">
        <w:rPr>
          <w:rFonts w:ascii="Verdana" w:hAnsi="Verdana" w:cs="Arial"/>
          <w:shd w:val="clear" w:color="auto" w:fill="FFFFFF"/>
        </w:rPr>
        <w:t>Es</w:t>
      </w:r>
      <w:r w:rsidRPr="00877011">
        <w:rPr>
          <w:rFonts w:ascii="Verdana" w:hAnsi="Verdana"/>
        </w:rPr>
        <w:t>tos y otros conceptos se encuentran disponibles para consulta en el Sistema de relatoría de la Agencia, al cual se puede acceder a través del siguiente enlace:</w:t>
      </w:r>
      <w:r w:rsidRPr="00877011">
        <w:rPr>
          <w:rFonts w:ascii="Verdana" w:hAnsi="Verdana" w:cs="Arial"/>
          <w:shd w:val="clear" w:color="auto" w:fill="FFFFFF"/>
        </w:rPr>
        <w:t xml:space="preserve"> </w:t>
      </w:r>
      <w:hyperlink r:id="rId13" w:history="1">
        <w:r w:rsidRPr="00877011">
          <w:rPr>
            <w:rFonts w:ascii="Verdana" w:hAnsi="Verdana" w:cs="Arial"/>
            <w:color w:val="0563C1" w:themeColor="hyperlink"/>
            <w:u w:val="single"/>
            <w:shd w:val="clear" w:color="auto" w:fill="FFFFFF"/>
          </w:rPr>
          <w:t>https://relatoria.colombiacompra.gov.co/busqueda/conceptos</w:t>
        </w:r>
      </w:hyperlink>
    </w:p>
    <w:p w14:paraId="482AA5BF" w14:textId="77777777" w:rsidR="004876D0" w:rsidRPr="00747561" w:rsidRDefault="004876D0" w:rsidP="004876D0">
      <w:pPr>
        <w:widowControl w:val="0"/>
        <w:autoSpaceDE w:val="0"/>
        <w:autoSpaceDN w:val="0"/>
        <w:spacing w:after="0" w:line="276" w:lineRule="auto"/>
        <w:jc w:val="both"/>
        <w:rPr>
          <w:rFonts w:ascii="Verdana" w:hAnsi="Verdana" w:cs="Arial"/>
          <w:shd w:val="clear" w:color="auto" w:fill="FFFFFF"/>
        </w:rPr>
      </w:pPr>
    </w:p>
    <w:p w14:paraId="27257CA9" w14:textId="77777777" w:rsidR="004876D0" w:rsidRDefault="004876D0" w:rsidP="004876D0">
      <w:pPr>
        <w:widowControl w:val="0"/>
        <w:autoSpaceDE w:val="0"/>
        <w:autoSpaceDN w:val="0"/>
        <w:spacing w:after="0" w:line="276" w:lineRule="auto"/>
        <w:jc w:val="both"/>
        <w:rPr>
          <w:rFonts w:ascii="Verdana" w:hAnsi="Verdana"/>
          <w:color w:val="000000"/>
        </w:rPr>
      </w:pPr>
      <w:r w:rsidRPr="00702F75">
        <w:rPr>
          <w:rFonts w:ascii="Verdana" w:hAnsi="Verdana"/>
          <w:color w:val="000000"/>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Pr="003479B4">
          <w:rPr>
            <w:rStyle w:val="Hipervnculo"/>
            <w:rFonts w:ascii="Verdana" w:hAnsi="Verdana"/>
          </w:rPr>
          <w:t>https://formacionvirtual.colombiacompra.gov.co/mod/page/view.php?id=3718</w:t>
        </w:r>
      </w:hyperlink>
    </w:p>
    <w:p w14:paraId="642C24ED" w14:textId="77777777" w:rsidR="004876D0" w:rsidRDefault="004876D0" w:rsidP="004876D0">
      <w:pPr>
        <w:widowControl w:val="0"/>
        <w:autoSpaceDE w:val="0"/>
        <w:autoSpaceDN w:val="0"/>
        <w:spacing w:after="0" w:line="276" w:lineRule="auto"/>
        <w:jc w:val="both"/>
        <w:rPr>
          <w:rFonts w:ascii="Verdana" w:hAnsi="Verdana"/>
          <w:color w:val="000000"/>
        </w:rPr>
      </w:pPr>
    </w:p>
    <w:p w14:paraId="0C918785" w14:textId="77777777" w:rsidR="004876D0" w:rsidRDefault="004876D0" w:rsidP="004876D0">
      <w:pPr>
        <w:widowControl w:val="0"/>
        <w:autoSpaceDE w:val="0"/>
        <w:autoSpaceDN w:val="0"/>
        <w:spacing w:after="0" w:line="276" w:lineRule="auto"/>
        <w:jc w:val="both"/>
        <w:rPr>
          <w:rFonts w:ascii="Verdana" w:hAnsi="Verdana"/>
          <w:color w:val="000000"/>
        </w:rPr>
      </w:pPr>
      <w:r w:rsidRPr="00702F75">
        <w:rPr>
          <w:rFonts w:ascii="Verdana" w:hAnsi="Verdana"/>
          <w:color w:val="000000"/>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702F75">
          <w:rPr>
            <w:rStyle w:val="Hipervnculo"/>
            <w:rFonts w:ascii="Verdana" w:hAnsi="Verdana"/>
          </w:rPr>
          <w:t>https://www.colombiacompra.gov.co/normativa-y-relatoria/documentos-tipo</w:t>
        </w:r>
      </w:hyperlink>
    </w:p>
    <w:p w14:paraId="4608B09D" w14:textId="77777777" w:rsidR="004876D0" w:rsidRPr="00702F75" w:rsidRDefault="004876D0" w:rsidP="004876D0">
      <w:pPr>
        <w:widowControl w:val="0"/>
        <w:autoSpaceDE w:val="0"/>
        <w:autoSpaceDN w:val="0"/>
        <w:spacing w:after="0" w:line="276" w:lineRule="auto"/>
        <w:jc w:val="both"/>
        <w:rPr>
          <w:rFonts w:ascii="Verdana" w:hAnsi="Verdana"/>
          <w:color w:val="000000"/>
        </w:rPr>
      </w:pPr>
    </w:p>
    <w:p w14:paraId="566C52D2" w14:textId="77777777" w:rsidR="004876D0" w:rsidRDefault="004876D0" w:rsidP="004876D0">
      <w:pPr>
        <w:widowControl w:val="0"/>
        <w:autoSpaceDE w:val="0"/>
        <w:autoSpaceDN w:val="0"/>
        <w:spacing w:after="0" w:line="276" w:lineRule="auto"/>
        <w:jc w:val="both"/>
        <w:rPr>
          <w:rFonts w:ascii="Verdana" w:hAnsi="Verdana"/>
          <w:color w:val="000000"/>
        </w:rPr>
      </w:pPr>
      <w:r w:rsidRPr="00702F75">
        <w:rPr>
          <w:rFonts w:ascii="Verdana" w:hAnsi="Verdana"/>
          <w:color w:val="000000"/>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hyperlink r:id="rId16" w:history="1">
        <w:r w:rsidRPr="003479B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4B22FB0" w14:textId="77777777" w:rsidR="004876D0" w:rsidRPr="00747561" w:rsidRDefault="004876D0" w:rsidP="004876D0">
      <w:pPr>
        <w:shd w:val="clear" w:color="auto" w:fill="FFFFFF"/>
        <w:spacing w:after="0" w:line="276" w:lineRule="auto"/>
        <w:jc w:val="both"/>
        <w:rPr>
          <w:rFonts w:ascii="Verdana" w:hAnsi="Verdana"/>
          <w:color w:val="467886"/>
          <w:u w:val="single"/>
        </w:rPr>
      </w:pPr>
    </w:p>
    <w:p w14:paraId="12DC2DE9" w14:textId="77777777" w:rsidR="004876D0" w:rsidRPr="00747561" w:rsidRDefault="004876D0" w:rsidP="004876D0">
      <w:pPr>
        <w:shd w:val="clear" w:color="auto" w:fill="FFFFFF"/>
        <w:spacing w:after="0" w:line="276" w:lineRule="auto"/>
        <w:jc w:val="both"/>
        <w:rPr>
          <w:rFonts w:ascii="Verdana" w:hAnsi="Verdana"/>
          <w:color w:val="467886"/>
          <w:u w:val="single"/>
        </w:rPr>
      </w:pPr>
      <w:r w:rsidRPr="00747561">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3D9F540" w14:textId="77777777" w:rsidR="004876D0" w:rsidRPr="00747561" w:rsidRDefault="004876D0" w:rsidP="004876D0">
      <w:pPr>
        <w:spacing w:after="0" w:line="276" w:lineRule="auto"/>
        <w:jc w:val="both"/>
        <w:rPr>
          <w:rFonts w:ascii="Verdana" w:hAnsi="Verdana"/>
        </w:rPr>
      </w:pPr>
    </w:p>
    <w:p w14:paraId="7BA2552A" w14:textId="77777777" w:rsidR="004876D0" w:rsidRPr="00747561" w:rsidRDefault="004876D0" w:rsidP="004876D0">
      <w:pPr>
        <w:numPr>
          <w:ilvl w:val="0"/>
          <w:numId w:val="15"/>
        </w:numPr>
        <w:spacing w:after="0" w:line="276" w:lineRule="auto"/>
        <w:jc w:val="both"/>
        <w:rPr>
          <w:rFonts w:ascii="Verdana" w:eastAsia="Verdana" w:hAnsi="Verdana" w:cs="Verdana"/>
          <w:color w:val="4472C4" w:themeColor="accent1"/>
          <w:u w:val="single"/>
          <w:lang w:val="es-MX"/>
        </w:rPr>
      </w:pPr>
      <w:r w:rsidRPr="00747561">
        <w:rPr>
          <w:rFonts w:ascii="Verdana" w:eastAsia="Verdana" w:hAnsi="Verdana" w:cs="Verdana"/>
          <w:lang w:val="es-MX"/>
        </w:rPr>
        <w:t xml:space="preserve">Línea nacional gratuita o servicio a la ciudadanía (Mesa de servicio): </w:t>
      </w:r>
      <w:r w:rsidRPr="00747561">
        <w:rPr>
          <w:rFonts w:ascii="Verdana" w:hAnsi="Verdana"/>
          <w:color w:val="0000FF"/>
          <w:u w:val="single"/>
          <w:lang w:val="es-ES"/>
        </w:rPr>
        <w:t>01800 0520808</w:t>
      </w:r>
    </w:p>
    <w:p w14:paraId="1DAA1FF3" w14:textId="77777777" w:rsidR="004876D0" w:rsidRPr="00747561" w:rsidRDefault="004876D0" w:rsidP="004876D0">
      <w:pPr>
        <w:numPr>
          <w:ilvl w:val="0"/>
          <w:numId w:val="15"/>
        </w:numPr>
        <w:spacing w:after="0" w:line="276" w:lineRule="auto"/>
        <w:rPr>
          <w:rFonts w:ascii="Verdana" w:eastAsia="Verdana" w:hAnsi="Verdana" w:cs="Verdana"/>
          <w:color w:val="4472C4" w:themeColor="accent1"/>
          <w:u w:val="single"/>
          <w:lang w:val="es-MX"/>
        </w:rPr>
      </w:pPr>
      <w:r w:rsidRPr="00747561">
        <w:rPr>
          <w:rFonts w:ascii="Verdana" w:eastAsia="Verdana" w:hAnsi="Verdana" w:cs="Verdana"/>
          <w:lang w:val="es-MX"/>
        </w:rPr>
        <w:t>Línea en Bogotá (Mesa de servicio</w:t>
      </w:r>
      <w:proofErr w:type="gramStart"/>
      <w:r w:rsidRPr="00747561">
        <w:rPr>
          <w:rFonts w:ascii="Verdana" w:eastAsia="Verdana" w:hAnsi="Verdana" w:cs="Verdana"/>
          <w:lang w:val="es-MX"/>
        </w:rPr>
        <w:t>):</w:t>
      </w:r>
      <w:r w:rsidRPr="00747561">
        <w:rPr>
          <w:rFonts w:ascii="Verdana" w:hAnsi="Verdana"/>
          <w:color w:val="0000FF"/>
          <w:u w:val="single"/>
          <w:lang w:val="es-ES"/>
        </w:rPr>
        <w:t>+</w:t>
      </w:r>
      <w:proofErr w:type="gramEnd"/>
      <w:r w:rsidRPr="00747561">
        <w:rPr>
          <w:rFonts w:ascii="Verdana" w:hAnsi="Verdana"/>
          <w:color w:val="0000FF"/>
          <w:u w:val="single"/>
          <w:lang w:val="es-ES"/>
        </w:rPr>
        <w:t>57 601 7456788</w:t>
      </w:r>
    </w:p>
    <w:p w14:paraId="22987223" w14:textId="77777777" w:rsidR="004876D0" w:rsidRPr="00747561" w:rsidRDefault="004876D0" w:rsidP="004876D0">
      <w:pPr>
        <w:numPr>
          <w:ilvl w:val="0"/>
          <w:numId w:val="15"/>
        </w:numPr>
        <w:spacing w:after="0" w:line="276" w:lineRule="auto"/>
        <w:rPr>
          <w:rFonts w:ascii="Verdana" w:eastAsia="Verdana" w:hAnsi="Verdana" w:cs="Verdana"/>
          <w:color w:val="0000FF"/>
          <w:u w:val="single"/>
          <w:lang w:val="es-MX"/>
        </w:rPr>
      </w:pPr>
      <w:r w:rsidRPr="00747561">
        <w:rPr>
          <w:rFonts w:ascii="Verdana" w:eastAsia="Verdana" w:hAnsi="Verdana" w:cs="Verdana"/>
          <w:lang w:val="es-MX"/>
        </w:rPr>
        <w:lastRenderedPageBreak/>
        <w:t xml:space="preserve">Correo de radicación de correspondencia: </w:t>
      </w:r>
      <w:hyperlink r:id="rId17" w:history="1">
        <w:r w:rsidRPr="00747561">
          <w:rPr>
            <w:rFonts w:ascii="Verdana" w:eastAsia="Verdana" w:hAnsi="Verdana" w:cs="Verdana"/>
            <w:color w:val="0000FF"/>
            <w:u w:val="single"/>
            <w:lang w:val="es-MX"/>
          </w:rPr>
          <w:t>ventanilladeradicacion@colombiacompra.gov.co</w:t>
        </w:r>
      </w:hyperlink>
    </w:p>
    <w:p w14:paraId="4D5F7FC8" w14:textId="77777777" w:rsidR="004876D0" w:rsidRPr="00747561" w:rsidRDefault="004876D0" w:rsidP="004876D0">
      <w:pPr>
        <w:numPr>
          <w:ilvl w:val="0"/>
          <w:numId w:val="15"/>
        </w:numPr>
        <w:spacing w:after="0" w:line="276" w:lineRule="auto"/>
        <w:rPr>
          <w:rFonts w:ascii="Verdana" w:eastAsia="Verdana" w:hAnsi="Verdana" w:cs="Verdana"/>
          <w:color w:val="0000FF"/>
          <w:u w:val="single"/>
          <w:lang w:val="es-MX"/>
        </w:rPr>
      </w:pPr>
      <w:r w:rsidRPr="00747561">
        <w:rPr>
          <w:rFonts w:ascii="Verdana" w:eastAsia="Verdana" w:hAnsi="Verdana" w:cs="Verdana"/>
          <w:lang w:val="es-ES"/>
        </w:rPr>
        <w:t xml:space="preserve">Formulario web para PQRSD: </w:t>
      </w:r>
      <w:hyperlink r:id="rId18" w:history="1">
        <w:r w:rsidRPr="00747561">
          <w:rPr>
            <w:rFonts w:ascii="Verdana" w:eastAsia="Verdana" w:hAnsi="Verdana" w:cs="Verdana"/>
            <w:color w:val="0000FF"/>
            <w:u w:val="single"/>
            <w:lang w:val="es-MX"/>
          </w:rPr>
          <w:t>https://www.colombiacompra.gov.co/pqrsd/informacion-importante-antes-de-formular-una-pqrsd</w:t>
        </w:r>
      </w:hyperlink>
    </w:p>
    <w:p w14:paraId="63B5F80A" w14:textId="77777777" w:rsidR="004876D0" w:rsidRPr="00747561" w:rsidRDefault="004876D0" w:rsidP="004876D0">
      <w:pPr>
        <w:spacing w:after="0" w:line="276" w:lineRule="auto"/>
        <w:ind w:left="720"/>
        <w:jc w:val="both"/>
        <w:rPr>
          <w:rFonts w:ascii="Verdana" w:hAnsi="Verdana"/>
        </w:rPr>
      </w:pPr>
    </w:p>
    <w:p w14:paraId="56F99669" w14:textId="77777777" w:rsidR="004876D0" w:rsidRPr="00747561" w:rsidRDefault="004876D0" w:rsidP="004876D0">
      <w:pPr>
        <w:spacing w:after="0" w:line="276" w:lineRule="auto"/>
        <w:jc w:val="both"/>
        <w:rPr>
          <w:rFonts w:ascii="Verdana" w:hAnsi="Verdana"/>
        </w:rPr>
      </w:pPr>
      <w:r w:rsidRPr="00747561">
        <w:rPr>
          <w:rFonts w:ascii="Verdana" w:hAnsi="Verdana"/>
        </w:rPr>
        <w:t xml:space="preserve">Evalúa el servicio que ofrece la Agencia por el canal de atención de PQRSD en el siguiente enlace: </w:t>
      </w:r>
      <w:hyperlink r:id="rId19" w:history="1">
        <w:r w:rsidRPr="00747561">
          <w:rPr>
            <w:rStyle w:val="Hipervnculo"/>
            <w:rFonts w:ascii="Verdana" w:hAnsi="Verdana"/>
          </w:rPr>
          <w:t>https://forms.office.com/r/pPHyWVs2SZ</w:t>
        </w:r>
      </w:hyperlink>
      <w:r w:rsidRPr="00747561">
        <w:rPr>
          <w:rFonts w:ascii="Verdana" w:hAnsi="Verdana"/>
        </w:rPr>
        <w:t xml:space="preserve"> .¡Ayúdanos a mejorar porque el compromiso es de todos!</w:t>
      </w:r>
    </w:p>
    <w:p w14:paraId="400C20DF" w14:textId="77777777" w:rsidR="004876D0" w:rsidRPr="00747561" w:rsidRDefault="004876D0" w:rsidP="004876D0">
      <w:pPr>
        <w:spacing w:after="0" w:line="276" w:lineRule="auto"/>
        <w:rPr>
          <w:rFonts w:ascii="Verdana" w:hAnsi="Verdana"/>
        </w:rPr>
      </w:pPr>
    </w:p>
    <w:p w14:paraId="2C55E5FA" w14:textId="77777777" w:rsidR="004876D0" w:rsidRPr="00747561" w:rsidRDefault="004876D0" w:rsidP="004876D0">
      <w:pPr>
        <w:spacing w:after="0" w:line="276" w:lineRule="auto"/>
        <w:jc w:val="both"/>
        <w:rPr>
          <w:rFonts w:ascii="Verdana" w:hAnsi="Verdana"/>
        </w:rPr>
      </w:pPr>
      <w:r w:rsidRPr="00747561">
        <w:rPr>
          <w:rFonts w:ascii="Verdana" w:hAnsi="Verdana"/>
        </w:rPr>
        <w:t xml:space="preserve">Por último, lo invitamos a seguirnos en las redes sociales en las cuales se difunde información institucional: </w:t>
      </w:r>
    </w:p>
    <w:p w14:paraId="76646EED" w14:textId="77777777" w:rsidR="004876D0" w:rsidRPr="00747561" w:rsidRDefault="004876D0" w:rsidP="004876D0">
      <w:pPr>
        <w:spacing w:after="0" w:line="276" w:lineRule="auto"/>
        <w:jc w:val="both"/>
        <w:rPr>
          <w:rFonts w:ascii="Verdana" w:hAnsi="Verdana"/>
        </w:rPr>
      </w:pPr>
    </w:p>
    <w:p w14:paraId="06006267" w14:textId="77777777" w:rsidR="004876D0" w:rsidRPr="00747561" w:rsidRDefault="004876D0" w:rsidP="004876D0">
      <w:pPr>
        <w:spacing w:after="0" w:line="276" w:lineRule="auto"/>
        <w:jc w:val="both"/>
        <w:rPr>
          <w:rFonts w:ascii="Verdana" w:hAnsi="Verdana"/>
        </w:rPr>
      </w:pPr>
      <w:r w:rsidRPr="00747561">
        <w:rPr>
          <w:rFonts w:ascii="Verdana" w:hAnsi="Verdana"/>
        </w:rPr>
        <w:t xml:space="preserve">Twitter: </w:t>
      </w:r>
      <w:r w:rsidRPr="00747561">
        <w:rPr>
          <w:rFonts w:ascii="Verdana" w:hAnsi="Verdana"/>
          <w:color w:val="0000FF"/>
          <w:u w:val="single"/>
        </w:rPr>
        <w:t>@colombiacompra</w:t>
      </w:r>
      <w:r w:rsidRPr="00747561">
        <w:rPr>
          <w:rFonts w:ascii="Verdana" w:hAnsi="Verdana"/>
        </w:rPr>
        <w:t xml:space="preserve"> </w:t>
      </w:r>
    </w:p>
    <w:p w14:paraId="57CBB6E6" w14:textId="77777777" w:rsidR="004876D0" w:rsidRPr="00747561" w:rsidRDefault="004876D0" w:rsidP="004876D0">
      <w:pPr>
        <w:spacing w:after="0" w:line="276" w:lineRule="auto"/>
        <w:jc w:val="both"/>
        <w:rPr>
          <w:rFonts w:ascii="Verdana" w:hAnsi="Verdana"/>
        </w:rPr>
      </w:pPr>
      <w:r w:rsidRPr="00747561">
        <w:rPr>
          <w:rFonts w:ascii="Verdana" w:hAnsi="Verdana"/>
        </w:rPr>
        <w:t xml:space="preserve">Facebook: </w:t>
      </w:r>
      <w:proofErr w:type="spellStart"/>
      <w:r w:rsidRPr="00747561">
        <w:rPr>
          <w:rFonts w:ascii="Verdana" w:hAnsi="Verdana"/>
          <w:color w:val="0000FF"/>
          <w:u w:val="single"/>
        </w:rPr>
        <w:t>ColombiaCompraEficiente</w:t>
      </w:r>
      <w:proofErr w:type="spellEnd"/>
    </w:p>
    <w:p w14:paraId="3D347936" w14:textId="77777777" w:rsidR="004876D0" w:rsidRPr="00747561" w:rsidRDefault="004876D0" w:rsidP="004876D0">
      <w:pPr>
        <w:spacing w:after="0" w:line="276" w:lineRule="auto"/>
        <w:jc w:val="both"/>
        <w:rPr>
          <w:rFonts w:ascii="Verdana" w:hAnsi="Verdana"/>
        </w:rPr>
      </w:pPr>
      <w:r w:rsidRPr="00747561">
        <w:rPr>
          <w:rFonts w:ascii="Verdana" w:hAnsi="Verdana"/>
        </w:rPr>
        <w:t xml:space="preserve">LinkedIn: </w:t>
      </w:r>
      <w:r w:rsidRPr="00747561">
        <w:rPr>
          <w:rFonts w:ascii="Verdana" w:hAnsi="Verdana"/>
          <w:color w:val="0000FF"/>
          <w:u w:val="single"/>
        </w:rPr>
        <w:t>Agencia Nacional de Contratación Pública - Colombia Compra Eficiente</w:t>
      </w:r>
      <w:r w:rsidRPr="00747561">
        <w:rPr>
          <w:rFonts w:ascii="Verdana" w:hAnsi="Verdana"/>
        </w:rPr>
        <w:t xml:space="preserve"> Instagram: </w:t>
      </w:r>
      <w:r w:rsidRPr="00747561">
        <w:rPr>
          <w:rFonts w:ascii="Verdana" w:hAnsi="Verdana"/>
          <w:color w:val="0000FF"/>
          <w:u w:val="single"/>
        </w:rPr>
        <w:t>@colombiacompraeficiente_cce</w:t>
      </w:r>
    </w:p>
    <w:p w14:paraId="211AD66C" w14:textId="77777777" w:rsidR="004876D0" w:rsidRPr="00747561" w:rsidRDefault="004876D0" w:rsidP="004876D0">
      <w:pPr>
        <w:widowControl w:val="0"/>
        <w:autoSpaceDE w:val="0"/>
        <w:autoSpaceDN w:val="0"/>
        <w:spacing w:after="0" w:line="276" w:lineRule="auto"/>
        <w:jc w:val="both"/>
        <w:rPr>
          <w:rFonts w:ascii="Verdana" w:hAnsi="Verdana" w:cs="Arial"/>
          <w:color w:val="FF0000"/>
          <w:shd w:val="clear" w:color="auto" w:fill="FFFFFF"/>
          <w:lang w:val="es-ES_tradnl"/>
        </w:rPr>
      </w:pPr>
      <w:r w:rsidRPr="00747561">
        <w:rPr>
          <w:rFonts w:ascii="Verdana" w:hAnsi="Verdana" w:cs="Arial"/>
          <w:color w:val="FF0000"/>
          <w:shd w:val="clear" w:color="auto" w:fill="FFFFFF"/>
          <w:lang w:val="es-ES_tradnl"/>
        </w:rPr>
        <w:t xml:space="preserve">        </w:t>
      </w:r>
    </w:p>
    <w:p w14:paraId="1DA0C3DB" w14:textId="77777777" w:rsidR="004876D0" w:rsidRPr="00747561" w:rsidRDefault="004876D0" w:rsidP="004876D0">
      <w:pPr>
        <w:widowControl w:val="0"/>
        <w:autoSpaceDE w:val="0"/>
        <w:autoSpaceDN w:val="0"/>
        <w:spacing w:after="0" w:line="276" w:lineRule="auto"/>
        <w:jc w:val="both"/>
        <w:rPr>
          <w:rFonts w:ascii="Verdana" w:hAnsi="Verdana" w:cs="Arial"/>
          <w:lang w:val="es-ES_tradnl"/>
        </w:rPr>
      </w:pPr>
      <w:r w:rsidRPr="00747561">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B865B23" w14:textId="77777777" w:rsidR="004876D0" w:rsidRPr="00747561" w:rsidRDefault="004876D0" w:rsidP="004876D0">
      <w:pPr>
        <w:widowControl w:val="0"/>
        <w:autoSpaceDE w:val="0"/>
        <w:autoSpaceDN w:val="0"/>
        <w:spacing w:after="0" w:line="276" w:lineRule="auto"/>
        <w:jc w:val="both"/>
        <w:rPr>
          <w:rFonts w:ascii="Verdana" w:hAnsi="Verdana" w:cs="Arial"/>
          <w:lang w:val="es-ES_tradnl"/>
        </w:rPr>
      </w:pPr>
    </w:p>
    <w:p w14:paraId="2C63187F" w14:textId="77777777" w:rsidR="004876D0" w:rsidRPr="00747561" w:rsidRDefault="004876D0" w:rsidP="004876D0">
      <w:pPr>
        <w:spacing w:after="0" w:line="276" w:lineRule="auto"/>
        <w:rPr>
          <w:rFonts w:ascii="Verdana" w:hAnsi="Verdana" w:cs="Arial"/>
          <w:lang w:val="es-ES_tradnl" w:eastAsia="es-CO"/>
        </w:rPr>
      </w:pPr>
      <w:r w:rsidRPr="00747561">
        <w:rPr>
          <w:rFonts w:ascii="Verdana" w:eastAsia="Times New Roman" w:hAnsi="Verdana" w:cs="Arial"/>
          <w:lang w:val="es-ES" w:eastAsia="es-CO"/>
        </w:rPr>
        <w:t>Atentamente,</w:t>
      </w:r>
      <w:r w:rsidRPr="00747561">
        <w:rPr>
          <w:rFonts w:ascii="Verdana" w:hAnsi="Verdana" w:cs="Arial"/>
          <w:lang w:val="es-ES" w:eastAsia="es-CO"/>
        </w:rPr>
        <w:t xml:space="preserve"> </w:t>
      </w:r>
    </w:p>
    <w:p w14:paraId="70AF7E40" w14:textId="50C24C77" w:rsidR="004876D0" w:rsidRPr="00A27102" w:rsidRDefault="00627683" w:rsidP="004876D0">
      <w:pPr>
        <w:spacing w:line="276" w:lineRule="auto"/>
        <w:ind w:left="708" w:hanging="708"/>
        <w:jc w:val="center"/>
        <w:rPr>
          <w:rFonts w:ascii="Verdana" w:hAnsi="Verdana" w:cs="Arial"/>
          <w:color w:val="000000"/>
          <w:lang w:val="es-ES_tradnl" w:eastAsia="es-CO"/>
        </w:rPr>
      </w:pPr>
      <w:r w:rsidRPr="0090146C">
        <w:rPr>
          <w:rFonts w:ascii="Century Gothic" w:eastAsia="Aptos" w:hAnsi="Century Gothic" w:cs="Times New Roman"/>
          <w:noProof/>
        </w:rPr>
        <w:drawing>
          <wp:inline distT="0" distB="0" distL="0" distR="0" wp14:anchorId="48FC48AC" wp14:editId="117CC75A">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876D0" w:rsidRPr="00A27102" w14:paraId="5E6D5345" w14:textId="77777777" w:rsidTr="00EA32A5">
        <w:trPr>
          <w:trHeight w:val="315"/>
        </w:trPr>
        <w:tc>
          <w:tcPr>
            <w:tcW w:w="893" w:type="dxa"/>
            <w:vAlign w:val="center"/>
            <w:hideMark/>
          </w:tcPr>
          <w:p w14:paraId="178B4D58" w14:textId="77777777" w:rsidR="004876D0" w:rsidRPr="00A27102" w:rsidRDefault="004876D0" w:rsidP="00EA32A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622F89E" w14:textId="77777777" w:rsidR="004876D0" w:rsidRPr="00A27102" w:rsidRDefault="004876D0" w:rsidP="00EA32A5">
            <w:pPr>
              <w:contextualSpacing/>
              <w:rPr>
                <w:rFonts w:ascii="Verdana" w:hAnsi="Verdana"/>
                <w:sz w:val="16"/>
                <w:szCs w:val="16"/>
              </w:rPr>
            </w:pPr>
            <w:r w:rsidRPr="00A27102">
              <w:rPr>
                <w:rFonts w:ascii="Verdana" w:hAnsi="Verdana"/>
                <w:sz w:val="16"/>
                <w:szCs w:val="16"/>
              </w:rPr>
              <w:t>Tatiana Baquero Iguarán</w:t>
            </w:r>
          </w:p>
          <w:p w14:paraId="16A8A276" w14:textId="77777777" w:rsidR="004876D0" w:rsidRPr="00A27102" w:rsidRDefault="004876D0" w:rsidP="00EA32A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4876D0" w:rsidRPr="00A27102" w14:paraId="3E0B1C1B" w14:textId="77777777" w:rsidTr="00EA32A5">
        <w:trPr>
          <w:trHeight w:val="330"/>
        </w:trPr>
        <w:tc>
          <w:tcPr>
            <w:tcW w:w="893" w:type="dxa"/>
            <w:vAlign w:val="center"/>
            <w:hideMark/>
          </w:tcPr>
          <w:p w14:paraId="23206612" w14:textId="77777777" w:rsidR="004876D0" w:rsidRPr="00A27102" w:rsidRDefault="004876D0" w:rsidP="00EA32A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F87883" w14:textId="77777777" w:rsidR="004876D0" w:rsidRPr="002D273E" w:rsidRDefault="004876D0" w:rsidP="00EA32A5">
            <w:pPr>
              <w:spacing w:before="100" w:beforeAutospacing="1" w:afterAutospacing="1"/>
              <w:contextualSpacing/>
              <w:textAlignment w:val="baseline"/>
              <w:rPr>
                <w:rFonts w:ascii="Verdana" w:eastAsia="Times New Roman" w:hAnsi="Verdana" w:cs="Arial"/>
                <w:sz w:val="16"/>
                <w:szCs w:val="16"/>
                <w:lang w:val="es-ES" w:eastAsia="es-ES_tradnl"/>
              </w:rPr>
            </w:pPr>
            <w:r w:rsidRPr="002D273E">
              <w:rPr>
                <w:rFonts w:ascii="Verdana" w:eastAsia="Times New Roman" w:hAnsi="Verdana" w:cs="Arial"/>
                <w:sz w:val="16"/>
                <w:szCs w:val="16"/>
                <w:lang w:val="es-ES" w:eastAsia="es-ES_tradnl"/>
              </w:rPr>
              <w:t>Diana Lucía Saavedra Castañeda</w:t>
            </w:r>
          </w:p>
          <w:p w14:paraId="5334075D" w14:textId="77777777" w:rsidR="004876D0" w:rsidRDefault="004876D0" w:rsidP="00EA32A5">
            <w:pPr>
              <w:spacing w:before="100" w:beforeAutospacing="1" w:afterAutospacing="1"/>
              <w:contextualSpacing/>
              <w:textAlignment w:val="baseline"/>
              <w:rPr>
                <w:rFonts w:ascii="Verdana" w:eastAsia="Times New Roman" w:hAnsi="Verdana" w:cs="Arial"/>
                <w:sz w:val="16"/>
                <w:szCs w:val="16"/>
                <w:lang w:val="es-ES" w:eastAsia="es-ES_tradnl"/>
              </w:rPr>
            </w:pPr>
            <w:r w:rsidRPr="002D273E">
              <w:rPr>
                <w:rFonts w:ascii="Verdana" w:eastAsia="Times New Roman" w:hAnsi="Verdana" w:cs="Arial"/>
                <w:sz w:val="16"/>
                <w:szCs w:val="16"/>
                <w:lang w:val="es-ES" w:eastAsia="es-ES_tradnl"/>
              </w:rPr>
              <w:t>Contratista de la Subdirección de Gestión Contractual</w:t>
            </w:r>
          </w:p>
          <w:p w14:paraId="0E0B6975" w14:textId="77777777" w:rsidR="004876D0" w:rsidRPr="00A27102" w:rsidRDefault="004876D0" w:rsidP="00EA32A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66D96BD8" w14:textId="77777777" w:rsidR="004876D0" w:rsidRPr="00A27102" w:rsidRDefault="004876D0" w:rsidP="00EA32A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4876D0" w:rsidRPr="00A27102" w14:paraId="5F58F6CF" w14:textId="77777777" w:rsidTr="00EA32A5">
        <w:trPr>
          <w:trHeight w:val="300"/>
        </w:trPr>
        <w:tc>
          <w:tcPr>
            <w:tcW w:w="893" w:type="dxa"/>
            <w:vAlign w:val="center"/>
          </w:tcPr>
          <w:p w14:paraId="4B41FB18" w14:textId="77777777" w:rsidR="004876D0" w:rsidRPr="00A27102" w:rsidRDefault="004876D0" w:rsidP="00EA32A5">
            <w:pPr>
              <w:contextualSpacing/>
              <w:rPr>
                <w:rFonts w:ascii="Verdana" w:hAnsi="Verdana" w:cs="Arial"/>
                <w:sz w:val="16"/>
                <w:szCs w:val="16"/>
                <w:lang w:val="es-ES" w:eastAsia="es-ES"/>
              </w:rPr>
            </w:pPr>
            <w:r w:rsidRPr="00A27102">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4AA5E7" w14:textId="77777777" w:rsidR="004876D0" w:rsidRPr="00A27102" w:rsidRDefault="004876D0" w:rsidP="00EA32A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73CB751E" w14:textId="77777777" w:rsidR="004876D0" w:rsidRPr="00A27102" w:rsidRDefault="004876D0" w:rsidP="00EA32A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7301473A" w14:textId="77777777" w:rsidR="004876D0" w:rsidRPr="000E2B93" w:rsidRDefault="004876D0" w:rsidP="004876D0">
      <w:pPr>
        <w:spacing w:after="0" w:line="240" w:lineRule="auto"/>
        <w:jc w:val="both"/>
        <w:textAlignment w:val="baseline"/>
        <w:rPr>
          <w:rFonts w:ascii="Verdana" w:eastAsia="Verdana" w:hAnsi="Verdana" w:cs="Verdana"/>
          <w:lang w:eastAsia="es-CO"/>
        </w:rPr>
      </w:pPr>
    </w:p>
    <w:p w14:paraId="131668B8" w14:textId="18041D5F" w:rsidR="004876D0" w:rsidRPr="000E2B93" w:rsidRDefault="004876D0" w:rsidP="004876D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35CC256B" w14:textId="77777777" w:rsidR="00F5369B" w:rsidRDefault="00F5369B" w:rsidP="009B4037">
      <w:pPr>
        <w:spacing w:after="0" w:line="240" w:lineRule="auto"/>
        <w:rPr>
          <w:rFonts w:ascii="Verdana" w:hAnsi="Verdana"/>
        </w:rPr>
      </w:pPr>
    </w:p>
    <w:sectPr w:rsidR="00F5369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E9579" w14:textId="77777777" w:rsidR="00F3511A" w:rsidRDefault="00F3511A" w:rsidP="004A1847">
      <w:pPr>
        <w:spacing w:after="0" w:line="240" w:lineRule="auto"/>
      </w:pPr>
      <w:r>
        <w:separator/>
      </w:r>
    </w:p>
  </w:endnote>
  <w:endnote w:type="continuationSeparator" w:id="0">
    <w:p w14:paraId="0309D538" w14:textId="77777777" w:rsidR="00F3511A" w:rsidRDefault="00F3511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69F14" w14:textId="77777777" w:rsidR="00F3511A" w:rsidRDefault="00F3511A" w:rsidP="004A1847">
      <w:pPr>
        <w:spacing w:after="0" w:line="240" w:lineRule="auto"/>
      </w:pPr>
      <w:r>
        <w:separator/>
      </w:r>
    </w:p>
  </w:footnote>
  <w:footnote w:type="continuationSeparator" w:id="0">
    <w:p w14:paraId="54368D81" w14:textId="77777777" w:rsidR="00F3511A" w:rsidRDefault="00F3511A" w:rsidP="004A1847">
      <w:pPr>
        <w:spacing w:after="0" w:line="240" w:lineRule="auto"/>
      </w:pPr>
      <w:r>
        <w:continuationSeparator/>
      </w:r>
    </w:p>
  </w:footnote>
  <w:footnote w:id="1">
    <w:p w14:paraId="0703E1F8" w14:textId="77777777" w:rsidR="004876D0" w:rsidRPr="00C2547E" w:rsidRDefault="004876D0" w:rsidP="004876D0">
      <w:pPr>
        <w:pStyle w:val="Textonotapie"/>
        <w:ind w:firstLine="709"/>
        <w:jc w:val="both"/>
        <w:rPr>
          <w:rFonts w:ascii="Verdana" w:hAnsi="Verdana"/>
          <w:sz w:val="16"/>
          <w:szCs w:val="16"/>
          <w:lang w:val="es-CO"/>
        </w:rPr>
      </w:pPr>
      <w:r w:rsidRPr="00C2547E">
        <w:rPr>
          <w:rStyle w:val="Refdenotaalpie"/>
          <w:rFonts w:ascii="Verdana" w:hAnsi="Verdana"/>
          <w:sz w:val="16"/>
          <w:szCs w:val="16"/>
        </w:rPr>
        <w:footnoteRef/>
      </w:r>
      <w:r w:rsidRPr="00C2547E">
        <w:rPr>
          <w:rFonts w:ascii="Verdana" w:hAnsi="Verdana"/>
          <w:sz w:val="16"/>
          <w:szCs w:val="16"/>
        </w:rPr>
        <w:t xml:space="preserve"> Disponible en: </w:t>
      </w:r>
      <w:hyperlink r:id="rId1" w:history="1">
        <w:r w:rsidRPr="00C2547E">
          <w:rPr>
            <w:rStyle w:val="Hipervnculo"/>
            <w:rFonts w:ascii="Verdana" w:hAnsi="Verdana"/>
            <w:sz w:val="16"/>
            <w:szCs w:val="16"/>
          </w:rPr>
          <w:t>https://www.colombiacompra.gov.co/base-conocimiento/gestion-contractual-envio-del-contrato-secop-ii</w:t>
        </w:r>
      </w:hyperlink>
      <w:r w:rsidRPr="00C2547E">
        <w:rPr>
          <w:rFonts w:ascii="Verdana" w:hAnsi="Verdana"/>
          <w:sz w:val="16"/>
          <w:szCs w:val="16"/>
        </w:rPr>
        <w:t xml:space="preserve"> </w:t>
      </w:r>
    </w:p>
  </w:footnote>
  <w:footnote w:id="2">
    <w:p w14:paraId="3B00A895" w14:textId="77777777" w:rsidR="004876D0" w:rsidRDefault="004876D0" w:rsidP="004876D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3502C87" w14:textId="77777777" w:rsidR="004876D0" w:rsidRDefault="004876D0" w:rsidP="004876D0">
      <w:pPr>
        <w:pStyle w:val="Textonotapie"/>
        <w:ind w:firstLine="709"/>
        <w:jc w:val="both"/>
        <w:rPr>
          <w:rFonts w:ascii="Verdana" w:hAnsi="Verdana" w:cs="Arial"/>
          <w:sz w:val="16"/>
          <w:szCs w:val="16"/>
        </w:rPr>
      </w:pPr>
      <w:r>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55C90D0F" w14:textId="77777777" w:rsidR="004876D0" w:rsidRDefault="004876D0" w:rsidP="004876D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Gaceta del Congreso de la República No. 71 del 2005.</w:t>
      </w:r>
    </w:p>
  </w:footnote>
  <w:footnote w:id="4">
    <w:p w14:paraId="1D06E65F" w14:textId="77777777" w:rsidR="004876D0" w:rsidRDefault="004876D0" w:rsidP="004876D0">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 C- 1153 de 2005, M.P. Marco Gerardo </w:t>
      </w:r>
      <w:proofErr w:type="spellStart"/>
      <w:r>
        <w:rPr>
          <w:rFonts w:ascii="Verdana" w:hAnsi="Verdana" w:cs="Arial"/>
          <w:sz w:val="16"/>
          <w:szCs w:val="16"/>
          <w:lang w:val="pt-BR"/>
        </w:rPr>
        <w:t>Monroy</w:t>
      </w:r>
      <w:proofErr w:type="spellEnd"/>
      <w:r>
        <w:rPr>
          <w:rFonts w:ascii="Verdana" w:hAnsi="Verdana" w:cs="Arial"/>
          <w:sz w:val="16"/>
          <w:szCs w:val="16"/>
          <w:lang w:val="pt-BR"/>
        </w:rPr>
        <w:t xml:space="preserve"> Cabra.</w:t>
      </w:r>
    </w:p>
  </w:footnote>
  <w:footnote w:id="5">
    <w:p w14:paraId="2CC08FE6" w14:textId="77777777" w:rsidR="004876D0" w:rsidRDefault="004876D0" w:rsidP="004876D0">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Sentencias: C-233 de 4 de abril de 2002, expediente: D-3704; C-551 de 9 de </w:t>
      </w:r>
      <w:proofErr w:type="spellStart"/>
      <w:r>
        <w:rPr>
          <w:rFonts w:ascii="Verdana" w:hAnsi="Verdana" w:cs="Arial"/>
          <w:sz w:val="16"/>
          <w:szCs w:val="16"/>
          <w:lang w:val="pt-BR"/>
        </w:rPr>
        <w:t>julio</w:t>
      </w:r>
      <w:proofErr w:type="spellEnd"/>
      <w:r>
        <w:rPr>
          <w:rFonts w:ascii="Verdana" w:hAnsi="Verdana" w:cs="Arial"/>
          <w:sz w:val="16"/>
          <w:szCs w:val="16"/>
          <w:lang w:val="pt-BR"/>
        </w:rPr>
        <w:t xml:space="preserve"> de 2003, expediente: CRF-001 de 9 de </w:t>
      </w:r>
      <w:proofErr w:type="spellStart"/>
      <w:r>
        <w:rPr>
          <w:rFonts w:ascii="Verdana" w:hAnsi="Verdana" w:cs="Arial"/>
          <w:sz w:val="16"/>
          <w:szCs w:val="16"/>
          <w:lang w:val="pt-BR"/>
        </w:rPr>
        <w:t>julio</w:t>
      </w:r>
      <w:proofErr w:type="spellEnd"/>
      <w:r>
        <w:rPr>
          <w:rFonts w:ascii="Verdana" w:hAnsi="Verdana" w:cs="Arial"/>
          <w:sz w:val="16"/>
          <w:szCs w:val="16"/>
          <w:lang w:val="pt-BR"/>
        </w:rPr>
        <w:t xml:space="preserve"> de 2003; C-652 de 5 de agosto de 2003, expediente: D-4330; C-353 de 20 de </w:t>
      </w:r>
      <w:proofErr w:type="spellStart"/>
      <w:r>
        <w:rPr>
          <w:rFonts w:ascii="Verdana" w:hAnsi="Verdana" w:cs="Arial"/>
          <w:sz w:val="16"/>
          <w:szCs w:val="16"/>
          <w:lang w:val="pt-BR"/>
        </w:rPr>
        <w:t>mayo</w:t>
      </w:r>
      <w:proofErr w:type="spellEnd"/>
      <w:r>
        <w:rPr>
          <w:rFonts w:ascii="Verdana" w:hAnsi="Verdana" w:cs="Arial"/>
          <w:sz w:val="16"/>
          <w:szCs w:val="16"/>
          <w:lang w:val="pt-BR"/>
        </w:rPr>
        <w:t xml:space="preserve"> de 2009, expediente: D-7518, C-541 de 30 de </w:t>
      </w:r>
      <w:proofErr w:type="spellStart"/>
      <w:r>
        <w:rPr>
          <w:rFonts w:ascii="Verdana" w:hAnsi="Verdana" w:cs="Arial"/>
          <w:sz w:val="16"/>
          <w:szCs w:val="16"/>
          <w:lang w:val="pt-BR"/>
        </w:rPr>
        <w:t>junio</w:t>
      </w:r>
      <w:proofErr w:type="spellEnd"/>
      <w:r>
        <w:rPr>
          <w:rFonts w:ascii="Verdana" w:hAnsi="Verdana" w:cs="Arial"/>
          <w:sz w:val="16"/>
          <w:szCs w:val="16"/>
          <w:lang w:val="pt-BR"/>
        </w:rPr>
        <w:t xml:space="preserve"> de 2010, expediente: DD7966; entre </w:t>
      </w:r>
      <w:proofErr w:type="spellStart"/>
      <w:r>
        <w:rPr>
          <w:rFonts w:ascii="Verdana" w:hAnsi="Verdana" w:cs="Arial"/>
          <w:sz w:val="16"/>
          <w:szCs w:val="16"/>
          <w:lang w:val="pt-BR"/>
        </w:rPr>
        <w:t>otras</w:t>
      </w:r>
      <w:proofErr w:type="spellEnd"/>
      <w:r>
        <w:rPr>
          <w:rFonts w:ascii="Verdana" w:hAnsi="Verdana" w:cs="Arial"/>
          <w:sz w:val="16"/>
          <w:szCs w:val="16"/>
          <w:lang w:val="pt-BR"/>
        </w:rPr>
        <w:t>.</w:t>
      </w:r>
    </w:p>
  </w:footnote>
  <w:footnote w:id="6">
    <w:p w14:paraId="725D25AC" w14:textId="77777777" w:rsidR="004876D0" w:rsidRDefault="004876D0" w:rsidP="004876D0">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A7B1D62" w14:textId="77777777" w:rsidR="004876D0" w:rsidRDefault="004876D0" w:rsidP="004876D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de fecha 24 de julio de 2013, radicado 2166, C. P. Álvaro Namén Vargas.  </w:t>
      </w:r>
    </w:p>
  </w:footnote>
  <w:footnote w:id="8">
    <w:p w14:paraId="60233A00" w14:textId="77777777" w:rsidR="004876D0" w:rsidRDefault="004876D0" w:rsidP="004876D0">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5" w:name="33"/>
      <w:r>
        <w:rPr>
          <w:rFonts w:ascii="Verdana" w:eastAsia="Times New Roman" w:hAnsi="Verdana" w:cs="Arial"/>
          <w:sz w:val="16"/>
          <w:szCs w:val="16"/>
        </w:rPr>
        <w:t>Artículo 33. Restricciones a la contratación pública.</w:t>
      </w:r>
      <w:bookmarkEnd w:id="5"/>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2750683" w14:textId="77777777" w:rsidR="004876D0" w:rsidRDefault="004876D0" w:rsidP="004876D0">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9">
    <w:p w14:paraId="1E87BABD" w14:textId="77777777" w:rsidR="004876D0" w:rsidRDefault="004876D0" w:rsidP="004876D0">
      <w:pPr>
        <w:pStyle w:val="NormalWeb"/>
        <w:spacing w:before="0" w:beforeAutospacing="0" w:after="0" w:afterAutospacing="0"/>
        <w:ind w:firstLine="709"/>
        <w:jc w:val="both"/>
        <w:rPr>
          <w:rFonts w:ascii="Verdana" w:hAnsi="Verdana" w:cs="Arial"/>
          <w:sz w:val="16"/>
          <w:szCs w:val="16"/>
          <w:lang w:val="es-MX"/>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6" w:name="38"/>
      <w:r>
        <w:rPr>
          <w:rFonts w:ascii="Verdana" w:hAnsi="Verdana" w:cs="Arial"/>
          <w:sz w:val="16"/>
          <w:szCs w:val="16"/>
          <w:lang w:val="es-MX"/>
        </w:rPr>
        <w:t>Artículo 38. Prohibiciones para los servidores públicos. A los empleados del Estado les está prohibido:</w:t>
      </w:r>
      <w:bookmarkEnd w:id="6"/>
      <w:r>
        <w:rPr>
          <w:rFonts w:ascii="Verdana" w:hAnsi="Verdana" w:cs="Arial"/>
          <w:sz w:val="16"/>
          <w:szCs w:val="16"/>
          <w:lang w:val="es-MX"/>
        </w:rPr>
        <w:t xml:space="preserve"> […]</w:t>
      </w:r>
    </w:p>
    <w:p w14:paraId="5813B4C2" w14:textId="77777777" w:rsidR="004876D0" w:rsidRDefault="004876D0" w:rsidP="004876D0">
      <w:pPr>
        <w:pStyle w:val="NormalWeb"/>
        <w:spacing w:before="0" w:beforeAutospacing="0" w:after="0" w:afterAutospacing="0"/>
        <w:ind w:firstLine="709"/>
        <w:jc w:val="both"/>
        <w:rPr>
          <w:rFonts w:ascii="Verdana" w:hAnsi="Verdana" w:cs="Arial"/>
          <w:sz w:val="16"/>
          <w:szCs w:val="16"/>
          <w:lang w:val="es-MX"/>
        </w:rPr>
      </w:pPr>
      <w:r>
        <w:rPr>
          <w:rStyle w:val="baj"/>
          <w:rFonts w:ascii="Verdana" w:hAnsi="Verdana" w:cs="Arial"/>
          <w:sz w:val="16"/>
          <w:szCs w:val="16"/>
          <w:lang w:val="es-MX"/>
        </w:rPr>
        <w:t>Parágrafo.</w:t>
      </w:r>
      <w:r>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color w:val="000000"/>
          <w:sz w:val="16"/>
          <w:szCs w:val="16"/>
        </w:rPr>
        <w:t>”</w:t>
      </w:r>
      <w:r>
        <w:rPr>
          <w:rFonts w:ascii="Verdana" w:hAnsi="Verdana" w:cs="Arial"/>
          <w:sz w:val="16"/>
          <w:szCs w:val="16"/>
          <w:lang w:val="es-MX"/>
        </w:rPr>
        <w:t>.</w:t>
      </w:r>
    </w:p>
  </w:footnote>
  <w:footnote w:id="10">
    <w:p w14:paraId="070A56FD" w14:textId="77777777" w:rsidR="004876D0" w:rsidRDefault="004876D0" w:rsidP="004876D0">
      <w:pPr>
        <w:spacing w:after="0" w:line="240" w:lineRule="auto"/>
        <w:ind w:left="100" w:right="244" w:firstLine="608"/>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32B7D997" w14:textId="77777777" w:rsidR="004876D0" w:rsidRDefault="004876D0" w:rsidP="004876D0">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w:t>
      </w:r>
    </w:p>
  </w:footnote>
  <w:footnote w:id="12">
    <w:p w14:paraId="522339BD" w14:textId="77777777" w:rsidR="004876D0" w:rsidRDefault="004876D0" w:rsidP="004876D0">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roofErr w:type="gramStart"/>
      <w:r>
        <w:rPr>
          <w:rFonts w:ascii="Verdana" w:hAnsi="Verdana" w:cs="Arial"/>
          <w:sz w:val="16"/>
          <w:szCs w:val="16"/>
        </w:rPr>
        <w:t>-“</w:t>
      </w:r>
      <w:proofErr w:type="gramEnd"/>
      <w:r>
        <w:rPr>
          <w:rFonts w:ascii="Verdana" w:hAnsi="Verdana" w:cs="Arial"/>
          <w:sz w:val="16"/>
          <w:szCs w:val="16"/>
        </w:rPr>
        <w:t>.</w:t>
      </w:r>
    </w:p>
  </w:footnote>
  <w:footnote w:id="13">
    <w:p w14:paraId="2C6AF73B" w14:textId="77777777" w:rsidR="004876D0" w:rsidRDefault="004876D0" w:rsidP="004876D0">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4">
    <w:p w14:paraId="1E9B57AB" w14:textId="77777777" w:rsidR="004876D0" w:rsidRDefault="004876D0" w:rsidP="004876D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487F0EAA" w14:textId="77777777" w:rsidR="004876D0" w:rsidRDefault="004876D0" w:rsidP="004876D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6">
    <w:p w14:paraId="4D627DE7" w14:textId="77777777" w:rsidR="004876D0" w:rsidRDefault="004876D0" w:rsidP="004876D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17">
    <w:p w14:paraId="5684E135" w14:textId="77777777" w:rsidR="004876D0" w:rsidRDefault="004876D0" w:rsidP="004876D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42C0835F" w14:textId="77777777" w:rsidR="004876D0" w:rsidRDefault="004876D0" w:rsidP="004876D0">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6E7CBA89" w14:textId="77777777" w:rsidR="004876D0" w:rsidRDefault="004876D0" w:rsidP="004876D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w:t>
      </w:r>
      <w:proofErr w:type="spellStart"/>
      <w:r>
        <w:rPr>
          <w:rFonts w:ascii="Verdana" w:hAnsi="Verdana" w:cs="Arial"/>
          <w:sz w:val="16"/>
          <w:szCs w:val="16"/>
        </w:rPr>
        <w:t>Exp</w:t>
      </w:r>
      <w:proofErr w:type="spellEnd"/>
      <w:r>
        <w:rPr>
          <w:rFonts w:ascii="Verdana" w:hAnsi="Verdana" w:cs="Arial"/>
          <w:sz w:val="16"/>
          <w:szCs w:val="16"/>
        </w:rPr>
        <w:t>. 2.382. C.P. Álvaro Namén Vargas.</w:t>
      </w:r>
    </w:p>
  </w:footnote>
  <w:footnote w:id="20">
    <w:p w14:paraId="420D109B" w14:textId="77777777" w:rsidR="004876D0" w:rsidRDefault="004876D0" w:rsidP="004876D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Pr>
          <w:rFonts w:ascii="Verdana" w:hAnsi="Verdana" w:cs="Arial"/>
          <w:sz w:val="16"/>
          <w:szCs w:val="16"/>
        </w:rPr>
        <w:t>N°</w:t>
      </w:r>
      <w:proofErr w:type="spellEnd"/>
      <w:r>
        <w:rPr>
          <w:rFonts w:ascii="Verdana" w:hAnsi="Verdana" w:cs="Arial"/>
          <w:sz w:val="16"/>
          <w:szCs w:val="16"/>
        </w:rPr>
        <w:t xml:space="preserve"> 216/05 Senado, </w:t>
      </w:r>
      <w:proofErr w:type="spellStart"/>
      <w:r>
        <w:rPr>
          <w:rFonts w:ascii="Verdana" w:hAnsi="Verdana" w:cs="Arial"/>
          <w:sz w:val="16"/>
          <w:szCs w:val="16"/>
        </w:rPr>
        <w:t>N°</w:t>
      </w:r>
      <w:proofErr w:type="spellEnd"/>
      <w:r>
        <w:rPr>
          <w:rFonts w:ascii="Verdana" w:hAnsi="Verdana" w:cs="Arial"/>
          <w:sz w:val="16"/>
          <w:szCs w:val="16"/>
        </w:rPr>
        <w:t xml:space="preserve"> 235-Cámara que dio lugar a la Ley de Garantías Electorales.</w:t>
      </w:r>
    </w:p>
  </w:footnote>
  <w:footnote w:id="21">
    <w:p w14:paraId="0A42E773" w14:textId="77777777" w:rsidR="004876D0" w:rsidRDefault="004876D0" w:rsidP="004876D0">
      <w:pPr>
        <w:spacing w:after="0" w:line="240" w:lineRule="auto"/>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43B5D1C9" w14:textId="77777777" w:rsidR="004876D0" w:rsidRDefault="004876D0" w:rsidP="004876D0">
      <w:pPr>
        <w:pStyle w:val="Textonotapie"/>
        <w:ind w:right="51" w:firstLine="709"/>
        <w:jc w:val="both"/>
        <w:rPr>
          <w:rFonts w:ascii="Verdana" w:eastAsia="Times New Roman" w:hAnsi="Verdana" w:cs="Arial"/>
          <w:bCs/>
          <w:sz w:val="16"/>
          <w:szCs w:val="16"/>
          <w:lang w:eastAsia="x-none"/>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 (1738). C.P.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3">
    <w:p w14:paraId="313DEFE6" w14:textId="77777777" w:rsidR="004876D0" w:rsidRDefault="004876D0" w:rsidP="004876D0">
      <w:pPr>
        <w:spacing w:after="0" w:line="240" w:lineRule="auto"/>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30292944" w14:textId="77777777" w:rsidR="004876D0" w:rsidRDefault="004876D0" w:rsidP="004876D0">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25">
    <w:p w14:paraId="3620DFF5" w14:textId="77777777" w:rsidR="004876D0" w:rsidRDefault="004876D0" w:rsidP="004876D0">
      <w:pPr>
        <w:pStyle w:val="Textonotapie"/>
        <w:ind w:firstLine="709"/>
        <w:rPr>
          <w:sz w:val="14"/>
          <w:szCs w:val="14"/>
          <w:lang w:val="es-CO"/>
        </w:rPr>
      </w:pPr>
      <w:r>
        <w:rPr>
          <w:rStyle w:val="Refdenotaalpie"/>
          <w:sz w:val="14"/>
          <w:szCs w:val="14"/>
        </w:rPr>
        <w:footnoteRef/>
      </w:r>
      <w:r>
        <w:rPr>
          <w:sz w:val="14"/>
          <w:szCs w:val="14"/>
        </w:rPr>
        <w:t xml:space="preserve"> </w:t>
      </w:r>
      <w:r>
        <w:rPr>
          <w:rFonts w:ascii="Verdana" w:hAnsi="Verdana"/>
          <w:sz w:val="14"/>
          <w:szCs w:val="14"/>
          <w:lang w:val="es-CO"/>
        </w:rPr>
        <w:t xml:space="preserve">Disponible en: </w:t>
      </w:r>
      <w:hyperlink r:id="rId2" w:history="1">
        <w:r>
          <w:rPr>
            <w:rStyle w:val="Hipervnculo"/>
            <w:rFonts w:ascii="Verdana" w:hAnsi="Verdana"/>
            <w:sz w:val="14"/>
            <w:szCs w:val="14"/>
            <w:lang w:val="es-CO"/>
          </w:rPr>
          <w:t>https://www.colombiacompra.gov.co/node/23710</w:t>
        </w:r>
      </w:hyperlink>
      <w:r>
        <w:rPr>
          <w:sz w:val="14"/>
          <w:szCs w:val="14"/>
          <w:lang w:val="es-CO"/>
        </w:rPr>
        <w:t xml:space="preserve"> </w:t>
      </w:r>
    </w:p>
  </w:footnote>
  <w:footnote w:id="26">
    <w:p w14:paraId="263C9412" w14:textId="77777777" w:rsidR="004876D0" w:rsidRPr="00C2547E" w:rsidRDefault="004876D0" w:rsidP="004876D0">
      <w:pPr>
        <w:pStyle w:val="Textonotapie"/>
        <w:ind w:firstLine="709"/>
        <w:jc w:val="both"/>
        <w:rPr>
          <w:rFonts w:ascii="Verdana" w:hAnsi="Verdana"/>
          <w:sz w:val="16"/>
          <w:szCs w:val="16"/>
          <w:lang w:val="es-CO"/>
        </w:rPr>
      </w:pPr>
      <w:r w:rsidRPr="00C2547E">
        <w:rPr>
          <w:rStyle w:val="Refdenotaalpie"/>
          <w:rFonts w:ascii="Verdana" w:hAnsi="Verdana"/>
          <w:sz w:val="16"/>
          <w:szCs w:val="16"/>
        </w:rPr>
        <w:footnoteRef/>
      </w:r>
      <w:r w:rsidRPr="00C2547E">
        <w:rPr>
          <w:rFonts w:ascii="Verdana" w:hAnsi="Verdana"/>
          <w:sz w:val="16"/>
          <w:szCs w:val="16"/>
        </w:rPr>
        <w:t xml:space="preserve"> Disponible en: </w:t>
      </w:r>
      <w:hyperlink r:id="rId3" w:history="1">
        <w:r w:rsidRPr="00C2547E">
          <w:rPr>
            <w:rStyle w:val="Hipervnculo"/>
            <w:rFonts w:ascii="Verdana" w:hAnsi="Verdana"/>
            <w:sz w:val="16"/>
            <w:szCs w:val="16"/>
          </w:rPr>
          <w:t>https://www.colombiacompra.gov.co/base-conocimiento/gestion-contractual-envio-del-contrato-secop-ii</w:t>
        </w:r>
      </w:hyperlink>
      <w:r w:rsidRPr="00C2547E">
        <w:rPr>
          <w:rFonts w:ascii="Verdana" w:hAnsi="Verdana"/>
          <w:sz w:val="16"/>
          <w:szCs w:val="16"/>
        </w:rPr>
        <w:t xml:space="preserve"> </w:t>
      </w:r>
    </w:p>
  </w:footnote>
  <w:footnote w:id="27">
    <w:p w14:paraId="7D0936C0" w14:textId="77777777" w:rsidR="004876D0" w:rsidRPr="00C2547E" w:rsidRDefault="004876D0" w:rsidP="004876D0">
      <w:pPr>
        <w:pStyle w:val="Textonotapie"/>
        <w:ind w:firstLine="709"/>
        <w:jc w:val="both"/>
        <w:rPr>
          <w:lang w:val="es-CO"/>
        </w:rPr>
      </w:pPr>
      <w:r w:rsidRPr="00C2547E">
        <w:rPr>
          <w:rStyle w:val="Refdenotaalpie"/>
          <w:rFonts w:ascii="Verdana" w:hAnsi="Verdana"/>
          <w:sz w:val="16"/>
          <w:szCs w:val="16"/>
        </w:rPr>
        <w:footnoteRef/>
      </w:r>
      <w:r w:rsidRPr="00C2547E">
        <w:rPr>
          <w:rFonts w:ascii="Verdana" w:hAnsi="Verdana"/>
          <w:sz w:val="16"/>
          <w:szCs w:val="16"/>
        </w:rPr>
        <w:t xml:space="preserve"> </w:t>
      </w:r>
      <w:r w:rsidRPr="00C2547E">
        <w:rPr>
          <w:rFonts w:ascii="Verdana" w:hAnsi="Verdana"/>
          <w:sz w:val="16"/>
          <w:szCs w:val="16"/>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D97CCD">
        <w:t xml:space="preserve"> </w:t>
      </w:r>
      <w:hyperlink r:id="rId4" w:history="1">
        <w:r w:rsidRPr="009965FB">
          <w:rPr>
            <w:rStyle w:val="Hipervnculo"/>
            <w:rFonts w:ascii="Verdana" w:hAnsi="Verdana"/>
            <w:sz w:val="16"/>
            <w:szCs w:val="16"/>
            <w:lang w:val="es-CO"/>
          </w:rPr>
          <w:t>https://www.colombiacompra.gov.co/base-conocimiento/configuracion-de-cuentas-secop-ii</w:t>
        </w:r>
      </w:hyperlink>
      <w:r>
        <w:rPr>
          <w:rFonts w:ascii="Verdana" w:hAnsi="Verdana"/>
          <w:sz w:val="16"/>
          <w:szCs w:val="16"/>
          <w:lang w:val="es-CO"/>
        </w:rPr>
        <w:t xml:space="preserve"> </w:t>
      </w:r>
    </w:p>
  </w:footnote>
  <w:footnote w:id="28">
    <w:p w14:paraId="65865723" w14:textId="77777777" w:rsidR="004876D0" w:rsidRPr="00422868" w:rsidRDefault="004876D0" w:rsidP="004876D0">
      <w:pPr>
        <w:spacing w:after="0" w:line="240" w:lineRule="auto"/>
        <w:ind w:firstLine="707"/>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44. Los contratos del Estado son absolutamente nulos en los casos previstos en el derecho común y además cuando:</w:t>
      </w:r>
    </w:p>
    <w:p w14:paraId="6DC9CF6D" w14:textId="77777777" w:rsidR="004876D0" w:rsidRPr="00422868" w:rsidRDefault="004876D0" w:rsidP="004876D0">
      <w:pPr>
        <w:spacing w:after="0" w:line="240" w:lineRule="auto"/>
        <w:ind w:firstLine="708"/>
        <w:jc w:val="both"/>
        <w:rPr>
          <w:rFonts w:ascii="Verdana" w:hAnsi="Verdana" w:cs="Arial"/>
          <w:sz w:val="16"/>
          <w:szCs w:val="16"/>
        </w:rPr>
      </w:pPr>
      <w:r w:rsidRPr="00422868">
        <w:rPr>
          <w:rFonts w:ascii="Verdana" w:hAnsi="Verdana" w:cs="Arial"/>
          <w:sz w:val="16"/>
          <w:szCs w:val="16"/>
        </w:rPr>
        <w:t>1o. Se celebren con personas incursas en causales de inhabilidad o incompatibilidad previstas en la Constitución y la ley;</w:t>
      </w:r>
    </w:p>
    <w:p w14:paraId="72277025" w14:textId="77777777" w:rsidR="004876D0" w:rsidRPr="00422868" w:rsidRDefault="004876D0" w:rsidP="004876D0">
      <w:pPr>
        <w:spacing w:after="0" w:line="240" w:lineRule="auto"/>
        <w:ind w:firstLine="708"/>
        <w:jc w:val="both"/>
        <w:rPr>
          <w:rFonts w:ascii="Verdana" w:hAnsi="Verdana" w:cs="Arial"/>
          <w:sz w:val="16"/>
          <w:szCs w:val="16"/>
        </w:rPr>
      </w:pPr>
      <w:r w:rsidRPr="00422868">
        <w:rPr>
          <w:rFonts w:ascii="Verdana" w:hAnsi="Verdana" w:cs="Arial"/>
          <w:sz w:val="16"/>
          <w:szCs w:val="16"/>
        </w:rPr>
        <w:t xml:space="preserve">2o. Se celebren contra expresa prohibición constitucional o legal; </w:t>
      </w:r>
    </w:p>
    <w:p w14:paraId="6E063CD7" w14:textId="77777777" w:rsidR="004876D0" w:rsidRPr="00422868" w:rsidRDefault="004876D0" w:rsidP="004876D0">
      <w:pPr>
        <w:spacing w:after="0" w:line="240" w:lineRule="auto"/>
        <w:ind w:firstLine="708"/>
        <w:jc w:val="both"/>
        <w:rPr>
          <w:rFonts w:ascii="Verdana" w:hAnsi="Verdana" w:cs="Arial"/>
          <w:sz w:val="16"/>
          <w:szCs w:val="16"/>
        </w:rPr>
      </w:pPr>
      <w:r w:rsidRPr="00422868">
        <w:rPr>
          <w:rFonts w:ascii="Verdana" w:hAnsi="Verdana" w:cs="Arial"/>
          <w:sz w:val="16"/>
          <w:szCs w:val="16"/>
        </w:rPr>
        <w:t>3o. Se celebren con abuso o desviación de poder;</w:t>
      </w:r>
    </w:p>
    <w:p w14:paraId="0058F8A0" w14:textId="77777777" w:rsidR="004876D0" w:rsidRPr="00422868" w:rsidRDefault="004876D0" w:rsidP="004876D0">
      <w:pPr>
        <w:spacing w:after="0" w:line="240" w:lineRule="auto"/>
        <w:ind w:firstLine="708"/>
        <w:jc w:val="both"/>
        <w:rPr>
          <w:rFonts w:ascii="Verdana" w:hAnsi="Verdana" w:cs="Arial"/>
          <w:sz w:val="16"/>
          <w:szCs w:val="16"/>
        </w:rPr>
      </w:pPr>
      <w:r w:rsidRPr="00422868">
        <w:rPr>
          <w:rFonts w:ascii="Verdana" w:hAnsi="Verdana" w:cs="Arial"/>
          <w:sz w:val="16"/>
          <w:szCs w:val="16"/>
        </w:rPr>
        <w:t>4o. Se declaren nulos los actos administrativos en que se fundamenten; y</w:t>
      </w:r>
    </w:p>
    <w:p w14:paraId="7046B09E" w14:textId="77777777" w:rsidR="004876D0" w:rsidRPr="00422868" w:rsidRDefault="004876D0" w:rsidP="004876D0">
      <w:pPr>
        <w:spacing w:after="0" w:line="240" w:lineRule="auto"/>
        <w:ind w:firstLine="708"/>
        <w:jc w:val="both"/>
        <w:rPr>
          <w:rFonts w:ascii="Verdana" w:hAnsi="Verdana" w:cs="Arial"/>
          <w:sz w:val="16"/>
          <w:szCs w:val="16"/>
        </w:rPr>
      </w:pPr>
      <w:r w:rsidRPr="00422868">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29">
    <w:p w14:paraId="62F29AD4" w14:textId="77777777" w:rsidR="004876D0" w:rsidRPr="00BC3C46" w:rsidRDefault="004876D0" w:rsidP="004876D0">
      <w:pPr>
        <w:pStyle w:val="Textonotapie"/>
        <w:ind w:firstLine="709"/>
        <w:rPr>
          <w:lang w:val="es-CO"/>
        </w:rPr>
      </w:pPr>
      <w:r>
        <w:rPr>
          <w:rStyle w:val="Refdenotaalpie"/>
        </w:rPr>
        <w:footnoteRef/>
      </w:r>
      <w:r>
        <w:t xml:space="preserve"> </w:t>
      </w:r>
      <w:r>
        <w:rPr>
          <w:rFonts w:ascii="Verdana" w:hAnsi="Verdana" w:cs="Arial"/>
          <w:sz w:val="16"/>
          <w:szCs w:val="16"/>
          <w:lang w:val="es-CO"/>
        </w:rPr>
        <w:t xml:space="preserve">Consejo de Estado, Sala de lo Contencioso Administrativo, Sección Tercera, Subsección A.  Primera. Sentencia de 11 de junio de 2014, expediente número </w:t>
      </w:r>
      <w:r w:rsidRPr="001C1076">
        <w:rPr>
          <w:rFonts w:ascii="Verdana" w:hAnsi="Verdana" w:cs="Arial"/>
          <w:sz w:val="16"/>
          <w:szCs w:val="16"/>
          <w:lang w:val="es-CO"/>
        </w:rPr>
        <w:t>34649</w:t>
      </w:r>
      <w:r>
        <w:rPr>
          <w:rFonts w:ascii="Verdana" w:hAnsi="Verdana" w:cs="Arial"/>
          <w:sz w:val="16"/>
          <w:szCs w:val="16"/>
          <w:lang w:val="es-CO"/>
        </w:rPr>
        <w:t xml:space="preserve">. C.P: Hernán Andrade Rincon.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970"/>
    <w:rsid w:val="00005E1E"/>
    <w:rsid w:val="00013201"/>
    <w:rsid w:val="00014D9E"/>
    <w:rsid w:val="00016F78"/>
    <w:rsid w:val="0002029B"/>
    <w:rsid w:val="00020484"/>
    <w:rsid w:val="000229C3"/>
    <w:rsid w:val="00023ADC"/>
    <w:rsid w:val="00031855"/>
    <w:rsid w:val="00033D1E"/>
    <w:rsid w:val="00035438"/>
    <w:rsid w:val="00040801"/>
    <w:rsid w:val="000466BD"/>
    <w:rsid w:val="00046945"/>
    <w:rsid w:val="0005195F"/>
    <w:rsid w:val="00052B57"/>
    <w:rsid w:val="000547F7"/>
    <w:rsid w:val="0006061C"/>
    <w:rsid w:val="00061547"/>
    <w:rsid w:val="00061B2A"/>
    <w:rsid w:val="000673BA"/>
    <w:rsid w:val="00071189"/>
    <w:rsid w:val="00071D46"/>
    <w:rsid w:val="00074CDA"/>
    <w:rsid w:val="00081B47"/>
    <w:rsid w:val="00082362"/>
    <w:rsid w:val="00082F90"/>
    <w:rsid w:val="0008354C"/>
    <w:rsid w:val="000838BA"/>
    <w:rsid w:val="0009030A"/>
    <w:rsid w:val="000920EA"/>
    <w:rsid w:val="00092DCC"/>
    <w:rsid w:val="00095642"/>
    <w:rsid w:val="000A2543"/>
    <w:rsid w:val="000A50F2"/>
    <w:rsid w:val="000A683E"/>
    <w:rsid w:val="000A6D90"/>
    <w:rsid w:val="000B19B9"/>
    <w:rsid w:val="000B3DFD"/>
    <w:rsid w:val="000D0334"/>
    <w:rsid w:val="000D15E3"/>
    <w:rsid w:val="000D5DA7"/>
    <w:rsid w:val="000E3C0C"/>
    <w:rsid w:val="000F6486"/>
    <w:rsid w:val="00106C80"/>
    <w:rsid w:val="001078E9"/>
    <w:rsid w:val="001131F7"/>
    <w:rsid w:val="00116940"/>
    <w:rsid w:val="00125105"/>
    <w:rsid w:val="001263B8"/>
    <w:rsid w:val="00127233"/>
    <w:rsid w:val="00127865"/>
    <w:rsid w:val="00132DDE"/>
    <w:rsid w:val="00132F35"/>
    <w:rsid w:val="0013793B"/>
    <w:rsid w:val="00151EE6"/>
    <w:rsid w:val="001525FE"/>
    <w:rsid w:val="0015683D"/>
    <w:rsid w:val="0015699B"/>
    <w:rsid w:val="00160992"/>
    <w:rsid w:val="00161946"/>
    <w:rsid w:val="0016386A"/>
    <w:rsid w:val="00186559"/>
    <w:rsid w:val="00192440"/>
    <w:rsid w:val="00196525"/>
    <w:rsid w:val="001A0022"/>
    <w:rsid w:val="001A2CE0"/>
    <w:rsid w:val="001A33BF"/>
    <w:rsid w:val="001B04E1"/>
    <w:rsid w:val="001B2220"/>
    <w:rsid w:val="001B40D7"/>
    <w:rsid w:val="001C02BF"/>
    <w:rsid w:val="001C1076"/>
    <w:rsid w:val="001C347D"/>
    <w:rsid w:val="001C4466"/>
    <w:rsid w:val="001C4CF0"/>
    <w:rsid w:val="001C7A3B"/>
    <w:rsid w:val="001E4177"/>
    <w:rsid w:val="001F0A93"/>
    <w:rsid w:val="001F0B24"/>
    <w:rsid w:val="001F3BFF"/>
    <w:rsid w:val="001F7DC6"/>
    <w:rsid w:val="0020131C"/>
    <w:rsid w:val="0020697A"/>
    <w:rsid w:val="002112C9"/>
    <w:rsid w:val="0021326C"/>
    <w:rsid w:val="002133AC"/>
    <w:rsid w:val="00214C78"/>
    <w:rsid w:val="002151B7"/>
    <w:rsid w:val="00220E51"/>
    <w:rsid w:val="00222418"/>
    <w:rsid w:val="0022400B"/>
    <w:rsid w:val="00225635"/>
    <w:rsid w:val="0022674B"/>
    <w:rsid w:val="002421BB"/>
    <w:rsid w:val="002439E8"/>
    <w:rsid w:val="002446BB"/>
    <w:rsid w:val="0025796E"/>
    <w:rsid w:val="0026347A"/>
    <w:rsid w:val="002707A2"/>
    <w:rsid w:val="0027500F"/>
    <w:rsid w:val="00275223"/>
    <w:rsid w:val="00285515"/>
    <w:rsid w:val="002951A0"/>
    <w:rsid w:val="002962BC"/>
    <w:rsid w:val="002979E2"/>
    <w:rsid w:val="002A093D"/>
    <w:rsid w:val="002A0DD0"/>
    <w:rsid w:val="002A1EB4"/>
    <w:rsid w:val="002A49AC"/>
    <w:rsid w:val="002A64FD"/>
    <w:rsid w:val="002C1DC7"/>
    <w:rsid w:val="002C3456"/>
    <w:rsid w:val="002C7024"/>
    <w:rsid w:val="002C7A84"/>
    <w:rsid w:val="002D1555"/>
    <w:rsid w:val="002E2BF8"/>
    <w:rsid w:val="002E4FD9"/>
    <w:rsid w:val="002E61CB"/>
    <w:rsid w:val="002F0013"/>
    <w:rsid w:val="002F10C0"/>
    <w:rsid w:val="00301509"/>
    <w:rsid w:val="0030657A"/>
    <w:rsid w:val="00322A85"/>
    <w:rsid w:val="00322EC5"/>
    <w:rsid w:val="00324168"/>
    <w:rsid w:val="00330834"/>
    <w:rsid w:val="003448F4"/>
    <w:rsid w:val="00354826"/>
    <w:rsid w:val="00364792"/>
    <w:rsid w:val="00371077"/>
    <w:rsid w:val="00372C6B"/>
    <w:rsid w:val="00374F5E"/>
    <w:rsid w:val="0037544F"/>
    <w:rsid w:val="0037556D"/>
    <w:rsid w:val="00375627"/>
    <w:rsid w:val="00377E3E"/>
    <w:rsid w:val="003820DF"/>
    <w:rsid w:val="0038750C"/>
    <w:rsid w:val="00390276"/>
    <w:rsid w:val="003948B6"/>
    <w:rsid w:val="003A4E06"/>
    <w:rsid w:val="003A779E"/>
    <w:rsid w:val="003B1A56"/>
    <w:rsid w:val="003C6845"/>
    <w:rsid w:val="003D0F4D"/>
    <w:rsid w:val="003D1B64"/>
    <w:rsid w:val="003D5B0D"/>
    <w:rsid w:val="003D6606"/>
    <w:rsid w:val="003D7438"/>
    <w:rsid w:val="003E0499"/>
    <w:rsid w:val="003E4F80"/>
    <w:rsid w:val="003E6439"/>
    <w:rsid w:val="003E735B"/>
    <w:rsid w:val="003F0CFC"/>
    <w:rsid w:val="003F3941"/>
    <w:rsid w:val="003F5118"/>
    <w:rsid w:val="003F614D"/>
    <w:rsid w:val="0040472C"/>
    <w:rsid w:val="00406575"/>
    <w:rsid w:val="00407DAB"/>
    <w:rsid w:val="00410798"/>
    <w:rsid w:val="00411BDC"/>
    <w:rsid w:val="0041308F"/>
    <w:rsid w:val="0041459A"/>
    <w:rsid w:val="0041468A"/>
    <w:rsid w:val="00414C74"/>
    <w:rsid w:val="00421E16"/>
    <w:rsid w:val="0042722E"/>
    <w:rsid w:val="00441CBA"/>
    <w:rsid w:val="00442171"/>
    <w:rsid w:val="00443369"/>
    <w:rsid w:val="0044391D"/>
    <w:rsid w:val="0044528D"/>
    <w:rsid w:val="00446315"/>
    <w:rsid w:val="00447D68"/>
    <w:rsid w:val="00454929"/>
    <w:rsid w:val="00460A3E"/>
    <w:rsid w:val="00466E39"/>
    <w:rsid w:val="00467A2E"/>
    <w:rsid w:val="004802F4"/>
    <w:rsid w:val="004826B6"/>
    <w:rsid w:val="004848DE"/>
    <w:rsid w:val="004876D0"/>
    <w:rsid w:val="0049280A"/>
    <w:rsid w:val="0049672E"/>
    <w:rsid w:val="004A1847"/>
    <w:rsid w:val="004A305D"/>
    <w:rsid w:val="004A6106"/>
    <w:rsid w:val="004D21F3"/>
    <w:rsid w:val="004D249E"/>
    <w:rsid w:val="004D516B"/>
    <w:rsid w:val="004E615E"/>
    <w:rsid w:val="004F21C4"/>
    <w:rsid w:val="004F685F"/>
    <w:rsid w:val="00500CF5"/>
    <w:rsid w:val="00504FBE"/>
    <w:rsid w:val="00505F89"/>
    <w:rsid w:val="00511259"/>
    <w:rsid w:val="0051328D"/>
    <w:rsid w:val="005173C4"/>
    <w:rsid w:val="005254E6"/>
    <w:rsid w:val="0053094D"/>
    <w:rsid w:val="0054375A"/>
    <w:rsid w:val="00555728"/>
    <w:rsid w:val="005566E8"/>
    <w:rsid w:val="00556C7F"/>
    <w:rsid w:val="00560E6B"/>
    <w:rsid w:val="00562602"/>
    <w:rsid w:val="005675BF"/>
    <w:rsid w:val="005725D2"/>
    <w:rsid w:val="00572A8C"/>
    <w:rsid w:val="00574867"/>
    <w:rsid w:val="00576B1A"/>
    <w:rsid w:val="005846EA"/>
    <w:rsid w:val="0058618A"/>
    <w:rsid w:val="0059023C"/>
    <w:rsid w:val="00590E89"/>
    <w:rsid w:val="00591460"/>
    <w:rsid w:val="00591700"/>
    <w:rsid w:val="00591C5C"/>
    <w:rsid w:val="00593BF1"/>
    <w:rsid w:val="005A2F05"/>
    <w:rsid w:val="005A65E0"/>
    <w:rsid w:val="005B098B"/>
    <w:rsid w:val="005B2C0B"/>
    <w:rsid w:val="005B3052"/>
    <w:rsid w:val="005B6132"/>
    <w:rsid w:val="005C3777"/>
    <w:rsid w:val="005C5CDC"/>
    <w:rsid w:val="005D2ED3"/>
    <w:rsid w:val="005D476C"/>
    <w:rsid w:val="005E7D8A"/>
    <w:rsid w:val="005F61CE"/>
    <w:rsid w:val="00610829"/>
    <w:rsid w:val="00612C39"/>
    <w:rsid w:val="00613744"/>
    <w:rsid w:val="00617654"/>
    <w:rsid w:val="006200BF"/>
    <w:rsid w:val="006204DF"/>
    <w:rsid w:val="00621799"/>
    <w:rsid w:val="006219F8"/>
    <w:rsid w:val="00627683"/>
    <w:rsid w:val="006302F7"/>
    <w:rsid w:val="006369B3"/>
    <w:rsid w:val="006415FB"/>
    <w:rsid w:val="006455F3"/>
    <w:rsid w:val="00646B9F"/>
    <w:rsid w:val="006638D4"/>
    <w:rsid w:val="00665D70"/>
    <w:rsid w:val="00684307"/>
    <w:rsid w:val="006900D9"/>
    <w:rsid w:val="006918E2"/>
    <w:rsid w:val="00692589"/>
    <w:rsid w:val="00694F2A"/>
    <w:rsid w:val="00697556"/>
    <w:rsid w:val="006B1C1F"/>
    <w:rsid w:val="006C2D59"/>
    <w:rsid w:val="006C3C02"/>
    <w:rsid w:val="006E2D58"/>
    <w:rsid w:val="006E7646"/>
    <w:rsid w:val="006F3792"/>
    <w:rsid w:val="006F6F2F"/>
    <w:rsid w:val="006F73F6"/>
    <w:rsid w:val="00700FC1"/>
    <w:rsid w:val="00706C16"/>
    <w:rsid w:val="00712DFD"/>
    <w:rsid w:val="007173F3"/>
    <w:rsid w:val="00720881"/>
    <w:rsid w:val="00727CD7"/>
    <w:rsid w:val="007340C3"/>
    <w:rsid w:val="00746BE7"/>
    <w:rsid w:val="0075226F"/>
    <w:rsid w:val="0075235A"/>
    <w:rsid w:val="00752E9E"/>
    <w:rsid w:val="0075563F"/>
    <w:rsid w:val="00756841"/>
    <w:rsid w:val="007649AB"/>
    <w:rsid w:val="00765900"/>
    <w:rsid w:val="00766D7E"/>
    <w:rsid w:val="00771CCA"/>
    <w:rsid w:val="00771D0C"/>
    <w:rsid w:val="0077223C"/>
    <w:rsid w:val="007759EA"/>
    <w:rsid w:val="00781B23"/>
    <w:rsid w:val="00782142"/>
    <w:rsid w:val="007833AC"/>
    <w:rsid w:val="00793AC1"/>
    <w:rsid w:val="0079605D"/>
    <w:rsid w:val="007A0A4B"/>
    <w:rsid w:val="007B268C"/>
    <w:rsid w:val="007B2BC2"/>
    <w:rsid w:val="007B7171"/>
    <w:rsid w:val="007C0C0F"/>
    <w:rsid w:val="007C2D7D"/>
    <w:rsid w:val="007C3DC2"/>
    <w:rsid w:val="007D1115"/>
    <w:rsid w:val="007D4B2E"/>
    <w:rsid w:val="007D57F7"/>
    <w:rsid w:val="007E0520"/>
    <w:rsid w:val="007E1089"/>
    <w:rsid w:val="007E369C"/>
    <w:rsid w:val="007E5497"/>
    <w:rsid w:val="007F431E"/>
    <w:rsid w:val="007F494F"/>
    <w:rsid w:val="007F7F54"/>
    <w:rsid w:val="008036B4"/>
    <w:rsid w:val="00806F5F"/>
    <w:rsid w:val="0081175D"/>
    <w:rsid w:val="0081373F"/>
    <w:rsid w:val="00816000"/>
    <w:rsid w:val="00820278"/>
    <w:rsid w:val="008258C9"/>
    <w:rsid w:val="008318E9"/>
    <w:rsid w:val="00832214"/>
    <w:rsid w:val="00834510"/>
    <w:rsid w:val="00834C77"/>
    <w:rsid w:val="00840E4B"/>
    <w:rsid w:val="00844AE9"/>
    <w:rsid w:val="00846D07"/>
    <w:rsid w:val="00861E32"/>
    <w:rsid w:val="00865796"/>
    <w:rsid w:val="00867F95"/>
    <w:rsid w:val="008717DA"/>
    <w:rsid w:val="0087320F"/>
    <w:rsid w:val="008843B6"/>
    <w:rsid w:val="00887563"/>
    <w:rsid w:val="00890CF6"/>
    <w:rsid w:val="00891928"/>
    <w:rsid w:val="008A446D"/>
    <w:rsid w:val="008A45F0"/>
    <w:rsid w:val="008A56A7"/>
    <w:rsid w:val="008B0077"/>
    <w:rsid w:val="008B0E75"/>
    <w:rsid w:val="008B25F1"/>
    <w:rsid w:val="008C17CB"/>
    <w:rsid w:val="008C7945"/>
    <w:rsid w:val="008D180B"/>
    <w:rsid w:val="008D2A2F"/>
    <w:rsid w:val="008D531B"/>
    <w:rsid w:val="008E12F2"/>
    <w:rsid w:val="008E492D"/>
    <w:rsid w:val="008E55E5"/>
    <w:rsid w:val="008F0EA7"/>
    <w:rsid w:val="008F436F"/>
    <w:rsid w:val="009054DF"/>
    <w:rsid w:val="00911906"/>
    <w:rsid w:val="0091487B"/>
    <w:rsid w:val="009207CE"/>
    <w:rsid w:val="00920D5B"/>
    <w:rsid w:val="00923EEF"/>
    <w:rsid w:val="00926E3D"/>
    <w:rsid w:val="00930075"/>
    <w:rsid w:val="0093137C"/>
    <w:rsid w:val="00934F4F"/>
    <w:rsid w:val="0094099A"/>
    <w:rsid w:val="009419F9"/>
    <w:rsid w:val="009433C7"/>
    <w:rsid w:val="00944446"/>
    <w:rsid w:val="00955709"/>
    <w:rsid w:val="0095685E"/>
    <w:rsid w:val="00957615"/>
    <w:rsid w:val="00961B09"/>
    <w:rsid w:val="00965334"/>
    <w:rsid w:val="0097093E"/>
    <w:rsid w:val="00970FE4"/>
    <w:rsid w:val="0097436F"/>
    <w:rsid w:val="009777FA"/>
    <w:rsid w:val="009800F8"/>
    <w:rsid w:val="00985C8C"/>
    <w:rsid w:val="009877D7"/>
    <w:rsid w:val="00987C44"/>
    <w:rsid w:val="009933D4"/>
    <w:rsid w:val="009948A2"/>
    <w:rsid w:val="0099559C"/>
    <w:rsid w:val="009A0DFA"/>
    <w:rsid w:val="009A139E"/>
    <w:rsid w:val="009A1C6F"/>
    <w:rsid w:val="009B02D6"/>
    <w:rsid w:val="009B0E84"/>
    <w:rsid w:val="009B2D26"/>
    <w:rsid w:val="009B4037"/>
    <w:rsid w:val="009B5A20"/>
    <w:rsid w:val="009B604C"/>
    <w:rsid w:val="009C1F94"/>
    <w:rsid w:val="009C71FA"/>
    <w:rsid w:val="009C72E7"/>
    <w:rsid w:val="009C7F7E"/>
    <w:rsid w:val="009D3058"/>
    <w:rsid w:val="009D36B8"/>
    <w:rsid w:val="009F27D8"/>
    <w:rsid w:val="009F3A13"/>
    <w:rsid w:val="009F7AD6"/>
    <w:rsid w:val="00A03375"/>
    <w:rsid w:val="00A060B6"/>
    <w:rsid w:val="00A11160"/>
    <w:rsid w:val="00A122D3"/>
    <w:rsid w:val="00A14468"/>
    <w:rsid w:val="00A17F13"/>
    <w:rsid w:val="00A2030D"/>
    <w:rsid w:val="00A20739"/>
    <w:rsid w:val="00A23AF9"/>
    <w:rsid w:val="00A23DBA"/>
    <w:rsid w:val="00A32BE2"/>
    <w:rsid w:val="00A332C8"/>
    <w:rsid w:val="00A33C78"/>
    <w:rsid w:val="00A3402F"/>
    <w:rsid w:val="00A43116"/>
    <w:rsid w:val="00A43159"/>
    <w:rsid w:val="00A45853"/>
    <w:rsid w:val="00A53532"/>
    <w:rsid w:val="00A53FD7"/>
    <w:rsid w:val="00A554C9"/>
    <w:rsid w:val="00A575FE"/>
    <w:rsid w:val="00A7048F"/>
    <w:rsid w:val="00A7422C"/>
    <w:rsid w:val="00A92EC3"/>
    <w:rsid w:val="00A960E5"/>
    <w:rsid w:val="00AA63B5"/>
    <w:rsid w:val="00AB0ADB"/>
    <w:rsid w:val="00AB202A"/>
    <w:rsid w:val="00AB7579"/>
    <w:rsid w:val="00AC3148"/>
    <w:rsid w:val="00AD50C5"/>
    <w:rsid w:val="00AD6C81"/>
    <w:rsid w:val="00AF183B"/>
    <w:rsid w:val="00AF1BE5"/>
    <w:rsid w:val="00B00C0E"/>
    <w:rsid w:val="00B01B1A"/>
    <w:rsid w:val="00B0381D"/>
    <w:rsid w:val="00B060A3"/>
    <w:rsid w:val="00B140D0"/>
    <w:rsid w:val="00B23C64"/>
    <w:rsid w:val="00B249E1"/>
    <w:rsid w:val="00B32FE7"/>
    <w:rsid w:val="00B37969"/>
    <w:rsid w:val="00B44A47"/>
    <w:rsid w:val="00B45858"/>
    <w:rsid w:val="00B521DF"/>
    <w:rsid w:val="00B652CB"/>
    <w:rsid w:val="00B656F8"/>
    <w:rsid w:val="00B714B0"/>
    <w:rsid w:val="00B72CD3"/>
    <w:rsid w:val="00B72E30"/>
    <w:rsid w:val="00B72FFF"/>
    <w:rsid w:val="00B75E0D"/>
    <w:rsid w:val="00B81EAA"/>
    <w:rsid w:val="00B85A64"/>
    <w:rsid w:val="00BA1D42"/>
    <w:rsid w:val="00BA46C9"/>
    <w:rsid w:val="00BA4C3B"/>
    <w:rsid w:val="00BB4382"/>
    <w:rsid w:val="00BB43C2"/>
    <w:rsid w:val="00BC3C46"/>
    <w:rsid w:val="00BC3D36"/>
    <w:rsid w:val="00BC4B58"/>
    <w:rsid w:val="00BD4350"/>
    <w:rsid w:val="00BD54A6"/>
    <w:rsid w:val="00BD7F72"/>
    <w:rsid w:val="00BE36EC"/>
    <w:rsid w:val="00BF2144"/>
    <w:rsid w:val="00BF7425"/>
    <w:rsid w:val="00C00897"/>
    <w:rsid w:val="00C04FB3"/>
    <w:rsid w:val="00C0526B"/>
    <w:rsid w:val="00C0783E"/>
    <w:rsid w:val="00C103BE"/>
    <w:rsid w:val="00C11D8B"/>
    <w:rsid w:val="00C15139"/>
    <w:rsid w:val="00C16A37"/>
    <w:rsid w:val="00C200AD"/>
    <w:rsid w:val="00C222DC"/>
    <w:rsid w:val="00C2547E"/>
    <w:rsid w:val="00C330EB"/>
    <w:rsid w:val="00C413E9"/>
    <w:rsid w:val="00C41DE8"/>
    <w:rsid w:val="00C44F26"/>
    <w:rsid w:val="00C50D69"/>
    <w:rsid w:val="00C5151D"/>
    <w:rsid w:val="00C5365C"/>
    <w:rsid w:val="00C54178"/>
    <w:rsid w:val="00C541CA"/>
    <w:rsid w:val="00C546CC"/>
    <w:rsid w:val="00C55BDE"/>
    <w:rsid w:val="00C60BDB"/>
    <w:rsid w:val="00C708C9"/>
    <w:rsid w:val="00C72A81"/>
    <w:rsid w:val="00C754BE"/>
    <w:rsid w:val="00C76B1C"/>
    <w:rsid w:val="00C835AD"/>
    <w:rsid w:val="00C851C7"/>
    <w:rsid w:val="00C85FB6"/>
    <w:rsid w:val="00C925AC"/>
    <w:rsid w:val="00CA7C8E"/>
    <w:rsid w:val="00CB1D05"/>
    <w:rsid w:val="00CB24C0"/>
    <w:rsid w:val="00CB2C54"/>
    <w:rsid w:val="00CB6357"/>
    <w:rsid w:val="00CB6E42"/>
    <w:rsid w:val="00CC1B26"/>
    <w:rsid w:val="00CC2634"/>
    <w:rsid w:val="00CC2FD7"/>
    <w:rsid w:val="00CC3788"/>
    <w:rsid w:val="00CC629E"/>
    <w:rsid w:val="00CE3F9C"/>
    <w:rsid w:val="00CE42E8"/>
    <w:rsid w:val="00CE4C69"/>
    <w:rsid w:val="00CE58AD"/>
    <w:rsid w:val="00CF01D4"/>
    <w:rsid w:val="00CF1330"/>
    <w:rsid w:val="00CF2943"/>
    <w:rsid w:val="00CF29BA"/>
    <w:rsid w:val="00CF4966"/>
    <w:rsid w:val="00D00C49"/>
    <w:rsid w:val="00D03E03"/>
    <w:rsid w:val="00D100C8"/>
    <w:rsid w:val="00D14BC3"/>
    <w:rsid w:val="00D16B34"/>
    <w:rsid w:val="00D177E6"/>
    <w:rsid w:val="00D201E9"/>
    <w:rsid w:val="00D23959"/>
    <w:rsid w:val="00D25E73"/>
    <w:rsid w:val="00D26B56"/>
    <w:rsid w:val="00D27094"/>
    <w:rsid w:val="00D302D9"/>
    <w:rsid w:val="00D323D9"/>
    <w:rsid w:val="00D361FD"/>
    <w:rsid w:val="00D414FE"/>
    <w:rsid w:val="00D423A2"/>
    <w:rsid w:val="00D44844"/>
    <w:rsid w:val="00D44E26"/>
    <w:rsid w:val="00D460D0"/>
    <w:rsid w:val="00D50358"/>
    <w:rsid w:val="00D520D8"/>
    <w:rsid w:val="00D53326"/>
    <w:rsid w:val="00D63AC2"/>
    <w:rsid w:val="00D7383B"/>
    <w:rsid w:val="00D73BAF"/>
    <w:rsid w:val="00D7788A"/>
    <w:rsid w:val="00D82C96"/>
    <w:rsid w:val="00D858E0"/>
    <w:rsid w:val="00D85FD5"/>
    <w:rsid w:val="00D86621"/>
    <w:rsid w:val="00D86A04"/>
    <w:rsid w:val="00D87A3C"/>
    <w:rsid w:val="00D94D77"/>
    <w:rsid w:val="00D97CCD"/>
    <w:rsid w:val="00DA02A1"/>
    <w:rsid w:val="00DA1FBF"/>
    <w:rsid w:val="00DA231B"/>
    <w:rsid w:val="00DA3609"/>
    <w:rsid w:val="00DA39A2"/>
    <w:rsid w:val="00DA4A00"/>
    <w:rsid w:val="00DB2058"/>
    <w:rsid w:val="00DB2E63"/>
    <w:rsid w:val="00DB4AFD"/>
    <w:rsid w:val="00DC2676"/>
    <w:rsid w:val="00DC38B2"/>
    <w:rsid w:val="00DC39FC"/>
    <w:rsid w:val="00DC75CA"/>
    <w:rsid w:val="00DE440E"/>
    <w:rsid w:val="00DE4943"/>
    <w:rsid w:val="00DE79ED"/>
    <w:rsid w:val="00DF5254"/>
    <w:rsid w:val="00E02524"/>
    <w:rsid w:val="00E07A6B"/>
    <w:rsid w:val="00E1209B"/>
    <w:rsid w:val="00E13BCD"/>
    <w:rsid w:val="00E151A6"/>
    <w:rsid w:val="00E15C40"/>
    <w:rsid w:val="00E16408"/>
    <w:rsid w:val="00E20894"/>
    <w:rsid w:val="00E245AB"/>
    <w:rsid w:val="00E27291"/>
    <w:rsid w:val="00E2764C"/>
    <w:rsid w:val="00E27660"/>
    <w:rsid w:val="00E27F2E"/>
    <w:rsid w:val="00E305EE"/>
    <w:rsid w:val="00E32AC2"/>
    <w:rsid w:val="00E36176"/>
    <w:rsid w:val="00E42EFA"/>
    <w:rsid w:val="00E46B80"/>
    <w:rsid w:val="00E50AFE"/>
    <w:rsid w:val="00E51371"/>
    <w:rsid w:val="00E70CAF"/>
    <w:rsid w:val="00E75C92"/>
    <w:rsid w:val="00E771DC"/>
    <w:rsid w:val="00E7754D"/>
    <w:rsid w:val="00E814E8"/>
    <w:rsid w:val="00E826C6"/>
    <w:rsid w:val="00E84EEF"/>
    <w:rsid w:val="00E86265"/>
    <w:rsid w:val="00E8772A"/>
    <w:rsid w:val="00E90F6B"/>
    <w:rsid w:val="00E91F51"/>
    <w:rsid w:val="00E92C27"/>
    <w:rsid w:val="00E92CEB"/>
    <w:rsid w:val="00E93496"/>
    <w:rsid w:val="00EA0E3D"/>
    <w:rsid w:val="00EB394E"/>
    <w:rsid w:val="00EB5A8E"/>
    <w:rsid w:val="00EC214E"/>
    <w:rsid w:val="00EC38A7"/>
    <w:rsid w:val="00EC74E9"/>
    <w:rsid w:val="00ED5F50"/>
    <w:rsid w:val="00EE04B9"/>
    <w:rsid w:val="00EE1AA8"/>
    <w:rsid w:val="00EF2E3F"/>
    <w:rsid w:val="00EF5BD7"/>
    <w:rsid w:val="00F013C0"/>
    <w:rsid w:val="00F01EE6"/>
    <w:rsid w:val="00F0382A"/>
    <w:rsid w:val="00F06BC6"/>
    <w:rsid w:val="00F07CE6"/>
    <w:rsid w:val="00F07F01"/>
    <w:rsid w:val="00F10689"/>
    <w:rsid w:val="00F10855"/>
    <w:rsid w:val="00F129EB"/>
    <w:rsid w:val="00F23FEA"/>
    <w:rsid w:val="00F302DC"/>
    <w:rsid w:val="00F30F8D"/>
    <w:rsid w:val="00F31B01"/>
    <w:rsid w:val="00F31EDC"/>
    <w:rsid w:val="00F32232"/>
    <w:rsid w:val="00F34198"/>
    <w:rsid w:val="00F3511A"/>
    <w:rsid w:val="00F4296A"/>
    <w:rsid w:val="00F462B3"/>
    <w:rsid w:val="00F473B2"/>
    <w:rsid w:val="00F5369B"/>
    <w:rsid w:val="00F5664F"/>
    <w:rsid w:val="00F5666B"/>
    <w:rsid w:val="00F60C80"/>
    <w:rsid w:val="00F63C15"/>
    <w:rsid w:val="00F65D80"/>
    <w:rsid w:val="00F666C4"/>
    <w:rsid w:val="00F76AFC"/>
    <w:rsid w:val="00F775C8"/>
    <w:rsid w:val="00F80590"/>
    <w:rsid w:val="00F85BDC"/>
    <w:rsid w:val="00F9237D"/>
    <w:rsid w:val="00F9305C"/>
    <w:rsid w:val="00F96512"/>
    <w:rsid w:val="00FA2A14"/>
    <w:rsid w:val="00FA47C0"/>
    <w:rsid w:val="00FB5DD1"/>
    <w:rsid w:val="00FC118D"/>
    <w:rsid w:val="00FC2B5D"/>
    <w:rsid w:val="00FC2CC8"/>
    <w:rsid w:val="00FC403C"/>
    <w:rsid w:val="00FC6BC9"/>
    <w:rsid w:val="00FD16D6"/>
    <w:rsid w:val="00FD1FF0"/>
    <w:rsid w:val="00FD5B9A"/>
    <w:rsid w:val="00FD6717"/>
    <w:rsid w:val="00FE0D31"/>
    <w:rsid w:val="00FE31CD"/>
    <w:rsid w:val="00FE3454"/>
    <w:rsid w:val="00FF1449"/>
    <w:rsid w:val="00FF3C16"/>
    <w:rsid w:val="00FF7157"/>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2C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yina.mejia@gobiernobogot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gestion-contractual-envio-del-contrato-secop-ii" TargetMode="External"/><Relationship Id="rId2" Type="http://schemas.openxmlformats.org/officeDocument/2006/relationships/hyperlink" Target="https://www.colombiacompra.gov.co/node/23710" TargetMode="External"/><Relationship Id="rId1" Type="http://schemas.openxmlformats.org/officeDocument/2006/relationships/hyperlink" Target="https://www.colombiacompra.gov.co/base-conocimiento/gestion-contractual-envio-del-contrato-secop-ii" TargetMode="External"/><Relationship Id="rId4" Type="http://schemas.openxmlformats.org/officeDocument/2006/relationships/hyperlink" Target="https://www.colombiacompra.gov.co/base-conocimiento/configuracion-de-cuentas-secop-i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747838A-3E23-4DB0-BB1E-F10E4D4AAC6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33</Pages>
  <Words>11138</Words>
  <Characters>61264</Characters>
  <Application>Microsoft Office Word</Application>
  <DocSecurity>0</DocSecurity>
  <Lines>510</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9</cp:revision>
  <cp:lastPrinted>2023-01-10T21:18:00Z</cp:lastPrinted>
  <dcterms:created xsi:type="dcterms:W3CDTF">2026-03-16T03:54:00Z</dcterms:created>
  <dcterms:modified xsi:type="dcterms:W3CDTF">2026-03-16T04:11:00Z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