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D177AC" w14:textId="77777777" w:rsidR="000D17D4" w:rsidRPr="000D17D4" w:rsidRDefault="000D17D4" w:rsidP="000D17D4">
      <w:pPr>
        <w:spacing w:after="0" w:line="276" w:lineRule="auto"/>
        <w:jc w:val="both"/>
        <w:rPr>
          <w:rFonts w:ascii="Verdana" w:eastAsia="Calibri" w:hAnsi="Verdana" w:cs="Arial"/>
          <w:b/>
          <w:bCs/>
          <w:lang w:val="es-ES_tradnl"/>
        </w:rPr>
      </w:pPr>
      <w:bookmarkStart w:id="0" w:name="_Hlk143780582"/>
      <w:r w:rsidRPr="000D17D4">
        <w:rPr>
          <w:rFonts w:ascii="Verdana" w:eastAsia="Calibri" w:hAnsi="Verdana" w:cs="Arial"/>
          <w:b/>
          <w:bCs/>
          <w:lang w:val="es-ES_tradnl"/>
        </w:rPr>
        <w:t xml:space="preserve">DOCUMENTOS TIPO – Fundamento normativo – Obligatoriedad </w:t>
      </w:r>
    </w:p>
    <w:p w14:paraId="02E8EF2F" w14:textId="77777777" w:rsidR="000D17D4" w:rsidRPr="000D17D4" w:rsidRDefault="000D17D4" w:rsidP="000D17D4">
      <w:pPr>
        <w:spacing w:after="0" w:line="276" w:lineRule="auto"/>
        <w:jc w:val="both"/>
        <w:rPr>
          <w:rFonts w:ascii="Verdana" w:eastAsia="Calibri" w:hAnsi="Verdana" w:cs="Arial"/>
          <w:b/>
          <w:bCs/>
          <w:sz w:val="20"/>
          <w:szCs w:val="20"/>
          <w:lang w:val="es-ES_tradnl"/>
        </w:rPr>
      </w:pPr>
    </w:p>
    <w:p w14:paraId="3D2C8E8E" w14:textId="77777777" w:rsidR="000D17D4" w:rsidRPr="000D17D4" w:rsidRDefault="000D17D4" w:rsidP="000D17D4">
      <w:pPr>
        <w:tabs>
          <w:tab w:val="left" w:pos="709"/>
        </w:tabs>
        <w:spacing w:after="0" w:line="240" w:lineRule="auto"/>
        <w:jc w:val="both"/>
        <w:rPr>
          <w:rFonts w:ascii="Verdana" w:eastAsia="Calibri" w:hAnsi="Verdana" w:cs="Arial"/>
          <w:sz w:val="20"/>
          <w:szCs w:val="20"/>
          <w:lang w:val="es-ES"/>
        </w:rPr>
      </w:pPr>
      <w:r w:rsidRPr="000D17D4">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7165A511" w14:textId="77777777" w:rsidR="000D17D4" w:rsidRPr="000D17D4" w:rsidRDefault="000D17D4" w:rsidP="000D17D4">
      <w:pPr>
        <w:spacing w:after="0" w:line="276" w:lineRule="auto"/>
        <w:jc w:val="both"/>
        <w:rPr>
          <w:rFonts w:ascii="Verdana" w:eastAsia="Calibri" w:hAnsi="Verdana" w:cs="Arial"/>
          <w:b/>
          <w:bCs/>
          <w:lang w:val="es-ES_tradnl"/>
        </w:rPr>
      </w:pPr>
    </w:p>
    <w:p w14:paraId="637A78F5" w14:textId="77777777" w:rsidR="000D17D4" w:rsidRPr="000D17D4" w:rsidRDefault="000D17D4" w:rsidP="000D17D4">
      <w:pPr>
        <w:widowControl w:val="0"/>
        <w:autoSpaceDE w:val="0"/>
        <w:autoSpaceDN w:val="0"/>
        <w:spacing w:after="0" w:line="276" w:lineRule="auto"/>
        <w:jc w:val="both"/>
        <w:rPr>
          <w:rFonts w:ascii="Verdana" w:eastAsia="Calibri" w:hAnsi="Verdana" w:cs="Times New Roman"/>
          <w:b/>
          <w:bCs/>
          <w:lang w:val="es-ES"/>
        </w:rPr>
      </w:pPr>
      <w:r w:rsidRPr="000D17D4">
        <w:rPr>
          <w:rFonts w:ascii="Verdana" w:eastAsia="Calibri" w:hAnsi="Verdana" w:cs="Arial"/>
          <w:b/>
          <w:bCs/>
          <w:lang w:val="es-ES_tradnl"/>
        </w:rPr>
        <w:t>SECTOR SOCIAL</w:t>
      </w:r>
      <w:r w:rsidRPr="000D17D4">
        <w:rPr>
          <w:rFonts w:ascii="Verdana" w:eastAsia="Calibri" w:hAnsi="Verdana" w:cs="Times New Roman"/>
          <w:lang w:val="es-ES"/>
        </w:rPr>
        <w:t xml:space="preserve"> </w:t>
      </w:r>
      <w:r w:rsidRPr="000D17D4">
        <w:rPr>
          <w:rFonts w:ascii="Verdana" w:eastAsia="Calibri" w:hAnsi="Verdana" w:cs="Times New Roman"/>
          <w:b/>
          <w:bCs/>
          <w:lang w:val="es-ES"/>
        </w:rPr>
        <w:t>– Documentos tipo – Vigentes</w:t>
      </w:r>
    </w:p>
    <w:p w14:paraId="6C7F2B8A" w14:textId="77777777" w:rsidR="000D17D4" w:rsidRPr="000D17D4" w:rsidRDefault="000D17D4" w:rsidP="000D17D4">
      <w:pPr>
        <w:widowControl w:val="0"/>
        <w:autoSpaceDE w:val="0"/>
        <w:autoSpaceDN w:val="0"/>
        <w:spacing w:after="0" w:line="276" w:lineRule="auto"/>
        <w:jc w:val="both"/>
        <w:rPr>
          <w:rFonts w:ascii="Verdana" w:eastAsia="Calibri" w:hAnsi="Verdana" w:cs="Times New Roman"/>
          <w:b/>
          <w:bCs/>
          <w:lang w:val="es-ES"/>
        </w:rPr>
      </w:pPr>
    </w:p>
    <w:p w14:paraId="65B6337C" w14:textId="77777777" w:rsidR="000D17D4" w:rsidRPr="000D17D4" w:rsidRDefault="000D17D4" w:rsidP="000D17D4">
      <w:pPr>
        <w:widowControl w:val="0"/>
        <w:autoSpaceDE w:val="0"/>
        <w:autoSpaceDN w:val="0"/>
        <w:spacing w:after="0" w:line="240" w:lineRule="auto"/>
        <w:jc w:val="both"/>
        <w:rPr>
          <w:rFonts w:ascii="Verdana" w:eastAsia="Calibri" w:hAnsi="Verdana" w:cs="Times New Roman"/>
          <w:b/>
          <w:bCs/>
          <w:sz w:val="20"/>
          <w:szCs w:val="20"/>
          <w:lang w:val="es-ES"/>
        </w:rPr>
      </w:pPr>
      <w:r w:rsidRPr="000D17D4">
        <w:rPr>
          <w:rFonts w:ascii="Verdana" w:eastAsia="Aptos" w:hAnsi="Verdana" w:cs="Times New Roman"/>
          <w:kern w:val="2"/>
          <w:sz w:val="20"/>
          <w:szCs w:val="20"/>
          <w14:ligatures w14:val="standardContextual"/>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19E1FAAF" w14:textId="77777777" w:rsidR="000D17D4" w:rsidRPr="000D17D4" w:rsidRDefault="000D17D4" w:rsidP="000D17D4">
      <w:pPr>
        <w:widowControl w:val="0"/>
        <w:autoSpaceDE w:val="0"/>
        <w:autoSpaceDN w:val="0"/>
        <w:spacing w:after="0" w:line="276" w:lineRule="auto"/>
        <w:jc w:val="both"/>
        <w:rPr>
          <w:rFonts w:ascii="Verdana" w:eastAsia="Calibri" w:hAnsi="Verdana" w:cs="Times New Roman"/>
          <w:lang w:val="es-ES"/>
        </w:rPr>
      </w:pPr>
    </w:p>
    <w:p w14:paraId="0D5ACEDD" w14:textId="77777777" w:rsidR="000D17D4" w:rsidRPr="000D17D4" w:rsidRDefault="000D17D4" w:rsidP="000D17D4">
      <w:pPr>
        <w:spacing w:after="0" w:line="276" w:lineRule="auto"/>
        <w:jc w:val="both"/>
        <w:rPr>
          <w:rFonts w:ascii="Verdana" w:eastAsia="Calibri" w:hAnsi="Verdana" w:cs="Times New Roman"/>
          <w:sz w:val="20"/>
          <w:szCs w:val="20"/>
          <w:lang w:val="es-ES"/>
        </w:rPr>
      </w:pPr>
      <w:r w:rsidRPr="000D17D4">
        <w:rPr>
          <w:rFonts w:ascii="Verdana" w:eastAsia="Calibri" w:hAnsi="Verdana" w:cs="Times New Roman"/>
          <w:b/>
          <w:bCs/>
          <w:lang w:val="es-ES"/>
        </w:rPr>
        <w:t xml:space="preserve">DOCUMENTOS TIPO – Aplicación – Matriz de Experiencia </w:t>
      </w:r>
    </w:p>
    <w:p w14:paraId="6FBEAC1B" w14:textId="77777777" w:rsidR="000D17D4" w:rsidRPr="000D17D4" w:rsidRDefault="000D17D4" w:rsidP="000D17D4">
      <w:pPr>
        <w:spacing w:after="0" w:line="240" w:lineRule="auto"/>
        <w:rPr>
          <w:rFonts w:ascii="Verdana" w:eastAsia="Geomanist Light" w:hAnsi="Verdana" w:cs="Arial"/>
          <w:lang w:val="es-MX"/>
        </w:rPr>
      </w:pPr>
    </w:p>
    <w:p w14:paraId="00DD6E04" w14:textId="77777777" w:rsidR="000D17D4" w:rsidRPr="000D17D4" w:rsidRDefault="000D17D4" w:rsidP="000D17D4">
      <w:pPr>
        <w:widowControl w:val="0"/>
        <w:autoSpaceDE w:val="0"/>
        <w:autoSpaceDN w:val="0"/>
        <w:spacing w:after="0" w:line="240" w:lineRule="auto"/>
        <w:jc w:val="both"/>
        <w:rPr>
          <w:rFonts w:ascii="Verdana" w:eastAsia="Calibri" w:hAnsi="Verdana" w:cs="Times New Roman"/>
          <w:sz w:val="20"/>
          <w:szCs w:val="20"/>
          <w:lang w:val="es-ES"/>
        </w:rPr>
      </w:pPr>
      <w:r w:rsidRPr="000D17D4">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49D239A3" w14:textId="77777777" w:rsidR="000D17D4" w:rsidRPr="000D17D4" w:rsidRDefault="000D17D4" w:rsidP="000D17D4">
      <w:pPr>
        <w:widowControl w:val="0"/>
        <w:autoSpaceDE w:val="0"/>
        <w:autoSpaceDN w:val="0"/>
        <w:spacing w:after="0" w:line="240" w:lineRule="auto"/>
        <w:jc w:val="both"/>
        <w:rPr>
          <w:rFonts w:ascii="Verdana" w:eastAsia="Calibri" w:hAnsi="Verdana" w:cs="Times New Roman"/>
          <w:sz w:val="20"/>
          <w:szCs w:val="20"/>
          <w:lang w:val="es-ES"/>
        </w:rPr>
      </w:pPr>
    </w:p>
    <w:p w14:paraId="20FA062C" w14:textId="77777777" w:rsidR="000D17D4" w:rsidRPr="000D17D4" w:rsidRDefault="000D17D4" w:rsidP="000D17D4">
      <w:pPr>
        <w:widowControl w:val="0"/>
        <w:autoSpaceDE w:val="0"/>
        <w:autoSpaceDN w:val="0"/>
        <w:spacing w:after="0" w:line="240" w:lineRule="auto"/>
        <w:jc w:val="both"/>
        <w:rPr>
          <w:rFonts w:ascii="Verdana" w:eastAsia="Calibri" w:hAnsi="Verdana" w:cs="Times New Roman"/>
          <w:sz w:val="20"/>
          <w:szCs w:val="20"/>
          <w:lang w:val="es-ES"/>
        </w:rPr>
      </w:pPr>
      <w:r w:rsidRPr="000D17D4">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32CB90C4" w14:textId="77777777" w:rsidR="000D17D4" w:rsidRPr="000D17D4" w:rsidRDefault="000D17D4" w:rsidP="000D17D4">
      <w:pPr>
        <w:widowControl w:val="0"/>
        <w:autoSpaceDE w:val="0"/>
        <w:autoSpaceDN w:val="0"/>
        <w:spacing w:after="0" w:line="240" w:lineRule="auto"/>
        <w:jc w:val="both"/>
        <w:rPr>
          <w:rFonts w:ascii="Verdana" w:eastAsia="Calibri" w:hAnsi="Verdana" w:cs="Times New Roman"/>
          <w:sz w:val="20"/>
          <w:szCs w:val="20"/>
          <w:lang w:val="es-ES"/>
        </w:rPr>
      </w:pPr>
    </w:p>
    <w:p w14:paraId="467D6D52" w14:textId="77777777" w:rsidR="000D17D4" w:rsidRPr="000D17D4" w:rsidRDefault="000D17D4" w:rsidP="000D17D4">
      <w:pPr>
        <w:widowControl w:val="0"/>
        <w:autoSpaceDE w:val="0"/>
        <w:autoSpaceDN w:val="0"/>
        <w:spacing w:after="0" w:line="240" w:lineRule="auto"/>
        <w:jc w:val="both"/>
        <w:rPr>
          <w:rFonts w:ascii="Verdana" w:eastAsia="Calibri" w:hAnsi="Verdana" w:cs="Times New Roman"/>
          <w:b/>
          <w:bCs/>
          <w:lang w:val="es-ES"/>
        </w:rPr>
      </w:pPr>
      <w:r w:rsidRPr="000D17D4">
        <w:rPr>
          <w:rFonts w:ascii="Verdana" w:eastAsia="Calibri" w:hAnsi="Verdana" w:cs="Times New Roman"/>
          <w:b/>
          <w:bCs/>
          <w:lang w:val="es-ES"/>
        </w:rPr>
        <w:t>DOCUMENTOS TIPO – Sector social – Consultoría – Resolución 952 de 2025</w:t>
      </w:r>
    </w:p>
    <w:p w14:paraId="54D7AC84" w14:textId="77777777" w:rsidR="000D17D4" w:rsidRPr="000D17D4" w:rsidRDefault="000D17D4" w:rsidP="000D17D4">
      <w:pPr>
        <w:widowControl w:val="0"/>
        <w:autoSpaceDE w:val="0"/>
        <w:autoSpaceDN w:val="0"/>
        <w:spacing w:after="0" w:line="240" w:lineRule="auto"/>
        <w:jc w:val="both"/>
        <w:rPr>
          <w:rFonts w:ascii="Verdana" w:eastAsia="Calibri" w:hAnsi="Verdana" w:cs="Times New Roman"/>
          <w:b/>
          <w:bCs/>
          <w:lang w:val="es-ES"/>
        </w:rPr>
      </w:pPr>
    </w:p>
    <w:p w14:paraId="710239F6" w14:textId="77777777" w:rsidR="000D17D4" w:rsidRPr="000D17D4" w:rsidRDefault="000D17D4" w:rsidP="000D17D4">
      <w:pPr>
        <w:widowControl w:val="0"/>
        <w:autoSpaceDE w:val="0"/>
        <w:autoSpaceDN w:val="0"/>
        <w:spacing w:after="0" w:line="240" w:lineRule="auto"/>
        <w:jc w:val="both"/>
        <w:rPr>
          <w:rFonts w:ascii="Verdana" w:eastAsia="Calibri" w:hAnsi="Verdana" w:cs="Times New Roman"/>
          <w:sz w:val="20"/>
          <w:szCs w:val="20"/>
          <w:lang w:val="es-ES"/>
        </w:rPr>
      </w:pPr>
      <w:r w:rsidRPr="000D17D4">
        <w:rPr>
          <w:rFonts w:ascii="Verdana" w:eastAsia="Calibri" w:hAnsi="Verdana" w:cs="Times New Roman"/>
          <w:sz w:val="20"/>
          <w:szCs w:val="20"/>
          <w:lang w:val="es-ES"/>
        </w:rPr>
        <w:t xml:space="preserve">Considerando su solicitud debe indicarse que, mediante la Resolución 952 del 15 de diciembre de 2025, se adoptaron los documentos tipo transversales para los procesos de concurso de méritos destinados a contratar la consultoría de estudios de ingeniería </w:t>
      </w:r>
      <w:r w:rsidRPr="000D17D4">
        <w:rPr>
          <w:rFonts w:ascii="Verdana" w:eastAsia="Calibri" w:hAnsi="Verdana" w:cs="Times New Roman"/>
          <w:sz w:val="20"/>
          <w:szCs w:val="20"/>
          <w:lang w:val="es-ES"/>
        </w:rPr>
        <w:lastRenderedPageBreak/>
        <w:t>de infraestructura social, así como los documentos tipo complementarios para estos mismos procesos, relacionados con los sectores de educación, salud, cultura, recreación y deporte, institucional y vivienda.</w:t>
      </w:r>
    </w:p>
    <w:p w14:paraId="7D7695CA" w14:textId="77777777" w:rsidR="000D17D4" w:rsidRPr="000D17D4" w:rsidRDefault="000D17D4" w:rsidP="000D17D4">
      <w:pPr>
        <w:widowControl w:val="0"/>
        <w:autoSpaceDE w:val="0"/>
        <w:autoSpaceDN w:val="0"/>
        <w:spacing w:after="0" w:line="240" w:lineRule="auto"/>
        <w:jc w:val="both"/>
        <w:rPr>
          <w:rFonts w:ascii="Verdana" w:eastAsia="Calibri" w:hAnsi="Verdana" w:cs="Times New Roman"/>
          <w:lang w:val="es-ES"/>
        </w:rPr>
      </w:pPr>
    </w:p>
    <w:p w14:paraId="495D574D" w14:textId="77777777" w:rsidR="000D17D4" w:rsidRPr="000D17D4" w:rsidRDefault="000D17D4" w:rsidP="000D17D4">
      <w:pPr>
        <w:widowControl w:val="0"/>
        <w:autoSpaceDE w:val="0"/>
        <w:autoSpaceDN w:val="0"/>
        <w:spacing w:after="0" w:line="240" w:lineRule="auto"/>
        <w:jc w:val="both"/>
        <w:rPr>
          <w:rFonts w:ascii="Verdana" w:eastAsia="Calibri" w:hAnsi="Verdana" w:cs="Times New Roman"/>
          <w:b/>
          <w:bCs/>
          <w:lang w:val="es-ES"/>
        </w:rPr>
      </w:pPr>
      <w:r w:rsidRPr="000D17D4">
        <w:rPr>
          <w:rFonts w:ascii="Verdana" w:eastAsia="Calibri" w:hAnsi="Verdana" w:cs="Times New Roman"/>
          <w:b/>
          <w:bCs/>
          <w:lang w:val="es-ES"/>
        </w:rPr>
        <w:t>DOCUMENTOS TIPO SECTOR SOCIAL – Consultoría – Resolución 952 de 2025 – Estructura</w:t>
      </w:r>
    </w:p>
    <w:p w14:paraId="1CEAF4A0" w14:textId="77777777" w:rsidR="000D17D4" w:rsidRPr="000D17D4" w:rsidRDefault="000D17D4" w:rsidP="000D17D4">
      <w:pPr>
        <w:widowControl w:val="0"/>
        <w:autoSpaceDE w:val="0"/>
        <w:autoSpaceDN w:val="0"/>
        <w:spacing w:after="0" w:line="240" w:lineRule="auto"/>
        <w:jc w:val="both"/>
        <w:rPr>
          <w:rFonts w:ascii="Verdana" w:eastAsia="Calibri" w:hAnsi="Verdana" w:cs="Times New Roman"/>
          <w:b/>
          <w:bCs/>
          <w:lang w:val="es-ES"/>
        </w:rPr>
      </w:pPr>
    </w:p>
    <w:p w14:paraId="7CB754D2" w14:textId="77777777" w:rsidR="000D17D4" w:rsidRPr="000D17D4" w:rsidRDefault="000D17D4" w:rsidP="000D17D4">
      <w:pPr>
        <w:spacing w:after="0" w:line="276" w:lineRule="auto"/>
        <w:jc w:val="both"/>
        <w:textAlignment w:val="baseline"/>
        <w:rPr>
          <w:rFonts w:ascii="Verdana" w:eastAsia="Calibri" w:hAnsi="Verdana" w:cs="Times New Roman"/>
          <w:sz w:val="20"/>
          <w:szCs w:val="20"/>
          <w:lang w:val="es-ES"/>
        </w:rPr>
      </w:pPr>
      <w:r w:rsidRPr="000D17D4">
        <w:rPr>
          <w:rFonts w:ascii="Verdana" w:eastAsia="Calibri" w:hAnsi="Verdana" w:cs="Times New Roman"/>
          <w:sz w:val="20"/>
          <w:szCs w:val="20"/>
          <w:lang w:val="es-ES"/>
        </w:rPr>
        <w:t xml:space="preserve">Para efectos prácticos, la Resolución 952 del 15 de diciembre de 2025 fue estructurada considerando dos grupos de documentos tipo: los documentos tipo transversales, contenidos en el Capítulo I, que incluyen el documento base, formatos, anexos, matrices y formularios aplicables de manera general a los procesos de selección para la consultoría de estudios de ingeniería de infraestructura social; y los documentos tipo adicionales o complementarios, establecidos en los Capítulos II a VI, que corresponden a cada sector específico —educativo, salud, cultura, recreación y deporte, institucional y vivienda— y que incluyen la Matriz 1 – Experiencia de cada sector. Esta organización permite que las entidades estatales apliquen los documentos tipo de manera conjunta y conforme a la relevancia técnica de cada proyecto, respetando los parámetros obligatorios, las reglas de inalterabilidad y las instrucciones de implementación señaladas en la Resolución, asegurando la uniformidad en los procesos de concurso de méritos para la consultoría de estudios de ingeniería de infraestructura social. </w:t>
      </w:r>
    </w:p>
    <w:p w14:paraId="203DED0F" w14:textId="77777777" w:rsidR="000D17D4" w:rsidRPr="000D17D4" w:rsidRDefault="000D17D4" w:rsidP="000D17D4">
      <w:pPr>
        <w:widowControl w:val="0"/>
        <w:autoSpaceDE w:val="0"/>
        <w:autoSpaceDN w:val="0"/>
        <w:spacing w:after="0" w:line="240" w:lineRule="auto"/>
        <w:jc w:val="both"/>
        <w:rPr>
          <w:rFonts w:ascii="Verdana" w:eastAsia="Calibri" w:hAnsi="Verdana" w:cs="Times New Roman"/>
          <w:lang w:val="es-ES"/>
        </w:rPr>
      </w:pPr>
    </w:p>
    <w:p w14:paraId="02BC1A2A" w14:textId="77777777" w:rsidR="000D17D4" w:rsidRPr="000D17D4" w:rsidRDefault="000D17D4" w:rsidP="000D17D4">
      <w:pPr>
        <w:widowControl w:val="0"/>
        <w:autoSpaceDE w:val="0"/>
        <w:autoSpaceDN w:val="0"/>
        <w:spacing w:after="0" w:line="240" w:lineRule="auto"/>
        <w:jc w:val="both"/>
        <w:rPr>
          <w:rFonts w:ascii="Verdana" w:eastAsia="Calibri" w:hAnsi="Verdana" w:cs="Times New Roman"/>
          <w:b/>
          <w:bCs/>
          <w:lang w:val="es-ES"/>
        </w:rPr>
      </w:pPr>
      <w:r w:rsidRPr="000D17D4">
        <w:rPr>
          <w:rFonts w:ascii="Verdana" w:eastAsia="Calibri" w:hAnsi="Verdana" w:cs="Times New Roman"/>
          <w:b/>
          <w:bCs/>
          <w:lang w:val="es-ES"/>
        </w:rPr>
        <w:t xml:space="preserve">DOCUMENTOS TIPO SECTOR SOCIAL – Consultoría – Forma de aplicación </w:t>
      </w:r>
    </w:p>
    <w:p w14:paraId="05447C34" w14:textId="77777777" w:rsidR="000D17D4" w:rsidRPr="000D17D4" w:rsidRDefault="000D17D4" w:rsidP="000D17D4">
      <w:pPr>
        <w:widowControl w:val="0"/>
        <w:autoSpaceDE w:val="0"/>
        <w:autoSpaceDN w:val="0"/>
        <w:spacing w:after="0" w:line="240" w:lineRule="auto"/>
        <w:jc w:val="both"/>
        <w:rPr>
          <w:rFonts w:ascii="Verdana" w:eastAsia="Calibri" w:hAnsi="Verdana" w:cs="Times New Roman"/>
          <w:b/>
          <w:bCs/>
          <w:lang w:val="es-ES"/>
        </w:rPr>
      </w:pPr>
    </w:p>
    <w:p w14:paraId="2F5D7A2F" w14:textId="77777777" w:rsidR="000D17D4" w:rsidRPr="000D17D4" w:rsidRDefault="000D17D4" w:rsidP="000D17D4">
      <w:pPr>
        <w:spacing w:after="0" w:line="276" w:lineRule="auto"/>
        <w:jc w:val="both"/>
        <w:textAlignment w:val="baseline"/>
        <w:rPr>
          <w:rFonts w:ascii="Verdana" w:eastAsia="Aptos" w:hAnsi="Verdana" w:cs="Times New Roman"/>
          <w:kern w:val="2"/>
          <w:sz w:val="20"/>
          <w:szCs w:val="20"/>
          <w14:ligatures w14:val="standardContextual"/>
        </w:rPr>
      </w:pPr>
      <w:r w:rsidRPr="000D17D4">
        <w:rPr>
          <w:rFonts w:ascii="Verdana" w:eastAsia="Aptos" w:hAnsi="Verdana" w:cs="Times New Roman"/>
          <w:kern w:val="2"/>
          <w:sz w:val="20"/>
          <w:szCs w:val="20"/>
          <w14:ligatures w14:val="standardContextual"/>
        </w:rPr>
        <w:t>En consecuencia, para adelantar un proceso de selección con los documentos tipo de consultoría de estudios de ingeniería de infraestructura social, se aclara que dichos documentos ya han sido adoptados mediante la Resolución 952 del 15 de diciembre de 2025, y se encuentran publicados en la página web de la Agencia Nacional de Contratación Pública – Colombia Compra Eficiente, distribuidos en las carpetas correspondientes a los documentos tipo transversales y documentos tipo adicionales por sector. Así, la entidad que adelante el proceso de selección deberá implementar los documentos tipo de acuerdo con la estructura y las instrucciones señaladas: identificando el sector de la consultoría (educativo, salud, cultura, recreación y deporte, institucional o vivienda), seleccionando la Matriz 1 – Experiencia correspondiente y aplicándola de manera conjunta con los documentos tipo transversales, incluyendo el documento base, formatos, anexos, matrices y formularios, tal como se establece en los capítulos I a VI de la Resolución 952 de 2025.</w:t>
      </w:r>
    </w:p>
    <w:p w14:paraId="30253CC0" w14:textId="77777777" w:rsidR="000D17D4" w:rsidRPr="000D17D4" w:rsidRDefault="000D17D4" w:rsidP="000D17D4">
      <w:pPr>
        <w:widowControl w:val="0"/>
        <w:autoSpaceDE w:val="0"/>
        <w:autoSpaceDN w:val="0"/>
        <w:spacing w:after="0" w:line="240" w:lineRule="auto"/>
        <w:jc w:val="both"/>
        <w:rPr>
          <w:rFonts w:ascii="Verdana" w:eastAsia="Calibri" w:hAnsi="Verdana" w:cs="Times New Roman"/>
          <w:b/>
          <w:bCs/>
        </w:rPr>
      </w:pPr>
    </w:p>
    <w:p w14:paraId="1F985A9F" w14:textId="77777777" w:rsidR="000D17D4" w:rsidRPr="000D17D4" w:rsidRDefault="000D17D4" w:rsidP="000D17D4">
      <w:pPr>
        <w:widowControl w:val="0"/>
        <w:autoSpaceDE w:val="0"/>
        <w:autoSpaceDN w:val="0"/>
        <w:spacing w:after="0" w:line="240" w:lineRule="auto"/>
        <w:jc w:val="both"/>
        <w:rPr>
          <w:rFonts w:ascii="Verdana" w:eastAsia="Calibri" w:hAnsi="Verdana" w:cs="Times New Roman"/>
          <w:sz w:val="20"/>
          <w:szCs w:val="20"/>
          <w:lang w:val="es-ES"/>
        </w:rPr>
      </w:pPr>
    </w:p>
    <w:p w14:paraId="32D93ED2" w14:textId="77777777" w:rsidR="000D17D4" w:rsidRDefault="000D17D4" w:rsidP="000D17D4">
      <w:pPr>
        <w:widowControl w:val="0"/>
        <w:autoSpaceDE w:val="0"/>
        <w:autoSpaceDN w:val="0"/>
        <w:spacing w:after="0" w:line="240" w:lineRule="auto"/>
        <w:jc w:val="both"/>
        <w:rPr>
          <w:rFonts w:ascii="Verdana" w:eastAsia="Calibri" w:hAnsi="Verdana" w:cs="Times New Roman"/>
          <w:b/>
          <w:bCs/>
          <w:sz w:val="20"/>
          <w:szCs w:val="20"/>
          <w:lang w:val="es-ES"/>
        </w:rPr>
      </w:pPr>
    </w:p>
    <w:p w14:paraId="6B4B3A4B" w14:textId="77777777" w:rsidR="000D17D4" w:rsidRPr="000D17D4" w:rsidRDefault="000D17D4" w:rsidP="000D17D4">
      <w:pPr>
        <w:widowControl w:val="0"/>
        <w:autoSpaceDE w:val="0"/>
        <w:autoSpaceDN w:val="0"/>
        <w:spacing w:after="0" w:line="240" w:lineRule="auto"/>
        <w:jc w:val="both"/>
        <w:rPr>
          <w:rFonts w:ascii="Verdana" w:eastAsia="Calibri" w:hAnsi="Verdana" w:cs="Times New Roman"/>
          <w:b/>
          <w:bCs/>
          <w:sz w:val="20"/>
          <w:szCs w:val="20"/>
          <w:lang w:val="es-ES"/>
        </w:rPr>
      </w:pPr>
    </w:p>
    <w:p w14:paraId="534BD132" w14:textId="77777777" w:rsidR="000D17D4" w:rsidRPr="000D17D4" w:rsidRDefault="000D17D4" w:rsidP="000D17D4">
      <w:pPr>
        <w:spacing w:after="0" w:line="240" w:lineRule="auto"/>
        <w:rPr>
          <w:rFonts w:ascii="Verdana" w:eastAsia="Geomanist Light" w:hAnsi="Verdana" w:cs="Arial"/>
          <w:lang w:val="es-MX"/>
        </w:rPr>
      </w:pPr>
    </w:p>
    <w:p w14:paraId="1EA557A0" w14:textId="01A38733" w:rsidR="000D17D4" w:rsidRDefault="000D17D4" w:rsidP="000D17D4">
      <w:pPr>
        <w:spacing w:after="0" w:line="240" w:lineRule="auto"/>
        <w:rPr>
          <w:rFonts w:ascii="Verdana" w:eastAsia="Aptos" w:hAnsi="Verdana" w:cs="Times New Roman"/>
          <w:kern w:val="2"/>
          <w:sz w:val="24"/>
          <w:szCs w:val="24"/>
          <w14:ligatures w14:val="standardContextual"/>
        </w:rPr>
      </w:pPr>
      <w:r w:rsidRPr="000D17D4">
        <w:rPr>
          <w:rFonts w:ascii="Verdana" w:eastAsia="Aptos" w:hAnsi="Verdana" w:cs="Times New Roman"/>
          <w:kern w:val="2"/>
          <w:sz w:val="24"/>
          <w:szCs w:val="24"/>
          <w14:ligatures w14:val="standardContextual"/>
        </w:rPr>
        <w:lastRenderedPageBreak/>
        <w:t xml:space="preserve">Bogotá D.C., </w:t>
      </w:r>
      <w:r w:rsidR="00E25436">
        <w:rPr>
          <w:rFonts w:ascii="Verdana" w:eastAsia="Aptos" w:hAnsi="Verdana" w:cs="Times New Roman"/>
          <w:kern w:val="2"/>
          <w:sz w:val="24"/>
          <w:szCs w:val="24"/>
          <w14:ligatures w14:val="standardContextual"/>
        </w:rPr>
        <w:t>27 de febrero de 2026</w:t>
      </w:r>
    </w:p>
    <w:p w14:paraId="33AACDE0" w14:textId="77777777" w:rsidR="00E25436" w:rsidRDefault="00E25436" w:rsidP="000D17D4">
      <w:pPr>
        <w:spacing w:after="0" w:line="240" w:lineRule="auto"/>
        <w:rPr>
          <w:rFonts w:ascii="Verdana" w:eastAsia="Aptos" w:hAnsi="Verdana" w:cs="Times New Roman"/>
          <w:kern w:val="2"/>
          <w:sz w:val="24"/>
          <w:szCs w:val="24"/>
          <w14:ligatures w14:val="standardContextual"/>
        </w:rPr>
      </w:pPr>
    </w:p>
    <w:p w14:paraId="785F90A8" w14:textId="7D0D9446" w:rsidR="00E25436" w:rsidRPr="000D17D4" w:rsidRDefault="00E25436" w:rsidP="00E25436">
      <w:pPr>
        <w:spacing w:after="0" w:line="240" w:lineRule="auto"/>
        <w:jc w:val="right"/>
        <w:rPr>
          <w:rFonts w:ascii="Verdana" w:eastAsia="Aptos" w:hAnsi="Verdana" w:cs="Times New Roman"/>
          <w:kern w:val="2"/>
          <w:sz w:val="24"/>
          <w:szCs w:val="24"/>
          <w14:ligatures w14:val="standardContextual"/>
        </w:rPr>
      </w:pPr>
      <w:r w:rsidRPr="00E25436">
        <w:rPr>
          <w:rFonts w:ascii="Verdana" w:eastAsia="Aptos" w:hAnsi="Verdana" w:cs="Times New Roman"/>
          <w:kern w:val="2"/>
          <w:sz w:val="24"/>
          <w:szCs w:val="24"/>
          <w14:ligatures w14:val="standardContextual"/>
        </w:rPr>
        <w:drawing>
          <wp:inline distT="0" distB="0" distL="0" distR="0" wp14:anchorId="0CFE363F" wp14:editId="5C862B8D">
            <wp:extent cx="2266950" cy="690282"/>
            <wp:effectExtent l="0" t="0" r="0" b="0"/>
            <wp:docPr id="64740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4034" name=""/>
                    <pic:cNvPicPr/>
                  </pic:nvPicPr>
                  <pic:blipFill>
                    <a:blip r:embed="rId10"/>
                    <a:stretch>
                      <a:fillRect/>
                    </a:stretch>
                  </pic:blipFill>
                  <pic:spPr>
                    <a:xfrm>
                      <a:off x="0" y="0"/>
                      <a:ext cx="2297865" cy="699696"/>
                    </a:xfrm>
                    <a:prstGeom prst="rect">
                      <a:avLst/>
                    </a:prstGeom>
                  </pic:spPr>
                </pic:pic>
              </a:graphicData>
            </a:graphic>
          </wp:inline>
        </w:drawing>
      </w:r>
    </w:p>
    <w:p w14:paraId="481F58DC" w14:textId="77777777" w:rsidR="000D17D4" w:rsidRPr="000D17D4" w:rsidRDefault="000D17D4" w:rsidP="000D17D4">
      <w:pPr>
        <w:spacing w:after="0" w:line="240" w:lineRule="auto"/>
        <w:rPr>
          <w:rFonts w:ascii="Verdana" w:eastAsia="Calibri" w:hAnsi="Verdana" w:cs="Arial"/>
          <w:lang w:val="es-ES" w:eastAsia="es-ES"/>
        </w:rPr>
      </w:pPr>
    </w:p>
    <w:p w14:paraId="75A0D18D" w14:textId="77777777" w:rsidR="000D17D4" w:rsidRPr="000D17D4" w:rsidRDefault="000D17D4" w:rsidP="000D17D4">
      <w:pPr>
        <w:spacing w:after="0" w:line="240" w:lineRule="auto"/>
        <w:rPr>
          <w:rFonts w:ascii="Verdana" w:eastAsia="Calibri" w:hAnsi="Verdana" w:cs="Arial"/>
          <w:lang w:val="es-ES" w:eastAsia="es-ES"/>
        </w:rPr>
      </w:pPr>
      <w:r w:rsidRPr="000D17D4">
        <w:rPr>
          <w:rFonts w:ascii="Verdana" w:eastAsia="Calibri" w:hAnsi="Verdana" w:cs="Arial"/>
          <w:lang w:val="es-ES" w:eastAsia="es-ES"/>
        </w:rPr>
        <w:t>Señora</w:t>
      </w:r>
    </w:p>
    <w:p w14:paraId="35940210" w14:textId="77777777" w:rsidR="000D17D4" w:rsidRPr="000D17D4" w:rsidRDefault="000D17D4" w:rsidP="000D17D4">
      <w:pPr>
        <w:spacing w:after="0" w:line="240" w:lineRule="auto"/>
        <w:rPr>
          <w:rFonts w:ascii="Verdana" w:eastAsia="Aptos" w:hAnsi="Verdana" w:cs="Times New Roman"/>
          <w:b/>
          <w:bCs/>
          <w:kern w:val="2"/>
          <w14:ligatures w14:val="standardContextual"/>
        </w:rPr>
      </w:pPr>
      <w:r w:rsidRPr="000D17D4">
        <w:rPr>
          <w:rFonts w:ascii="Verdana" w:eastAsia="Aptos" w:hAnsi="Verdana" w:cs="Times New Roman"/>
          <w:b/>
          <w:bCs/>
          <w:kern w:val="2"/>
          <w14:ligatures w14:val="standardContextual"/>
        </w:rPr>
        <w:t>Luisa Fernanda Henao Guerrero</w:t>
      </w:r>
    </w:p>
    <w:p w14:paraId="0A1FF2C3" w14:textId="77777777" w:rsidR="000D17D4" w:rsidRPr="000D17D4" w:rsidRDefault="000D17D4" w:rsidP="000D17D4">
      <w:pPr>
        <w:spacing w:after="0" w:line="240" w:lineRule="auto"/>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t>Villavicencio, Meta</w:t>
      </w:r>
    </w:p>
    <w:p w14:paraId="06B0D93E" w14:textId="77777777" w:rsidR="000D17D4" w:rsidRPr="000D17D4" w:rsidRDefault="000D17D4" w:rsidP="000D17D4">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0D17D4" w:rsidRPr="000D17D4" w14:paraId="4A0EAD4B" w14:textId="77777777" w:rsidTr="00F41355">
        <w:trPr>
          <w:trHeight w:val="229"/>
        </w:trPr>
        <w:tc>
          <w:tcPr>
            <w:tcW w:w="2268" w:type="dxa"/>
          </w:tcPr>
          <w:p w14:paraId="498ACE0E" w14:textId="77777777" w:rsidR="000D17D4" w:rsidRPr="000D17D4" w:rsidRDefault="000D17D4" w:rsidP="000D17D4">
            <w:pPr>
              <w:jc w:val="both"/>
              <w:rPr>
                <w:rFonts w:ascii="Verdana" w:eastAsia="Calibri" w:hAnsi="Verdana" w:cs="Arial"/>
                <w:b/>
                <w:bCs/>
                <w:lang w:val="es-ES_tradnl" w:eastAsia="es-ES_tradnl"/>
              </w:rPr>
            </w:pPr>
          </w:p>
        </w:tc>
        <w:tc>
          <w:tcPr>
            <w:tcW w:w="6100" w:type="dxa"/>
          </w:tcPr>
          <w:p w14:paraId="6D0FC134" w14:textId="77777777" w:rsidR="000D17D4" w:rsidRPr="000D17D4" w:rsidRDefault="000D17D4" w:rsidP="000D17D4">
            <w:pPr>
              <w:jc w:val="both"/>
              <w:rPr>
                <w:rFonts w:ascii="Verdana" w:eastAsia="Calibri" w:hAnsi="Verdana" w:cs="Arial"/>
                <w:b/>
                <w:bCs/>
                <w:lang w:val="es-ES" w:eastAsia="es-ES"/>
              </w:rPr>
            </w:pPr>
            <w:r w:rsidRPr="000D17D4">
              <w:rPr>
                <w:rFonts w:ascii="Verdana" w:eastAsia="Calibri" w:hAnsi="Verdana" w:cs="Arial"/>
                <w:b/>
                <w:bCs/>
                <w:lang w:val="es-ES" w:eastAsia="es-ES"/>
              </w:rPr>
              <w:t xml:space="preserve">Concepto </w:t>
            </w:r>
            <w:bookmarkStart w:id="1" w:name="OLE_LINK1"/>
            <w:r w:rsidRPr="000D17D4">
              <w:rPr>
                <w:rFonts w:ascii="Verdana" w:eastAsia="Calibri" w:hAnsi="Verdana" w:cs="Arial"/>
                <w:b/>
                <w:bCs/>
                <w:lang w:val="es-ES" w:eastAsia="es-ES"/>
              </w:rPr>
              <w:t>C-149 de 2026</w:t>
            </w:r>
            <w:bookmarkEnd w:id="1"/>
          </w:p>
          <w:p w14:paraId="1073EB18" w14:textId="77777777" w:rsidR="000D17D4" w:rsidRPr="000D17D4" w:rsidRDefault="000D17D4" w:rsidP="000D17D4">
            <w:pPr>
              <w:jc w:val="both"/>
              <w:rPr>
                <w:rFonts w:ascii="Verdana" w:eastAsia="Calibri" w:hAnsi="Verdana" w:cs="Arial"/>
                <w:b/>
                <w:bCs/>
                <w:lang w:val="es-ES" w:eastAsia="es-ES"/>
              </w:rPr>
            </w:pPr>
          </w:p>
        </w:tc>
      </w:tr>
      <w:tr w:rsidR="000D17D4" w:rsidRPr="000D17D4" w14:paraId="6606BED9" w14:textId="77777777" w:rsidTr="00F41355">
        <w:trPr>
          <w:trHeight w:val="884"/>
        </w:trPr>
        <w:tc>
          <w:tcPr>
            <w:tcW w:w="2268" w:type="dxa"/>
          </w:tcPr>
          <w:p w14:paraId="301AEB37" w14:textId="77777777" w:rsidR="000D17D4" w:rsidRPr="000D17D4" w:rsidRDefault="000D17D4" w:rsidP="000D17D4">
            <w:pPr>
              <w:jc w:val="both"/>
              <w:rPr>
                <w:rFonts w:ascii="Verdana" w:eastAsia="Calibri" w:hAnsi="Verdana" w:cs="Arial"/>
                <w:lang w:val="es-ES_tradnl" w:eastAsia="es-ES_tradnl"/>
              </w:rPr>
            </w:pPr>
            <w:r w:rsidRPr="000D17D4">
              <w:rPr>
                <w:rFonts w:ascii="Verdana" w:eastAsia="Calibri" w:hAnsi="Verdana" w:cs="Arial"/>
                <w:b/>
                <w:lang w:val="es-ES_tradnl" w:eastAsia="es-ES_tradnl"/>
              </w:rPr>
              <w:t>Temas:</w:t>
            </w:r>
            <w:r w:rsidRPr="000D17D4">
              <w:rPr>
                <w:rFonts w:ascii="Verdana" w:eastAsia="Calibri" w:hAnsi="Verdana" w:cs="Arial"/>
                <w:lang w:val="es-ES_tradnl" w:eastAsia="es-ES_tradnl"/>
              </w:rPr>
              <w:t xml:space="preserve">                   </w:t>
            </w:r>
          </w:p>
        </w:tc>
        <w:tc>
          <w:tcPr>
            <w:tcW w:w="6100" w:type="dxa"/>
          </w:tcPr>
          <w:p w14:paraId="13BE7613" w14:textId="77777777" w:rsidR="000D17D4" w:rsidRPr="000D17D4" w:rsidRDefault="000D17D4" w:rsidP="000D17D4">
            <w:pPr>
              <w:widowControl w:val="0"/>
              <w:autoSpaceDE w:val="0"/>
              <w:autoSpaceDN w:val="0"/>
              <w:jc w:val="both"/>
              <w:rPr>
                <w:rFonts w:ascii="Verdana" w:eastAsia="Calibri" w:hAnsi="Verdana" w:cs="Times New Roman"/>
                <w:lang w:val="es-ES"/>
              </w:rPr>
            </w:pPr>
            <w:r w:rsidRPr="000D17D4">
              <w:rPr>
                <w:rFonts w:ascii="Verdana" w:eastAsia="Calibri" w:hAnsi="Verdana" w:cs="Arial"/>
                <w:lang w:val="es-ES_tradnl"/>
              </w:rPr>
              <w:t>DOCUMENTOS TIPO – Fundamento normativo – Obligatoriedad / SECTOR SOCIAL</w:t>
            </w:r>
            <w:r w:rsidRPr="000D17D4">
              <w:rPr>
                <w:rFonts w:ascii="Verdana" w:eastAsia="Calibri" w:hAnsi="Verdana" w:cs="Times New Roman"/>
                <w:lang w:val="es-ES"/>
              </w:rPr>
              <w:t xml:space="preserve"> – Documentos tipo – Vigentes / DOCUMENTOS TIPO – Aplicación – Matriz de Experiencia </w:t>
            </w:r>
            <w:r w:rsidRPr="000D17D4">
              <w:rPr>
                <w:rFonts w:ascii="Verdana" w:eastAsia="Calibri" w:hAnsi="Verdana" w:cs="Times New Roman"/>
                <w:sz w:val="20"/>
                <w:szCs w:val="20"/>
                <w:lang w:val="es-ES"/>
              </w:rPr>
              <w:t xml:space="preserve">/ </w:t>
            </w:r>
            <w:r w:rsidRPr="000D17D4">
              <w:rPr>
                <w:rFonts w:ascii="Verdana" w:eastAsia="Calibri" w:hAnsi="Verdana" w:cs="Times New Roman"/>
                <w:lang w:val="es-ES"/>
              </w:rPr>
              <w:t xml:space="preserve">DOCUMENTOS TIPO – Sector social – Consultoría – Resolución 952 de 2025 / DOCUMENTOS TIPO SECTOR SOCIAL – Consultoría – Resolución 952 de 2025 – Estructura / DOCUMENTOS TIPO SECTOR SOCIAL – Consultoría – Forma de aplicación </w:t>
            </w:r>
          </w:p>
          <w:p w14:paraId="0CC46942" w14:textId="77777777" w:rsidR="000D17D4" w:rsidRPr="000D17D4" w:rsidRDefault="000D17D4" w:rsidP="000D17D4">
            <w:pPr>
              <w:jc w:val="both"/>
              <w:rPr>
                <w:rFonts w:ascii="Verdana" w:eastAsia="Calibri" w:hAnsi="Verdana" w:cs="Arial"/>
                <w:bCs/>
                <w:lang w:val="es-ES" w:eastAsia="es-ES"/>
              </w:rPr>
            </w:pPr>
          </w:p>
        </w:tc>
      </w:tr>
      <w:tr w:rsidR="000D17D4" w:rsidRPr="000D17D4" w14:paraId="44AF905B" w14:textId="77777777" w:rsidTr="00F41355">
        <w:tc>
          <w:tcPr>
            <w:tcW w:w="2268" w:type="dxa"/>
          </w:tcPr>
          <w:p w14:paraId="2BD47BAD" w14:textId="77777777" w:rsidR="000D17D4" w:rsidRPr="000D17D4" w:rsidRDefault="000D17D4" w:rsidP="000D17D4">
            <w:pPr>
              <w:jc w:val="both"/>
              <w:rPr>
                <w:rFonts w:ascii="Verdana" w:eastAsia="Calibri" w:hAnsi="Verdana" w:cs="Arial"/>
                <w:b/>
                <w:lang w:val="es-ES_tradnl" w:eastAsia="es-ES_tradnl"/>
              </w:rPr>
            </w:pPr>
            <w:r w:rsidRPr="000D17D4">
              <w:rPr>
                <w:rFonts w:ascii="Verdana" w:eastAsia="Calibri" w:hAnsi="Verdana" w:cs="Arial"/>
                <w:b/>
                <w:lang w:val="es-ES_tradnl" w:eastAsia="es-ES_tradnl"/>
              </w:rPr>
              <w:t>Radicación:</w:t>
            </w:r>
            <w:r w:rsidRPr="000D17D4">
              <w:rPr>
                <w:rFonts w:ascii="Verdana" w:eastAsia="Calibri" w:hAnsi="Verdana" w:cs="Arial"/>
                <w:lang w:val="es-ES_tradnl" w:eastAsia="es-ES_tradnl"/>
              </w:rPr>
              <w:t xml:space="preserve">               </w:t>
            </w:r>
          </w:p>
        </w:tc>
        <w:tc>
          <w:tcPr>
            <w:tcW w:w="6100" w:type="dxa"/>
          </w:tcPr>
          <w:p w14:paraId="11996475" w14:textId="77777777" w:rsidR="000D17D4" w:rsidRPr="000D17D4" w:rsidRDefault="000D17D4" w:rsidP="000D17D4">
            <w:pPr>
              <w:ind w:left="3" w:hanging="3"/>
              <w:jc w:val="both"/>
              <w:rPr>
                <w:rFonts w:ascii="Verdana" w:eastAsia="Calibri" w:hAnsi="Verdana" w:cs="Arial"/>
                <w:lang w:val="es-ES_tradnl" w:eastAsia="es-ES_tradnl"/>
              </w:rPr>
            </w:pPr>
            <w:r w:rsidRPr="000D17D4">
              <w:rPr>
                <w:rFonts w:ascii="Verdana" w:eastAsia="Calibri" w:hAnsi="Verdana" w:cs="Arial"/>
                <w:lang w:val="es-ES_tradnl" w:eastAsia="es-ES_tradnl"/>
              </w:rPr>
              <w:t xml:space="preserve">Respuesta a consulta con radicado No. </w:t>
            </w:r>
            <w:r w:rsidRPr="000D17D4">
              <w:rPr>
                <w:rFonts w:ascii="Verdana" w:eastAsia="Aptos" w:hAnsi="Verdana" w:cs="Times New Roman"/>
                <w:lang w:val="es-ES_tradnl"/>
              </w:rPr>
              <w:t>1_2026_02_02_001273</w:t>
            </w:r>
          </w:p>
        </w:tc>
      </w:tr>
    </w:tbl>
    <w:p w14:paraId="1E41C136" w14:textId="77777777" w:rsidR="000D17D4" w:rsidRPr="000D17D4" w:rsidRDefault="000D17D4" w:rsidP="000D17D4">
      <w:pPr>
        <w:spacing w:after="0" w:line="240" w:lineRule="auto"/>
        <w:jc w:val="both"/>
        <w:rPr>
          <w:rFonts w:ascii="Verdana" w:eastAsia="Calibri" w:hAnsi="Verdana" w:cs="Arial"/>
          <w:lang w:val="es-ES_tradnl" w:eastAsia="es-ES_tradnl"/>
        </w:rPr>
      </w:pPr>
    </w:p>
    <w:p w14:paraId="5B9DF966" w14:textId="77777777" w:rsidR="000D17D4" w:rsidRPr="000D17D4" w:rsidRDefault="000D17D4" w:rsidP="000D17D4">
      <w:pPr>
        <w:spacing w:after="0" w:line="276" w:lineRule="auto"/>
        <w:jc w:val="both"/>
        <w:rPr>
          <w:rFonts w:ascii="Verdana" w:eastAsia="Calibri" w:hAnsi="Verdana" w:cs="Arial"/>
          <w:lang w:val="es-ES" w:eastAsia="es-ES"/>
        </w:rPr>
      </w:pPr>
      <w:r w:rsidRPr="000D17D4">
        <w:rPr>
          <w:rFonts w:ascii="Verdana" w:eastAsia="Calibri" w:hAnsi="Verdana" w:cs="Arial"/>
          <w:lang w:val="es-ES" w:eastAsia="es-ES"/>
        </w:rPr>
        <w:t xml:space="preserve">Estimada señora Henao Guerrero: </w:t>
      </w:r>
    </w:p>
    <w:p w14:paraId="5675B484" w14:textId="77777777" w:rsidR="000D17D4" w:rsidRPr="000D17D4" w:rsidRDefault="000D17D4" w:rsidP="000D17D4">
      <w:pPr>
        <w:tabs>
          <w:tab w:val="left" w:pos="3768"/>
        </w:tabs>
        <w:spacing w:after="0" w:line="276" w:lineRule="auto"/>
        <w:jc w:val="both"/>
        <w:rPr>
          <w:rFonts w:ascii="Verdana" w:eastAsia="Calibri" w:hAnsi="Verdana" w:cs="Arial"/>
          <w:lang w:val="es-ES" w:eastAsia="es-ES"/>
        </w:rPr>
      </w:pPr>
      <w:r w:rsidRPr="000D17D4">
        <w:rPr>
          <w:rFonts w:ascii="Verdana" w:eastAsia="Calibri" w:hAnsi="Verdana" w:cs="Arial"/>
          <w:lang w:val="es-ES" w:eastAsia="es-ES"/>
        </w:rPr>
        <w:tab/>
      </w:r>
    </w:p>
    <w:p w14:paraId="7C9B0C75" w14:textId="77777777" w:rsidR="000D17D4" w:rsidRPr="000D17D4" w:rsidRDefault="000D17D4" w:rsidP="000D17D4">
      <w:pPr>
        <w:spacing w:after="0" w:line="276" w:lineRule="auto"/>
        <w:jc w:val="both"/>
        <w:rPr>
          <w:rFonts w:ascii="Verdana" w:eastAsia="Calibri" w:hAnsi="Verdana" w:cs="Arial"/>
          <w:lang w:val="es-ES" w:eastAsia="es-ES"/>
        </w:rPr>
      </w:pPr>
      <w:r w:rsidRPr="000D17D4">
        <w:rPr>
          <w:rFonts w:ascii="Verdana" w:eastAsia="Calibri" w:hAnsi="Verdana" w:cs="Arial"/>
          <w:lang w:val="es-ES" w:eastAsia="es-ES"/>
        </w:rPr>
        <w:t>En ejercicio de la competencia otorgada por los artículos 3, numeral 5º, y 11, numeral 8º, del Decreto Ley 4170 de 2011,</w:t>
      </w:r>
      <w:r w:rsidRPr="000D17D4">
        <w:rPr>
          <w:rFonts w:ascii="Verdana" w:eastAsia="Arial MT" w:hAnsi="Verdana" w:cs="Arial MT"/>
          <w:lang w:val="es-ES" w:eastAsia="es-ES"/>
        </w:rPr>
        <w:t xml:space="preserve"> </w:t>
      </w:r>
      <w:r w:rsidRPr="000D17D4">
        <w:rPr>
          <w:rFonts w:ascii="Verdana" w:eastAsia="Calibri" w:hAnsi="Verdana" w:cs="Arial"/>
        </w:rPr>
        <w:t xml:space="preserve">así como lo establecido por la </w:t>
      </w:r>
      <w:r w:rsidRPr="000D17D4">
        <w:rPr>
          <w:rFonts w:ascii="Verdana" w:eastAsia="Aptos" w:hAnsi="Verdana" w:cs="Arial"/>
          <w:bCs/>
          <w:kern w:val="2"/>
          <w:lang w:eastAsia="es-ES" w:bidi="es-ES"/>
          <w14:ligatures w14:val="standardContextual"/>
        </w:rPr>
        <w:t>Resolución 469 de 2025 expedida por esta Entidad</w:t>
      </w:r>
      <w:r w:rsidRPr="000D17D4">
        <w:rPr>
          <w:rFonts w:ascii="Verdana" w:eastAsia="Calibri" w:hAnsi="Verdana" w:cs="Arial"/>
        </w:rPr>
        <w:t xml:space="preserve">, </w:t>
      </w:r>
      <w:r w:rsidRPr="000D17D4">
        <w:rPr>
          <w:rFonts w:ascii="Verdana" w:eastAsia="Calibri" w:hAnsi="Verdana" w:cs="Arial"/>
          <w:lang w:val="es-ES" w:eastAsia="es-ES"/>
        </w:rPr>
        <w:t xml:space="preserve">la Agencia Nacional de Contratación Pública – Colombia Compra Eficiente– responde su solicitud de consulta del 2 de febrero de 2026, en la cual manifiesta lo siguiente: </w:t>
      </w:r>
    </w:p>
    <w:p w14:paraId="6339E2E8" w14:textId="77777777" w:rsidR="000D17D4" w:rsidRPr="000D17D4" w:rsidRDefault="000D17D4" w:rsidP="000D17D4">
      <w:pPr>
        <w:tabs>
          <w:tab w:val="left" w:pos="142"/>
          <w:tab w:val="left" w:pos="284"/>
        </w:tabs>
        <w:spacing w:after="0" w:line="276" w:lineRule="auto"/>
        <w:ind w:left="709" w:right="709"/>
        <w:jc w:val="both"/>
        <w:rPr>
          <w:rFonts w:ascii="Verdana" w:eastAsia="Century Gothic" w:hAnsi="Verdana" w:cs="Century Gothic"/>
          <w:b/>
          <w:bCs/>
        </w:rPr>
      </w:pPr>
    </w:p>
    <w:p w14:paraId="3EC2C89B" w14:textId="77777777" w:rsidR="000D17D4" w:rsidRPr="000D17D4" w:rsidRDefault="000D17D4" w:rsidP="000D17D4">
      <w:pPr>
        <w:spacing w:after="0" w:line="240" w:lineRule="auto"/>
        <w:ind w:left="709" w:right="709"/>
        <w:jc w:val="both"/>
        <w:rPr>
          <w:rFonts w:ascii="Verdana" w:eastAsia="Century Gothic" w:hAnsi="Verdana" w:cs="Arial"/>
          <w:sz w:val="21"/>
          <w:szCs w:val="21"/>
        </w:rPr>
      </w:pPr>
      <w:r w:rsidRPr="000D17D4">
        <w:rPr>
          <w:rFonts w:ascii="Verdana" w:eastAsia="Century Gothic" w:hAnsi="Verdana" w:cs="Arial"/>
          <w:sz w:val="21"/>
          <w:szCs w:val="21"/>
          <w:lang w:val="es-ES"/>
        </w:rPr>
        <w:t>“</w:t>
      </w:r>
      <w:r w:rsidRPr="000D17D4">
        <w:rPr>
          <w:rFonts w:ascii="Verdana" w:eastAsia="Aptos" w:hAnsi="Verdana" w:cs="Times New Roman"/>
          <w:kern w:val="2"/>
          <w:sz w:val="21"/>
          <w:szCs w:val="21"/>
          <w14:ligatures w14:val="standardContextual"/>
        </w:rPr>
        <w:t xml:space="preserve">Cordial saludo, solicito a la Entidad me brinde aclaración sobre la resolución 953 de 2025, ya que en su </w:t>
      </w:r>
      <w:proofErr w:type="spellStart"/>
      <w:r w:rsidRPr="000D17D4">
        <w:rPr>
          <w:rFonts w:ascii="Verdana" w:eastAsia="Aptos" w:hAnsi="Verdana" w:cs="Times New Roman"/>
          <w:kern w:val="2"/>
          <w:sz w:val="21"/>
          <w:szCs w:val="21"/>
          <w14:ligatures w14:val="standardContextual"/>
        </w:rPr>
        <w:t>titulo</w:t>
      </w:r>
      <w:proofErr w:type="spellEnd"/>
      <w:r w:rsidRPr="000D17D4">
        <w:rPr>
          <w:rFonts w:ascii="Verdana" w:eastAsia="Aptos" w:hAnsi="Verdana" w:cs="Times New Roman"/>
          <w:kern w:val="2"/>
          <w:sz w:val="21"/>
          <w:szCs w:val="21"/>
          <w14:ligatures w14:val="standardContextual"/>
        </w:rPr>
        <w:t xml:space="preserve"> solo habla sobre la reglamentación de documentos tipo en INTERVENTORIA DE INFRAESTRUCTURA SOCIAL, pero la misma agencia también carga todos los documentos tipo aplicables para las CONSULTORIAS DE INFRAESTRUCTURA SOCIAL y relaciona en esta sección la misma resolución 953 de 2025, esto quiere decir que: ¿no existe una resolución que reglamente las CONSULTORIAS DE INFRAESTRUCTURA </w:t>
      </w:r>
      <w:r w:rsidRPr="000D17D4">
        <w:rPr>
          <w:rFonts w:ascii="Verdana" w:eastAsia="Aptos" w:hAnsi="Verdana" w:cs="Times New Roman"/>
          <w:kern w:val="2"/>
          <w:sz w:val="21"/>
          <w:szCs w:val="21"/>
          <w14:ligatures w14:val="standardContextual"/>
        </w:rPr>
        <w:lastRenderedPageBreak/>
        <w:t>SOCIAL? ¿</w:t>
      </w:r>
      <w:proofErr w:type="spellStart"/>
      <w:r w:rsidRPr="000D17D4">
        <w:rPr>
          <w:rFonts w:ascii="Verdana" w:eastAsia="Aptos" w:hAnsi="Verdana" w:cs="Times New Roman"/>
          <w:kern w:val="2"/>
          <w:sz w:val="21"/>
          <w:szCs w:val="21"/>
          <w14:ligatures w14:val="standardContextual"/>
        </w:rPr>
        <w:t>Por que</w:t>
      </w:r>
      <w:proofErr w:type="spellEnd"/>
      <w:r w:rsidRPr="000D17D4">
        <w:rPr>
          <w:rFonts w:ascii="Verdana" w:eastAsia="Aptos" w:hAnsi="Verdana" w:cs="Times New Roman"/>
          <w:kern w:val="2"/>
          <w:sz w:val="21"/>
          <w:szCs w:val="21"/>
          <w14:ligatures w14:val="standardContextual"/>
        </w:rPr>
        <w:t xml:space="preserve"> la agencia subió una serie de documentos tipo para CONSULTORIAS DE INFRAESTURCTURA SOCIAL si no existe una resolución que reglamente, es netamente para que las Entidades se puedan guiar pero </w:t>
      </w:r>
      <w:proofErr w:type="spellStart"/>
      <w:r w:rsidRPr="000D17D4">
        <w:rPr>
          <w:rFonts w:ascii="Verdana" w:eastAsia="Aptos" w:hAnsi="Verdana" w:cs="Times New Roman"/>
          <w:kern w:val="2"/>
          <w:sz w:val="21"/>
          <w:szCs w:val="21"/>
          <w14:ligatures w14:val="standardContextual"/>
        </w:rPr>
        <w:t>aun</w:t>
      </w:r>
      <w:proofErr w:type="spellEnd"/>
      <w:r w:rsidRPr="000D17D4">
        <w:rPr>
          <w:rFonts w:ascii="Verdana" w:eastAsia="Aptos" w:hAnsi="Verdana" w:cs="Times New Roman"/>
          <w:kern w:val="2"/>
          <w:sz w:val="21"/>
          <w:szCs w:val="21"/>
          <w14:ligatures w14:val="standardContextual"/>
        </w:rPr>
        <w:t xml:space="preserve"> no es obligatorio la aplicación de documentos tipo en CONSULTORIAS DE INFRAESTRUCTURA SOCIAL?</w:t>
      </w:r>
      <w:r w:rsidRPr="000D17D4">
        <w:rPr>
          <w:rFonts w:ascii="Verdana" w:eastAsia="Century Gothic" w:hAnsi="Verdana" w:cs="Arial"/>
          <w:sz w:val="21"/>
          <w:szCs w:val="21"/>
        </w:rPr>
        <w:t xml:space="preserve">”(sic). </w:t>
      </w:r>
    </w:p>
    <w:p w14:paraId="5196B27B" w14:textId="77777777" w:rsidR="000D17D4" w:rsidRPr="000D17D4" w:rsidRDefault="000D17D4" w:rsidP="000D17D4">
      <w:pPr>
        <w:spacing w:after="0" w:line="240" w:lineRule="auto"/>
        <w:ind w:left="709" w:right="709"/>
        <w:jc w:val="both"/>
        <w:rPr>
          <w:rFonts w:ascii="Arial" w:eastAsia="Aptos" w:hAnsi="Arial" w:cs="Arial"/>
          <w:kern w:val="2"/>
          <w:sz w:val="21"/>
          <w:szCs w:val="21"/>
          <w14:ligatures w14:val="standardContextual"/>
        </w:rPr>
      </w:pPr>
    </w:p>
    <w:p w14:paraId="1D4A0029" w14:textId="77777777" w:rsidR="000D17D4" w:rsidRPr="000D17D4" w:rsidRDefault="000D17D4" w:rsidP="000D17D4">
      <w:pPr>
        <w:spacing w:after="120" w:line="240" w:lineRule="auto"/>
        <w:ind w:firstLine="709"/>
        <w:jc w:val="both"/>
        <w:rPr>
          <w:rFonts w:ascii="Verdana" w:eastAsia="Calibri" w:hAnsi="Verdana" w:cs="Arial"/>
          <w:color w:val="000000"/>
          <w:kern w:val="2"/>
          <w:lang w:val="es-ES" w:eastAsia="es-ES"/>
          <w14:ligatures w14:val="standardContextual"/>
        </w:rPr>
      </w:pPr>
      <w:r w:rsidRPr="000D17D4">
        <w:rPr>
          <w:rFonts w:ascii="Verdana" w:eastAsia="Calibri" w:hAnsi="Verdana" w:cs="Arial"/>
          <w:color w:val="000000"/>
          <w:kern w:val="2"/>
          <w:lang w:val="es-ES" w:eastAsia="es-ES"/>
          <w14:ligatures w14:val="standardContextual"/>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D17D4">
        <w:rPr>
          <w:rFonts w:ascii="Verdana" w:eastAsia="Calibri" w:hAnsi="Verdana" w:cs="Arial"/>
          <w:color w:val="000000"/>
          <w:kern w:val="2"/>
          <w:lang w:val="es-ES_tradnl" w:eastAsia="es-ES_tradnl"/>
          <w14:ligatures w14:val="standardContextual"/>
        </w:rPr>
        <w:tab/>
      </w:r>
    </w:p>
    <w:p w14:paraId="3AF4F8D1" w14:textId="77777777" w:rsidR="000D17D4" w:rsidRPr="000D17D4" w:rsidRDefault="000D17D4" w:rsidP="000D17D4">
      <w:pPr>
        <w:spacing w:after="0" w:line="240" w:lineRule="auto"/>
        <w:ind w:firstLine="709"/>
        <w:jc w:val="both"/>
        <w:rPr>
          <w:rFonts w:ascii="Verdana" w:eastAsia="Calibri" w:hAnsi="Verdana" w:cs="Arial"/>
          <w:color w:val="000000"/>
          <w:kern w:val="2"/>
          <w:lang w:val="es-ES" w:eastAsia="es-ES"/>
          <w14:ligatures w14:val="standardContextual"/>
        </w:rPr>
      </w:pPr>
      <w:r w:rsidRPr="000D17D4">
        <w:rPr>
          <w:rFonts w:ascii="Verdana" w:eastAsia="Calibri" w:hAnsi="Verdana" w:cs="Arial"/>
          <w:color w:val="000000"/>
          <w:kern w:val="2"/>
          <w:lang w:val="es-ES" w:eastAsia="es-ES"/>
          <w14:ligatures w14:val="standardContextual"/>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0D17D4">
        <w:rPr>
          <w:rFonts w:ascii="Verdana" w:eastAsia="Calibri" w:hAnsi="Verdana" w:cs="Arial"/>
          <w:color w:val="7030A0"/>
          <w:kern w:val="2"/>
          <w:lang w:val="es-ES" w:eastAsia="es-ES"/>
          <w14:ligatures w14:val="standardContextual"/>
        </w:rPr>
        <w:t xml:space="preserve"> </w:t>
      </w:r>
      <w:r w:rsidRPr="000D17D4">
        <w:rPr>
          <w:rFonts w:ascii="Verdana" w:eastAsia="Calibri" w:hAnsi="Verdana" w:cs="Arial"/>
          <w:color w:val="000000"/>
          <w:kern w:val="2"/>
          <w:lang w:val="es-ES" w:eastAsia="es-ES"/>
          <w14:ligatures w14:val="standardContextual"/>
        </w:rPr>
        <w:t>problema</w:t>
      </w:r>
      <w:r w:rsidRPr="000D17D4">
        <w:rPr>
          <w:rFonts w:ascii="Verdana" w:eastAsia="Calibri" w:hAnsi="Verdana" w:cs="Arial"/>
          <w:color w:val="7030A0"/>
          <w:kern w:val="2"/>
          <w:lang w:val="es-ES" w:eastAsia="es-ES"/>
          <w14:ligatures w14:val="standardContextual"/>
        </w:rPr>
        <w:t xml:space="preserve"> </w:t>
      </w:r>
      <w:r w:rsidRPr="000D17D4">
        <w:rPr>
          <w:rFonts w:ascii="Verdana" w:eastAsia="Calibri" w:hAnsi="Verdana" w:cs="Arial"/>
          <w:color w:val="000000"/>
          <w:kern w:val="2"/>
          <w:lang w:val="es-ES" w:eastAsia="es-ES"/>
          <w14:ligatures w14:val="standardContextual"/>
        </w:rPr>
        <w:t>jurídico</w:t>
      </w:r>
      <w:r w:rsidRPr="000D17D4">
        <w:rPr>
          <w:rFonts w:ascii="Verdana" w:eastAsia="Calibri" w:hAnsi="Verdana" w:cs="Arial"/>
          <w:color w:val="7030A0"/>
          <w:kern w:val="2"/>
          <w:lang w:val="es-ES" w:eastAsia="es-ES"/>
          <w14:ligatures w14:val="standardContextual"/>
        </w:rPr>
        <w:t xml:space="preserve"> </w:t>
      </w:r>
      <w:r w:rsidRPr="000D17D4">
        <w:rPr>
          <w:rFonts w:ascii="Verdana" w:eastAsia="Calibri" w:hAnsi="Verdana" w:cs="Arial"/>
          <w:color w:val="000000"/>
          <w:kern w:val="2"/>
          <w:lang w:val="es-ES" w:eastAsia="es-ES"/>
          <w14:ligatures w14:val="standardContextual"/>
        </w:rPr>
        <w:t xml:space="preserve">de su consulta. </w:t>
      </w:r>
    </w:p>
    <w:p w14:paraId="62FA2E2F" w14:textId="77777777" w:rsidR="000D17D4" w:rsidRPr="000D17D4" w:rsidRDefault="000D17D4" w:rsidP="000D17D4">
      <w:pPr>
        <w:spacing w:after="0" w:line="276" w:lineRule="auto"/>
        <w:jc w:val="both"/>
        <w:rPr>
          <w:rFonts w:ascii="Verdana" w:eastAsia="Calibri" w:hAnsi="Verdana" w:cs="Arial"/>
          <w:lang w:val="es-ES" w:eastAsia="es-ES"/>
        </w:rPr>
      </w:pPr>
    </w:p>
    <w:p w14:paraId="32CAAD1F" w14:textId="77777777" w:rsidR="000D17D4" w:rsidRPr="000D17D4" w:rsidRDefault="000D17D4" w:rsidP="000D17D4">
      <w:pPr>
        <w:numPr>
          <w:ilvl w:val="0"/>
          <w:numId w:val="17"/>
        </w:numPr>
        <w:tabs>
          <w:tab w:val="left" w:pos="142"/>
          <w:tab w:val="left" w:pos="284"/>
        </w:tabs>
        <w:spacing w:after="0" w:line="276" w:lineRule="auto"/>
        <w:jc w:val="both"/>
        <w:rPr>
          <w:rFonts w:ascii="Verdana" w:eastAsia="Century Gothic" w:hAnsi="Verdana" w:cs="Century Gothic"/>
          <w:b/>
          <w:bCs/>
        </w:rPr>
      </w:pPr>
      <w:r w:rsidRPr="000D17D4">
        <w:rPr>
          <w:rFonts w:ascii="Verdana" w:eastAsia="Century Gothic" w:hAnsi="Verdana" w:cs="Century Gothic"/>
          <w:b/>
          <w:bCs/>
        </w:rPr>
        <w:t>Problema planteado:</w:t>
      </w:r>
    </w:p>
    <w:p w14:paraId="24605541" w14:textId="77777777" w:rsidR="000D17D4" w:rsidRPr="000D17D4" w:rsidRDefault="000D17D4" w:rsidP="000D17D4">
      <w:pPr>
        <w:tabs>
          <w:tab w:val="left" w:pos="426"/>
        </w:tabs>
        <w:spacing w:after="0" w:line="276" w:lineRule="auto"/>
        <w:jc w:val="both"/>
        <w:rPr>
          <w:rFonts w:ascii="Verdana" w:eastAsia="Century Gothic" w:hAnsi="Verdana" w:cs="Century Gothic"/>
          <w:lang w:val="es-ES"/>
        </w:rPr>
      </w:pPr>
    </w:p>
    <w:p w14:paraId="1EB37409" w14:textId="02C3DDA1" w:rsidR="000D17D4" w:rsidRPr="000D17D4" w:rsidRDefault="000D17D4" w:rsidP="000D17D4">
      <w:pPr>
        <w:spacing w:after="0" w:line="276" w:lineRule="auto"/>
        <w:jc w:val="both"/>
        <w:rPr>
          <w:rFonts w:ascii="Verdana" w:eastAsia="Calibri" w:hAnsi="Verdana" w:cs="Arial"/>
          <w:bCs/>
          <w:kern w:val="2"/>
          <w:lang w:val="es-ES_tradnl" w:eastAsia="es-ES_tradnl"/>
          <w14:ligatures w14:val="standardContextual"/>
        </w:rPr>
      </w:pPr>
      <w:r w:rsidRPr="000D17D4">
        <w:rPr>
          <w:rFonts w:ascii="Verdana" w:eastAsia="Century Gothic" w:hAnsi="Verdana" w:cs="Century Gothic"/>
        </w:rPr>
        <w:t>De acuerdo con el contenido de su solicitud, esta Agencia resolverá l</w:t>
      </w:r>
      <w:r w:rsidR="00A17ABE">
        <w:rPr>
          <w:rFonts w:ascii="Verdana" w:eastAsia="Century Gothic" w:hAnsi="Verdana" w:cs="Century Gothic"/>
        </w:rPr>
        <w:t>os</w:t>
      </w:r>
      <w:r w:rsidRPr="000D17D4">
        <w:rPr>
          <w:rFonts w:ascii="Verdana" w:eastAsia="Century Gothic" w:hAnsi="Verdana" w:cs="Century Gothic"/>
        </w:rPr>
        <w:t xml:space="preserve"> siguientes problemas jurídicos: i) </w:t>
      </w:r>
      <w:r w:rsidRPr="000D17D4">
        <w:rPr>
          <w:rFonts w:ascii="Verdana" w:eastAsia="Calibri" w:hAnsi="Verdana" w:cs="Arial"/>
          <w:bCs/>
          <w:kern w:val="2"/>
          <w:lang w:val="es-ES_tradnl" w:eastAsia="es-ES_tradnl"/>
          <w14:ligatures w14:val="standardContextual"/>
        </w:rPr>
        <w:t xml:space="preserve">¿Existe una Resolución que reglamente los documentos tipo de Consultoría de estudios de ingeniería de infraestructura social? y </w:t>
      </w:r>
      <w:proofErr w:type="spellStart"/>
      <w:r w:rsidRPr="000D17D4">
        <w:rPr>
          <w:rFonts w:ascii="Verdana" w:eastAsia="Calibri" w:hAnsi="Verdana" w:cs="Arial"/>
          <w:bCs/>
          <w:kern w:val="2"/>
          <w:lang w:val="es-ES_tradnl" w:eastAsia="es-ES_tradnl"/>
          <w14:ligatures w14:val="standardContextual"/>
        </w:rPr>
        <w:t>ii</w:t>
      </w:r>
      <w:proofErr w:type="spellEnd"/>
      <w:r w:rsidRPr="000D17D4">
        <w:rPr>
          <w:rFonts w:ascii="Verdana" w:eastAsia="Calibri" w:hAnsi="Verdana" w:cs="Arial"/>
          <w:bCs/>
          <w:kern w:val="2"/>
          <w:lang w:val="es-ES_tradnl" w:eastAsia="es-ES_tradnl"/>
          <w14:ligatures w14:val="standardContextual"/>
        </w:rPr>
        <w:t>) ¿Cuál es la estructura de la Resolución?</w:t>
      </w:r>
    </w:p>
    <w:p w14:paraId="65773371" w14:textId="77777777" w:rsidR="000D17D4" w:rsidRPr="000D17D4" w:rsidRDefault="000D17D4" w:rsidP="000D17D4">
      <w:pPr>
        <w:spacing w:after="0" w:line="276" w:lineRule="auto"/>
        <w:jc w:val="both"/>
        <w:rPr>
          <w:rFonts w:ascii="Verdana" w:eastAsia="Century Gothic" w:hAnsi="Verdana" w:cs="Century Gothic"/>
          <w:lang w:val="es-ES_tradnl"/>
        </w:rPr>
      </w:pPr>
    </w:p>
    <w:p w14:paraId="28FD5C68" w14:textId="77777777" w:rsidR="000D17D4" w:rsidRPr="000D17D4" w:rsidRDefault="000D17D4" w:rsidP="000D17D4">
      <w:pPr>
        <w:tabs>
          <w:tab w:val="left" w:pos="142"/>
          <w:tab w:val="left" w:pos="284"/>
        </w:tabs>
        <w:spacing w:after="0" w:line="276" w:lineRule="auto"/>
        <w:contextualSpacing/>
        <w:jc w:val="both"/>
        <w:rPr>
          <w:rFonts w:ascii="Verdana" w:eastAsia="Century Gothic" w:hAnsi="Verdana" w:cs="Century Gothic"/>
          <w:b/>
          <w:bCs/>
          <w:lang w:val="es-ES"/>
        </w:rPr>
      </w:pPr>
      <w:r w:rsidRPr="000D17D4">
        <w:rPr>
          <w:rFonts w:ascii="Verdana" w:eastAsia="Century Gothic" w:hAnsi="Verdana" w:cs="Century Gothic"/>
          <w:b/>
          <w:bCs/>
          <w:lang w:val="es-ES"/>
        </w:rPr>
        <w:t>2. Respuestas:</w:t>
      </w:r>
    </w:p>
    <w:p w14:paraId="1ACEB9E8" w14:textId="77777777" w:rsidR="000D17D4" w:rsidRPr="000D17D4" w:rsidRDefault="000D17D4" w:rsidP="000D17D4">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D17D4" w:rsidRPr="000D17D4" w14:paraId="79766F4D" w14:textId="77777777" w:rsidTr="00F41355">
        <w:trPr>
          <w:trHeight w:val="40"/>
        </w:trPr>
        <w:tc>
          <w:tcPr>
            <w:tcW w:w="8828" w:type="dxa"/>
            <w:tcBorders>
              <w:top w:val="dotted" w:sz="4" w:space="0" w:color="auto"/>
              <w:left w:val="dotted" w:sz="4" w:space="0" w:color="auto"/>
              <w:bottom w:val="dotted" w:sz="4" w:space="0" w:color="auto"/>
              <w:right w:val="dotted" w:sz="4" w:space="0" w:color="auto"/>
            </w:tcBorders>
          </w:tcPr>
          <w:p w14:paraId="07BEAEA2" w14:textId="77777777" w:rsidR="000D17D4" w:rsidRPr="000D17D4" w:rsidRDefault="000D17D4" w:rsidP="000D17D4">
            <w:pPr>
              <w:widowControl w:val="0"/>
              <w:autoSpaceDE w:val="0"/>
              <w:autoSpaceDN w:val="0"/>
              <w:spacing w:after="120" w:line="276" w:lineRule="auto"/>
              <w:jc w:val="both"/>
              <w:rPr>
                <w:rFonts w:ascii="Verdana" w:eastAsia="Calibri" w:hAnsi="Verdana" w:cs="Times New Roman"/>
                <w:lang w:val="es-ES"/>
              </w:rPr>
            </w:pPr>
            <w:r w:rsidRPr="000D17D4">
              <w:rPr>
                <w:rFonts w:ascii="Verdana" w:eastAsia="Calibri" w:hAnsi="Verdana" w:cs="Arial"/>
                <w:lang w:val="es-ES"/>
              </w:rPr>
              <w:t>i) Sí. M</w:t>
            </w:r>
            <w:r w:rsidRPr="000D17D4">
              <w:rPr>
                <w:rFonts w:ascii="Verdana" w:eastAsia="Calibri" w:hAnsi="Verdana" w:cs="Times New Roman"/>
                <w:lang w:val="es-ES"/>
              </w:rPr>
              <w:t xml:space="preserve">ediante la Resolución 952 del 15 de diciembre de 2025, se adoptaron los documentos tipo transversales para los procesos de concurso de méritos destinados a contratar la consultoría de estudios de ingeniería de infraestructura social, así como los documentos tipo complementarios para estos mismos procesos, relacionados con los sectores de educación, salud, </w:t>
            </w:r>
            <w:r w:rsidRPr="000D17D4">
              <w:rPr>
                <w:rFonts w:ascii="Verdana" w:eastAsia="Calibri" w:hAnsi="Verdana" w:cs="Times New Roman"/>
                <w:lang w:val="es-ES"/>
              </w:rPr>
              <w:lastRenderedPageBreak/>
              <w:t>cultura, recreación y deporte, institucional y vivienda.</w:t>
            </w:r>
          </w:p>
          <w:p w14:paraId="393E3CEA" w14:textId="77777777" w:rsidR="000D17D4" w:rsidRPr="000D17D4" w:rsidRDefault="000D17D4" w:rsidP="000D17D4">
            <w:pPr>
              <w:spacing w:after="120" w:line="276" w:lineRule="auto"/>
              <w:ind w:firstLine="708"/>
              <w:jc w:val="both"/>
              <w:textAlignment w:val="baseline"/>
              <w:rPr>
                <w:rFonts w:ascii="Verdana" w:eastAsia="Calibri" w:hAnsi="Verdana" w:cs="Arial"/>
              </w:rPr>
            </w:pPr>
            <w:r w:rsidRPr="000D17D4">
              <w:rPr>
                <w:rFonts w:ascii="Verdana" w:eastAsia="Calibri" w:hAnsi="Verdana" w:cs="Arial"/>
              </w:rPr>
              <w:t>Tal como se dispuso en la memoria justificativa de la Resolución 952 del 15 de diciembre de 2025, los documentos tipo para los procesos de selección mediante concurso de méritos para contratar la consultoría de estudios de ingeniería de infraestructura social, fueron adoptados teniendo en cuenta lo siguiente:</w:t>
            </w:r>
            <w:r w:rsidRPr="000D17D4">
              <w:rPr>
                <w:rFonts w:ascii="Verdana" w:eastAsia="Aptos" w:hAnsi="Verdana" w:cs="Times New Roman"/>
              </w:rPr>
              <w:t xml:space="preserve"> i) la importancia en las compras públicas de la Ley 2294 de 2023 por la cual se expide el Plan Nacional de Desarrollo 2022-2026 “Colombia Potencia Mundial de la Vida”, </w:t>
            </w:r>
            <w:proofErr w:type="spellStart"/>
            <w:r w:rsidRPr="000D17D4">
              <w:rPr>
                <w:rFonts w:ascii="Verdana" w:eastAsia="Aptos" w:hAnsi="Verdana" w:cs="Times New Roman"/>
              </w:rPr>
              <w:t>ii</w:t>
            </w:r>
            <w:proofErr w:type="spellEnd"/>
            <w:r w:rsidRPr="000D17D4">
              <w:rPr>
                <w:rFonts w:ascii="Verdana" w:eastAsia="Aptos" w:hAnsi="Verdana" w:cs="Times New Roman"/>
              </w:rPr>
              <w:t xml:space="preserve">) la inversión de recursos públicos en estos proyectos, </w:t>
            </w:r>
            <w:proofErr w:type="spellStart"/>
            <w:r w:rsidRPr="000D17D4">
              <w:rPr>
                <w:rFonts w:ascii="Verdana" w:eastAsia="Aptos" w:hAnsi="Verdana" w:cs="Times New Roman"/>
              </w:rPr>
              <w:t>iii</w:t>
            </w:r>
            <w:proofErr w:type="spellEnd"/>
            <w:r w:rsidRPr="000D17D4">
              <w:rPr>
                <w:rFonts w:ascii="Verdana" w:eastAsia="Aptos" w:hAnsi="Verdana" w:cs="Times New Roman"/>
              </w:rPr>
              <w:t xml:space="preserve">) pluralidad de oferentes al cierre en el sector social, particularmente, en la modalidad de concurso de méritos para contratar consultorías, y </w:t>
            </w:r>
            <w:proofErr w:type="spellStart"/>
            <w:r w:rsidRPr="000D17D4">
              <w:rPr>
                <w:rFonts w:ascii="Verdana" w:eastAsia="Aptos" w:hAnsi="Verdana" w:cs="Times New Roman"/>
              </w:rPr>
              <w:t>iv</w:t>
            </w:r>
            <w:proofErr w:type="spellEnd"/>
            <w:r w:rsidRPr="000D17D4">
              <w:rPr>
                <w:rFonts w:ascii="Verdana" w:eastAsia="Aptos" w:hAnsi="Verdana" w:cs="Times New Roman"/>
              </w:rPr>
              <w:t>) otras consideraciones adicionales. Importancia de contar con documentos tipo en todas las modalidades de selección en el sector social</w:t>
            </w:r>
            <w:r w:rsidRPr="000D17D4">
              <w:rPr>
                <w:rFonts w:ascii="Verdana" w:eastAsia="Calibri" w:hAnsi="Verdana" w:cs="Arial"/>
              </w:rPr>
              <w:t>.</w:t>
            </w:r>
          </w:p>
          <w:p w14:paraId="23B3C276" w14:textId="6EB80A1F" w:rsidR="000D17D4" w:rsidRPr="000D17D4" w:rsidRDefault="000D17D4" w:rsidP="000D17D4">
            <w:pPr>
              <w:spacing w:after="120" w:line="276" w:lineRule="auto"/>
              <w:jc w:val="both"/>
              <w:textAlignment w:val="baseline"/>
              <w:rPr>
                <w:rFonts w:ascii="Verdana" w:eastAsia="Calibri" w:hAnsi="Verdana" w:cs="Arial"/>
              </w:rPr>
            </w:pPr>
            <w:proofErr w:type="spellStart"/>
            <w:r w:rsidRPr="000D17D4">
              <w:rPr>
                <w:rFonts w:ascii="Verdana" w:eastAsia="Calibri" w:hAnsi="Verdana" w:cs="Arial"/>
              </w:rPr>
              <w:t>ii</w:t>
            </w:r>
            <w:proofErr w:type="spellEnd"/>
            <w:r w:rsidRPr="000D17D4">
              <w:rPr>
                <w:rFonts w:ascii="Verdana" w:eastAsia="Calibri" w:hAnsi="Verdana" w:cs="Arial"/>
              </w:rPr>
              <w:t xml:space="preserve">) Para efectos prácticos, la Resolución 952 del 15 de diciembre de 2025 fue estructurada considerando dos grupos de documentos tipo: los documentos tipo transversales, contenidos en el Capítulo I, que incluyen el documento base, formatos, anexos, matrices y formularios aplicables de manera general a los procesos de selección para la consultoría de estudios de ingeniería de infraestructura social; y los documentos tipo adicionales o complementarios, establecidos en los Capítulos II a VI, que corresponden a cada sector específico —educativo, salud, cultura, recreación y deporte, institucional y vivienda— y que incluyen la Matriz 1 – Experiencia de cada sector. Esta organización permite que las entidades estatales apliquen los documentos tipo de manera conjunta y conforme a la relevancia técnica de cada proyecto, respetando los parámetros obligatorios, las reglas de inalterabilidad y las instrucciones de implementación señaladas en la Resolución, asegurando la uniformidad en los procesos de concurso de méritos para la consultoría de estudios de ingeniería de infraestructura social. </w:t>
            </w:r>
          </w:p>
          <w:p w14:paraId="42380075" w14:textId="77777777" w:rsidR="000D17D4" w:rsidRPr="000D17D4" w:rsidRDefault="000D17D4" w:rsidP="000D17D4">
            <w:pPr>
              <w:spacing w:line="276" w:lineRule="auto"/>
              <w:ind w:firstLine="708"/>
              <w:jc w:val="both"/>
              <w:textAlignment w:val="baseline"/>
              <w:rPr>
                <w:rFonts w:ascii="Verdana" w:eastAsia="Aptos" w:hAnsi="Verdana" w:cs="Times New Roman"/>
              </w:rPr>
            </w:pPr>
            <w:r w:rsidRPr="000D17D4">
              <w:rPr>
                <w:rFonts w:ascii="Verdana" w:eastAsia="Aptos" w:hAnsi="Verdana" w:cs="Times New Roman"/>
              </w:rPr>
              <w:t xml:space="preserve">En consecuencia, para adelantar un proceso de selección con los documentos tipo de consultoría de estudios de ingeniería de infraestructura social, se aclara que dichos documentos ya han sido adoptados mediante la Resolución 952 del 15 de diciembre de 2025, y se encuentran publicados en la página web de la Agencia Nacional de Contratación Pública – Colombia Compra Eficiente, distribuidos en las carpetas correspondientes a los documentos tipo transversales y documentos tipo adicionales por sector. Así, la entidad que adelante el proceso de selección deberá implementar los </w:t>
            </w:r>
            <w:r w:rsidRPr="000D17D4">
              <w:rPr>
                <w:rFonts w:ascii="Verdana" w:eastAsia="Aptos" w:hAnsi="Verdana" w:cs="Times New Roman"/>
              </w:rPr>
              <w:lastRenderedPageBreak/>
              <w:t>documentos tipo de acuerdo con la estructura y las instrucciones señaladas: identificando el sector de la consultoría (educativo, salud, cultura, recreación y deporte, institucional o vivienda), seleccionando la Matriz 1 – Experiencia correspondiente y aplicándola de manera conjunta con los documentos tipo transversales, incluyendo el documento base, formatos, anexos, matrices y formularios, tal como se establece en los capítulos I a VI de la Resolución 952 de 2025.</w:t>
            </w:r>
          </w:p>
        </w:tc>
      </w:tr>
    </w:tbl>
    <w:p w14:paraId="4F98E544" w14:textId="77777777" w:rsidR="000D17D4" w:rsidRPr="000D17D4" w:rsidRDefault="000D17D4" w:rsidP="000D17D4">
      <w:pPr>
        <w:tabs>
          <w:tab w:val="left" w:pos="142"/>
          <w:tab w:val="left" w:pos="284"/>
        </w:tabs>
        <w:spacing w:after="0" w:line="276" w:lineRule="auto"/>
        <w:jc w:val="both"/>
        <w:rPr>
          <w:rFonts w:ascii="Verdana" w:eastAsia="Century Gothic" w:hAnsi="Verdana" w:cs="Century Gothic"/>
          <w:b/>
          <w:bCs/>
          <w:lang w:val="es-ES"/>
        </w:rPr>
      </w:pPr>
    </w:p>
    <w:p w14:paraId="37A04B21" w14:textId="77777777" w:rsidR="000D17D4" w:rsidRPr="000D17D4" w:rsidRDefault="000D17D4" w:rsidP="000D17D4">
      <w:pPr>
        <w:tabs>
          <w:tab w:val="left" w:pos="142"/>
          <w:tab w:val="left" w:pos="284"/>
        </w:tabs>
        <w:spacing w:after="0" w:line="276" w:lineRule="auto"/>
        <w:jc w:val="both"/>
        <w:rPr>
          <w:rFonts w:ascii="Verdana" w:eastAsia="Century Gothic" w:hAnsi="Verdana" w:cs="Century Gothic"/>
          <w:b/>
          <w:bCs/>
          <w:lang w:val="es-ES"/>
        </w:rPr>
      </w:pPr>
      <w:r w:rsidRPr="000D17D4">
        <w:rPr>
          <w:rFonts w:ascii="Verdana" w:eastAsia="Century Gothic" w:hAnsi="Verdana" w:cs="Century Gothic"/>
          <w:b/>
          <w:bCs/>
          <w:lang w:val="es-ES"/>
        </w:rPr>
        <w:t>3. Razones de la respuesta:</w:t>
      </w:r>
    </w:p>
    <w:p w14:paraId="1B6EFA45" w14:textId="77777777" w:rsidR="000D17D4" w:rsidRPr="000D17D4" w:rsidRDefault="000D17D4" w:rsidP="000D17D4">
      <w:pPr>
        <w:spacing w:after="0" w:line="276" w:lineRule="auto"/>
        <w:jc w:val="both"/>
        <w:rPr>
          <w:rFonts w:ascii="Verdana" w:eastAsia="Calibri" w:hAnsi="Verdana" w:cs="Arial"/>
          <w:lang w:val="es-ES"/>
        </w:rPr>
      </w:pPr>
    </w:p>
    <w:p w14:paraId="0B83F546" w14:textId="77777777" w:rsidR="000D17D4" w:rsidRPr="000D17D4" w:rsidRDefault="000D17D4" w:rsidP="000D17D4">
      <w:pPr>
        <w:spacing w:after="0" w:line="276" w:lineRule="auto"/>
        <w:jc w:val="both"/>
        <w:rPr>
          <w:rFonts w:ascii="Verdana" w:eastAsia="Calibri" w:hAnsi="Verdana" w:cs="Arial"/>
          <w:lang w:val="es-ES"/>
        </w:rPr>
      </w:pPr>
      <w:r w:rsidRPr="000D17D4">
        <w:rPr>
          <w:rFonts w:ascii="Verdana" w:eastAsia="Calibri" w:hAnsi="Verdana" w:cs="Arial"/>
          <w:lang w:val="es-ES"/>
        </w:rPr>
        <w:t xml:space="preserve">Lo anterior se sustenta en las siguientes consideraciones: </w:t>
      </w:r>
    </w:p>
    <w:p w14:paraId="6065277D" w14:textId="77777777" w:rsidR="000D17D4" w:rsidRPr="000D17D4" w:rsidRDefault="000D17D4" w:rsidP="000D17D4">
      <w:pPr>
        <w:spacing w:after="0" w:line="276" w:lineRule="auto"/>
        <w:jc w:val="both"/>
        <w:rPr>
          <w:rFonts w:ascii="Verdana" w:eastAsia="Calibri" w:hAnsi="Verdana" w:cs="Arial"/>
          <w:lang w:val="es-ES"/>
        </w:rPr>
      </w:pPr>
    </w:p>
    <w:p w14:paraId="23A8D4EE" w14:textId="77777777" w:rsidR="000D17D4" w:rsidRPr="000D17D4" w:rsidRDefault="000D17D4" w:rsidP="000D17D4">
      <w:pPr>
        <w:spacing w:after="120" w:line="276" w:lineRule="auto"/>
        <w:jc w:val="both"/>
        <w:rPr>
          <w:rFonts w:ascii="Verdana" w:eastAsia="Aptos" w:hAnsi="Verdana" w:cs="Arial"/>
        </w:rPr>
      </w:pPr>
      <w:r w:rsidRPr="000D17D4">
        <w:rPr>
          <w:rFonts w:ascii="Verdana" w:eastAsia="Aptos" w:hAnsi="Verdana" w:cs="Arial"/>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1EFD853B" w14:textId="77777777" w:rsidR="000D17D4" w:rsidRPr="000D17D4" w:rsidRDefault="000D17D4" w:rsidP="000D17D4">
      <w:pPr>
        <w:spacing w:after="120" w:line="276" w:lineRule="auto"/>
        <w:ind w:firstLine="708"/>
        <w:jc w:val="both"/>
        <w:rPr>
          <w:rFonts w:ascii="Verdana" w:eastAsia="Aptos" w:hAnsi="Verdana" w:cs="Arial"/>
        </w:rPr>
      </w:pPr>
      <w:r w:rsidRPr="000D17D4">
        <w:rPr>
          <w:rFonts w:ascii="Verdana" w:eastAsia="Aptos" w:hAnsi="Verdana" w:cs="Arial"/>
          <w:lang w:val="es-ES"/>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7EECE8F1" w14:textId="77777777" w:rsidR="000D17D4" w:rsidRPr="000D17D4" w:rsidRDefault="000D17D4" w:rsidP="000D17D4">
      <w:pPr>
        <w:spacing w:after="120" w:line="276" w:lineRule="auto"/>
        <w:ind w:firstLine="708"/>
        <w:jc w:val="both"/>
        <w:rPr>
          <w:rFonts w:ascii="Verdana" w:eastAsia="Times New Roman" w:hAnsi="Verdana" w:cs="Times New Roman"/>
          <w:color w:val="000000"/>
          <w:lang w:eastAsia="es-CO"/>
        </w:rPr>
      </w:pPr>
      <w:r w:rsidRPr="000D17D4">
        <w:rPr>
          <w:rFonts w:ascii="Verdana" w:eastAsia="Aptos" w:hAnsi="Verdana" w:cs="Arial"/>
        </w:rPr>
        <w:t xml:space="preserve">En el sector social, </w:t>
      </w:r>
      <w:r w:rsidRPr="000D17D4">
        <w:rPr>
          <w:rFonts w:ascii="Verdana" w:eastAsia="Calibri" w:hAnsi="Verdana" w:cs="Arial"/>
          <w:lang w:val="es-MX"/>
        </w:rPr>
        <w:t xml:space="preserve">la Agencia Nacional de Contratación Pública – Colombia Compra </w:t>
      </w:r>
      <w:r w:rsidRPr="000D17D4">
        <w:rPr>
          <w:rFonts w:ascii="Verdana" w:eastAsia="Calibri" w:hAnsi="Verdana" w:cs="Arial"/>
        </w:rPr>
        <w:t xml:space="preserve">Eficiente </w:t>
      </w:r>
      <w:r w:rsidRPr="000D17D4">
        <w:rPr>
          <w:rFonts w:ascii="Verdana" w:eastAsia="Times New Roman" w:hAnsi="Verdana" w:cs="Times New Roman"/>
          <w:color w:val="000000"/>
          <w:lang w:eastAsia="es-CO"/>
        </w:rPr>
        <w:t>en el segundo semestre del año 2025 adoptó las siguientes Resoluciones para contratar obra pública y concurso de méritos:</w:t>
      </w:r>
    </w:p>
    <w:p w14:paraId="61B174D0" w14:textId="77777777" w:rsidR="000D17D4" w:rsidRPr="000D17D4" w:rsidRDefault="000D17D4" w:rsidP="000D17D4">
      <w:pPr>
        <w:spacing w:after="120" w:line="276" w:lineRule="auto"/>
        <w:ind w:firstLine="708"/>
        <w:jc w:val="both"/>
        <w:rPr>
          <w:rFonts w:ascii="Verdana" w:eastAsia="Times New Roman" w:hAnsi="Verdana" w:cs="Times New Roman"/>
          <w:color w:val="000000"/>
          <w:lang w:eastAsia="es-CO"/>
        </w:rPr>
      </w:pPr>
      <w:r w:rsidRPr="000D17D4">
        <w:rPr>
          <w:rFonts w:ascii="Verdana" w:eastAsia="Times New Roman" w:hAnsi="Verdana" w:cs="Times New Roman"/>
          <w:color w:val="000000"/>
          <w:lang w:eastAsia="es-CO"/>
        </w:rPr>
        <w:t xml:space="preserve">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w:t>
      </w:r>
      <w:r w:rsidRPr="000D17D4">
        <w:rPr>
          <w:rFonts w:ascii="Verdana" w:eastAsia="Times New Roman" w:hAnsi="Verdana" w:cs="Times New Roman"/>
          <w:color w:val="000000"/>
          <w:lang w:eastAsia="es-CO"/>
        </w:rPr>
        <w:lastRenderedPageBreak/>
        <w:t>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6FDB34CA" w14:textId="77777777" w:rsidR="000D17D4" w:rsidRPr="000D17D4" w:rsidRDefault="000D17D4" w:rsidP="000D17D4">
      <w:pPr>
        <w:spacing w:after="120" w:line="276" w:lineRule="auto"/>
        <w:ind w:firstLine="708"/>
        <w:jc w:val="both"/>
        <w:rPr>
          <w:rFonts w:ascii="Verdana" w:eastAsia="Times New Roman" w:hAnsi="Verdana" w:cs="Times New Roman"/>
          <w:color w:val="000000"/>
          <w:lang w:eastAsia="es-CO"/>
        </w:rPr>
      </w:pPr>
      <w:r w:rsidRPr="000D17D4">
        <w:rPr>
          <w:rFonts w:ascii="Verdana" w:eastAsia="Times New Roman" w:hAnsi="Verdana" w:cs="Times New Roman"/>
          <w:color w:val="000000"/>
          <w:lang w:eastAsia="es-CO"/>
        </w:rPr>
        <w:t xml:space="preserve"> </w:t>
      </w:r>
      <w:proofErr w:type="spellStart"/>
      <w:r w:rsidRPr="000D17D4">
        <w:rPr>
          <w:rFonts w:ascii="Verdana" w:eastAsia="Times New Roman" w:hAnsi="Verdana" w:cs="Times New Roman"/>
          <w:color w:val="000000"/>
          <w:lang w:eastAsia="es-CO"/>
        </w:rPr>
        <w:t>ii</w:t>
      </w:r>
      <w:proofErr w:type="spellEnd"/>
      <w:r w:rsidRPr="000D17D4">
        <w:rPr>
          <w:rFonts w:ascii="Verdana" w:eastAsia="Times New Roman" w:hAnsi="Verdana" w:cs="Times New Roman"/>
          <w:color w:val="00000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4785126F" w14:textId="77777777" w:rsidR="000D17D4" w:rsidRPr="000D17D4" w:rsidRDefault="000D17D4" w:rsidP="000D17D4">
      <w:pPr>
        <w:spacing w:after="120" w:line="276" w:lineRule="auto"/>
        <w:ind w:firstLine="708"/>
        <w:jc w:val="both"/>
        <w:rPr>
          <w:rFonts w:ascii="Verdana" w:eastAsia="Times New Roman" w:hAnsi="Verdana" w:cs="Times New Roman"/>
          <w:color w:val="000000"/>
          <w:lang w:eastAsia="es-CO"/>
        </w:rPr>
      </w:pPr>
      <w:proofErr w:type="spellStart"/>
      <w:r w:rsidRPr="000D17D4">
        <w:rPr>
          <w:rFonts w:ascii="Verdana" w:eastAsia="Times New Roman" w:hAnsi="Verdana" w:cs="Times New Roman"/>
          <w:color w:val="000000"/>
          <w:lang w:eastAsia="es-CO"/>
        </w:rPr>
        <w:t>iii</w:t>
      </w:r>
      <w:proofErr w:type="spellEnd"/>
      <w:r w:rsidRPr="000D17D4">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5720F946" w14:textId="77777777" w:rsidR="000D17D4" w:rsidRPr="000D17D4" w:rsidRDefault="000D17D4" w:rsidP="000D17D4">
      <w:pPr>
        <w:spacing w:after="120" w:line="276" w:lineRule="auto"/>
        <w:ind w:firstLine="708"/>
        <w:jc w:val="both"/>
        <w:rPr>
          <w:rFonts w:ascii="Verdana" w:eastAsia="Times New Roman" w:hAnsi="Verdana" w:cs="Times New Roman"/>
          <w:color w:val="000000"/>
          <w:lang w:eastAsia="es-CO"/>
        </w:rPr>
      </w:pPr>
      <w:proofErr w:type="spellStart"/>
      <w:r w:rsidRPr="000D17D4">
        <w:rPr>
          <w:rFonts w:ascii="Verdana" w:eastAsia="Times New Roman" w:hAnsi="Verdana" w:cs="Times New Roman"/>
          <w:color w:val="000000"/>
          <w:lang w:eastAsia="es-CO"/>
        </w:rPr>
        <w:t>iv</w:t>
      </w:r>
      <w:proofErr w:type="spellEnd"/>
      <w:r w:rsidRPr="000D17D4">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2707E12D" w14:textId="77777777" w:rsidR="000D17D4" w:rsidRPr="000D17D4" w:rsidRDefault="000D17D4" w:rsidP="000D17D4">
      <w:pPr>
        <w:spacing w:after="120" w:line="276" w:lineRule="auto"/>
        <w:ind w:firstLine="708"/>
        <w:jc w:val="both"/>
        <w:rPr>
          <w:rFonts w:ascii="Verdana" w:eastAsia="Times New Roman" w:hAnsi="Verdana" w:cs="Times New Roman"/>
          <w:color w:val="000000"/>
          <w:lang w:eastAsia="es-CO"/>
        </w:rPr>
      </w:pPr>
      <w:r w:rsidRPr="000D17D4">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0D17D4">
        <w:rPr>
          <w:rFonts w:ascii="Verdana" w:eastAsia="Aptos" w:hAnsi="Verdana" w:cs="Times New Roman"/>
          <w:kern w:val="2"/>
          <w14:ligatures w14:val="standardContextual"/>
        </w:rPr>
        <w:t xml:space="preserve"> </w:t>
      </w:r>
    </w:p>
    <w:p w14:paraId="745640A7" w14:textId="77777777" w:rsidR="000D17D4" w:rsidRPr="000D17D4" w:rsidRDefault="000D17D4" w:rsidP="000D17D4">
      <w:pPr>
        <w:spacing w:after="120" w:line="276" w:lineRule="auto"/>
        <w:ind w:firstLine="708"/>
        <w:jc w:val="both"/>
        <w:textAlignment w:val="baseline"/>
        <w:rPr>
          <w:rFonts w:ascii="Verdana" w:eastAsia="Calibri" w:hAnsi="Verdana" w:cs="Arial"/>
        </w:rPr>
      </w:pPr>
      <w:r w:rsidRPr="000D17D4">
        <w:rPr>
          <w:rFonts w:ascii="Verdana" w:eastAsia="Aptos" w:hAnsi="Verdana" w:cs="Times New Roman"/>
          <w:kern w:val="2"/>
          <w14:ligatures w14:val="standardContextual"/>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w:t>
      </w:r>
      <w:r w:rsidRPr="000D17D4">
        <w:rPr>
          <w:rFonts w:ascii="Verdana" w:eastAsia="Aptos" w:hAnsi="Verdana" w:cs="Times New Roman"/>
          <w:kern w:val="2"/>
          <w14:ligatures w14:val="standardContextual"/>
        </w:rPr>
        <w:lastRenderedPageBreak/>
        <w:t>consultoría enmarcados dentro de los sectores educativo, de salud, cultura, recreación y deporte, institucional y vivienda, en los procesos de selección cuyo aviso de convocatoria se publique a partir del 16 de febrero de 2026</w:t>
      </w:r>
      <w:r w:rsidRPr="000D17D4">
        <w:rPr>
          <w:rFonts w:ascii="Verdana" w:eastAsia="Calibri" w:hAnsi="Verdana" w:cs="Arial"/>
          <w:vertAlign w:val="superscript"/>
        </w:rPr>
        <w:footnoteReference w:id="1"/>
      </w:r>
      <w:r w:rsidRPr="000D17D4">
        <w:rPr>
          <w:rFonts w:ascii="Verdana" w:eastAsia="Calibri" w:hAnsi="Verdana" w:cs="Arial"/>
        </w:rPr>
        <w:t>.</w:t>
      </w:r>
    </w:p>
    <w:p w14:paraId="2BFB478C" w14:textId="77777777" w:rsidR="000D17D4" w:rsidRPr="000D17D4" w:rsidRDefault="000D17D4" w:rsidP="000D17D4">
      <w:pPr>
        <w:widowControl w:val="0"/>
        <w:autoSpaceDE w:val="0"/>
        <w:autoSpaceDN w:val="0"/>
        <w:spacing w:after="120" w:line="276" w:lineRule="auto"/>
        <w:ind w:firstLine="708"/>
        <w:jc w:val="both"/>
        <w:rPr>
          <w:rFonts w:ascii="Verdana" w:eastAsia="Calibri" w:hAnsi="Verdana" w:cs="Times New Roman"/>
          <w:lang w:val="es-ES"/>
        </w:rPr>
      </w:pPr>
      <w:r w:rsidRPr="000D17D4">
        <w:rPr>
          <w:rFonts w:ascii="Verdana" w:eastAsia="Calibri" w:hAnsi="Verdana" w:cs="Times New Roman"/>
          <w:lang w:val="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0D17D4">
        <w:rPr>
          <w:rFonts w:ascii="Verdana" w:eastAsia="Calibri" w:hAnsi="Verdana" w:cs="Times New Roman"/>
          <w:shd w:val="clear" w:color="auto" w:fill="E8E8E8"/>
          <w:lang w:val="es-ES"/>
        </w:rPr>
        <w:t>–[texto]–,</w:t>
      </w:r>
      <w:r w:rsidRPr="000D17D4">
        <w:rPr>
          <w:rFonts w:ascii="Verdana" w:eastAsia="Calibri" w:hAnsi="Verdana" w:cs="Times New Roman"/>
          <w:lang w:val="es-ES"/>
        </w:rPr>
        <w:t xml:space="preserve"> para lo cual deberán observarse las instrucciones contenidas en los mismos para su diligenciamiento.</w:t>
      </w:r>
    </w:p>
    <w:p w14:paraId="61F48985" w14:textId="77777777" w:rsidR="000D17D4" w:rsidRPr="000D17D4" w:rsidRDefault="000D17D4" w:rsidP="000D17D4">
      <w:pPr>
        <w:widowControl w:val="0"/>
        <w:autoSpaceDE w:val="0"/>
        <w:autoSpaceDN w:val="0"/>
        <w:spacing w:after="120" w:line="276" w:lineRule="auto"/>
        <w:ind w:firstLine="708"/>
        <w:jc w:val="both"/>
        <w:rPr>
          <w:rFonts w:ascii="Verdana" w:eastAsia="Calibri" w:hAnsi="Verdana" w:cs="Times New Roman"/>
          <w:lang w:val="es-ES"/>
        </w:rPr>
      </w:pPr>
      <w:r w:rsidRPr="000D17D4">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w:t>
      </w:r>
      <w:r w:rsidRPr="000D17D4">
        <w:rPr>
          <w:rFonts w:ascii="Verdana" w:eastAsia="Calibri" w:hAnsi="Verdana" w:cs="Times New Roman"/>
          <w:lang w:val="es-ES"/>
        </w:rPr>
        <w:lastRenderedPageBreak/>
        <w:t xml:space="preserve">alteración. </w:t>
      </w:r>
    </w:p>
    <w:p w14:paraId="7D4C8DFA" w14:textId="77777777" w:rsidR="000D17D4" w:rsidRPr="000D17D4" w:rsidRDefault="000D17D4" w:rsidP="000D17D4">
      <w:pPr>
        <w:widowControl w:val="0"/>
        <w:autoSpaceDE w:val="0"/>
        <w:autoSpaceDN w:val="0"/>
        <w:spacing w:after="120" w:line="276" w:lineRule="auto"/>
        <w:ind w:firstLine="708"/>
        <w:jc w:val="both"/>
        <w:rPr>
          <w:rFonts w:ascii="Verdana" w:eastAsia="Calibri" w:hAnsi="Verdana" w:cs="Times New Roman"/>
          <w:lang w:val="es-ES"/>
        </w:rPr>
      </w:pPr>
      <w:r w:rsidRPr="000D17D4">
        <w:rPr>
          <w:rFonts w:ascii="Verdana" w:eastAsia="Calibri" w:hAnsi="Verdana" w:cs="Times New Roman"/>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7CEFA7C7" w14:textId="77777777" w:rsidR="000D17D4" w:rsidRPr="000D17D4" w:rsidRDefault="000D17D4" w:rsidP="000D17D4">
      <w:pPr>
        <w:widowControl w:val="0"/>
        <w:autoSpaceDE w:val="0"/>
        <w:autoSpaceDN w:val="0"/>
        <w:spacing w:after="120" w:line="276" w:lineRule="auto"/>
        <w:ind w:firstLine="708"/>
        <w:jc w:val="both"/>
        <w:rPr>
          <w:rFonts w:ascii="Verdana" w:eastAsia="Calibri" w:hAnsi="Verdana" w:cs="Times New Roman"/>
          <w:lang w:val="es-ES"/>
        </w:rPr>
      </w:pPr>
      <w:r w:rsidRPr="000D17D4">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11047628" w14:textId="77777777" w:rsidR="000D17D4" w:rsidRPr="000D17D4" w:rsidRDefault="000D17D4" w:rsidP="000D17D4">
      <w:pPr>
        <w:widowControl w:val="0"/>
        <w:autoSpaceDE w:val="0"/>
        <w:autoSpaceDN w:val="0"/>
        <w:spacing w:after="120" w:line="276" w:lineRule="auto"/>
        <w:ind w:firstLine="708"/>
        <w:jc w:val="both"/>
        <w:rPr>
          <w:rFonts w:ascii="Verdana" w:eastAsia="Calibri" w:hAnsi="Verdana" w:cs="Times New Roman"/>
          <w:lang w:val="es-ES"/>
        </w:rPr>
      </w:pPr>
      <w:r w:rsidRPr="000D17D4">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73358F8E" w14:textId="77777777" w:rsidR="000D17D4" w:rsidRPr="000D17D4" w:rsidRDefault="000D17D4" w:rsidP="000D17D4">
      <w:pPr>
        <w:widowControl w:val="0"/>
        <w:autoSpaceDE w:val="0"/>
        <w:autoSpaceDN w:val="0"/>
        <w:spacing w:after="120" w:line="276" w:lineRule="auto"/>
        <w:ind w:firstLine="708"/>
        <w:jc w:val="both"/>
        <w:rPr>
          <w:rFonts w:ascii="Verdana" w:eastAsia="Calibri" w:hAnsi="Verdana" w:cs="Times New Roman"/>
          <w:lang w:val="es-ES"/>
        </w:rPr>
      </w:pPr>
      <w:r w:rsidRPr="000D17D4">
        <w:rPr>
          <w:rFonts w:ascii="Verdana" w:eastAsia="Calibri" w:hAnsi="Verdana" w:cs="Times New Roman"/>
          <w:lang w:val="es-ES"/>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68D12F2C" w14:textId="77777777" w:rsidR="000D17D4" w:rsidRPr="000D17D4" w:rsidRDefault="000D17D4" w:rsidP="000D17D4">
      <w:pPr>
        <w:widowControl w:val="0"/>
        <w:autoSpaceDE w:val="0"/>
        <w:autoSpaceDN w:val="0"/>
        <w:spacing w:after="120" w:line="276" w:lineRule="auto"/>
        <w:ind w:firstLine="708"/>
        <w:jc w:val="both"/>
        <w:rPr>
          <w:rFonts w:ascii="Verdana" w:eastAsia="Calibri" w:hAnsi="Verdana" w:cs="Times New Roman"/>
          <w:lang w:val="es-ES"/>
        </w:rPr>
      </w:pPr>
      <w:r w:rsidRPr="000D17D4">
        <w:rPr>
          <w:rFonts w:ascii="Verdana" w:eastAsia="Calibri" w:hAnsi="Verdana" w:cs="Times New Roman"/>
          <w:lang w:val="es-ES"/>
        </w:rPr>
        <w:t xml:space="preserve">Considerando su solicitud debe indicarse que, mediante la Resolución 952 </w:t>
      </w:r>
      <w:r w:rsidRPr="000D17D4">
        <w:rPr>
          <w:rFonts w:ascii="Verdana" w:eastAsia="Calibri" w:hAnsi="Verdana" w:cs="Times New Roman"/>
          <w:lang w:val="es-ES"/>
        </w:rPr>
        <w:lastRenderedPageBreak/>
        <w:t>del 15 de diciembre de 2025, se adoptaron los documentos tipo transversales para los procesos de concurso de méritos destinados a contratar la consultoría de estudios de ingeniería de infraestructura social, así como los documentos tipo complementarios para estos mismos procesos, relacionados con los sectores de educación, salud, cultura, recreación y deporte, institucional y vivienda.</w:t>
      </w:r>
    </w:p>
    <w:p w14:paraId="3C0B9D1A" w14:textId="77777777" w:rsidR="000D17D4" w:rsidRPr="000D17D4" w:rsidRDefault="000D17D4" w:rsidP="000D17D4">
      <w:pPr>
        <w:spacing w:after="120" w:line="276" w:lineRule="auto"/>
        <w:ind w:firstLine="708"/>
        <w:jc w:val="both"/>
        <w:textAlignment w:val="baseline"/>
        <w:rPr>
          <w:rFonts w:ascii="Verdana" w:eastAsia="Calibri" w:hAnsi="Verdana" w:cs="Arial"/>
        </w:rPr>
      </w:pPr>
      <w:r w:rsidRPr="000D17D4">
        <w:rPr>
          <w:rFonts w:ascii="Verdana" w:eastAsia="Calibri" w:hAnsi="Verdana" w:cs="Arial"/>
        </w:rPr>
        <w:t>Tal como se dispuso en la memoria justificativa de la Resolución 952 del 15 de diciembre de 2025, los documentos tipo para los procesos de selección mediante concurso de méritos para contratar la consultoría de estudios de ingeniería de infraestructura social, fueron adoptados teniendo en cuenta lo siguiente:</w:t>
      </w:r>
      <w:r w:rsidRPr="000D17D4">
        <w:rPr>
          <w:rFonts w:ascii="Verdana" w:eastAsia="Aptos" w:hAnsi="Verdana" w:cs="Times New Roman"/>
          <w:kern w:val="2"/>
          <w14:ligatures w14:val="standardContextual"/>
        </w:rPr>
        <w:t xml:space="preserve"> i) la importancia en las compras públicas de la Ley 2294 de 2023 por la cual se expide el Plan Nacional de Desarrollo 2022-2026 “Colombia Potencia Mundial de la Vida”, </w:t>
      </w:r>
      <w:proofErr w:type="spellStart"/>
      <w:r w:rsidRPr="000D17D4">
        <w:rPr>
          <w:rFonts w:ascii="Verdana" w:eastAsia="Aptos" w:hAnsi="Verdana" w:cs="Times New Roman"/>
          <w:kern w:val="2"/>
          <w14:ligatures w14:val="standardContextual"/>
        </w:rPr>
        <w:t>ii</w:t>
      </w:r>
      <w:proofErr w:type="spellEnd"/>
      <w:r w:rsidRPr="000D17D4">
        <w:rPr>
          <w:rFonts w:ascii="Verdana" w:eastAsia="Aptos" w:hAnsi="Verdana" w:cs="Times New Roman"/>
          <w:kern w:val="2"/>
          <w14:ligatures w14:val="standardContextual"/>
        </w:rPr>
        <w:t xml:space="preserve">) la inversión de recursos públicos en estos proyectos, </w:t>
      </w:r>
      <w:proofErr w:type="spellStart"/>
      <w:r w:rsidRPr="000D17D4">
        <w:rPr>
          <w:rFonts w:ascii="Verdana" w:eastAsia="Aptos" w:hAnsi="Verdana" w:cs="Times New Roman"/>
          <w:kern w:val="2"/>
          <w14:ligatures w14:val="standardContextual"/>
        </w:rPr>
        <w:t>iii</w:t>
      </w:r>
      <w:proofErr w:type="spellEnd"/>
      <w:r w:rsidRPr="000D17D4">
        <w:rPr>
          <w:rFonts w:ascii="Verdana" w:eastAsia="Aptos" w:hAnsi="Verdana" w:cs="Times New Roman"/>
          <w:kern w:val="2"/>
          <w14:ligatures w14:val="standardContextual"/>
        </w:rPr>
        <w:t xml:space="preserve">) pluralidad de oferentes al cierre en el sector social, particularmente, en la modalidad de concurso de méritos para contratar consultorías, y </w:t>
      </w:r>
      <w:proofErr w:type="spellStart"/>
      <w:r w:rsidRPr="000D17D4">
        <w:rPr>
          <w:rFonts w:ascii="Verdana" w:eastAsia="Aptos" w:hAnsi="Verdana" w:cs="Times New Roman"/>
          <w:kern w:val="2"/>
          <w14:ligatures w14:val="standardContextual"/>
        </w:rPr>
        <w:t>iv</w:t>
      </w:r>
      <w:proofErr w:type="spellEnd"/>
      <w:r w:rsidRPr="000D17D4">
        <w:rPr>
          <w:rFonts w:ascii="Verdana" w:eastAsia="Aptos" w:hAnsi="Verdana" w:cs="Times New Roman"/>
          <w:kern w:val="2"/>
          <w14:ligatures w14:val="standardContextual"/>
        </w:rPr>
        <w:t>) otras consideraciones adicionales. Importancia de contar con documentos tipo en todas las modalidades de selección en el sector social</w:t>
      </w:r>
      <w:r w:rsidRPr="000D17D4">
        <w:rPr>
          <w:rFonts w:ascii="Verdana" w:eastAsia="Calibri" w:hAnsi="Verdana" w:cs="Arial"/>
          <w:vertAlign w:val="superscript"/>
        </w:rPr>
        <w:footnoteReference w:id="2"/>
      </w:r>
      <w:r w:rsidRPr="000D17D4">
        <w:rPr>
          <w:rFonts w:ascii="Verdana" w:eastAsia="Calibri" w:hAnsi="Verdana" w:cs="Arial"/>
        </w:rPr>
        <w:t xml:space="preserve">. </w:t>
      </w:r>
    </w:p>
    <w:p w14:paraId="2496BA6D" w14:textId="77777777" w:rsidR="000D17D4" w:rsidRPr="000D17D4" w:rsidRDefault="000D17D4" w:rsidP="000D17D4">
      <w:pPr>
        <w:spacing w:after="120" w:line="276" w:lineRule="auto"/>
        <w:ind w:firstLine="708"/>
        <w:jc w:val="both"/>
        <w:textAlignment w:val="baseline"/>
        <w:rPr>
          <w:rFonts w:ascii="Verdana" w:eastAsia="Calibri" w:hAnsi="Verdana" w:cs="Arial"/>
        </w:rPr>
      </w:pPr>
      <w:r w:rsidRPr="000D17D4">
        <w:rPr>
          <w:rFonts w:ascii="Verdana" w:eastAsia="Calibri" w:hAnsi="Verdana" w:cs="Arial"/>
        </w:rPr>
        <w:t xml:space="preserve">Para efectos prácticos, la Resolución 952 del 15 de diciembre de 2025 fue estructurada considerando dos grupos de documentos tipo: los documentos tipo transversales, contenidos en el Capítulo I, que incluyen el documento base, formatos, anexos, matrices y formularios aplicables de manera general a los procesos de selección para la consultoría de estudios de ingeniería de infraestructura social; y los documentos tipo adicionales o complementarios, establecidos en los Capítulos II a VI, que corresponden a cada sector específico —educativo, salud, cultura, recreación y deporte, institucional y vivienda— y que incluyen la Matriz 1 – Experiencia de cada sector. Esta organización permite que las entidades estatales apliquen los documentos tipo de manera conjunta y conforme a la relevancia técnica de cada proyecto, respetando los parámetros obligatorios, las reglas de inalterabilidad y las instrucciones de implementación señaladas en la Resolución, asegurando la uniformidad en los procesos de concurso de méritos para la consultoría de estudios de ingeniería de infraestructura social. </w:t>
      </w:r>
      <w:r w:rsidRPr="000D17D4">
        <w:rPr>
          <w:rFonts w:ascii="Verdana" w:eastAsia="Aptos" w:hAnsi="Verdana" w:cs="Times New Roman"/>
          <w:kern w:val="2"/>
          <w14:ligatures w14:val="standardContextual"/>
        </w:rPr>
        <w:t xml:space="preserve">A </w:t>
      </w:r>
      <w:r w:rsidRPr="000D17D4">
        <w:rPr>
          <w:rFonts w:ascii="Verdana" w:eastAsia="Calibri" w:hAnsi="Verdana" w:cs="Arial"/>
        </w:rPr>
        <w:t xml:space="preserve">continuación, y con el propósito de ofrecer mayor </w:t>
      </w:r>
      <w:r w:rsidRPr="000D17D4">
        <w:rPr>
          <w:rFonts w:ascii="Verdana" w:eastAsia="Calibri" w:hAnsi="Verdana" w:cs="Arial"/>
        </w:rPr>
        <w:lastRenderedPageBreak/>
        <w:t>claridad sobre la estructura de la Resolución, se presenta su desarrollo in extenso:</w:t>
      </w:r>
    </w:p>
    <w:p w14:paraId="457AA21E" w14:textId="77777777" w:rsidR="000D17D4" w:rsidRPr="000D17D4" w:rsidRDefault="000D17D4" w:rsidP="000D17D4">
      <w:pPr>
        <w:spacing w:after="120" w:line="276" w:lineRule="auto"/>
        <w:ind w:firstLine="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t xml:space="preserve">La Resolución contiene los siguientes siete (7) capítulos: i) Capítulo I Documentos tipo transversales de consultoría de estudios de ingeniería de infraestructura social, </w:t>
      </w:r>
      <w:proofErr w:type="spellStart"/>
      <w:r w:rsidRPr="000D17D4">
        <w:rPr>
          <w:rFonts w:ascii="Verdana" w:eastAsia="Aptos" w:hAnsi="Verdana" w:cs="Times New Roman"/>
          <w:kern w:val="2"/>
          <w14:ligatures w14:val="standardContextual"/>
        </w:rPr>
        <w:t>ii</w:t>
      </w:r>
      <w:proofErr w:type="spellEnd"/>
      <w:r w:rsidRPr="000D17D4">
        <w:rPr>
          <w:rFonts w:ascii="Verdana" w:eastAsia="Aptos" w:hAnsi="Verdana" w:cs="Times New Roman"/>
          <w:kern w:val="2"/>
          <w14:ligatures w14:val="standardContextual"/>
        </w:rPr>
        <w:t xml:space="preserve">) Capítulo II Documentos tipo complementarios de consultoría de estudios de ingeniería de infraestructura social, sector educativo, </w:t>
      </w:r>
      <w:proofErr w:type="spellStart"/>
      <w:r w:rsidRPr="000D17D4">
        <w:rPr>
          <w:rFonts w:ascii="Verdana" w:eastAsia="Aptos" w:hAnsi="Verdana" w:cs="Times New Roman"/>
          <w:kern w:val="2"/>
          <w14:ligatures w14:val="standardContextual"/>
        </w:rPr>
        <w:t>iii</w:t>
      </w:r>
      <w:proofErr w:type="spellEnd"/>
      <w:r w:rsidRPr="000D17D4">
        <w:rPr>
          <w:rFonts w:ascii="Verdana" w:eastAsia="Aptos" w:hAnsi="Verdana" w:cs="Times New Roman"/>
          <w:kern w:val="2"/>
          <w14:ligatures w14:val="standardContextual"/>
        </w:rPr>
        <w:t xml:space="preserve">) Capítulo III Documentos tipo complementarios de consultoría de estudios de ingeniería de infraestructura social, sector salud, </w:t>
      </w:r>
      <w:proofErr w:type="spellStart"/>
      <w:r w:rsidRPr="000D17D4">
        <w:rPr>
          <w:rFonts w:ascii="Verdana" w:eastAsia="Aptos" w:hAnsi="Verdana" w:cs="Times New Roman"/>
          <w:kern w:val="2"/>
          <w14:ligatures w14:val="standardContextual"/>
        </w:rPr>
        <w:t>iv</w:t>
      </w:r>
      <w:proofErr w:type="spellEnd"/>
      <w:r w:rsidRPr="000D17D4">
        <w:rPr>
          <w:rFonts w:ascii="Verdana" w:eastAsia="Aptos" w:hAnsi="Verdana" w:cs="Times New Roman"/>
          <w:kern w:val="2"/>
          <w14:ligatures w14:val="standardContextual"/>
        </w:rPr>
        <w:t xml:space="preserve">) Capítulo IV Documentos tipo complementarios de consultoría de estudios de ingeniería de infraestructura social, sector cultura, recreación y deporte, V) Capítulo V Documentos tipo complementarios de consultoría de estudios de ingeniería de infraestructura social, sector institucional, vi) Documentos tipo complementarios de consultoría de estudios de ingeniería de infraestructura social, sector vivienda y </w:t>
      </w:r>
      <w:proofErr w:type="spellStart"/>
      <w:r w:rsidRPr="000D17D4">
        <w:rPr>
          <w:rFonts w:ascii="Verdana" w:eastAsia="Aptos" w:hAnsi="Verdana" w:cs="Times New Roman"/>
          <w:kern w:val="2"/>
          <w14:ligatures w14:val="standardContextual"/>
        </w:rPr>
        <w:t>vii</w:t>
      </w:r>
      <w:proofErr w:type="spellEnd"/>
      <w:r w:rsidRPr="000D17D4">
        <w:rPr>
          <w:rFonts w:ascii="Verdana" w:eastAsia="Aptos" w:hAnsi="Verdana" w:cs="Times New Roman"/>
          <w:kern w:val="2"/>
          <w14:ligatures w14:val="standardContextual"/>
        </w:rPr>
        <w:t>) Capítulo VII vigencia.</w:t>
      </w:r>
    </w:p>
    <w:p w14:paraId="0CAA2D6C" w14:textId="77777777" w:rsidR="000D17D4" w:rsidRPr="000D17D4" w:rsidRDefault="000D17D4" w:rsidP="000D17D4">
      <w:pPr>
        <w:spacing w:after="120" w:line="276" w:lineRule="auto"/>
        <w:ind w:firstLine="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t>El primer capítulo “Documentos tipo transversales de consultoría de estudios de ingeniería de infraestructura social” se compone de seis (6) artículos. El primero de estos, adopta los documentos tipo transversales de contratación que se adelantan bajo la modalidad de concurso de méritos para contratar la consultoría de estudios de ingeniería de infraestructura social. En el segundo artículo, se establece que los documentos tipo para los procedimientos de la referencia contienen parámetros obligatorios para las entidades estatales sometidas al Estatuto General de Contratación de la Administración Pública. Así mismo, contiene el listado de los documentos que hacen parte de los documentos tipo adoptados, y reitera la obligación de adoptar los documentos al Sistema Electrónico de Contratación Pública – SECOP II. De igual manera, se aclara que estos documentos tipo aplicarán a los proyectos de consultoría de estudios de ingeniería de infraestructura social, tales como, el sector educativo, sector salud, sector cultura, recreación y deporte, sector institucional y sector vivienda de conformidad con los capítulos II, III, IV, V y VI de la Resolución.</w:t>
      </w:r>
    </w:p>
    <w:p w14:paraId="779D3783" w14:textId="77777777" w:rsidR="000D17D4" w:rsidRPr="000D17D4" w:rsidRDefault="000D17D4" w:rsidP="000D17D4">
      <w:pPr>
        <w:spacing w:after="120" w:line="276" w:lineRule="auto"/>
        <w:ind w:firstLine="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t xml:space="preserve">El artículo 3 contempla que las Entidades Estatales no podrán incluir o modificar dentro de los documentos del Proceso de Contratación, condiciones habilitantes o factores de evaluación distintos a lo regulado en los documentos tipo, y, por tanto, se dispone que las entidades estatales solo podrán modificar los documentos en los aspectos que les sean permitidos. </w:t>
      </w:r>
    </w:p>
    <w:p w14:paraId="65678E08" w14:textId="77777777" w:rsidR="000D17D4" w:rsidRPr="000D17D4" w:rsidRDefault="000D17D4" w:rsidP="000D17D4">
      <w:pPr>
        <w:spacing w:after="120" w:line="276" w:lineRule="auto"/>
        <w:ind w:firstLine="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lastRenderedPageBreak/>
        <w:t>Por su parte, el artículo 4 de la Resolución establece que cuando el objeto contractual incluya obras, bienes o servicios adicionales a la consultoría de estudios de ingeniería de infraestructura social, la entidad estatal deberá aplicar los documentos tipo. Además, si de manera excepcional la entidad requiere incluir experiencia adicional para evaluar la idoneidad respecto de los bienes o servicios adicionales a la consultoría de estudios de ingeniería de infraestructura social, deberá seguir los parámetros a los que se refiere el aludido artículo. También, precisa que, en los casos en que el objeto contractual incluya actividades que son abarcadas por otros documentos tipo, la entidad estatal aplicará las reglas de combinación de experiencia previstas en el numeral 10.1.1 del documento base.</w:t>
      </w:r>
    </w:p>
    <w:p w14:paraId="50C0A30B" w14:textId="77777777" w:rsidR="000D17D4" w:rsidRPr="000D17D4" w:rsidRDefault="000D17D4" w:rsidP="000D17D4">
      <w:pPr>
        <w:spacing w:after="120" w:line="276" w:lineRule="auto"/>
        <w:ind w:firstLine="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t xml:space="preserve">El artículo 5 determina que, cuando el objeto contractual incluya actividades de consultoría de estudios de ingeniería de infraestructura social, en conjunto con actividades cobijadas por otros documentos tipo, la entidad deberá definir qué documentos tipo aplica dependiendo de la relevancia técnica del proyecto, impacto o el valor que representan en el presupuesto oficial. Teniendo en cuenta los criterios anteriores, la entidad estatal debe determinar cuál documento tipo aplica. Esto sin perjuicio de que pueda utilizar las reglas de combinación de experiencia establecidas en esos documentos, siempre que ello resulte necesario con ocasión de las distintas actividades a ejecutar en el proceso de contratación, de conformidad con lo establecido en el parágrafo 1 del artículo 4 de la Resolución. De igual manera, establece que la entidad deberá justificar en los estudios previos las razones que soportan la escogencia de un determinado documento tipo. </w:t>
      </w:r>
    </w:p>
    <w:p w14:paraId="093BCA8C" w14:textId="77777777" w:rsidR="000D17D4" w:rsidRPr="000D17D4" w:rsidRDefault="000D17D4" w:rsidP="000D17D4">
      <w:pPr>
        <w:spacing w:after="120" w:line="276" w:lineRule="auto"/>
        <w:ind w:firstLine="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t xml:space="preserve">El artículo 6 establece que, la Agencia Nacional de Contratación Pública - Colombia Compra Eficiente realizará anualmente el análisis del sector con el fin de determinar si la capacidad financiera y organizacional cambia respecto al año inmediatamente anterior. </w:t>
      </w:r>
    </w:p>
    <w:p w14:paraId="55D5FF66" w14:textId="77777777" w:rsidR="000D17D4" w:rsidRPr="000D17D4" w:rsidRDefault="000D17D4" w:rsidP="000D17D4">
      <w:pPr>
        <w:spacing w:after="120" w:line="276" w:lineRule="auto"/>
        <w:ind w:firstLine="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t xml:space="preserve">Por su parte, el “Capítulo II Documentos tipo complementarios de consultoría de estudios de ingeniería de infraestructura social – Sector Educativo” dispone de tres (3) artículos, comprendidos entre el séptimo y noveno. En el artículo 7 se adoptan los documentos tipo complementarios para los procesos de selección de concurso de méritos para contratar la consultoría de estudios de ingeniería de infraestructura social relacionados con el sector educativo. El artículo 8 indica la obligatoriedad de esos documentos tipo para las </w:t>
      </w:r>
      <w:r w:rsidRPr="000D17D4">
        <w:rPr>
          <w:rFonts w:ascii="Verdana" w:eastAsia="Aptos" w:hAnsi="Verdana" w:cs="Times New Roman"/>
          <w:kern w:val="2"/>
          <w14:ligatures w14:val="standardContextual"/>
        </w:rPr>
        <w:lastRenderedPageBreak/>
        <w:t xml:space="preserve">entidades sometidas al Estatuto General de Contratación de la Administración Pública, y el documento tipo que se adopta en ese sector “Matriz 1 – Experiencia Consultoría Sector Educativo”. Además, se establece que ese documento debe aplicarse de forma conjunta con el documento base, formatos, anexos y formularios adoptados en el capítulo I. Finalmente, el artículo 9 señala la regla de inalterabilidad sobre el documento tipo del sector de infraestructura educativa. </w:t>
      </w:r>
    </w:p>
    <w:p w14:paraId="0DB3E225" w14:textId="77777777" w:rsidR="000D17D4" w:rsidRPr="000D17D4" w:rsidRDefault="000D17D4" w:rsidP="000D17D4">
      <w:pPr>
        <w:spacing w:after="120" w:line="276" w:lineRule="auto"/>
        <w:ind w:firstLine="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t xml:space="preserve">El “Capítulo III Documentos tipo complementarios de consultoría de estudios de ingeniería de infraestructura social – Sector Salud” comprende los artículos décimo al decimosegundo. El artículo 10 adopta los documentos tipo complementarios para los procesos de selección de concurso de méritos para contratar la consultoría de estudios de ingeniería de infraestructura social relacionados con el sector salud. El artículo 11 establece que los documentos tipo para los procedimientos de la referencia contienen parámetros obligatorios para las entidades sometidas al Estatuto General de Contratación de la Administración Pública. Asimismo, incluye el documento tipo que adopta “Matriz 1 – Experiencia Consultoría Sector Salud”, precisando que además de este documento se utilizará el documento base, formatos, anexos y formularios adoptados en el capítulo I. En el artículo indicado, también se precisa que estos documentos tipo aplicarán a las actividades definidas en la Matriz 1 – Experiencia Consultoría Sector Salud. Finalmente, el artículo 12 establece la regla de inalterabilidad que recae sobre los documentos tipo del sector salud. </w:t>
      </w:r>
    </w:p>
    <w:p w14:paraId="48F7631B" w14:textId="77777777" w:rsidR="000D17D4" w:rsidRPr="000D17D4" w:rsidRDefault="000D17D4" w:rsidP="000D17D4">
      <w:pPr>
        <w:spacing w:after="120" w:line="276" w:lineRule="auto"/>
        <w:ind w:firstLine="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t xml:space="preserve">El “Capítulo IV Documentos tipo complementarios de consultoría de estudios de ingeniería de infraestructura social – Sector Cultura, Recreación y Deporte” comprende los artículos decimotercero al decimoquinto. El artículo 13 adopta los documentos tipo complementarios para los procesos de selección de concurso de méritos para contratar consultorías de estudios de ingeniería de infraestructura social relacionados con el sector cultura, recreación y deporte. El artículo 14 establece que los documentos tipo para los procedimientos indicados contienen parámetros obligatorios para las entidades sometidas al Estatuto General de Contratación de la Administración Pública. Asimismo, señala el documento tipo que adopta “Matriz 1 – Experiencia Consultoría Sector Cultura, Recreación y Deporte”, y especifica que, además de este documento se utilizará el documento base, formatos, anexos y formularios adoptados en el capítulo I. También se indica que, estos documentos tipo aplicarán a las actividades definidas en la Matriz 1 – Experiencia Consultoría Sector Cultura, Recreación y </w:t>
      </w:r>
      <w:r w:rsidRPr="000D17D4">
        <w:rPr>
          <w:rFonts w:ascii="Verdana" w:eastAsia="Aptos" w:hAnsi="Verdana" w:cs="Times New Roman"/>
          <w:kern w:val="2"/>
          <w14:ligatures w14:val="standardContextual"/>
        </w:rPr>
        <w:lastRenderedPageBreak/>
        <w:t>Deporte. Por último, el artículo 15 se establece la regla de inalterabilidad que recae sobre los documentos tipo de ese sector.</w:t>
      </w:r>
    </w:p>
    <w:p w14:paraId="55A1EF74" w14:textId="77777777" w:rsidR="000D17D4" w:rsidRPr="000D17D4" w:rsidRDefault="000D17D4" w:rsidP="000D17D4">
      <w:pPr>
        <w:spacing w:after="120" w:line="276" w:lineRule="auto"/>
        <w:ind w:firstLine="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t xml:space="preserve">El “Capítulo V documentos tipo complementarios de consultoría de estudios de ingeniería de infraestructura social – Sector Institucional” contiene los artículos decimosexto a decimoctavo. El artículo 16 adopta los documentos tipo complementarios para los procesos de selección de concurso de méritos para contratar la consultoría de estudios de ingeniería de infraestructura social relacionados con el sector institucional. Por su parte, el artículo 17 dispone que los documentos tipo señalados contienen parámetros obligatorios para las entidades sometidas al Estatuto General de Contratación de la Administración Pública. Asimismo, indica el documento tipo que adopta “Matriz 1 – Experiencia Consultoría Sector Institucional”, y establece que, además de este documento se utilizará de forma conjunta los documentos señalados en el capítulo I. También se indica que, estos documentos tipo aplicarán a las actividades definidas en la Matriz 1 – Experiencia de ese sector. Por último, el artículo 18 consagra la regla de inalterabilidad que recae sobre los documentos tipo de ese sector. </w:t>
      </w:r>
    </w:p>
    <w:p w14:paraId="406C1D84" w14:textId="77777777" w:rsidR="000D17D4" w:rsidRPr="000D17D4" w:rsidRDefault="000D17D4" w:rsidP="000D17D4">
      <w:pPr>
        <w:spacing w:after="120" w:line="276" w:lineRule="auto"/>
        <w:ind w:firstLine="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t>El “Capítulo VI documentos tipo complementarios de consultoría de estudios de ingeniería de infraestructura social – Sector vivienda” comprende los artículos decimonoveno a vigesimoprimero. El artículo 19 adopta los documentos tipo complementarios para los procesos de selección de concurso de méritos para contratar la consultoría de estudios de ingeniería de infraestructura social relacionados con el sector vivienda. El artículo 20 dispone que los documentos tipo señalados contienen parámetros obligatorios para las entidades sometidas al Estatuto General de Contratación de la Administración Pública. Asimismo, indica el documento tipo que adopta “Matriz 1 – Experiencia Consultoría Sector vivienda”, y establece que, además de este documento se utilizará de forma conjunta los documentos señalados en el capítulo I. También se indica que, estos documentos tipo aplicarán a las actividades definidas en la Matriz 1 – Experiencia de ese sector. Por último, el artículo 21 consagra la regla de inalterabilidad que recae sobre los documentos tipo de ese sector.</w:t>
      </w:r>
    </w:p>
    <w:p w14:paraId="0EB52BC5" w14:textId="77777777" w:rsidR="000D17D4" w:rsidRPr="000D17D4" w:rsidRDefault="000D17D4" w:rsidP="000D17D4">
      <w:pPr>
        <w:spacing w:after="120" w:line="276" w:lineRule="auto"/>
        <w:ind w:firstLine="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t xml:space="preserve">Finalmente, el “Capítulo VII vigencias” de la Resolución, en el artículo 22 establece la vigencia de la Resolución, indicando que esta rige a partir de su publicación y aplicará a los procedimientos de selección de concurso de méritos para contratar la consultoría de estudios de ingeniería de infraestructura social </w:t>
      </w:r>
      <w:r w:rsidRPr="000D17D4">
        <w:rPr>
          <w:rFonts w:ascii="Verdana" w:eastAsia="Aptos" w:hAnsi="Verdana" w:cs="Times New Roman"/>
          <w:kern w:val="2"/>
          <w14:ligatures w14:val="standardContextual"/>
        </w:rPr>
        <w:lastRenderedPageBreak/>
        <w:t>en los sectores educación, salud, cultura, recreación y deporte, institucional y vivienda, cuyo aviso de convocatoria se publique a partir del 16 de febrero de 2026.</w:t>
      </w:r>
    </w:p>
    <w:p w14:paraId="575CDDBC" w14:textId="77777777" w:rsidR="000D17D4" w:rsidRPr="000D17D4" w:rsidRDefault="000D17D4" w:rsidP="000D17D4">
      <w:pPr>
        <w:spacing w:after="120" w:line="276" w:lineRule="auto"/>
        <w:ind w:firstLine="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t>Considerando la estructura de la Resolución 952 del 15 de diciembre de 2025, los documentos tipo que esta adopta fueron publicados en la página web de la Agencia Nacional de Contratación Pública – Colombia Compra Eficiente, en la sección de documentos tipo, de la siguiente manera:</w:t>
      </w:r>
    </w:p>
    <w:p w14:paraId="20B365D7" w14:textId="77777777" w:rsidR="000D17D4" w:rsidRPr="000D17D4" w:rsidRDefault="000D17D4" w:rsidP="000D17D4">
      <w:pPr>
        <w:spacing w:after="120" w:line="276" w:lineRule="auto"/>
        <w:ind w:firstLine="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t>1. En el numeral 04. Documentos tipo de infraestructura social:</w:t>
      </w:r>
    </w:p>
    <w:p w14:paraId="1D56BC34" w14:textId="77777777" w:rsidR="000D17D4" w:rsidRPr="000D17D4" w:rsidRDefault="000D17D4" w:rsidP="000D17D4">
      <w:pPr>
        <w:spacing w:after="120" w:line="276" w:lineRule="auto"/>
        <w:ind w:firstLine="708"/>
        <w:jc w:val="both"/>
        <w:textAlignment w:val="baseline"/>
        <w:rPr>
          <w:rFonts w:ascii="Verdana" w:eastAsia="Calibri" w:hAnsi="Verdana" w:cs="Arial"/>
        </w:rPr>
      </w:pPr>
      <w:r w:rsidRPr="000D17D4">
        <w:rPr>
          <w:rFonts w:ascii="Verdana" w:eastAsia="Calibri" w:hAnsi="Verdana" w:cs="Arial"/>
          <w:noProof/>
        </w:rPr>
        <w:drawing>
          <wp:inline distT="0" distB="0" distL="0" distR="0" wp14:anchorId="5F5AC533" wp14:editId="3B2DC513">
            <wp:extent cx="4855029" cy="1656047"/>
            <wp:effectExtent l="0" t="0" r="0" b="0"/>
            <wp:docPr id="177268465"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68465" name="Imagen 1" descr="Interfaz de usuario gráfica, Texto, Aplicación, Correo electrónico&#10;&#10;El contenido generado por IA puede ser incorrecto."/>
                    <pic:cNvPicPr/>
                  </pic:nvPicPr>
                  <pic:blipFill>
                    <a:blip r:embed="rId11"/>
                    <a:stretch>
                      <a:fillRect/>
                    </a:stretch>
                  </pic:blipFill>
                  <pic:spPr>
                    <a:xfrm>
                      <a:off x="0" y="0"/>
                      <a:ext cx="4940305" cy="1685135"/>
                    </a:xfrm>
                    <a:prstGeom prst="rect">
                      <a:avLst/>
                    </a:prstGeom>
                  </pic:spPr>
                </pic:pic>
              </a:graphicData>
            </a:graphic>
          </wp:inline>
        </w:drawing>
      </w:r>
    </w:p>
    <w:p w14:paraId="237EDB3A" w14:textId="77777777" w:rsidR="000D17D4" w:rsidRPr="000D17D4" w:rsidRDefault="000D17D4" w:rsidP="000D17D4">
      <w:pPr>
        <w:spacing w:after="120" w:line="276" w:lineRule="auto"/>
        <w:ind w:firstLine="708"/>
        <w:jc w:val="both"/>
        <w:textAlignment w:val="baseline"/>
        <w:rPr>
          <w:rFonts w:ascii="Verdana" w:eastAsia="Calibri" w:hAnsi="Verdana" w:cs="Arial"/>
        </w:rPr>
      </w:pPr>
      <w:r w:rsidRPr="000D17D4">
        <w:rPr>
          <w:rFonts w:ascii="Verdana" w:eastAsia="Calibri" w:hAnsi="Verdana" w:cs="Arial"/>
        </w:rPr>
        <w:t>2. En el numeral “04. Documentos tipo de infraestructura social” se encuentran todos los documentos tipo expedidos a la fecha por esta Agencia en el sector social, tanto para obra pública como concurso de méritos:</w:t>
      </w:r>
    </w:p>
    <w:p w14:paraId="54AD0CB9" w14:textId="77777777" w:rsidR="000D17D4" w:rsidRPr="000D17D4" w:rsidRDefault="000D17D4" w:rsidP="000D17D4">
      <w:pPr>
        <w:spacing w:after="120" w:line="276" w:lineRule="auto"/>
        <w:ind w:firstLine="708"/>
        <w:jc w:val="both"/>
        <w:textAlignment w:val="baseline"/>
        <w:rPr>
          <w:rFonts w:ascii="Verdana" w:eastAsia="Calibri" w:hAnsi="Verdana" w:cs="Arial"/>
        </w:rPr>
      </w:pPr>
      <w:r w:rsidRPr="000D17D4">
        <w:rPr>
          <w:rFonts w:ascii="Verdana" w:eastAsia="Calibri" w:hAnsi="Verdana" w:cs="Arial"/>
          <w:noProof/>
        </w:rPr>
        <w:drawing>
          <wp:inline distT="0" distB="0" distL="0" distR="0" wp14:anchorId="5A692A23" wp14:editId="65EE3667">
            <wp:extent cx="5007429" cy="1583690"/>
            <wp:effectExtent l="0" t="0" r="0" b="3810"/>
            <wp:docPr id="1431470951"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470951" name="Imagen 1" descr="Interfaz de usuario gráfica, Texto, Aplicación&#10;&#10;El contenido generado por IA puede ser incorrecto."/>
                    <pic:cNvPicPr/>
                  </pic:nvPicPr>
                  <pic:blipFill>
                    <a:blip r:embed="rId12"/>
                    <a:stretch>
                      <a:fillRect/>
                    </a:stretch>
                  </pic:blipFill>
                  <pic:spPr>
                    <a:xfrm>
                      <a:off x="0" y="0"/>
                      <a:ext cx="5021801" cy="1588236"/>
                    </a:xfrm>
                    <a:prstGeom prst="rect">
                      <a:avLst/>
                    </a:prstGeom>
                  </pic:spPr>
                </pic:pic>
              </a:graphicData>
            </a:graphic>
          </wp:inline>
        </w:drawing>
      </w:r>
    </w:p>
    <w:p w14:paraId="0DCDE815" w14:textId="77777777" w:rsidR="000D17D4" w:rsidRPr="000D17D4" w:rsidRDefault="000D17D4" w:rsidP="000D17D4">
      <w:pPr>
        <w:spacing w:after="120" w:line="276" w:lineRule="auto"/>
        <w:ind w:firstLine="708"/>
        <w:jc w:val="both"/>
        <w:textAlignment w:val="baseline"/>
        <w:rPr>
          <w:rFonts w:ascii="Verdana" w:eastAsia="Calibri" w:hAnsi="Verdana" w:cs="Arial"/>
        </w:rPr>
      </w:pPr>
      <w:r w:rsidRPr="000D17D4">
        <w:rPr>
          <w:rFonts w:ascii="Verdana" w:eastAsia="Calibri" w:hAnsi="Verdana" w:cs="Arial"/>
        </w:rPr>
        <w:t>3. Concretamente en el numeral 05 se encuentran los documentos tipo de concurso de méritos para contratar la consultoría de estudios de ingeniería de infraestructura social. Esta carpeta contiene otras seis (6), que atienden la estructura de la Resolución 952 de 2025:</w:t>
      </w:r>
    </w:p>
    <w:p w14:paraId="2F4D1D0F" w14:textId="77777777" w:rsidR="000D17D4" w:rsidRPr="000D17D4" w:rsidRDefault="000D17D4" w:rsidP="000D17D4">
      <w:pPr>
        <w:spacing w:after="120" w:line="276" w:lineRule="auto"/>
        <w:ind w:firstLine="708"/>
        <w:jc w:val="both"/>
        <w:textAlignment w:val="baseline"/>
        <w:rPr>
          <w:rFonts w:ascii="Verdana" w:eastAsia="Calibri" w:hAnsi="Verdana" w:cs="Arial"/>
        </w:rPr>
      </w:pPr>
      <w:r w:rsidRPr="000D17D4">
        <w:rPr>
          <w:rFonts w:ascii="Verdana" w:eastAsia="Calibri" w:hAnsi="Verdana" w:cs="Arial"/>
          <w:noProof/>
        </w:rPr>
        <w:lastRenderedPageBreak/>
        <w:drawing>
          <wp:inline distT="0" distB="0" distL="0" distR="0" wp14:anchorId="17996299" wp14:editId="7EA9F8B6">
            <wp:extent cx="4854575" cy="1722755"/>
            <wp:effectExtent l="0" t="0" r="0" b="4445"/>
            <wp:docPr id="698712880"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712880" name="Imagen 1" descr="Interfaz de usuario gráfica, Texto, Aplicación&#10;&#10;El contenido generado por IA puede ser incorrecto."/>
                    <pic:cNvPicPr/>
                  </pic:nvPicPr>
                  <pic:blipFill>
                    <a:blip r:embed="rId13"/>
                    <a:stretch>
                      <a:fillRect/>
                    </a:stretch>
                  </pic:blipFill>
                  <pic:spPr>
                    <a:xfrm>
                      <a:off x="0" y="0"/>
                      <a:ext cx="4864063" cy="1726122"/>
                    </a:xfrm>
                    <a:prstGeom prst="rect">
                      <a:avLst/>
                    </a:prstGeom>
                  </pic:spPr>
                </pic:pic>
              </a:graphicData>
            </a:graphic>
          </wp:inline>
        </w:drawing>
      </w:r>
    </w:p>
    <w:p w14:paraId="3C60A177" w14:textId="77777777" w:rsidR="000D17D4" w:rsidRPr="000D17D4" w:rsidRDefault="000D17D4" w:rsidP="000D17D4">
      <w:pPr>
        <w:spacing w:after="120" w:line="276" w:lineRule="auto"/>
        <w:ind w:firstLine="708"/>
        <w:jc w:val="both"/>
        <w:textAlignment w:val="baseline"/>
        <w:rPr>
          <w:rFonts w:ascii="Verdana" w:eastAsia="Calibri" w:hAnsi="Verdana" w:cs="Arial"/>
        </w:rPr>
      </w:pPr>
    </w:p>
    <w:p w14:paraId="621F23FA" w14:textId="77777777" w:rsidR="000D17D4" w:rsidRPr="000D17D4" w:rsidRDefault="000D17D4" w:rsidP="000D17D4">
      <w:pPr>
        <w:spacing w:after="0" w:line="276" w:lineRule="auto"/>
        <w:ind w:firstLine="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t xml:space="preserve">En la carpeta “1. Documentos tipo transversales” se encuentran publicados: i) la Resolución 952 de 2025; </w:t>
      </w:r>
      <w:proofErr w:type="spellStart"/>
      <w:r w:rsidRPr="000D17D4">
        <w:rPr>
          <w:rFonts w:ascii="Verdana" w:eastAsia="Aptos" w:hAnsi="Verdana" w:cs="Times New Roman"/>
          <w:kern w:val="2"/>
          <w14:ligatures w14:val="standardContextual"/>
        </w:rPr>
        <w:t>ii</w:t>
      </w:r>
      <w:proofErr w:type="spellEnd"/>
      <w:r w:rsidRPr="000D17D4">
        <w:rPr>
          <w:rFonts w:ascii="Verdana" w:eastAsia="Aptos" w:hAnsi="Verdana" w:cs="Times New Roman"/>
          <w:kern w:val="2"/>
          <w14:ligatures w14:val="standardContextual"/>
        </w:rPr>
        <w:t xml:space="preserve">) la memoria justificativa; </w:t>
      </w:r>
      <w:proofErr w:type="spellStart"/>
      <w:r w:rsidRPr="000D17D4">
        <w:rPr>
          <w:rFonts w:ascii="Verdana" w:eastAsia="Aptos" w:hAnsi="Verdana" w:cs="Times New Roman"/>
          <w:kern w:val="2"/>
          <w14:ligatures w14:val="standardContextual"/>
        </w:rPr>
        <w:t>iii</w:t>
      </w:r>
      <w:proofErr w:type="spellEnd"/>
      <w:r w:rsidRPr="000D17D4">
        <w:rPr>
          <w:rFonts w:ascii="Verdana" w:eastAsia="Aptos" w:hAnsi="Verdana" w:cs="Times New Roman"/>
          <w:kern w:val="2"/>
          <w14:ligatures w14:val="standardContextual"/>
        </w:rPr>
        <w:t xml:space="preserve">) el anexo de la memoria justificativa – informe sectorial; </w:t>
      </w:r>
      <w:proofErr w:type="spellStart"/>
      <w:r w:rsidRPr="000D17D4">
        <w:rPr>
          <w:rFonts w:ascii="Verdana" w:eastAsia="Aptos" w:hAnsi="Verdana" w:cs="Times New Roman"/>
          <w:kern w:val="2"/>
          <w14:ligatures w14:val="standardContextual"/>
        </w:rPr>
        <w:t>iv</w:t>
      </w:r>
      <w:proofErr w:type="spellEnd"/>
      <w:r w:rsidRPr="000D17D4">
        <w:rPr>
          <w:rFonts w:ascii="Verdana" w:eastAsia="Aptos" w:hAnsi="Verdana" w:cs="Times New Roman"/>
          <w:kern w:val="2"/>
          <w14:ligatures w14:val="standardContextual"/>
        </w:rPr>
        <w:t>) la respuesta a las observaciones presentadas por los ciudadanos; v) el informe de participación ciudadana; y vi) los documentos tipo transversales. Estos últimos corresponden al primer capítulo de la Resolución 952 de 2025. Así, en dicho apartado se encuentran disponibles los documentos tipo transversales de consultoría de estudios de ingeniería de infraestructura social, que son:</w:t>
      </w:r>
    </w:p>
    <w:p w14:paraId="5FB40E2D" w14:textId="77777777" w:rsidR="000D17D4" w:rsidRPr="000D17D4" w:rsidRDefault="000D17D4" w:rsidP="000D17D4">
      <w:pPr>
        <w:spacing w:after="0" w:line="276" w:lineRule="auto"/>
        <w:ind w:firstLine="708"/>
        <w:jc w:val="both"/>
        <w:textAlignment w:val="baseline"/>
        <w:rPr>
          <w:rFonts w:ascii="Aptos" w:eastAsia="Aptos" w:hAnsi="Aptos" w:cs="Times New Roman"/>
          <w:kern w:val="2"/>
          <w:sz w:val="24"/>
          <w:szCs w:val="24"/>
          <w14:ligatures w14:val="standardContextual"/>
        </w:rPr>
      </w:pPr>
    </w:p>
    <w:p w14:paraId="1990C4D1" w14:textId="77777777" w:rsidR="000D17D4" w:rsidRPr="000D17D4" w:rsidRDefault="000D17D4" w:rsidP="000D17D4">
      <w:pPr>
        <w:spacing w:after="120" w:line="276" w:lineRule="auto"/>
        <w:ind w:firstLine="708"/>
        <w:jc w:val="both"/>
        <w:textAlignment w:val="baseline"/>
        <w:rPr>
          <w:rFonts w:ascii="Verdana" w:eastAsia="Calibri" w:hAnsi="Verdana" w:cs="Arial"/>
        </w:rPr>
      </w:pPr>
      <w:r w:rsidRPr="000D17D4">
        <w:rPr>
          <w:rFonts w:ascii="Verdana" w:eastAsia="Calibri" w:hAnsi="Verdana" w:cs="Arial"/>
        </w:rPr>
        <w:t>A) Documento base del pliego tipo.</w:t>
      </w:r>
    </w:p>
    <w:p w14:paraId="61DB520D" w14:textId="77777777" w:rsidR="000D17D4" w:rsidRPr="00A17ABE" w:rsidRDefault="000D17D4" w:rsidP="000D17D4">
      <w:pPr>
        <w:spacing w:after="120" w:line="276" w:lineRule="auto"/>
        <w:ind w:left="708"/>
        <w:jc w:val="both"/>
        <w:textAlignment w:val="baseline"/>
        <w:rPr>
          <w:rFonts w:ascii="Verdana" w:eastAsia="Aptos" w:hAnsi="Verdana" w:cs="Times New Roman"/>
          <w:kern w:val="2"/>
          <w:lang w:val="pt-BR"/>
          <w14:ligatures w14:val="standardContextual"/>
        </w:rPr>
      </w:pPr>
      <w:r w:rsidRPr="00A17ABE">
        <w:rPr>
          <w:rFonts w:ascii="Verdana" w:eastAsia="Calibri" w:hAnsi="Verdana" w:cs="Arial"/>
          <w:lang w:val="pt-BR"/>
        </w:rPr>
        <w:t>B) Anexos: Anexo 1 – Anexo Técnico,</w:t>
      </w:r>
      <w:r w:rsidRPr="00A17ABE">
        <w:rPr>
          <w:rFonts w:ascii="Verdana" w:eastAsia="Aptos" w:hAnsi="Verdana" w:cs="Times New Roman"/>
          <w:kern w:val="2"/>
          <w:lang w:val="pt-BR"/>
          <w14:ligatures w14:val="standardContextual"/>
        </w:rPr>
        <w:t xml:space="preserve"> Anexo 2 – Cronograma, Anexo 3 – Glosario, Anexo 4 - Pacto de Transparencia, Anexo 5 - Minuta del Contrato.</w:t>
      </w:r>
    </w:p>
    <w:p w14:paraId="35E7AB8B" w14:textId="77777777" w:rsidR="000D17D4" w:rsidRPr="000D17D4" w:rsidRDefault="000D17D4" w:rsidP="000D17D4">
      <w:pPr>
        <w:spacing w:after="120" w:line="276" w:lineRule="auto"/>
        <w:ind w:left="708"/>
        <w:jc w:val="both"/>
        <w:textAlignment w:val="baseline"/>
        <w:rPr>
          <w:rFonts w:ascii="Verdana" w:eastAsia="Calibri" w:hAnsi="Verdana" w:cs="Arial"/>
        </w:rPr>
      </w:pPr>
      <w:r w:rsidRPr="000D17D4">
        <w:rPr>
          <w:rFonts w:ascii="Verdana" w:eastAsia="Calibri" w:hAnsi="Verdana" w:cs="Arial"/>
        </w:rPr>
        <w:t xml:space="preserve">C) Formatos: Formato 1 - Carta de presentación de la oferta, Formato 2 - Conformación de Proponente Plural (Formato 2AConsorcios) (Formato 2B- Unión temporal), Formato 3 – Experiencia, Formato 4 - Capacidad Financiera y organizacional para extranjeros, Formato 5 - Pagos al Sistema de Seguridad Social y Aportes Legales, Formato 6 - Vinculación de personas en condición de discapacidad, Formato 7 - Puntaje de Industria Nacional, Formato 8 - Aceptación y cumplimiento de la formación académica y la experiencia del Personal Clave Evaluable, Formato 9 - Experiencia y formación adicional del Personal Clave Evaluable, Formato 10- Factor de sostenibilidad, Formato 11 - Factores de desempate, Formato 12 - Autorización para el tratamiento de datos </w:t>
      </w:r>
      <w:r w:rsidRPr="000D17D4">
        <w:rPr>
          <w:rFonts w:ascii="Verdana" w:eastAsia="Calibri" w:hAnsi="Verdana" w:cs="Arial"/>
        </w:rPr>
        <w:lastRenderedPageBreak/>
        <w:t xml:space="preserve">personales, Formato 13 - Acreditación de emprendimiento y empresas de mujeres, Formato 14 - Acreditación de </w:t>
      </w:r>
      <w:proofErr w:type="spellStart"/>
      <w:r w:rsidRPr="000D17D4">
        <w:rPr>
          <w:rFonts w:ascii="Verdana" w:eastAsia="Calibri" w:hAnsi="Verdana" w:cs="Arial"/>
        </w:rPr>
        <w:t>Mipyme</w:t>
      </w:r>
      <w:proofErr w:type="spellEnd"/>
      <w:r w:rsidRPr="000D17D4">
        <w:rPr>
          <w:rFonts w:ascii="Verdana" w:eastAsia="Calibri" w:hAnsi="Verdana" w:cs="Arial"/>
        </w:rPr>
        <w:t>.</w:t>
      </w:r>
    </w:p>
    <w:p w14:paraId="13ACBFC7" w14:textId="77777777" w:rsidR="000D17D4" w:rsidRPr="000D17D4" w:rsidRDefault="000D17D4" w:rsidP="000D17D4">
      <w:pPr>
        <w:spacing w:after="120" w:line="276" w:lineRule="auto"/>
        <w:ind w:left="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t>D) Matrices: Matriz 2 - Indicadores financieros y organizacionales, Matriz 3 – Riesgos, Matriz 4 - Lineamientos de requisitos del personal.</w:t>
      </w:r>
    </w:p>
    <w:p w14:paraId="6545E552" w14:textId="77777777" w:rsidR="000D17D4" w:rsidRPr="000D17D4" w:rsidRDefault="000D17D4" w:rsidP="000D17D4">
      <w:pPr>
        <w:spacing w:after="0" w:line="276" w:lineRule="auto"/>
        <w:ind w:firstLine="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t xml:space="preserve">E) Formulario 1- Formulario de Presupuesto oficial. </w:t>
      </w:r>
    </w:p>
    <w:p w14:paraId="457B6530" w14:textId="77777777" w:rsidR="000D17D4" w:rsidRPr="000D17D4" w:rsidRDefault="000D17D4" w:rsidP="000D17D4">
      <w:pPr>
        <w:spacing w:after="0" w:line="276" w:lineRule="auto"/>
        <w:ind w:firstLine="708"/>
        <w:jc w:val="both"/>
        <w:textAlignment w:val="baseline"/>
        <w:rPr>
          <w:rFonts w:ascii="Verdana" w:eastAsia="Aptos" w:hAnsi="Verdana" w:cs="Times New Roman"/>
          <w:kern w:val="2"/>
          <w14:ligatures w14:val="standardContextual"/>
        </w:rPr>
      </w:pPr>
    </w:p>
    <w:p w14:paraId="29E5B995" w14:textId="77777777" w:rsidR="000D17D4" w:rsidRPr="000D17D4" w:rsidRDefault="000D17D4" w:rsidP="000D17D4">
      <w:pPr>
        <w:spacing w:after="120" w:line="276" w:lineRule="auto"/>
        <w:ind w:firstLine="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t>El documento base, los anexos, formatos, matrices y formularios señados aplican de forma transversal a los proyectos de consultoría de estudios de ingeniería de infraestructura social, tales como, sector educativo, sector salud, sector cultura, recreación y deporte, sector institucional y sector vivienda.</w:t>
      </w:r>
    </w:p>
    <w:p w14:paraId="6D0D461E" w14:textId="77777777" w:rsidR="000D17D4" w:rsidRPr="000D17D4" w:rsidRDefault="000D17D4" w:rsidP="000D17D4">
      <w:pPr>
        <w:spacing w:after="120" w:line="276" w:lineRule="auto"/>
        <w:ind w:firstLine="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t>Por su parte, en las siguientes cinco (5) carpetas publicadas se encuentran los documentos tipo complementarios de consultoría de estudios de ingeniería correspondientes a los sectores educativo, salud y cultura, recreación y deporte, institucional y vivienda.</w:t>
      </w:r>
    </w:p>
    <w:p w14:paraId="3147E78F" w14:textId="77777777" w:rsidR="000D17D4" w:rsidRPr="000D17D4" w:rsidRDefault="000D17D4" w:rsidP="000D17D4">
      <w:pPr>
        <w:spacing w:after="120" w:line="276" w:lineRule="auto"/>
        <w:ind w:firstLine="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t>Los documentos tipo señalados fueron adoptados mediante los capítulos II, III, IV, V y VI de la Resolución 952 del 15 de diciembre de 2025. En este sentido, los documentos publicados en dichas carpetas incluyen la Matriz 1 – Experiencia, la cual es independiente para cada uno de los sectores indicados y deberá aplicarse de forma conjunta con el documento base, formatos, anexos, matrices y formularios adoptados para los documentos tipo adicionales de concurso de méritos para contratar la consultoría de estudios de ingeniería de infraestructura social, señalados en el Capítulo I de esta Resolución y publicados en la carpeta “1. Documentos transversales”.</w:t>
      </w:r>
    </w:p>
    <w:p w14:paraId="2E8B19C3" w14:textId="77777777" w:rsidR="000D17D4" w:rsidRPr="000D17D4" w:rsidRDefault="000D17D4" w:rsidP="000D17D4">
      <w:pPr>
        <w:spacing w:after="120" w:line="276" w:lineRule="auto"/>
        <w:ind w:firstLine="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t>De esta forma, para efectos de la aplicación de los documentos tipo de consultoría de estudios de ingeniería de infraestructura social, la entidad que adelanta el proceso de selección deberá:</w:t>
      </w:r>
    </w:p>
    <w:p w14:paraId="29682C40" w14:textId="77777777" w:rsidR="000D17D4" w:rsidRPr="000D17D4" w:rsidRDefault="000D17D4" w:rsidP="000D17D4">
      <w:pPr>
        <w:spacing w:after="120" w:line="276" w:lineRule="auto"/>
        <w:ind w:firstLine="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t>1. Establecer a qué sector de los complementarios corresponde la consultoría que pretende adelantar, esto es: salud, educación, cultura, recreación y deporte, institucional y/o vivienda. Una vez identificado el sector, deberá seleccionar la Matriz 1 – Experiencia.</w:t>
      </w:r>
    </w:p>
    <w:p w14:paraId="1C7667FF" w14:textId="77777777" w:rsidR="000D17D4" w:rsidRPr="000D17D4" w:rsidRDefault="000D17D4" w:rsidP="000D17D4">
      <w:pPr>
        <w:spacing w:after="120" w:line="276" w:lineRule="auto"/>
        <w:ind w:firstLine="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t>2. Una vez seleccionada la Matriz 1 – Experiencia, deberá aplicarla en conjunto con los documentos tipo transversales aplicables para la consultoría de  estudios de ingeniería de infraestructura social, que incluyen el documento base, formatos, anexos y matrices (con excepción de la Matriz 1) y formularios.</w:t>
      </w:r>
    </w:p>
    <w:p w14:paraId="058065D3" w14:textId="77777777" w:rsidR="000D17D4" w:rsidRPr="000D17D4" w:rsidRDefault="000D17D4" w:rsidP="000D17D4">
      <w:pPr>
        <w:spacing w:after="0" w:line="276" w:lineRule="auto"/>
        <w:ind w:firstLine="708"/>
        <w:jc w:val="both"/>
        <w:textAlignment w:val="baseline"/>
        <w:rPr>
          <w:rFonts w:ascii="Verdana" w:eastAsia="Aptos" w:hAnsi="Verdana" w:cs="Times New Roman"/>
          <w:kern w:val="2"/>
          <w14:ligatures w14:val="standardContextual"/>
        </w:rPr>
      </w:pPr>
      <w:r w:rsidRPr="000D17D4">
        <w:rPr>
          <w:rFonts w:ascii="Verdana" w:eastAsia="Aptos" w:hAnsi="Verdana" w:cs="Times New Roman"/>
          <w:kern w:val="2"/>
          <w14:ligatures w14:val="standardContextual"/>
        </w:rPr>
        <w:lastRenderedPageBreak/>
        <w:t>En consecuencia, para adelantar un proceso de selección con los documentos tipo de consultoría de estudios de ingeniería de infraestructura social, se aclara que dichos documentos ya han sido adoptados mediante la Resolución 952 del 15 de diciembre de 2025, y se encuentran publicados en la página web de la Agencia Nacional de Contratación Pública – Colombia Compra Eficiente, distribuidos en las carpetas correspondientes a los documentos tipo transversales y documentos tipo adicionales por sector. Así, la entidad que adelante el proceso de selección deberá implementar los documentos tipo de acuerdo con la estructura y las instrucciones señaladas: identificando el sector de la consultoría (educativo, salud, cultura, recreación y deporte, institucional o vivienda), seleccionando la Matriz 1 – Experiencia correspondiente y aplicándola de manera conjunta con los documentos tipo transversales, incluyendo el documento base, formatos, anexos, matrices y formularios, tal como se establece en los capítulos I a VI de la Resolución 952 de 2025.</w:t>
      </w:r>
    </w:p>
    <w:p w14:paraId="29CF0E5E" w14:textId="77777777" w:rsidR="000D17D4" w:rsidRPr="000D17D4" w:rsidRDefault="000D17D4" w:rsidP="000D17D4">
      <w:pPr>
        <w:spacing w:after="0" w:line="276" w:lineRule="auto"/>
        <w:ind w:firstLine="708"/>
        <w:jc w:val="both"/>
        <w:textAlignment w:val="baseline"/>
        <w:rPr>
          <w:rFonts w:ascii="Verdana" w:eastAsia="Aptos" w:hAnsi="Verdana" w:cs="Times New Roman"/>
          <w:kern w:val="2"/>
          <w14:ligatures w14:val="standardContextual"/>
        </w:rPr>
      </w:pPr>
    </w:p>
    <w:p w14:paraId="07670744" w14:textId="77777777" w:rsidR="000D17D4" w:rsidRPr="000D17D4" w:rsidRDefault="000D17D4" w:rsidP="000D17D4">
      <w:pPr>
        <w:tabs>
          <w:tab w:val="left" w:pos="142"/>
          <w:tab w:val="left" w:pos="284"/>
        </w:tabs>
        <w:spacing w:after="0" w:line="276" w:lineRule="auto"/>
        <w:jc w:val="both"/>
        <w:rPr>
          <w:rFonts w:ascii="Verdana" w:eastAsia="Century Gothic" w:hAnsi="Verdana" w:cs="Century Gothic"/>
          <w:b/>
          <w:bCs/>
          <w:lang w:val="es-ES_tradnl"/>
        </w:rPr>
      </w:pPr>
      <w:r w:rsidRPr="000D17D4">
        <w:rPr>
          <w:rFonts w:ascii="Verdana" w:eastAsia="Century Gothic" w:hAnsi="Verdana" w:cs="Century Gothic"/>
          <w:b/>
          <w:bCs/>
          <w:lang w:val="es-ES_tradnl"/>
        </w:rPr>
        <w:t>4. Referencias normativas, jurisprudenciales y otras fuentes:</w:t>
      </w:r>
    </w:p>
    <w:p w14:paraId="168E6A63" w14:textId="77777777" w:rsidR="000D17D4" w:rsidRPr="000D17D4" w:rsidRDefault="000D17D4" w:rsidP="000D17D4">
      <w:pPr>
        <w:spacing w:after="0"/>
        <w:ind w:left="-15840"/>
        <w:jc w:val="both"/>
        <w:rPr>
          <w:rFonts w:ascii="Verdana" w:eastAsia="Calibri" w:hAnsi="Verdana" w:cs="Arial"/>
          <w:b/>
          <w:bCs/>
        </w:rPr>
      </w:pPr>
      <w:r w:rsidRPr="000D17D4">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0D17D4" w:rsidRPr="000D17D4" w14:paraId="6CDB3A56" w14:textId="77777777" w:rsidTr="00F41355">
        <w:trPr>
          <w:trHeight w:val="870"/>
        </w:trPr>
        <w:tc>
          <w:tcPr>
            <w:tcW w:w="8647" w:type="dxa"/>
            <w:tcBorders>
              <w:top w:val="dotted" w:sz="4" w:space="0" w:color="auto"/>
              <w:left w:val="dotted" w:sz="4" w:space="0" w:color="auto"/>
              <w:bottom w:val="dotted" w:sz="4" w:space="0" w:color="auto"/>
              <w:right w:val="dotted" w:sz="4" w:space="0" w:color="auto"/>
            </w:tcBorders>
          </w:tcPr>
          <w:p w14:paraId="709411A8" w14:textId="77777777" w:rsidR="000D17D4" w:rsidRPr="000D17D4" w:rsidRDefault="000D17D4" w:rsidP="000D17D4">
            <w:pPr>
              <w:ind w:left="720"/>
              <w:contextualSpacing/>
              <w:jc w:val="both"/>
              <w:rPr>
                <w:rFonts w:ascii="Verdana" w:eastAsia="Calibri" w:hAnsi="Verdana" w:cs="Arial"/>
                <w:bCs/>
              </w:rPr>
            </w:pPr>
          </w:p>
          <w:p w14:paraId="7B7654FC" w14:textId="77777777" w:rsidR="000D17D4" w:rsidRPr="000D17D4" w:rsidRDefault="000D17D4" w:rsidP="000D17D4">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0D17D4">
              <w:rPr>
                <w:rFonts w:ascii="Verdana" w:eastAsia="Calibri" w:hAnsi="Verdana" w:cs="Arial"/>
                <w:lang w:val="es-ES_tradnl"/>
              </w:rPr>
              <w:t xml:space="preserve">Ley 2022 de 2020, artículo 1. </w:t>
            </w:r>
          </w:p>
          <w:p w14:paraId="05A74A9A" w14:textId="77777777" w:rsidR="000D17D4" w:rsidRPr="000D17D4" w:rsidRDefault="000D17D4" w:rsidP="000D17D4">
            <w:pPr>
              <w:widowControl w:val="0"/>
              <w:numPr>
                <w:ilvl w:val="0"/>
                <w:numId w:val="16"/>
              </w:numPr>
              <w:autoSpaceDE w:val="0"/>
              <w:autoSpaceDN w:val="0"/>
              <w:spacing w:line="276" w:lineRule="auto"/>
              <w:jc w:val="both"/>
              <w:rPr>
                <w:rFonts w:ascii="Verdana" w:eastAsia="Calibri" w:hAnsi="Verdana" w:cs="Arial"/>
              </w:rPr>
            </w:pPr>
            <w:r w:rsidRPr="000D17D4">
              <w:rPr>
                <w:rFonts w:ascii="Verdana" w:eastAsia="Calibri" w:hAnsi="Verdana" w:cs="Arial"/>
              </w:rPr>
              <w:t>Ley 1150 de 2007, artículo 2.</w:t>
            </w:r>
          </w:p>
          <w:p w14:paraId="7DE59D94" w14:textId="77777777" w:rsidR="000D17D4" w:rsidRPr="000D17D4" w:rsidRDefault="000D17D4" w:rsidP="000D17D4">
            <w:pPr>
              <w:widowControl w:val="0"/>
              <w:numPr>
                <w:ilvl w:val="0"/>
                <w:numId w:val="16"/>
              </w:numPr>
              <w:autoSpaceDE w:val="0"/>
              <w:autoSpaceDN w:val="0"/>
              <w:spacing w:line="276" w:lineRule="auto"/>
              <w:contextualSpacing/>
              <w:jc w:val="both"/>
              <w:rPr>
                <w:rFonts w:ascii="Verdana" w:eastAsia="Calibri" w:hAnsi="Verdana" w:cs="Arial"/>
              </w:rPr>
            </w:pPr>
            <w:r w:rsidRPr="000D17D4">
              <w:rPr>
                <w:rFonts w:ascii="Verdana" w:eastAsia="Calibri" w:hAnsi="Verdana" w:cs="Arial"/>
                <w:lang w:val="es-ES_tradnl"/>
              </w:rPr>
              <w:t xml:space="preserve">Documentos Tipo. Disponibles en: </w:t>
            </w:r>
            <w:hyperlink r:id="rId14" w:history="1">
              <w:r w:rsidRPr="000D17D4">
                <w:rPr>
                  <w:rFonts w:ascii="Verdana" w:eastAsia="Calibri" w:hAnsi="Verdana" w:cs="Arial"/>
                  <w:color w:val="0000FF"/>
                  <w:u w:val="single"/>
                  <w:lang w:val="es-ES_tradnl"/>
                </w:rPr>
                <w:t>https://www.colombiacompra.gov.co/documentos-tipo/documentos-tipo</w:t>
              </w:r>
            </w:hyperlink>
            <w:r w:rsidRPr="000D17D4">
              <w:rPr>
                <w:rFonts w:ascii="Verdana" w:eastAsia="Calibri" w:hAnsi="Verdana" w:cs="Arial"/>
                <w:lang w:val="es-ES_tradnl"/>
              </w:rPr>
              <w:t>.</w:t>
            </w:r>
          </w:p>
        </w:tc>
      </w:tr>
    </w:tbl>
    <w:p w14:paraId="3159F3F2" w14:textId="77777777" w:rsidR="000D17D4" w:rsidRPr="000D17D4" w:rsidRDefault="000D17D4" w:rsidP="000D17D4">
      <w:pPr>
        <w:tabs>
          <w:tab w:val="left" w:pos="142"/>
          <w:tab w:val="left" w:pos="284"/>
        </w:tabs>
        <w:spacing w:after="0" w:line="276" w:lineRule="auto"/>
        <w:jc w:val="both"/>
        <w:rPr>
          <w:rFonts w:ascii="Verdana" w:eastAsia="Calibri" w:hAnsi="Verdana" w:cs="Arial"/>
        </w:rPr>
      </w:pPr>
    </w:p>
    <w:p w14:paraId="62F06ABF" w14:textId="77777777" w:rsidR="000D17D4" w:rsidRPr="000D17D4" w:rsidRDefault="000D17D4" w:rsidP="000D17D4">
      <w:pPr>
        <w:tabs>
          <w:tab w:val="left" w:pos="142"/>
          <w:tab w:val="left" w:pos="284"/>
        </w:tabs>
        <w:spacing w:after="0" w:line="276" w:lineRule="auto"/>
        <w:jc w:val="both"/>
        <w:rPr>
          <w:rFonts w:ascii="Verdana" w:eastAsia="Century Gothic" w:hAnsi="Verdana" w:cs="Century Gothic"/>
          <w:b/>
          <w:bCs/>
          <w:lang w:val="es-ES"/>
        </w:rPr>
      </w:pPr>
      <w:r w:rsidRPr="000D17D4">
        <w:rPr>
          <w:rFonts w:ascii="Verdana" w:eastAsia="Calibri" w:hAnsi="Verdana" w:cs="Arial"/>
          <w:b/>
          <w:bCs/>
        </w:rPr>
        <w:t>5</w:t>
      </w:r>
      <w:r w:rsidRPr="000D17D4">
        <w:rPr>
          <w:rFonts w:ascii="Verdana" w:eastAsia="Calibri" w:hAnsi="Verdana" w:cs="Arial"/>
        </w:rPr>
        <w:t>.</w:t>
      </w:r>
      <w:r w:rsidRPr="000D17D4">
        <w:rPr>
          <w:rFonts w:ascii="Verdana" w:eastAsia="Century Gothic" w:hAnsi="Verdana" w:cs="Century Gothic"/>
          <w:b/>
          <w:bCs/>
          <w:lang w:val="es-ES"/>
        </w:rPr>
        <w:t>Doctrina de la Agencia Nacional de Contratación Pública:</w:t>
      </w:r>
    </w:p>
    <w:p w14:paraId="3C3C0771" w14:textId="77777777" w:rsidR="000D17D4" w:rsidRPr="000D17D4" w:rsidRDefault="000D17D4" w:rsidP="000D17D4">
      <w:pPr>
        <w:widowControl w:val="0"/>
        <w:autoSpaceDE w:val="0"/>
        <w:autoSpaceDN w:val="0"/>
        <w:spacing w:after="0" w:line="276" w:lineRule="auto"/>
        <w:jc w:val="both"/>
        <w:rPr>
          <w:rFonts w:ascii="Verdana" w:eastAsia="Calibri" w:hAnsi="Verdana" w:cs="Arial"/>
        </w:rPr>
      </w:pPr>
    </w:p>
    <w:p w14:paraId="65F63CA9" w14:textId="77777777" w:rsidR="000D17D4" w:rsidRPr="000D17D4" w:rsidRDefault="000D17D4" w:rsidP="000D17D4">
      <w:pPr>
        <w:spacing w:after="0" w:line="276" w:lineRule="auto"/>
        <w:jc w:val="both"/>
        <w:rPr>
          <w:rFonts w:ascii="Verdana" w:eastAsia="Calibri" w:hAnsi="Verdana" w:cs="Arial"/>
          <w:kern w:val="2"/>
          <w:lang w:val="es-ES"/>
          <w14:ligatures w14:val="standardContextual"/>
        </w:rPr>
      </w:pPr>
      <w:r w:rsidRPr="000D17D4">
        <w:rPr>
          <w:rFonts w:ascii="Verdana" w:eastAsia="Calibri" w:hAnsi="Verdana" w:cs="Arial"/>
          <w:kern w:val="2"/>
          <w:shd w:val="clear" w:color="auto" w:fill="FFFFFF"/>
          <w:lang w:val="es-ES"/>
          <w14:ligatures w14:val="standardContextual"/>
        </w:rPr>
        <w:t>La Agencia Nacional de Contratación Pública – Colombia Compra Eficiente se pronunció</w:t>
      </w:r>
      <w:r w:rsidRPr="000D17D4">
        <w:rPr>
          <w:rFonts w:ascii="Verdana" w:eastAsia="Calibri" w:hAnsi="Verdana" w:cs="Times New Roman"/>
          <w:kern w:val="2"/>
          <w14:ligatures w14:val="standardContextual"/>
        </w:rPr>
        <w:t xml:space="preserve"> </w:t>
      </w:r>
      <w:r w:rsidRPr="000D17D4">
        <w:rPr>
          <w:rFonts w:ascii="Verdana" w:eastAsia="Calibri" w:hAnsi="Verdana" w:cs="Arial"/>
          <w:kern w:val="2"/>
          <w:shd w:val="clear" w:color="auto" w:fill="FFFFFF"/>
          <w:lang w:val="es-ES"/>
          <w14:ligatures w14:val="standardContextual"/>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0D17D4">
        <w:rPr>
          <w:rFonts w:ascii="Verdana" w:eastAsia="Calibri" w:hAnsi="Verdana" w:cs="Arial"/>
          <w:kern w:val="2"/>
          <w:shd w:val="clear" w:color="auto" w:fill="FFFFFF"/>
          <w:lang w:val="es-ES"/>
          <w14:ligatures w14:val="standardContextual"/>
        </w:rPr>
        <w:tab/>
        <w:t xml:space="preserve">C-636 del 1 de noviembre de 2024, C-777 del 9 de diciembre de 2024, C-971 del 21 de enero de 2025 y C-1813 del 31 de diciembre de 2025, entre otros. </w:t>
      </w:r>
    </w:p>
    <w:p w14:paraId="32820B98" w14:textId="77777777" w:rsidR="000D17D4" w:rsidRPr="000D17D4" w:rsidRDefault="000D17D4" w:rsidP="000D17D4">
      <w:pPr>
        <w:spacing w:after="0" w:line="240" w:lineRule="auto"/>
        <w:jc w:val="both"/>
        <w:rPr>
          <w:rFonts w:ascii="Verdana" w:eastAsia="Calibri" w:hAnsi="Verdana" w:cs="Arial"/>
          <w:color w:val="000000"/>
          <w:shd w:val="clear" w:color="auto" w:fill="FFFFFF"/>
        </w:rPr>
      </w:pPr>
    </w:p>
    <w:p w14:paraId="420384C9" w14:textId="77777777" w:rsidR="000D17D4" w:rsidRPr="000D17D4" w:rsidRDefault="000D17D4" w:rsidP="000D17D4">
      <w:pPr>
        <w:widowControl w:val="0"/>
        <w:autoSpaceDE w:val="0"/>
        <w:autoSpaceDN w:val="0"/>
        <w:spacing w:after="0" w:line="276" w:lineRule="auto"/>
        <w:jc w:val="both"/>
        <w:rPr>
          <w:rFonts w:ascii="Verdana" w:eastAsia="Calibri" w:hAnsi="Verdana" w:cs="Arial"/>
          <w:color w:val="0000FF"/>
          <w:u w:val="single"/>
          <w:shd w:val="clear" w:color="auto" w:fill="FFFFFF"/>
        </w:rPr>
      </w:pPr>
      <w:r w:rsidRPr="000D17D4">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5" w:tgtFrame="_blank" w:tooltip="Dirección URL original: https://relatoria.colombiacompra.gov.co/. Haga clic o pulse si confía en este vínculo." w:history="1">
        <w:r w:rsidRPr="000D17D4">
          <w:rPr>
            <w:rFonts w:ascii="Verdana" w:eastAsia="Calibri" w:hAnsi="Verdana" w:cs="Arial"/>
            <w:color w:val="0000FF"/>
            <w:u w:val="single"/>
            <w:shd w:val="clear" w:color="auto" w:fill="FFFFFF"/>
          </w:rPr>
          <w:t>https://relatoria.colombiacompra.gov.co/</w:t>
        </w:r>
      </w:hyperlink>
      <w:r w:rsidRPr="000D17D4">
        <w:rPr>
          <w:rFonts w:ascii="Verdana" w:eastAsia="Calibri" w:hAnsi="Verdana" w:cs="Arial"/>
          <w:color w:val="0000FF"/>
          <w:u w:val="single"/>
          <w:shd w:val="clear" w:color="auto" w:fill="FFFFFF"/>
        </w:rPr>
        <w:t> .</w:t>
      </w:r>
    </w:p>
    <w:p w14:paraId="1C09E033" w14:textId="77777777" w:rsidR="000D17D4" w:rsidRPr="000D17D4" w:rsidRDefault="000D17D4" w:rsidP="000D17D4">
      <w:pPr>
        <w:widowControl w:val="0"/>
        <w:autoSpaceDE w:val="0"/>
        <w:autoSpaceDN w:val="0"/>
        <w:spacing w:after="0" w:line="276" w:lineRule="auto"/>
        <w:jc w:val="both"/>
        <w:rPr>
          <w:rFonts w:ascii="Verdana" w:eastAsia="Times New Roman" w:hAnsi="Verdana" w:cs="Arial"/>
          <w:shd w:val="clear" w:color="auto" w:fill="FFFFFF"/>
          <w:lang w:val="es-ES"/>
        </w:rPr>
      </w:pPr>
    </w:p>
    <w:p w14:paraId="6C0B6E88" w14:textId="77777777" w:rsidR="00F478F1" w:rsidRDefault="00F478F1" w:rsidP="00F478F1">
      <w:pPr>
        <w:spacing w:after="0"/>
        <w:jc w:val="both"/>
        <w:rPr>
          <w:rFonts w:ascii="Arial" w:hAnsi="Arial" w:cs="Arial"/>
        </w:rPr>
      </w:pPr>
      <w:r w:rsidRPr="00F478F1">
        <w:rPr>
          <w:rFonts w:ascii="Arial" w:hAnsi="Arial" w:cs="Arial"/>
        </w:rPr>
        <w:t xml:space="preserve">La sostenibilidad no es una opción, es una obligación. Por ello, la Agencia Nacional de Contratación Pública –Colombia Compra Eficiente– te invita a realizar el </w:t>
      </w:r>
      <w:r w:rsidRPr="00F478F1">
        <w:rPr>
          <w:rFonts w:ascii="Arial" w:hAnsi="Arial" w:cs="Arial"/>
          <w:b/>
          <w:bCs/>
        </w:rPr>
        <w:t>Curso de Contratación Pública Sostenible y Socialmente Responsable</w:t>
      </w:r>
      <w:r w:rsidRPr="00F478F1">
        <w:rPr>
          <w:rFonts w:ascii="Arial" w:hAnsi="Arial"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F478F1">
        <w:rPr>
          <w:rFonts w:ascii="Arial" w:hAnsi="Arial" w:cs="Arial"/>
        </w:rPr>
        <w:br/>
      </w:r>
      <w:hyperlink r:id="rId16" w:tgtFrame="_new" w:history="1">
        <w:r w:rsidRPr="00F478F1">
          <w:rPr>
            <w:rStyle w:val="Hipervnculo"/>
            <w:rFonts w:ascii="Arial" w:hAnsi="Arial" w:cs="Arial"/>
          </w:rPr>
          <w:t>https://formacionvirtual.colombiacompra.gov.co/mod/page/view.php?id=3718</w:t>
        </w:r>
      </w:hyperlink>
    </w:p>
    <w:p w14:paraId="7E4EAA8A" w14:textId="77777777" w:rsidR="008873A8" w:rsidRPr="00F478F1" w:rsidRDefault="008873A8" w:rsidP="00F478F1">
      <w:pPr>
        <w:spacing w:after="0"/>
        <w:jc w:val="both"/>
        <w:rPr>
          <w:rFonts w:ascii="Arial" w:hAnsi="Arial" w:cs="Arial"/>
        </w:rPr>
      </w:pPr>
    </w:p>
    <w:p w14:paraId="0D9C501E" w14:textId="77777777" w:rsidR="00F478F1" w:rsidRDefault="00F478F1" w:rsidP="00F478F1">
      <w:pPr>
        <w:spacing w:after="0"/>
        <w:jc w:val="both"/>
        <w:rPr>
          <w:rFonts w:ascii="Arial" w:hAnsi="Arial" w:cs="Arial"/>
        </w:rPr>
      </w:pPr>
      <w:r w:rsidRPr="00F478F1">
        <w:rPr>
          <w:rFonts w:ascii="Arial" w:hAnsi="Arial" w:cs="Arial"/>
        </w:rPr>
        <w:t xml:space="preserve">De otro lado, te contamos que esta Agencia ha da un paso decisivo en la estandarización y modernización del </w:t>
      </w:r>
      <w:r w:rsidRPr="00F478F1">
        <w:rPr>
          <w:rFonts w:ascii="Arial" w:hAnsi="Arial" w:cs="Arial"/>
          <w:b/>
          <w:bCs/>
        </w:rPr>
        <w:t>sector  social</w:t>
      </w:r>
      <w:r w:rsidRPr="00F478F1">
        <w:rPr>
          <w:rFonts w:ascii="Arial" w:hAnsi="Arial" w:cs="Arial"/>
        </w:rPr>
        <w:t xml:space="preserve"> con la expedición de las </w:t>
      </w:r>
      <w:r w:rsidRPr="00F478F1">
        <w:rPr>
          <w:rFonts w:ascii="Arial" w:hAnsi="Arial" w:cs="Arial"/>
          <w:b/>
          <w:bCs/>
        </w:rPr>
        <w:t>Resoluciones 539, 540, 541, 952 y 953 de 2025</w:t>
      </w:r>
      <w:r w:rsidRPr="00F478F1">
        <w:rPr>
          <w:rFonts w:ascii="Arial" w:hAnsi="Arial" w:cs="Arial"/>
        </w:rPr>
        <w:t xml:space="preserve">, </w:t>
      </w:r>
      <w:r w:rsidRPr="00F478F1">
        <w:rPr>
          <w:rFonts w:ascii="Arial" w:hAnsi="Arial" w:cs="Arial"/>
          <w:b/>
          <w:bCs/>
        </w:rPr>
        <w:t>mediante las cuales adoptó Documentos Tipo</w:t>
      </w:r>
      <w:r w:rsidRPr="00F478F1">
        <w:rPr>
          <w:rFonts w:ascii="Arial" w:hAnsi="Arial" w:cs="Arial"/>
        </w:rPr>
        <w:t xml:space="preserve"> para las modalidades de selección de</w:t>
      </w:r>
      <w:r w:rsidRPr="00F478F1">
        <w:rPr>
          <w:rFonts w:ascii="Arial" w:hAnsi="Arial" w:cs="Arial"/>
          <w:b/>
          <w:bCs/>
        </w:rPr>
        <w:t xml:space="preserve"> licitación pública (versión 2), selección abreviada de menor cuantía, mínima cuantía, consultoría e interventoría</w:t>
      </w:r>
      <w:r w:rsidRPr="00F478F1">
        <w:rPr>
          <w:rFonts w:ascii="Arial" w:hAnsi="Arial" w:cs="Arial"/>
        </w:rPr>
        <w:t xml:space="preserve">, promoviendo procesos más transparentes, eficientes  competitivos y sostenibles en sectores estratégicos como educación, salud, cultura, recreación, deporte, institucional y vivienda. Consulta y descarga los documentos aquí: </w:t>
      </w:r>
      <w:hyperlink r:id="rId17" w:tgtFrame="_new" w:history="1">
        <w:r w:rsidRPr="00F478F1">
          <w:rPr>
            <w:rStyle w:val="Hipervnculo"/>
            <w:rFonts w:ascii="Arial" w:hAnsi="Arial" w:cs="Arial"/>
          </w:rPr>
          <w:t>https://www.colombiacompra.gov.co/normativa-y-relatoria/documentos-tipo</w:t>
        </w:r>
      </w:hyperlink>
    </w:p>
    <w:p w14:paraId="7C751058" w14:textId="77777777" w:rsidR="008873A8" w:rsidRPr="00F478F1" w:rsidRDefault="008873A8" w:rsidP="00F478F1">
      <w:pPr>
        <w:spacing w:after="0"/>
        <w:jc w:val="both"/>
        <w:rPr>
          <w:rFonts w:ascii="Arial" w:hAnsi="Arial" w:cs="Arial"/>
        </w:rPr>
      </w:pPr>
    </w:p>
    <w:p w14:paraId="40BA5A5A" w14:textId="77777777" w:rsidR="00F478F1" w:rsidRPr="00F478F1" w:rsidRDefault="00F478F1" w:rsidP="00F478F1">
      <w:pPr>
        <w:spacing w:after="0"/>
        <w:jc w:val="both"/>
        <w:rPr>
          <w:rFonts w:ascii="Arial" w:hAnsi="Arial" w:cs="Arial"/>
        </w:rPr>
      </w:pPr>
      <w:r w:rsidRPr="00F478F1">
        <w:rPr>
          <w:rFonts w:ascii="Arial" w:hAnsi="Arial" w:cs="Arial"/>
        </w:rPr>
        <w:t xml:space="preserve">Si quieres conocer más sobre la aplicación de Documentos Tipo puedes consultar la última versión de la </w:t>
      </w:r>
      <w:r w:rsidRPr="00F478F1">
        <w:rPr>
          <w:rFonts w:ascii="Arial" w:hAnsi="Arial" w:cs="Arial"/>
          <w:b/>
          <w:bCs/>
        </w:rPr>
        <w:t>Guía para la comprensión e implementación de los Documentos Tipo de obra pública de infraestructura de transporte</w:t>
      </w:r>
      <w:r w:rsidRPr="00F478F1">
        <w:rPr>
          <w:rFonts w:ascii="Arial" w:hAnsi="Arial"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F478F1">
        <w:rPr>
          <w:rFonts w:ascii="Arial" w:hAnsi="Arial" w:cs="Arial"/>
        </w:rPr>
        <w:br/>
      </w:r>
      <w:hyperlink r:id="rId18" w:tgtFrame="_new" w:history="1">
        <w:r w:rsidRPr="00F478F1">
          <w:rPr>
            <w:rStyle w:val="Hipervnculo"/>
            <w:rFonts w:ascii="Arial" w:hAnsi="Arial" w:cs="Arial"/>
          </w:rPr>
          <w:t>https://www.colombiacompra.gov.co/archivos/manual/guia-para-la-comprension-e-implementacion-de-los-documentos-tipo-de-obra-publica-de-infraestructura-de-transporte-bajo-las-diferentes-modalidades-de-contratacion-vigentes</w:t>
        </w:r>
      </w:hyperlink>
    </w:p>
    <w:p w14:paraId="65260A16" w14:textId="77777777" w:rsidR="000D17D4" w:rsidRPr="00F478F1" w:rsidRDefault="000D17D4" w:rsidP="00F478F1">
      <w:pPr>
        <w:spacing w:after="0"/>
        <w:jc w:val="both"/>
        <w:rPr>
          <w:rFonts w:ascii="Verdana" w:eastAsia="Aptos" w:hAnsi="Verdana" w:cs="Times New Roman"/>
          <w:color w:val="212121"/>
        </w:rPr>
      </w:pPr>
    </w:p>
    <w:p w14:paraId="7F5DC9A0" w14:textId="77777777" w:rsidR="000D17D4" w:rsidRPr="000D17D4" w:rsidRDefault="000D17D4" w:rsidP="00F478F1">
      <w:pPr>
        <w:spacing w:after="0" w:line="240" w:lineRule="auto"/>
        <w:jc w:val="both"/>
        <w:rPr>
          <w:rFonts w:ascii="Verdana" w:eastAsia="Calibri" w:hAnsi="Verdana" w:cs="Times New Roman"/>
        </w:rPr>
      </w:pPr>
      <w:r w:rsidRPr="000D17D4">
        <w:rPr>
          <w:rFonts w:ascii="Verdana" w:eastAsia="Aptos" w:hAnsi="Verdana" w:cs="Times New Roman"/>
        </w:rPr>
        <w:t xml:space="preserve">Por último, lo invitamos a seguirnos en las redes sociales en las cuales se difunde información institucional: </w:t>
      </w:r>
    </w:p>
    <w:p w14:paraId="4C0D04F2" w14:textId="77777777" w:rsidR="000D17D4" w:rsidRPr="000D17D4" w:rsidRDefault="000D17D4" w:rsidP="00F478F1">
      <w:pPr>
        <w:spacing w:after="0" w:line="240" w:lineRule="auto"/>
        <w:jc w:val="both"/>
        <w:rPr>
          <w:rFonts w:ascii="Verdana" w:eastAsia="Aptos" w:hAnsi="Verdana" w:cs="Times New Roman"/>
        </w:rPr>
      </w:pPr>
    </w:p>
    <w:p w14:paraId="2A83A1A4" w14:textId="77777777" w:rsidR="000D17D4" w:rsidRPr="000D17D4" w:rsidRDefault="000D17D4" w:rsidP="000D17D4">
      <w:pPr>
        <w:spacing w:after="0" w:line="240" w:lineRule="auto"/>
        <w:jc w:val="both"/>
        <w:rPr>
          <w:rFonts w:ascii="Verdana" w:eastAsia="Aptos" w:hAnsi="Verdana" w:cs="Times New Roman"/>
        </w:rPr>
      </w:pPr>
      <w:r w:rsidRPr="000D17D4">
        <w:rPr>
          <w:rFonts w:ascii="Verdana" w:eastAsia="Aptos" w:hAnsi="Verdana" w:cs="Times New Roman"/>
        </w:rPr>
        <w:lastRenderedPageBreak/>
        <w:t xml:space="preserve">Twitter: </w:t>
      </w:r>
      <w:r w:rsidRPr="000D17D4">
        <w:rPr>
          <w:rFonts w:ascii="Verdana" w:eastAsia="Calibri" w:hAnsi="Verdana" w:cs="Times New Roman"/>
          <w:color w:val="156082"/>
          <w:u w:val="single"/>
        </w:rPr>
        <w:t>@colombiacompra</w:t>
      </w:r>
      <w:r w:rsidRPr="000D17D4">
        <w:rPr>
          <w:rFonts w:ascii="Verdana" w:eastAsia="Calibri" w:hAnsi="Verdana" w:cs="Times New Roman"/>
          <w:color w:val="156082"/>
        </w:rPr>
        <w:t xml:space="preserve"> </w:t>
      </w:r>
    </w:p>
    <w:p w14:paraId="16DCCF5F" w14:textId="77777777" w:rsidR="000D17D4" w:rsidRPr="000D17D4" w:rsidRDefault="000D17D4" w:rsidP="000D17D4">
      <w:pPr>
        <w:spacing w:after="0" w:line="240" w:lineRule="auto"/>
        <w:jc w:val="both"/>
        <w:rPr>
          <w:rFonts w:ascii="Verdana" w:eastAsia="Aptos" w:hAnsi="Verdana" w:cs="Times New Roman"/>
        </w:rPr>
      </w:pPr>
      <w:r w:rsidRPr="000D17D4">
        <w:rPr>
          <w:rFonts w:ascii="Verdana" w:eastAsia="Aptos" w:hAnsi="Verdana" w:cs="Times New Roman"/>
        </w:rPr>
        <w:t xml:space="preserve">Facebook: </w:t>
      </w:r>
      <w:proofErr w:type="spellStart"/>
      <w:r w:rsidRPr="000D17D4">
        <w:rPr>
          <w:rFonts w:ascii="Verdana" w:eastAsia="Calibri" w:hAnsi="Verdana" w:cs="Times New Roman"/>
          <w:color w:val="156082"/>
          <w:u w:val="single"/>
        </w:rPr>
        <w:t>ColombiaCompraEficiente</w:t>
      </w:r>
      <w:proofErr w:type="spellEnd"/>
    </w:p>
    <w:p w14:paraId="300C2B3B" w14:textId="77777777" w:rsidR="000D17D4" w:rsidRPr="000D17D4" w:rsidRDefault="000D17D4" w:rsidP="000D17D4">
      <w:pPr>
        <w:spacing w:after="0" w:line="240" w:lineRule="auto"/>
        <w:jc w:val="both"/>
        <w:rPr>
          <w:rFonts w:ascii="Verdana" w:eastAsia="Aptos" w:hAnsi="Verdana" w:cs="Times New Roman"/>
        </w:rPr>
      </w:pPr>
      <w:r w:rsidRPr="000D17D4">
        <w:rPr>
          <w:rFonts w:ascii="Verdana" w:eastAsia="Aptos" w:hAnsi="Verdana" w:cs="Times New Roman"/>
        </w:rPr>
        <w:t xml:space="preserve">LinkedIn: </w:t>
      </w:r>
      <w:r w:rsidRPr="000D17D4">
        <w:rPr>
          <w:rFonts w:ascii="Verdana" w:eastAsia="Calibri" w:hAnsi="Verdana" w:cs="Times New Roman"/>
          <w:color w:val="156082"/>
          <w:u w:val="single"/>
        </w:rPr>
        <w:t>Agencia Nacional de Contratación Pública - Colombia Compra Eficiente</w:t>
      </w:r>
      <w:r w:rsidRPr="000D17D4">
        <w:rPr>
          <w:rFonts w:ascii="Verdana" w:eastAsia="Calibri" w:hAnsi="Verdana" w:cs="Times New Roman"/>
          <w:color w:val="156082"/>
        </w:rPr>
        <w:t xml:space="preserve"> </w:t>
      </w:r>
      <w:r w:rsidRPr="000D17D4">
        <w:rPr>
          <w:rFonts w:ascii="Verdana" w:eastAsia="Aptos" w:hAnsi="Verdana" w:cs="Times New Roman"/>
        </w:rPr>
        <w:t xml:space="preserve">Instagram: </w:t>
      </w:r>
      <w:r w:rsidRPr="000D17D4">
        <w:rPr>
          <w:rFonts w:ascii="Verdana" w:eastAsia="Calibri" w:hAnsi="Verdana" w:cs="Times New Roman"/>
          <w:color w:val="156082"/>
          <w:u w:val="single"/>
        </w:rPr>
        <w:t>@colombiacompraeficiente_cce</w:t>
      </w:r>
    </w:p>
    <w:p w14:paraId="5DE3475B" w14:textId="77777777" w:rsidR="000D17D4" w:rsidRPr="000D17D4" w:rsidRDefault="000D17D4" w:rsidP="000D17D4">
      <w:pPr>
        <w:spacing w:after="0" w:line="276" w:lineRule="auto"/>
        <w:jc w:val="both"/>
        <w:rPr>
          <w:rFonts w:ascii="Verdana" w:eastAsia="Aptos" w:hAnsi="Verdana" w:cs="Times New Roman"/>
        </w:rPr>
      </w:pPr>
    </w:p>
    <w:p w14:paraId="73354E7D" w14:textId="77777777" w:rsidR="000D17D4" w:rsidRPr="000D17D4" w:rsidRDefault="000D17D4" w:rsidP="000D17D4">
      <w:pPr>
        <w:spacing w:after="0" w:line="276" w:lineRule="auto"/>
        <w:jc w:val="both"/>
        <w:rPr>
          <w:rFonts w:ascii="Verdana" w:eastAsia="Calibri" w:hAnsi="Verdana" w:cs="Times New Roman"/>
          <w:bCs/>
          <w:lang w:val="es-ES_tradnl"/>
        </w:rPr>
      </w:pPr>
      <w:r w:rsidRPr="000D17D4">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F1108D8" w14:textId="77777777" w:rsidR="000D17D4" w:rsidRPr="000D17D4" w:rsidRDefault="000D17D4" w:rsidP="000D17D4">
      <w:pPr>
        <w:spacing w:after="0" w:line="276" w:lineRule="auto"/>
        <w:jc w:val="both"/>
        <w:rPr>
          <w:rFonts w:ascii="Verdana" w:eastAsia="Calibri" w:hAnsi="Verdana" w:cs="Times New Roman"/>
        </w:rPr>
      </w:pPr>
    </w:p>
    <w:p w14:paraId="2B8D34FD" w14:textId="77777777" w:rsidR="000D17D4" w:rsidRPr="000D17D4" w:rsidRDefault="000D17D4" w:rsidP="000D17D4">
      <w:pPr>
        <w:spacing w:after="0" w:line="276" w:lineRule="auto"/>
        <w:jc w:val="both"/>
        <w:rPr>
          <w:rFonts w:ascii="Verdana" w:eastAsia="Calibri" w:hAnsi="Verdana" w:cs="Times New Roman"/>
        </w:rPr>
      </w:pPr>
      <w:r w:rsidRPr="000D17D4">
        <w:rPr>
          <w:rFonts w:ascii="Verdana" w:eastAsia="Calibri" w:hAnsi="Verdana" w:cs="Times New Roman"/>
        </w:rPr>
        <w:t>Atentamente,</w:t>
      </w:r>
    </w:p>
    <w:p w14:paraId="6336A4AD" w14:textId="4BD26531" w:rsidR="000D17D4" w:rsidRPr="000D17D4" w:rsidRDefault="00AB6F6D" w:rsidP="000D17D4">
      <w:pPr>
        <w:tabs>
          <w:tab w:val="left" w:pos="1320"/>
        </w:tabs>
        <w:jc w:val="center"/>
        <w:rPr>
          <w:rFonts w:ascii="Century Gothic" w:eastAsia="Calibri" w:hAnsi="Century Gothic" w:cs="Times New Roman"/>
        </w:rPr>
      </w:pPr>
      <w:r w:rsidRPr="004D5C25">
        <w:rPr>
          <w:rFonts w:ascii="Century Gothic" w:hAnsi="Century Gothic"/>
          <w:noProof/>
        </w:rPr>
        <w:drawing>
          <wp:inline distT="0" distB="0" distL="0" distR="0" wp14:anchorId="6180F226" wp14:editId="2AD6847B">
            <wp:extent cx="2495081" cy="1071154"/>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9"/>
                    <a:stretch>
                      <a:fillRect/>
                    </a:stretch>
                  </pic:blipFill>
                  <pic:spPr>
                    <a:xfrm>
                      <a:off x="0" y="0"/>
                      <a:ext cx="2556117" cy="1097357"/>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0D17D4" w:rsidRPr="000D17D4" w14:paraId="06458A98" w14:textId="77777777" w:rsidTr="00F41355">
        <w:trPr>
          <w:trHeight w:val="323"/>
        </w:trPr>
        <w:tc>
          <w:tcPr>
            <w:tcW w:w="1041" w:type="dxa"/>
            <w:vAlign w:val="center"/>
            <w:hideMark/>
          </w:tcPr>
          <w:p w14:paraId="425867B9" w14:textId="77777777" w:rsidR="000D17D4" w:rsidRPr="000D17D4" w:rsidRDefault="000D17D4" w:rsidP="000D17D4">
            <w:pPr>
              <w:rPr>
                <w:rFonts w:ascii="Verdana" w:eastAsia="Calibri" w:hAnsi="Verdana" w:cs="Arial"/>
                <w:sz w:val="16"/>
                <w:szCs w:val="16"/>
                <w:lang w:val="es-ES_tradnl" w:eastAsia="es-ES"/>
              </w:rPr>
            </w:pPr>
            <w:r w:rsidRPr="000D17D4">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54900D1B" w14:textId="77777777" w:rsidR="000D17D4" w:rsidRPr="000D17D4" w:rsidRDefault="000D17D4" w:rsidP="000D17D4">
            <w:pPr>
              <w:rPr>
                <w:rFonts w:ascii="Verdana" w:eastAsia="Arial" w:hAnsi="Verdana" w:cs="Arial"/>
                <w:sz w:val="16"/>
                <w:szCs w:val="16"/>
                <w:lang w:val="es-ES"/>
              </w:rPr>
            </w:pPr>
            <w:r w:rsidRPr="000D17D4">
              <w:rPr>
                <w:rFonts w:ascii="Verdana" w:eastAsia="Arial" w:hAnsi="Verdana" w:cs="Arial"/>
                <w:sz w:val="16"/>
                <w:szCs w:val="16"/>
                <w:lang w:val="es-ES"/>
              </w:rPr>
              <w:t xml:space="preserve">Carlos Mario Castrillón Endo </w:t>
            </w:r>
          </w:p>
          <w:p w14:paraId="3553AA0A" w14:textId="77777777" w:rsidR="000D17D4" w:rsidRPr="000D17D4" w:rsidRDefault="000D17D4" w:rsidP="000D17D4">
            <w:pPr>
              <w:rPr>
                <w:rFonts w:ascii="Verdana" w:eastAsia="Arial" w:hAnsi="Verdana" w:cs="Arial"/>
                <w:sz w:val="16"/>
                <w:szCs w:val="16"/>
                <w:lang w:val="es-ES_tradnl"/>
              </w:rPr>
            </w:pPr>
            <w:r w:rsidRPr="000D17D4">
              <w:rPr>
                <w:rFonts w:ascii="Verdana" w:eastAsia="Arial" w:hAnsi="Verdana" w:cs="Arial"/>
                <w:sz w:val="16"/>
                <w:szCs w:val="16"/>
                <w:lang w:val="es-ES_tradnl"/>
              </w:rPr>
              <w:t>Contratista de la Subdirección de Gestión Contractual</w:t>
            </w:r>
          </w:p>
          <w:p w14:paraId="65AF0451" w14:textId="77777777" w:rsidR="000D17D4" w:rsidRPr="000D17D4" w:rsidRDefault="000D17D4" w:rsidP="000D17D4">
            <w:pPr>
              <w:rPr>
                <w:rFonts w:ascii="Verdana" w:eastAsia="Arial" w:hAnsi="Verdana" w:cs="Arial"/>
                <w:sz w:val="16"/>
                <w:szCs w:val="16"/>
                <w:lang w:val="es-ES_tradnl"/>
              </w:rPr>
            </w:pPr>
          </w:p>
        </w:tc>
      </w:tr>
      <w:tr w:rsidR="000D17D4" w:rsidRPr="000D17D4" w14:paraId="1A747E16" w14:textId="77777777" w:rsidTr="00F41355">
        <w:trPr>
          <w:trHeight w:val="338"/>
        </w:trPr>
        <w:tc>
          <w:tcPr>
            <w:tcW w:w="1041" w:type="dxa"/>
            <w:vAlign w:val="center"/>
            <w:hideMark/>
          </w:tcPr>
          <w:p w14:paraId="34E2A3AA" w14:textId="77777777" w:rsidR="000D17D4" w:rsidRPr="000D17D4" w:rsidRDefault="000D17D4" w:rsidP="000D17D4">
            <w:pPr>
              <w:rPr>
                <w:rFonts w:ascii="Verdana" w:eastAsia="Calibri" w:hAnsi="Verdana" w:cs="Arial"/>
                <w:sz w:val="16"/>
                <w:szCs w:val="16"/>
                <w:lang w:val="es-ES_tradnl" w:eastAsia="es-ES"/>
              </w:rPr>
            </w:pPr>
            <w:r w:rsidRPr="000D17D4">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75AD7E4E" w14:textId="77777777" w:rsidR="000D17D4" w:rsidRPr="000D17D4" w:rsidRDefault="000D17D4" w:rsidP="000D17D4">
            <w:pPr>
              <w:rPr>
                <w:rFonts w:ascii="Verdana" w:eastAsia="Arial" w:hAnsi="Verdana" w:cs="Arial"/>
                <w:sz w:val="16"/>
                <w:szCs w:val="16"/>
                <w:lang w:val="es-ES"/>
              </w:rPr>
            </w:pPr>
            <w:r w:rsidRPr="000D17D4">
              <w:rPr>
                <w:rFonts w:ascii="Verdana" w:eastAsia="Arial" w:hAnsi="Verdana" w:cs="Arial"/>
                <w:sz w:val="16"/>
                <w:szCs w:val="16"/>
                <w:lang w:val="es-ES"/>
              </w:rPr>
              <w:t xml:space="preserve">Juan David Cárdenas Cabeza </w:t>
            </w:r>
          </w:p>
          <w:p w14:paraId="1BD37677" w14:textId="77777777" w:rsidR="000D17D4" w:rsidRPr="000D17D4" w:rsidRDefault="000D17D4" w:rsidP="000D17D4">
            <w:pPr>
              <w:rPr>
                <w:rFonts w:ascii="Verdana" w:eastAsia="Arial" w:hAnsi="Verdana" w:cs="Arial"/>
                <w:sz w:val="16"/>
                <w:szCs w:val="16"/>
                <w:lang w:val="es-ES_tradnl"/>
              </w:rPr>
            </w:pPr>
            <w:r w:rsidRPr="000D17D4">
              <w:rPr>
                <w:rFonts w:ascii="Verdana" w:eastAsia="Arial" w:hAnsi="Verdana" w:cs="Arial"/>
                <w:sz w:val="16"/>
                <w:szCs w:val="16"/>
                <w:lang w:val="es-ES_tradnl"/>
              </w:rPr>
              <w:t>Contratista de la Subdirección de Gestión Contractual</w:t>
            </w:r>
          </w:p>
        </w:tc>
      </w:tr>
      <w:tr w:rsidR="000D17D4" w:rsidRPr="000D17D4" w14:paraId="4BD58D99" w14:textId="77777777" w:rsidTr="00F41355">
        <w:trPr>
          <w:trHeight w:val="308"/>
        </w:trPr>
        <w:tc>
          <w:tcPr>
            <w:tcW w:w="1041" w:type="dxa"/>
            <w:vAlign w:val="center"/>
          </w:tcPr>
          <w:p w14:paraId="0215D715" w14:textId="77777777" w:rsidR="000D17D4" w:rsidRPr="000D17D4" w:rsidRDefault="000D17D4" w:rsidP="000D17D4">
            <w:pPr>
              <w:rPr>
                <w:rFonts w:ascii="Verdana" w:eastAsia="Calibri" w:hAnsi="Verdana" w:cs="Arial"/>
                <w:sz w:val="16"/>
                <w:szCs w:val="16"/>
                <w:lang w:val="es-ES_tradnl" w:eastAsia="es-ES"/>
              </w:rPr>
            </w:pPr>
            <w:r w:rsidRPr="000D17D4">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1AE8DFE0" w14:textId="77777777" w:rsidR="000D17D4" w:rsidRPr="000D17D4" w:rsidRDefault="000D17D4" w:rsidP="000D17D4">
            <w:pPr>
              <w:rPr>
                <w:rFonts w:ascii="Verdana" w:eastAsia="Calibri" w:hAnsi="Verdana" w:cs="Arial"/>
                <w:sz w:val="16"/>
                <w:szCs w:val="16"/>
                <w:lang w:val="es-ES" w:eastAsia="es-ES"/>
              </w:rPr>
            </w:pPr>
            <w:r w:rsidRPr="000D17D4">
              <w:rPr>
                <w:rFonts w:ascii="Verdana" w:eastAsia="Calibri" w:hAnsi="Verdana" w:cs="Arial"/>
                <w:sz w:val="16"/>
                <w:szCs w:val="16"/>
                <w:lang w:val="es-ES" w:eastAsia="es-ES"/>
              </w:rPr>
              <w:t>Carolina Quintero Gacharná</w:t>
            </w:r>
          </w:p>
          <w:p w14:paraId="72E16466" w14:textId="77777777" w:rsidR="000D17D4" w:rsidRPr="000D17D4" w:rsidRDefault="000D17D4" w:rsidP="000D17D4">
            <w:pPr>
              <w:rPr>
                <w:rFonts w:ascii="Verdana" w:eastAsia="Calibri" w:hAnsi="Verdana" w:cs="Arial"/>
                <w:sz w:val="16"/>
                <w:szCs w:val="16"/>
                <w:lang w:val="es-ES_tradnl" w:eastAsia="es-ES"/>
              </w:rPr>
            </w:pPr>
            <w:r w:rsidRPr="000D17D4">
              <w:rPr>
                <w:rFonts w:ascii="Verdana" w:eastAsia="Calibri" w:hAnsi="Verdana" w:cs="Arial"/>
                <w:sz w:val="16"/>
                <w:szCs w:val="16"/>
                <w:lang w:val="es-ES_tradnl" w:eastAsia="es-ES"/>
              </w:rPr>
              <w:t>Subdirectora de Gestión Contractual ANCP – CCE</w:t>
            </w:r>
          </w:p>
        </w:tc>
      </w:tr>
      <w:bookmarkEnd w:id="0"/>
    </w:tbl>
    <w:p w14:paraId="0F293BF4" w14:textId="66196A44" w:rsidR="00127233" w:rsidRPr="00A45589" w:rsidRDefault="00127233" w:rsidP="00A45589"/>
    <w:sectPr w:rsidR="00127233" w:rsidRPr="00A45589"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535583" w14:textId="77777777" w:rsidR="00220C79" w:rsidRDefault="00220C79" w:rsidP="004A1847">
      <w:pPr>
        <w:spacing w:after="0" w:line="240" w:lineRule="auto"/>
      </w:pPr>
      <w:r>
        <w:separator/>
      </w:r>
    </w:p>
  </w:endnote>
  <w:endnote w:type="continuationSeparator" w:id="0">
    <w:p w14:paraId="73389234" w14:textId="77777777" w:rsidR="00220C79" w:rsidRDefault="00220C7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A17ABE"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A17ABE">
      <w:rPr>
        <w:rFonts w:ascii="Verdana" w:eastAsia="Verdana" w:hAnsi="Verdana" w:cs="Verdana"/>
        <w:b/>
        <w:bCs/>
        <w:color w:val="000000"/>
        <w:sz w:val="18"/>
        <w:szCs w:val="18"/>
        <w:lang w:val="pt-BR" w:eastAsia="es-CO"/>
      </w:rPr>
      <w:t xml:space="preserve">Código: </w:t>
    </w:r>
    <w:r w:rsidRPr="00A17ABE">
      <w:rPr>
        <w:rFonts w:ascii="Verdana" w:eastAsia="Verdana" w:hAnsi="Verdana" w:cs="Verdana"/>
        <w:color w:val="000000"/>
        <w:sz w:val="18"/>
        <w:szCs w:val="18"/>
        <w:lang w:val="pt-BR" w:eastAsia="es-CO"/>
      </w:rPr>
      <w:t xml:space="preserve">CCE-REC-FM-17 </w:t>
    </w:r>
    <w:r w:rsidRPr="00A17ABE">
      <w:rPr>
        <w:rFonts w:ascii="Verdana" w:eastAsia="Verdana" w:hAnsi="Verdana" w:cs="Verdana"/>
        <w:b/>
        <w:bCs/>
        <w:color w:val="000000"/>
        <w:sz w:val="18"/>
        <w:szCs w:val="18"/>
        <w:lang w:val="pt-BR" w:eastAsia="es-CO"/>
      </w:rPr>
      <w:t xml:space="preserve">V: </w:t>
    </w:r>
    <w:r w:rsidRPr="00A17ABE">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7767D9" w14:textId="77777777" w:rsidR="00220C79" w:rsidRDefault="00220C79" w:rsidP="004A1847">
      <w:pPr>
        <w:spacing w:after="0" w:line="240" w:lineRule="auto"/>
      </w:pPr>
      <w:r>
        <w:separator/>
      </w:r>
    </w:p>
  </w:footnote>
  <w:footnote w:type="continuationSeparator" w:id="0">
    <w:p w14:paraId="5369BA58" w14:textId="77777777" w:rsidR="00220C79" w:rsidRDefault="00220C79" w:rsidP="004A1847">
      <w:pPr>
        <w:spacing w:after="0" w:line="240" w:lineRule="auto"/>
      </w:pPr>
      <w:r>
        <w:continuationSeparator/>
      </w:r>
    </w:p>
  </w:footnote>
  <w:footnote w:id="1">
    <w:p w14:paraId="00D47512" w14:textId="77777777" w:rsidR="000D17D4" w:rsidRPr="00753D0A" w:rsidRDefault="000D17D4" w:rsidP="000D17D4">
      <w:pPr>
        <w:pStyle w:val="Textonotapie"/>
        <w:ind w:firstLine="708"/>
        <w:jc w:val="both"/>
        <w:rPr>
          <w:rFonts w:ascii="Verdana" w:hAnsi="Verdana"/>
          <w:sz w:val="19"/>
          <w:szCs w:val="19"/>
        </w:rPr>
      </w:pPr>
      <w:r w:rsidRPr="00753D0A">
        <w:rPr>
          <w:rStyle w:val="Refdenotaalpie"/>
          <w:rFonts w:ascii="Verdana" w:hAnsi="Verdana"/>
          <w:sz w:val="19"/>
          <w:szCs w:val="19"/>
        </w:rPr>
        <w:footnoteRef/>
      </w:r>
      <w:r w:rsidRPr="00753D0A">
        <w:rPr>
          <w:rFonts w:ascii="Verdana" w:hAnsi="Verdana"/>
          <w:sz w:val="19"/>
          <w:szCs w:val="19"/>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719BF459" w14:textId="77777777" w:rsidR="000D17D4" w:rsidRPr="00753D0A" w:rsidRDefault="000D17D4" w:rsidP="000D17D4">
      <w:pPr>
        <w:pStyle w:val="Textonotapie"/>
        <w:ind w:firstLine="708"/>
        <w:jc w:val="both"/>
        <w:rPr>
          <w:rFonts w:ascii="Verdana" w:hAnsi="Verdana"/>
          <w:sz w:val="19"/>
          <w:szCs w:val="19"/>
        </w:rPr>
      </w:pPr>
    </w:p>
    <w:p w14:paraId="06F9FF1C" w14:textId="77777777" w:rsidR="000D17D4" w:rsidRPr="00753D0A" w:rsidRDefault="000D17D4" w:rsidP="000D17D4">
      <w:pPr>
        <w:pStyle w:val="Textonotapie"/>
        <w:ind w:firstLine="708"/>
        <w:jc w:val="both"/>
        <w:rPr>
          <w:rFonts w:ascii="Verdana" w:hAnsi="Verdana"/>
          <w:sz w:val="19"/>
          <w:szCs w:val="19"/>
        </w:rPr>
      </w:pPr>
      <w:r w:rsidRPr="00753D0A">
        <w:rPr>
          <w:rFonts w:ascii="Verdana" w:hAnsi="Verdana"/>
          <w:sz w:val="19"/>
          <w:szCs w:val="19"/>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3FBC8F17" w14:textId="77777777" w:rsidR="000D17D4" w:rsidRPr="00753D0A" w:rsidRDefault="000D17D4" w:rsidP="000D17D4">
      <w:pPr>
        <w:pStyle w:val="Textonotapie"/>
        <w:ind w:firstLine="708"/>
        <w:jc w:val="both"/>
        <w:rPr>
          <w:rFonts w:ascii="Verdana" w:hAnsi="Verdana"/>
          <w:sz w:val="19"/>
          <w:szCs w:val="19"/>
        </w:rPr>
      </w:pPr>
    </w:p>
    <w:p w14:paraId="3FCA4EDB" w14:textId="77777777" w:rsidR="000D17D4" w:rsidRDefault="000D17D4" w:rsidP="000D17D4">
      <w:pPr>
        <w:pStyle w:val="Textonotapie"/>
        <w:ind w:firstLine="708"/>
        <w:jc w:val="both"/>
        <w:rPr>
          <w:rFonts w:ascii="Verdana" w:hAnsi="Verdana"/>
          <w:sz w:val="19"/>
          <w:szCs w:val="19"/>
        </w:rPr>
      </w:pPr>
      <w:r w:rsidRPr="00753D0A">
        <w:rPr>
          <w:rFonts w:ascii="Verdana" w:hAnsi="Verdana"/>
          <w:sz w:val="19"/>
          <w:szCs w:val="19"/>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4F3FF7CE" w14:textId="77777777" w:rsidR="000D17D4" w:rsidRDefault="000D17D4" w:rsidP="000D17D4">
      <w:pPr>
        <w:pStyle w:val="Textonotapie"/>
        <w:ind w:firstLine="708"/>
        <w:jc w:val="both"/>
        <w:rPr>
          <w:rFonts w:ascii="Verdana" w:hAnsi="Verdana"/>
          <w:sz w:val="19"/>
          <w:szCs w:val="19"/>
        </w:rPr>
      </w:pPr>
    </w:p>
    <w:p w14:paraId="64128847" w14:textId="77777777" w:rsidR="000D17D4" w:rsidRDefault="000D17D4" w:rsidP="000D17D4">
      <w:pPr>
        <w:pStyle w:val="Textonotapie"/>
        <w:ind w:firstLine="708"/>
        <w:jc w:val="both"/>
        <w:rPr>
          <w:rFonts w:ascii="Verdana" w:hAnsi="Verdana"/>
          <w:sz w:val="19"/>
          <w:szCs w:val="19"/>
        </w:rPr>
      </w:pPr>
      <w:r w:rsidRPr="003B0770">
        <w:rPr>
          <w:rFonts w:ascii="Verdana" w:hAnsi="Verdana"/>
          <w:sz w:val="19"/>
          <w:szCs w:val="19"/>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360301F5" w14:textId="77777777" w:rsidR="000D17D4" w:rsidRDefault="000D17D4" w:rsidP="000D17D4">
      <w:pPr>
        <w:pStyle w:val="Textonotapie"/>
        <w:ind w:firstLine="708"/>
        <w:jc w:val="both"/>
        <w:rPr>
          <w:rFonts w:ascii="Verdana" w:hAnsi="Verdana"/>
          <w:sz w:val="19"/>
          <w:szCs w:val="19"/>
        </w:rPr>
      </w:pPr>
    </w:p>
    <w:p w14:paraId="2C6ED8A4" w14:textId="77777777" w:rsidR="000D17D4" w:rsidRPr="00753D0A" w:rsidRDefault="000D17D4" w:rsidP="000D17D4">
      <w:pPr>
        <w:pStyle w:val="Textonotapie"/>
        <w:ind w:firstLine="708"/>
        <w:jc w:val="both"/>
        <w:rPr>
          <w:rFonts w:ascii="Verdana" w:hAnsi="Verdana"/>
          <w:sz w:val="19"/>
          <w:szCs w:val="19"/>
        </w:rPr>
      </w:pPr>
      <w:r w:rsidRPr="003B0770">
        <w:rPr>
          <w:rFonts w:ascii="Verdana" w:hAnsi="Verdana"/>
          <w:sz w:val="19"/>
          <w:szCs w:val="19"/>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2">
    <w:p w14:paraId="3379CDBE" w14:textId="77777777" w:rsidR="000D17D4" w:rsidRPr="00167926" w:rsidRDefault="000D17D4" w:rsidP="000D17D4">
      <w:pPr>
        <w:pStyle w:val="Textonotapie"/>
        <w:ind w:firstLine="708"/>
        <w:jc w:val="both"/>
        <w:rPr>
          <w:lang w:val="es-ES_tradnl"/>
        </w:rPr>
      </w:pPr>
      <w:r>
        <w:rPr>
          <w:rStyle w:val="Refdenotaalpie"/>
        </w:rPr>
        <w:footnoteRef/>
      </w:r>
      <w:r>
        <w:t xml:space="preserve"> </w:t>
      </w:r>
      <w:r w:rsidRPr="00167926">
        <w:rPr>
          <w:rFonts w:ascii="Verdana" w:hAnsi="Verdana"/>
        </w:rPr>
        <w:t xml:space="preserve">Memoría justificativa de la Resolución </w:t>
      </w:r>
      <w:r w:rsidRPr="00E71493">
        <w:rPr>
          <w:rFonts w:ascii="Verdana" w:hAnsi="Verdana"/>
        </w:rPr>
        <w:t>“Por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63" type="#_x0000_t75" style="width:11pt;height: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1381"/>
    <w:rsid w:val="00061B2A"/>
    <w:rsid w:val="00082362"/>
    <w:rsid w:val="000A683E"/>
    <w:rsid w:val="000B19B9"/>
    <w:rsid w:val="000D0334"/>
    <w:rsid w:val="000D17D4"/>
    <w:rsid w:val="000D5DA7"/>
    <w:rsid w:val="000F6486"/>
    <w:rsid w:val="00116940"/>
    <w:rsid w:val="00125105"/>
    <w:rsid w:val="00127233"/>
    <w:rsid w:val="0015699B"/>
    <w:rsid w:val="001717A0"/>
    <w:rsid w:val="001A33BF"/>
    <w:rsid w:val="001E4177"/>
    <w:rsid w:val="001F0B24"/>
    <w:rsid w:val="001F7DC6"/>
    <w:rsid w:val="00220C79"/>
    <w:rsid w:val="0022400B"/>
    <w:rsid w:val="00237EE5"/>
    <w:rsid w:val="002402D0"/>
    <w:rsid w:val="002421BB"/>
    <w:rsid w:val="0025796E"/>
    <w:rsid w:val="002707A2"/>
    <w:rsid w:val="002844FA"/>
    <w:rsid w:val="002951A0"/>
    <w:rsid w:val="002962BC"/>
    <w:rsid w:val="002A093D"/>
    <w:rsid w:val="002A0DD0"/>
    <w:rsid w:val="002A49AC"/>
    <w:rsid w:val="002A64FD"/>
    <w:rsid w:val="002C7A84"/>
    <w:rsid w:val="002E2BF8"/>
    <w:rsid w:val="002E4FD9"/>
    <w:rsid w:val="002F47B7"/>
    <w:rsid w:val="0030657A"/>
    <w:rsid w:val="00322A85"/>
    <w:rsid w:val="00324168"/>
    <w:rsid w:val="00330834"/>
    <w:rsid w:val="003448F4"/>
    <w:rsid w:val="00374F5E"/>
    <w:rsid w:val="00377E3E"/>
    <w:rsid w:val="003A779E"/>
    <w:rsid w:val="003D0F4D"/>
    <w:rsid w:val="003D5B0D"/>
    <w:rsid w:val="003E0499"/>
    <w:rsid w:val="003E4F80"/>
    <w:rsid w:val="003E6439"/>
    <w:rsid w:val="003E6EE0"/>
    <w:rsid w:val="003F3941"/>
    <w:rsid w:val="00406575"/>
    <w:rsid w:val="004108F2"/>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351C2"/>
    <w:rsid w:val="00646B9F"/>
    <w:rsid w:val="00665D70"/>
    <w:rsid w:val="00672E73"/>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310F"/>
    <w:rsid w:val="008258C9"/>
    <w:rsid w:val="00844AE9"/>
    <w:rsid w:val="00867F95"/>
    <w:rsid w:val="008843B6"/>
    <w:rsid w:val="008873A8"/>
    <w:rsid w:val="00891928"/>
    <w:rsid w:val="008A446D"/>
    <w:rsid w:val="008B25F1"/>
    <w:rsid w:val="008B3074"/>
    <w:rsid w:val="008D180B"/>
    <w:rsid w:val="008F0EA7"/>
    <w:rsid w:val="00923EEF"/>
    <w:rsid w:val="009419F9"/>
    <w:rsid w:val="0095685E"/>
    <w:rsid w:val="00961B09"/>
    <w:rsid w:val="00965334"/>
    <w:rsid w:val="0097093E"/>
    <w:rsid w:val="009A0DFA"/>
    <w:rsid w:val="009A1C6F"/>
    <w:rsid w:val="009A4B01"/>
    <w:rsid w:val="009B2D26"/>
    <w:rsid w:val="009C71FA"/>
    <w:rsid w:val="009C72E7"/>
    <w:rsid w:val="009C7F7E"/>
    <w:rsid w:val="009D3058"/>
    <w:rsid w:val="009F3A13"/>
    <w:rsid w:val="00A122D3"/>
    <w:rsid w:val="00A14468"/>
    <w:rsid w:val="00A17ABE"/>
    <w:rsid w:val="00A17F13"/>
    <w:rsid w:val="00A20739"/>
    <w:rsid w:val="00A23AF9"/>
    <w:rsid w:val="00A33C78"/>
    <w:rsid w:val="00A45589"/>
    <w:rsid w:val="00A57BE7"/>
    <w:rsid w:val="00A76463"/>
    <w:rsid w:val="00AB0ADB"/>
    <w:rsid w:val="00AB6F6D"/>
    <w:rsid w:val="00AC128D"/>
    <w:rsid w:val="00AF06AC"/>
    <w:rsid w:val="00B00C0E"/>
    <w:rsid w:val="00B01B1A"/>
    <w:rsid w:val="00B0381D"/>
    <w:rsid w:val="00B44A47"/>
    <w:rsid w:val="00B72CD3"/>
    <w:rsid w:val="00B72FFF"/>
    <w:rsid w:val="00B81541"/>
    <w:rsid w:val="00BB0F01"/>
    <w:rsid w:val="00BC3D36"/>
    <w:rsid w:val="00BD54A6"/>
    <w:rsid w:val="00BD7F72"/>
    <w:rsid w:val="00BF7425"/>
    <w:rsid w:val="00C04FB3"/>
    <w:rsid w:val="00C11D8B"/>
    <w:rsid w:val="00C15139"/>
    <w:rsid w:val="00C330EB"/>
    <w:rsid w:val="00C50D69"/>
    <w:rsid w:val="00C5365C"/>
    <w:rsid w:val="00C7116D"/>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DF5E5A"/>
    <w:rsid w:val="00E02524"/>
    <w:rsid w:val="00E16408"/>
    <w:rsid w:val="00E20894"/>
    <w:rsid w:val="00E245AB"/>
    <w:rsid w:val="00E25436"/>
    <w:rsid w:val="00E2764C"/>
    <w:rsid w:val="00E27F2E"/>
    <w:rsid w:val="00E50AFE"/>
    <w:rsid w:val="00E75C92"/>
    <w:rsid w:val="00E771DC"/>
    <w:rsid w:val="00E8772A"/>
    <w:rsid w:val="00E90F6B"/>
    <w:rsid w:val="00E92C27"/>
    <w:rsid w:val="00EA0E3D"/>
    <w:rsid w:val="00EC38A7"/>
    <w:rsid w:val="00ED7984"/>
    <w:rsid w:val="00EE1AA8"/>
    <w:rsid w:val="00EE499C"/>
    <w:rsid w:val="00F23FEA"/>
    <w:rsid w:val="00F31EDC"/>
    <w:rsid w:val="00F41355"/>
    <w:rsid w:val="00F462B3"/>
    <w:rsid w:val="00F478F1"/>
    <w:rsid w:val="00F5664F"/>
    <w:rsid w:val="00F666C4"/>
    <w:rsid w:val="00F71CD3"/>
    <w:rsid w:val="00F76AFC"/>
    <w:rsid w:val="00FA47C0"/>
    <w:rsid w:val="00FB5DD1"/>
    <w:rsid w:val="00FC1E36"/>
    <w:rsid w:val="00FC2B5D"/>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D9E4B9CA-69FA-44CB-9D31-357F97351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D17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D17D4"/>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5.png"/><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image" Target="media/image4.png"/><Relationship Id="rId17" Type="http://schemas.openxmlformats.org/officeDocument/2006/relationships/hyperlink" Target="https://www.colombiacompra.gov.co/normativa-y-relatoria/documentos-tipo" TargetMode="Externa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6.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documentos-tipo/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23A5611-097B-4AC4-BF8D-89121C752E36}"/>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20</Pages>
  <Words>6711</Words>
  <Characters>36913</Characters>
  <Application>Microsoft Office Word</Application>
  <DocSecurity>0</DocSecurity>
  <Lines>307</Lines>
  <Paragraphs>87</Paragraphs>
  <ScaleCrop>false</ScaleCrop>
  <Company/>
  <LinksUpToDate>false</LinksUpToDate>
  <CharactersWithSpaces>43537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Carlos Mario Castrillon Endo</cp:lastModifiedBy>
  <cp:revision>4</cp:revision>
  <cp:lastPrinted>2023-01-11T00:18:00Z</cp:lastPrinted>
  <dcterms:created xsi:type="dcterms:W3CDTF">2026-02-24T13:17:00Z</dcterms:created>
  <dcterms:modified xsi:type="dcterms:W3CDTF">2026-03-01T16:22:00Z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