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74E5F" w14:textId="77777777" w:rsidR="002A0DD0" w:rsidRPr="00116940" w:rsidRDefault="002A0DD0" w:rsidP="30821638">
      <w:pPr>
        <w:spacing w:after="0" w:line="240" w:lineRule="auto"/>
        <w:jc w:val="both"/>
        <w:rPr>
          <w:rFonts w:ascii="Verdana" w:eastAsia="Verdana" w:hAnsi="Verdana" w:cs="Verdana"/>
        </w:rPr>
      </w:pPr>
      <w:bookmarkStart w:id="0" w:name="_Hlk143780582"/>
    </w:p>
    <w:p w14:paraId="3B12A2B1" w14:textId="77777777" w:rsidR="008E3928" w:rsidRDefault="008E3928" w:rsidP="008E3928">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GARANTÍAS – Contratación estatal – Constitución de garantías – Finalidad – Cumplimiento – Obligaciones contractuales</w:t>
      </w:r>
    </w:p>
    <w:p w14:paraId="54F8399D" w14:textId="77777777" w:rsidR="008E3928" w:rsidRDefault="008E3928" w:rsidP="008E3928">
      <w:pPr>
        <w:snapToGrid w:val="0"/>
        <w:contextualSpacing/>
        <w:jc w:val="both"/>
        <w:rPr>
          <w:rFonts w:ascii="Verdana" w:hAnsi="Verdana" w:cs="Arial"/>
          <w:color w:val="000000"/>
          <w:shd w:val="clear" w:color="auto" w:fill="FFFFFF"/>
          <w:lang w:val="es-ES"/>
        </w:rPr>
      </w:pPr>
    </w:p>
    <w:p w14:paraId="51C729A8" w14:textId="77777777" w:rsidR="008E3928" w:rsidRPr="00E24068" w:rsidRDefault="008E3928" w:rsidP="008E3928">
      <w:pPr>
        <w:snapToGrid w:val="0"/>
        <w:spacing w:after="0" w:line="240" w:lineRule="auto"/>
        <w:contextualSpacing/>
        <w:jc w:val="both"/>
        <w:rPr>
          <w:rFonts w:ascii="Verdana" w:eastAsia="Calibri" w:hAnsi="Verdana" w:cs="Arial"/>
          <w:b/>
          <w:bCs/>
          <w:lang w:val="es-ES" w:eastAsia="es-ES"/>
        </w:rPr>
      </w:pPr>
      <w:r w:rsidRPr="00983DE2">
        <w:rPr>
          <w:rFonts w:ascii="Verdana" w:hAnsi="Verdana" w:cs="Arial"/>
          <w:color w:val="000000"/>
          <w:shd w:val="clear" w:color="auto" w:fill="FFFFFF"/>
          <w:lang w:val="es-ES"/>
        </w:rPr>
        <w:t>Por regla general, para seleccionar contratistas y para ejecutar contratos se requiere la constitución de garantías. Por un lado, l</w:t>
      </w:r>
      <w:r w:rsidRPr="00983DE2">
        <w:rPr>
          <w:rFonts w:ascii="Verdana" w:eastAsia="Calibri" w:hAnsi="Verdana" w:cs="Arial"/>
          <w:color w:val="000000" w:themeColor="text1"/>
          <w:lang w:val="es-ES"/>
        </w:rPr>
        <w:t xml:space="preserve">a </w:t>
      </w:r>
      <w:r w:rsidRPr="00983DE2">
        <w:rPr>
          <w:rFonts w:ascii="Verdana" w:eastAsia="Calibri" w:hAnsi="Verdana" w:cs="Arial"/>
          <w:i/>
          <w:iCs/>
          <w:color w:val="000000" w:themeColor="text1"/>
          <w:lang w:val="es-ES"/>
        </w:rPr>
        <w:t>garantía de seriedad</w:t>
      </w:r>
      <w:r w:rsidRPr="00983DE2">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6095E1E7" w14:textId="77777777" w:rsidR="008E3928" w:rsidRDefault="008E3928" w:rsidP="008E3928">
      <w:pPr>
        <w:snapToGrid w:val="0"/>
        <w:contextualSpacing/>
        <w:jc w:val="both"/>
        <w:rPr>
          <w:rFonts w:ascii="Verdana" w:eastAsia="Calibri" w:hAnsi="Verdana" w:cs="Arial"/>
          <w:b/>
          <w:bCs/>
          <w:lang w:val="es-ES" w:eastAsia="es-ES"/>
        </w:rPr>
      </w:pPr>
    </w:p>
    <w:p w14:paraId="71084CE2" w14:textId="77777777" w:rsidR="008E3928" w:rsidRDefault="008E3928" w:rsidP="008E3928">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CUMPLIMIENTO – Amparos – Finalidad</w:t>
      </w:r>
    </w:p>
    <w:p w14:paraId="667A5E81" w14:textId="77777777" w:rsidR="008E3928" w:rsidRDefault="008E3928" w:rsidP="008E3928">
      <w:pPr>
        <w:snapToGrid w:val="0"/>
        <w:spacing w:after="0" w:line="240" w:lineRule="auto"/>
        <w:contextualSpacing/>
        <w:jc w:val="both"/>
        <w:rPr>
          <w:rFonts w:ascii="Verdana" w:eastAsia="Calibri" w:hAnsi="Verdana" w:cs="Arial"/>
          <w:color w:val="000000" w:themeColor="text1"/>
          <w:lang w:val="es-ES"/>
        </w:rPr>
      </w:pPr>
    </w:p>
    <w:p w14:paraId="7F8863FC" w14:textId="77777777" w:rsidR="008E3928" w:rsidRPr="00983DE2" w:rsidRDefault="008E3928" w:rsidP="008E3928">
      <w:pPr>
        <w:snapToGrid w:val="0"/>
        <w:spacing w:after="0" w:line="240" w:lineRule="auto"/>
        <w:contextualSpacing/>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En contraste, mediante la </w:t>
      </w:r>
      <w:r w:rsidRPr="00983DE2">
        <w:rPr>
          <w:rFonts w:ascii="Verdana" w:eastAsia="Calibri" w:hAnsi="Verdana" w:cs="Arial"/>
          <w:i/>
          <w:iCs/>
          <w:color w:val="000000" w:themeColor="text1"/>
          <w:lang w:val="es-ES"/>
        </w:rPr>
        <w:t>garantía de única de cumplimiento</w:t>
      </w:r>
      <w:r w:rsidRPr="00983DE2">
        <w:rPr>
          <w:rFonts w:ascii="Verdana" w:eastAsia="Calibri" w:hAnsi="Verdana" w:cs="Arial"/>
          <w:color w:val="000000" w:themeColor="text1"/>
          <w:lang w:val="es-ES"/>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w:t>
      </w:r>
      <w:r w:rsidRPr="00983DE2">
        <w:rPr>
          <w:rFonts w:ascii="Verdana" w:hAnsi="Verdana" w:cs="Arial"/>
          <w:color w:val="000000" w:themeColor="text1"/>
          <w:lang w:val="es-ES"/>
        </w:rPr>
        <w:t xml:space="preserve">Para estos efectos es única, ya que “[…] La prioridad […] es que no haya garantías separadas para los diferentes riesgos, aunque existan varias garantías para diferentes proporciones del interés asegurado […]”.    </w:t>
      </w:r>
    </w:p>
    <w:p w14:paraId="2E70B4AE" w14:textId="77777777" w:rsidR="008E3928" w:rsidRDefault="008E3928" w:rsidP="008E3928">
      <w:pPr>
        <w:snapToGrid w:val="0"/>
        <w:spacing w:after="0" w:line="240" w:lineRule="auto"/>
        <w:contextualSpacing/>
        <w:jc w:val="both"/>
        <w:rPr>
          <w:rFonts w:ascii="Verdana" w:hAnsi="Verdana" w:cs="Arial"/>
          <w:color w:val="000000" w:themeColor="text1"/>
          <w:lang w:val="es-ES"/>
        </w:rPr>
      </w:pPr>
    </w:p>
    <w:p w14:paraId="34D0540C" w14:textId="77777777" w:rsidR="008E3928" w:rsidRPr="00983DE2" w:rsidRDefault="008E3928" w:rsidP="008E3928">
      <w:pPr>
        <w:snapToGrid w:val="0"/>
        <w:spacing w:after="0" w:line="240" w:lineRule="auto"/>
        <w:contextualSpacing/>
        <w:jc w:val="both"/>
        <w:rPr>
          <w:rFonts w:ascii="Verdana" w:hAnsi="Verdana" w:cs="Arial"/>
          <w:color w:val="000000" w:themeColor="text1"/>
          <w:lang w:val="es-ES"/>
        </w:rPr>
      </w:pPr>
      <w:r w:rsidRPr="00983DE2">
        <w:rPr>
          <w:rFonts w:ascii="Verdana" w:hAnsi="Verdana" w:cs="Arial"/>
          <w:color w:val="000000" w:themeColor="text1"/>
          <w:lang w:val="es-ES"/>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garantías bancarias 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37352C39" w14:textId="77777777" w:rsidR="008E3928" w:rsidRPr="00E24068" w:rsidRDefault="008E3928" w:rsidP="008E3928">
      <w:pPr>
        <w:snapToGrid w:val="0"/>
        <w:spacing w:after="0" w:line="240" w:lineRule="auto"/>
        <w:contextualSpacing/>
        <w:jc w:val="both"/>
        <w:rPr>
          <w:rFonts w:ascii="Verdana" w:eastAsia="Calibri" w:hAnsi="Verdana" w:cs="Arial"/>
          <w:b/>
          <w:bCs/>
          <w:lang w:val="es-ES" w:eastAsia="es-ES"/>
        </w:rPr>
      </w:pPr>
    </w:p>
    <w:p w14:paraId="0DEE54B6" w14:textId="77777777" w:rsidR="008E3928" w:rsidRPr="00E24068" w:rsidRDefault="008E3928" w:rsidP="008E3928">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RESPONSABILIDAD CIVIL EXTRACONTRACTUAL – Características – Suficiencia – Criterios de aprobación</w:t>
      </w:r>
    </w:p>
    <w:p w14:paraId="0B3480F8" w14:textId="77777777" w:rsidR="008E3928" w:rsidRDefault="008E3928" w:rsidP="008E3928">
      <w:pPr>
        <w:snapToGrid w:val="0"/>
        <w:contextualSpacing/>
        <w:jc w:val="both"/>
        <w:rPr>
          <w:rFonts w:ascii="Verdana" w:eastAsia="Times New Roman" w:hAnsi="Verdana" w:cs="Arial"/>
          <w:color w:val="000000" w:themeColor="text1"/>
          <w:lang w:val="es-ES" w:eastAsia="es-CO"/>
        </w:rPr>
      </w:pPr>
    </w:p>
    <w:p w14:paraId="78445C11" w14:textId="77777777" w:rsidR="008E3928" w:rsidRPr="00983DE2" w:rsidRDefault="008E3928" w:rsidP="008E3928">
      <w:pPr>
        <w:snapToGrid w:val="0"/>
        <w:spacing w:after="0" w:line="240" w:lineRule="auto"/>
        <w:contextualSpacing/>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En primer lugar, la entidad debe verificar que la garantía cumpla con el requisito de indivisibilidad establecido en el artículo 2.2.1.2.3.1.3. del Decreto 1082 de 2015. </w:t>
      </w:r>
      <w:r w:rsidRPr="00983DE2">
        <w:rPr>
          <w:rFonts w:ascii="Verdana" w:hAnsi="Verdana" w:cs="Arial"/>
          <w:color w:val="000000" w:themeColor="text1"/>
          <w:lang w:val="es-ES"/>
        </w:rPr>
        <w:t xml:space="preserve">En segundo lugar, el amparo de responsabilidad civil extracontractual debe cumplir con los requisitos dispuestos </w:t>
      </w:r>
      <w:r w:rsidRPr="00983DE2">
        <w:rPr>
          <w:rFonts w:ascii="Verdana" w:eastAsia="Times New Roman" w:hAnsi="Verdana" w:cs="Arial"/>
          <w:color w:val="000000" w:themeColor="text1"/>
          <w:lang w:val="es-ES" w:eastAsia="es-CO"/>
        </w:rPr>
        <w:t xml:space="preserve">en el artículo 2.2.1.2.3.2.9 con respecto a la modalidad de ocurrencia, así como las calidades que deben tener los intervinientes y los amparos. Tercero, la entidad debe verificar que el contrato de seguro cumpla con la suficiencia en términos de valor y tiempo de acuerdo con el artículo 2.2.1.2.3.1.17. Adicional a lo anterior, la norma establece de manera expresa que la vigencia de esta garantía deberá ser igual al </w:t>
      </w:r>
      <w:r w:rsidRPr="00983DE2">
        <w:rPr>
          <w:rFonts w:ascii="Verdana" w:eastAsia="Times New Roman" w:hAnsi="Verdana" w:cs="Arial"/>
          <w:i/>
          <w:color w:val="000000" w:themeColor="text1"/>
          <w:lang w:val="es-ES" w:eastAsia="es-CO"/>
        </w:rPr>
        <w:t>período de ejecución del contrato</w:t>
      </w:r>
      <w:r w:rsidRPr="00983DE2">
        <w:rPr>
          <w:rFonts w:ascii="Verdana" w:eastAsia="Times New Roman" w:hAnsi="Verdana" w:cs="Arial"/>
          <w:color w:val="000000" w:themeColor="text1"/>
          <w:lang w:val="es-ES" w:eastAsia="es-CO"/>
        </w:rPr>
        <w:t xml:space="preserve"> estatal que está respaldando.</w:t>
      </w:r>
    </w:p>
    <w:p w14:paraId="718CFE4B" w14:textId="77777777" w:rsidR="008E3928" w:rsidRDefault="008E3928" w:rsidP="008E3928">
      <w:pPr>
        <w:snapToGrid w:val="0"/>
        <w:contextualSpacing/>
        <w:jc w:val="both"/>
        <w:rPr>
          <w:rFonts w:ascii="Verdana" w:eastAsia="Times New Roman" w:hAnsi="Verdana" w:cs="Arial"/>
          <w:color w:val="000000" w:themeColor="text1"/>
          <w:lang w:val="es-ES" w:eastAsia="es-CO"/>
        </w:rPr>
      </w:pPr>
    </w:p>
    <w:p w14:paraId="490488D8" w14:textId="77777777" w:rsidR="008E3928" w:rsidRPr="00983DE2" w:rsidRDefault="008E3928" w:rsidP="008E3928">
      <w:pPr>
        <w:snapToGrid w:val="0"/>
        <w:spacing w:after="0" w:line="240" w:lineRule="auto"/>
        <w:contextualSpacing/>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w:t>
      </w:r>
      <w:proofErr w:type="spellStart"/>
      <w:r w:rsidRPr="00983DE2">
        <w:rPr>
          <w:rFonts w:ascii="Verdana" w:eastAsia="Times New Roman" w:hAnsi="Verdana" w:cs="Arial"/>
          <w:color w:val="000000" w:themeColor="text1"/>
          <w:lang w:val="es-ES" w:eastAsia="es-CO"/>
        </w:rPr>
        <w:t>smmlv</w:t>
      </w:r>
      <w:proofErr w:type="spellEnd"/>
      <w:r w:rsidRPr="00983DE2">
        <w:rPr>
          <w:rFonts w:ascii="Verdana" w:eastAsia="Times New Roman" w:hAnsi="Verdana" w:cs="Arial"/>
          <w:color w:val="000000" w:themeColor="text1"/>
          <w:lang w:val="es-ES" w:eastAsia="es-CO"/>
        </w:rPr>
        <w:t xml:space="preserve">. No serán admisibles las franquicias, coaseguros obligatorios y demás formas de estipulación que impliquen la asunción de parte de la pérdida por la entidad asegurada”. </w:t>
      </w:r>
    </w:p>
    <w:p w14:paraId="4E029B36" w14:textId="77777777" w:rsidR="008E3928" w:rsidRDefault="008E3928" w:rsidP="008E3928">
      <w:pPr>
        <w:spacing w:after="0"/>
        <w:rPr>
          <w:rFonts w:ascii="Verdana" w:hAnsi="Verdana"/>
          <w:lang w:val="es-ES"/>
        </w:rPr>
      </w:pPr>
    </w:p>
    <w:p w14:paraId="5509512A" w14:textId="77777777" w:rsidR="008E3928" w:rsidRDefault="008E3928" w:rsidP="008E3928">
      <w:pPr>
        <w:spacing w:after="0"/>
        <w:rPr>
          <w:rFonts w:ascii="Verdana" w:hAnsi="Verdana"/>
          <w:lang w:val="es-ES"/>
        </w:rPr>
      </w:pPr>
    </w:p>
    <w:p w14:paraId="617B9D56" w14:textId="77777777" w:rsidR="008E3928" w:rsidRDefault="008E3928" w:rsidP="008E3928">
      <w:pPr>
        <w:spacing w:after="0"/>
        <w:rPr>
          <w:rFonts w:ascii="Verdana" w:hAnsi="Verdana"/>
          <w:lang w:val="es-ES"/>
        </w:rPr>
      </w:pPr>
    </w:p>
    <w:p w14:paraId="5E4FC75A" w14:textId="77777777" w:rsidR="008E3928" w:rsidRDefault="008E3928" w:rsidP="008E3928">
      <w:pPr>
        <w:spacing w:after="0"/>
        <w:rPr>
          <w:rFonts w:ascii="Verdana" w:hAnsi="Verdana"/>
          <w:lang w:val="es-ES"/>
        </w:rPr>
      </w:pPr>
    </w:p>
    <w:p w14:paraId="359FC31A" w14:textId="77777777" w:rsidR="008E3928" w:rsidRDefault="008E3928" w:rsidP="008E3928">
      <w:pPr>
        <w:spacing w:after="0" w:line="240" w:lineRule="auto"/>
        <w:rPr>
          <w:rFonts w:ascii="Verdana" w:hAnsi="Verdana"/>
          <w:sz w:val="20"/>
          <w:szCs w:val="20"/>
        </w:rPr>
      </w:pPr>
    </w:p>
    <w:p w14:paraId="4D0C9C81" w14:textId="77777777" w:rsidR="008E3928" w:rsidRDefault="008E3928" w:rsidP="008E3928">
      <w:pPr>
        <w:spacing w:after="0" w:line="240" w:lineRule="auto"/>
        <w:rPr>
          <w:rFonts w:ascii="Verdana" w:hAnsi="Verdana"/>
          <w:sz w:val="20"/>
          <w:szCs w:val="20"/>
        </w:rPr>
      </w:pPr>
    </w:p>
    <w:p w14:paraId="77DCD574" w14:textId="77777777" w:rsidR="008E3928" w:rsidRDefault="008E3928" w:rsidP="008E3928">
      <w:pPr>
        <w:spacing w:after="0" w:line="240" w:lineRule="auto"/>
        <w:rPr>
          <w:rFonts w:ascii="Verdana" w:hAnsi="Verdana"/>
          <w:sz w:val="20"/>
          <w:szCs w:val="20"/>
        </w:rPr>
      </w:pPr>
    </w:p>
    <w:p w14:paraId="6DF5C61D" w14:textId="77777777" w:rsidR="008E3928" w:rsidRDefault="008E3928" w:rsidP="008E3928">
      <w:pPr>
        <w:spacing w:after="0" w:line="240" w:lineRule="auto"/>
        <w:rPr>
          <w:rFonts w:ascii="Verdana" w:hAnsi="Verdana"/>
          <w:sz w:val="20"/>
          <w:szCs w:val="20"/>
        </w:rPr>
      </w:pPr>
    </w:p>
    <w:p w14:paraId="08BE33DC" w14:textId="77777777" w:rsidR="008E3928" w:rsidRDefault="008E3928" w:rsidP="008E3928">
      <w:pPr>
        <w:spacing w:after="0" w:line="240" w:lineRule="auto"/>
        <w:rPr>
          <w:rFonts w:ascii="Verdana" w:hAnsi="Verdana"/>
          <w:sz w:val="20"/>
          <w:szCs w:val="20"/>
        </w:rPr>
      </w:pPr>
    </w:p>
    <w:p w14:paraId="03D83300" w14:textId="77777777" w:rsidR="008E3928" w:rsidRDefault="008E3928" w:rsidP="008E3928">
      <w:pPr>
        <w:spacing w:after="0" w:line="240" w:lineRule="auto"/>
        <w:rPr>
          <w:rFonts w:ascii="Verdana" w:hAnsi="Verdana"/>
          <w:sz w:val="20"/>
          <w:szCs w:val="20"/>
        </w:rPr>
      </w:pPr>
    </w:p>
    <w:p w14:paraId="182943B2" w14:textId="77777777" w:rsidR="008E3928" w:rsidRDefault="008E3928" w:rsidP="008E3928">
      <w:pPr>
        <w:spacing w:after="0" w:line="240" w:lineRule="auto"/>
        <w:rPr>
          <w:rFonts w:ascii="Verdana" w:hAnsi="Verdana"/>
          <w:sz w:val="20"/>
          <w:szCs w:val="20"/>
        </w:rPr>
      </w:pPr>
    </w:p>
    <w:p w14:paraId="0216BC17" w14:textId="77777777" w:rsidR="008E3928" w:rsidRDefault="008E3928" w:rsidP="008E3928">
      <w:pPr>
        <w:spacing w:after="0" w:line="240" w:lineRule="auto"/>
        <w:rPr>
          <w:rFonts w:ascii="Verdana" w:hAnsi="Verdana"/>
          <w:sz w:val="20"/>
          <w:szCs w:val="20"/>
        </w:rPr>
      </w:pPr>
    </w:p>
    <w:p w14:paraId="3D3A6937" w14:textId="77777777" w:rsidR="008E3928" w:rsidRDefault="008E3928" w:rsidP="008E3928">
      <w:pPr>
        <w:spacing w:after="0" w:line="240" w:lineRule="auto"/>
        <w:rPr>
          <w:rFonts w:ascii="Verdana" w:hAnsi="Verdana"/>
          <w:sz w:val="20"/>
          <w:szCs w:val="20"/>
        </w:rPr>
      </w:pPr>
    </w:p>
    <w:p w14:paraId="04E338EE" w14:textId="77777777" w:rsidR="008E3928" w:rsidRDefault="008E3928" w:rsidP="008E3928">
      <w:pPr>
        <w:spacing w:after="0" w:line="240" w:lineRule="auto"/>
        <w:rPr>
          <w:rFonts w:ascii="Verdana" w:hAnsi="Verdana"/>
          <w:sz w:val="20"/>
          <w:szCs w:val="20"/>
        </w:rPr>
      </w:pPr>
    </w:p>
    <w:p w14:paraId="1C0BB3B1" w14:textId="77777777" w:rsidR="008E3928" w:rsidRDefault="008E3928" w:rsidP="008E3928">
      <w:pPr>
        <w:spacing w:after="0" w:line="240" w:lineRule="auto"/>
        <w:rPr>
          <w:rFonts w:ascii="Verdana" w:hAnsi="Verdana"/>
          <w:sz w:val="20"/>
          <w:szCs w:val="20"/>
        </w:rPr>
      </w:pPr>
    </w:p>
    <w:p w14:paraId="07F94DBE" w14:textId="77777777" w:rsidR="008E3928" w:rsidRDefault="008E3928" w:rsidP="008E3928">
      <w:pPr>
        <w:spacing w:after="0" w:line="240" w:lineRule="auto"/>
        <w:rPr>
          <w:rFonts w:ascii="Verdana" w:hAnsi="Verdana"/>
          <w:sz w:val="20"/>
          <w:szCs w:val="20"/>
        </w:rPr>
      </w:pPr>
    </w:p>
    <w:p w14:paraId="02282D98" w14:textId="77777777" w:rsidR="008E3928" w:rsidRDefault="008E3928" w:rsidP="008E3928">
      <w:pPr>
        <w:spacing w:after="0" w:line="240" w:lineRule="auto"/>
        <w:rPr>
          <w:rFonts w:ascii="Verdana" w:hAnsi="Verdana"/>
          <w:sz w:val="20"/>
          <w:szCs w:val="20"/>
        </w:rPr>
      </w:pPr>
    </w:p>
    <w:p w14:paraId="5A69E334" w14:textId="77777777" w:rsidR="008E3928" w:rsidRDefault="008E3928" w:rsidP="008E3928">
      <w:pPr>
        <w:spacing w:after="0" w:line="240" w:lineRule="auto"/>
        <w:rPr>
          <w:rFonts w:ascii="Verdana" w:hAnsi="Verdana"/>
          <w:sz w:val="20"/>
          <w:szCs w:val="20"/>
        </w:rPr>
      </w:pPr>
    </w:p>
    <w:p w14:paraId="2B3E2A92" w14:textId="77777777" w:rsidR="008E3928" w:rsidRDefault="008E3928" w:rsidP="008E3928">
      <w:pPr>
        <w:spacing w:after="0" w:line="240" w:lineRule="auto"/>
        <w:rPr>
          <w:rFonts w:ascii="Verdana" w:hAnsi="Verdana"/>
          <w:sz w:val="20"/>
          <w:szCs w:val="20"/>
        </w:rPr>
      </w:pPr>
    </w:p>
    <w:p w14:paraId="0AF3E401" w14:textId="77777777" w:rsidR="008E3928" w:rsidRDefault="008E3928" w:rsidP="008E3928">
      <w:pPr>
        <w:spacing w:after="0" w:line="240" w:lineRule="auto"/>
        <w:rPr>
          <w:rFonts w:ascii="Verdana" w:hAnsi="Verdana"/>
          <w:sz w:val="20"/>
          <w:szCs w:val="20"/>
        </w:rPr>
      </w:pPr>
    </w:p>
    <w:p w14:paraId="497EC059" w14:textId="77777777" w:rsidR="008E3928" w:rsidRDefault="008E3928" w:rsidP="008E3928">
      <w:pPr>
        <w:spacing w:after="0" w:line="240" w:lineRule="auto"/>
        <w:rPr>
          <w:rFonts w:ascii="Verdana" w:hAnsi="Verdana"/>
          <w:sz w:val="20"/>
          <w:szCs w:val="20"/>
        </w:rPr>
      </w:pPr>
    </w:p>
    <w:p w14:paraId="484CFAE2" w14:textId="302B6163" w:rsidR="008E3928" w:rsidRPr="00E31648" w:rsidRDefault="008E3928" w:rsidP="004579C9">
      <w:pPr>
        <w:spacing w:after="0" w:line="240" w:lineRule="auto"/>
      </w:pPr>
      <w:r w:rsidRPr="00C562D4">
        <w:rPr>
          <w:rFonts w:ascii="Verdana" w:eastAsia="Calibri" w:hAnsi="Verdana" w:cs="Arial"/>
          <w:color w:val="000000" w:themeColor="text1"/>
        </w:rPr>
        <w:lastRenderedPageBreak/>
        <w:t xml:space="preserve">Bogotá D.C., </w:t>
      </w:r>
      <w:r w:rsidR="00B20985">
        <w:rPr>
          <w:rFonts w:ascii="Verdana" w:eastAsia="Calibri" w:hAnsi="Verdana" w:cs="Arial"/>
          <w:color w:val="000000" w:themeColor="text1"/>
        </w:rPr>
        <w:t>12</w:t>
      </w:r>
      <w:r w:rsidRPr="00C562D4">
        <w:rPr>
          <w:rFonts w:ascii="Verdana" w:eastAsia="Calibri" w:hAnsi="Verdana" w:cs="Arial"/>
          <w:color w:val="000000" w:themeColor="text1"/>
        </w:rPr>
        <w:t xml:space="preserve"> de </w:t>
      </w:r>
      <w:r w:rsidR="00B20985">
        <w:rPr>
          <w:rFonts w:ascii="Verdana" w:eastAsia="Calibri" w:hAnsi="Verdana" w:cs="Arial"/>
          <w:color w:val="000000" w:themeColor="text1"/>
        </w:rPr>
        <w:t>marzo</w:t>
      </w:r>
      <w:r w:rsidRPr="00C562D4">
        <w:rPr>
          <w:rFonts w:ascii="Verdana" w:eastAsia="Calibri" w:hAnsi="Verdana" w:cs="Arial"/>
          <w:color w:val="000000" w:themeColor="text1"/>
        </w:rPr>
        <w:t xml:space="preserve"> de 20</w:t>
      </w:r>
      <w:r>
        <w:rPr>
          <w:rFonts w:ascii="Verdana" w:eastAsia="Calibri" w:hAnsi="Verdana" w:cs="Arial"/>
          <w:color w:val="000000" w:themeColor="text1"/>
        </w:rPr>
        <w:t>26</w:t>
      </w:r>
    </w:p>
    <w:p w14:paraId="091956F1" w14:textId="77777777" w:rsidR="008E3928" w:rsidRDefault="008E3928" w:rsidP="004579C9">
      <w:pPr>
        <w:spacing w:after="0" w:line="240" w:lineRule="auto"/>
        <w:jc w:val="both"/>
        <w:rPr>
          <w:rFonts w:ascii="Verdana" w:eastAsia="Calibri" w:hAnsi="Verdana" w:cs="Arial"/>
          <w:color w:val="000000" w:themeColor="text1"/>
          <w:lang w:val="es-ES"/>
        </w:rPr>
      </w:pPr>
    </w:p>
    <w:p w14:paraId="4F6A4D4D" w14:textId="4616C4AD" w:rsidR="003C5506" w:rsidRDefault="003C5506" w:rsidP="003C5506">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02C7BB48" wp14:editId="40884047">
            <wp:extent cx="2533650" cy="723900"/>
            <wp:effectExtent l="0" t="0" r="0" b="0"/>
            <wp:docPr id="20563295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33650" cy="723900"/>
                    </a:xfrm>
                    <a:prstGeom prst="rect">
                      <a:avLst/>
                    </a:prstGeom>
                    <a:noFill/>
                    <a:ln>
                      <a:noFill/>
                    </a:ln>
                  </pic:spPr>
                </pic:pic>
              </a:graphicData>
            </a:graphic>
          </wp:inline>
        </w:drawing>
      </w:r>
    </w:p>
    <w:p w14:paraId="5CACEAD7" w14:textId="77777777" w:rsidR="003C5506" w:rsidRPr="00115E3D" w:rsidRDefault="003C5506" w:rsidP="004579C9">
      <w:pPr>
        <w:spacing w:after="0" w:line="240" w:lineRule="auto"/>
        <w:jc w:val="both"/>
        <w:rPr>
          <w:rFonts w:ascii="Verdana" w:eastAsia="Calibri" w:hAnsi="Verdana" w:cs="Arial"/>
          <w:color w:val="000000" w:themeColor="text1"/>
          <w:lang w:val="es-ES"/>
        </w:rPr>
      </w:pPr>
    </w:p>
    <w:p w14:paraId="2C291865" w14:textId="77777777" w:rsidR="008E3928" w:rsidRPr="00115E3D" w:rsidRDefault="008E3928" w:rsidP="004579C9">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3F99A10D" w14:textId="23ED9DB4" w:rsidR="008E3928" w:rsidRDefault="0056695E" w:rsidP="004579C9">
      <w:pPr>
        <w:spacing w:after="0" w:line="240" w:lineRule="auto"/>
        <w:rPr>
          <w:rFonts w:ascii="Verdana" w:eastAsia="Calibri" w:hAnsi="Verdana" w:cs="Arial"/>
          <w:b/>
          <w:bCs/>
          <w:color w:val="000000" w:themeColor="text1"/>
          <w:lang w:eastAsia="es-ES"/>
        </w:rPr>
      </w:pPr>
      <w:r w:rsidRPr="00E94542">
        <w:rPr>
          <w:rFonts w:ascii="Verdana" w:eastAsia="Calibri" w:hAnsi="Verdana" w:cs="Arial"/>
          <w:b/>
          <w:bCs/>
          <w:color w:val="000000" w:themeColor="text1"/>
          <w:lang w:eastAsia="es-ES"/>
        </w:rPr>
        <w:t>YENNI MUÑOZ</w:t>
      </w:r>
    </w:p>
    <w:p w14:paraId="03C438B5" w14:textId="77777777" w:rsidR="008E3928" w:rsidRPr="00E94542" w:rsidRDefault="008E3928" w:rsidP="004579C9">
      <w:pPr>
        <w:spacing w:after="0" w:line="240" w:lineRule="auto"/>
        <w:rPr>
          <w:rFonts w:ascii="Verdana" w:eastAsia="Calibri" w:hAnsi="Verdana" w:cs="Arial"/>
          <w:color w:val="000000" w:themeColor="text1"/>
          <w:lang w:eastAsia="es-ES"/>
        </w:rPr>
      </w:pPr>
      <w:r w:rsidRPr="00E94542">
        <w:rPr>
          <w:rFonts w:ascii="Verdana" w:eastAsia="Calibri" w:hAnsi="Verdana" w:cs="Arial"/>
          <w:color w:val="000000" w:themeColor="text1"/>
          <w:lang w:eastAsia="es-ES"/>
        </w:rPr>
        <w:t>yennidnt@hotmail.com</w:t>
      </w:r>
    </w:p>
    <w:p w14:paraId="19C02816" w14:textId="77777777" w:rsidR="008E3928" w:rsidRPr="00CB73C5" w:rsidRDefault="008E3928" w:rsidP="004579C9">
      <w:pPr>
        <w:spacing w:after="0" w:line="240" w:lineRule="auto"/>
        <w:rPr>
          <w:rFonts w:ascii="Verdana" w:eastAsia="Calibri" w:hAnsi="Verdana" w:cs="Arial"/>
          <w:b/>
          <w:bCs/>
          <w:color w:val="000000" w:themeColor="text1"/>
          <w:lang w:eastAsia="es-ES"/>
        </w:rPr>
      </w:pPr>
    </w:p>
    <w:p w14:paraId="7BCE8D89" w14:textId="77777777" w:rsidR="008E3928" w:rsidRPr="00CB7ABE" w:rsidRDefault="008E3928" w:rsidP="004579C9">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8E3928" w:rsidRPr="00115E3D" w14:paraId="6E1BE13C" w14:textId="77777777" w:rsidTr="001A25D0">
        <w:trPr>
          <w:trHeight w:val="615"/>
        </w:trPr>
        <w:tc>
          <w:tcPr>
            <w:tcW w:w="2270" w:type="dxa"/>
          </w:tcPr>
          <w:p w14:paraId="3E18ADCA" w14:textId="77777777" w:rsidR="008E3928" w:rsidRPr="00CB7ABE" w:rsidRDefault="008E3928" w:rsidP="004579C9">
            <w:pPr>
              <w:jc w:val="both"/>
              <w:rPr>
                <w:rFonts w:ascii="Verdana" w:eastAsia="Calibri" w:hAnsi="Verdana" w:cs="Arial"/>
                <w:b/>
                <w:bCs/>
                <w:color w:val="000000" w:themeColor="text1"/>
                <w:lang w:eastAsia="es-ES_tradnl"/>
              </w:rPr>
            </w:pPr>
          </w:p>
        </w:tc>
        <w:tc>
          <w:tcPr>
            <w:tcW w:w="6547" w:type="dxa"/>
          </w:tcPr>
          <w:p w14:paraId="53D0034F" w14:textId="77777777" w:rsidR="008E3928" w:rsidRPr="00115E3D" w:rsidRDefault="008E3928" w:rsidP="004579C9">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150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tc>
      </w:tr>
      <w:tr w:rsidR="008E3928" w:rsidRPr="007E403E" w14:paraId="2851B5D2" w14:textId="77777777" w:rsidTr="001A25D0">
        <w:trPr>
          <w:trHeight w:val="1071"/>
        </w:trPr>
        <w:tc>
          <w:tcPr>
            <w:tcW w:w="2270" w:type="dxa"/>
          </w:tcPr>
          <w:p w14:paraId="3E9CBE72" w14:textId="77777777" w:rsidR="008E3928" w:rsidRPr="001B36DA" w:rsidRDefault="008E3928" w:rsidP="004579C9">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1E42FACD" w14:textId="77777777" w:rsidR="008E3928" w:rsidRPr="00983DE2" w:rsidRDefault="008E3928" w:rsidP="006E008D">
            <w:pPr>
              <w:jc w:val="both"/>
              <w:rPr>
                <w:rFonts w:ascii="Verdana" w:eastAsia="Calibri" w:hAnsi="Verdana" w:cs="Arial"/>
                <w:lang w:val="es-ES" w:eastAsia="es-ES"/>
              </w:rPr>
            </w:pPr>
            <w:r w:rsidRPr="00983DE2">
              <w:rPr>
                <w:rFonts w:ascii="Verdana" w:eastAsia="Calibri" w:hAnsi="Verdana" w:cs="Arial"/>
                <w:lang w:val="es-ES" w:eastAsia="es-ES"/>
              </w:rPr>
              <w:t>GARANTÍAS – Contratación estatal – Constitución de garantías – Finalidad – Cumplimiento – Obligaciones contractuales / GARANTÍA DE CUMPLIMIENTO – Amparos – Finalidad / GARANTÍA DE RESPONSABILIDAD CIVIL EXTRACONTRACTUAL – Características – Suficiencia – Criterios de aprobación</w:t>
            </w:r>
          </w:p>
          <w:p w14:paraId="0A9C46B8" w14:textId="77777777" w:rsidR="008E3928" w:rsidRPr="001B36DA" w:rsidRDefault="008E3928" w:rsidP="006E008D">
            <w:pPr>
              <w:jc w:val="both"/>
              <w:rPr>
                <w:rFonts w:ascii="Verdana" w:eastAsia="Calibri" w:hAnsi="Verdana" w:cs="Arial"/>
                <w:color w:val="000000" w:themeColor="text1"/>
                <w:lang w:val="es-ES" w:eastAsia="es-ES"/>
              </w:rPr>
            </w:pPr>
          </w:p>
        </w:tc>
      </w:tr>
      <w:tr w:rsidR="008E3928" w:rsidRPr="00115E3D" w14:paraId="2E321542" w14:textId="77777777" w:rsidTr="001A25D0">
        <w:trPr>
          <w:trHeight w:val="653"/>
        </w:trPr>
        <w:tc>
          <w:tcPr>
            <w:tcW w:w="2270" w:type="dxa"/>
          </w:tcPr>
          <w:p w14:paraId="61B8FCDF" w14:textId="77777777" w:rsidR="008E3928" w:rsidRPr="00CB7ABE" w:rsidRDefault="008E3928" w:rsidP="004579C9">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10C9F113" w14:textId="77777777" w:rsidR="008E3928" w:rsidRPr="00CB7ABE" w:rsidRDefault="008E3928" w:rsidP="004579C9">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E94542">
              <w:rPr>
                <w:rFonts w:ascii="Verdana" w:eastAsia="Calibri" w:hAnsi="Verdana" w:cs="Arial"/>
                <w:color w:val="000000" w:themeColor="text1"/>
                <w:lang w:val="es-ES_tradnl" w:eastAsia="es-ES_tradnl"/>
              </w:rPr>
              <w:t>1_2026_02_03_001343</w:t>
            </w:r>
          </w:p>
        </w:tc>
      </w:tr>
    </w:tbl>
    <w:p w14:paraId="52665706" w14:textId="77777777" w:rsidR="008E3928" w:rsidRPr="00115E3D" w:rsidRDefault="008E3928" w:rsidP="004579C9">
      <w:pPr>
        <w:spacing w:after="0" w:line="240" w:lineRule="auto"/>
        <w:jc w:val="both"/>
        <w:rPr>
          <w:rFonts w:ascii="Verdana" w:eastAsia="Calibri" w:hAnsi="Verdana" w:cs="Arial"/>
          <w:color w:val="000000" w:themeColor="text1"/>
          <w:lang w:val="es-ES_tradnl" w:eastAsia="es-ES_tradnl"/>
        </w:rPr>
      </w:pPr>
    </w:p>
    <w:p w14:paraId="3B25570C" w14:textId="77777777" w:rsidR="008E3928" w:rsidRPr="00115E3D" w:rsidRDefault="008E3928" w:rsidP="004579C9">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Mu</w:t>
      </w:r>
      <w:r w:rsidRPr="00E94542">
        <w:rPr>
          <w:rFonts w:ascii="Verdana" w:eastAsia="Calibri" w:hAnsi="Verdana" w:cs="Arial"/>
          <w:color w:val="000000" w:themeColor="text1"/>
          <w:lang w:val="es-ES" w:eastAsia="es-ES"/>
        </w:rPr>
        <w:t>ñoz</w:t>
      </w:r>
      <w:r>
        <w:rPr>
          <w:rFonts w:ascii="Verdana" w:eastAsia="Calibri" w:hAnsi="Verdana" w:cs="Arial"/>
          <w:color w:val="000000" w:themeColor="text1"/>
          <w:lang w:val="es-ES" w:eastAsia="es-ES"/>
        </w:rPr>
        <w:t>;</w:t>
      </w:r>
    </w:p>
    <w:p w14:paraId="22894758" w14:textId="77777777" w:rsidR="008E3928" w:rsidRPr="00115E3D" w:rsidRDefault="008E3928" w:rsidP="004579C9">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782C899" w14:textId="77777777" w:rsidR="008E3928" w:rsidRPr="00115E3D" w:rsidRDefault="008E3928" w:rsidP="004579C9">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en esta entidad el 02 de febrero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26</w:t>
      </w:r>
      <w:r w:rsidRPr="00115E3D">
        <w:rPr>
          <w:rFonts w:ascii="Verdana" w:eastAsia="Calibri" w:hAnsi="Verdana" w:cs="Arial"/>
          <w:color w:val="000000" w:themeColor="text1"/>
          <w:lang w:val="es-ES" w:eastAsia="es-ES"/>
        </w:rPr>
        <w:t xml:space="preserve">, en la cual manifiesta lo siguiente: </w:t>
      </w:r>
    </w:p>
    <w:p w14:paraId="3F564FF4" w14:textId="77777777" w:rsidR="008E3928" w:rsidRDefault="008E3928" w:rsidP="006E008D">
      <w:pPr>
        <w:spacing w:after="0" w:line="276"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6D460A38" w14:textId="5099A27A"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Pr>
          <w:rFonts w:ascii="Verdana" w:eastAsia="Century Gothic" w:hAnsi="Verdana" w:cs="Century Gothic"/>
          <w:i/>
          <w:iCs/>
          <w:color w:val="000000" w:themeColor="text1"/>
          <w:sz w:val="20"/>
          <w:szCs w:val="20"/>
          <w:lang w:val="es-ES"/>
        </w:rPr>
        <w:t>“</w:t>
      </w:r>
      <w:r w:rsidRPr="0011036B">
        <w:rPr>
          <w:rFonts w:ascii="Verdana" w:eastAsia="Century Gothic" w:hAnsi="Verdana" w:cs="Century Gothic"/>
          <w:i/>
          <w:iCs/>
          <w:color w:val="000000" w:themeColor="text1"/>
          <w:sz w:val="20"/>
          <w:szCs w:val="20"/>
        </w:rPr>
        <w:t>¿</w:t>
      </w:r>
      <w:r w:rsidRPr="00E94542">
        <w:rPr>
          <w:rFonts w:ascii="Verdana" w:eastAsia="Century Gothic" w:hAnsi="Verdana" w:cs="Century Gothic"/>
          <w:i/>
          <w:iCs/>
          <w:color w:val="000000" w:themeColor="text1"/>
          <w:sz w:val="20"/>
          <w:szCs w:val="20"/>
        </w:rPr>
        <w:t xml:space="preserve">En un contrato que, por su objeto y naturaleza, requería la constitución tanto de la garantía de cumplimiento como de la garantía de responsabilidad civil extracontractual, se presenta la situación en la cual, por un error involuntario, en la minuta contractual no se incluyó la exigencia de esta última? En consecuencia, el contrato inició su ejecución sin que el riesgo de responsabilidad civil extracontractual estuviera </w:t>
      </w:r>
      <w:r w:rsidRPr="00E94542">
        <w:rPr>
          <w:rFonts w:ascii="Verdana" w:eastAsia="Century Gothic" w:hAnsi="Verdana" w:cs="Century Gothic"/>
          <w:i/>
          <w:iCs/>
          <w:color w:val="000000" w:themeColor="text1"/>
          <w:sz w:val="20"/>
          <w:szCs w:val="20"/>
        </w:rPr>
        <w:lastRenderedPageBreak/>
        <w:t>amparado, toda vez que el contratista no fue informado de dicha obligación.</w:t>
      </w:r>
    </w:p>
    <w:p w14:paraId="33030A98"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 </w:t>
      </w:r>
    </w:p>
    <w:p w14:paraId="16BA33A0"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Posteriormente, luego de un periodo de ejecución, se solicita la prórroga del plazo contractual. En el marco de la revisión del expediente para la suscripción del otrosí correspondiente, la entidad advierte que, desde el inicio, el contrato requería la constitución de la garantía de responsabilidad civil extracontractual, atendiendo a su objeto y naturaleza.</w:t>
      </w:r>
    </w:p>
    <w:p w14:paraId="005B42C4"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 </w:t>
      </w:r>
    </w:p>
    <w:p w14:paraId="481D112D"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Con fundamento en lo anterior, respetuosamente solicito orientación general frente a los siguientes interrogantes:</w:t>
      </w:r>
    </w:p>
    <w:p w14:paraId="1E28B921"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 </w:t>
      </w:r>
    </w:p>
    <w:p w14:paraId="1B52D752"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¿Es procedente que, en el otrosí mediante el cual se prorroga el plazo del contrato, la entidad exija al contratista, además de la ampliación de las garantías ya constituidas, la expedición de la garantía de responsabilidad civil extracontractual que no fue exigida inicialmente?</w:t>
      </w:r>
    </w:p>
    <w:p w14:paraId="541B1E55"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 </w:t>
      </w:r>
    </w:p>
    <w:p w14:paraId="2F678FE7"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En caso afirmativo, ¿dicha garantía debería constituirse por el valor total del contrato o únicamente por el valor correspondiente al plazo adicional o al valor excedente derivado de la prórroga, teniendo en cuenta que la cobertura del riesgo no tendría efectos retroactivos, salvo aceptación expresa de la aseguradora?</w:t>
      </w:r>
    </w:p>
    <w:p w14:paraId="33084F69"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 </w:t>
      </w:r>
    </w:p>
    <w:p w14:paraId="60DB355A"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En el evento en que no se considere viable la subsanación de la omisión mediante la exigencia posterior de la garantía, ¿resultaría procedente la liquidación del contrato por esta circunstancia, aun cuando el servicio contratado sea necesario para la entidad?</w:t>
      </w:r>
    </w:p>
    <w:p w14:paraId="549A9F1A"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 </w:t>
      </w:r>
    </w:p>
    <w:p w14:paraId="4AD68761"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De adelantarse la liquidación del contrato encontrándose este vigente, ¿dicha situación implicaría que se configure un incumplimiento atribuible al contratista, o cómo debería reflejarse esta circunstancia en el acta de liquidación?</w:t>
      </w:r>
    </w:p>
    <w:p w14:paraId="23147366"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 </w:t>
      </w:r>
    </w:p>
    <w:p w14:paraId="629BDDC1"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En caso de proceder la liquidación, ¿podría justificarse jurídicamente bajo la figura de una imposibilidad jurídica de continuación del contrato, o bajo qué criterios generales podría fundamentarse dicha decisión?</w:t>
      </w:r>
    </w:p>
    <w:p w14:paraId="10971CD1"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 </w:t>
      </w:r>
    </w:p>
    <w:p w14:paraId="10394064"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De optarse por la liquidación del contrato y existir un excedente presupuestal derivado de la misma, ¿sería viable celebrar un nuevo contrato para la prestación del servicio requerido, ya sea con el mismo proveedor o con quien presente la mejor propuesta, garantizando desde el inicio la constitución de todas las garantías exigibles según el objeto y naturaleza del contrato?</w:t>
      </w:r>
    </w:p>
    <w:p w14:paraId="7F67F439"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 </w:t>
      </w:r>
    </w:p>
    <w:p w14:paraId="52111BE0" w14:textId="77777777" w:rsidR="008E3928" w:rsidRPr="00E94542"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r w:rsidRPr="00E94542">
        <w:rPr>
          <w:rFonts w:ascii="Verdana" w:eastAsia="Century Gothic" w:hAnsi="Verdana" w:cs="Century Gothic"/>
          <w:i/>
          <w:iCs/>
          <w:color w:val="000000" w:themeColor="text1"/>
          <w:sz w:val="20"/>
          <w:szCs w:val="20"/>
        </w:rPr>
        <w:t xml:space="preserve">En este escenario, ¿la celebración de un nuevo contrato podría entenderse como fraccionamiento contractual, o existirían criterios que permitan </w:t>
      </w:r>
      <w:r w:rsidRPr="00E94542">
        <w:rPr>
          <w:rFonts w:ascii="Verdana" w:eastAsia="Century Gothic" w:hAnsi="Verdana" w:cs="Century Gothic"/>
          <w:i/>
          <w:iCs/>
          <w:color w:val="000000" w:themeColor="text1"/>
          <w:sz w:val="20"/>
          <w:szCs w:val="20"/>
        </w:rPr>
        <w:lastRenderedPageBreak/>
        <w:t>descartar dicha configuración, atendiendo a la causa que dio lugar a la liquidación del contrato inicial?</w:t>
      </w:r>
      <w:r>
        <w:rPr>
          <w:rFonts w:ascii="Verdana" w:eastAsia="Century Gothic" w:hAnsi="Verdana" w:cs="Century Gothic"/>
          <w:i/>
          <w:iCs/>
          <w:color w:val="000000" w:themeColor="text1"/>
          <w:sz w:val="20"/>
          <w:szCs w:val="20"/>
          <w:lang w:val="es-MX"/>
        </w:rPr>
        <w:t>”</w:t>
      </w:r>
    </w:p>
    <w:p w14:paraId="17F13676" w14:textId="77777777" w:rsidR="008E3928" w:rsidRDefault="008E3928" w:rsidP="008E3928">
      <w:pPr>
        <w:spacing w:after="0" w:line="240" w:lineRule="auto"/>
        <w:ind w:left="709" w:right="709"/>
        <w:jc w:val="both"/>
        <w:rPr>
          <w:rFonts w:ascii="Verdana" w:eastAsia="Century Gothic" w:hAnsi="Verdana" w:cs="Century Gothic"/>
          <w:i/>
          <w:iCs/>
          <w:color w:val="000000" w:themeColor="text1"/>
          <w:sz w:val="20"/>
          <w:szCs w:val="20"/>
        </w:rPr>
      </w:pPr>
    </w:p>
    <w:p w14:paraId="1BC3048B" w14:textId="77777777" w:rsidR="008E3928" w:rsidRDefault="008E3928" w:rsidP="006E008D">
      <w:pPr>
        <w:spacing w:after="12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323FF3D9" w14:textId="77777777" w:rsidR="008E3928" w:rsidRPr="00115E3D" w:rsidRDefault="008E3928" w:rsidP="008E3928">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5A7A88AC" w14:textId="77777777" w:rsidR="008E3928" w:rsidRPr="00115E3D" w:rsidRDefault="008E3928" w:rsidP="008E3928">
      <w:pPr>
        <w:spacing w:after="0" w:line="276" w:lineRule="auto"/>
        <w:ind w:firstLine="709"/>
        <w:jc w:val="both"/>
        <w:rPr>
          <w:rFonts w:ascii="Verdana" w:eastAsia="Calibri" w:hAnsi="Verdana" w:cs="Arial"/>
          <w:color w:val="000000" w:themeColor="text1"/>
          <w:lang w:val="es-ES" w:eastAsia="es-ES"/>
        </w:rPr>
      </w:pPr>
    </w:p>
    <w:p w14:paraId="29DA1B35" w14:textId="77777777" w:rsidR="008E3928" w:rsidRPr="00115E3D" w:rsidRDefault="008E3928" w:rsidP="008E392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2F52893C" w14:textId="77777777" w:rsidR="008E3928" w:rsidRPr="00115E3D" w:rsidRDefault="008E3928" w:rsidP="008E3928">
      <w:pPr>
        <w:tabs>
          <w:tab w:val="left" w:pos="426"/>
        </w:tabs>
        <w:spacing w:after="0" w:line="276" w:lineRule="auto"/>
        <w:jc w:val="both"/>
        <w:rPr>
          <w:rFonts w:ascii="Verdana" w:eastAsia="Century Gothic" w:hAnsi="Verdana" w:cs="Century Gothic"/>
          <w:color w:val="000000" w:themeColor="text1"/>
          <w:lang w:val="es-ES"/>
        </w:rPr>
      </w:pPr>
    </w:p>
    <w:p w14:paraId="0C67997E" w14:textId="77777777" w:rsidR="008E3928" w:rsidRDefault="008E3928" w:rsidP="008E3928">
      <w:pPr>
        <w:spacing w:after="0" w:line="276" w:lineRule="auto"/>
        <w:jc w:val="both"/>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w:t>
      </w:r>
      <w:r w:rsidRPr="00115E3D">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w:t>
      </w:r>
      <w:r w:rsidRPr="00946693">
        <w:t xml:space="preserve"> </w:t>
      </w:r>
    </w:p>
    <w:p w14:paraId="7D783051" w14:textId="77777777" w:rsidR="008E3928" w:rsidRDefault="008E3928" w:rsidP="008E3928">
      <w:pPr>
        <w:spacing w:after="0" w:line="276" w:lineRule="auto"/>
        <w:jc w:val="both"/>
      </w:pPr>
    </w:p>
    <w:p w14:paraId="06E28073" w14:textId="77777777" w:rsidR="008E3928" w:rsidRPr="0080594D" w:rsidRDefault="008E3928" w:rsidP="008E3928">
      <w:pPr>
        <w:spacing w:after="0" w:line="276" w:lineRule="auto"/>
        <w:jc w:val="both"/>
      </w:pPr>
      <w:r>
        <w:rPr>
          <w:rFonts w:ascii="Verdana" w:hAnsi="Verdana"/>
        </w:rPr>
        <w:t xml:space="preserve">i.   </w:t>
      </w:r>
      <w:r w:rsidRPr="0080594D">
        <w:rPr>
          <w:rFonts w:ascii="Verdana" w:hAnsi="Verdana"/>
        </w:rPr>
        <w:t xml:space="preserve">¿Es procedente que una entidad estatal, tras advertir la omisión de la garantía de Responsabilidad Civil Extracontractual (RCE) en la minuta original de un contrato que por su naturaleza la requería, exija su constitución mediante </w:t>
      </w:r>
      <w:r>
        <w:rPr>
          <w:rFonts w:ascii="Verdana" w:hAnsi="Verdana"/>
        </w:rPr>
        <w:t>la suscripción de una</w:t>
      </w:r>
      <w:r w:rsidRPr="0080594D">
        <w:rPr>
          <w:rFonts w:ascii="Verdana" w:hAnsi="Verdana"/>
        </w:rPr>
        <w:t xml:space="preserve"> prórroga? </w:t>
      </w:r>
    </w:p>
    <w:p w14:paraId="3A667A58" w14:textId="77777777" w:rsidR="008E3928" w:rsidRDefault="008E3928" w:rsidP="008E3928">
      <w:pPr>
        <w:spacing w:after="0" w:line="276" w:lineRule="auto"/>
        <w:jc w:val="both"/>
        <w:rPr>
          <w:rFonts w:ascii="Verdana" w:hAnsi="Verdana"/>
        </w:rPr>
      </w:pPr>
    </w:p>
    <w:p w14:paraId="08704F26" w14:textId="77777777" w:rsidR="008E3928" w:rsidRPr="0060398A" w:rsidRDefault="008E3928" w:rsidP="008E3928">
      <w:pPr>
        <w:spacing w:after="0" w:line="276" w:lineRule="auto"/>
        <w:jc w:val="both"/>
        <w:rPr>
          <w:rFonts w:ascii="Verdana" w:hAnsi="Verdana"/>
        </w:rPr>
      </w:pPr>
      <w:proofErr w:type="spellStart"/>
      <w:r>
        <w:rPr>
          <w:rFonts w:ascii="Verdana" w:hAnsi="Verdana"/>
        </w:rPr>
        <w:t>ii</w:t>
      </w:r>
      <w:proofErr w:type="spellEnd"/>
      <w:r>
        <w:rPr>
          <w:rFonts w:ascii="Verdana" w:hAnsi="Verdana"/>
        </w:rPr>
        <w:t>.</w:t>
      </w:r>
      <w:r w:rsidRPr="0080594D">
        <w:rPr>
          <w:rFonts w:ascii="Verdana" w:hAnsi="Verdana"/>
        </w:rPr>
        <w:t xml:space="preserve"> ¿</w:t>
      </w:r>
      <w:r>
        <w:rPr>
          <w:rFonts w:ascii="Verdana" w:hAnsi="Verdana"/>
        </w:rPr>
        <w:t>L</w:t>
      </w:r>
      <w:r w:rsidRPr="0080594D">
        <w:rPr>
          <w:rFonts w:ascii="Verdana" w:hAnsi="Verdana"/>
        </w:rPr>
        <w:t xml:space="preserve">a ausencia de esta garantía faculta la liquidación del contrato por imposibilidad jurídica y </w:t>
      </w:r>
      <w:r>
        <w:rPr>
          <w:rFonts w:ascii="Verdana" w:hAnsi="Verdana"/>
        </w:rPr>
        <w:t xml:space="preserve">una nueva contratación </w:t>
      </w:r>
      <w:r w:rsidRPr="0080594D">
        <w:rPr>
          <w:rFonts w:ascii="Verdana" w:hAnsi="Verdana"/>
        </w:rPr>
        <w:t>del servicio configuraría un fraccionamiento contractual?</w:t>
      </w:r>
    </w:p>
    <w:p w14:paraId="57991BBA" w14:textId="77777777" w:rsidR="008E3928" w:rsidRDefault="008E3928" w:rsidP="008E3928">
      <w:pPr>
        <w:spacing w:after="0" w:line="276" w:lineRule="auto"/>
        <w:jc w:val="both"/>
        <w:rPr>
          <w:rFonts w:ascii="Verdana" w:hAnsi="Verdana"/>
        </w:rPr>
      </w:pPr>
    </w:p>
    <w:p w14:paraId="27C98DE2" w14:textId="77777777" w:rsidR="008E3928" w:rsidRPr="00115E3D" w:rsidRDefault="008E3928" w:rsidP="008E392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7A54CC5F" w14:textId="77777777" w:rsidR="008E3928" w:rsidRPr="00115E3D" w:rsidRDefault="008E3928" w:rsidP="008E392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E3928" w:rsidRPr="00115E3D" w14:paraId="2B3B6691" w14:textId="77777777" w:rsidTr="001A25D0">
        <w:trPr>
          <w:trHeight w:val="774"/>
        </w:trPr>
        <w:tc>
          <w:tcPr>
            <w:tcW w:w="8828" w:type="dxa"/>
          </w:tcPr>
          <w:p w14:paraId="6707582A" w14:textId="25ED9C67" w:rsidR="00717FEE" w:rsidRDefault="008E3928" w:rsidP="005459E9">
            <w:pPr>
              <w:spacing w:after="120" w:line="276" w:lineRule="auto"/>
              <w:jc w:val="both"/>
              <w:rPr>
                <w:rFonts w:ascii="Verdana" w:eastAsia="Calibri" w:hAnsi="Verdana" w:cs="Arial"/>
                <w:lang w:val="es-MX"/>
              </w:rPr>
            </w:pPr>
            <w:r>
              <w:rPr>
                <w:rFonts w:ascii="Verdana" w:eastAsia="Calibri" w:hAnsi="Verdana" w:cs="Arial"/>
              </w:rPr>
              <w:t xml:space="preserve">i. </w:t>
            </w:r>
            <w:r w:rsidRPr="0080594D">
              <w:rPr>
                <w:rFonts w:ascii="Verdana" w:eastAsia="Calibri" w:hAnsi="Verdana" w:cs="Arial"/>
                <w:lang w:val="es-MX"/>
              </w:rPr>
              <w:t xml:space="preserve">Las garantías en la contratación estatal funcionan como instrumentos esenciales para la cobertura de riesgos comunes en los procesos de selección y ejecución. Conforme a la normativa vigente, los proponentes o contratistas disponen de diversas opciones para respaldar sus obligaciones frente a las entidades estatales, pudiendo otorgar contratos de seguro, fiducia mercantil de garantía, o garantías bancarias y cartas de crédito stand by. Estos instrumentos permiten que la administración cuente con un respaldo sólido ante eventuales incumplimientos o daños, asegurando que el riesgo sea trasladado a un tercero con capacidad financiera. </w:t>
            </w:r>
          </w:p>
          <w:p w14:paraId="22315E56" w14:textId="129130BC" w:rsidR="008E3928" w:rsidRPr="0080594D" w:rsidRDefault="008E3928" w:rsidP="006E008D">
            <w:pPr>
              <w:spacing w:after="120" w:line="276" w:lineRule="auto"/>
              <w:ind w:firstLine="709"/>
              <w:jc w:val="both"/>
              <w:rPr>
                <w:rFonts w:ascii="Verdana" w:eastAsia="Calibri" w:hAnsi="Verdana" w:cs="Arial"/>
                <w:lang w:val="es-MX"/>
              </w:rPr>
            </w:pPr>
            <w:r w:rsidRPr="0080594D">
              <w:rPr>
                <w:rFonts w:ascii="Verdana" w:eastAsia="Calibri" w:hAnsi="Verdana" w:cs="Arial"/>
                <w:lang w:val="es-MX"/>
              </w:rPr>
              <w:t>Al respecto, el inciso tercero del artículo 7 de la Ley 1150 de 2007 dispone que el Gobierno Nacional señalará los criterios para la exigencia de garantías y niveles de amparo, lo que implica que los contratos de seguro presentados deben cumplir estrictamente con los requisitos del Decreto 1082 de 2015.</w:t>
            </w:r>
          </w:p>
          <w:p w14:paraId="2F42151A" w14:textId="77777777" w:rsidR="008E3928" w:rsidRDefault="008E3928" w:rsidP="006E008D">
            <w:pPr>
              <w:spacing w:after="120" w:line="276" w:lineRule="auto"/>
              <w:jc w:val="both"/>
              <w:rPr>
                <w:rFonts w:ascii="Verdana" w:eastAsia="Calibri" w:hAnsi="Verdana" w:cs="Arial"/>
                <w:lang w:val="es-MX"/>
              </w:rPr>
            </w:pPr>
            <w:r>
              <w:rPr>
                <w:rFonts w:ascii="Verdana" w:eastAsia="Calibri" w:hAnsi="Verdana" w:cs="Arial"/>
                <w:lang w:val="es-MX"/>
              </w:rPr>
              <w:t xml:space="preserve">        </w:t>
            </w:r>
            <w:r w:rsidRPr="0080594D">
              <w:rPr>
                <w:rFonts w:ascii="Verdana" w:eastAsia="Calibri" w:hAnsi="Verdana" w:cs="Arial"/>
                <w:lang w:val="es-MX"/>
              </w:rPr>
              <w:t>En cuanto a la obligatoriedad de estas coberturas, el amparo de responsabilidad civil extracontractual es obligatorio en los contratos de obra, así como en aquellos en que por su objeto o naturaleza se considere necesario con ocasión de los riesgos previstos en el negocio. Su fin es cubrir eventuales reclamaciones de terceros que surjan de las actuaciones, hechos u omisiones del contratista. De acuerdo con el artículo 2.2.1.2.3.1.8 del Decreto 1082 de 2015, la entidad debe exigir que esta póliza cubra también los perjuicios ocasionados por subcontratistas autorizados o, en su defecto, que se acredite que estos cuentan con un seguro propio con el mismo objeto donde la entidad sea el asegurado. Por tanto, si el contrato requería esta póliza desde su origen, la entidad debe proceder a su exigencia inmediata para evitar una ejecución que contravenga los principios de responsabilidad.</w:t>
            </w:r>
          </w:p>
          <w:p w14:paraId="7767162D" w14:textId="2E6BCA10" w:rsidR="008E3928" w:rsidRDefault="008E3928" w:rsidP="006E008D">
            <w:pPr>
              <w:spacing w:after="120" w:line="276" w:lineRule="auto"/>
              <w:jc w:val="both"/>
              <w:rPr>
                <w:rFonts w:ascii="Verdana" w:eastAsia="Calibri" w:hAnsi="Verdana" w:cs="Arial"/>
                <w:lang w:val="es-MX"/>
              </w:rPr>
            </w:pPr>
            <w:r>
              <w:rPr>
                <w:rFonts w:ascii="Verdana" w:eastAsia="Calibri" w:hAnsi="Verdana" w:cs="Arial"/>
                <w:lang w:val="es-MX"/>
              </w:rPr>
              <w:t xml:space="preserve">         Ahora bien, ante la omisión de cumplimiento de las normas legales surge la figura de la subsanación como mecanismo extraordinario para enmendar errores de la administración, </w:t>
            </w:r>
            <w:r w:rsidRPr="00AE1EB5">
              <w:rPr>
                <w:rFonts w:ascii="Verdana" w:eastAsia="Calibri" w:hAnsi="Verdana" w:cs="Arial"/>
              </w:rPr>
              <w:t xml:space="preserve">en la contratación estatal </w:t>
            </w:r>
            <w:r>
              <w:rPr>
                <w:rFonts w:ascii="Verdana" w:eastAsia="Calibri" w:hAnsi="Verdana" w:cs="Arial"/>
              </w:rPr>
              <w:t xml:space="preserve">esta figura </w:t>
            </w:r>
            <w:r w:rsidRPr="00AE1EB5">
              <w:rPr>
                <w:rFonts w:ascii="Verdana" w:eastAsia="Calibri" w:hAnsi="Verdana" w:cs="Arial"/>
              </w:rPr>
              <w:t xml:space="preserve">se fundamenta en los principios constitucionales de eficacia y moralidad </w:t>
            </w:r>
            <w:r>
              <w:rPr>
                <w:rFonts w:ascii="Verdana" w:eastAsia="Calibri" w:hAnsi="Verdana" w:cs="Arial"/>
              </w:rPr>
              <w:t>del artículo 2</w:t>
            </w:r>
            <w:r w:rsidRPr="00AE1EB5">
              <w:rPr>
                <w:rFonts w:ascii="Verdana" w:eastAsia="Calibri" w:hAnsi="Verdana" w:cs="Arial"/>
              </w:rPr>
              <w:t xml:space="preserve">09 </w:t>
            </w:r>
            <w:r>
              <w:rPr>
                <w:rFonts w:ascii="Verdana" w:eastAsia="Calibri" w:hAnsi="Verdana" w:cs="Arial"/>
              </w:rPr>
              <w:t>superior</w:t>
            </w:r>
            <w:r w:rsidRPr="00AE1EB5">
              <w:rPr>
                <w:rFonts w:ascii="Verdana" w:eastAsia="Calibri" w:hAnsi="Verdana" w:cs="Arial"/>
              </w:rPr>
              <w:t>, los cuales obligan a la administración a remover obstáculos formales y corregir errores para asegurar el cumplimiento de los fines del Estado. Este mandato se materializa a través del deber de dirección y responsabilidad de las entidades</w:t>
            </w:r>
            <w:r w:rsidR="002937C8">
              <w:rPr>
                <w:rFonts w:ascii="Verdana" w:eastAsia="Calibri" w:hAnsi="Verdana" w:cs="Arial"/>
              </w:rPr>
              <w:t>,</w:t>
            </w:r>
            <w:r w:rsidRPr="00AE1EB5">
              <w:rPr>
                <w:rFonts w:ascii="Verdana" w:eastAsia="Calibri" w:hAnsi="Verdana" w:cs="Arial"/>
              </w:rPr>
              <w:t xml:space="preserve"> </w:t>
            </w:r>
            <w:r>
              <w:rPr>
                <w:rFonts w:ascii="Verdana" w:eastAsia="Calibri" w:hAnsi="Verdana" w:cs="Arial"/>
              </w:rPr>
              <w:t xml:space="preserve">previsto en los artículos </w:t>
            </w:r>
            <w:r w:rsidRPr="00AE1EB5">
              <w:rPr>
                <w:rFonts w:ascii="Verdana" w:eastAsia="Calibri" w:hAnsi="Verdana" w:cs="Arial"/>
              </w:rPr>
              <w:t xml:space="preserve">4 y 14 de la Ley </w:t>
            </w:r>
            <w:r w:rsidRPr="00AE1EB5">
              <w:rPr>
                <w:rFonts w:ascii="Verdana" w:eastAsia="Calibri" w:hAnsi="Verdana" w:cs="Arial"/>
              </w:rPr>
              <w:lastRenderedPageBreak/>
              <w:t xml:space="preserve">80 de 1993, que las faculta para sanear omisiones en la cobertura de riesgos y ajustar el contrato al ordenamiento legal, evitando así nulidades o perjuicios al patrimonio público. </w:t>
            </w:r>
          </w:p>
          <w:p w14:paraId="25AD3397" w14:textId="6315C379" w:rsidR="008E3928" w:rsidRDefault="008E3928" w:rsidP="006E008D">
            <w:pPr>
              <w:spacing w:after="120" w:line="276" w:lineRule="auto"/>
              <w:jc w:val="both"/>
              <w:rPr>
                <w:rFonts w:ascii="Verdana" w:eastAsia="Calibri" w:hAnsi="Verdana" w:cs="Arial"/>
              </w:rPr>
            </w:pPr>
            <w:r>
              <w:rPr>
                <w:rFonts w:ascii="Verdana" w:eastAsia="Calibri" w:hAnsi="Verdana" w:cs="Arial"/>
              </w:rPr>
              <w:t xml:space="preserve">         Así las cosas y en atención al problema jurídico planteado</w:t>
            </w:r>
            <w:r w:rsidR="002937C8">
              <w:rPr>
                <w:rFonts w:ascii="Verdana" w:eastAsia="Calibri" w:hAnsi="Verdana" w:cs="Arial"/>
              </w:rPr>
              <w:t>,</w:t>
            </w:r>
            <w:r>
              <w:rPr>
                <w:rFonts w:ascii="Verdana" w:eastAsia="Calibri" w:hAnsi="Verdana" w:cs="Arial"/>
              </w:rPr>
              <w:t xml:space="preserve"> corresponderá a la entidad estatal</w:t>
            </w:r>
            <w:r w:rsidR="002937C8">
              <w:rPr>
                <w:rFonts w:ascii="Verdana" w:eastAsia="Calibri" w:hAnsi="Verdana" w:cs="Arial"/>
              </w:rPr>
              <w:t>,</w:t>
            </w:r>
            <w:r>
              <w:rPr>
                <w:rFonts w:ascii="Verdana" w:eastAsia="Calibri" w:hAnsi="Verdana" w:cs="Arial"/>
              </w:rPr>
              <w:t xml:space="preserve"> de conformidad con la normatividad anteriormente transcrita y los elementos facticos del caso</w:t>
            </w:r>
            <w:r w:rsidR="002937C8">
              <w:rPr>
                <w:rFonts w:ascii="Verdana" w:eastAsia="Calibri" w:hAnsi="Verdana" w:cs="Arial"/>
              </w:rPr>
              <w:t>,</w:t>
            </w:r>
            <w:r>
              <w:rPr>
                <w:rFonts w:ascii="Verdana" w:eastAsia="Calibri" w:hAnsi="Verdana" w:cs="Arial"/>
              </w:rPr>
              <w:t xml:space="preserve"> determinar si resulta </w:t>
            </w:r>
            <w:r w:rsidRPr="00D04F91">
              <w:rPr>
                <w:rFonts w:ascii="Verdana" w:eastAsia="Calibri" w:hAnsi="Verdana" w:cs="Arial"/>
              </w:rPr>
              <w:t>jurídica y técnicamente procedente subsan</w:t>
            </w:r>
            <w:r>
              <w:rPr>
                <w:rFonts w:ascii="Verdana" w:eastAsia="Calibri" w:hAnsi="Verdana" w:cs="Arial"/>
              </w:rPr>
              <w:t>ar</w:t>
            </w:r>
            <w:r w:rsidRPr="00D04F91">
              <w:rPr>
                <w:rFonts w:ascii="Verdana" w:eastAsia="Calibri" w:hAnsi="Verdana" w:cs="Arial"/>
              </w:rPr>
              <w:t xml:space="preserve"> la omisión mediante la exigencia de la garantía de Responsabilidad Civil Extracontractual (RCE) en el marco de la suscripción del otrosí de prórroga</w:t>
            </w:r>
            <w:r w:rsidR="005C5EF1">
              <w:rPr>
                <w:rFonts w:ascii="Verdana" w:eastAsia="Calibri" w:hAnsi="Verdana" w:cs="Arial"/>
              </w:rPr>
              <w:t>, para establecer su obligación</w:t>
            </w:r>
            <w:r w:rsidRPr="00D04F91">
              <w:rPr>
                <w:rFonts w:ascii="Verdana" w:eastAsia="Calibri" w:hAnsi="Verdana" w:cs="Arial"/>
              </w:rPr>
              <w:t xml:space="preserve">. </w:t>
            </w:r>
          </w:p>
          <w:p w14:paraId="7A6B517C" w14:textId="5450789B" w:rsidR="008E3928" w:rsidRDefault="008E3928" w:rsidP="001A25D0">
            <w:pPr>
              <w:spacing w:line="276" w:lineRule="auto"/>
              <w:jc w:val="both"/>
              <w:rPr>
                <w:rFonts w:ascii="Verdana" w:eastAsia="Calibri" w:hAnsi="Verdana" w:cs="Arial"/>
              </w:rPr>
            </w:pPr>
            <w:r>
              <w:rPr>
                <w:rFonts w:ascii="Verdana" w:eastAsia="Calibri" w:hAnsi="Verdana" w:cs="Arial"/>
              </w:rPr>
              <w:t xml:space="preserve">         La anterior decisión debe soportarse en el </w:t>
            </w:r>
            <w:r w:rsidRPr="00D04F91">
              <w:rPr>
                <w:rFonts w:ascii="Verdana" w:eastAsia="Calibri" w:hAnsi="Verdana" w:cs="Arial"/>
              </w:rPr>
              <w:t xml:space="preserve">deber imperativo </w:t>
            </w:r>
            <w:r>
              <w:rPr>
                <w:rFonts w:ascii="Verdana" w:eastAsia="Calibri" w:hAnsi="Verdana" w:cs="Arial"/>
              </w:rPr>
              <w:t xml:space="preserve">que tienen </w:t>
            </w:r>
            <w:r w:rsidRPr="00D04F91">
              <w:rPr>
                <w:rFonts w:ascii="Verdana" w:eastAsia="Calibri" w:hAnsi="Verdana" w:cs="Arial"/>
              </w:rPr>
              <w:t xml:space="preserve">las entidades de amparar los riesgos que se derivan del objeto y la naturaleza del contrato, protegiendo así el patrimonio público y el interés general frente a eventuales reclamaciones de terceros. </w:t>
            </w:r>
            <w:r>
              <w:rPr>
                <w:rFonts w:ascii="Verdana" w:eastAsia="Calibri" w:hAnsi="Verdana" w:cs="Arial"/>
              </w:rPr>
              <w:t>Además, deberá tenerse en cuenta que s</w:t>
            </w:r>
            <w:r w:rsidRPr="00D04F91">
              <w:rPr>
                <w:rFonts w:ascii="Verdana" w:eastAsia="Calibri" w:hAnsi="Verdana" w:cs="Arial"/>
              </w:rPr>
              <w:t xml:space="preserve">i bien la cobertura no suele tener efectos retroactivos, su constitución para el periodo restante es indispensable para cumplir con la legalidad. </w:t>
            </w:r>
          </w:p>
          <w:p w14:paraId="5676E58E" w14:textId="2E2FB5F7" w:rsidR="005459E9" w:rsidRDefault="005459E9" w:rsidP="001A25D0">
            <w:pPr>
              <w:spacing w:line="276" w:lineRule="auto"/>
              <w:jc w:val="both"/>
              <w:rPr>
                <w:rFonts w:ascii="Verdana" w:eastAsia="Calibri" w:hAnsi="Verdana" w:cs="Arial"/>
              </w:rPr>
            </w:pPr>
          </w:p>
          <w:p w14:paraId="6B531EB9" w14:textId="56F852E7" w:rsidR="008E3928" w:rsidRPr="0080594D" w:rsidRDefault="008E3928" w:rsidP="006E008D">
            <w:pPr>
              <w:spacing w:after="120" w:line="276" w:lineRule="auto"/>
              <w:jc w:val="both"/>
              <w:rPr>
                <w:rFonts w:ascii="Verdana" w:eastAsia="Calibri" w:hAnsi="Verdana" w:cs="Arial"/>
                <w:lang w:val="es-MX"/>
              </w:rPr>
            </w:pPr>
            <w:proofErr w:type="spellStart"/>
            <w:r>
              <w:rPr>
                <w:rFonts w:ascii="Verdana" w:eastAsia="Calibri" w:hAnsi="Verdana" w:cs="Arial"/>
              </w:rPr>
              <w:t>ii</w:t>
            </w:r>
            <w:proofErr w:type="spellEnd"/>
            <w:r>
              <w:rPr>
                <w:rFonts w:ascii="Verdana" w:eastAsia="Calibri" w:hAnsi="Verdana" w:cs="Arial"/>
              </w:rPr>
              <w:t>. Ahora bien, en el caso que la entidad no encuentre viable proceder a la subsanación</w:t>
            </w:r>
            <w:r w:rsidRPr="00D04F91">
              <w:rPr>
                <w:rFonts w:ascii="Verdana" w:eastAsia="Calibri" w:hAnsi="Verdana" w:cs="Arial"/>
              </w:rPr>
              <w:t>, la entidad podría evaluar la liquidación del contrato por mutuo acuerdo o mediante un acto administrativo motivado, fundamentándose en la imposibilidad jurídica de continuar con una ejecución que vulnera el régimen legal de gestión de riesgos, sin que la posterior contratación del saldo del objeto con un nuevo contratista constituya fraccionamiento, siempre que la terminación del vínculo inicial esté debidamente justificada.</w:t>
            </w:r>
          </w:p>
          <w:p w14:paraId="08420256" w14:textId="24F6BCD4" w:rsidR="008E3928" w:rsidRDefault="008E3928" w:rsidP="006E008D">
            <w:pPr>
              <w:spacing w:after="120" w:line="276" w:lineRule="auto"/>
              <w:jc w:val="both"/>
              <w:rPr>
                <w:rFonts w:ascii="Verdana" w:eastAsia="Times New Roman" w:hAnsi="Verdana" w:cs="Arial"/>
                <w:bCs/>
                <w:lang w:val="es-MX" w:eastAsia="x-none"/>
              </w:rPr>
            </w:pPr>
            <w:r>
              <w:rPr>
                <w:rFonts w:ascii="Verdana" w:eastAsia="Calibri" w:hAnsi="Verdana" w:cs="Arial"/>
                <w:lang w:val="es-MX"/>
              </w:rPr>
              <w:t xml:space="preserve">       </w:t>
            </w:r>
            <w:r>
              <w:rPr>
                <w:rFonts w:ascii="Verdana" w:eastAsia="Calibri" w:hAnsi="Verdana" w:cs="Arial"/>
                <w:bCs/>
                <w:lang w:val="es-MX" w:eastAsia="x-none"/>
              </w:rPr>
              <w:t>Finalmente</w:t>
            </w:r>
            <w:r w:rsidR="0073384F">
              <w:rPr>
                <w:rFonts w:ascii="Verdana" w:eastAsia="Calibri" w:hAnsi="Verdana" w:cs="Arial"/>
                <w:bCs/>
                <w:lang w:val="es-MX" w:eastAsia="x-none"/>
              </w:rPr>
              <w:t>,</w:t>
            </w:r>
            <w:r>
              <w:rPr>
                <w:rFonts w:ascii="Verdana" w:eastAsia="Calibri" w:hAnsi="Verdana" w:cs="Arial"/>
                <w:bCs/>
                <w:lang w:val="es-MX" w:eastAsia="x-none"/>
              </w:rPr>
              <w:t xml:space="preserve"> s</w:t>
            </w:r>
            <w:r w:rsidRPr="00D04F91">
              <w:rPr>
                <w:rFonts w:ascii="Verdana" w:eastAsia="Calibri" w:hAnsi="Verdana" w:cs="Arial"/>
                <w:bCs/>
                <w:lang w:val="es-MX" w:eastAsia="x-none"/>
              </w:rPr>
              <w:t>e recomienda la consulta de la "Guía para el manejo de Garantías en Procesos de Contratación"</w:t>
            </w:r>
            <w:r w:rsidR="00E230BD">
              <w:rPr>
                <w:rFonts w:ascii="Verdana" w:eastAsia="Calibri" w:hAnsi="Verdana" w:cs="Arial"/>
                <w:bCs/>
                <w:lang w:val="es-MX" w:eastAsia="x-none"/>
              </w:rPr>
              <w:t xml:space="preserve">, expedida por la Agencia Nacional de Contratación Pública </w:t>
            </w:r>
            <w:r w:rsidR="00E230BD" w:rsidRPr="006E008D">
              <w:rPr>
                <w:rStyle w:val="Refdenotaalpie"/>
                <w:vertAlign w:val="baseline"/>
              </w:rPr>
              <w:t>–</w:t>
            </w:r>
            <w:r w:rsidRPr="00E230BD">
              <w:rPr>
                <w:rFonts w:ascii="Verdana" w:eastAsia="Calibri" w:hAnsi="Verdana" w:cs="Arial"/>
                <w:bCs/>
                <w:lang w:val="es-MX" w:eastAsia="x-none"/>
              </w:rPr>
              <w:t xml:space="preserve"> </w:t>
            </w:r>
            <w:r w:rsidRPr="00D04F91">
              <w:rPr>
                <w:rFonts w:ascii="Verdana" w:eastAsia="Calibri" w:hAnsi="Verdana" w:cs="Arial"/>
                <w:bCs/>
                <w:lang w:val="es-MX" w:eastAsia="x-none"/>
              </w:rPr>
              <w:t>Colombia Compra Eficiente. El objetivo de esta guía es definir lineamientos y orientar a las entidades estatales en las características de cada una de las clases de garantía previstas en las normas, sus diferencias y los aspectos a considerar en los procesos sujetos al Decreto 1082 de 2015.</w:t>
            </w:r>
          </w:p>
          <w:p w14:paraId="76D71F90" w14:textId="7CF5BC74" w:rsidR="008E3928" w:rsidRDefault="008E3928" w:rsidP="006E008D">
            <w:pPr>
              <w:spacing w:after="120" w:line="276" w:lineRule="auto"/>
              <w:jc w:val="both"/>
              <w:rPr>
                <w:rFonts w:ascii="Verdana" w:eastAsia="Calibri" w:hAnsi="Verdana" w:cs="Arial"/>
              </w:rPr>
            </w:pPr>
            <w:r>
              <w:rPr>
                <w:rStyle w:val="s15"/>
                <w:rFonts w:ascii="Verdana" w:hAnsi="Verdana"/>
                <w:color w:val="000000"/>
              </w:rPr>
              <w:t xml:space="preserve">       </w:t>
            </w:r>
            <w:r w:rsidRPr="00D10E3B">
              <w:rPr>
                <w:rStyle w:val="s15"/>
                <w:rFonts w:ascii="Verdana" w:hAnsi="Verdana"/>
                <w:color w:val="000000"/>
              </w:rPr>
              <w:t>Al margen de la explicación precedente debe advertirse que</w:t>
            </w:r>
            <w:r w:rsidR="003B3B66">
              <w:rPr>
                <w:rStyle w:val="s15"/>
                <w:rFonts w:ascii="Verdana" w:hAnsi="Verdana"/>
                <w:color w:val="000000"/>
              </w:rPr>
              <w:t>,</w:t>
            </w:r>
            <w:r w:rsidRPr="00D10E3B">
              <w:rPr>
                <w:rStyle w:val="s15"/>
                <w:rFonts w:ascii="Verdana" w:hAnsi="Verdana"/>
                <w:color w:val="000000"/>
              </w:rPr>
              <w:t xml:space="preserve"> el análisis requerido para resolver problemas específicos en torno a la gestión contractual de las entidades públicas debe ser realizado por quienes tengan interés en ello, de acuerdo con lo explicado </w:t>
            </w:r>
            <w:r w:rsidR="00574F9F">
              <w:rPr>
                <w:rStyle w:val="s15"/>
                <w:rFonts w:ascii="Verdana" w:hAnsi="Verdana"/>
                <w:color w:val="000000"/>
              </w:rPr>
              <w:t xml:space="preserve">en </w:t>
            </w:r>
            <w:r w:rsidRPr="00D10E3B">
              <w:rPr>
                <w:rStyle w:val="s15"/>
                <w:rFonts w:ascii="Verdana" w:hAnsi="Verdana"/>
                <w:color w:val="000000"/>
              </w:rPr>
              <w:t xml:space="preserve">el presente oficio. Por lo anterior, previo concepto de sus asesores, la solución de situaciones particulares corresponde a los interesados adoptar la decisión correspondiente y, en caso de conflicto, </w:t>
            </w:r>
            <w:r w:rsidRPr="00D10E3B">
              <w:rPr>
                <w:rStyle w:val="s15"/>
                <w:rFonts w:ascii="Verdana" w:hAnsi="Verdana"/>
                <w:color w:val="000000"/>
              </w:rPr>
              <w:lastRenderedPageBreak/>
              <w:t>a las autoridades judiciales, fiscales y disciplinarias. Así, cada entidad definirá la forma de adelantar su gestión contractual, sin que sea atribución de Colombia Compra Eficiente validar sus actuaciones.</w:t>
            </w:r>
          </w:p>
          <w:p w14:paraId="5811501E" w14:textId="647D015B" w:rsidR="008E3928" w:rsidRPr="0029110A" w:rsidRDefault="008E3928" w:rsidP="001A25D0">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w:t>
            </w:r>
            <w:r>
              <w:rPr>
                <w:rFonts w:ascii="Verdana" w:eastAsia="Calibri" w:hAnsi="Verdana" w:cs="Times New Roman"/>
                <w:lang w:val="es-ES"/>
              </w:rPr>
              <w:t xml:space="preserve">   </w:t>
            </w:r>
            <w:r w:rsidR="00FA3E27">
              <w:rPr>
                <w:rFonts w:ascii="Verdana" w:eastAsia="Calibri" w:hAnsi="Verdana" w:cs="Times New Roman"/>
                <w:lang w:val="es-ES"/>
              </w:rPr>
              <w:t>Así</w:t>
            </w:r>
            <w:r>
              <w:rPr>
                <w:rFonts w:ascii="Verdana" w:eastAsia="Calibri" w:hAnsi="Verdana" w:cs="Times New Roman"/>
                <w:lang w:val="es-ES"/>
              </w:rPr>
              <w:t xml:space="preserve">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tc>
      </w:tr>
    </w:tbl>
    <w:p w14:paraId="684BD969" w14:textId="77777777" w:rsidR="008E3928" w:rsidRPr="00115E3D" w:rsidRDefault="008E3928" w:rsidP="008E392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0E0765F" w14:textId="77777777" w:rsidR="008E3928" w:rsidRDefault="008E3928" w:rsidP="008E392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7E2A038F" w14:textId="77777777" w:rsidR="008E3928" w:rsidRPr="00115E3D" w:rsidRDefault="008E3928" w:rsidP="008E3928">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2CD7781E" w14:textId="77777777" w:rsidR="008E3928" w:rsidRDefault="008E3928" w:rsidP="008E392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127D16A" w14:textId="77777777" w:rsidR="008E3928" w:rsidRDefault="008E3928" w:rsidP="008E3928">
      <w:pPr>
        <w:spacing w:after="0" w:line="276" w:lineRule="auto"/>
        <w:jc w:val="both"/>
        <w:rPr>
          <w:rFonts w:ascii="Verdana" w:eastAsia="Calibri" w:hAnsi="Verdana" w:cs="Arial"/>
          <w:lang w:val="es-ES"/>
        </w:rPr>
      </w:pPr>
    </w:p>
    <w:p w14:paraId="4F99CA64" w14:textId="41C3DAA1" w:rsidR="008E3928" w:rsidRPr="00983DE2" w:rsidRDefault="008E3928" w:rsidP="008E3928">
      <w:pPr>
        <w:spacing w:after="0" w:line="276" w:lineRule="auto"/>
        <w:jc w:val="both"/>
        <w:rPr>
          <w:rFonts w:ascii="Verdana" w:eastAsia="Calibri" w:hAnsi="Verdana" w:cs="Arial"/>
          <w:color w:val="000000" w:themeColor="text1"/>
          <w:lang w:val="es-ES"/>
        </w:rPr>
      </w:pPr>
      <w:r>
        <w:rPr>
          <w:rFonts w:ascii="Verdana" w:hAnsi="Verdana" w:cs="Arial"/>
          <w:color w:val="000000"/>
          <w:shd w:val="clear" w:color="auto" w:fill="FFFFFF"/>
          <w:lang w:val="es-ES"/>
        </w:rPr>
        <w:t xml:space="preserve">i. </w:t>
      </w:r>
      <w:r w:rsidRPr="00983DE2">
        <w:rPr>
          <w:rFonts w:ascii="Verdana" w:hAnsi="Verdana" w:cs="Arial"/>
          <w:color w:val="000000"/>
          <w:shd w:val="clear" w:color="auto" w:fill="FFFFFF"/>
          <w:lang w:val="es-ES"/>
        </w:rPr>
        <w:t xml:space="preserve">Por regla general, para seleccionar contratistas y para ejecutar contratos se requiere la constitución de garantías. </w:t>
      </w:r>
      <w:bookmarkStart w:id="2" w:name="_Hlk47893233"/>
      <w:r w:rsidRPr="00983DE2">
        <w:rPr>
          <w:rFonts w:ascii="Verdana" w:hAnsi="Verdana" w:cs="Arial"/>
          <w:color w:val="000000"/>
          <w:shd w:val="clear" w:color="auto" w:fill="FFFFFF"/>
          <w:lang w:val="es-ES"/>
        </w:rPr>
        <w:t>Por un lado, l</w:t>
      </w:r>
      <w:r w:rsidRPr="00983DE2">
        <w:rPr>
          <w:rFonts w:ascii="Verdana" w:eastAsia="Calibri" w:hAnsi="Verdana" w:cs="Arial"/>
          <w:color w:val="000000" w:themeColor="text1"/>
          <w:lang w:val="es-ES"/>
        </w:rPr>
        <w:t xml:space="preserve">a </w:t>
      </w:r>
      <w:r w:rsidRPr="00983DE2">
        <w:rPr>
          <w:rFonts w:ascii="Verdana" w:eastAsia="Calibri" w:hAnsi="Verdana" w:cs="Arial"/>
          <w:i/>
          <w:iCs/>
          <w:color w:val="000000" w:themeColor="text1"/>
          <w:lang w:val="es-ES"/>
        </w:rPr>
        <w:t>garantía de seriedad</w:t>
      </w:r>
      <w:r w:rsidRPr="00983DE2">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2"/>
      <w:r w:rsidRPr="00983DE2">
        <w:rPr>
          <w:rStyle w:val="Refdenotaalpie"/>
          <w:rFonts w:ascii="Verdana" w:eastAsia="Calibri" w:hAnsi="Verdana" w:cs="Arial"/>
          <w:color w:val="000000" w:themeColor="text1"/>
          <w:lang w:val="es-ES"/>
        </w:rPr>
        <w:footnoteReference w:id="1"/>
      </w:r>
      <w:r w:rsidRPr="00983DE2">
        <w:rPr>
          <w:rFonts w:ascii="Verdana" w:eastAsia="Calibri" w:hAnsi="Verdana" w:cs="Arial"/>
          <w:color w:val="000000" w:themeColor="text1"/>
          <w:lang w:val="es-ES"/>
        </w:rPr>
        <w:t>. Sobre este aspecto, la doctrina explica que:</w:t>
      </w:r>
    </w:p>
    <w:p w14:paraId="59F633F8" w14:textId="77777777" w:rsidR="008E3928" w:rsidRPr="00983DE2" w:rsidRDefault="008E3928" w:rsidP="008E3928">
      <w:pPr>
        <w:spacing w:after="0" w:line="276" w:lineRule="auto"/>
        <w:jc w:val="both"/>
        <w:rPr>
          <w:rFonts w:ascii="Verdana" w:eastAsia="Calibri" w:hAnsi="Verdana" w:cs="Arial"/>
          <w:color w:val="000000" w:themeColor="text1"/>
          <w:lang w:val="es-ES"/>
        </w:rPr>
      </w:pPr>
    </w:p>
    <w:p w14:paraId="5534A289" w14:textId="77777777" w:rsidR="008E3928" w:rsidRPr="006E008D" w:rsidRDefault="008E3928" w:rsidP="00FA3E27">
      <w:pPr>
        <w:spacing w:after="0" w:line="240" w:lineRule="auto"/>
        <w:ind w:left="709" w:right="709"/>
        <w:jc w:val="both"/>
        <w:rPr>
          <w:rFonts w:ascii="Verdana" w:eastAsia="Calibri" w:hAnsi="Verdana" w:cs="Arial"/>
          <w:color w:val="000000" w:themeColor="text1"/>
          <w:sz w:val="20"/>
          <w:szCs w:val="20"/>
          <w:lang w:val="es-ES"/>
        </w:rPr>
      </w:pPr>
      <w:r w:rsidRPr="006E008D">
        <w:rPr>
          <w:rFonts w:ascii="Verdana" w:eastAsia="Calibri" w:hAnsi="Verdana" w:cs="Arial"/>
          <w:color w:val="000000" w:themeColor="text1"/>
          <w:sz w:val="20"/>
          <w:szCs w:val="20"/>
          <w:lang w:val="es-ES"/>
        </w:rPr>
        <w:t xml:space="preserve">“Las </w:t>
      </w:r>
      <w:r w:rsidRPr="006E008D">
        <w:rPr>
          <w:rFonts w:ascii="Verdana" w:eastAsia="Calibri" w:hAnsi="Verdana" w:cs="Arial"/>
          <w:i/>
          <w:iCs/>
          <w:color w:val="000000" w:themeColor="text1"/>
          <w:sz w:val="20"/>
          <w:szCs w:val="20"/>
          <w:lang w:val="es-ES"/>
        </w:rPr>
        <w:t>garantías provisionales</w:t>
      </w:r>
      <w:r w:rsidRPr="006E008D">
        <w:rPr>
          <w:rFonts w:ascii="Verdana" w:eastAsia="Calibri" w:hAnsi="Verdana" w:cs="Arial"/>
          <w:color w:val="000000" w:themeColor="text1"/>
          <w:sz w:val="20"/>
          <w:szCs w:val="20"/>
          <w:lang w:val="es-ES"/>
        </w:rPr>
        <w:t xml:space="preserve"> “avalan la solemnidad de la oferta por parte del contratista”; constituyen una seña pre-contractual destinada a </w:t>
      </w:r>
      <w:r w:rsidRPr="006E008D">
        <w:rPr>
          <w:rFonts w:ascii="Verdana" w:eastAsia="Calibri" w:hAnsi="Verdana" w:cs="Arial"/>
          <w:i/>
          <w:iCs/>
          <w:color w:val="000000" w:themeColor="text1"/>
          <w:sz w:val="20"/>
          <w:szCs w:val="20"/>
          <w:lang w:val="es-ES"/>
        </w:rPr>
        <w:t>asegurar la celebración del contrato</w:t>
      </w:r>
      <w:r w:rsidRPr="006E008D">
        <w:rPr>
          <w:rFonts w:ascii="Verdana" w:eastAsia="Calibri" w:hAnsi="Verdana" w:cs="Arial"/>
          <w:color w:val="000000" w:themeColor="text1"/>
          <w:sz w:val="20"/>
          <w:szCs w:val="20"/>
          <w:lang w:val="es-ES"/>
        </w:rPr>
        <w:t xml:space="preserve">, no su cumplimiento. La administración procede a devolver a los oferentes no adjudicatarios, y a </w:t>
      </w:r>
      <w:r w:rsidRPr="006E008D">
        <w:rPr>
          <w:rFonts w:ascii="Verdana" w:eastAsia="Calibri" w:hAnsi="Verdana" w:cs="Arial"/>
          <w:color w:val="000000" w:themeColor="text1"/>
          <w:sz w:val="20"/>
          <w:szCs w:val="20"/>
          <w:lang w:val="es-ES"/>
        </w:rPr>
        <w:lastRenderedPageBreak/>
        <w:t xml:space="preserve">transformar en definitiva respecto al adjudicatario, las garantías provisionales, deduciéndose entonces que las </w:t>
      </w:r>
      <w:r w:rsidRPr="006E008D">
        <w:rPr>
          <w:rFonts w:ascii="Verdana" w:eastAsia="Calibri" w:hAnsi="Verdana" w:cs="Arial"/>
          <w:i/>
          <w:iCs/>
          <w:color w:val="000000" w:themeColor="text1"/>
          <w:sz w:val="20"/>
          <w:szCs w:val="20"/>
          <w:lang w:val="es-ES"/>
        </w:rPr>
        <w:t>arras</w:t>
      </w:r>
      <w:r w:rsidRPr="006E008D">
        <w:rPr>
          <w:rFonts w:ascii="Verdana" w:eastAsia="Calibri" w:hAnsi="Verdana" w:cs="Arial"/>
          <w:color w:val="000000" w:themeColor="text1"/>
          <w:sz w:val="20"/>
          <w:szCs w:val="20"/>
          <w:lang w:val="es-ES"/>
        </w:rPr>
        <w:t xml:space="preserve"> no forman parte del precio, ni son por tanto arras confirmatorias […], sino puramente penitenciales […] como garantías y compensación del </w:t>
      </w:r>
      <w:r w:rsidRPr="006E008D">
        <w:rPr>
          <w:rFonts w:ascii="Verdana" w:eastAsia="Calibri" w:hAnsi="Verdana" w:cs="Arial"/>
          <w:i/>
          <w:iCs/>
          <w:color w:val="000000" w:themeColor="text1"/>
          <w:sz w:val="20"/>
          <w:szCs w:val="20"/>
          <w:lang w:val="es-ES"/>
        </w:rPr>
        <w:t xml:space="preserve">ius </w:t>
      </w:r>
      <w:proofErr w:type="spellStart"/>
      <w:r w:rsidRPr="006E008D">
        <w:rPr>
          <w:rFonts w:ascii="Verdana" w:eastAsia="Calibri" w:hAnsi="Verdana" w:cs="Arial"/>
          <w:i/>
          <w:iCs/>
          <w:color w:val="000000" w:themeColor="text1"/>
          <w:sz w:val="20"/>
          <w:szCs w:val="20"/>
          <w:lang w:val="es-ES"/>
        </w:rPr>
        <w:t>poenitendi</w:t>
      </w:r>
      <w:proofErr w:type="spellEnd"/>
      <w:r w:rsidRPr="006E008D">
        <w:rPr>
          <w:rFonts w:ascii="Verdana" w:eastAsia="Calibri" w:hAnsi="Verdana" w:cs="Arial"/>
          <w:color w:val="000000" w:themeColor="text1"/>
          <w:sz w:val="20"/>
          <w:szCs w:val="20"/>
          <w:lang w:val="es-ES"/>
        </w:rPr>
        <w:t xml:space="preserve"> del licitante. Son, en consecuencia, “la medida de la responsabilidad pre-contractual del oferente”; o, más bien, la garantía de oferta representa en definitiva la medida de la responsabilidad”</w:t>
      </w:r>
      <w:r w:rsidRPr="006E008D">
        <w:rPr>
          <w:rStyle w:val="Refdenotaalpie"/>
          <w:rFonts w:ascii="Verdana" w:eastAsia="Calibri" w:hAnsi="Verdana" w:cs="Arial"/>
          <w:color w:val="000000" w:themeColor="text1"/>
          <w:sz w:val="20"/>
          <w:szCs w:val="20"/>
          <w:lang w:val="es-ES"/>
        </w:rPr>
        <w:footnoteReference w:id="2"/>
      </w:r>
      <w:r w:rsidRPr="006E008D">
        <w:rPr>
          <w:rFonts w:ascii="Verdana" w:eastAsia="Calibri" w:hAnsi="Verdana" w:cs="Arial"/>
          <w:color w:val="000000" w:themeColor="text1"/>
          <w:sz w:val="20"/>
          <w:szCs w:val="20"/>
          <w:lang w:val="es-ES"/>
        </w:rPr>
        <w:t xml:space="preserve">. (Cursivas dentro del texto)   </w:t>
      </w:r>
    </w:p>
    <w:p w14:paraId="5F4C3BC2" w14:textId="77777777" w:rsidR="008E3928" w:rsidRPr="00983DE2" w:rsidRDefault="008E3928" w:rsidP="008E3928">
      <w:pPr>
        <w:spacing w:after="0" w:line="276" w:lineRule="auto"/>
        <w:jc w:val="both"/>
        <w:rPr>
          <w:rFonts w:ascii="Verdana" w:eastAsia="Calibri" w:hAnsi="Verdana" w:cs="Arial"/>
          <w:color w:val="000000" w:themeColor="text1"/>
          <w:lang w:val="es-ES"/>
        </w:rPr>
      </w:pPr>
    </w:p>
    <w:p w14:paraId="0A9D6117" w14:textId="77777777" w:rsidR="008E3928" w:rsidRPr="00983DE2" w:rsidRDefault="008E3928" w:rsidP="00706F46">
      <w:pPr>
        <w:spacing w:after="120" w:line="276" w:lineRule="auto"/>
        <w:ind w:firstLine="709"/>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En contraste, mediante la </w:t>
      </w:r>
      <w:r w:rsidRPr="00983DE2">
        <w:rPr>
          <w:rFonts w:ascii="Verdana" w:eastAsia="Calibri" w:hAnsi="Verdana" w:cs="Arial"/>
          <w:i/>
          <w:iCs/>
          <w:color w:val="000000" w:themeColor="text1"/>
          <w:lang w:val="es-ES"/>
        </w:rPr>
        <w:t>garantía de única de cumplimiento</w:t>
      </w:r>
      <w:r w:rsidRPr="00983DE2">
        <w:rPr>
          <w:rFonts w:ascii="Verdana" w:eastAsia="Calibri" w:hAnsi="Verdana" w:cs="Arial"/>
          <w:color w:val="000000" w:themeColor="text1"/>
          <w:lang w:val="es-ES"/>
        </w:rPr>
        <w:t>, el contratista ampara los perjuicios que le pueda generar a la entidad el incumplimiento de las obligaciones derivadas del contrato</w:t>
      </w:r>
      <w:r w:rsidRPr="00983DE2">
        <w:rPr>
          <w:rStyle w:val="Refdenotaalpie"/>
          <w:rFonts w:ascii="Verdana" w:eastAsia="Calibri" w:hAnsi="Verdana" w:cs="Arial"/>
          <w:color w:val="000000" w:themeColor="text1"/>
          <w:lang w:val="es-ES"/>
        </w:rPr>
        <w:footnoteReference w:id="3"/>
      </w:r>
      <w:r w:rsidRPr="00983DE2">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983DE2">
        <w:rPr>
          <w:rFonts w:ascii="Verdana" w:hAnsi="Verdana" w:cs="Arial"/>
          <w:color w:val="000000" w:themeColor="text1"/>
          <w:lang w:val="es-ES"/>
        </w:rPr>
        <w:t>Para estos efectos es única, ya que “[…] La prioridad […] es que no haya garantías separadas para los diferentes riesgos, aunque existan varias garantías para diferentes proporciones del interés asegurado […]”</w:t>
      </w:r>
      <w:r w:rsidRPr="00983DE2">
        <w:rPr>
          <w:rStyle w:val="Refdenotaalpie"/>
          <w:rFonts w:ascii="Verdana" w:hAnsi="Verdana" w:cs="Arial"/>
          <w:color w:val="000000" w:themeColor="text1"/>
          <w:lang w:val="es-ES"/>
        </w:rPr>
        <w:footnoteReference w:id="4"/>
      </w:r>
      <w:r w:rsidRPr="00983DE2">
        <w:rPr>
          <w:rFonts w:ascii="Verdana" w:hAnsi="Verdana" w:cs="Arial"/>
          <w:color w:val="000000" w:themeColor="text1"/>
          <w:lang w:val="es-ES"/>
        </w:rPr>
        <w:t xml:space="preserve">.    </w:t>
      </w:r>
    </w:p>
    <w:p w14:paraId="52A25A24" w14:textId="77777777" w:rsidR="008E3928" w:rsidRPr="00983DE2" w:rsidRDefault="008E3928" w:rsidP="00706F46">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garantías bancarias 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xml:space="preserve">)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w:t>
      </w:r>
      <w:r w:rsidRPr="00983DE2">
        <w:rPr>
          <w:rFonts w:ascii="Verdana" w:hAnsi="Verdana" w:cs="Arial"/>
          <w:color w:val="000000" w:themeColor="text1"/>
          <w:lang w:val="es-ES"/>
        </w:rPr>
        <w:lastRenderedPageBreak/>
        <w:t>Código de Comercio</w:t>
      </w:r>
      <w:r w:rsidRPr="00983DE2">
        <w:rPr>
          <w:rStyle w:val="Refdenotaalpie"/>
          <w:rFonts w:ascii="Verdana" w:hAnsi="Verdana" w:cs="Arial"/>
          <w:color w:val="000000" w:themeColor="text1"/>
          <w:lang w:val="es-ES"/>
        </w:rPr>
        <w:footnoteReference w:id="5"/>
      </w:r>
      <w:r w:rsidRPr="00983DE2">
        <w:rPr>
          <w:rFonts w:ascii="Verdana" w:hAnsi="Verdana" w:cs="Arial"/>
          <w:color w:val="000000" w:themeColor="text1"/>
          <w:lang w:val="es-ES"/>
        </w:rPr>
        <w:t>. De esta manera, las garantías previstas en la ley tienen como objetivo asegurar la solvencia del garante</w:t>
      </w:r>
      <w:r w:rsidRPr="00983DE2">
        <w:rPr>
          <w:rStyle w:val="Refdenotaalpie"/>
          <w:rFonts w:ascii="Verdana" w:hAnsi="Verdana" w:cs="Arial"/>
          <w:color w:val="000000" w:themeColor="text1"/>
          <w:lang w:val="es-ES"/>
        </w:rPr>
        <w:footnoteReference w:id="6"/>
      </w:r>
      <w:r w:rsidRPr="00983DE2">
        <w:rPr>
          <w:rFonts w:ascii="Verdana" w:hAnsi="Verdana" w:cs="Arial"/>
          <w:color w:val="000000" w:themeColor="text1"/>
          <w:lang w:val="es-ES"/>
        </w:rPr>
        <w:t>.</w:t>
      </w:r>
    </w:p>
    <w:p w14:paraId="3968E60E" w14:textId="77777777" w:rsidR="008E3928" w:rsidRPr="00983DE2" w:rsidRDefault="008E3928" w:rsidP="00706F46">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084E6BCD" w14:textId="77777777" w:rsidR="008E3928" w:rsidRPr="00983DE2" w:rsidRDefault="008E3928" w:rsidP="006E008D">
      <w:pPr>
        <w:spacing w:after="120" w:line="276" w:lineRule="auto"/>
        <w:ind w:firstLine="708"/>
        <w:jc w:val="both"/>
        <w:rPr>
          <w:rFonts w:ascii="Verdana" w:eastAsia="Times New Roman" w:hAnsi="Verdana" w:cs="Arial"/>
          <w:color w:val="000000" w:themeColor="text1"/>
          <w:lang w:val="es-ES" w:eastAsia="es-CO"/>
        </w:rPr>
      </w:pPr>
      <w:r w:rsidRPr="00983DE2">
        <w:rPr>
          <w:rFonts w:ascii="Verdana" w:hAnsi="Verdana" w:cs="Arial"/>
          <w:color w:val="000000" w:themeColor="text1"/>
          <w:lang w:val="es-ES"/>
        </w:rPr>
        <w:t>El artículo 2.2.1.2.3.1.3, por ejemplo, establece que la “garantía de cobertura del Riesgo es indivisible”, además de la obligación de los contratantes de establecer en los pliegos de condiciones las garantías exigidas para cada periodo contractual</w:t>
      </w:r>
      <w:r w:rsidRPr="00983DE2">
        <w:rPr>
          <w:rStyle w:val="Refdenotaalpie"/>
          <w:rFonts w:ascii="Verdana" w:hAnsi="Verdana" w:cs="Arial"/>
          <w:color w:val="000000" w:themeColor="text1"/>
          <w:lang w:val="es-ES"/>
        </w:rPr>
        <w:footnoteReference w:id="7"/>
      </w:r>
      <w:r w:rsidRPr="00983DE2">
        <w:rPr>
          <w:rFonts w:ascii="Verdana" w:hAnsi="Verdana" w:cs="Arial"/>
          <w:color w:val="000000" w:themeColor="text1"/>
          <w:lang w:val="es-ES"/>
        </w:rPr>
        <w:t xml:space="preserve">. Por su parte, el artículo 2.2.1.3.1.7 prescribe que la </w:t>
      </w:r>
      <w:r w:rsidRPr="00983DE2">
        <w:rPr>
          <w:rFonts w:ascii="Verdana" w:hAnsi="Verdana" w:cs="Arial"/>
          <w:color w:val="000000" w:themeColor="text1"/>
          <w:lang w:val="es-ES"/>
        </w:rPr>
        <w:lastRenderedPageBreak/>
        <w:t xml:space="preserve">garantía de cumplimiento debe cubrir: i) el buen manejo y correcta inversión del anticipo;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la devolución del pago anticipado;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xml:space="preserve">) el cumplimiento del contrato; </w:t>
      </w:r>
      <w:proofErr w:type="spellStart"/>
      <w:r w:rsidRPr="00983DE2">
        <w:rPr>
          <w:rFonts w:ascii="Verdana" w:hAnsi="Verdana" w:cs="Arial"/>
          <w:color w:val="000000" w:themeColor="text1"/>
          <w:lang w:val="es-ES"/>
        </w:rPr>
        <w:t>iv</w:t>
      </w:r>
      <w:proofErr w:type="spellEnd"/>
      <w:r w:rsidRPr="00983DE2">
        <w:rPr>
          <w:rFonts w:ascii="Verdana" w:hAnsi="Verdana" w:cs="Arial"/>
          <w:color w:val="000000" w:themeColor="text1"/>
          <w:lang w:val="es-ES"/>
        </w:rPr>
        <w:t xml:space="preserve">) el pago de salarios, prestaciones sociales legales e indemnizaciones laborales; v)  la estabilidad y calidad de la obra; vi) la </w:t>
      </w:r>
      <w:r w:rsidRPr="00983DE2">
        <w:rPr>
          <w:rFonts w:ascii="Verdana" w:eastAsia="Times New Roman" w:hAnsi="Verdana" w:cs="Arial"/>
          <w:color w:val="000000" w:themeColor="text1"/>
          <w:lang w:val="es-ES" w:eastAsia="es-CO"/>
        </w:rPr>
        <w:t xml:space="preserve">calidad del servicio; </w:t>
      </w:r>
      <w:proofErr w:type="spellStart"/>
      <w:r w:rsidRPr="00983DE2">
        <w:rPr>
          <w:rFonts w:ascii="Verdana" w:eastAsia="Times New Roman" w:hAnsi="Verdana" w:cs="Arial"/>
          <w:color w:val="000000" w:themeColor="text1"/>
          <w:lang w:val="es-ES" w:eastAsia="es-CO"/>
        </w:rPr>
        <w:t>vii</w:t>
      </w:r>
      <w:proofErr w:type="spellEnd"/>
      <w:r w:rsidRPr="00983DE2">
        <w:rPr>
          <w:rFonts w:ascii="Verdana" w:eastAsia="Times New Roman" w:hAnsi="Verdana" w:cs="Arial"/>
          <w:color w:val="000000" w:themeColor="text1"/>
          <w:lang w:val="es-ES" w:eastAsia="es-CO"/>
        </w:rPr>
        <w:t xml:space="preserve">) la calidad y correcto funcionamiento de los bienes; y </w:t>
      </w:r>
      <w:proofErr w:type="spellStart"/>
      <w:r w:rsidRPr="00983DE2">
        <w:rPr>
          <w:rFonts w:ascii="Verdana" w:eastAsia="Times New Roman" w:hAnsi="Verdana" w:cs="Arial"/>
          <w:color w:val="000000" w:themeColor="text1"/>
          <w:lang w:val="es-ES" w:eastAsia="es-CO"/>
        </w:rPr>
        <w:t>viii</w:t>
      </w:r>
      <w:proofErr w:type="spellEnd"/>
      <w:r w:rsidRPr="00983DE2">
        <w:rPr>
          <w:rFonts w:ascii="Verdana" w:eastAsia="Times New Roman" w:hAnsi="Verdana" w:cs="Arial"/>
          <w:color w:val="000000" w:themeColor="text1"/>
          <w:lang w:val="es-ES" w:eastAsia="es-CO"/>
        </w:rPr>
        <w:t>) los demás incumplimientos de las obligaciones que la entidad estatal considere deben ser amparados</w:t>
      </w:r>
      <w:r w:rsidRPr="00983DE2">
        <w:rPr>
          <w:rStyle w:val="Refdenotaalpie"/>
          <w:rFonts w:ascii="Verdana" w:eastAsia="Times New Roman" w:hAnsi="Verdana" w:cs="Arial"/>
          <w:color w:val="000000" w:themeColor="text1"/>
          <w:lang w:val="es-ES" w:eastAsia="es-CO"/>
        </w:rPr>
        <w:footnoteReference w:id="8"/>
      </w:r>
      <w:r w:rsidRPr="00983DE2">
        <w:rPr>
          <w:rFonts w:ascii="Verdana" w:eastAsia="Times New Roman" w:hAnsi="Verdana" w:cs="Arial"/>
          <w:color w:val="000000" w:themeColor="text1"/>
          <w:lang w:val="es-ES" w:eastAsia="es-CO"/>
        </w:rPr>
        <w:t xml:space="preserve">. </w:t>
      </w:r>
    </w:p>
    <w:p w14:paraId="7C74599C" w14:textId="7FB83D46" w:rsidR="00D00730" w:rsidRDefault="008E3928" w:rsidP="006E008D">
      <w:pPr>
        <w:spacing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En torno al amparo de </w:t>
      </w:r>
      <w:r w:rsidRPr="00983DE2">
        <w:rPr>
          <w:rFonts w:ascii="Verdana" w:eastAsia="Times New Roman" w:hAnsi="Verdana" w:cs="Arial"/>
          <w:i/>
          <w:iCs/>
          <w:color w:val="000000" w:themeColor="text1"/>
          <w:lang w:val="es-ES" w:eastAsia="es-CO"/>
        </w:rPr>
        <w:t>responsabilidad civil extracontractual</w:t>
      </w:r>
      <w:r w:rsidRPr="00983DE2">
        <w:rPr>
          <w:rFonts w:ascii="Verdana" w:eastAsia="Times New Roman" w:hAnsi="Verdana" w:cs="Arial"/>
          <w:color w:val="000000" w:themeColor="text1"/>
          <w:lang w:val="es-ES" w:eastAsia="es-CO"/>
        </w:rPr>
        <w:t>,</w:t>
      </w:r>
      <w:r w:rsidR="00143A24">
        <w:rPr>
          <w:rFonts w:ascii="Verdana" w:eastAsia="Times New Roman" w:hAnsi="Verdana" w:cs="Arial"/>
          <w:color w:val="000000" w:themeColor="text1"/>
          <w:lang w:val="es-ES" w:eastAsia="es-CO"/>
        </w:rPr>
        <w:t xml:space="preserve"> al que se refiere en su consulta,</w:t>
      </w:r>
      <w:r w:rsidRPr="00983DE2">
        <w:rPr>
          <w:rFonts w:ascii="Verdana" w:eastAsia="Times New Roman" w:hAnsi="Verdana" w:cs="Arial"/>
          <w:b/>
          <w:bCs/>
          <w:color w:val="000000" w:themeColor="text1"/>
          <w:lang w:val="es-ES" w:eastAsia="es-CO"/>
        </w:rPr>
        <w:t xml:space="preserve"> </w:t>
      </w:r>
      <w:r w:rsidRPr="00983DE2">
        <w:rPr>
          <w:rFonts w:ascii="Verdana" w:eastAsia="Times New Roman" w:hAnsi="Verdana" w:cs="Arial"/>
          <w:color w:val="000000" w:themeColor="text1"/>
          <w:lang w:val="es-ES" w:eastAsia="es-CO"/>
        </w:rPr>
        <w:t xml:space="preserve">el </w:t>
      </w:r>
      <w:r w:rsidR="00143A24">
        <w:rPr>
          <w:rFonts w:ascii="Verdana" w:eastAsia="Times New Roman" w:hAnsi="Verdana" w:cs="Arial"/>
          <w:color w:val="000000" w:themeColor="text1"/>
          <w:lang w:val="es-ES" w:eastAsia="es-CO"/>
        </w:rPr>
        <w:t>a</w:t>
      </w:r>
      <w:r w:rsidRPr="00983DE2">
        <w:rPr>
          <w:rFonts w:ascii="Verdana" w:eastAsia="Times New Roman" w:hAnsi="Verdana" w:cs="Arial"/>
          <w:color w:val="000000" w:themeColor="text1"/>
          <w:lang w:val="es-ES" w:eastAsia="es-CO"/>
        </w:rPr>
        <w:t xml:space="preserve">rtículo 2.2.1.2.3.1.5. establece que este se deriva de las actuaciones, hechos u omisiones de los contratistas o subcontratistas y solamente puede ser amparada con un contrato de seguro. Adicionalmente, </w:t>
      </w:r>
      <w:r w:rsidR="000576BF">
        <w:rPr>
          <w:rFonts w:ascii="Verdana" w:eastAsia="Times New Roman" w:hAnsi="Verdana" w:cs="Arial"/>
          <w:color w:val="000000" w:themeColor="text1"/>
          <w:lang w:val="es-ES" w:eastAsia="es-CO"/>
        </w:rPr>
        <w:t xml:space="preserve">señala que, </w:t>
      </w:r>
      <w:r w:rsidRPr="00983DE2">
        <w:rPr>
          <w:rFonts w:ascii="Verdana" w:eastAsia="Times New Roman" w:hAnsi="Verdana" w:cs="Arial"/>
          <w:color w:val="000000" w:themeColor="text1"/>
          <w:lang w:val="es-ES" w:eastAsia="es-CO"/>
        </w:rPr>
        <w:t xml:space="preserve">es obligatorio en los contratos de obra, así como en aquellos en que por su objeto o naturaleza se considere necesario con ocasión de los riesgos previstos en el negocio, para efectos de la cobertura frente a eventuales reclamaciones de terceros que surja de las actuaciones, hechos u omisiones de su contratista. </w:t>
      </w:r>
    </w:p>
    <w:p w14:paraId="438A3A3D" w14:textId="6060CBB9" w:rsidR="008E3928" w:rsidRPr="00983DE2" w:rsidRDefault="008E3928" w:rsidP="006E008D">
      <w:pPr>
        <w:spacing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lastRenderedPageBreak/>
        <w:t xml:space="preserve">De acuerdo con el inciso segundo del artículo 2.2.1.2.3.1.8 </w:t>
      </w:r>
      <w:r w:rsidRPr="00983DE2">
        <w:rPr>
          <w:rFonts w:ascii="Verdana" w:eastAsia="Times New Roman" w:hAnsi="Verdana" w:cs="Arial"/>
          <w:i/>
          <w:iCs/>
          <w:color w:val="000000" w:themeColor="text1"/>
          <w:lang w:val="es-ES" w:eastAsia="es-CO"/>
        </w:rPr>
        <w:t>ibidem</w:t>
      </w:r>
      <w:r w:rsidRPr="00983DE2">
        <w:rPr>
          <w:rFonts w:ascii="Verdana" w:eastAsia="Times New Roman" w:hAnsi="Verdana" w:cs="Arial"/>
          <w:color w:val="000000" w:themeColor="text1"/>
          <w:lang w:val="es-ES" w:eastAsia="es-CO"/>
        </w:rPr>
        <w:t>,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28E91ACA" w14:textId="5A13A881" w:rsidR="008E3928" w:rsidRPr="00983DE2" w:rsidRDefault="008E3928" w:rsidP="006E008D">
      <w:pPr>
        <w:spacing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Con el fin de asegurar la cobertura de este riesgo es responsabilidad de las </w:t>
      </w:r>
      <w:r w:rsidR="00D00730" w:rsidRPr="00983DE2">
        <w:rPr>
          <w:rFonts w:ascii="Verdana" w:eastAsia="Times New Roman" w:hAnsi="Verdana" w:cs="Arial"/>
          <w:color w:val="000000" w:themeColor="text1"/>
          <w:lang w:val="es-ES" w:eastAsia="es-CO"/>
        </w:rPr>
        <w:t xml:space="preserve">entidades estatales </w:t>
      </w:r>
      <w:r w:rsidRPr="00983DE2">
        <w:rPr>
          <w:rFonts w:ascii="Verdana" w:eastAsia="Times New Roman" w:hAnsi="Verdana" w:cs="Arial"/>
          <w:color w:val="000000" w:themeColor="text1"/>
          <w:lang w:val="es-ES" w:eastAsia="es-CO"/>
        </w:rPr>
        <w:t xml:space="preserve">verificar que el contrato de seguro en particular cumpla con los requisitos exigidos por la normativa en materia de contratación estatal. </w:t>
      </w:r>
      <w:r w:rsidR="00616FBF">
        <w:rPr>
          <w:rFonts w:ascii="Verdana" w:eastAsia="Times New Roman" w:hAnsi="Verdana" w:cs="Arial"/>
          <w:color w:val="000000" w:themeColor="text1"/>
          <w:lang w:val="es-ES" w:eastAsia="es-CO"/>
        </w:rPr>
        <w:t>Al respecto, es importante señalar que, e</w:t>
      </w:r>
      <w:r w:rsidRPr="00983DE2">
        <w:rPr>
          <w:rFonts w:ascii="Verdana" w:eastAsia="Times New Roman" w:hAnsi="Verdana" w:cs="Arial"/>
          <w:color w:val="000000" w:themeColor="text1"/>
          <w:lang w:val="es-ES" w:eastAsia="es-CO"/>
        </w:rPr>
        <w:t xml:space="preserve">l inciso tercero del artículo 7 de la Ley 1150 de 2007 dispone que “El Gobierno Nacional señalará los criterios que seguirán las entidades para la exigencia de garantías, las clases y niveles de amparo de los riesgos de los contratos […]”, de manera que los contratos de seguro que sean presentados en el marco de los procesos de contratación estatal deben cumplir de manera estricta con lo establecido en el Decreto 1082 de 2015, el cual señala los requisitos aplicables para quienes participen y suscriban este tipo de contratos. </w:t>
      </w:r>
    </w:p>
    <w:p w14:paraId="11B58F0D" w14:textId="3F34434A" w:rsidR="008E3928" w:rsidRPr="00983DE2" w:rsidRDefault="008E3928" w:rsidP="006E008D">
      <w:pPr>
        <w:spacing w:after="120" w:line="276" w:lineRule="auto"/>
        <w:ind w:firstLine="708"/>
        <w:jc w:val="both"/>
        <w:rPr>
          <w:rFonts w:ascii="Verdana" w:hAnsi="Verdana" w:cs="Arial"/>
          <w:color w:val="000000" w:themeColor="text1"/>
          <w:lang w:val="es-ES"/>
        </w:rPr>
      </w:pPr>
      <w:r w:rsidRPr="00983DE2">
        <w:rPr>
          <w:rFonts w:ascii="Verdana" w:eastAsia="Times New Roman" w:hAnsi="Verdana" w:cs="Arial"/>
          <w:color w:val="000000" w:themeColor="text1"/>
          <w:lang w:val="es-ES" w:eastAsia="es-CO"/>
        </w:rPr>
        <w:t xml:space="preserve">En primer lugar, la entidad debe verificar que la garantía cumpla con el requisito de indivisibilidad establecido en el artículo 2.2.1.2.3.1.3. del Decreto 1082 de 2015. Tal como lo señala esta norma </w:t>
      </w:r>
      <w:r w:rsidRPr="00983DE2">
        <w:rPr>
          <w:rFonts w:ascii="Verdana" w:hAnsi="Verdana" w:cs="Arial"/>
          <w:color w:val="000000" w:themeColor="text1"/>
          <w:lang w:val="es-ES"/>
        </w:rPr>
        <w:t xml:space="preserve">la garantía de cobertura del riesgo en materia contractual pública es indivisible. Sin embargo, en los contratos que tengan un plazo mayor a cinco (5) años las garantías pueden cubrir los riesgos de la etapa del contrato o del periodo Contractual, de acuerdo con lo previsto en el contrato. En estos </w:t>
      </w:r>
      <w:r w:rsidR="00616FBF" w:rsidRPr="00983DE2">
        <w:rPr>
          <w:rFonts w:ascii="Verdana" w:hAnsi="Verdana" w:cs="Arial"/>
          <w:color w:val="000000" w:themeColor="text1"/>
          <w:lang w:val="es-ES"/>
        </w:rPr>
        <w:t>casos, la</w:t>
      </w:r>
      <w:r w:rsidRPr="00983DE2">
        <w:rPr>
          <w:rFonts w:ascii="Verdana" w:hAnsi="Verdana" w:cs="Arial"/>
          <w:color w:val="000000" w:themeColor="text1"/>
          <w:lang w:val="es-ES"/>
        </w:rPr>
        <w:t xml:space="preserve"> Entidad Estatal debe indicar en los pliegos de condiciones las garantías que exige en cada etapa del contrato o cada periodo contractual en la forma señalada en el Decreto reglamentario. </w:t>
      </w:r>
    </w:p>
    <w:p w14:paraId="533C6BFC" w14:textId="77777777" w:rsidR="00706F46" w:rsidRDefault="008E3928" w:rsidP="006E008D">
      <w:pPr>
        <w:spacing w:after="120" w:line="276" w:lineRule="auto"/>
        <w:ind w:firstLine="708"/>
        <w:jc w:val="both"/>
        <w:rPr>
          <w:lang w:val="es-ES"/>
        </w:rPr>
      </w:pPr>
      <w:r w:rsidRPr="00983DE2">
        <w:rPr>
          <w:rFonts w:ascii="Verdana" w:hAnsi="Verdana" w:cs="Arial"/>
          <w:color w:val="000000" w:themeColor="text1"/>
          <w:lang w:val="es-ES"/>
        </w:rPr>
        <w:t xml:space="preserve">Esta regla supone que un contrato estatal debe estar amparado a través de </w:t>
      </w:r>
      <w:r w:rsidRPr="00983DE2">
        <w:rPr>
          <w:rFonts w:ascii="Verdana" w:hAnsi="Verdana" w:cs="Arial"/>
          <w:i/>
          <w:color w:val="000000" w:themeColor="text1"/>
          <w:lang w:val="es-ES"/>
        </w:rPr>
        <w:t>una sola garantía</w:t>
      </w:r>
      <w:r w:rsidRPr="00983DE2">
        <w:rPr>
          <w:rFonts w:ascii="Verdana" w:hAnsi="Verdana" w:cs="Arial"/>
          <w:color w:val="000000" w:themeColor="text1"/>
          <w:lang w:val="es-ES"/>
        </w:rPr>
        <w:t xml:space="preserve">. La excepción son los contratos que tengan un plazo de ejecución mayor a </w:t>
      </w:r>
      <w:r w:rsidR="00BB27D6">
        <w:rPr>
          <w:rFonts w:ascii="Verdana" w:hAnsi="Verdana" w:cs="Arial"/>
          <w:color w:val="000000" w:themeColor="text1"/>
          <w:lang w:val="es-ES"/>
        </w:rPr>
        <w:t>cinco (</w:t>
      </w:r>
      <w:r w:rsidRPr="00983DE2">
        <w:rPr>
          <w:rFonts w:ascii="Verdana" w:hAnsi="Verdana" w:cs="Arial"/>
          <w:color w:val="000000" w:themeColor="text1"/>
          <w:lang w:val="es-ES"/>
        </w:rPr>
        <w:t>5</w:t>
      </w:r>
      <w:r w:rsidR="00BB27D6">
        <w:rPr>
          <w:rFonts w:ascii="Verdana" w:hAnsi="Verdana" w:cs="Arial"/>
          <w:color w:val="000000" w:themeColor="text1"/>
          <w:lang w:val="es-ES"/>
        </w:rPr>
        <w:t>)</w:t>
      </w:r>
      <w:r w:rsidRPr="00983DE2">
        <w:rPr>
          <w:rFonts w:ascii="Verdana" w:hAnsi="Verdana" w:cs="Arial"/>
          <w:color w:val="000000" w:themeColor="text1"/>
          <w:lang w:val="es-ES"/>
        </w:rPr>
        <w:t xml:space="preserve"> años. Para estos contratos la garantía se podrá dividir. En este supuesto, las </w:t>
      </w:r>
      <w:r w:rsidR="00706F46" w:rsidRPr="00983DE2">
        <w:rPr>
          <w:rFonts w:ascii="Verdana" w:hAnsi="Verdana" w:cs="Arial"/>
          <w:color w:val="000000" w:themeColor="text1"/>
          <w:lang w:val="es-ES"/>
        </w:rPr>
        <w:t xml:space="preserve">Entidades Estatales </w:t>
      </w:r>
      <w:r w:rsidRPr="00983DE2">
        <w:rPr>
          <w:rFonts w:ascii="Verdana" w:hAnsi="Verdana" w:cs="Arial"/>
          <w:color w:val="000000" w:themeColor="text1"/>
          <w:lang w:val="es-ES"/>
        </w:rPr>
        <w:t>cuentan con varias opciones para dividir las garantías como exigir una garantía independiente para cada etapa del contrato, una independiente para cada periodo contractual o una garantía independiente para cada unidad funcional.</w:t>
      </w:r>
      <w:r w:rsidRPr="00983DE2">
        <w:rPr>
          <w:lang w:val="es-ES"/>
        </w:rPr>
        <w:t xml:space="preserve"> </w:t>
      </w:r>
    </w:p>
    <w:p w14:paraId="7D3DAD20" w14:textId="7BE9CBCD" w:rsidR="008E3928" w:rsidRPr="00983DE2" w:rsidRDefault="008E3928" w:rsidP="006E008D">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lastRenderedPageBreak/>
        <w:t>Conforme a lo anterior, si la Entidad Estatal celebra un contrato cuyo plazo de ejecución es mayor a cinco (5) años, puede pactar en el contrato que las garantías cubran los riegos de cada etapa del contrato, periodo contractual o unidad funcional, caso en el cual el pliego de condiciones regulará las garantías teniendo en cuenta lo siguiente: i) se identificará la</w:t>
      </w:r>
      <w:r w:rsidRPr="00983DE2">
        <w:rPr>
          <w:lang w:val="es-ES"/>
        </w:rPr>
        <w:t xml:space="preserve"> </w:t>
      </w:r>
      <w:r w:rsidRPr="00983DE2">
        <w:rPr>
          <w:rFonts w:ascii="Verdana" w:hAnsi="Verdana" w:cs="Arial"/>
          <w:color w:val="000000" w:themeColor="text1"/>
          <w:lang w:val="es-ES"/>
        </w:rPr>
        <w:t xml:space="preserve">garantía que ampara los riesgos para cada etapa del contrato o periodo contractual, pero, además, la vigencia que rige para cada uno –que en todo caso no puede ser menor al plazo de ejecución definido para cada etapa del contrato o periodo contractual–, y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el monto de los amparos se calculará tomando el valor de las obligaciones del contratista para cada etapa del contrato o periodo contractual, y además, regirán las reglas de suficiencia definidas en los artículos 2.2.1.2.3.1.9. al 2.2.1.2.3.1.17. del Decreto 1082 de 2015</w:t>
      </w:r>
      <w:r w:rsidRPr="00983DE2">
        <w:rPr>
          <w:rStyle w:val="Refdenotaalpie"/>
          <w:rFonts w:ascii="Verdana" w:hAnsi="Verdana" w:cs="Arial"/>
          <w:color w:val="000000" w:themeColor="text1"/>
          <w:lang w:val="es-ES"/>
        </w:rPr>
        <w:footnoteReference w:id="9"/>
      </w:r>
      <w:r w:rsidRPr="00983DE2">
        <w:rPr>
          <w:rFonts w:ascii="Verdana" w:hAnsi="Verdana" w:cs="Arial"/>
          <w:color w:val="000000" w:themeColor="text1"/>
          <w:lang w:val="es-ES"/>
        </w:rPr>
        <w:t>.</w:t>
      </w:r>
    </w:p>
    <w:p w14:paraId="4227A8CC" w14:textId="77777777" w:rsidR="008E3928" w:rsidRPr="00983DE2" w:rsidRDefault="008E3928" w:rsidP="008E3928">
      <w:pPr>
        <w:spacing w:before="120" w:after="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En segundo lugar, el amparo de responsabilidad civil extracontractual debe cumplir con los requisitos dispuestos </w:t>
      </w:r>
      <w:r w:rsidRPr="00983DE2">
        <w:rPr>
          <w:rFonts w:ascii="Verdana" w:eastAsia="Times New Roman" w:hAnsi="Verdana" w:cs="Arial"/>
          <w:color w:val="000000" w:themeColor="text1"/>
          <w:lang w:val="es-ES" w:eastAsia="es-CO"/>
        </w:rPr>
        <w:t>en el artículo 2.2.1.2.3.2.9</w:t>
      </w:r>
      <w:r w:rsidRPr="00983DE2">
        <w:rPr>
          <w:rStyle w:val="Refdenotaalpie"/>
          <w:rFonts w:ascii="Verdana" w:eastAsia="Times New Roman" w:hAnsi="Verdana" w:cs="Arial"/>
          <w:color w:val="000000" w:themeColor="text1"/>
          <w:lang w:val="es-ES" w:eastAsia="es-CO"/>
        </w:rPr>
        <w:footnoteReference w:id="10"/>
      </w:r>
      <w:r w:rsidRPr="00983DE2">
        <w:rPr>
          <w:rFonts w:ascii="Verdana" w:eastAsia="Times New Roman" w:hAnsi="Verdana" w:cs="Arial"/>
          <w:color w:val="000000" w:themeColor="text1"/>
          <w:lang w:val="es-ES" w:eastAsia="es-CO"/>
        </w:rPr>
        <w:t>, es decir:</w:t>
      </w:r>
    </w:p>
    <w:p w14:paraId="068383D6" w14:textId="77777777" w:rsidR="008E3928" w:rsidRPr="00983DE2" w:rsidRDefault="008E3928" w:rsidP="008E3928">
      <w:pPr>
        <w:spacing w:after="0" w:line="276" w:lineRule="auto"/>
        <w:ind w:firstLine="708"/>
        <w:jc w:val="both"/>
        <w:rPr>
          <w:rFonts w:ascii="Verdana" w:eastAsia="Times New Roman" w:hAnsi="Verdana" w:cs="Arial"/>
          <w:color w:val="000000" w:themeColor="text1"/>
          <w:lang w:val="es-ES" w:eastAsia="es-CO"/>
        </w:rPr>
      </w:pPr>
    </w:p>
    <w:p w14:paraId="7E656787" w14:textId="77777777" w:rsidR="008E3928" w:rsidRPr="006E008D" w:rsidRDefault="008E3928" w:rsidP="006E008D">
      <w:pPr>
        <w:pStyle w:val="Textonotapie"/>
        <w:snapToGrid w:val="0"/>
        <w:ind w:left="709" w:right="709"/>
        <w:jc w:val="both"/>
        <w:rPr>
          <w:rFonts w:ascii="Verdana" w:hAnsi="Verdana"/>
          <w:lang w:val="es-ES"/>
        </w:rPr>
      </w:pPr>
      <w:r w:rsidRPr="006E008D">
        <w:rPr>
          <w:rFonts w:ascii="Verdana" w:hAnsi="Verdana"/>
          <w:lang w:val="es-ES"/>
        </w:rPr>
        <w:t xml:space="preserve"> “1.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1341AE7E" w14:textId="77777777" w:rsidR="008E3928" w:rsidRPr="006E008D" w:rsidRDefault="008E3928" w:rsidP="006E008D">
      <w:pPr>
        <w:pStyle w:val="Textonotapie"/>
        <w:snapToGrid w:val="0"/>
        <w:ind w:left="709" w:right="709"/>
        <w:jc w:val="both"/>
        <w:rPr>
          <w:rFonts w:ascii="Verdana" w:hAnsi="Verdana"/>
          <w:lang w:val="es-ES"/>
        </w:rPr>
      </w:pPr>
    </w:p>
    <w:p w14:paraId="59CFC268" w14:textId="77777777" w:rsidR="008E3928" w:rsidRPr="006E008D" w:rsidRDefault="008E3928" w:rsidP="006E008D">
      <w:pPr>
        <w:pStyle w:val="Textonotapie"/>
        <w:snapToGrid w:val="0"/>
        <w:ind w:left="709" w:right="709"/>
        <w:jc w:val="both"/>
        <w:rPr>
          <w:rFonts w:ascii="Verdana" w:hAnsi="Verdana"/>
          <w:lang w:val="es-ES"/>
        </w:rPr>
      </w:pPr>
      <w:r w:rsidRPr="006E008D">
        <w:rPr>
          <w:rFonts w:ascii="Verdana" w:hAnsi="Verdana"/>
          <w:lang w:val="es-ES"/>
        </w:rPr>
        <w:t xml:space="preserve">2. Intervinientes. La Entidad Estatal y el contratista deben tener la calidad de asegurado respecto de los daños producidos por el contratista con ocasión de la ejecución del contrato amparado, y serán beneficiarios tanto </w:t>
      </w:r>
      <w:r w:rsidRPr="006E008D">
        <w:rPr>
          <w:rFonts w:ascii="Verdana" w:hAnsi="Verdana"/>
          <w:lang w:val="es-ES"/>
        </w:rPr>
        <w:lastRenderedPageBreak/>
        <w:t>la Entidad Estatal como los terceros que puedan resultar afectados por la responsabilidad del contratista o sus subcontratistas.</w:t>
      </w:r>
    </w:p>
    <w:p w14:paraId="1261F72F" w14:textId="77777777" w:rsidR="008E3928" w:rsidRPr="006E008D" w:rsidRDefault="008E3928" w:rsidP="006E008D">
      <w:pPr>
        <w:pStyle w:val="Textonotapie"/>
        <w:snapToGrid w:val="0"/>
        <w:ind w:left="709" w:right="709"/>
        <w:jc w:val="both"/>
        <w:rPr>
          <w:rFonts w:ascii="Verdana" w:hAnsi="Verdana"/>
          <w:lang w:val="es-ES"/>
        </w:rPr>
      </w:pPr>
    </w:p>
    <w:p w14:paraId="53549306" w14:textId="77777777" w:rsidR="008E3928" w:rsidRPr="006E008D" w:rsidRDefault="008E3928" w:rsidP="006E008D">
      <w:pPr>
        <w:snapToGrid w:val="0"/>
        <w:spacing w:after="0" w:line="240" w:lineRule="auto"/>
        <w:ind w:left="709" w:right="709"/>
        <w:jc w:val="both"/>
        <w:rPr>
          <w:rFonts w:ascii="Verdana" w:hAnsi="Verdana"/>
          <w:sz w:val="20"/>
          <w:szCs w:val="20"/>
          <w:lang w:val="es-ES"/>
        </w:rPr>
      </w:pPr>
      <w:r w:rsidRPr="006E008D">
        <w:rPr>
          <w:rFonts w:ascii="Verdana" w:hAnsi="Verdana"/>
          <w:sz w:val="20"/>
          <w:szCs w:val="20"/>
          <w:lang w:val="es-ES"/>
        </w:rPr>
        <w:t>3. Amparos. El amparo de responsabilidad civil extracontractual debe contener además de la cobertura básica de predios, labores y operaciones, mínimo los siguientes amparos:</w:t>
      </w:r>
    </w:p>
    <w:p w14:paraId="6E993BEC" w14:textId="77777777" w:rsidR="008E3928" w:rsidRPr="006E008D" w:rsidRDefault="008E3928" w:rsidP="006E008D">
      <w:pPr>
        <w:snapToGrid w:val="0"/>
        <w:spacing w:after="0" w:line="240" w:lineRule="auto"/>
        <w:ind w:left="709" w:right="709"/>
        <w:jc w:val="both"/>
        <w:rPr>
          <w:rFonts w:ascii="Verdana" w:hAnsi="Verdana"/>
          <w:sz w:val="20"/>
          <w:szCs w:val="20"/>
          <w:lang w:val="es-ES"/>
        </w:rPr>
      </w:pPr>
      <w:r w:rsidRPr="006E008D">
        <w:rPr>
          <w:rFonts w:ascii="Verdana" w:hAnsi="Verdana"/>
          <w:sz w:val="20"/>
          <w:szCs w:val="20"/>
          <w:lang w:val="es-ES"/>
        </w:rPr>
        <w:t xml:space="preserve"> 3.1. Cobertura expresa de perjuicios por daño emergente y lucro cesante. </w:t>
      </w:r>
    </w:p>
    <w:p w14:paraId="079CB869" w14:textId="77777777" w:rsidR="008E3928" w:rsidRPr="006E008D" w:rsidRDefault="008E3928" w:rsidP="006E008D">
      <w:pPr>
        <w:snapToGrid w:val="0"/>
        <w:spacing w:after="0" w:line="240" w:lineRule="auto"/>
        <w:ind w:left="709" w:right="709"/>
        <w:jc w:val="both"/>
        <w:rPr>
          <w:rFonts w:ascii="Verdana" w:hAnsi="Verdana"/>
          <w:sz w:val="20"/>
          <w:szCs w:val="20"/>
          <w:lang w:val="es-ES"/>
        </w:rPr>
      </w:pPr>
      <w:r w:rsidRPr="006E008D">
        <w:rPr>
          <w:rFonts w:ascii="Verdana" w:hAnsi="Verdana"/>
          <w:sz w:val="20"/>
          <w:szCs w:val="20"/>
          <w:lang w:val="es-ES"/>
        </w:rPr>
        <w:t xml:space="preserve">3.2. Cobertura expresa de perjuicios extrapatrimoniales. </w:t>
      </w:r>
    </w:p>
    <w:p w14:paraId="225B485F" w14:textId="77777777" w:rsidR="008E3928" w:rsidRPr="006E008D" w:rsidRDefault="008E3928" w:rsidP="006E008D">
      <w:pPr>
        <w:snapToGrid w:val="0"/>
        <w:spacing w:after="0" w:line="240" w:lineRule="auto"/>
        <w:ind w:left="709" w:right="709"/>
        <w:jc w:val="both"/>
        <w:rPr>
          <w:rFonts w:ascii="Verdana" w:hAnsi="Verdana"/>
          <w:sz w:val="20"/>
          <w:szCs w:val="20"/>
          <w:lang w:val="es-ES"/>
        </w:rPr>
      </w:pPr>
      <w:r w:rsidRPr="006E008D">
        <w:rPr>
          <w:rFonts w:ascii="Verdana" w:hAnsi="Verdana"/>
          <w:sz w:val="20"/>
          <w:szCs w:val="20"/>
          <w:lang w:val="es-ES"/>
        </w:rPr>
        <w:t xml:space="preserve">3.3. Cobertura expresa de la responsabilidad surgida por actos de contratistas y subcontratistas, salvo que el subcontratista tenga su propio seguro de responsabilidad extracontractual, con los mismos amparos aquí requeridos. </w:t>
      </w:r>
    </w:p>
    <w:p w14:paraId="22F42F24" w14:textId="77777777" w:rsidR="008E3928" w:rsidRPr="006E008D" w:rsidRDefault="008E3928" w:rsidP="006E008D">
      <w:pPr>
        <w:snapToGrid w:val="0"/>
        <w:spacing w:after="0" w:line="240" w:lineRule="auto"/>
        <w:ind w:left="709" w:right="709"/>
        <w:jc w:val="both"/>
        <w:rPr>
          <w:rFonts w:ascii="Verdana" w:hAnsi="Verdana"/>
          <w:sz w:val="20"/>
          <w:szCs w:val="20"/>
          <w:lang w:val="es-ES"/>
        </w:rPr>
      </w:pPr>
      <w:r w:rsidRPr="006E008D">
        <w:rPr>
          <w:rFonts w:ascii="Verdana" w:hAnsi="Verdana"/>
          <w:sz w:val="20"/>
          <w:szCs w:val="20"/>
          <w:lang w:val="es-ES"/>
        </w:rPr>
        <w:t xml:space="preserve">3.4. Cobertura expresa de amparo patronal. </w:t>
      </w:r>
    </w:p>
    <w:p w14:paraId="0CC14EA0" w14:textId="77777777" w:rsidR="008E3928" w:rsidRPr="006E008D" w:rsidRDefault="008E3928" w:rsidP="006E008D">
      <w:pPr>
        <w:snapToGrid w:val="0"/>
        <w:spacing w:after="0" w:line="240" w:lineRule="auto"/>
        <w:ind w:left="709" w:right="709"/>
        <w:jc w:val="both"/>
        <w:rPr>
          <w:rFonts w:ascii="Verdana" w:eastAsia="Times New Roman" w:hAnsi="Verdana" w:cs="Arial"/>
          <w:color w:val="000000" w:themeColor="text1"/>
          <w:sz w:val="20"/>
          <w:szCs w:val="20"/>
          <w:lang w:val="es-ES" w:eastAsia="es-CO"/>
        </w:rPr>
      </w:pPr>
      <w:r w:rsidRPr="006E008D">
        <w:rPr>
          <w:rFonts w:ascii="Verdana" w:hAnsi="Verdana"/>
          <w:sz w:val="20"/>
          <w:szCs w:val="20"/>
          <w:lang w:val="es-ES"/>
        </w:rPr>
        <w:t>3.5. Cobertura expresa de vehículos propios y no propios”.</w:t>
      </w:r>
    </w:p>
    <w:p w14:paraId="6EF1FBBB" w14:textId="77777777" w:rsidR="008E3928" w:rsidRPr="00983DE2" w:rsidRDefault="008E3928" w:rsidP="008E3928">
      <w:pPr>
        <w:pStyle w:val="Textonotapie"/>
        <w:snapToGrid w:val="0"/>
        <w:ind w:right="709"/>
        <w:contextualSpacing/>
        <w:jc w:val="both"/>
        <w:rPr>
          <w:rFonts w:ascii="Verdana" w:eastAsia="Times New Roman" w:hAnsi="Verdana" w:cs="Arial"/>
          <w:color w:val="000000" w:themeColor="text1"/>
          <w:lang w:val="es-ES" w:eastAsia="es-CO"/>
        </w:rPr>
      </w:pPr>
    </w:p>
    <w:p w14:paraId="54532A32" w14:textId="6539C303" w:rsidR="008E3928" w:rsidRPr="00983DE2" w:rsidRDefault="008E3928" w:rsidP="006E008D">
      <w:pPr>
        <w:spacing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En efecto, en la garantía que respalde el riesgo de responsabilidad civil extracontractual</w:t>
      </w:r>
      <w:r w:rsidR="009A5743">
        <w:rPr>
          <w:rFonts w:ascii="Verdana" w:eastAsia="Times New Roman" w:hAnsi="Verdana" w:cs="Arial"/>
          <w:color w:val="000000" w:themeColor="text1"/>
          <w:lang w:val="es-ES" w:eastAsia="es-CO"/>
        </w:rPr>
        <w:t>,</w:t>
      </w:r>
      <w:r w:rsidRPr="00983DE2">
        <w:rPr>
          <w:rFonts w:ascii="Verdana" w:eastAsia="Times New Roman" w:hAnsi="Verdana" w:cs="Arial"/>
          <w:color w:val="000000" w:themeColor="text1"/>
          <w:lang w:val="es-ES" w:eastAsia="es-CO"/>
        </w:rPr>
        <w:t xml:space="preserve"> l</w:t>
      </w:r>
      <w:r w:rsidRPr="00983DE2">
        <w:rPr>
          <w:rFonts w:ascii="Verdana" w:hAnsi="Verdana"/>
          <w:lang w:val="es-ES"/>
        </w:rPr>
        <w:t xml:space="preserve">a Entidad Estatal y el contratista deben tener la calidad de asegurado </w:t>
      </w:r>
      <w:r w:rsidRPr="00983DE2">
        <w:rPr>
          <w:rFonts w:ascii="Verdana" w:eastAsia="Times New Roman" w:hAnsi="Verdana" w:cs="Arial"/>
          <w:color w:val="000000" w:themeColor="text1"/>
          <w:lang w:val="es-ES" w:eastAsia="es-CO"/>
        </w:rPr>
        <w:t xml:space="preserve">respecto de los daños producidos por el contratista con ocasión de la ejecución del contrato amparado. Adicionalmente, tanto la Entidad Estatal como los terceros que puedan resultar afectados por la responsabilidad del contratista o sus subcontratistas deben figurar como beneficiarios. El cumplimiento de este requisito debe ser verificado por la </w:t>
      </w:r>
      <w:r w:rsidR="009A5743" w:rsidRPr="00983DE2">
        <w:rPr>
          <w:rFonts w:ascii="Verdana" w:eastAsia="Times New Roman" w:hAnsi="Verdana" w:cs="Arial"/>
          <w:color w:val="000000" w:themeColor="text1"/>
          <w:lang w:val="es-ES" w:eastAsia="es-CO"/>
        </w:rPr>
        <w:t xml:space="preserve">Entidad Estatal </w:t>
      </w:r>
      <w:r w:rsidRPr="00983DE2">
        <w:rPr>
          <w:rFonts w:ascii="Verdana" w:eastAsia="Times New Roman" w:hAnsi="Verdana" w:cs="Arial"/>
          <w:color w:val="000000" w:themeColor="text1"/>
          <w:lang w:val="es-ES" w:eastAsia="es-CO"/>
        </w:rPr>
        <w:t xml:space="preserve">para la aprobación de la garantía y el inicio de la ejecución contractual. </w:t>
      </w:r>
    </w:p>
    <w:p w14:paraId="1586A459" w14:textId="77777777" w:rsidR="008E3928" w:rsidRPr="00983DE2" w:rsidRDefault="008E3928" w:rsidP="008E3928">
      <w:pPr>
        <w:spacing w:before="120" w:after="0" w:line="276" w:lineRule="auto"/>
        <w:ind w:firstLine="708"/>
        <w:jc w:val="both"/>
        <w:rPr>
          <w:rFonts w:ascii="Verdana" w:hAnsi="Verdana"/>
          <w:lang w:val="es-ES"/>
        </w:rPr>
      </w:pPr>
      <w:r w:rsidRPr="00983DE2">
        <w:rPr>
          <w:rFonts w:ascii="Verdana" w:eastAsia="Times New Roman" w:hAnsi="Verdana" w:cs="Arial"/>
          <w:color w:val="000000" w:themeColor="text1"/>
          <w:lang w:val="es-ES" w:eastAsia="es-CO"/>
        </w:rPr>
        <w:t>Tercero, el seguro de responsabilidad civil extracontractual debe cumplir con los valores mínimos de suficiencia que establece el artículo 2.2.1.2.3.1.17. En efecto, la entidad debe</w:t>
      </w:r>
      <w:r w:rsidRPr="00983DE2">
        <w:rPr>
          <w:rFonts w:ascii="Verdana" w:hAnsi="Verdana"/>
          <w:lang w:val="es-ES"/>
        </w:rPr>
        <w:t xml:space="preserve"> verificar que el valor asegurado por los contratos de seguro que amparan la responsabilidad civil extracontractual no sea inferior a: </w:t>
      </w:r>
    </w:p>
    <w:p w14:paraId="695B9830" w14:textId="77777777" w:rsidR="008E3928" w:rsidRPr="00983DE2" w:rsidRDefault="008E3928" w:rsidP="008E3928">
      <w:pPr>
        <w:spacing w:after="0" w:line="276" w:lineRule="auto"/>
        <w:ind w:firstLine="708"/>
        <w:jc w:val="both"/>
        <w:rPr>
          <w:rFonts w:ascii="Verdana" w:hAnsi="Verdana"/>
          <w:lang w:val="es-ES"/>
        </w:rPr>
      </w:pPr>
    </w:p>
    <w:p w14:paraId="79EA4991" w14:textId="77777777" w:rsidR="008E3928" w:rsidRPr="006E008D" w:rsidRDefault="008E3928" w:rsidP="006E008D">
      <w:pPr>
        <w:pStyle w:val="Textonotapie"/>
        <w:snapToGrid w:val="0"/>
        <w:ind w:left="709" w:right="709"/>
        <w:jc w:val="both"/>
        <w:rPr>
          <w:rFonts w:ascii="Verdana" w:hAnsi="Verdana"/>
          <w:lang w:val="es-ES"/>
        </w:rPr>
      </w:pPr>
      <w:r w:rsidRPr="006E008D">
        <w:rPr>
          <w:rFonts w:ascii="Verdana" w:eastAsia="Times New Roman" w:hAnsi="Verdana" w:cs="Arial"/>
          <w:color w:val="000000" w:themeColor="text1"/>
          <w:lang w:val="es-ES" w:eastAsia="es-CO"/>
        </w:rPr>
        <w:t xml:space="preserve">“1. Doscientos (200)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xml:space="preserve"> para contratos cuyo valor sea inferior o igual a mil quinientos (1.500)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w:t>
      </w:r>
    </w:p>
    <w:p w14:paraId="2C15419A" w14:textId="77777777" w:rsidR="008E3928" w:rsidRPr="006E008D" w:rsidRDefault="008E3928" w:rsidP="006E008D">
      <w:pPr>
        <w:pStyle w:val="Textonotapie"/>
        <w:snapToGrid w:val="0"/>
        <w:ind w:left="709" w:right="709"/>
        <w:jc w:val="both"/>
        <w:rPr>
          <w:rFonts w:ascii="Verdana" w:eastAsia="Times New Roman" w:hAnsi="Verdana" w:cs="Arial"/>
          <w:color w:val="000000" w:themeColor="text1"/>
          <w:lang w:val="es-ES" w:eastAsia="es-CO"/>
        </w:rPr>
      </w:pPr>
      <w:r w:rsidRPr="006E008D">
        <w:rPr>
          <w:rFonts w:ascii="Verdana" w:eastAsia="Times New Roman" w:hAnsi="Verdana" w:cs="Arial"/>
          <w:color w:val="000000" w:themeColor="text1"/>
          <w:lang w:val="es-ES" w:eastAsia="es-CO"/>
        </w:rPr>
        <w:t xml:space="preserve">2. Trescientos (300)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xml:space="preserve"> para contratos cuyo valor sea superior a mil quinientos (1.500)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xml:space="preserve"> e inferior o igual a dos mil quinientos (2.500)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w:t>
      </w:r>
    </w:p>
    <w:p w14:paraId="46828996" w14:textId="77777777" w:rsidR="008E3928" w:rsidRPr="006E008D" w:rsidRDefault="008E3928" w:rsidP="006E008D">
      <w:pPr>
        <w:pStyle w:val="Textonotapie"/>
        <w:snapToGrid w:val="0"/>
        <w:ind w:left="709" w:right="709"/>
        <w:jc w:val="both"/>
        <w:rPr>
          <w:rFonts w:ascii="Verdana" w:eastAsia="Times New Roman" w:hAnsi="Verdana" w:cs="Arial"/>
          <w:color w:val="000000" w:themeColor="text1"/>
          <w:lang w:val="es-ES" w:eastAsia="es-CO"/>
        </w:rPr>
      </w:pPr>
      <w:r w:rsidRPr="006E008D">
        <w:rPr>
          <w:rFonts w:ascii="Verdana" w:eastAsia="Times New Roman" w:hAnsi="Verdana" w:cs="Arial"/>
          <w:color w:val="000000" w:themeColor="text1"/>
          <w:lang w:val="es-ES" w:eastAsia="es-CO"/>
        </w:rPr>
        <w:t xml:space="preserve">3. Cuatrocientos (400)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xml:space="preserve"> para contratos cuyo valor sea superior a dos mil quinientos (2.500)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xml:space="preserve"> e inferior o igual a cinco mil (5.000)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w:t>
      </w:r>
    </w:p>
    <w:p w14:paraId="18E514C3" w14:textId="77777777" w:rsidR="008E3928" w:rsidRPr="006E008D" w:rsidRDefault="008E3928" w:rsidP="006E008D">
      <w:pPr>
        <w:pStyle w:val="Textonotapie"/>
        <w:snapToGrid w:val="0"/>
        <w:ind w:left="709" w:right="709"/>
        <w:jc w:val="both"/>
        <w:rPr>
          <w:rFonts w:ascii="Verdana" w:eastAsia="Times New Roman" w:hAnsi="Verdana" w:cs="Arial"/>
          <w:color w:val="000000" w:themeColor="text1"/>
          <w:lang w:val="es-ES" w:eastAsia="es-CO"/>
        </w:rPr>
      </w:pPr>
      <w:r w:rsidRPr="006E008D">
        <w:rPr>
          <w:rFonts w:ascii="Verdana" w:eastAsia="Times New Roman" w:hAnsi="Verdana" w:cs="Arial"/>
          <w:color w:val="000000" w:themeColor="text1"/>
          <w:lang w:val="es-ES" w:eastAsia="es-CO"/>
        </w:rPr>
        <w:t xml:space="preserve">4. Quinientos (500)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xml:space="preserve"> para contratos cuyo valor sea superior a cinco mil (5.000)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xml:space="preserve"> e inferior o igual a diez mil (10.000)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w:t>
      </w:r>
    </w:p>
    <w:p w14:paraId="275A4B71" w14:textId="77777777" w:rsidR="008E3928" w:rsidRPr="006E008D" w:rsidRDefault="008E3928" w:rsidP="006E008D">
      <w:pPr>
        <w:pStyle w:val="Textonotapie"/>
        <w:snapToGrid w:val="0"/>
        <w:ind w:left="709" w:right="709"/>
        <w:jc w:val="both"/>
        <w:rPr>
          <w:rFonts w:ascii="Verdana" w:eastAsia="Times New Roman" w:hAnsi="Verdana" w:cs="Arial"/>
          <w:color w:val="000000" w:themeColor="text1"/>
          <w:lang w:val="es-ES" w:eastAsia="es-CO"/>
        </w:rPr>
      </w:pPr>
      <w:r w:rsidRPr="006E008D">
        <w:rPr>
          <w:rFonts w:ascii="Verdana" w:eastAsia="Times New Roman" w:hAnsi="Verdana" w:cs="Arial"/>
          <w:color w:val="000000" w:themeColor="text1"/>
          <w:lang w:val="es-ES" w:eastAsia="es-CO"/>
        </w:rPr>
        <w:t xml:space="preserve">5. El cinco por ciento (5%) del valor del contrato cuando este sea superior a diez mil (10.000)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xml:space="preserve">, caso en el cual el valor asegurado debe ser máximo setenta y cinco mil (75.000) </w:t>
      </w:r>
      <w:proofErr w:type="spellStart"/>
      <w:r w:rsidRPr="006E008D">
        <w:rPr>
          <w:rFonts w:ascii="Verdana" w:eastAsia="Times New Roman" w:hAnsi="Verdana" w:cs="Arial"/>
          <w:color w:val="000000" w:themeColor="text1"/>
          <w:lang w:val="es-ES" w:eastAsia="es-CO"/>
        </w:rPr>
        <w:t>smmlv</w:t>
      </w:r>
      <w:proofErr w:type="spellEnd"/>
      <w:r w:rsidRPr="006E008D">
        <w:rPr>
          <w:rFonts w:ascii="Verdana" w:eastAsia="Times New Roman" w:hAnsi="Verdana" w:cs="Arial"/>
          <w:color w:val="000000" w:themeColor="text1"/>
          <w:lang w:val="es-ES" w:eastAsia="es-CO"/>
        </w:rPr>
        <w:t>”. </w:t>
      </w:r>
    </w:p>
    <w:p w14:paraId="4E0CF648" w14:textId="77777777" w:rsidR="008E3928" w:rsidRPr="00983DE2" w:rsidRDefault="008E3928" w:rsidP="008E3928">
      <w:pPr>
        <w:pStyle w:val="Textonotapie"/>
        <w:snapToGrid w:val="0"/>
        <w:spacing w:before="120"/>
        <w:ind w:left="709" w:right="709"/>
        <w:contextualSpacing/>
        <w:jc w:val="both"/>
        <w:rPr>
          <w:rFonts w:ascii="Verdana" w:hAnsi="Verdana"/>
          <w:sz w:val="21"/>
          <w:szCs w:val="21"/>
          <w:lang w:val="es-ES"/>
        </w:rPr>
      </w:pPr>
    </w:p>
    <w:p w14:paraId="625105E4" w14:textId="77777777" w:rsidR="008E3928" w:rsidRPr="00983DE2" w:rsidRDefault="008E3928" w:rsidP="007A334B">
      <w:pPr>
        <w:spacing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lastRenderedPageBreak/>
        <w:t xml:space="preserve">En consecuencia, la entidad debe verificar que el contrato de seguro cumpla con la suficiencia en términos de valor y tiempo de acuerdo con el artículo </w:t>
      </w:r>
      <w:bookmarkStart w:id="6" w:name="_Hlk171693447"/>
      <w:r w:rsidRPr="00983DE2">
        <w:rPr>
          <w:rFonts w:ascii="Verdana" w:eastAsia="Times New Roman" w:hAnsi="Verdana" w:cs="Arial"/>
          <w:color w:val="000000" w:themeColor="text1"/>
          <w:lang w:val="es-ES" w:eastAsia="es-CO"/>
        </w:rPr>
        <w:t>2.2.1.2.3.1.17</w:t>
      </w:r>
      <w:bookmarkEnd w:id="6"/>
      <w:r w:rsidRPr="00983DE2">
        <w:rPr>
          <w:rStyle w:val="Refdenotaalpie"/>
          <w:rFonts w:ascii="Verdana" w:eastAsia="Times New Roman" w:hAnsi="Verdana" w:cs="Arial"/>
          <w:color w:val="000000" w:themeColor="text1"/>
          <w:lang w:val="es-ES" w:eastAsia="es-CO"/>
        </w:rPr>
        <w:footnoteReference w:id="11"/>
      </w:r>
      <w:r w:rsidRPr="00983DE2">
        <w:rPr>
          <w:rFonts w:ascii="Verdana" w:eastAsia="Times New Roman" w:hAnsi="Verdana" w:cs="Arial"/>
          <w:color w:val="000000" w:themeColor="text1"/>
          <w:lang w:val="es-ES" w:eastAsia="es-CO"/>
        </w:rPr>
        <w:t xml:space="preserve">. Adicional a lo anterior, la norma establece de manera expresa que la vigencia de esta garantía deberá ser igual al </w:t>
      </w:r>
      <w:r w:rsidRPr="00983DE2">
        <w:rPr>
          <w:rFonts w:ascii="Verdana" w:eastAsia="Times New Roman" w:hAnsi="Verdana" w:cs="Arial"/>
          <w:i/>
          <w:color w:val="000000" w:themeColor="text1"/>
          <w:lang w:val="es-ES" w:eastAsia="es-CO"/>
        </w:rPr>
        <w:t>período de ejecución del contrato</w:t>
      </w:r>
      <w:r w:rsidRPr="00983DE2">
        <w:rPr>
          <w:rFonts w:ascii="Verdana" w:eastAsia="Times New Roman" w:hAnsi="Verdana" w:cs="Arial"/>
          <w:color w:val="000000" w:themeColor="text1"/>
          <w:lang w:val="es-ES" w:eastAsia="es-CO"/>
        </w:rPr>
        <w:t xml:space="preserve"> estatal que está respaldando.</w:t>
      </w:r>
    </w:p>
    <w:p w14:paraId="595BDE95" w14:textId="77777777" w:rsidR="008E3928" w:rsidRDefault="008E3928" w:rsidP="006E008D">
      <w:pPr>
        <w:spacing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w:t>
      </w:r>
      <w:proofErr w:type="spellStart"/>
      <w:r w:rsidRPr="00983DE2">
        <w:rPr>
          <w:rFonts w:ascii="Verdana" w:eastAsia="Times New Roman" w:hAnsi="Verdana" w:cs="Arial"/>
          <w:color w:val="000000" w:themeColor="text1"/>
          <w:lang w:val="es-ES" w:eastAsia="es-CO"/>
        </w:rPr>
        <w:t>smmlv</w:t>
      </w:r>
      <w:proofErr w:type="spellEnd"/>
      <w:r w:rsidRPr="00983DE2">
        <w:rPr>
          <w:rFonts w:ascii="Verdana" w:eastAsia="Times New Roman" w:hAnsi="Verdana" w:cs="Arial"/>
          <w:color w:val="000000" w:themeColor="text1"/>
          <w:lang w:val="es-ES" w:eastAsia="es-CO"/>
        </w:rPr>
        <w:t xml:space="preserve">. No serán admisibles las franquicias, coaseguros obligatorios y demás formas de estipulación que impliquen la asunción de parte de la pérdida por la entidad asegurada”. </w:t>
      </w:r>
    </w:p>
    <w:p w14:paraId="4FFEC820" w14:textId="32A40C59" w:rsidR="008E3928" w:rsidRDefault="008E3928" w:rsidP="007A334B">
      <w:pPr>
        <w:tabs>
          <w:tab w:val="left" w:pos="426"/>
        </w:tabs>
        <w:spacing w:after="120" w:line="276" w:lineRule="auto"/>
        <w:jc w:val="both"/>
        <w:rPr>
          <w:rFonts w:ascii="Verdana" w:eastAsia="Calibri" w:hAnsi="Verdana" w:cs="Arial"/>
        </w:rPr>
      </w:pPr>
      <w:r>
        <w:rPr>
          <w:rFonts w:ascii="Verdana" w:eastAsia="Times New Roman" w:hAnsi="Verdana" w:cs="Arial"/>
          <w:color w:val="000000" w:themeColor="text1"/>
          <w:lang w:val="es-ES" w:eastAsia="es-CO"/>
        </w:rPr>
        <w:tab/>
      </w:r>
      <w:r w:rsidR="007A334B">
        <w:rPr>
          <w:rFonts w:ascii="Verdana" w:eastAsia="Times New Roman" w:hAnsi="Verdana" w:cs="Arial"/>
          <w:color w:val="000000" w:themeColor="text1"/>
          <w:lang w:val="es-ES" w:eastAsia="es-CO"/>
        </w:rPr>
        <w:tab/>
      </w:r>
      <w:r w:rsidRPr="00983DE2">
        <w:rPr>
          <w:rFonts w:ascii="Verdana" w:eastAsia="Times New Roman" w:hAnsi="Verdana" w:cs="Arial"/>
          <w:color w:val="000000" w:themeColor="text1"/>
          <w:lang w:val="es-ES" w:eastAsia="es-CO"/>
        </w:rPr>
        <w:t>Así, el cumplimiento de las exigencias previstas en el Decreto Único Reglamentario del Sector Planeación condiciona la aprobación de la garantía como requisito de ejecución contractual conforme al inciso segundo de artículo 41 de la Ley 80 de 1993. De esta manera, independientemente de la naturaleza “corporativa” o “individual” de la garantía, la Entidad Estatal tiene la obligación de verificar en cada caso que el contrato de seguro de responsabilidad civil extracontractual satisfaga todos los requisitos previamente expuestos, en los términos establecidos en la normativa.</w:t>
      </w:r>
    </w:p>
    <w:p w14:paraId="7C504811" w14:textId="0D5F8F2F" w:rsidR="008E3928" w:rsidRDefault="008E3928" w:rsidP="006E008D">
      <w:pPr>
        <w:spacing w:after="120" w:line="276" w:lineRule="auto"/>
        <w:jc w:val="both"/>
        <w:rPr>
          <w:rFonts w:ascii="Verdana" w:eastAsia="Calibri" w:hAnsi="Verdana" w:cs="Arial"/>
          <w:lang w:val="es-MX"/>
        </w:rPr>
      </w:pPr>
      <w:r>
        <w:rPr>
          <w:rFonts w:ascii="Verdana" w:eastAsia="Calibri" w:hAnsi="Verdana" w:cs="Arial"/>
          <w:lang w:val="es-MX"/>
        </w:rPr>
        <w:t xml:space="preserve">      Ahora bien, ante la omisión de cumplimiento de las normas legales surge la figura de la subsanación como mecanismo extraordinario para enmendar errores de la administración, </w:t>
      </w:r>
      <w:r w:rsidRPr="00AE1EB5">
        <w:rPr>
          <w:rFonts w:ascii="Verdana" w:eastAsia="Calibri" w:hAnsi="Verdana" w:cs="Arial"/>
        </w:rPr>
        <w:t xml:space="preserve">en la contratación estatal </w:t>
      </w:r>
      <w:r>
        <w:rPr>
          <w:rFonts w:ascii="Verdana" w:eastAsia="Calibri" w:hAnsi="Verdana" w:cs="Arial"/>
        </w:rPr>
        <w:t xml:space="preserve">esta figura </w:t>
      </w:r>
      <w:r w:rsidRPr="00AE1EB5">
        <w:rPr>
          <w:rFonts w:ascii="Verdana" w:eastAsia="Calibri" w:hAnsi="Verdana" w:cs="Arial"/>
        </w:rPr>
        <w:t xml:space="preserve">se fundamenta en los principios constitucionales de eficacia y moralidad </w:t>
      </w:r>
      <w:r>
        <w:rPr>
          <w:rFonts w:ascii="Verdana" w:eastAsia="Calibri" w:hAnsi="Verdana" w:cs="Arial"/>
        </w:rPr>
        <w:t>del artículo 2</w:t>
      </w:r>
      <w:r w:rsidRPr="00AE1EB5">
        <w:rPr>
          <w:rFonts w:ascii="Verdana" w:eastAsia="Calibri" w:hAnsi="Verdana" w:cs="Arial"/>
        </w:rPr>
        <w:t xml:space="preserve">09 </w:t>
      </w:r>
      <w:r>
        <w:rPr>
          <w:rFonts w:ascii="Verdana" w:eastAsia="Calibri" w:hAnsi="Verdana" w:cs="Arial"/>
        </w:rPr>
        <w:t>superior</w:t>
      </w:r>
      <w:r w:rsidRPr="00AE1EB5">
        <w:rPr>
          <w:rFonts w:ascii="Verdana" w:eastAsia="Calibri" w:hAnsi="Verdana" w:cs="Arial"/>
        </w:rPr>
        <w:t xml:space="preserve">, los cuales obligan a la administración a remover obstáculos formales y corregir errores para asegurar el cumplimiento de los fines del Estado. Este mandato se </w:t>
      </w:r>
      <w:r w:rsidRPr="00AE1EB5">
        <w:rPr>
          <w:rFonts w:ascii="Verdana" w:eastAsia="Calibri" w:hAnsi="Verdana" w:cs="Arial"/>
        </w:rPr>
        <w:lastRenderedPageBreak/>
        <w:t>materializa a través del deber de dirección y responsabilidad de las entidades</w:t>
      </w:r>
      <w:r w:rsidR="00B81E66">
        <w:rPr>
          <w:rFonts w:ascii="Verdana" w:eastAsia="Calibri" w:hAnsi="Verdana" w:cs="Arial"/>
        </w:rPr>
        <w:t>,</w:t>
      </w:r>
      <w:r w:rsidRPr="00AE1EB5">
        <w:rPr>
          <w:rFonts w:ascii="Verdana" w:eastAsia="Calibri" w:hAnsi="Verdana" w:cs="Arial"/>
        </w:rPr>
        <w:t xml:space="preserve"> </w:t>
      </w:r>
      <w:r>
        <w:rPr>
          <w:rFonts w:ascii="Verdana" w:eastAsia="Calibri" w:hAnsi="Verdana" w:cs="Arial"/>
        </w:rPr>
        <w:t xml:space="preserve">previsto en los artículos </w:t>
      </w:r>
      <w:r w:rsidRPr="00AE1EB5">
        <w:rPr>
          <w:rFonts w:ascii="Verdana" w:eastAsia="Calibri" w:hAnsi="Verdana" w:cs="Arial"/>
        </w:rPr>
        <w:t xml:space="preserve">4 y 14 de la Ley 80 de 1993, que las faculta para sanear omisiones en la cobertura de riesgos y ajustar el contrato al ordenamiento legal, evitando así nulidades o perjuicios al patrimonio público. </w:t>
      </w:r>
    </w:p>
    <w:p w14:paraId="2EE9A937" w14:textId="18A7AF22" w:rsidR="008E3928" w:rsidRDefault="008E3928" w:rsidP="006E008D">
      <w:pPr>
        <w:spacing w:after="120" w:line="276" w:lineRule="auto"/>
        <w:jc w:val="both"/>
        <w:rPr>
          <w:rFonts w:ascii="Verdana" w:eastAsia="Calibri" w:hAnsi="Verdana" w:cs="Arial"/>
        </w:rPr>
      </w:pPr>
      <w:r>
        <w:rPr>
          <w:rFonts w:ascii="Verdana" w:eastAsia="Calibri" w:hAnsi="Verdana" w:cs="Arial"/>
        </w:rPr>
        <w:t xml:space="preserve">         Así las cosas y en atención al problema jurídico planteado</w:t>
      </w:r>
      <w:r w:rsidR="00B81E66">
        <w:rPr>
          <w:rFonts w:ascii="Verdana" w:eastAsia="Calibri" w:hAnsi="Verdana" w:cs="Arial"/>
        </w:rPr>
        <w:t>,</w:t>
      </w:r>
      <w:r>
        <w:rPr>
          <w:rFonts w:ascii="Verdana" w:eastAsia="Calibri" w:hAnsi="Verdana" w:cs="Arial"/>
        </w:rPr>
        <w:t xml:space="preserve"> corresponderá a la </w:t>
      </w:r>
      <w:r w:rsidR="00B81E66">
        <w:rPr>
          <w:rFonts w:ascii="Verdana" w:eastAsia="Calibri" w:hAnsi="Verdana" w:cs="Arial"/>
        </w:rPr>
        <w:t xml:space="preserve">Entidad Estatal, </w:t>
      </w:r>
      <w:r>
        <w:rPr>
          <w:rFonts w:ascii="Verdana" w:eastAsia="Calibri" w:hAnsi="Verdana" w:cs="Arial"/>
        </w:rPr>
        <w:t>de conformidad con la normatividad anteriormente transcrita y los elementos facticos del caso</w:t>
      </w:r>
      <w:r w:rsidR="00B81E66">
        <w:rPr>
          <w:rFonts w:ascii="Verdana" w:eastAsia="Calibri" w:hAnsi="Verdana" w:cs="Arial"/>
        </w:rPr>
        <w:t>,</w:t>
      </w:r>
      <w:r>
        <w:rPr>
          <w:rFonts w:ascii="Verdana" w:eastAsia="Calibri" w:hAnsi="Verdana" w:cs="Arial"/>
        </w:rPr>
        <w:t xml:space="preserve"> determinar si resulta </w:t>
      </w:r>
      <w:r w:rsidRPr="00D04F91">
        <w:rPr>
          <w:rFonts w:ascii="Verdana" w:eastAsia="Calibri" w:hAnsi="Verdana" w:cs="Arial"/>
        </w:rPr>
        <w:t>jurídica y técnicamente procedente subsan</w:t>
      </w:r>
      <w:r>
        <w:rPr>
          <w:rFonts w:ascii="Verdana" w:eastAsia="Calibri" w:hAnsi="Verdana" w:cs="Arial"/>
        </w:rPr>
        <w:t>ar</w:t>
      </w:r>
      <w:r w:rsidRPr="00D04F91">
        <w:rPr>
          <w:rFonts w:ascii="Verdana" w:eastAsia="Calibri" w:hAnsi="Verdana" w:cs="Arial"/>
        </w:rPr>
        <w:t xml:space="preserve"> la omisión mediante la exigencia de la garantía de Responsabilidad Civil Extracontractual (RCE) en el marco de la suscripción del otrosí de prórroga. </w:t>
      </w:r>
    </w:p>
    <w:p w14:paraId="550D7254" w14:textId="77777777" w:rsidR="008E3928" w:rsidRDefault="008E3928" w:rsidP="00B81E66">
      <w:pPr>
        <w:spacing w:after="0" w:line="276" w:lineRule="auto"/>
        <w:jc w:val="both"/>
        <w:rPr>
          <w:rFonts w:ascii="Verdana" w:eastAsia="Calibri" w:hAnsi="Verdana" w:cs="Arial"/>
        </w:rPr>
      </w:pPr>
      <w:r>
        <w:rPr>
          <w:rFonts w:ascii="Verdana" w:eastAsia="Calibri" w:hAnsi="Verdana" w:cs="Arial"/>
        </w:rPr>
        <w:t xml:space="preserve">         La anterior decisión debe soportarse en el </w:t>
      </w:r>
      <w:r w:rsidRPr="00D04F91">
        <w:rPr>
          <w:rFonts w:ascii="Verdana" w:eastAsia="Calibri" w:hAnsi="Verdana" w:cs="Arial"/>
        </w:rPr>
        <w:t xml:space="preserve">deber imperativo </w:t>
      </w:r>
      <w:r>
        <w:rPr>
          <w:rFonts w:ascii="Verdana" w:eastAsia="Calibri" w:hAnsi="Verdana" w:cs="Arial"/>
        </w:rPr>
        <w:t xml:space="preserve">que tienen </w:t>
      </w:r>
      <w:r w:rsidRPr="00D04F91">
        <w:rPr>
          <w:rFonts w:ascii="Verdana" w:eastAsia="Calibri" w:hAnsi="Verdana" w:cs="Arial"/>
        </w:rPr>
        <w:t xml:space="preserve">las entidades de amparar los riesgos que se derivan del objeto y la naturaleza del contrato, protegiendo así el patrimonio público y el interés general frente a eventuales reclamaciones de terceros. </w:t>
      </w:r>
      <w:r>
        <w:rPr>
          <w:rFonts w:ascii="Verdana" w:eastAsia="Calibri" w:hAnsi="Verdana" w:cs="Arial"/>
        </w:rPr>
        <w:t>Además, deberá tenerse en cuenta que s</w:t>
      </w:r>
      <w:r w:rsidRPr="00D04F91">
        <w:rPr>
          <w:rFonts w:ascii="Verdana" w:eastAsia="Calibri" w:hAnsi="Verdana" w:cs="Arial"/>
        </w:rPr>
        <w:t xml:space="preserve">i bien la cobertura no suele tener efectos retroactivos, su constitución para el periodo restante es indispensable para cumplir con la legalidad. </w:t>
      </w:r>
    </w:p>
    <w:p w14:paraId="6F666652" w14:textId="77777777" w:rsidR="00B81E66" w:rsidRDefault="00B81E66" w:rsidP="006E008D">
      <w:pPr>
        <w:spacing w:after="0" w:line="276" w:lineRule="auto"/>
        <w:jc w:val="both"/>
        <w:rPr>
          <w:rFonts w:ascii="Verdana" w:eastAsia="Calibri" w:hAnsi="Verdana" w:cs="Arial"/>
        </w:rPr>
      </w:pPr>
    </w:p>
    <w:p w14:paraId="7FE7E810" w14:textId="1E52B1EE" w:rsidR="008E3928" w:rsidRDefault="008E3928" w:rsidP="006E008D">
      <w:pPr>
        <w:spacing w:after="120" w:line="276" w:lineRule="auto"/>
        <w:jc w:val="both"/>
        <w:rPr>
          <w:rFonts w:ascii="Verdana" w:eastAsia="Calibri" w:hAnsi="Verdana" w:cs="Arial"/>
          <w:lang w:val="es-MX"/>
        </w:rPr>
      </w:pPr>
      <w:proofErr w:type="spellStart"/>
      <w:r>
        <w:rPr>
          <w:rFonts w:ascii="Verdana" w:eastAsia="Calibri" w:hAnsi="Verdana" w:cs="Arial"/>
        </w:rPr>
        <w:t>ii</w:t>
      </w:r>
      <w:proofErr w:type="spellEnd"/>
      <w:r>
        <w:rPr>
          <w:rFonts w:ascii="Verdana" w:eastAsia="Calibri" w:hAnsi="Verdana" w:cs="Arial"/>
        </w:rPr>
        <w:t>. Ahora bien, en el caso que la entidad no encuentre viable proceder a la subsanación</w:t>
      </w:r>
      <w:r w:rsidRPr="00D04F91">
        <w:rPr>
          <w:rFonts w:ascii="Verdana" w:eastAsia="Calibri" w:hAnsi="Verdana" w:cs="Arial"/>
        </w:rPr>
        <w:t>, podría evaluar la liquidación del contrato por mutuo acuerdo o mediante un acto administrativo motivado, fundamentándose en la imposibilidad jurídica de continuar con una ejecución que vulnera el régimen legal de gestión de riesgos, sin que la posterior contratación del saldo del objeto con un nuevo contratista constituya fraccionamiento, siempre que la terminación del vínculo inicial esté debidamente justificada.</w:t>
      </w:r>
    </w:p>
    <w:p w14:paraId="7EBEAF0F" w14:textId="77777777" w:rsidR="008E3928" w:rsidRPr="00F4158D" w:rsidRDefault="008E3928" w:rsidP="006E008D">
      <w:pPr>
        <w:spacing w:after="120" w:line="276" w:lineRule="auto"/>
        <w:jc w:val="both"/>
        <w:rPr>
          <w:rFonts w:ascii="Verdana" w:eastAsia="Calibri" w:hAnsi="Verdana" w:cs="Arial"/>
          <w:bCs/>
          <w:color w:val="000000" w:themeColor="text1"/>
        </w:rPr>
      </w:pPr>
      <w:r>
        <w:rPr>
          <w:rFonts w:ascii="Verdana" w:eastAsia="Calibri" w:hAnsi="Verdana" w:cs="Arial"/>
          <w:lang w:val="es-MX"/>
        </w:rPr>
        <w:t xml:space="preserve">       </w:t>
      </w:r>
      <w:r>
        <w:rPr>
          <w:rFonts w:ascii="Verdana" w:eastAsia="Calibri" w:hAnsi="Verdana" w:cs="Arial"/>
          <w:bCs/>
          <w:lang w:val="es-MX" w:eastAsia="x-none"/>
        </w:rPr>
        <w:t>Finalmente s</w:t>
      </w:r>
      <w:r w:rsidRPr="00D04F91">
        <w:rPr>
          <w:rFonts w:ascii="Verdana" w:eastAsia="Calibri" w:hAnsi="Verdana" w:cs="Arial"/>
          <w:bCs/>
          <w:lang w:val="es-MX" w:eastAsia="x-none"/>
        </w:rPr>
        <w:t>e recomienda la consulta de la "Guía para el manejo de Garantías en Procesos de Contratación"</w:t>
      </w:r>
      <w:r>
        <w:rPr>
          <w:rStyle w:val="Refdenotaalpie"/>
          <w:rFonts w:ascii="Verdana" w:eastAsia="Calibri" w:hAnsi="Verdana" w:cs="Arial"/>
          <w:bCs/>
          <w:lang w:val="es-MX" w:eastAsia="x-none"/>
        </w:rPr>
        <w:footnoteReference w:id="12"/>
      </w:r>
      <w:r w:rsidRPr="00D04F91">
        <w:rPr>
          <w:rFonts w:ascii="Verdana" w:eastAsia="Calibri" w:hAnsi="Verdana" w:cs="Arial"/>
          <w:bCs/>
          <w:lang w:val="es-MX" w:eastAsia="x-none"/>
        </w:rPr>
        <w:t xml:space="preserve"> de Colombia Compra Eficiente. El objetivo de esta guía es definir lineamientos y orientar a las entidades estatales en las características de cada una de las clases de garantía previstas en las normas, sus diferencias y los aspectos a considerar en los procesos sujetos al Decreto 1082 de 2015</w:t>
      </w:r>
      <w:r>
        <w:rPr>
          <w:rFonts w:ascii="Verdana" w:eastAsia="Calibri" w:hAnsi="Verdana" w:cs="Arial"/>
          <w:bCs/>
          <w:lang w:val="es-MX" w:eastAsia="x-none"/>
        </w:rPr>
        <w:t>.</w:t>
      </w:r>
    </w:p>
    <w:p w14:paraId="744EDF63" w14:textId="77777777" w:rsidR="008E3928" w:rsidRPr="00F4158D" w:rsidRDefault="008E3928" w:rsidP="006E008D">
      <w:pPr>
        <w:spacing w:after="12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19B6E5B" w14:textId="0993D9AB" w:rsidR="008E3928" w:rsidRDefault="008E3928" w:rsidP="006E008D">
      <w:pPr>
        <w:spacing w:after="120" w:line="276" w:lineRule="auto"/>
        <w:contextualSpacing/>
        <w:jc w:val="both"/>
        <w:rPr>
          <w:rFonts w:ascii="Verdana" w:eastAsia="Calibri" w:hAnsi="Verdana" w:cs="Arial"/>
          <w:shd w:val="clear" w:color="auto" w:fill="FFFFFF"/>
        </w:rPr>
      </w:pPr>
      <w:r>
        <w:rPr>
          <w:rFonts w:ascii="Verdana" w:eastAsia="Calibri" w:hAnsi="Verdana" w:cs="Arial"/>
          <w:bCs/>
          <w:color w:val="000000" w:themeColor="text1"/>
        </w:rPr>
        <w:t xml:space="preserve">  </w:t>
      </w: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p w14:paraId="42E55D18" w14:textId="77777777" w:rsidR="008E3928" w:rsidRPr="00B81E66" w:rsidRDefault="008E3928" w:rsidP="00B81E66">
      <w:pPr>
        <w:spacing w:after="0" w:line="276" w:lineRule="auto"/>
        <w:jc w:val="both"/>
        <w:rPr>
          <w:rFonts w:ascii="Verdana" w:eastAsia="Calibri" w:hAnsi="Verdana" w:cs="Arial"/>
          <w:shd w:val="clear" w:color="auto" w:fill="FFFFFF"/>
        </w:rPr>
      </w:pPr>
    </w:p>
    <w:p w14:paraId="743138DC" w14:textId="77777777" w:rsidR="008E3928" w:rsidRPr="00B81E66" w:rsidRDefault="008E3928" w:rsidP="00B81E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81E66">
        <w:rPr>
          <w:rFonts w:ascii="Verdana" w:eastAsia="Century Gothic" w:hAnsi="Verdana" w:cs="Century Gothic"/>
          <w:b/>
          <w:bCs/>
          <w:color w:val="000000" w:themeColor="text1"/>
        </w:rPr>
        <w:t>Referencias normativas, jurisprudenciales y otras fuentes:</w:t>
      </w:r>
    </w:p>
    <w:p w14:paraId="1F5F3EBE" w14:textId="77777777" w:rsidR="008E3928" w:rsidRPr="00B81E66" w:rsidRDefault="008E3928" w:rsidP="00B81E66">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E3928" w:rsidRPr="00B81E66" w14:paraId="6724D7B4" w14:textId="77777777" w:rsidTr="001A25D0">
        <w:trPr>
          <w:trHeight w:val="335"/>
        </w:trPr>
        <w:tc>
          <w:tcPr>
            <w:tcW w:w="8647" w:type="dxa"/>
          </w:tcPr>
          <w:p w14:paraId="23F6CB61" w14:textId="77777777" w:rsidR="008E3928" w:rsidRPr="00B81E66" w:rsidRDefault="008E3928" w:rsidP="006E008D">
            <w:pPr>
              <w:pStyle w:val="Prrafodelista"/>
              <w:numPr>
                <w:ilvl w:val="0"/>
                <w:numId w:val="17"/>
              </w:numPr>
              <w:snapToGrid w:val="0"/>
              <w:spacing w:line="276" w:lineRule="auto"/>
              <w:ind w:left="612" w:hanging="357"/>
              <w:contextualSpacing w:val="0"/>
              <w:jc w:val="both"/>
              <w:rPr>
                <w:rFonts w:ascii="Verdana" w:eastAsia="Times New Roman" w:hAnsi="Verdana" w:cs="Arial"/>
                <w:color w:val="000000" w:themeColor="text1"/>
                <w:lang w:eastAsia="es-CO"/>
              </w:rPr>
            </w:pPr>
            <w:r w:rsidRPr="00B81E66">
              <w:rPr>
                <w:rFonts w:ascii="Verdana" w:eastAsia="Times New Roman" w:hAnsi="Verdana" w:cs="Arial"/>
                <w:color w:val="000000" w:themeColor="text1"/>
                <w:lang w:eastAsia="es-CO"/>
              </w:rPr>
              <w:t xml:space="preserve">Ley 80 de 1993, artículo 41. </w:t>
            </w:r>
          </w:p>
          <w:p w14:paraId="4DE4FF3C" w14:textId="77777777" w:rsidR="008E3928" w:rsidRPr="00B81E66" w:rsidRDefault="008E3928" w:rsidP="006E008D">
            <w:pPr>
              <w:pStyle w:val="Prrafodelista"/>
              <w:numPr>
                <w:ilvl w:val="0"/>
                <w:numId w:val="17"/>
              </w:numPr>
              <w:snapToGrid w:val="0"/>
              <w:spacing w:line="276" w:lineRule="auto"/>
              <w:ind w:left="612" w:hanging="357"/>
              <w:contextualSpacing w:val="0"/>
              <w:jc w:val="both"/>
              <w:rPr>
                <w:rFonts w:ascii="Verdana" w:eastAsia="Times New Roman" w:hAnsi="Verdana" w:cs="Arial"/>
                <w:color w:val="000000" w:themeColor="text1"/>
                <w:lang w:eastAsia="es-CO"/>
              </w:rPr>
            </w:pPr>
            <w:r w:rsidRPr="00B81E66">
              <w:rPr>
                <w:rFonts w:ascii="Verdana" w:eastAsia="Times New Roman" w:hAnsi="Verdana" w:cs="Arial"/>
                <w:color w:val="000000" w:themeColor="text1"/>
                <w:lang w:eastAsia="es-CO"/>
              </w:rPr>
              <w:t xml:space="preserve">Ley 1150 de 2007, artículo 7. </w:t>
            </w:r>
          </w:p>
          <w:p w14:paraId="65208712" w14:textId="77777777" w:rsidR="008E3928" w:rsidRPr="00B81E66" w:rsidRDefault="008E3928" w:rsidP="006E008D">
            <w:pPr>
              <w:pStyle w:val="Prrafodelista"/>
              <w:numPr>
                <w:ilvl w:val="0"/>
                <w:numId w:val="17"/>
              </w:numPr>
              <w:snapToGrid w:val="0"/>
              <w:spacing w:line="276" w:lineRule="auto"/>
              <w:ind w:left="612" w:hanging="357"/>
              <w:contextualSpacing w:val="0"/>
              <w:jc w:val="both"/>
              <w:rPr>
                <w:rFonts w:ascii="Verdana" w:hAnsi="Verdana" w:cs="Arial"/>
              </w:rPr>
            </w:pPr>
            <w:r w:rsidRPr="00B81E66">
              <w:rPr>
                <w:rFonts w:ascii="Verdana" w:eastAsia="Times New Roman" w:hAnsi="Verdana" w:cs="Arial"/>
                <w:color w:val="000000" w:themeColor="text1"/>
                <w:lang w:eastAsia="es-CO"/>
              </w:rPr>
              <w:t>Código de Comercio, artículos 1068 y 1071.</w:t>
            </w:r>
          </w:p>
          <w:p w14:paraId="2BEABB6C" w14:textId="77777777" w:rsidR="008E3928" w:rsidRPr="00B81E66" w:rsidRDefault="008E3928" w:rsidP="006E008D">
            <w:pPr>
              <w:pStyle w:val="Prrafodelista"/>
              <w:numPr>
                <w:ilvl w:val="0"/>
                <w:numId w:val="17"/>
              </w:numPr>
              <w:snapToGrid w:val="0"/>
              <w:spacing w:line="276" w:lineRule="auto"/>
              <w:ind w:left="612" w:hanging="357"/>
              <w:contextualSpacing w:val="0"/>
              <w:jc w:val="both"/>
              <w:rPr>
                <w:rFonts w:ascii="Verdana" w:hAnsi="Verdana" w:cs="Arial"/>
              </w:rPr>
            </w:pPr>
            <w:r w:rsidRPr="00B81E66">
              <w:rPr>
                <w:rFonts w:ascii="Verdana" w:eastAsia="Times New Roman" w:hAnsi="Verdana" w:cs="Arial"/>
                <w:color w:val="000000" w:themeColor="text1"/>
                <w:lang w:eastAsia="es-CO"/>
              </w:rPr>
              <w:t>Decreto 1082 de 2015, artículos 2.2.1.2.3.1.1 a 2.2.1.2.3.1.19.</w:t>
            </w:r>
          </w:p>
        </w:tc>
      </w:tr>
    </w:tbl>
    <w:p w14:paraId="0B73FA72" w14:textId="77777777" w:rsidR="008E3928" w:rsidRPr="00B81E66" w:rsidRDefault="008E3928" w:rsidP="00B81E66">
      <w:pPr>
        <w:widowControl w:val="0"/>
        <w:autoSpaceDE w:val="0"/>
        <w:autoSpaceDN w:val="0"/>
        <w:spacing w:after="0" w:line="276" w:lineRule="auto"/>
        <w:jc w:val="both"/>
        <w:rPr>
          <w:rFonts w:ascii="Verdana" w:hAnsi="Verdana" w:cs="Arial"/>
          <w:color w:val="000000" w:themeColor="text1"/>
        </w:rPr>
      </w:pPr>
    </w:p>
    <w:p w14:paraId="7B5BAA06" w14:textId="77777777" w:rsidR="008E3928" w:rsidRPr="00B81E66" w:rsidRDefault="008E3928" w:rsidP="00B81E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81E66">
        <w:rPr>
          <w:rFonts w:ascii="Verdana" w:eastAsia="Century Gothic" w:hAnsi="Verdana" w:cs="Century Gothic"/>
          <w:b/>
          <w:bCs/>
          <w:color w:val="000000" w:themeColor="text1"/>
        </w:rPr>
        <w:t>Doctrina de la Agencia Nacional de Contratación Pública:</w:t>
      </w:r>
    </w:p>
    <w:p w14:paraId="06969461" w14:textId="77777777" w:rsidR="008E3928" w:rsidRPr="00B81E66" w:rsidRDefault="008E3928" w:rsidP="00B81E66">
      <w:pPr>
        <w:widowControl w:val="0"/>
        <w:autoSpaceDE w:val="0"/>
        <w:autoSpaceDN w:val="0"/>
        <w:spacing w:after="0" w:line="276" w:lineRule="auto"/>
        <w:jc w:val="both"/>
        <w:rPr>
          <w:rFonts w:ascii="Verdana" w:hAnsi="Verdana" w:cs="Arial"/>
          <w:color w:val="000000" w:themeColor="text1"/>
        </w:rPr>
      </w:pPr>
    </w:p>
    <w:p w14:paraId="59C70BCD" w14:textId="77777777" w:rsidR="008E3928" w:rsidRPr="00B81E66" w:rsidRDefault="008E3928" w:rsidP="00B81E66">
      <w:pPr>
        <w:widowControl w:val="0"/>
        <w:autoSpaceDE w:val="0"/>
        <w:autoSpaceDN w:val="0"/>
        <w:spacing w:after="0" w:line="276" w:lineRule="auto"/>
        <w:jc w:val="both"/>
        <w:rPr>
          <w:rStyle w:val="normaltextrun"/>
          <w:rFonts w:ascii="Verdana" w:hAnsi="Verdana" w:cs="Arial"/>
          <w:shd w:val="clear" w:color="auto" w:fill="FFFFFF"/>
          <w:lang w:val="es-ES"/>
        </w:rPr>
      </w:pPr>
      <w:r w:rsidRPr="00B81E66">
        <w:rPr>
          <w:rStyle w:val="normaltextrun"/>
          <w:rFonts w:ascii="Verdana" w:hAnsi="Verdana" w:cs="Arial"/>
          <w:color w:val="000000" w:themeColor="text1"/>
          <w:shd w:val="clear" w:color="auto" w:fill="FFFFFF"/>
          <w:lang w:val="es-ES"/>
        </w:rPr>
        <w:t xml:space="preserve">La Agencia Nacional de Contratación Pública – Colombia Compra Eficiente se ha referido </w:t>
      </w:r>
      <w:r w:rsidRPr="00B81E66">
        <w:rPr>
          <w:rStyle w:val="normaltextrun"/>
          <w:rFonts w:ascii="Verdana" w:hAnsi="Verdana" w:cs="Arial"/>
          <w:shd w:val="clear" w:color="auto" w:fill="FFFFFF"/>
          <w:lang w:val="es-ES"/>
        </w:rPr>
        <w:t>al régimen de garantías en los Conceptos</w:t>
      </w:r>
      <w:r w:rsidRPr="00B81E66">
        <w:rPr>
          <w:rStyle w:val="normaltextrun"/>
          <w:rFonts w:ascii="Verdana" w:hAnsi="Verdana" w:cs="Calibri"/>
          <w:shd w:val="clear" w:color="auto" w:fill="FFFFFF"/>
          <w:lang w:val="es-ES"/>
        </w:rPr>
        <w:t xml:space="preserve"> </w:t>
      </w:r>
      <w:r w:rsidRPr="00B81E66">
        <w:rPr>
          <w:rStyle w:val="normaltextrun"/>
          <w:rFonts w:ascii="Verdana" w:hAnsi="Verdana" w:cs="Arial"/>
          <w:shd w:val="clear" w:color="auto" w:fill="FFFFFF"/>
          <w:lang w:val="es-ES"/>
        </w:rPr>
        <w:t xml:space="preserve">2201913000009075 del 9 de diciembre de 2019, C-080 del 8 de abril de 2021, C-525 del 27 de septiembre de 2021, C- 567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C-306 del 12 de agosto de 2024, </w:t>
      </w:r>
      <w:r w:rsidRPr="00B81E66">
        <w:rPr>
          <w:rFonts w:ascii="Verdana" w:eastAsia="Calibri" w:hAnsi="Verdana" w:cs="Arial"/>
          <w:lang w:val="es-ES" w:eastAsia="es-ES"/>
        </w:rPr>
        <w:t>C–099 del 21 de febrero de 2025 y C-1547 03 de diciembre de 2025</w:t>
      </w:r>
      <w:r w:rsidRPr="00B81E66">
        <w:rPr>
          <w:rFonts w:ascii="Verdana" w:hAnsi="Verdana" w:cs="Arial"/>
          <w:shd w:val="clear" w:color="auto" w:fill="FFFFFF"/>
        </w:rPr>
        <w:t>, entre otros</w:t>
      </w:r>
      <w:r w:rsidRPr="00B81E66">
        <w:rPr>
          <w:rFonts w:ascii="Verdana" w:eastAsia="Calibri" w:hAnsi="Verdana" w:cs="Arial"/>
          <w:shd w:val="clear" w:color="auto" w:fill="FFFFFF"/>
          <w:lang w:val="es-ES"/>
        </w:rPr>
        <w:t xml:space="preserve">. </w:t>
      </w:r>
      <w:r w:rsidRPr="00B81E66">
        <w:rPr>
          <w:rStyle w:val="normaltextrun"/>
          <w:rFonts w:ascii="Verdana" w:hAnsi="Verdana" w:cs="Arial"/>
          <w:shd w:val="clear" w:color="auto" w:fill="FFFFFF"/>
          <w:lang w:val="es-ES"/>
        </w:rPr>
        <w:t>Es</w:t>
      </w:r>
      <w:r w:rsidRPr="00B81E66">
        <w:rPr>
          <w:rFonts w:ascii="Verdana" w:hAnsi="Verdana"/>
        </w:rPr>
        <w:t xml:space="preserve">tos y otros conceptos se </w:t>
      </w:r>
      <w:r w:rsidRPr="00B81E66">
        <w:rPr>
          <w:rFonts w:ascii="Verdana" w:hAnsi="Verdana"/>
        </w:rPr>
        <w:lastRenderedPageBreak/>
        <w:t>encuentran disponibles para consulta en el Sistema de relatoría de la Agencia, al cual se puede acceder a través del siguiente enlace:</w:t>
      </w:r>
      <w:r w:rsidRPr="00B81E66">
        <w:rPr>
          <w:rStyle w:val="normaltextrun"/>
          <w:rFonts w:ascii="Verdana" w:hAnsi="Verdana" w:cs="Arial"/>
          <w:shd w:val="clear" w:color="auto" w:fill="FFFFFF"/>
          <w:lang w:val="es-ES"/>
        </w:rPr>
        <w:t xml:space="preserve"> </w:t>
      </w:r>
      <w:hyperlink r:id="rId11" w:history="1">
        <w:r w:rsidRPr="00B81E66">
          <w:rPr>
            <w:rStyle w:val="Hipervnculo"/>
            <w:rFonts w:ascii="Verdana" w:hAnsi="Verdana" w:cs="Arial"/>
            <w:shd w:val="clear" w:color="auto" w:fill="FFFFFF"/>
            <w:lang w:val="es-ES"/>
          </w:rPr>
          <w:t>https://relatoria.colombiacompra.gov.co/busqueda/conceptos</w:t>
        </w:r>
      </w:hyperlink>
      <w:r w:rsidRPr="00B81E66">
        <w:rPr>
          <w:rStyle w:val="normaltextrun"/>
          <w:rFonts w:ascii="Verdana" w:hAnsi="Verdana" w:cs="Arial"/>
          <w:shd w:val="clear" w:color="auto" w:fill="FFFFFF"/>
          <w:lang w:val="es-ES"/>
        </w:rPr>
        <w:t xml:space="preserve">. </w:t>
      </w:r>
    </w:p>
    <w:p w14:paraId="441CAB03" w14:textId="77777777" w:rsidR="008E3928" w:rsidRPr="00B81E66" w:rsidRDefault="008E3928" w:rsidP="00B81E66">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B81E66">
        <w:rPr>
          <w:rStyle w:val="normaltextrun"/>
          <w:rFonts w:ascii="Verdana" w:hAnsi="Verdana" w:cs="Arial"/>
          <w:color w:val="000000" w:themeColor="text1"/>
          <w:shd w:val="clear" w:color="auto" w:fill="FFFFFF"/>
          <w:lang w:val="es-ES"/>
        </w:rPr>
        <w:t xml:space="preserve">  </w:t>
      </w:r>
    </w:p>
    <w:p w14:paraId="1AD96F61" w14:textId="77777777" w:rsidR="008E3928" w:rsidRPr="00B81E66" w:rsidRDefault="008E3928" w:rsidP="006E008D">
      <w:pPr>
        <w:spacing w:after="0" w:line="276" w:lineRule="auto"/>
        <w:jc w:val="both"/>
        <w:rPr>
          <w:rFonts w:ascii="Verdana" w:hAnsi="Verdana"/>
          <w:color w:val="000000" w:themeColor="text1"/>
        </w:rPr>
      </w:pPr>
      <w:r w:rsidRPr="00B81E66">
        <w:rPr>
          <w:rFonts w:ascii="Verdana" w:hAnsi="Verdana"/>
          <w:color w:val="000000" w:themeColor="text1"/>
        </w:rPr>
        <w:t xml:space="preserve">Lo invitamos a seguirnos en las redes sociales en las cuales se difunde información institucional: </w:t>
      </w:r>
    </w:p>
    <w:p w14:paraId="22929530" w14:textId="77777777" w:rsidR="008E3928" w:rsidRPr="00B81E66" w:rsidRDefault="008E3928" w:rsidP="006E008D">
      <w:pPr>
        <w:spacing w:after="0" w:line="276" w:lineRule="auto"/>
        <w:jc w:val="both"/>
        <w:rPr>
          <w:rFonts w:ascii="Verdana" w:hAnsi="Verdana"/>
          <w:color w:val="000000" w:themeColor="text1"/>
        </w:rPr>
      </w:pPr>
    </w:p>
    <w:p w14:paraId="6C7207B6" w14:textId="77777777" w:rsidR="008E3928" w:rsidRPr="00B81E66" w:rsidRDefault="008E3928" w:rsidP="006E008D">
      <w:pPr>
        <w:spacing w:after="0" w:line="276" w:lineRule="auto"/>
        <w:jc w:val="both"/>
        <w:rPr>
          <w:rFonts w:ascii="Verdana" w:hAnsi="Verdana"/>
          <w:color w:val="000000" w:themeColor="text1"/>
        </w:rPr>
      </w:pPr>
      <w:r w:rsidRPr="00B81E66">
        <w:rPr>
          <w:rFonts w:ascii="Verdana" w:hAnsi="Verdana"/>
          <w:color w:val="000000" w:themeColor="text1"/>
        </w:rPr>
        <w:t xml:space="preserve">Twitter: </w:t>
      </w:r>
      <w:r w:rsidRPr="00B81E66">
        <w:rPr>
          <w:rStyle w:val="Hipervnculo"/>
          <w:rFonts w:ascii="Verdana" w:hAnsi="Verdana"/>
          <w:color w:val="000000" w:themeColor="text1"/>
        </w:rPr>
        <w:t>@colombiacompra</w:t>
      </w:r>
      <w:r w:rsidRPr="00B81E66">
        <w:rPr>
          <w:rFonts w:ascii="Verdana" w:hAnsi="Verdana"/>
          <w:color w:val="000000" w:themeColor="text1"/>
        </w:rPr>
        <w:t xml:space="preserve"> </w:t>
      </w:r>
    </w:p>
    <w:p w14:paraId="6D9EB093" w14:textId="77777777" w:rsidR="008E3928" w:rsidRPr="00B81E66" w:rsidRDefault="008E3928" w:rsidP="006E008D">
      <w:pPr>
        <w:spacing w:after="0" w:line="276" w:lineRule="auto"/>
        <w:jc w:val="both"/>
        <w:rPr>
          <w:rFonts w:ascii="Verdana" w:hAnsi="Verdana"/>
          <w:color w:val="000000" w:themeColor="text1"/>
        </w:rPr>
      </w:pPr>
      <w:r w:rsidRPr="00B81E66">
        <w:rPr>
          <w:rFonts w:ascii="Verdana" w:hAnsi="Verdana"/>
          <w:color w:val="000000" w:themeColor="text1"/>
        </w:rPr>
        <w:t xml:space="preserve">Facebook: </w:t>
      </w:r>
      <w:proofErr w:type="spellStart"/>
      <w:r w:rsidRPr="00B81E66">
        <w:rPr>
          <w:rStyle w:val="Hipervnculo"/>
          <w:rFonts w:ascii="Verdana" w:hAnsi="Verdana"/>
          <w:color w:val="000000" w:themeColor="text1"/>
        </w:rPr>
        <w:t>ColombiaCompraEficiente</w:t>
      </w:r>
      <w:proofErr w:type="spellEnd"/>
    </w:p>
    <w:p w14:paraId="7BE8E11F" w14:textId="77777777" w:rsidR="008E3928" w:rsidRPr="00B81E66" w:rsidRDefault="008E3928" w:rsidP="006E008D">
      <w:pPr>
        <w:spacing w:after="0" w:line="276" w:lineRule="auto"/>
        <w:jc w:val="both"/>
        <w:rPr>
          <w:rFonts w:ascii="Verdana" w:hAnsi="Verdana"/>
          <w:color w:val="000000" w:themeColor="text1"/>
        </w:rPr>
      </w:pPr>
      <w:r w:rsidRPr="00B81E66">
        <w:rPr>
          <w:rFonts w:ascii="Verdana" w:hAnsi="Verdana"/>
          <w:color w:val="000000" w:themeColor="text1"/>
        </w:rPr>
        <w:t xml:space="preserve">LinkedIn: </w:t>
      </w:r>
      <w:r w:rsidRPr="00B81E66">
        <w:rPr>
          <w:rStyle w:val="Hipervnculo"/>
          <w:rFonts w:ascii="Verdana" w:hAnsi="Verdana"/>
          <w:color w:val="000000" w:themeColor="text1"/>
        </w:rPr>
        <w:t>Agencia Nacional de Contratación Pública - Colombia Compra Eficiente</w:t>
      </w:r>
      <w:r w:rsidRPr="00B81E66">
        <w:rPr>
          <w:rFonts w:ascii="Verdana" w:hAnsi="Verdana"/>
          <w:color w:val="000000" w:themeColor="text1"/>
        </w:rPr>
        <w:t xml:space="preserve"> Instagram: </w:t>
      </w:r>
      <w:r w:rsidRPr="00B81E66">
        <w:rPr>
          <w:rStyle w:val="Hipervnculo"/>
          <w:rFonts w:ascii="Verdana" w:hAnsi="Verdana"/>
          <w:color w:val="000000" w:themeColor="text1"/>
        </w:rPr>
        <w:t>@colombiacompraeficiente_cce</w:t>
      </w:r>
    </w:p>
    <w:p w14:paraId="30116DDB" w14:textId="77777777" w:rsidR="008E3928" w:rsidRPr="00B81E66" w:rsidRDefault="008E3928" w:rsidP="00B81E66">
      <w:pPr>
        <w:widowControl w:val="0"/>
        <w:autoSpaceDE w:val="0"/>
        <w:autoSpaceDN w:val="0"/>
        <w:spacing w:after="0" w:line="276" w:lineRule="auto"/>
        <w:jc w:val="both"/>
        <w:rPr>
          <w:rFonts w:ascii="Verdana" w:hAnsi="Verdana" w:cs="Arial"/>
          <w:color w:val="000000" w:themeColor="text1"/>
        </w:rPr>
      </w:pPr>
    </w:p>
    <w:p w14:paraId="5CEAF32F" w14:textId="628B1988" w:rsidR="008E3928" w:rsidRPr="00B81E66" w:rsidRDefault="008E3928" w:rsidP="00B81E66">
      <w:pPr>
        <w:widowControl w:val="0"/>
        <w:autoSpaceDE w:val="0"/>
        <w:autoSpaceDN w:val="0"/>
        <w:spacing w:after="0" w:line="276" w:lineRule="auto"/>
        <w:jc w:val="both"/>
        <w:rPr>
          <w:rFonts w:ascii="Verdana" w:hAnsi="Verdana" w:cs="Arial"/>
          <w:color w:val="000000" w:themeColor="text1"/>
          <w:lang w:val="es-ES_tradnl"/>
        </w:rPr>
      </w:pPr>
      <w:r w:rsidRPr="00B81E66">
        <w:rPr>
          <w:rFonts w:ascii="Verdana" w:hAnsi="Verdana" w:cs="Arial"/>
          <w:color w:val="000000" w:themeColor="text1"/>
        </w:rPr>
        <w:t xml:space="preserve">Este concepto tiene el alcance previsto en el artículo 28 del Código de Procedimiento Administrativo y de lo Contencioso Administrativo </w:t>
      </w:r>
      <w:r w:rsidRPr="00B81E66">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7A44998" w14:textId="77777777" w:rsidR="001A33BF" w:rsidRPr="00B81E66" w:rsidRDefault="001A33BF" w:rsidP="006E008D">
      <w:pPr>
        <w:spacing w:after="0" w:line="276" w:lineRule="auto"/>
        <w:jc w:val="both"/>
        <w:rPr>
          <w:rFonts w:ascii="Verdana" w:eastAsia="Verdana" w:hAnsi="Verdana" w:cs="Verdana"/>
          <w:lang w:val="es-MX"/>
        </w:rPr>
      </w:pPr>
    </w:p>
    <w:p w14:paraId="0EE67BCA" w14:textId="388E65A9" w:rsidR="002A0DD0" w:rsidRPr="00B81E66" w:rsidRDefault="002A0DD0" w:rsidP="006E008D">
      <w:pPr>
        <w:spacing w:after="0" w:line="276" w:lineRule="auto"/>
        <w:jc w:val="both"/>
        <w:rPr>
          <w:rFonts w:ascii="Verdana" w:eastAsia="Verdana" w:hAnsi="Verdana" w:cs="Verdana"/>
          <w:lang w:val="es-MX"/>
        </w:rPr>
      </w:pPr>
      <w:r w:rsidRPr="00B81E66">
        <w:rPr>
          <w:rFonts w:ascii="Verdana" w:eastAsia="Verdana" w:hAnsi="Verdana" w:cs="Verdana"/>
          <w:lang w:val="es-MX"/>
        </w:rPr>
        <w:t>Cordialmente,</w:t>
      </w: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283F55D" w:rsidR="002A0DD0" w:rsidRDefault="002A0DD0" w:rsidP="00E20D0E">
      <w:pPr>
        <w:spacing w:after="0" w:line="240" w:lineRule="auto"/>
        <w:jc w:val="center"/>
        <w:rPr>
          <w:noProof/>
        </w:rPr>
      </w:pPr>
    </w:p>
    <w:p w14:paraId="1350F2E7" w14:textId="551A4CE4" w:rsidR="003C5506" w:rsidRDefault="003C5506" w:rsidP="00E20D0E">
      <w:pPr>
        <w:spacing w:after="0" w:line="240" w:lineRule="auto"/>
        <w:jc w:val="center"/>
        <w:rPr>
          <w:noProof/>
        </w:rPr>
      </w:pPr>
      <w:r>
        <w:rPr>
          <w:noProof/>
        </w:rPr>
        <w:drawing>
          <wp:inline distT="0" distB="0" distL="0" distR="0" wp14:anchorId="70C81FAC" wp14:editId="481D32E8">
            <wp:extent cx="3592830" cy="1542340"/>
            <wp:effectExtent l="0" t="0" r="7620" b="1270"/>
            <wp:docPr id="206425366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11139" cy="1550200"/>
                    </a:xfrm>
                    <a:prstGeom prst="rect">
                      <a:avLst/>
                    </a:prstGeom>
                    <a:noFill/>
                    <a:ln>
                      <a:noFill/>
                    </a:ln>
                  </pic:spPr>
                </pic:pic>
              </a:graphicData>
            </a:graphic>
          </wp:inline>
        </w:drawing>
      </w:r>
    </w:p>
    <w:p w14:paraId="59E9171D" w14:textId="77777777" w:rsidR="003C5506" w:rsidRPr="00E02524" w:rsidRDefault="003C5506" w:rsidP="00E20D0E">
      <w:pPr>
        <w:spacing w:after="0" w:line="240" w:lineRule="auto"/>
        <w:jc w:val="center"/>
        <w:rPr>
          <w:rFonts w:ascii="Verdana" w:eastAsia="Verdana" w:hAnsi="Verdana" w:cs="Verdana"/>
          <w:b/>
          <w:bCs/>
          <w:lang w:val="es-MX"/>
        </w:rPr>
      </w:pPr>
    </w:p>
    <w:p w14:paraId="26A0CB84" w14:textId="77777777" w:rsidR="002E2BF8" w:rsidRPr="00E02524" w:rsidRDefault="002E2BF8" w:rsidP="30821638">
      <w:pPr>
        <w:spacing w:after="0"/>
        <w:jc w:val="both"/>
        <w:rPr>
          <w:rFonts w:ascii="Verdana" w:eastAsia="Verdana" w:hAnsi="Verdana" w:cs="Verdana"/>
          <w:lang w:val="es-ES"/>
        </w:rPr>
      </w:pPr>
    </w:p>
    <w:p w14:paraId="493E8921" w14:textId="77777777" w:rsidR="002E2BF8" w:rsidRPr="00E02524" w:rsidRDefault="002E2BF8" w:rsidP="30821638">
      <w:pPr>
        <w:spacing w:after="0"/>
        <w:jc w:val="both"/>
        <w:rPr>
          <w:rFonts w:ascii="Verdana" w:eastAsia="Verdana" w:hAnsi="Verdana" w:cs="Verdana"/>
          <w:lang w:val="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E3928" w:rsidRPr="00115E3D" w14:paraId="79C9C6E0" w14:textId="77777777" w:rsidTr="001A25D0">
        <w:trPr>
          <w:trHeight w:val="315"/>
        </w:trPr>
        <w:tc>
          <w:tcPr>
            <w:tcW w:w="893" w:type="dxa"/>
            <w:vAlign w:val="center"/>
            <w:hideMark/>
          </w:tcPr>
          <w:p w14:paraId="0A884405" w14:textId="77777777" w:rsidR="008E3928" w:rsidRPr="00115E3D" w:rsidRDefault="008E3928" w:rsidP="001A25D0">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8A6359B" w14:textId="77777777" w:rsidR="008E3928" w:rsidRPr="00115E3D" w:rsidRDefault="008E3928" w:rsidP="001A25D0">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0B634138" w14:textId="77777777" w:rsidR="008E3928" w:rsidRPr="00115E3D" w:rsidRDefault="008E3928" w:rsidP="001A25D0">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8E3928" w:rsidRPr="00115E3D" w14:paraId="14B295F7" w14:textId="77777777" w:rsidTr="001A25D0">
        <w:trPr>
          <w:trHeight w:val="330"/>
        </w:trPr>
        <w:tc>
          <w:tcPr>
            <w:tcW w:w="893" w:type="dxa"/>
            <w:vAlign w:val="center"/>
            <w:hideMark/>
          </w:tcPr>
          <w:p w14:paraId="4CDF6ECB" w14:textId="77777777" w:rsidR="008E3928" w:rsidRPr="00115E3D" w:rsidRDefault="008E3928" w:rsidP="001A25D0">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2AA3F7C" w14:textId="77777777" w:rsidR="008E3928" w:rsidRPr="00B37171" w:rsidRDefault="008E3928" w:rsidP="001A25D0">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Lucía Saavedra</w:t>
            </w:r>
          </w:p>
          <w:p w14:paraId="48523470" w14:textId="77777777" w:rsidR="008E3928" w:rsidRPr="00115E3D" w:rsidRDefault="008E3928" w:rsidP="001A25D0">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8E3928" w:rsidRPr="00115E3D" w14:paraId="6C01C1EC" w14:textId="77777777" w:rsidTr="001A25D0">
        <w:trPr>
          <w:trHeight w:val="300"/>
        </w:trPr>
        <w:tc>
          <w:tcPr>
            <w:tcW w:w="893" w:type="dxa"/>
            <w:vAlign w:val="center"/>
          </w:tcPr>
          <w:p w14:paraId="222FE013" w14:textId="77777777" w:rsidR="008E3928" w:rsidRPr="00115E3D" w:rsidRDefault="008E3928" w:rsidP="001A25D0">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1B40D59" w14:textId="77777777" w:rsidR="008E3928" w:rsidRPr="00115E3D" w:rsidRDefault="008E3928" w:rsidP="001A25D0">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1370DE03" w14:textId="77777777" w:rsidR="008E3928" w:rsidRPr="00115E3D" w:rsidRDefault="008E3928" w:rsidP="001A25D0">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w:t>
            </w:r>
            <w:proofErr w:type="spellStart"/>
            <w:r w:rsidRPr="00115E3D">
              <w:rPr>
                <w:rFonts w:ascii="Verdana" w:eastAsia="Calibri" w:hAnsi="Verdana" w:cs="Arial"/>
                <w:color w:val="000000" w:themeColor="text1"/>
                <w:sz w:val="16"/>
                <w:szCs w:val="16"/>
                <w:lang w:val="pt-BR" w:eastAsia="es-ES"/>
              </w:rPr>
              <w:t>Gestión</w:t>
            </w:r>
            <w:proofErr w:type="spellEnd"/>
            <w:r w:rsidRPr="00115E3D">
              <w:rPr>
                <w:rFonts w:ascii="Verdana" w:eastAsia="Calibri" w:hAnsi="Verdana" w:cs="Arial"/>
                <w:color w:val="000000" w:themeColor="text1"/>
                <w:sz w:val="16"/>
                <w:szCs w:val="16"/>
                <w:lang w:val="pt-BR" w:eastAsia="es-ES"/>
              </w:rPr>
              <w:t xml:space="preserve">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bookmarkEnd w:id="0"/>
    </w:tbl>
    <w:p w14:paraId="7AB8EA08" w14:textId="44637A00" w:rsidR="002E2BF8" w:rsidRPr="00E02524" w:rsidRDefault="002E2BF8" w:rsidP="30821638">
      <w:pPr>
        <w:spacing w:after="0"/>
        <w:jc w:val="both"/>
        <w:rPr>
          <w:rFonts w:ascii="Verdana" w:eastAsia="Verdana" w:hAnsi="Verdana" w:cs="Verdana"/>
          <w:lang w:val="es-ES"/>
        </w:rPr>
      </w:pPr>
    </w:p>
    <w:sectPr w:rsidR="002E2BF8" w:rsidRPr="00E02524"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04435" w14:textId="77777777" w:rsidR="00AF696D" w:rsidRDefault="00AF696D" w:rsidP="004A1847">
      <w:pPr>
        <w:spacing w:after="0" w:line="240" w:lineRule="auto"/>
      </w:pPr>
      <w:r>
        <w:separator/>
      </w:r>
    </w:p>
  </w:endnote>
  <w:endnote w:type="continuationSeparator" w:id="0">
    <w:p w14:paraId="41866B4E" w14:textId="77777777" w:rsidR="00AF696D" w:rsidRDefault="00AF696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EA240" w14:textId="77777777" w:rsidR="00AF696D" w:rsidRDefault="00AF696D" w:rsidP="004A1847">
      <w:pPr>
        <w:spacing w:after="0" w:line="240" w:lineRule="auto"/>
      </w:pPr>
      <w:r>
        <w:separator/>
      </w:r>
    </w:p>
  </w:footnote>
  <w:footnote w:type="continuationSeparator" w:id="0">
    <w:p w14:paraId="53EC08C6" w14:textId="77777777" w:rsidR="00AF696D" w:rsidRDefault="00AF696D" w:rsidP="004A1847">
      <w:pPr>
        <w:spacing w:after="0" w:line="240" w:lineRule="auto"/>
      </w:pPr>
      <w:r>
        <w:continuationSeparator/>
      </w:r>
    </w:p>
  </w:footnote>
  <w:footnote w:id="1">
    <w:p w14:paraId="06402254" w14:textId="77777777" w:rsidR="008E3928" w:rsidRPr="006875E4" w:rsidRDefault="008E3928" w:rsidP="006875E4">
      <w:pPr>
        <w:pStyle w:val="Textonotapie"/>
        <w:snapToGrid w:val="0"/>
        <w:ind w:firstLine="708"/>
        <w:jc w:val="both"/>
        <w:rPr>
          <w:rFonts w:ascii="Verdana" w:hAnsi="Verdana" w:cs="Arial"/>
          <w:color w:val="000000" w:themeColor="text1"/>
          <w:sz w:val="16"/>
          <w:szCs w:val="16"/>
        </w:rPr>
      </w:pPr>
      <w:r w:rsidRPr="006875E4">
        <w:rPr>
          <w:rStyle w:val="Refdenotaalpie"/>
          <w:rFonts w:ascii="Verdana" w:hAnsi="Verdana" w:cs="Arial"/>
          <w:color w:val="000000" w:themeColor="text1"/>
          <w:sz w:val="16"/>
          <w:szCs w:val="16"/>
        </w:rPr>
        <w:footnoteRef/>
      </w:r>
      <w:r w:rsidRPr="006875E4">
        <w:rPr>
          <w:rFonts w:ascii="Verdana" w:hAnsi="Verdana" w:cs="Arial"/>
          <w:color w:val="000000" w:themeColor="text1"/>
          <w:sz w:val="16"/>
          <w:szCs w:val="16"/>
        </w:rPr>
        <w:t xml:space="preserve"> CORTE CONSTITUCIONAL. Sentencia C-452 de 1999. M.P. Eduardo Cifuentes Muñoz. </w:t>
      </w:r>
    </w:p>
  </w:footnote>
  <w:footnote w:id="2">
    <w:p w14:paraId="6571941B" w14:textId="77777777" w:rsidR="008E3928" w:rsidRPr="006875E4" w:rsidRDefault="008E3928" w:rsidP="006875E4">
      <w:pPr>
        <w:pStyle w:val="Textonotapie"/>
        <w:snapToGrid w:val="0"/>
        <w:ind w:firstLine="708"/>
        <w:jc w:val="both"/>
        <w:rPr>
          <w:rFonts w:ascii="Verdana" w:hAnsi="Verdana" w:cs="Arial"/>
          <w:color w:val="000000" w:themeColor="text1"/>
          <w:sz w:val="16"/>
          <w:szCs w:val="16"/>
        </w:rPr>
      </w:pPr>
      <w:r w:rsidRPr="006875E4">
        <w:rPr>
          <w:rStyle w:val="Refdenotaalpie"/>
          <w:rFonts w:ascii="Verdana" w:hAnsi="Verdana" w:cs="Arial"/>
          <w:color w:val="000000" w:themeColor="text1"/>
          <w:sz w:val="16"/>
          <w:szCs w:val="16"/>
        </w:rPr>
        <w:footnoteRef/>
      </w:r>
      <w:r w:rsidRPr="006875E4">
        <w:rPr>
          <w:rFonts w:ascii="Verdana" w:hAnsi="Verdana" w:cs="Arial"/>
          <w:color w:val="000000" w:themeColor="text1"/>
          <w:sz w:val="16"/>
          <w:szCs w:val="16"/>
        </w:rPr>
        <w:t xml:space="preserve"> DROMI, José Roberto. La licitación pública. Buenos Aires: Ciudad Argentina, 1980. pp. 288-289.</w:t>
      </w:r>
    </w:p>
  </w:footnote>
  <w:footnote w:id="3">
    <w:p w14:paraId="514BB45D" w14:textId="77777777" w:rsidR="008E3928" w:rsidRPr="006875E4" w:rsidRDefault="008E3928" w:rsidP="006875E4">
      <w:pPr>
        <w:pStyle w:val="Textonotapie"/>
        <w:snapToGrid w:val="0"/>
        <w:ind w:firstLine="708"/>
        <w:jc w:val="both"/>
        <w:rPr>
          <w:rFonts w:ascii="Verdana" w:hAnsi="Verdana" w:cs="Arial"/>
          <w:sz w:val="16"/>
          <w:szCs w:val="16"/>
        </w:rPr>
      </w:pPr>
      <w:r w:rsidRPr="006875E4">
        <w:rPr>
          <w:rStyle w:val="Refdenotaalpie"/>
          <w:rFonts w:ascii="Verdana" w:hAnsi="Verdana" w:cs="Arial"/>
          <w:sz w:val="16"/>
          <w:szCs w:val="16"/>
        </w:rPr>
        <w:footnoteRef/>
      </w:r>
      <w:r w:rsidRPr="006875E4">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4">
    <w:p w14:paraId="6053247B" w14:textId="77777777" w:rsidR="008E3928" w:rsidRPr="006875E4" w:rsidRDefault="008E3928" w:rsidP="006875E4">
      <w:pPr>
        <w:pStyle w:val="Textonotapie"/>
        <w:snapToGrid w:val="0"/>
        <w:ind w:firstLine="709"/>
        <w:jc w:val="both"/>
        <w:rPr>
          <w:rFonts w:ascii="Verdana" w:hAnsi="Verdana" w:cs="Arial"/>
          <w:color w:val="000000" w:themeColor="text1"/>
          <w:sz w:val="16"/>
          <w:szCs w:val="16"/>
        </w:rPr>
      </w:pPr>
      <w:r w:rsidRPr="006875E4">
        <w:rPr>
          <w:rStyle w:val="Refdenotaalpie"/>
          <w:rFonts w:ascii="Verdana" w:hAnsi="Verdana" w:cs="Arial"/>
          <w:color w:val="000000" w:themeColor="text1"/>
          <w:sz w:val="16"/>
          <w:szCs w:val="16"/>
        </w:rPr>
        <w:footnoteRef/>
      </w:r>
      <w:r w:rsidRPr="006875E4">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5">
    <w:p w14:paraId="70AB7492" w14:textId="77777777" w:rsidR="008E3928" w:rsidRPr="006875E4" w:rsidRDefault="008E3928" w:rsidP="006875E4">
      <w:pPr>
        <w:pStyle w:val="Textonotapie"/>
        <w:snapToGrid w:val="0"/>
        <w:ind w:firstLine="709"/>
        <w:jc w:val="both"/>
        <w:rPr>
          <w:rFonts w:ascii="Verdana" w:hAnsi="Verdana" w:cs="Arial"/>
          <w:color w:val="000000" w:themeColor="text1"/>
          <w:sz w:val="16"/>
          <w:szCs w:val="16"/>
          <w:lang w:val="es-ES"/>
        </w:rPr>
      </w:pPr>
      <w:r w:rsidRPr="006875E4">
        <w:rPr>
          <w:rStyle w:val="Refdenotaalpie"/>
          <w:rFonts w:ascii="Verdana" w:hAnsi="Verdana" w:cs="Arial"/>
          <w:color w:val="000000" w:themeColor="text1"/>
          <w:sz w:val="16"/>
          <w:szCs w:val="16"/>
        </w:rPr>
        <w:footnoteRef/>
      </w:r>
      <w:r w:rsidRPr="006875E4">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6875E4">
        <w:rPr>
          <w:rFonts w:ascii="Verdana" w:hAnsi="Verdana" w:cs="Arial"/>
          <w:color w:val="000000" w:themeColor="text1"/>
          <w:sz w:val="16"/>
          <w:szCs w:val="16"/>
          <w:lang w:val="es-ES"/>
        </w:rPr>
        <w:t xml:space="preserve">Igualmente, el inciso primero del artículo 1071 </w:t>
      </w:r>
      <w:r w:rsidRPr="006875E4">
        <w:rPr>
          <w:rFonts w:ascii="Verdana" w:hAnsi="Verdana" w:cs="Arial"/>
          <w:i/>
          <w:iCs/>
          <w:color w:val="000000" w:themeColor="text1"/>
          <w:sz w:val="16"/>
          <w:szCs w:val="16"/>
          <w:lang w:val="es-ES"/>
        </w:rPr>
        <w:t>ibidem</w:t>
      </w:r>
      <w:r w:rsidRPr="006875E4">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6">
    <w:p w14:paraId="7CA408D6" w14:textId="77777777" w:rsidR="008E3928" w:rsidRPr="006875E4" w:rsidRDefault="008E3928" w:rsidP="006875E4">
      <w:pPr>
        <w:pStyle w:val="Textonotapie"/>
        <w:snapToGrid w:val="0"/>
        <w:ind w:firstLine="709"/>
        <w:jc w:val="both"/>
        <w:rPr>
          <w:rFonts w:ascii="Verdana" w:hAnsi="Verdana" w:cs="Arial"/>
          <w:color w:val="000000" w:themeColor="text1"/>
          <w:sz w:val="16"/>
          <w:szCs w:val="16"/>
        </w:rPr>
      </w:pPr>
      <w:r w:rsidRPr="006875E4">
        <w:rPr>
          <w:rStyle w:val="Refdenotaalpie"/>
          <w:rFonts w:ascii="Verdana" w:hAnsi="Verdana" w:cs="Arial"/>
          <w:color w:val="000000" w:themeColor="text1"/>
          <w:sz w:val="16"/>
          <w:szCs w:val="16"/>
        </w:rPr>
        <w:footnoteRef/>
      </w:r>
      <w:r w:rsidRPr="006875E4">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7">
    <w:p w14:paraId="3BF3E710"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Style w:val="Refdenotaalpie"/>
          <w:rFonts w:ascii="Verdana" w:hAnsi="Verdana" w:cs="Arial"/>
          <w:color w:val="000000" w:themeColor="text1"/>
          <w:sz w:val="16"/>
          <w:szCs w:val="16"/>
        </w:rPr>
        <w:footnoteRef/>
      </w:r>
      <w:r w:rsidRPr="006875E4">
        <w:rPr>
          <w:rFonts w:ascii="Verdana" w:hAnsi="Verdana" w:cs="Arial"/>
          <w:color w:val="000000" w:themeColor="text1"/>
          <w:sz w:val="16"/>
          <w:szCs w:val="16"/>
        </w:rPr>
        <w:t xml:space="preserve"> </w:t>
      </w:r>
      <w:r w:rsidRPr="006875E4">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16F42B41"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302C194E"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26D3A41F"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204C0A7C"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203B0CFE"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8">
    <w:p w14:paraId="146E2CDD"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Style w:val="Refdenotaalpie"/>
          <w:rFonts w:ascii="Verdana" w:hAnsi="Verdana" w:cs="Arial"/>
          <w:color w:val="000000" w:themeColor="text1"/>
          <w:sz w:val="16"/>
          <w:szCs w:val="16"/>
        </w:rPr>
        <w:footnoteRef/>
      </w:r>
      <w:r w:rsidRPr="006875E4">
        <w:rPr>
          <w:rFonts w:ascii="Verdana" w:hAnsi="Verdana" w:cs="Arial"/>
          <w:color w:val="000000" w:themeColor="text1"/>
          <w:sz w:val="16"/>
          <w:szCs w:val="16"/>
        </w:rPr>
        <w:t xml:space="preserve"> </w:t>
      </w:r>
      <w:r w:rsidRPr="006875E4">
        <w:rPr>
          <w:rFonts w:ascii="Verdana" w:hAnsi="Verdana" w:cs="Arial"/>
          <w:color w:val="000000" w:themeColor="text1"/>
          <w:sz w:val="16"/>
          <w:szCs w:val="16"/>
          <w:lang w:val="es-CO"/>
        </w:rPr>
        <w:t xml:space="preserve">“Artículo </w:t>
      </w:r>
      <w:bookmarkStart w:id="3" w:name="_Hlk67919994"/>
      <w:r w:rsidRPr="006875E4">
        <w:rPr>
          <w:rFonts w:ascii="Verdana" w:hAnsi="Verdana" w:cs="Arial"/>
          <w:color w:val="000000" w:themeColor="text1"/>
          <w:sz w:val="16"/>
          <w:szCs w:val="16"/>
          <w:lang w:val="es-CO"/>
        </w:rPr>
        <w:t>2.2.1.2.3.1.7</w:t>
      </w:r>
      <w:bookmarkEnd w:id="3"/>
      <w:r w:rsidRPr="006875E4">
        <w:rPr>
          <w:rFonts w:ascii="Verdana" w:hAnsi="Verdana" w:cs="Arial"/>
          <w:color w:val="000000" w:themeColor="text1"/>
          <w:sz w:val="16"/>
          <w:szCs w:val="16"/>
          <w:lang w:val="es-CO"/>
        </w:rPr>
        <w:t xml:space="preserve">. Garantía de cumplimiento. La garantía de cumplimiento del contrato debe cubrir: </w:t>
      </w:r>
    </w:p>
    <w:p w14:paraId="61BBE3CA" w14:textId="77777777" w:rsidR="008E3928" w:rsidRPr="006875E4" w:rsidRDefault="008E3928" w:rsidP="006875E4">
      <w:pPr>
        <w:pStyle w:val="Textonotapie"/>
        <w:snapToGrid w:val="0"/>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  </w:t>
      </w:r>
      <w:r w:rsidRPr="006875E4">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001E9D7E"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318CADD6"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3. Cumplimiento del contrato. Este amparo cubre a la Entidad Estatal de los perjuicios derivados de: </w:t>
      </w:r>
    </w:p>
    <w:p w14:paraId="7CF5B405" w14:textId="77777777" w:rsidR="008E3928" w:rsidRPr="006875E4" w:rsidRDefault="008E3928" w:rsidP="006875E4">
      <w:pPr>
        <w:pStyle w:val="Textonotapie"/>
        <w:snapToGrid w:val="0"/>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  </w:t>
      </w:r>
      <w:r w:rsidRPr="006875E4">
        <w:rPr>
          <w:rFonts w:ascii="Verdana" w:hAnsi="Verdana" w:cs="Arial"/>
          <w:color w:val="000000" w:themeColor="text1"/>
          <w:sz w:val="16"/>
          <w:szCs w:val="16"/>
          <w:lang w:val="es-CO"/>
        </w:rPr>
        <w:tab/>
        <w:t xml:space="preserve">3.1. </w:t>
      </w:r>
      <w:bookmarkStart w:id="4" w:name="_Hlk67920056"/>
      <w:r w:rsidRPr="006875E4">
        <w:rPr>
          <w:rFonts w:ascii="Verdana" w:hAnsi="Verdana" w:cs="Arial"/>
          <w:color w:val="000000" w:themeColor="text1"/>
          <w:sz w:val="16"/>
          <w:szCs w:val="16"/>
          <w:lang w:val="es-CO"/>
        </w:rPr>
        <w:t xml:space="preserve">El incumplimiento total o parcial del contrato, cuando el incumplimiento es imputable al contratista; </w:t>
      </w:r>
    </w:p>
    <w:p w14:paraId="790824C4" w14:textId="77777777" w:rsidR="008E3928" w:rsidRPr="006875E4" w:rsidRDefault="008E3928" w:rsidP="006875E4">
      <w:pPr>
        <w:pStyle w:val="Textonotapie"/>
        <w:snapToGrid w:val="0"/>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  </w:t>
      </w:r>
      <w:r w:rsidRPr="006875E4">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48776445"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4"/>
    <w:p w14:paraId="274E88A7"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3.4. El pago del valor de las multas y de la cláusula penal pecuniaria. </w:t>
      </w:r>
    </w:p>
    <w:p w14:paraId="0ADD437E"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6572DD90"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02AABE46"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6B52388D"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4C50711C"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451021B4" w14:textId="77777777" w:rsidR="008E3928" w:rsidRPr="006875E4" w:rsidRDefault="008E3928" w:rsidP="006875E4">
      <w:pPr>
        <w:pStyle w:val="Textonotapie"/>
        <w:snapToGrid w:val="0"/>
        <w:ind w:firstLine="708"/>
        <w:jc w:val="both"/>
        <w:rPr>
          <w:rFonts w:ascii="Verdana" w:hAnsi="Verdana" w:cs="Arial"/>
          <w:color w:val="000000" w:themeColor="text1"/>
          <w:sz w:val="16"/>
          <w:szCs w:val="16"/>
          <w:lang w:val="es-CO"/>
        </w:rPr>
      </w:pPr>
      <w:r w:rsidRPr="006875E4">
        <w:rPr>
          <w:rFonts w:ascii="Verdana" w:hAnsi="Verdana" w:cs="Arial"/>
          <w:color w:val="000000" w:themeColor="text1"/>
          <w:sz w:val="16"/>
          <w:szCs w:val="16"/>
          <w:lang w:val="es-CO"/>
        </w:rPr>
        <w:t xml:space="preserve">8. </w:t>
      </w:r>
      <w:bookmarkStart w:id="5" w:name="_Hlk143267015"/>
      <w:r w:rsidRPr="006875E4">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5"/>
      <w:r w:rsidRPr="006875E4">
        <w:rPr>
          <w:rFonts w:ascii="Verdana" w:hAnsi="Verdana" w:cs="Arial"/>
          <w:color w:val="000000" w:themeColor="text1"/>
          <w:sz w:val="16"/>
          <w:szCs w:val="16"/>
          <w:lang w:val="es-CO"/>
        </w:rPr>
        <w:t>”.</w:t>
      </w:r>
    </w:p>
  </w:footnote>
  <w:footnote w:id="9">
    <w:p w14:paraId="16E9CAC3" w14:textId="77777777" w:rsidR="008E3928" w:rsidRPr="006875E4" w:rsidRDefault="008E3928" w:rsidP="006875E4">
      <w:pPr>
        <w:pStyle w:val="Textonotapie"/>
        <w:ind w:firstLine="708"/>
        <w:jc w:val="both"/>
        <w:rPr>
          <w:rFonts w:ascii="Verdana" w:hAnsi="Verdana"/>
          <w:sz w:val="16"/>
          <w:szCs w:val="16"/>
          <w:lang w:val="es-ES"/>
        </w:rPr>
      </w:pPr>
      <w:r w:rsidRPr="006875E4">
        <w:rPr>
          <w:rStyle w:val="Refdenotaalpie"/>
          <w:rFonts w:ascii="Verdana" w:hAnsi="Verdana"/>
          <w:sz w:val="16"/>
          <w:szCs w:val="16"/>
        </w:rPr>
        <w:footnoteRef/>
      </w:r>
      <w:r w:rsidRPr="006875E4">
        <w:rPr>
          <w:rFonts w:ascii="Verdana" w:hAnsi="Verdana"/>
          <w:sz w:val="16"/>
          <w:szCs w:val="16"/>
        </w:rPr>
        <w:t xml:space="preserve"> </w:t>
      </w:r>
      <w:r w:rsidRPr="006875E4">
        <w:rPr>
          <w:rFonts w:ascii="Verdana" w:hAnsi="Verdana"/>
          <w:sz w:val="16"/>
          <w:szCs w:val="16"/>
          <w:lang w:val="es-CO"/>
        </w:rPr>
        <w:t xml:space="preserve">Concepto C-069 del 27 de mayo de 2024 disponible en: </w:t>
      </w:r>
      <w:hyperlink r:id="rId1" w:history="1">
        <w:r w:rsidRPr="006875E4">
          <w:rPr>
            <w:rStyle w:val="Hipervnculo"/>
            <w:rFonts w:ascii="Verdana" w:hAnsi="Verdana"/>
            <w:sz w:val="16"/>
            <w:szCs w:val="16"/>
            <w:lang w:val="es-CO"/>
          </w:rPr>
          <w:t>https://relatoria.colombiacompra.gov.co/conceptos/c-069-de-2024/</w:t>
        </w:r>
      </w:hyperlink>
      <w:r w:rsidRPr="006875E4">
        <w:rPr>
          <w:rFonts w:ascii="Verdana" w:hAnsi="Verdana"/>
          <w:sz w:val="16"/>
          <w:szCs w:val="16"/>
          <w:lang w:val="es-CO"/>
        </w:rPr>
        <w:t xml:space="preserve"> </w:t>
      </w:r>
    </w:p>
  </w:footnote>
  <w:footnote w:id="10">
    <w:p w14:paraId="2214628C" w14:textId="77777777" w:rsidR="008E3928" w:rsidRPr="006875E4" w:rsidRDefault="008E3928" w:rsidP="006875E4">
      <w:pPr>
        <w:pStyle w:val="Textonotapie"/>
        <w:snapToGrid w:val="0"/>
        <w:ind w:firstLine="709"/>
        <w:jc w:val="both"/>
        <w:rPr>
          <w:rFonts w:ascii="Verdana" w:hAnsi="Verdana"/>
          <w:sz w:val="16"/>
          <w:szCs w:val="16"/>
        </w:rPr>
      </w:pPr>
      <w:r w:rsidRPr="006875E4">
        <w:rPr>
          <w:rStyle w:val="Refdenotaalpie"/>
          <w:rFonts w:ascii="Verdana" w:hAnsi="Verdana"/>
          <w:sz w:val="16"/>
          <w:szCs w:val="16"/>
        </w:rPr>
        <w:footnoteRef/>
      </w:r>
      <w:r w:rsidRPr="006875E4">
        <w:rPr>
          <w:rFonts w:ascii="Verdana" w:hAnsi="Verdana"/>
          <w:sz w:val="16"/>
          <w:szCs w:val="16"/>
        </w:rPr>
        <w:t xml:space="preserve"> El artículo 2.2.1.2.3.2.9 del Decreto 1082 de 2015 dispone que “El amparo de responsabilidad civil extracontractual debe cumplir los siguientes requisitos:</w:t>
      </w:r>
    </w:p>
    <w:p w14:paraId="0315682F"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674A85F3"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3101A1EF"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3. Amparos. El amparo de responsabilidad civil extracontractual debe contener además de la cobertura básica de predios, labores y operaciones, mínimo los siguientes amparos:</w:t>
      </w:r>
    </w:p>
    <w:p w14:paraId="26AE1276"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3.1. Cobertura expresa de perjuicios por daño emergente y lucro cesante.</w:t>
      </w:r>
    </w:p>
    <w:p w14:paraId="7F06FB06"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3.2. Cobertura expresa de perjuicios extrapatrimoniales.</w:t>
      </w:r>
    </w:p>
    <w:p w14:paraId="49D9244B"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3.3. Cobertura expresa de la responsabilidad surgida por actos de contratistas y subcontratistas, salvo que el subcontratista tenga su propio seguro de responsabilidad extracontractual, con los mismos amparos aquí requeridos.</w:t>
      </w:r>
    </w:p>
    <w:p w14:paraId="2A5228B0"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3.4. Cobertura expresa de amparo patronal.</w:t>
      </w:r>
    </w:p>
    <w:p w14:paraId="2CEFC0CE"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3.5. Cobertura expresa de vehículos propios y no propios”.</w:t>
      </w:r>
    </w:p>
  </w:footnote>
  <w:footnote w:id="11">
    <w:p w14:paraId="04C462A6" w14:textId="77777777" w:rsidR="008E3928" w:rsidRPr="006875E4" w:rsidRDefault="008E3928" w:rsidP="006875E4">
      <w:pPr>
        <w:pStyle w:val="Textonotapie"/>
        <w:snapToGrid w:val="0"/>
        <w:ind w:firstLine="709"/>
        <w:jc w:val="both"/>
        <w:rPr>
          <w:rFonts w:ascii="Verdana" w:hAnsi="Verdana"/>
          <w:sz w:val="16"/>
          <w:szCs w:val="16"/>
        </w:rPr>
      </w:pPr>
      <w:r w:rsidRPr="006875E4">
        <w:rPr>
          <w:rStyle w:val="Refdenotaalpie"/>
          <w:rFonts w:ascii="Verdana" w:hAnsi="Verdana"/>
          <w:sz w:val="16"/>
          <w:szCs w:val="16"/>
        </w:rPr>
        <w:footnoteRef/>
      </w:r>
      <w:r w:rsidRPr="006875E4">
        <w:rPr>
          <w:rFonts w:ascii="Verdana" w:hAnsi="Verdana"/>
          <w:sz w:val="16"/>
          <w:szCs w:val="16"/>
        </w:rPr>
        <w:t xml:space="preserve"> El artículo 2.2.1.2.3.1.17 del Decreto 1082 de 2015 prescribe lo siguiente: “El valor asegurado por los contratos de seguro que amparan la responsabilidad civil extracontractual no debe ser inferior a:</w:t>
      </w:r>
    </w:p>
    <w:p w14:paraId="7D093C8A"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1. Doscientos (200) smmlv para contratos cuyo valor sea inferior o igual a mil quinientos (1.500) smmlv.</w:t>
      </w:r>
    </w:p>
    <w:p w14:paraId="666469D9"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2. Trescientos (300) smmlv para contratos cuyo valor sea superior a mil quinientos (1.500) smmlv e inferior o igual a dos mil quinientos (2.500) smmlv.</w:t>
      </w:r>
    </w:p>
    <w:p w14:paraId="353DA371"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3. Cuatrocientos (400) smmlv para contratos cuyo valor sea superior a dos mil quinientos (2.500) smmlv e inferior o igual a cinco mil (5.000) smmlv.</w:t>
      </w:r>
    </w:p>
    <w:p w14:paraId="18B3F853"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4. Quinientos (500) smmlv para contratos cuyo valor sea superior a cinco mil (5.000) smmlv e inferior o igual a diez mil (10.000) smmlv.</w:t>
      </w:r>
    </w:p>
    <w:p w14:paraId="4B4A4C90"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5. El cinco por ciento (5%) del valor del contrato cuando este sea superior a diez mil (10.000) smmlv, caso en el cual el valor asegurado debe ser máximo setenta y cinco mil (75.000) smmlv.</w:t>
      </w:r>
    </w:p>
    <w:p w14:paraId="7C6803EE" w14:textId="77777777" w:rsidR="008E3928" w:rsidRPr="006875E4" w:rsidRDefault="008E3928" w:rsidP="006875E4">
      <w:pPr>
        <w:pStyle w:val="Textonotapie"/>
        <w:snapToGrid w:val="0"/>
        <w:ind w:firstLine="709"/>
        <w:jc w:val="both"/>
        <w:rPr>
          <w:rFonts w:ascii="Verdana" w:hAnsi="Verdana"/>
          <w:sz w:val="16"/>
          <w:szCs w:val="16"/>
        </w:rPr>
      </w:pPr>
      <w:r w:rsidRPr="006875E4">
        <w:rPr>
          <w:rFonts w:ascii="Verdana" w:hAnsi="Verdana"/>
          <w:sz w:val="16"/>
          <w:szCs w:val="16"/>
        </w:rPr>
        <w:t>La vigencia de esta garantía deberá ser igual al período de ejecución del contrato”.</w:t>
      </w:r>
    </w:p>
  </w:footnote>
  <w:footnote w:id="12">
    <w:p w14:paraId="3D6BB693" w14:textId="5E455CC2" w:rsidR="008E3928" w:rsidRPr="006875E4" w:rsidRDefault="008E3928" w:rsidP="006E008D">
      <w:pPr>
        <w:pStyle w:val="Textonotapie"/>
        <w:ind w:firstLine="708"/>
        <w:jc w:val="both"/>
        <w:rPr>
          <w:rFonts w:ascii="Verdana" w:hAnsi="Verdana"/>
          <w:sz w:val="16"/>
          <w:szCs w:val="16"/>
          <w:lang w:val="es-ES"/>
        </w:rPr>
      </w:pPr>
      <w:r w:rsidRPr="006875E4">
        <w:rPr>
          <w:rStyle w:val="Refdenotaalpie"/>
          <w:rFonts w:ascii="Verdana" w:hAnsi="Verdana"/>
          <w:sz w:val="16"/>
          <w:szCs w:val="16"/>
        </w:rPr>
        <w:footnoteRef/>
      </w:r>
      <w:r w:rsidR="006875E4">
        <w:rPr>
          <w:rFonts w:ascii="Verdana" w:eastAsia="Calibri" w:hAnsi="Verdana" w:cs="Arial"/>
          <w:bCs/>
          <w:sz w:val="16"/>
          <w:szCs w:val="16"/>
          <w:lang w:eastAsia="x-none"/>
        </w:rPr>
        <w:t xml:space="preserve"> Agencia </w:t>
      </w:r>
      <w:r w:rsidR="00397641">
        <w:rPr>
          <w:rFonts w:ascii="Verdana" w:eastAsia="Calibri" w:hAnsi="Verdana" w:cs="Arial"/>
          <w:bCs/>
          <w:sz w:val="16"/>
          <w:szCs w:val="16"/>
          <w:lang w:eastAsia="x-none"/>
        </w:rPr>
        <w:t xml:space="preserve">Nacional de Contratación Pública – </w:t>
      </w:r>
      <w:r w:rsidR="006875E4" w:rsidRPr="00626BA6">
        <w:rPr>
          <w:rFonts w:ascii="Verdana" w:eastAsia="Calibri" w:hAnsi="Verdana" w:cs="Arial"/>
          <w:bCs/>
          <w:sz w:val="16"/>
          <w:szCs w:val="16"/>
          <w:lang w:eastAsia="x-none"/>
        </w:rPr>
        <w:t>Colombia</w:t>
      </w:r>
      <w:r w:rsidR="00397641">
        <w:rPr>
          <w:rFonts w:ascii="Verdana" w:eastAsia="Calibri" w:hAnsi="Verdana" w:cs="Arial"/>
          <w:bCs/>
          <w:sz w:val="16"/>
          <w:szCs w:val="16"/>
          <w:lang w:eastAsia="x-none"/>
        </w:rPr>
        <w:t xml:space="preserve"> </w:t>
      </w:r>
      <w:r w:rsidR="006875E4" w:rsidRPr="00626BA6">
        <w:rPr>
          <w:rFonts w:ascii="Verdana" w:eastAsia="Calibri" w:hAnsi="Verdana" w:cs="Arial"/>
          <w:bCs/>
          <w:sz w:val="16"/>
          <w:szCs w:val="16"/>
          <w:lang w:eastAsia="x-none"/>
        </w:rPr>
        <w:t>Compra Eficiente</w:t>
      </w:r>
      <w:r w:rsidR="006875E4">
        <w:rPr>
          <w:rFonts w:ascii="Verdana" w:hAnsi="Verdana"/>
          <w:sz w:val="16"/>
          <w:szCs w:val="16"/>
        </w:rPr>
        <w:t xml:space="preserve">. </w:t>
      </w:r>
      <w:r w:rsidR="006875E4" w:rsidRPr="006E008D">
        <w:rPr>
          <w:rFonts w:ascii="Verdana" w:eastAsia="Calibri" w:hAnsi="Verdana" w:cs="Arial"/>
          <w:bCs/>
          <w:sz w:val="16"/>
          <w:szCs w:val="16"/>
          <w:lang w:eastAsia="x-none"/>
        </w:rPr>
        <w:t>Guía para el manejo de Garantías en Procesos de Contratación"</w:t>
      </w:r>
      <w:r w:rsidR="006875E4" w:rsidRPr="006875E4">
        <w:rPr>
          <w:rFonts w:ascii="Verdana" w:hAnsi="Verdana"/>
          <w:sz w:val="16"/>
          <w:szCs w:val="16"/>
        </w:rPr>
        <w:t>. Se puede consultar en el siguiente enlace</w:t>
      </w:r>
      <w:r w:rsidRPr="006875E4">
        <w:rPr>
          <w:rFonts w:ascii="Verdana" w:hAnsi="Verdana"/>
          <w:sz w:val="16"/>
          <w:szCs w:val="16"/>
        </w:rPr>
        <w:t>://www.colombiacompra.gov.co/wp-content/uploads/2024/08/2016-Guia-de-garantias-en-Procesos-de-Contratacion-G-GPC-01.pdf</w:t>
      </w:r>
      <w:r w:rsidR="006875E4">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76BF"/>
    <w:rsid w:val="00061B2A"/>
    <w:rsid w:val="000700CC"/>
    <w:rsid w:val="00082362"/>
    <w:rsid w:val="000A2214"/>
    <w:rsid w:val="000A683E"/>
    <w:rsid w:val="000B19B9"/>
    <w:rsid w:val="000D0334"/>
    <w:rsid w:val="000D5DA7"/>
    <w:rsid w:val="000F6486"/>
    <w:rsid w:val="00116940"/>
    <w:rsid w:val="00125105"/>
    <w:rsid w:val="00127233"/>
    <w:rsid w:val="00143A24"/>
    <w:rsid w:val="0015699B"/>
    <w:rsid w:val="001A33BF"/>
    <w:rsid w:val="001E4177"/>
    <w:rsid w:val="001F0B24"/>
    <w:rsid w:val="001F7DC6"/>
    <w:rsid w:val="0022400B"/>
    <w:rsid w:val="002421BB"/>
    <w:rsid w:val="0025796E"/>
    <w:rsid w:val="002707A2"/>
    <w:rsid w:val="002937C8"/>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97641"/>
    <w:rsid w:val="003A779E"/>
    <w:rsid w:val="003B3B66"/>
    <w:rsid w:val="003C5506"/>
    <w:rsid w:val="003D0F4D"/>
    <w:rsid w:val="003D341F"/>
    <w:rsid w:val="003D5B0D"/>
    <w:rsid w:val="003E0499"/>
    <w:rsid w:val="003E20B5"/>
    <w:rsid w:val="003E4F80"/>
    <w:rsid w:val="003E6439"/>
    <w:rsid w:val="003F3941"/>
    <w:rsid w:val="00406575"/>
    <w:rsid w:val="00414C74"/>
    <w:rsid w:val="0042722E"/>
    <w:rsid w:val="0044528D"/>
    <w:rsid w:val="004579C9"/>
    <w:rsid w:val="00466E39"/>
    <w:rsid w:val="004A1847"/>
    <w:rsid w:val="004A305D"/>
    <w:rsid w:val="004F21C4"/>
    <w:rsid w:val="004F685F"/>
    <w:rsid w:val="005459E9"/>
    <w:rsid w:val="005566E8"/>
    <w:rsid w:val="0056695E"/>
    <w:rsid w:val="00574867"/>
    <w:rsid w:val="00574F9F"/>
    <w:rsid w:val="00591460"/>
    <w:rsid w:val="005A65E0"/>
    <w:rsid w:val="005C3777"/>
    <w:rsid w:val="005C5CDC"/>
    <w:rsid w:val="005C5EF1"/>
    <w:rsid w:val="005D476C"/>
    <w:rsid w:val="00616FBF"/>
    <w:rsid w:val="006200BF"/>
    <w:rsid w:val="006219F8"/>
    <w:rsid w:val="006302F7"/>
    <w:rsid w:val="00635033"/>
    <w:rsid w:val="00646B9F"/>
    <w:rsid w:val="00665D70"/>
    <w:rsid w:val="006875E4"/>
    <w:rsid w:val="006900D9"/>
    <w:rsid w:val="006E008D"/>
    <w:rsid w:val="00706C16"/>
    <w:rsid w:val="00706F46"/>
    <w:rsid w:val="00717FEE"/>
    <w:rsid w:val="0073384F"/>
    <w:rsid w:val="007340C3"/>
    <w:rsid w:val="0075235A"/>
    <w:rsid w:val="00756841"/>
    <w:rsid w:val="007649AB"/>
    <w:rsid w:val="00771D0C"/>
    <w:rsid w:val="007833AC"/>
    <w:rsid w:val="00785A6A"/>
    <w:rsid w:val="007A334B"/>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3928"/>
    <w:rsid w:val="008F0EA7"/>
    <w:rsid w:val="00923EEF"/>
    <w:rsid w:val="009419F9"/>
    <w:rsid w:val="0095685E"/>
    <w:rsid w:val="00961B09"/>
    <w:rsid w:val="00965334"/>
    <w:rsid w:val="0097093E"/>
    <w:rsid w:val="009A0DFA"/>
    <w:rsid w:val="009A1C6F"/>
    <w:rsid w:val="009A5743"/>
    <w:rsid w:val="009B2D26"/>
    <w:rsid w:val="009C71FA"/>
    <w:rsid w:val="009C72E7"/>
    <w:rsid w:val="009C7F7E"/>
    <w:rsid w:val="009D3058"/>
    <w:rsid w:val="009F3A13"/>
    <w:rsid w:val="00A122D3"/>
    <w:rsid w:val="00A14468"/>
    <w:rsid w:val="00A17F13"/>
    <w:rsid w:val="00A20739"/>
    <w:rsid w:val="00A23AF9"/>
    <w:rsid w:val="00A33C78"/>
    <w:rsid w:val="00AB0ADB"/>
    <w:rsid w:val="00AF5387"/>
    <w:rsid w:val="00AF696D"/>
    <w:rsid w:val="00B00C0E"/>
    <w:rsid w:val="00B01B1A"/>
    <w:rsid w:val="00B0381D"/>
    <w:rsid w:val="00B20985"/>
    <w:rsid w:val="00B44A47"/>
    <w:rsid w:val="00B72CD3"/>
    <w:rsid w:val="00B72FFF"/>
    <w:rsid w:val="00B81E66"/>
    <w:rsid w:val="00B96F76"/>
    <w:rsid w:val="00BB27D6"/>
    <w:rsid w:val="00BB2D75"/>
    <w:rsid w:val="00BC3D36"/>
    <w:rsid w:val="00BD54A6"/>
    <w:rsid w:val="00BD7F72"/>
    <w:rsid w:val="00BF7425"/>
    <w:rsid w:val="00C04FB3"/>
    <w:rsid w:val="00C11D8B"/>
    <w:rsid w:val="00C15139"/>
    <w:rsid w:val="00C3059F"/>
    <w:rsid w:val="00C30AFC"/>
    <w:rsid w:val="00C330EB"/>
    <w:rsid w:val="00C50D69"/>
    <w:rsid w:val="00C5365C"/>
    <w:rsid w:val="00C754BE"/>
    <w:rsid w:val="00C76B1C"/>
    <w:rsid w:val="00C925AC"/>
    <w:rsid w:val="00CB6357"/>
    <w:rsid w:val="00CC0064"/>
    <w:rsid w:val="00CC1B26"/>
    <w:rsid w:val="00D00730"/>
    <w:rsid w:val="00D361FD"/>
    <w:rsid w:val="00D423A2"/>
    <w:rsid w:val="00D44A25"/>
    <w:rsid w:val="00D44E26"/>
    <w:rsid w:val="00D520D8"/>
    <w:rsid w:val="00D63AC2"/>
    <w:rsid w:val="00D7383B"/>
    <w:rsid w:val="00D7788A"/>
    <w:rsid w:val="00DA231B"/>
    <w:rsid w:val="00DC39FC"/>
    <w:rsid w:val="00DD43E6"/>
    <w:rsid w:val="00DF5254"/>
    <w:rsid w:val="00E02524"/>
    <w:rsid w:val="00E16408"/>
    <w:rsid w:val="00E20894"/>
    <w:rsid w:val="00E20D0E"/>
    <w:rsid w:val="00E230BD"/>
    <w:rsid w:val="00E245AB"/>
    <w:rsid w:val="00E2764C"/>
    <w:rsid w:val="00E27F2E"/>
    <w:rsid w:val="00E50AFE"/>
    <w:rsid w:val="00E7300C"/>
    <w:rsid w:val="00E75C92"/>
    <w:rsid w:val="00E771DC"/>
    <w:rsid w:val="00E8772A"/>
    <w:rsid w:val="00E90F6B"/>
    <w:rsid w:val="00E92C27"/>
    <w:rsid w:val="00EA0E3D"/>
    <w:rsid w:val="00EC38A7"/>
    <w:rsid w:val="00EE1AA8"/>
    <w:rsid w:val="00EE390A"/>
    <w:rsid w:val="00F23FEA"/>
    <w:rsid w:val="00F31EDC"/>
    <w:rsid w:val="00F462B3"/>
    <w:rsid w:val="00F5664F"/>
    <w:rsid w:val="00F57B7A"/>
    <w:rsid w:val="00F666C4"/>
    <w:rsid w:val="00F76AFC"/>
    <w:rsid w:val="00FA220D"/>
    <w:rsid w:val="00FA3E27"/>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E392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E3928"/>
    <w:rPr>
      <w:rFonts w:ascii="Geomanist Light" w:hAnsi="Geomanist Light"/>
      <w:lang w:val="es-ES"/>
    </w:rPr>
  </w:style>
  <w:style w:type="character" w:customStyle="1" w:styleId="s15">
    <w:name w:val="s15"/>
    <w:basedOn w:val="Fuentedeprrafopredeter"/>
    <w:rsid w:val="008E39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069-de-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7859726-8A49-4BE5-A7A8-F8A127DA54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18</Pages>
  <Words>5364</Words>
  <Characters>29508</Characters>
  <Application>Microsoft Office Word</Application>
  <DocSecurity>0</DocSecurity>
  <Lines>245</Lines>
  <Paragraphs>69</Paragraphs>
  <ScaleCrop>false</ScaleCrop>
  <Company/>
  <LinksUpToDate>false</LinksUpToDate>
  <CharactersWithSpaces>34803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5</cp:revision>
  <cp:lastPrinted>2023-01-10T21:18:00Z</cp:lastPrinted>
  <dcterms:created xsi:type="dcterms:W3CDTF">2026-03-13T15:18:00Z</dcterms:created>
  <dcterms:modified xsi:type="dcterms:W3CDTF">2026-03-17T03:36:00Z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