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A41A85" w14:textId="2CB3039A" w:rsidR="00B34683" w:rsidRDefault="00B34683" w:rsidP="00B34683">
      <w:pPr>
        <w:jc w:val="both"/>
        <w:rPr>
          <w:rFonts w:ascii="Verdana" w:eastAsia="Times New Roman" w:hAnsi="Verdana" w:cs="Arial"/>
          <w:b/>
          <w:bCs/>
          <w:lang w:eastAsia="es-ES_tradnl"/>
        </w:rPr>
      </w:pPr>
      <w:bookmarkStart w:id="0" w:name="_Hlk214366482"/>
      <w:bookmarkStart w:id="1" w:name="_Hlk143780582"/>
      <w:r w:rsidRPr="00B34683">
        <w:rPr>
          <w:rFonts w:ascii="Verdana" w:hAnsi="Verdana" w:cs="Arial"/>
          <w:b/>
          <w:bCs/>
          <w:color w:val="000000" w:themeColor="text1"/>
        </w:rPr>
        <w:t xml:space="preserve">CONTRATO DE PRESTACIÓN DE SERVICIOS </w:t>
      </w:r>
      <w:r w:rsidRPr="00B34683">
        <w:rPr>
          <w:rFonts w:ascii="Verdana" w:eastAsia="Times New Roman" w:hAnsi="Verdana" w:cs="Arial"/>
          <w:b/>
          <w:bCs/>
          <w:lang w:eastAsia="es-ES_tradnl"/>
        </w:rPr>
        <w:t>– Naturaleza</w:t>
      </w:r>
    </w:p>
    <w:p w14:paraId="7BAF9CCC" w14:textId="77777777" w:rsidR="00B34683" w:rsidRDefault="00B34683" w:rsidP="00B34683">
      <w:pPr>
        <w:spacing w:after="0" w:line="240" w:lineRule="auto"/>
        <w:jc w:val="both"/>
        <w:rPr>
          <w:rFonts w:ascii="Verdana" w:eastAsia="Calibri" w:hAnsi="Verdana" w:cs="Arial"/>
          <w:color w:val="000000"/>
          <w:lang w:val="es-ES_tradnl"/>
        </w:rPr>
      </w:pPr>
      <w:r w:rsidRPr="00B34683">
        <w:rPr>
          <w:rFonts w:ascii="Verdana" w:eastAsia="Calibri" w:hAnsi="Verdana" w:cs="Arial"/>
          <w:color w:val="000000"/>
          <w:sz w:val="20"/>
          <w:szCs w:val="20"/>
          <w:lang w:val="es-ES_tradnl"/>
        </w:rPr>
        <w:t>El contrato de prestación de servicios es uno de los tipos contractuales consagrados en el Estatuto General de Contratación de la Administración Pública – en adelante EGCAP</w:t>
      </w:r>
      <w:r>
        <w:rPr>
          <w:rFonts w:ascii="Verdana" w:eastAsia="Calibri" w:hAnsi="Verdana" w:cs="Arial"/>
          <w:color w:val="000000"/>
          <w:sz w:val="20"/>
          <w:szCs w:val="20"/>
          <w:lang w:val="es-ES_tradnl"/>
        </w:rPr>
        <w:t>-</w:t>
      </w:r>
      <w:r w:rsidRPr="00B34683">
        <w:rPr>
          <w:rFonts w:ascii="Verdana" w:eastAsia="Calibri" w:hAnsi="Verdana" w:cs="Arial"/>
          <w:color w:val="000000"/>
          <w:sz w:val="20"/>
          <w:szCs w:val="20"/>
          <w:lang w:val="es-ES_tradnl"/>
        </w:rPr>
        <w:t>, que pueden celebrar las entidades estatales […] Se trata de un contrato típico, ya que se encuentra definido en la ley y, por tanto, en las condiciones descritas en los artículos 13, 32 y 40 del EGCAP, su regulación desplaza las reglas del arrendamiento de servicios inmateriales de que tratan los artículos 2063 y siguientes del Código Civil</w:t>
      </w:r>
      <w:r w:rsidRPr="00884819">
        <w:rPr>
          <w:rFonts w:ascii="Verdana" w:eastAsia="Calibri" w:hAnsi="Verdana" w:cs="Arial"/>
          <w:color w:val="000000"/>
          <w:lang w:val="es-ES_tradnl"/>
        </w:rPr>
        <w:t xml:space="preserve">. </w:t>
      </w:r>
    </w:p>
    <w:p w14:paraId="19A069A3" w14:textId="77777777" w:rsidR="00B34683" w:rsidRDefault="00B34683" w:rsidP="00B34683">
      <w:pPr>
        <w:spacing w:after="0" w:line="240" w:lineRule="auto"/>
        <w:jc w:val="both"/>
        <w:rPr>
          <w:rFonts w:ascii="Verdana" w:eastAsia="Calibri" w:hAnsi="Verdana" w:cs="Arial"/>
          <w:color w:val="000000"/>
          <w:lang w:val="es-ES_tradnl"/>
        </w:rPr>
      </w:pPr>
    </w:p>
    <w:p w14:paraId="00648FAE" w14:textId="77777777" w:rsidR="00B34683" w:rsidRDefault="00B34683" w:rsidP="00B34683">
      <w:pPr>
        <w:spacing w:after="0" w:line="240" w:lineRule="auto"/>
        <w:jc w:val="both"/>
        <w:rPr>
          <w:rFonts w:ascii="Verdana" w:eastAsia="Calibri" w:hAnsi="Verdana" w:cs="Arial"/>
          <w:color w:val="000000"/>
        </w:rPr>
      </w:pPr>
      <w:r w:rsidRPr="00B34683">
        <w:rPr>
          <w:rFonts w:ascii="Verdana" w:eastAsia="Times New Roman" w:hAnsi="Verdana" w:cs="Arial"/>
          <w:b/>
          <w:bCs/>
          <w:lang w:eastAsia="es-ES_tradnl"/>
        </w:rPr>
        <w:t xml:space="preserve">PLANEACIÓN CONTRACTUAL – Alcance </w:t>
      </w:r>
    </w:p>
    <w:p w14:paraId="7947AE2A" w14:textId="77777777" w:rsidR="00B34683" w:rsidRDefault="00B34683" w:rsidP="00B34683">
      <w:pPr>
        <w:spacing w:after="0" w:line="240" w:lineRule="auto"/>
        <w:jc w:val="both"/>
        <w:rPr>
          <w:rFonts w:ascii="Verdana" w:eastAsia="Calibri" w:hAnsi="Verdana" w:cs="Arial"/>
          <w:color w:val="000000"/>
        </w:rPr>
      </w:pPr>
    </w:p>
    <w:p w14:paraId="70F4FD6E" w14:textId="2CE8C7DA" w:rsidR="00B34683" w:rsidRDefault="00B34683" w:rsidP="00151FDE">
      <w:pPr>
        <w:spacing w:after="0" w:line="240" w:lineRule="auto"/>
        <w:jc w:val="both"/>
        <w:rPr>
          <w:rFonts w:ascii="Verdana" w:eastAsia="Calibri" w:hAnsi="Verdana" w:cs="Arial"/>
          <w:bCs/>
          <w:sz w:val="20"/>
          <w:szCs w:val="20"/>
          <w:lang w:val="es-ES_tradnl"/>
        </w:rPr>
      </w:pPr>
      <w:r w:rsidRPr="00B34683">
        <w:rPr>
          <w:rFonts w:ascii="Verdana" w:eastAsia="Calibri" w:hAnsi="Verdana" w:cs="Arial"/>
          <w:bCs/>
          <w:sz w:val="20"/>
          <w:szCs w:val="20"/>
          <w:lang w:val="es-ES_tradnl"/>
        </w:rPr>
        <w:t>[…] la planeación contractual es una herramienta de gerencia pública, la cual exige estructurar el proceso contractual dedicando tiempo y esfuerzos para elaborar estudios previos, con el fin de determinar la necesidad que pretende satisfacer y cuál es la mejor manera de hacerlo, consultando el tipo de bienes y servicios que ofrece el mercado y cuáles son sus características, especificaciones, precios, costos, riesgos, garantías, disponibilidad, oferentes, etc., que conlleven a una diligente escogencia de la mejor oferta para beneficiar los intereses y fines públicos inmersos en la contratación de las entidades estatales.</w:t>
      </w:r>
    </w:p>
    <w:p w14:paraId="3A22F967" w14:textId="77777777" w:rsidR="00B34683" w:rsidRDefault="00B34683" w:rsidP="00151FDE">
      <w:pPr>
        <w:spacing w:after="0" w:line="240" w:lineRule="auto"/>
        <w:jc w:val="both"/>
        <w:rPr>
          <w:rFonts w:ascii="Verdana" w:eastAsia="Calibri" w:hAnsi="Verdana" w:cs="Arial"/>
          <w:color w:val="000000"/>
          <w:sz w:val="20"/>
          <w:szCs w:val="20"/>
          <w:lang w:val="es-ES_tradnl"/>
        </w:rPr>
      </w:pPr>
    </w:p>
    <w:p w14:paraId="149DE2E1" w14:textId="6C555A7E" w:rsidR="00B34683" w:rsidRPr="00B34683" w:rsidRDefault="00B34683" w:rsidP="00151FDE">
      <w:pPr>
        <w:spacing w:after="0" w:line="240" w:lineRule="auto"/>
        <w:jc w:val="both"/>
        <w:rPr>
          <w:rFonts w:ascii="Verdana" w:eastAsia="Calibri" w:hAnsi="Verdana" w:cs="Arial"/>
          <w:color w:val="000000"/>
          <w:sz w:val="20"/>
          <w:szCs w:val="20"/>
          <w:lang w:val="es-ES_tradnl"/>
        </w:rPr>
      </w:pPr>
      <w:r w:rsidRPr="00B34683">
        <w:rPr>
          <w:rFonts w:ascii="Verdana" w:eastAsia="Calibri" w:hAnsi="Verdana" w:cs="Arial"/>
          <w:color w:val="000000"/>
          <w:sz w:val="20"/>
          <w:szCs w:val="20"/>
          <w:lang w:val="es-ES_tradnl"/>
        </w:rPr>
        <w:t>El EGCAP contiene disposiciones que demandan de las entidades estatales el deber de realizar planeación en la etapa precontractual, para que los procesos de contratación satisfagan las necesidades de la Administración, cumplan sus fines, logren la continua y eficiente prestación de los servicios públicos y permitan la efectividad de los derechos e intereses de los administrados que colaboran en la consecución</w:t>
      </w:r>
      <w:r w:rsidR="008631CA">
        <w:rPr>
          <w:rFonts w:ascii="Verdana" w:eastAsia="Calibri" w:hAnsi="Verdana" w:cs="Arial"/>
          <w:color w:val="000000"/>
          <w:sz w:val="20"/>
          <w:szCs w:val="20"/>
          <w:lang w:val="es-ES_tradnl"/>
        </w:rPr>
        <w:t>.</w:t>
      </w:r>
    </w:p>
    <w:p w14:paraId="2A37D1AB" w14:textId="77777777" w:rsidR="00B34683" w:rsidRDefault="00B34683" w:rsidP="00151FDE">
      <w:pPr>
        <w:spacing w:after="0" w:line="240" w:lineRule="auto"/>
        <w:jc w:val="both"/>
        <w:rPr>
          <w:rFonts w:ascii="Verdana" w:eastAsia="Times New Roman" w:hAnsi="Verdana" w:cs="Arial"/>
          <w:b/>
          <w:bCs/>
          <w:lang w:eastAsia="es-ES_tradnl"/>
        </w:rPr>
      </w:pPr>
    </w:p>
    <w:p w14:paraId="1E3A6EC1" w14:textId="1CA6131C" w:rsidR="00B34683" w:rsidRDefault="00B34683" w:rsidP="00B34683">
      <w:pPr>
        <w:jc w:val="both"/>
        <w:rPr>
          <w:rFonts w:ascii="Verdana" w:eastAsia="Times New Roman" w:hAnsi="Verdana" w:cs="Arial"/>
          <w:b/>
          <w:bCs/>
          <w:lang w:eastAsia="es-ES_tradnl"/>
        </w:rPr>
      </w:pPr>
      <w:r w:rsidRPr="00B34683">
        <w:rPr>
          <w:rFonts w:ascii="Verdana" w:eastAsia="Times New Roman" w:hAnsi="Verdana" w:cs="Arial"/>
          <w:b/>
          <w:bCs/>
          <w:lang w:eastAsia="es-ES_tradnl"/>
        </w:rPr>
        <w:t xml:space="preserve">ESTUDIOS PREVIOS – Alcance </w:t>
      </w:r>
    </w:p>
    <w:p w14:paraId="1FB73327" w14:textId="502E09DF" w:rsidR="00151FDE" w:rsidRPr="00151FDE" w:rsidRDefault="00151FDE" w:rsidP="00151FDE">
      <w:pPr>
        <w:spacing w:after="0" w:line="240" w:lineRule="auto"/>
        <w:ind w:right="51"/>
        <w:jc w:val="both"/>
        <w:rPr>
          <w:rFonts w:ascii="Verdana" w:hAnsi="Verdana" w:cs="Arial"/>
          <w:sz w:val="20"/>
          <w:szCs w:val="20"/>
          <w:lang w:val="es-MX"/>
        </w:rPr>
      </w:pPr>
      <w:r w:rsidRPr="00151FDE">
        <w:rPr>
          <w:rFonts w:ascii="Verdana" w:hAnsi="Verdana" w:cs="Arial"/>
          <w:sz w:val="20"/>
          <w:szCs w:val="20"/>
          <w:lang w:val="es-MX"/>
        </w:rPr>
        <w:t>[…] los estudios y documentos previos son el soporte para elaborar el proyecto de pliegos, los pliegos de condiciones, y el contrato”, por lo que deben publicarse en la etapa precontractual y sirven de motivación para los documentos expedidos unilateralmente por la entidad estatal tales como el acto administrativo de apertura, los pliegos de condiciones y el acto de adjudicación, entre otros. En ese sentido, los estudios y documentos previos son necesarios antes de la celebración del contrato, pues fundamentan las condiciones que la Entidad Estatal exige en sus procesos de contratación. Sin embargo, luego de la suscripción del contrato la entidad no debe actuar unilateralmente, sino que debe respetar la buena fe contractual y proceder de acuerdo con lo pactado.</w:t>
      </w:r>
    </w:p>
    <w:p w14:paraId="6E240E91" w14:textId="77777777" w:rsidR="00B34683" w:rsidRPr="00151FDE" w:rsidRDefault="00B34683" w:rsidP="00B34683">
      <w:pPr>
        <w:spacing w:after="0" w:line="240" w:lineRule="auto"/>
        <w:jc w:val="both"/>
        <w:rPr>
          <w:rFonts w:ascii="Verdana" w:eastAsia="Times New Roman" w:hAnsi="Verdana" w:cs="Arial"/>
          <w:b/>
          <w:bCs/>
          <w:lang w:val="es-MX" w:eastAsia="es-ES_tradnl"/>
        </w:rPr>
      </w:pPr>
    </w:p>
    <w:p w14:paraId="3FC354F6" w14:textId="77777777" w:rsidR="00B34683" w:rsidRDefault="00B34683" w:rsidP="00B34683">
      <w:pPr>
        <w:jc w:val="both"/>
        <w:rPr>
          <w:rFonts w:ascii="Verdana" w:eastAsia="Times New Roman" w:hAnsi="Verdana" w:cs="Arial"/>
          <w:b/>
          <w:bCs/>
          <w:lang w:eastAsia="es-ES_tradnl"/>
        </w:rPr>
      </w:pPr>
      <w:r w:rsidRPr="00B34683">
        <w:rPr>
          <w:rFonts w:ascii="Verdana" w:eastAsia="Times New Roman" w:hAnsi="Verdana" w:cs="Arial"/>
          <w:b/>
          <w:bCs/>
          <w:lang w:eastAsia="es-ES_tradnl"/>
        </w:rPr>
        <w:t xml:space="preserve">ESTUDIOS DEL SECTOR – Identificación aspectos de mercado </w:t>
      </w:r>
    </w:p>
    <w:p w14:paraId="131B17D3" w14:textId="77777777" w:rsidR="00151FDE" w:rsidRDefault="00151FDE" w:rsidP="00151FDE">
      <w:pPr>
        <w:spacing w:after="0" w:line="240" w:lineRule="auto"/>
        <w:jc w:val="both"/>
        <w:rPr>
          <w:rFonts w:ascii="Verdana" w:eastAsia="Calibri" w:hAnsi="Verdana" w:cs="Arial"/>
          <w:sz w:val="20"/>
          <w:szCs w:val="20"/>
          <w:lang w:val="es-ES"/>
        </w:rPr>
      </w:pPr>
      <w:r>
        <w:rPr>
          <w:rFonts w:ascii="Verdana" w:eastAsia="Calibri" w:hAnsi="Verdana" w:cs="Arial"/>
          <w:sz w:val="20"/>
          <w:szCs w:val="20"/>
          <w:lang w:val="es-ES"/>
        </w:rPr>
        <w:t xml:space="preserve">[…] </w:t>
      </w:r>
      <w:r w:rsidRPr="00151FDE">
        <w:rPr>
          <w:rFonts w:ascii="Verdana" w:eastAsia="Calibri" w:hAnsi="Verdana" w:cs="Arial"/>
          <w:sz w:val="20"/>
          <w:szCs w:val="20"/>
          <w:lang w:val="es-ES"/>
        </w:rPr>
        <w:t xml:space="preserve">es necesario el estudio del mercado y el análisis del sector económico y de los oferentes, actividad de planeación previa que sirve para identificar aspectos concretos del mercado que pueden afectar el proceso de selección o las condiciones del negocio a realizar a través del proceso de contratación de bienes, obras o servicios. En este sentido, el artículo 2.2.1.1.1.6.1 del Decreto 1082 de 2015 dispone lo siguiente: “La </w:t>
      </w:r>
      <w:r w:rsidRPr="00151FDE">
        <w:rPr>
          <w:rFonts w:ascii="Verdana" w:eastAsia="Calibri" w:hAnsi="Verdana" w:cs="Arial"/>
          <w:sz w:val="20"/>
          <w:szCs w:val="20"/>
          <w:lang w:val="es-ES"/>
        </w:rPr>
        <w:lastRenderedPageBreak/>
        <w:t>Entidad Estatal debe hacer, durante la etapa de planeación, el análisis necesario para conocer el sector relativo al objeto del Proceso de Contratación desde la perspectiva legal, comercial, financiera, organizacional, técnica, y de análisis de Riesgo. La Entidad Estatal debe dejar constancia de este análisis en los Documentos del Proceso”.</w:t>
      </w:r>
    </w:p>
    <w:p w14:paraId="36C0065C" w14:textId="77777777" w:rsidR="00151FDE" w:rsidRDefault="00151FDE" w:rsidP="00151FDE">
      <w:pPr>
        <w:spacing w:after="0" w:line="240" w:lineRule="auto"/>
        <w:jc w:val="both"/>
        <w:rPr>
          <w:rFonts w:ascii="Verdana" w:eastAsia="Calibri" w:hAnsi="Verdana" w:cs="Arial"/>
          <w:sz w:val="20"/>
          <w:szCs w:val="20"/>
          <w:lang w:val="es-ES"/>
        </w:rPr>
      </w:pPr>
    </w:p>
    <w:p w14:paraId="05376F51" w14:textId="116DA783" w:rsidR="00151FDE" w:rsidRDefault="00151FDE" w:rsidP="00151FDE">
      <w:pPr>
        <w:spacing w:after="0" w:line="240" w:lineRule="auto"/>
        <w:jc w:val="both"/>
        <w:rPr>
          <w:rFonts w:ascii="Verdana" w:eastAsia="Calibri" w:hAnsi="Verdana" w:cs="Arial"/>
          <w:sz w:val="20"/>
          <w:szCs w:val="20"/>
          <w:lang w:val="es-ES"/>
        </w:rPr>
      </w:pPr>
      <w:r w:rsidRPr="00151FDE">
        <w:rPr>
          <w:rFonts w:ascii="Verdana" w:eastAsia="Calibri" w:hAnsi="Verdana" w:cs="Arial"/>
          <w:sz w:val="20"/>
          <w:szCs w:val="20"/>
          <w:lang w:val="es-ES"/>
        </w:rPr>
        <w:t>De acuerdo con la norma citada, la entidad debe realizar el análisis necesario para conocer el sector relativo al objeto del proceso de contratación, sin que sea relevante la modalidad de selección. Hacer un análisis desde la perspectiva legal implica la revisión de la regulación vigente para el mercado dentro del que se encuentra el objeto del contrato. La perspectiva comercial hace referencia a analizar quiénes pueden ofrecer el bien o servicio que se quiere contratar, cuáles son sus condiciones, si tienen condiciones especiales que sean relevantes para determinar los requisitos habilitantes, entre otros. Desde una perspectiva financiera, el análisis conlleva una revisión de las características financieras que se presentan dentro del mercado del bien o servicio, como por ejemplo el índice de endeudamiento que tienen las empresas o personas naturales que ofrecen dicho bien o servicio. Con la perspectiva organizacional se pretende que la entidad estatal entienda cómo están organizados internamente los posibles oferentes y de qué manera realizan sus negocios y operaciones.</w:t>
      </w:r>
    </w:p>
    <w:p w14:paraId="5D93FFA4" w14:textId="77777777" w:rsidR="00151FDE" w:rsidRDefault="00151FDE" w:rsidP="00151FDE">
      <w:pPr>
        <w:spacing w:after="0" w:line="240" w:lineRule="auto"/>
        <w:jc w:val="both"/>
        <w:rPr>
          <w:rFonts w:ascii="Verdana" w:eastAsia="Calibri" w:hAnsi="Verdana" w:cs="Arial"/>
          <w:sz w:val="20"/>
          <w:szCs w:val="20"/>
          <w:lang w:val="es-ES_tradnl"/>
        </w:rPr>
      </w:pPr>
    </w:p>
    <w:p w14:paraId="41E6C2A2" w14:textId="1BD88C88" w:rsidR="00151FDE" w:rsidRPr="00151FDE" w:rsidRDefault="00151FDE" w:rsidP="00151FDE">
      <w:pPr>
        <w:spacing w:after="0" w:line="240" w:lineRule="auto"/>
        <w:jc w:val="both"/>
        <w:rPr>
          <w:rFonts w:ascii="Verdana" w:eastAsia="Calibri" w:hAnsi="Verdana" w:cs="Arial"/>
          <w:sz w:val="20"/>
          <w:szCs w:val="20"/>
          <w:lang w:val="es-ES_tradnl"/>
        </w:rPr>
      </w:pPr>
      <w:r w:rsidRPr="00151FDE">
        <w:rPr>
          <w:rFonts w:ascii="Verdana" w:eastAsia="Calibri" w:hAnsi="Verdana" w:cs="Arial"/>
          <w:sz w:val="20"/>
          <w:szCs w:val="20"/>
          <w:lang w:val="es-ES_tradnl"/>
        </w:rPr>
        <w:t>Para negociar de manera adecuada, es necesario conocer la estructura de los posibles contratistas, pues permite identificar la forma en la que suplirá los requerimientos de la entidad. El análisis del sector debe tener en cuenta el objeto del proceso de contratación, las condiciones del bien o servicio y las ventajas que representa para la Administración contratar el bien o servicio con el contratista. En este último punto, el análisis del sector permite sustentar la decisión de realizar un proceso de contratación desde el punto de vista de la eficiencia, eficacia y economía.</w:t>
      </w:r>
    </w:p>
    <w:p w14:paraId="2CA26B81" w14:textId="77777777" w:rsidR="00151FDE" w:rsidRPr="00151FDE" w:rsidRDefault="00151FDE" w:rsidP="00B34683">
      <w:pPr>
        <w:spacing w:after="0" w:line="240" w:lineRule="auto"/>
        <w:jc w:val="both"/>
        <w:rPr>
          <w:rFonts w:ascii="Verdana" w:eastAsia="Times New Roman" w:hAnsi="Verdana" w:cs="Arial"/>
          <w:b/>
          <w:bCs/>
          <w:lang w:val="es-ES" w:eastAsia="es-ES_tradnl"/>
        </w:rPr>
      </w:pPr>
    </w:p>
    <w:p w14:paraId="58029A16" w14:textId="77777777" w:rsidR="00B34683" w:rsidRDefault="00B34683" w:rsidP="00B34683">
      <w:pPr>
        <w:jc w:val="both"/>
        <w:rPr>
          <w:rFonts w:ascii="Verdana" w:eastAsia="Times New Roman" w:hAnsi="Verdana" w:cs="Arial"/>
          <w:b/>
          <w:bCs/>
          <w:lang w:eastAsia="es-ES_tradnl"/>
        </w:rPr>
      </w:pPr>
      <w:r w:rsidRPr="00B34683">
        <w:rPr>
          <w:rFonts w:ascii="Verdana" w:eastAsia="Times New Roman" w:hAnsi="Verdana" w:cs="Arial"/>
          <w:b/>
          <w:bCs/>
          <w:lang w:eastAsia="es-ES_tradnl"/>
        </w:rPr>
        <w:t xml:space="preserve">ESTUDIOS DEL SECTOR – Contratación directa </w:t>
      </w:r>
    </w:p>
    <w:p w14:paraId="6A4137F5" w14:textId="49EA3D30" w:rsidR="00151FDE" w:rsidRPr="00151FDE" w:rsidRDefault="00151FDE" w:rsidP="00151FDE">
      <w:pPr>
        <w:spacing w:after="0" w:line="240" w:lineRule="auto"/>
        <w:jc w:val="both"/>
        <w:rPr>
          <w:rFonts w:ascii="Verdana" w:eastAsia="Times New Roman" w:hAnsi="Verdana" w:cs="Arial"/>
          <w:sz w:val="20"/>
          <w:szCs w:val="20"/>
          <w:lang w:eastAsia="es-ES_tradnl"/>
        </w:rPr>
      </w:pPr>
      <w:r w:rsidRPr="00151FDE">
        <w:rPr>
          <w:rFonts w:ascii="Verdana" w:eastAsia="Times New Roman" w:hAnsi="Verdana" w:cs="Arial"/>
          <w:sz w:val="20"/>
          <w:szCs w:val="20"/>
          <w:lang w:eastAsia="es-ES_tradnl"/>
        </w:rPr>
        <w:t>Si bien los estudios del sector son de gran relevancia en los procesos de contratación donde existe pluralidad de oferentes, nada obsta para que se elaboren allí donde no existiría competencia. Para estos efectos, la guía mencionada en el precedente explica que “En la contratación directa, el estudio del sector debe tener en cuenta el objeto del Proceso de Contratación, particularmente las condiciones del contrato, como los plazos y formas de entrega y de pago. El estudio del sector debe permitir a la Entidad Estatal sustentar su decisión de hacer una contratación directa, la elección del proveedor y la forma en que se pacta el contrato desde el punto de vista de la eficiencia, eficacia y economía. La Entidad Estatal debe consignar en los Documentos del Proceso, bien sea en los estudios previos o en la información de soporte de los mismos, los aspectos de que trata el artículo 2.2.1.1.1.6.1 del Decreto 1082 de 2015 (…)”.</w:t>
      </w:r>
    </w:p>
    <w:p w14:paraId="24C5EAD6" w14:textId="77777777" w:rsidR="00B34683" w:rsidRPr="00B34683" w:rsidRDefault="00B34683" w:rsidP="00B34683">
      <w:pPr>
        <w:spacing w:after="0" w:line="240" w:lineRule="auto"/>
        <w:jc w:val="both"/>
        <w:rPr>
          <w:rFonts w:ascii="Verdana" w:eastAsia="Times New Roman" w:hAnsi="Verdana" w:cs="Arial"/>
          <w:b/>
          <w:bCs/>
          <w:lang w:eastAsia="es-ES_tradnl"/>
        </w:rPr>
      </w:pPr>
    </w:p>
    <w:p w14:paraId="33FAB16F" w14:textId="77777777" w:rsidR="00B34683" w:rsidRDefault="00B34683" w:rsidP="00B34683">
      <w:pPr>
        <w:jc w:val="both"/>
        <w:rPr>
          <w:rFonts w:ascii="Verdana" w:eastAsia="Times New Roman" w:hAnsi="Verdana" w:cs="Arial"/>
          <w:b/>
          <w:bCs/>
          <w:lang w:eastAsia="es-ES_tradnl"/>
        </w:rPr>
      </w:pPr>
      <w:r w:rsidRPr="00B34683">
        <w:rPr>
          <w:rFonts w:ascii="Verdana" w:eastAsia="Times New Roman" w:hAnsi="Verdana" w:cs="Arial"/>
          <w:b/>
          <w:bCs/>
          <w:lang w:eastAsia="es-ES_tradnl"/>
        </w:rPr>
        <w:t xml:space="preserve">GARANTÍA ÚNICA DE CUMPLIMIENTO – Finalidad </w:t>
      </w:r>
    </w:p>
    <w:p w14:paraId="02B615E7" w14:textId="77777777" w:rsidR="008631CA" w:rsidRDefault="00151FDE" w:rsidP="008631CA">
      <w:pPr>
        <w:spacing w:after="0" w:line="240" w:lineRule="auto"/>
        <w:jc w:val="both"/>
        <w:rPr>
          <w:rFonts w:ascii="Verdana" w:eastAsia="Calibri" w:hAnsi="Verdana" w:cs="Arial"/>
          <w:color w:val="000000" w:themeColor="text1"/>
          <w:sz w:val="20"/>
          <w:szCs w:val="20"/>
          <w:lang w:val="es-ES"/>
        </w:rPr>
      </w:pPr>
      <w:r>
        <w:rPr>
          <w:rFonts w:ascii="Verdana" w:hAnsi="Verdana" w:cs="Arial"/>
          <w:color w:val="000000"/>
          <w:sz w:val="20"/>
          <w:szCs w:val="20"/>
          <w:shd w:val="clear" w:color="auto" w:fill="FFFFFF"/>
        </w:rPr>
        <w:t xml:space="preserve">[…] </w:t>
      </w:r>
      <w:r w:rsidRPr="00151FDE">
        <w:rPr>
          <w:rFonts w:ascii="Verdana" w:hAnsi="Verdana" w:cs="Arial"/>
          <w:color w:val="000000"/>
          <w:sz w:val="20"/>
          <w:szCs w:val="20"/>
          <w:shd w:val="clear" w:color="auto" w:fill="FFFFFF"/>
        </w:rPr>
        <w:t xml:space="preserve">a través de </w:t>
      </w:r>
      <w:r w:rsidRPr="00151FDE">
        <w:rPr>
          <w:rFonts w:ascii="Verdana" w:eastAsia="Calibri" w:hAnsi="Verdana" w:cs="Arial"/>
          <w:color w:val="000000" w:themeColor="text1"/>
          <w:sz w:val="20"/>
          <w:szCs w:val="20"/>
          <w:lang w:val="es-ES"/>
        </w:rPr>
        <w:t xml:space="preserve">la </w:t>
      </w:r>
      <w:r w:rsidRPr="00151FDE">
        <w:rPr>
          <w:rFonts w:ascii="Verdana" w:eastAsia="Calibri" w:hAnsi="Verdana" w:cs="Arial"/>
          <w:i/>
          <w:iCs/>
          <w:color w:val="000000" w:themeColor="text1"/>
          <w:sz w:val="20"/>
          <w:szCs w:val="20"/>
          <w:lang w:val="es-ES"/>
        </w:rPr>
        <w:t>garantía de única de cumplimiento</w:t>
      </w:r>
      <w:r w:rsidRPr="00151FDE">
        <w:rPr>
          <w:rFonts w:ascii="Verdana" w:eastAsia="Calibri" w:hAnsi="Verdana" w:cs="Arial"/>
          <w:color w:val="000000" w:themeColor="text1"/>
          <w:sz w:val="20"/>
          <w:szCs w:val="20"/>
          <w:lang w:val="es-ES"/>
        </w:rPr>
        <w:t xml:space="preserve">, el contratista ampara los perjuicios que le pueda generar a la entidad el incumplimiento de las obligaciones derivadas del contrato. En esta medida, tienen como objetivo reparar los perjuicios causados por </w:t>
      </w:r>
      <w:r w:rsidRPr="00151FDE">
        <w:rPr>
          <w:rFonts w:ascii="Verdana" w:eastAsia="Calibri" w:hAnsi="Verdana" w:cs="Arial"/>
          <w:color w:val="000000" w:themeColor="text1"/>
          <w:sz w:val="20"/>
          <w:szCs w:val="20"/>
          <w:lang w:val="es-ES"/>
        </w:rPr>
        <w:lastRenderedPageBreak/>
        <w:t xml:space="preserve">conductas atribuibles al contratista, por lo que estos últimos son un presupuesto necesario para el pago que cubre la garantía. </w:t>
      </w:r>
      <w:r w:rsidRPr="00151FDE">
        <w:rPr>
          <w:rFonts w:ascii="Verdana" w:hAnsi="Verdana" w:cs="Arial"/>
          <w:color w:val="000000" w:themeColor="text1"/>
          <w:sz w:val="20"/>
          <w:szCs w:val="20"/>
          <w:lang w:val="es-ES_tradnl"/>
        </w:rPr>
        <w:t xml:space="preserve">Para estos efectos es única, ya que “(…) La prioridad (…) es que no haya garantías separadas para los diferentes riesgos, aunque existan varias garantías para diferentes proporciones del interés asegurado (…)”.    </w:t>
      </w:r>
    </w:p>
    <w:p w14:paraId="39684E46" w14:textId="77777777" w:rsidR="008631CA" w:rsidRDefault="008631CA" w:rsidP="008631CA">
      <w:pPr>
        <w:spacing w:after="0" w:line="240" w:lineRule="auto"/>
        <w:jc w:val="both"/>
        <w:rPr>
          <w:rFonts w:ascii="Verdana" w:eastAsia="Calibri" w:hAnsi="Verdana" w:cs="Arial"/>
          <w:color w:val="000000" w:themeColor="text1"/>
          <w:sz w:val="20"/>
          <w:szCs w:val="20"/>
          <w:lang w:val="es-ES"/>
        </w:rPr>
      </w:pPr>
    </w:p>
    <w:p w14:paraId="20745CA5" w14:textId="77777777" w:rsidR="008631CA" w:rsidRDefault="00B34683" w:rsidP="008631CA">
      <w:pPr>
        <w:spacing w:after="0" w:line="240" w:lineRule="auto"/>
        <w:jc w:val="both"/>
        <w:rPr>
          <w:rFonts w:ascii="Verdana" w:eastAsia="Calibri" w:hAnsi="Verdana" w:cs="Arial"/>
          <w:color w:val="000000" w:themeColor="text1"/>
          <w:sz w:val="20"/>
          <w:szCs w:val="20"/>
        </w:rPr>
      </w:pPr>
      <w:r w:rsidRPr="00B34683">
        <w:rPr>
          <w:rFonts w:ascii="Verdana" w:eastAsia="Times New Roman" w:hAnsi="Verdana" w:cs="Arial"/>
          <w:b/>
          <w:bCs/>
          <w:lang w:eastAsia="es-ES_tradnl"/>
        </w:rPr>
        <w:t xml:space="preserve">GARANTÍAS – Modalidades </w:t>
      </w:r>
    </w:p>
    <w:p w14:paraId="11CBFA44" w14:textId="77777777" w:rsidR="008631CA" w:rsidRDefault="008631CA" w:rsidP="008631CA">
      <w:pPr>
        <w:spacing w:after="0" w:line="240" w:lineRule="auto"/>
        <w:jc w:val="both"/>
        <w:rPr>
          <w:rFonts w:ascii="Verdana" w:eastAsia="Calibri" w:hAnsi="Verdana" w:cs="Arial"/>
          <w:color w:val="000000" w:themeColor="text1"/>
          <w:sz w:val="20"/>
          <w:szCs w:val="20"/>
        </w:rPr>
      </w:pPr>
    </w:p>
    <w:p w14:paraId="7F505346" w14:textId="77777777" w:rsidR="008631CA" w:rsidRDefault="00151FDE" w:rsidP="008631CA">
      <w:pPr>
        <w:spacing w:after="0" w:line="240" w:lineRule="auto"/>
        <w:jc w:val="both"/>
        <w:rPr>
          <w:rFonts w:ascii="Verdana" w:eastAsia="Calibri" w:hAnsi="Verdana" w:cs="Arial"/>
          <w:color w:val="000000" w:themeColor="text1"/>
          <w:sz w:val="20"/>
          <w:szCs w:val="20"/>
          <w:lang w:val="es-ES"/>
        </w:rPr>
      </w:pPr>
      <w:r w:rsidRPr="00151FDE">
        <w:rPr>
          <w:rFonts w:ascii="Verdana" w:eastAsia="Times New Roman" w:hAnsi="Verdana" w:cs="Arial"/>
          <w:sz w:val="20"/>
          <w:szCs w:val="20"/>
          <w:lang w:val="es-ES" w:eastAsia="es-ES_tradnl"/>
        </w:rPr>
        <w:t xml:space="preserve">Conforme al inciso segundo del artículo 7 de la Ley 1150 de 2007, pueden otorgarse a través de: i) contratos de seguro, </w:t>
      </w:r>
      <w:proofErr w:type="spellStart"/>
      <w:r w:rsidRPr="00151FDE">
        <w:rPr>
          <w:rFonts w:ascii="Verdana" w:eastAsia="Times New Roman" w:hAnsi="Verdana" w:cs="Arial"/>
          <w:sz w:val="20"/>
          <w:szCs w:val="20"/>
          <w:lang w:val="es-ES" w:eastAsia="es-ES_tradnl"/>
        </w:rPr>
        <w:t>ii</w:t>
      </w:r>
      <w:proofErr w:type="spellEnd"/>
      <w:r w:rsidRPr="00151FDE">
        <w:rPr>
          <w:rFonts w:ascii="Verdana" w:eastAsia="Times New Roman" w:hAnsi="Verdana" w:cs="Arial"/>
          <w:sz w:val="20"/>
          <w:szCs w:val="20"/>
          <w:lang w:val="es-ES" w:eastAsia="es-ES_tradnl"/>
        </w:rPr>
        <w:t xml:space="preserve">) garantías bancarias o </w:t>
      </w:r>
      <w:proofErr w:type="spellStart"/>
      <w:r w:rsidRPr="00151FDE">
        <w:rPr>
          <w:rFonts w:ascii="Verdana" w:eastAsia="Times New Roman" w:hAnsi="Verdana" w:cs="Arial"/>
          <w:sz w:val="20"/>
          <w:szCs w:val="20"/>
          <w:lang w:val="es-ES" w:eastAsia="es-ES_tradnl"/>
        </w:rPr>
        <w:t>iii</w:t>
      </w:r>
      <w:proofErr w:type="spellEnd"/>
      <w:r w:rsidRPr="00151FDE">
        <w:rPr>
          <w:rFonts w:ascii="Verdana" w:eastAsia="Times New Roman" w:hAnsi="Verdana" w:cs="Arial"/>
          <w:sz w:val="20"/>
          <w:szCs w:val="20"/>
          <w:lang w:val="es-ES" w:eastAsia="es-ES_tradnl"/>
        </w:rPr>
        <w:t>) los demás mecanismos de cobertura del riesgo que disponga el reglamento. Igualmente establece que “(…) tratándose de pólizas, las mismas no expirarán por falta de pago de la prima o por revocatoria unilateral […]”. Esta norma es una excepción a la terminación automática del contrato de seguro prevista en los artículos 1068 y 1071 del Código de Comercio. De esta manera, las garantías previstas en la ley tienen como objetivo asegurar la solvencia del garante.</w:t>
      </w:r>
    </w:p>
    <w:p w14:paraId="1E9F57AB" w14:textId="77777777" w:rsidR="008631CA" w:rsidRDefault="008631CA" w:rsidP="008631CA">
      <w:pPr>
        <w:spacing w:after="0" w:line="240" w:lineRule="auto"/>
        <w:jc w:val="both"/>
        <w:rPr>
          <w:rFonts w:ascii="Verdana" w:eastAsia="Calibri" w:hAnsi="Verdana" w:cs="Arial"/>
          <w:color w:val="000000" w:themeColor="text1"/>
          <w:sz w:val="20"/>
          <w:szCs w:val="20"/>
          <w:lang w:val="es-ES"/>
        </w:rPr>
      </w:pPr>
    </w:p>
    <w:p w14:paraId="741A92DA" w14:textId="47979E43" w:rsidR="008631CA" w:rsidRPr="008631CA" w:rsidRDefault="008631CA" w:rsidP="008631CA">
      <w:pPr>
        <w:spacing w:after="0" w:line="240" w:lineRule="auto"/>
        <w:jc w:val="both"/>
        <w:rPr>
          <w:rFonts w:ascii="Verdana" w:eastAsia="Calibri" w:hAnsi="Verdana" w:cs="Arial"/>
          <w:color w:val="000000" w:themeColor="text1"/>
          <w:sz w:val="20"/>
          <w:szCs w:val="20"/>
          <w:lang w:val="es-ES"/>
        </w:rPr>
      </w:pPr>
      <w:r w:rsidRPr="008631CA">
        <w:rPr>
          <w:rFonts w:ascii="Verdana" w:eastAsia="Times New Roman" w:hAnsi="Verdana" w:cs="Arial"/>
          <w:sz w:val="20"/>
          <w:szCs w:val="20"/>
          <w:lang w:eastAsia="es-ES_tradnl"/>
        </w:rPr>
        <w:t>El Decreto 1082 de 2015 reglamenta las condiciones en que debe cumplirse esta obligación. Los artículos 2.2.1.2.3.1.1 a 2.2.1.2.3.1.19 del Decreto Único Reglamentario del sector Administrativo de Planeación Nacional regulan asuntos como las clases de garantías permitidas, la indivisibilidad de las mismas, los diferentes riesgos que deben ser objeto de garantía, la vigencia y valores mínimos que deben cubrir los amparos, entre otros aspectos.</w:t>
      </w:r>
    </w:p>
    <w:p w14:paraId="46EFFCE4" w14:textId="77777777" w:rsidR="00B34683" w:rsidRPr="00B34683" w:rsidRDefault="00B34683" w:rsidP="008631CA">
      <w:pPr>
        <w:spacing w:after="0" w:line="240" w:lineRule="auto"/>
        <w:jc w:val="both"/>
        <w:rPr>
          <w:rFonts w:ascii="Verdana" w:eastAsia="Times New Roman" w:hAnsi="Verdana" w:cs="Arial"/>
          <w:b/>
          <w:bCs/>
          <w:lang w:eastAsia="es-ES_tradnl"/>
        </w:rPr>
      </w:pPr>
    </w:p>
    <w:p w14:paraId="0825A79F" w14:textId="77777777" w:rsidR="00B34683" w:rsidRDefault="00B34683" w:rsidP="00B34683">
      <w:pPr>
        <w:jc w:val="both"/>
        <w:rPr>
          <w:rFonts w:ascii="Verdana" w:eastAsia="Times New Roman" w:hAnsi="Verdana" w:cs="Arial"/>
          <w:b/>
          <w:bCs/>
          <w:lang w:eastAsia="es-ES_tradnl"/>
        </w:rPr>
      </w:pPr>
      <w:r w:rsidRPr="00B34683">
        <w:rPr>
          <w:rFonts w:ascii="Verdana" w:eastAsia="Times New Roman" w:hAnsi="Verdana" w:cs="Arial"/>
          <w:b/>
          <w:bCs/>
          <w:lang w:eastAsia="es-ES_tradnl"/>
        </w:rPr>
        <w:t xml:space="preserve">GARANTÍA – Indivisibilidad – Amparos </w:t>
      </w:r>
    </w:p>
    <w:p w14:paraId="156D7703" w14:textId="77777777" w:rsidR="008631CA" w:rsidRDefault="008631CA" w:rsidP="00B34683">
      <w:pPr>
        <w:spacing w:after="0" w:line="240" w:lineRule="auto"/>
        <w:jc w:val="both"/>
        <w:rPr>
          <w:rFonts w:ascii="Verdana" w:eastAsia="Times New Roman" w:hAnsi="Verdana" w:cs="Arial"/>
          <w:color w:val="000000" w:themeColor="text1"/>
          <w:sz w:val="20"/>
          <w:szCs w:val="20"/>
          <w:lang w:eastAsia="es-CO"/>
        </w:rPr>
      </w:pPr>
      <w:r w:rsidRPr="008631CA">
        <w:rPr>
          <w:rFonts w:ascii="Verdana" w:hAnsi="Verdana" w:cs="Arial"/>
          <w:color w:val="000000" w:themeColor="text1"/>
          <w:sz w:val="20"/>
          <w:szCs w:val="20"/>
        </w:rPr>
        <w:t xml:space="preserve">El artículo 2.2.1.2.3.1.3, por ejemplo, establece que la “garantía de cobertura del Riesgo es indivisible”, además de la obligación de los contratantes de establecer en los pliegos de condiciones las garantías exigidas para cada periodo contractual. Por su parte, el artículo 2.2.1.3.1.7 prescribe que la garantía de cumplimiento debe cubrir: i) el buen manejo y correcta inversión del anticipo; </w:t>
      </w:r>
      <w:proofErr w:type="spellStart"/>
      <w:r w:rsidRPr="008631CA">
        <w:rPr>
          <w:rFonts w:ascii="Verdana" w:hAnsi="Verdana" w:cs="Arial"/>
          <w:color w:val="000000" w:themeColor="text1"/>
          <w:sz w:val="20"/>
          <w:szCs w:val="20"/>
        </w:rPr>
        <w:t>ii</w:t>
      </w:r>
      <w:proofErr w:type="spellEnd"/>
      <w:r w:rsidRPr="008631CA">
        <w:rPr>
          <w:rFonts w:ascii="Verdana" w:hAnsi="Verdana" w:cs="Arial"/>
          <w:color w:val="000000" w:themeColor="text1"/>
          <w:sz w:val="20"/>
          <w:szCs w:val="20"/>
        </w:rPr>
        <w:t xml:space="preserve">) la devolución del pago anticipado; </w:t>
      </w:r>
      <w:proofErr w:type="spellStart"/>
      <w:r w:rsidRPr="008631CA">
        <w:rPr>
          <w:rFonts w:ascii="Verdana" w:hAnsi="Verdana" w:cs="Arial"/>
          <w:color w:val="000000" w:themeColor="text1"/>
          <w:sz w:val="20"/>
          <w:szCs w:val="20"/>
        </w:rPr>
        <w:t>iii</w:t>
      </w:r>
      <w:proofErr w:type="spellEnd"/>
      <w:r w:rsidRPr="008631CA">
        <w:rPr>
          <w:rFonts w:ascii="Verdana" w:hAnsi="Verdana" w:cs="Arial"/>
          <w:color w:val="000000" w:themeColor="text1"/>
          <w:sz w:val="20"/>
          <w:szCs w:val="20"/>
        </w:rPr>
        <w:t xml:space="preserve">) el cumplimiento del contrato; </w:t>
      </w:r>
      <w:proofErr w:type="spellStart"/>
      <w:r w:rsidRPr="008631CA">
        <w:rPr>
          <w:rFonts w:ascii="Verdana" w:hAnsi="Verdana" w:cs="Arial"/>
          <w:color w:val="000000" w:themeColor="text1"/>
          <w:sz w:val="20"/>
          <w:szCs w:val="20"/>
        </w:rPr>
        <w:t>iv</w:t>
      </w:r>
      <w:proofErr w:type="spellEnd"/>
      <w:r w:rsidRPr="008631CA">
        <w:rPr>
          <w:rFonts w:ascii="Verdana" w:hAnsi="Verdana" w:cs="Arial"/>
          <w:color w:val="000000" w:themeColor="text1"/>
          <w:sz w:val="20"/>
          <w:szCs w:val="20"/>
        </w:rPr>
        <w:t xml:space="preserve">) el pago de salarios, prestaciones sociales legales e indemnizaciones laborales; v)  la estabilidad y calidad de la obra; vi) la </w:t>
      </w:r>
      <w:r w:rsidRPr="008631CA">
        <w:rPr>
          <w:rFonts w:ascii="Verdana" w:eastAsia="Times New Roman" w:hAnsi="Verdana" w:cs="Arial"/>
          <w:color w:val="000000" w:themeColor="text1"/>
          <w:sz w:val="20"/>
          <w:szCs w:val="20"/>
          <w:lang w:eastAsia="es-CO"/>
        </w:rPr>
        <w:t xml:space="preserve">calidad del servicio; </w:t>
      </w:r>
      <w:proofErr w:type="spellStart"/>
      <w:r w:rsidRPr="008631CA">
        <w:rPr>
          <w:rFonts w:ascii="Verdana" w:eastAsia="Times New Roman" w:hAnsi="Verdana" w:cs="Arial"/>
          <w:color w:val="000000" w:themeColor="text1"/>
          <w:sz w:val="20"/>
          <w:szCs w:val="20"/>
          <w:lang w:eastAsia="es-CO"/>
        </w:rPr>
        <w:t>vii</w:t>
      </w:r>
      <w:proofErr w:type="spellEnd"/>
      <w:r w:rsidRPr="008631CA">
        <w:rPr>
          <w:rFonts w:ascii="Verdana" w:eastAsia="Times New Roman" w:hAnsi="Verdana" w:cs="Arial"/>
          <w:color w:val="000000" w:themeColor="text1"/>
          <w:sz w:val="20"/>
          <w:szCs w:val="20"/>
          <w:lang w:eastAsia="es-CO"/>
        </w:rPr>
        <w:t xml:space="preserve">) la calidad y correcto funcionamiento de los bienes; y </w:t>
      </w:r>
      <w:proofErr w:type="spellStart"/>
      <w:r w:rsidRPr="008631CA">
        <w:rPr>
          <w:rFonts w:ascii="Verdana" w:eastAsia="Times New Roman" w:hAnsi="Verdana" w:cs="Arial"/>
          <w:color w:val="000000" w:themeColor="text1"/>
          <w:sz w:val="20"/>
          <w:szCs w:val="20"/>
          <w:lang w:eastAsia="es-CO"/>
        </w:rPr>
        <w:t>viii</w:t>
      </w:r>
      <w:proofErr w:type="spellEnd"/>
      <w:r w:rsidRPr="008631CA">
        <w:rPr>
          <w:rFonts w:ascii="Verdana" w:eastAsia="Times New Roman" w:hAnsi="Verdana" w:cs="Arial"/>
          <w:color w:val="000000" w:themeColor="text1"/>
          <w:sz w:val="20"/>
          <w:szCs w:val="20"/>
          <w:lang w:eastAsia="es-CO"/>
        </w:rPr>
        <w:t xml:space="preserve">) los demás incumplimientos de las obligaciones que la entidad estatal considere deben ser amparados. </w:t>
      </w:r>
    </w:p>
    <w:p w14:paraId="5021206C" w14:textId="77777777" w:rsidR="008631CA" w:rsidRDefault="008631CA" w:rsidP="00B34683">
      <w:pPr>
        <w:spacing w:after="0" w:line="240" w:lineRule="auto"/>
        <w:jc w:val="both"/>
        <w:rPr>
          <w:rFonts w:ascii="Verdana" w:eastAsia="Times New Roman" w:hAnsi="Verdana" w:cs="Arial"/>
          <w:color w:val="000000" w:themeColor="text1"/>
          <w:sz w:val="20"/>
          <w:szCs w:val="20"/>
          <w:lang w:eastAsia="es-CO"/>
        </w:rPr>
      </w:pPr>
    </w:p>
    <w:p w14:paraId="6CFC6C55" w14:textId="237B66BD" w:rsidR="00B34683" w:rsidRDefault="00B34683" w:rsidP="00B34683">
      <w:pPr>
        <w:spacing w:after="0" w:line="240" w:lineRule="auto"/>
        <w:jc w:val="both"/>
        <w:rPr>
          <w:rFonts w:ascii="Verdana" w:eastAsia="Times New Roman" w:hAnsi="Verdana" w:cs="Arial"/>
          <w:b/>
          <w:bCs/>
          <w:lang w:eastAsia="es-ES_tradnl"/>
        </w:rPr>
      </w:pPr>
      <w:r w:rsidRPr="00B34683">
        <w:rPr>
          <w:rFonts w:ascii="Verdana" w:eastAsia="Times New Roman" w:hAnsi="Verdana" w:cs="Arial"/>
          <w:b/>
          <w:bCs/>
          <w:lang w:eastAsia="es-ES_tradnl"/>
        </w:rPr>
        <w:t xml:space="preserve">GARANTÍAS – Contrato de prestación de servicios  </w:t>
      </w:r>
    </w:p>
    <w:p w14:paraId="05E4096D" w14:textId="77777777" w:rsidR="008631CA" w:rsidRDefault="008631CA" w:rsidP="00B34683">
      <w:pPr>
        <w:spacing w:after="0" w:line="240" w:lineRule="auto"/>
        <w:jc w:val="both"/>
        <w:rPr>
          <w:rFonts w:ascii="Verdana" w:eastAsia="Times New Roman" w:hAnsi="Verdana" w:cs="Arial"/>
          <w:b/>
          <w:bCs/>
          <w:lang w:eastAsia="es-ES_tradnl"/>
        </w:rPr>
      </w:pPr>
    </w:p>
    <w:p w14:paraId="70F9484B" w14:textId="77777777" w:rsidR="008631CA" w:rsidRDefault="008631CA" w:rsidP="008631CA">
      <w:pPr>
        <w:spacing w:after="0" w:line="240" w:lineRule="auto"/>
        <w:jc w:val="both"/>
        <w:rPr>
          <w:rFonts w:ascii="Verdana" w:eastAsia="Times New Roman" w:hAnsi="Verdana" w:cs="Arial"/>
          <w:color w:val="000000" w:themeColor="text1"/>
          <w:sz w:val="20"/>
          <w:szCs w:val="20"/>
          <w:lang w:eastAsia="es-CO"/>
        </w:rPr>
      </w:pPr>
      <w:r w:rsidRPr="008631CA">
        <w:rPr>
          <w:rFonts w:ascii="Verdana" w:eastAsia="Times New Roman" w:hAnsi="Verdana" w:cs="Arial"/>
          <w:color w:val="000000" w:themeColor="text1"/>
          <w:sz w:val="20"/>
          <w:szCs w:val="20"/>
          <w:lang w:eastAsia="es-CO"/>
        </w:rPr>
        <w:t xml:space="preserve">Conforme al artículo 2.2.1.2.1.4.5 del Decreto 1082 de 2015, “En la contratación directa la exigencia de garantías establecidas en la Sección 3, que comprende los artículos 2.2.1.2.3.1.1 al 2.2.1.2.3.5.1. del presente decreto no es obligatoria y la justificación para exigirlas o no debe estar en los estudios y documentos previos”. </w:t>
      </w:r>
    </w:p>
    <w:p w14:paraId="000173F1" w14:textId="77777777" w:rsidR="008631CA" w:rsidRDefault="008631CA" w:rsidP="008631CA">
      <w:pPr>
        <w:spacing w:after="0" w:line="240" w:lineRule="auto"/>
        <w:jc w:val="both"/>
        <w:rPr>
          <w:rFonts w:ascii="Verdana" w:eastAsia="Times New Roman" w:hAnsi="Verdana" w:cs="Arial"/>
          <w:color w:val="000000" w:themeColor="text1"/>
          <w:sz w:val="20"/>
          <w:szCs w:val="20"/>
          <w:lang w:eastAsia="es-CO"/>
        </w:rPr>
      </w:pPr>
    </w:p>
    <w:p w14:paraId="7111010F" w14:textId="26575916" w:rsidR="008631CA" w:rsidRPr="008631CA" w:rsidRDefault="008631CA" w:rsidP="008631CA">
      <w:pPr>
        <w:spacing w:after="0" w:line="240" w:lineRule="auto"/>
        <w:jc w:val="both"/>
        <w:rPr>
          <w:rFonts w:ascii="Verdana" w:eastAsia="Times New Roman" w:hAnsi="Verdana" w:cs="Arial"/>
          <w:color w:val="000000" w:themeColor="text1"/>
          <w:sz w:val="20"/>
          <w:szCs w:val="20"/>
          <w:lang w:eastAsia="es-CO"/>
        </w:rPr>
      </w:pPr>
      <w:r w:rsidRPr="008631CA">
        <w:rPr>
          <w:rFonts w:ascii="Verdana" w:eastAsia="Calibri" w:hAnsi="Verdana" w:cs="Arial"/>
          <w:sz w:val="20"/>
          <w:szCs w:val="20"/>
          <w:lang w:val="es-ES"/>
        </w:rPr>
        <w:t xml:space="preserve">Así las cosas, la exigencia de garantías en los contratos de prestación de servicios dependerá del análisis que en cada caso realice la Entidad Estatal en los estudios previos, pues derivado del examen, el contratante podrá definir la necesidad a satisfacer y así </w:t>
      </w:r>
      <w:r w:rsidRPr="008631CA">
        <w:rPr>
          <w:rFonts w:ascii="Verdana" w:eastAsia="Calibri" w:hAnsi="Verdana" w:cs="Arial"/>
          <w:sz w:val="20"/>
          <w:szCs w:val="20"/>
          <w:lang w:val="es-ES"/>
        </w:rPr>
        <w:lastRenderedPageBreak/>
        <w:t>mismo determinar si resulta necesario exigir o no al contratista la constitución de una garantía de cumplimiento con el fin de amparar los riesgos que se puedan desarrollar en la ejecución del contrato de prestación de servicios a celebrar</w:t>
      </w:r>
      <w:r w:rsidRPr="00C1665C">
        <w:rPr>
          <w:rFonts w:ascii="Verdana" w:eastAsia="Calibri" w:hAnsi="Verdana" w:cs="Arial"/>
          <w:lang w:val="es-ES"/>
        </w:rPr>
        <w:t>.</w:t>
      </w:r>
    </w:p>
    <w:p w14:paraId="7759CCC9" w14:textId="77777777" w:rsidR="008631CA" w:rsidRPr="008631CA" w:rsidRDefault="008631CA" w:rsidP="00B34683">
      <w:pPr>
        <w:spacing w:after="0" w:line="240" w:lineRule="auto"/>
        <w:jc w:val="both"/>
        <w:rPr>
          <w:rFonts w:ascii="Verdana" w:eastAsia="Times New Roman" w:hAnsi="Verdana" w:cs="Arial"/>
          <w:color w:val="000000" w:themeColor="text1"/>
          <w:sz w:val="20"/>
          <w:szCs w:val="20"/>
          <w:lang w:eastAsia="es-CO"/>
        </w:rPr>
      </w:pPr>
    </w:p>
    <w:p w14:paraId="3027412F" w14:textId="77777777" w:rsidR="00B34683" w:rsidRDefault="00B34683" w:rsidP="00BB1C8C">
      <w:pPr>
        <w:spacing w:after="0" w:line="240" w:lineRule="auto"/>
        <w:jc w:val="both"/>
        <w:rPr>
          <w:rFonts w:ascii="Verdana" w:eastAsia="Calibri" w:hAnsi="Verdana" w:cs="Arial"/>
          <w:lang w:eastAsia="es-ES"/>
        </w:rPr>
      </w:pPr>
    </w:p>
    <w:p w14:paraId="1B4A312D" w14:textId="77777777" w:rsidR="008631CA" w:rsidRDefault="008631CA" w:rsidP="00BB1C8C">
      <w:pPr>
        <w:spacing w:after="0" w:line="240" w:lineRule="auto"/>
        <w:jc w:val="both"/>
        <w:rPr>
          <w:rFonts w:ascii="Verdana" w:eastAsia="Calibri" w:hAnsi="Verdana" w:cs="Arial"/>
          <w:lang w:eastAsia="es-ES"/>
        </w:rPr>
      </w:pPr>
    </w:p>
    <w:p w14:paraId="175BABB9" w14:textId="77777777" w:rsidR="008631CA" w:rsidRDefault="008631CA" w:rsidP="00BB1C8C">
      <w:pPr>
        <w:spacing w:after="0" w:line="240" w:lineRule="auto"/>
        <w:jc w:val="both"/>
        <w:rPr>
          <w:rFonts w:ascii="Verdana" w:eastAsia="Calibri" w:hAnsi="Verdana" w:cs="Arial"/>
          <w:lang w:eastAsia="es-ES"/>
        </w:rPr>
      </w:pPr>
    </w:p>
    <w:p w14:paraId="131EFE5A" w14:textId="77777777" w:rsidR="008631CA" w:rsidRDefault="008631CA" w:rsidP="00BB1C8C">
      <w:pPr>
        <w:spacing w:after="0" w:line="240" w:lineRule="auto"/>
        <w:jc w:val="both"/>
        <w:rPr>
          <w:rFonts w:ascii="Verdana" w:eastAsia="Calibri" w:hAnsi="Verdana" w:cs="Arial"/>
          <w:lang w:eastAsia="es-ES"/>
        </w:rPr>
      </w:pPr>
    </w:p>
    <w:p w14:paraId="3E2D80AC" w14:textId="77777777" w:rsidR="008631CA" w:rsidRDefault="008631CA" w:rsidP="00BB1C8C">
      <w:pPr>
        <w:spacing w:after="0" w:line="240" w:lineRule="auto"/>
        <w:jc w:val="both"/>
        <w:rPr>
          <w:rFonts w:ascii="Verdana" w:eastAsia="Calibri" w:hAnsi="Verdana" w:cs="Arial"/>
          <w:lang w:eastAsia="es-ES"/>
        </w:rPr>
      </w:pPr>
    </w:p>
    <w:p w14:paraId="1E2ED569" w14:textId="77777777" w:rsidR="008631CA" w:rsidRDefault="008631CA" w:rsidP="00BB1C8C">
      <w:pPr>
        <w:spacing w:after="0" w:line="240" w:lineRule="auto"/>
        <w:jc w:val="both"/>
        <w:rPr>
          <w:rFonts w:ascii="Verdana" w:eastAsia="Calibri" w:hAnsi="Verdana" w:cs="Arial"/>
          <w:lang w:eastAsia="es-ES"/>
        </w:rPr>
      </w:pPr>
    </w:p>
    <w:p w14:paraId="61E1886D" w14:textId="77777777" w:rsidR="008631CA" w:rsidRDefault="008631CA" w:rsidP="00BB1C8C">
      <w:pPr>
        <w:spacing w:after="0" w:line="240" w:lineRule="auto"/>
        <w:jc w:val="both"/>
        <w:rPr>
          <w:rFonts w:ascii="Verdana" w:eastAsia="Calibri" w:hAnsi="Verdana" w:cs="Arial"/>
          <w:lang w:eastAsia="es-ES"/>
        </w:rPr>
      </w:pPr>
    </w:p>
    <w:p w14:paraId="20A88D45" w14:textId="77777777" w:rsidR="008631CA" w:rsidRDefault="008631CA" w:rsidP="00BB1C8C">
      <w:pPr>
        <w:spacing w:after="0" w:line="240" w:lineRule="auto"/>
        <w:jc w:val="both"/>
        <w:rPr>
          <w:rFonts w:ascii="Verdana" w:eastAsia="Calibri" w:hAnsi="Verdana" w:cs="Arial"/>
          <w:lang w:eastAsia="es-ES"/>
        </w:rPr>
      </w:pPr>
    </w:p>
    <w:p w14:paraId="295FCFA6" w14:textId="77777777" w:rsidR="008631CA" w:rsidRDefault="008631CA" w:rsidP="00BB1C8C">
      <w:pPr>
        <w:spacing w:after="0" w:line="240" w:lineRule="auto"/>
        <w:jc w:val="both"/>
        <w:rPr>
          <w:rFonts w:ascii="Verdana" w:eastAsia="Calibri" w:hAnsi="Verdana" w:cs="Arial"/>
          <w:lang w:eastAsia="es-ES"/>
        </w:rPr>
      </w:pPr>
    </w:p>
    <w:p w14:paraId="35B82C6E" w14:textId="77777777" w:rsidR="008631CA" w:rsidRDefault="008631CA" w:rsidP="00BB1C8C">
      <w:pPr>
        <w:spacing w:after="0" w:line="240" w:lineRule="auto"/>
        <w:jc w:val="both"/>
        <w:rPr>
          <w:rFonts w:ascii="Verdana" w:eastAsia="Calibri" w:hAnsi="Verdana" w:cs="Arial"/>
          <w:lang w:eastAsia="es-ES"/>
        </w:rPr>
      </w:pPr>
    </w:p>
    <w:p w14:paraId="4A233029" w14:textId="77777777" w:rsidR="008631CA" w:rsidRDefault="008631CA" w:rsidP="00BB1C8C">
      <w:pPr>
        <w:spacing w:after="0" w:line="240" w:lineRule="auto"/>
        <w:jc w:val="both"/>
        <w:rPr>
          <w:rFonts w:ascii="Verdana" w:eastAsia="Calibri" w:hAnsi="Verdana" w:cs="Arial"/>
          <w:lang w:eastAsia="es-ES"/>
        </w:rPr>
      </w:pPr>
    </w:p>
    <w:p w14:paraId="43E7E78E" w14:textId="77777777" w:rsidR="008631CA" w:rsidRDefault="008631CA" w:rsidP="00BB1C8C">
      <w:pPr>
        <w:spacing w:after="0" w:line="240" w:lineRule="auto"/>
        <w:jc w:val="both"/>
        <w:rPr>
          <w:rFonts w:ascii="Verdana" w:eastAsia="Calibri" w:hAnsi="Verdana" w:cs="Arial"/>
          <w:lang w:eastAsia="es-ES"/>
        </w:rPr>
      </w:pPr>
    </w:p>
    <w:p w14:paraId="652B58BC" w14:textId="77777777" w:rsidR="008631CA" w:rsidRDefault="008631CA" w:rsidP="00BB1C8C">
      <w:pPr>
        <w:spacing w:after="0" w:line="240" w:lineRule="auto"/>
        <w:jc w:val="both"/>
        <w:rPr>
          <w:rFonts w:ascii="Verdana" w:eastAsia="Calibri" w:hAnsi="Verdana" w:cs="Arial"/>
          <w:lang w:eastAsia="es-ES"/>
        </w:rPr>
      </w:pPr>
    </w:p>
    <w:p w14:paraId="2B94A012" w14:textId="77777777" w:rsidR="008631CA" w:rsidRDefault="008631CA" w:rsidP="00BB1C8C">
      <w:pPr>
        <w:spacing w:after="0" w:line="240" w:lineRule="auto"/>
        <w:jc w:val="both"/>
        <w:rPr>
          <w:rFonts w:ascii="Verdana" w:eastAsia="Calibri" w:hAnsi="Verdana" w:cs="Arial"/>
          <w:lang w:eastAsia="es-ES"/>
        </w:rPr>
      </w:pPr>
    </w:p>
    <w:p w14:paraId="0F9D1F73" w14:textId="77777777" w:rsidR="008631CA" w:rsidRDefault="008631CA" w:rsidP="00BB1C8C">
      <w:pPr>
        <w:spacing w:after="0" w:line="240" w:lineRule="auto"/>
        <w:jc w:val="both"/>
        <w:rPr>
          <w:rFonts w:ascii="Verdana" w:eastAsia="Calibri" w:hAnsi="Verdana" w:cs="Arial"/>
          <w:lang w:eastAsia="es-ES"/>
        </w:rPr>
      </w:pPr>
    </w:p>
    <w:p w14:paraId="4A23B41D" w14:textId="77777777" w:rsidR="008631CA" w:rsidRDefault="008631CA" w:rsidP="00BB1C8C">
      <w:pPr>
        <w:spacing w:after="0" w:line="240" w:lineRule="auto"/>
        <w:jc w:val="both"/>
        <w:rPr>
          <w:rFonts w:ascii="Verdana" w:eastAsia="Calibri" w:hAnsi="Verdana" w:cs="Arial"/>
          <w:lang w:eastAsia="es-ES"/>
        </w:rPr>
      </w:pPr>
    </w:p>
    <w:p w14:paraId="59EC86FB" w14:textId="77777777" w:rsidR="008631CA" w:rsidRDefault="008631CA" w:rsidP="00BB1C8C">
      <w:pPr>
        <w:spacing w:after="0" w:line="240" w:lineRule="auto"/>
        <w:jc w:val="both"/>
        <w:rPr>
          <w:rFonts w:ascii="Verdana" w:eastAsia="Calibri" w:hAnsi="Verdana" w:cs="Arial"/>
          <w:lang w:eastAsia="es-ES"/>
        </w:rPr>
      </w:pPr>
    </w:p>
    <w:p w14:paraId="2D76AB71" w14:textId="77777777" w:rsidR="008631CA" w:rsidRDefault="008631CA" w:rsidP="00BB1C8C">
      <w:pPr>
        <w:spacing w:after="0" w:line="240" w:lineRule="auto"/>
        <w:jc w:val="both"/>
        <w:rPr>
          <w:rFonts w:ascii="Verdana" w:eastAsia="Calibri" w:hAnsi="Verdana" w:cs="Arial"/>
          <w:lang w:eastAsia="es-ES"/>
        </w:rPr>
      </w:pPr>
    </w:p>
    <w:p w14:paraId="3F2560AA" w14:textId="77777777" w:rsidR="008631CA" w:rsidRDefault="008631CA" w:rsidP="00BB1C8C">
      <w:pPr>
        <w:spacing w:after="0" w:line="240" w:lineRule="auto"/>
        <w:jc w:val="both"/>
        <w:rPr>
          <w:rFonts w:ascii="Verdana" w:eastAsia="Calibri" w:hAnsi="Verdana" w:cs="Arial"/>
          <w:lang w:eastAsia="es-ES"/>
        </w:rPr>
      </w:pPr>
    </w:p>
    <w:p w14:paraId="718C696E" w14:textId="77777777" w:rsidR="008631CA" w:rsidRDefault="008631CA" w:rsidP="00BB1C8C">
      <w:pPr>
        <w:spacing w:after="0" w:line="240" w:lineRule="auto"/>
        <w:jc w:val="both"/>
        <w:rPr>
          <w:rFonts w:ascii="Verdana" w:eastAsia="Calibri" w:hAnsi="Verdana" w:cs="Arial"/>
          <w:lang w:eastAsia="es-ES"/>
        </w:rPr>
      </w:pPr>
    </w:p>
    <w:p w14:paraId="78658E82" w14:textId="77777777" w:rsidR="008631CA" w:rsidRDefault="008631CA" w:rsidP="00BB1C8C">
      <w:pPr>
        <w:spacing w:after="0" w:line="240" w:lineRule="auto"/>
        <w:jc w:val="both"/>
        <w:rPr>
          <w:rFonts w:ascii="Verdana" w:eastAsia="Calibri" w:hAnsi="Verdana" w:cs="Arial"/>
          <w:lang w:eastAsia="es-ES"/>
        </w:rPr>
      </w:pPr>
    </w:p>
    <w:p w14:paraId="3A7F68FD" w14:textId="77777777" w:rsidR="008631CA" w:rsidRDefault="008631CA" w:rsidP="00BB1C8C">
      <w:pPr>
        <w:spacing w:after="0" w:line="240" w:lineRule="auto"/>
        <w:jc w:val="both"/>
        <w:rPr>
          <w:rFonts w:ascii="Verdana" w:eastAsia="Calibri" w:hAnsi="Verdana" w:cs="Arial"/>
          <w:lang w:eastAsia="es-ES"/>
        </w:rPr>
      </w:pPr>
    </w:p>
    <w:p w14:paraId="1ADE9C1D" w14:textId="77777777" w:rsidR="008631CA" w:rsidRDefault="008631CA" w:rsidP="00BB1C8C">
      <w:pPr>
        <w:spacing w:after="0" w:line="240" w:lineRule="auto"/>
        <w:jc w:val="both"/>
        <w:rPr>
          <w:rFonts w:ascii="Verdana" w:eastAsia="Calibri" w:hAnsi="Verdana" w:cs="Arial"/>
          <w:lang w:eastAsia="es-ES"/>
        </w:rPr>
      </w:pPr>
    </w:p>
    <w:p w14:paraId="52172D6D" w14:textId="77777777" w:rsidR="008631CA" w:rsidRDefault="008631CA" w:rsidP="00BB1C8C">
      <w:pPr>
        <w:spacing w:after="0" w:line="240" w:lineRule="auto"/>
        <w:jc w:val="both"/>
        <w:rPr>
          <w:rFonts w:ascii="Verdana" w:eastAsia="Calibri" w:hAnsi="Verdana" w:cs="Arial"/>
          <w:lang w:eastAsia="es-ES"/>
        </w:rPr>
      </w:pPr>
    </w:p>
    <w:p w14:paraId="70F9D5DE" w14:textId="77777777" w:rsidR="008631CA" w:rsidRDefault="008631CA" w:rsidP="00BB1C8C">
      <w:pPr>
        <w:spacing w:after="0" w:line="240" w:lineRule="auto"/>
        <w:jc w:val="both"/>
        <w:rPr>
          <w:rFonts w:ascii="Verdana" w:eastAsia="Calibri" w:hAnsi="Verdana" w:cs="Arial"/>
          <w:lang w:eastAsia="es-ES"/>
        </w:rPr>
      </w:pPr>
    </w:p>
    <w:p w14:paraId="6AB12B9D" w14:textId="77777777" w:rsidR="008631CA" w:rsidRDefault="008631CA" w:rsidP="00BB1C8C">
      <w:pPr>
        <w:spacing w:after="0" w:line="240" w:lineRule="auto"/>
        <w:jc w:val="both"/>
        <w:rPr>
          <w:rFonts w:ascii="Verdana" w:eastAsia="Calibri" w:hAnsi="Verdana" w:cs="Arial"/>
          <w:lang w:eastAsia="es-ES"/>
        </w:rPr>
      </w:pPr>
    </w:p>
    <w:p w14:paraId="05DAD667" w14:textId="77777777" w:rsidR="008631CA" w:rsidRDefault="008631CA" w:rsidP="00BB1C8C">
      <w:pPr>
        <w:spacing w:after="0" w:line="240" w:lineRule="auto"/>
        <w:jc w:val="both"/>
        <w:rPr>
          <w:rFonts w:ascii="Verdana" w:eastAsia="Calibri" w:hAnsi="Verdana" w:cs="Arial"/>
          <w:lang w:eastAsia="es-ES"/>
        </w:rPr>
      </w:pPr>
    </w:p>
    <w:p w14:paraId="74352382" w14:textId="77777777" w:rsidR="008631CA" w:rsidRDefault="008631CA" w:rsidP="00BB1C8C">
      <w:pPr>
        <w:spacing w:after="0" w:line="240" w:lineRule="auto"/>
        <w:jc w:val="both"/>
        <w:rPr>
          <w:rFonts w:ascii="Verdana" w:eastAsia="Calibri" w:hAnsi="Verdana" w:cs="Arial"/>
          <w:lang w:eastAsia="es-ES"/>
        </w:rPr>
      </w:pPr>
    </w:p>
    <w:p w14:paraId="5B00F70F" w14:textId="77777777" w:rsidR="008631CA" w:rsidRDefault="008631CA" w:rsidP="00BB1C8C">
      <w:pPr>
        <w:spacing w:after="0" w:line="240" w:lineRule="auto"/>
        <w:jc w:val="both"/>
        <w:rPr>
          <w:rFonts w:ascii="Verdana" w:eastAsia="Calibri" w:hAnsi="Verdana" w:cs="Arial"/>
          <w:lang w:eastAsia="es-ES"/>
        </w:rPr>
      </w:pPr>
    </w:p>
    <w:p w14:paraId="20EE067B" w14:textId="77777777" w:rsidR="008631CA" w:rsidRDefault="008631CA" w:rsidP="00BB1C8C">
      <w:pPr>
        <w:spacing w:after="0" w:line="240" w:lineRule="auto"/>
        <w:jc w:val="both"/>
        <w:rPr>
          <w:rFonts w:ascii="Verdana" w:eastAsia="Calibri" w:hAnsi="Verdana" w:cs="Arial"/>
          <w:lang w:eastAsia="es-ES"/>
        </w:rPr>
      </w:pPr>
    </w:p>
    <w:p w14:paraId="2365EA94" w14:textId="77777777" w:rsidR="008631CA" w:rsidRDefault="008631CA" w:rsidP="00BB1C8C">
      <w:pPr>
        <w:spacing w:after="0" w:line="240" w:lineRule="auto"/>
        <w:jc w:val="both"/>
        <w:rPr>
          <w:rFonts w:ascii="Verdana" w:eastAsia="Calibri" w:hAnsi="Verdana" w:cs="Arial"/>
          <w:lang w:eastAsia="es-ES"/>
        </w:rPr>
      </w:pPr>
    </w:p>
    <w:p w14:paraId="44C31E1D" w14:textId="77777777" w:rsidR="008631CA" w:rsidRDefault="008631CA" w:rsidP="00BB1C8C">
      <w:pPr>
        <w:spacing w:after="0" w:line="240" w:lineRule="auto"/>
        <w:jc w:val="both"/>
        <w:rPr>
          <w:rFonts w:ascii="Verdana" w:eastAsia="Calibri" w:hAnsi="Verdana" w:cs="Arial"/>
          <w:lang w:eastAsia="es-ES"/>
        </w:rPr>
      </w:pPr>
    </w:p>
    <w:p w14:paraId="6CDF2CDC" w14:textId="77777777" w:rsidR="008631CA" w:rsidRDefault="008631CA" w:rsidP="00BB1C8C">
      <w:pPr>
        <w:spacing w:after="0" w:line="240" w:lineRule="auto"/>
        <w:jc w:val="both"/>
        <w:rPr>
          <w:rFonts w:ascii="Verdana" w:eastAsia="Calibri" w:hAnsi="Verdana" w:cs="Arial"/>
          <w:lang w:eastAsia="es-ES"/>
        </w:rPr>
      </w:pPr>
    </w:p>
    <w:p w14:paraId="5E64774D" w14:textId="77777777" w:rsidR="008631CA" w:rsidRDefault="008631CA" w:rsidP="00BB1C8C">
      <w:pPr>
        <w:spacing w:after="0" w:line="240" w:lineRule="auto"/>
        <w:jc w:val="both"/>
        <w:rPr>
          <w:rFonts w:ascii="Verdana" w:eastAsia="Calibri" w:hAnsi="Verdana" w:cs="Arial"/>
          <w:lang w:eastAsia="es-ES"/>
        </w:rPr>
      </w:pPr>
    </w:p>
    <w:p w14:paraId="265EE1BE" w14:textId="77777777" w:rsidR="008631CA" w:rsidRDefault="008631CA" w:rsidP="00BB1C8C">
      <w:pPr>
        <w:spacing w:after="0" w:line="240" w:lineRule="auto"/>
        <w:jc w:val="both"/>
        <w:rPr>
          <w:rFonts w:ascii="Verdana" w:eastAsia="Calibri" w:hAnsi="Verdana" w:cs="Arial"/>
          <w:lang w:eastAsia="es-ES"/>
        </w:rPr>
      </w:pPr>
    </w:p>
    <w:p w14:paraId="222CFA2E" w14:textId="77777777" w:rsidR="008631CA" w:rsidRDefault="008631CA" w:rsidP="00BB1C8C">
      <w:pPr>
        <w:spacing w:after="0" w:line="240" w:lineRule="auto"/>
        <w:jc w:val="both"/>
        <w:rPr>
          <w:rFonts w:ascii="Verdana" w:eastAsia="Calibri" w:hAnsi="Verdana" w:cs="Arial"/>
          <w:lang w:eastAsia="es-ES"/>
        </w:rPr>
      </w:pPr>
    </w:p>
    <w:p w14:paraId="6E926C55" w14:textId="77777777" w:rsidR="008631CA" w:rsidRDefault="008631CA" w:rsidP="00BB1C8C">
      <w:pPr>
        <w:spacing w:after="0" w:line="240" w:lineRule="auto"/>
        <w:jc w:val="both"/>
        <w:rPr>
          <w:rFonts w:ascii="Verdana" w:eastAsia="Calibri" w:hAnsi="Verdana" w:cs="Arial"/>
          <w:lang w:eastAsia="es-ES"/>
        </w:rPr>
      </w:pPr>
    </w:p>
    <w:p w14:paraId="4330578D" w14:textId="77777777" w:rsidR="008631CA" w:rsidRDefault="008631CA" w:rsidP="00BB1C8C">
      <w:pPr>
        <w:spacing w:after="0" w:line="240" w:lineRule="auto"/>
        <w:jc w:val="both"/>
        <w:rPr>
          <w:rFonts w:ascii="Verdana" w:eastAsia="Calibri" w:hAnsi="Verdana" w:cs="Arial"/>
          <w:lang w:eastAsia="es-ES"/>
        </w:rPr>
      </w:pPr>
    </w:p>
    <w:p w14:paraId="5F272588" w14:textId="1E88DE96" w:rsidR="00BB1C8C" w:rsidRPr="007E27D9" w:rsidRDefault="00BB1C8C" w:rsidP="00BB1C8C">
      <w:pPr>
        <w:spacing w:after="0" w:line="240" w:lineRule="auto"/>
        <w:jc w:val="both"/>
        <w:rPr>
          <w:rFonts w:ascii="Verdana" w:eastAsia="Calibri" w:hAnsi="Verdana" w:cs="Arial"/>
          <w:lang w:eastAsia="es-ES"/>
        </w:rPr>
      </w:pPr>
      <w:r w:rsidRPr="007E27D9">
        <w:rPr>
          <w:rFonts w:ascii="Verdana" w:eastAsia="Calibri" w:hAnsi="Verdana" w:cs="Arial"/>
          <w:lang w:eastAsia="es-ES"/>
        </w:rPr>
        <w:lastRenderedPageBreak/>
        <w:t xml:space="preserve">Bogotá D.C. </w:t>
      </w:r>
      <w:r w:rsidR="00C00F46">
        <w:rPr>
          <w:rFonts w:ascii="Verdana" w:eastAsia="Calibri" w:hAnsi="Verdana" w:cs="Arial"/>
          <w:lang w:eastAsia="es-ES"/>
        </w:rPr>
        <w:t>1</w:t>
      </w:r>
      <w:r w:rsidR="00823B10">
        <w:rPr>
          <w:rFonts w:ascii="Verdana" w:eastAsia="Calibri" w:hAnsi="Verdana" w:cs="Arial"/>
          <w:lang w:eastAsia="es-ES"/>
        </w:rPr>
        <w:t>2</w:t>
      </w:r>
      <w:r w:rsidR="00C00F46">
        <w:rPr>
          <w:rFonts w:ascii="Verdana" w:eastAsia="Calibri" w:hAnsi="Verdana" w:cs="Arial"/>
          <w:lang w:eastAsia="es-ES"/>
        </w:rPr>
        <w:t xml:space="preserve"> de marzo de 2026</w:t>
      </w:r>
    </w:p>
    <w:p w14:paraId="7BD7BC20" w14:textId="3592F5BE" w:rsidR="00BB1C8C" w:rsidRDefault="00021497" w:rsidP="00021497">
      <w:pPr>
        <w:spacing w:after="0" w:line="240" w:lineRule="auto"/>
        <w:jc w:val="right"/>
        <w:rPr>
          <w:rFonts w:ascii="Verdana" w:eastAsia="Calibri" w:hAnsi="Verdana" w:cs="Arial"/>
          <w:lang w:eastAsia="es-ES"/>
        </w:rPr>
      </w:pPr>
      <w:r w:rsidRPr="00021497">
        <w:rPr>
          <w:rFonts w:ascii="Verdana" w:eastAsia="Calibri" w:hAnsi="Verdana" w:cs="Arial"/>
          <w:noProof/>
          <w:lang w:eastAsia="es-ES"/>
        </w:rPr>
        <w:drawing>
          <wp:inline distT="0" distB="0" distL="0" distR="0" wp14:anchorId="61EA4C38" wp14:editId="34F92E7D">
            <wp:extent cx="3127382" cy="755015"/>
            <wp:effectExtent l="0" t="0" r="0" b="6985"/>
            <wp:docPr id="119841988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8419885" name=""/>
                    <pic:cNvPicPr/>
                  </pic:nvPicPr>
                  <pic:blipFill>
                    <a:blip r:embed="rId10"/>
                    <a:stretch>
                      <a:fillRect/>
                    </a:stretch>
                  </pic:blipFill>
                  <pic:spPr>
                    <a:xfrm>
                      <a:off x="0" y="0"/>
                      <a:ext cx="3260086" cy="787053"/>
                    </a:xfrm>
                    <a:prstGeom prst="rect">
                      <a:avLst/>
                    </a:prstGeom>
                  </pic:spPr>
                </pic:pic>
              </a:graphicData>
            </a:graphic>
          </wp:inline>
        </w:drawing>
      </w:r>
    </w:p>
    <w:p w14:paraId="1E592325" w14:textId="77777777" w:rsidR="00BB1C8C" w:rsidRDefault="00BB1C8C" w:rsidP="00BB1C8C">
      <w:pPr>
        <w:spacing w:after="0" w:line="240" w:lineRule="auto"/>
        <w:jc w:val="both"/>
        <w:rPr>
          <w:rFonts w:ascii="Verdana" w:eastAsia="Calibri" w:hAnsi="Verdana" w:cs="Arial"/>
          <w:b/>
          <w:bCs/>
          <w:lang w:eastAsia="es-ES"/>
        </w:rPr>
      </w:pPr>
      <w:r>
        <w:rPr>
          <w:rFonts w:ascii="Verdana" w:eastAsia="Calibri" w:hAnsi="Verdana" w:cs="Arial"/>
          <w:b/>
          <w:bCs/>
          <w:lang w:eastAsia="es-ES"/>
        </w:rPr>
        <w:t>Señora</w:t>
      </w:r>
    </w:p>
    <w:p w14:paraId="5CA5FE4F" w14:textId="77777777" w:rsidR="00BB1C8C" w:rsidRPr="00C30D6B" w:rsidRDefault="00BB1C8C" w:rsidP="00BB1C8C">
      <w:pPr>
        <w:spacing w:after="0" w:line="240" w:lineRule="auto"/>
        <w:jc w:val="both"/>
        <w:rPr>
          <w:rFonts w:ascii="Verdana" w:eastAsia="Calibri" w:hAnsi="Verdana" w:cs="Arial"/>
          <w:b/>
          <w:bCs/>
          <w:lang w:eastAsia="es-ES"/>
        </w:rPr>
      </w:pPr>
      <w:proofErr w:type="spellStart"/>
      <w:r w:rsidRPr="00C30D6B">
        <w:rPr>
          <w:rFonts w:ascii="Verdana" w:eastAsia="Calibri" w:hAnsi="Verdana" w:cs="Arial"/>
          <w:b/>
          <w:bCs/>
          <w:lang w:eastAsia="es-ES"/>
        </w:rPr>
        <w:t>Malfy</w:t>
      </w:r>
      <w:proofErr w:type="spellEnd"/>
      <w:r w:rsidRPr="00C30D6B">
        <w:rPr>
          <w:rFonts w:ascii="Verdana" w:eastAsia="Calibri" w:hAnsi="Verdana" w:cs="Arial"/>
          <w:b/>
          <w:bCs/>
          <w:lang w:eastAsia="es-ES"/>
        </w:rPr>
        <w:t xml:space="preserve"> </w:t>
      </w:r>
      <w:proofErr w:type="spellStart"/>
      <w:r w:rsidRPr="00C30D6B">
        <w:rPr>
          <w:rFonts w:ascii="Verdana" w:eastAsia="Calibri" w:hAnsi="Verdana" w:cs="Arial"/>
          <w:b/>
          <w:bCs/>
          <w:lang w:eastAsia="es-ES"/>
        </w:rPr>
        <w:t>Suns</w:t>
      </w:r>
      <w:proofErr w:type="spellEnd"/>
      <w:r w:rsidRPr="00C30D6B">
        <w:rPr>
          <w:rFonts w:ascii="Verdana" w:eastAsia="Calibri" w:hAnsi="Verdana" w:cs="Arial"/>
          <w:b/>
          <w:bCs/>
          <w:lang w:eastAsia="es-ES"/>
        </w:rPr>
        <w:t xml:space="preserve"> </w:t>
      </w:r>
    </w:p>
    <w:p w14:paraId="6719FB8E" w14:textId="77777777" w:rsidR="00BB1C8C" w:rsidRPr="00C30D6B" w:rsidRDefault="00A36AE8" w:rsidP="00BB1C8C">
      <w:pPr>
        <w:spacing w:after="0" w:line="240" w:lineRule="auto"/>
        <w:jc w:val="both"/>
        <w:rPr>
          <w:rFonts w:ascii="Verdana" w:eastAsia="Calibri" w:hAnsi="Verdana" w:cs="Arial"/>
          <w:b/>
          <w:bCs/>
          <w:lang w:eastAsia="es-ES"/>
        </w:rPr>
      </w:pPr>
      <w:hyperlink r:id="rId11" w:history="1">
        <w:r w:rsidR="00BB1C8C" w:rsidRPr="00C30D6B">
          <w:rPr>
            <w:rStyle w:val="Hipervnculo"/>
            <w:rFonts w:ascii="Verdana" w:eastAsia="Calibri" w:hAnsi="Verdana" w:cs="Arial"/>
            <w:b/>
            <w:bCs/>
            <w:lang w:eastAsia="es-ES"/>
          </w:rPr>
          <w:t>lilisuns14@yahoo.es</w:t>
        </w:r>
      </w:hyperlink>
      <w:r w:rsidR="00BB1C8C" w:rsidRPr="00C30D6B">
        <w:rPr>
          <w:rFonts w:ascii="Verdana" w:eastAsia="Calibri" w:hAnsi="Verdana" w:cs="Arial"/>
          <w:b/>
          <w:bCs/>
          <w:lang w:eastAsia="es-ES"/>
        </w:rPr>
        <w:t xml:space="preserve"> </w:t>
      </w:r>
    </w:p>
    <w:p w14:paraId="6AD47523" w14:textId="77777777" w:rsidR="00BB1C8C" w:rsidRPr="006B2A88" w:rsidRDefault="00BB1C8C" w:rsidP="00BB1C8C">
      <w:pPr>
        <w:spacing w:after="0" w:line="240" w:lineRule="auto"/>
        <w:jc w:val="both"/>
        <w:rPr>
          <w:rFonts w:ascii="Verdana" w:hAnsi="Verdana"/>
          <w:b/>
          <w:bCs/>
        </w:rPr>
      </w:pPr>
      <w:r>
        <w:rPr>
          <w:rFonts w:ascii="Verdana" w:hAnsi="Verdana"/>
        </w:rPr>
        <w:t xml:space="preserve">Ciudad </w:t>
      </w:r>
    </w:p>
    <w:p w14:paraId="739EB7E6" w14:textId="77777777" w:rsidR="00BB1C8C" w:rsidRPr="00863416" w:rsidRDefault="00BB1C8C" w:rsidP="00BB1C8C">
      <w:pPr>
        <w:spacing w:after="0" w:line="240" w:lineRule="auto"/>
        <w:jc w:val="both"/>
        <w:rPr>
          <w:rFonts w:ascii="Verdana" w:hAnsi="Verdana"/>
        </w:rPr>
      </w:pPr>
    </w:p>
    <w:p w14:paraId="2B01D9E2" w14:textId="77777777" w:rsidR="00BB1C8C" w:rsidRPr="00863416" w:rsidRDefault="00BB1C8C" w:rsidP="00BB1C8C">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BB1C8C" w:rsidRPr="005644FE" w14:paraId="598C9A64" w14:textId="77777777" w:rsidTr="00DA4BA9">
        <w:trPr>
          <w:trHeight w:val="162"/>
        </w:trPr>
        <w:tc>
          <w:tcPr>
            <w:tcW w:w="3119" w:type="dxa"/>
          </w:tcPr>
          <w:p w14:paraId="0110792A" w14:textId="77777777" w:rsidR="00BB1C8C" w:rsidRPr="00863416" w:rsidRDefault="00BB1C8C" w:rsidP="00DA4BA9">
            <w:pPr>
              <w:jc w:val="both"/>
              <w:rPr>
                <w:rFonts w:ascii="Verdana" w:eastAsia="Calibri" w:hAnsi="Verdana" w:cs="Arial"/>
                <w:b/>
                <w:bCs/>
                <w:color w:val="7030A0"/>
                <w:lang w:eastAsia="es-ES_tradnl"/>
              </w:rPr>
            </w:pPr>
          </w:p>
        </w:tc>
        <w:tc>
          <w:tcPr>
            <w:tcW w:w="5670" w:type="dxa"/>
          </w:tcPr>
          <w:p w14:paraId="7004ED5D" w14:textId="77777777" w:rsidR="00BB1C8C" w:rsidRPr="005644FE" w:rsidRDefault="00BB1C8C" w:rsidP="00DA4BA9">
            <w:pPr>
              <w:jc w:val="both"/>
              <w:rPr>
                <w:rFonts w:ascii="Verdana" w:eastAsia="Calibri" w:hAnsi="Verdana" w:cs="Arial"/>
                <w:b/>
                <w:bCs/>
                <w:lang w:eastAsia="es-ES"/>
              </w:rPr>
            </w:pPr>
            <w:r w:rsidRPr="005644FE">
              <w:rPr>
                <w:rFonts w:ascii="Verdana" w:eastAsia="Calibri" w:hAnsi="Verdana" w:cs="Arial"/>
                <w:b/>
                <w:bCs/>
                <w:lang w:eastAsia="es-ES"/>
              </w:rPr>
              <w:t>Concepto C</w:t>
            </w:r>
            <w:r w:rsidRPr="00205473">
              <w:rPr>
                <w:rFonts w:ascii="Verdana" w:eastAsia="Calibri" w:hAnsi="Verdana" w:cs="Arial"/>
                <w:b/>
                <w:bCs/>
                <w:lang w:eastAsia="es-ES"/>
              </w:rPr>
              <w:t>-</w:t>
            </w:r>
            <w:r>
              <w:rPr>
                <w:rFonts w:ascii="Verdana" w:eastAsia="Calibri" w:hAnsi="Verdana" w:cs="Arial"/>
                <w:b/>
                <w:bCs/>
                <w:lang w:eastAsia="es-ES"/>
              </w:rPr>
              <w:t>151 de 2026</w:t>
            </w:r>
          </w:p>
          <w:p w14:paraId="0812EFF7" w14:textId="77777777" w:rsidR="00BB1C8C" w:rsidRPr="005644FE" w:rsidRDefault="00BB1C8C" w:rsidP="00DA4BA9">
            <w:pPr>
              <w:jc w:val="both"/>
              <w:rPr>
                <w:rFonts w:ascii="Verdana" w:eastAsia="Calibri" w:hAnsi="Verdana" w:cs="Arial"/>
                <w:b/>
                <w:bCs/>
                <w:color w:val="7030A0"/>
                <w:lang w:eastAsia="es-ES"/>
              </w:rPr>
            </w:pPr>
          </w:p>
        </w:tc>
      </w:tr>
      <w:tr w:rsidR="00BB1C8C" w:rsidRPr="005644FE" w14:paraId="0FF80270" w14:textId="77777777" w:rsidTr="00DA4BA9">
        <w:trPr>
          <w:trHeight w:val="884"/>
        </w:trPr>
        <w:tc>
          <w:tcPr>
            <w:tcW w:w="3119" w:type="dxa"/>
          </w:tcPr>
          <w:p w14:paraId="020BC8FF" w14:textId="77777777" w:rsidR="00BB1C8C" w:rsidRPr="005644FE" w:rsidRDefault="00BB1C8C" w:rsidP="00DA4BA9">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670" w:type="dxa"/>
          </w:tcPr>
          <w:p w14:paraId="230A3B02" w14:textId="77777777" w:rsidR="00BB1C8C" w:rsidRDefault="00BB1C8C" w:rsidP="00DA4BA9">
            <w:pPr>
              <w:spacing w:line="276" w:lineRule="auto"/>
              <w:jc w:val="both"/>
              <w:rPr>
                <w:rFonts w:ascii="Verdana" w:eastAsia="Times New Roman" w:hAnsi="Verdana" w:cs="Arial"/>
                <w:lang w:eastAsia="es-ES_tradnl"/>
              </w:rPr>
            </w:pPr>
            <w:r>
              <w:rPr>
                <w:rFonts w:ascii="Verdana" w:hAnsi="Verdana" w:cs="Arial"/>
                <w:color w:val="000000" w:themeColor="text1"/>
              </w:rPr>
              <w:t xml:space="preserve">CONTRATO DE PRESTACIÓN DE SERVICIOS </w:t>
            </w:r>
            <w:r>
              <w:rPr>
                <w:rFonts w:ascii="Verdana" w:eastAsia="Times New Roman" w:hAnsi="Verdana" w:cs="Arial"/>
                <w:lang w:eastAsia="es-ES_tradnl"/>
              </w:rPr>
              <w:t xml:space="preserve">– Naturaleza / PLANEACIÓN CONTRACTUAL – Alcance / ESTUDIOS PREVIOS – Alcance / ESTUDIOS DEL SECTOR – Identificación aspectos de mercado / ESTUDIOS DEL SECTOR – Contratación directa / GARANTÍA ÚNICA DE CUMPLIMIENTO – Finalidad / GARANTÍAS – Modalidades / GARANTÍA – Indivisibilidad – Amparos / GARANTÍAS – Contrato de prestación de servicios  </w:t>
            </w:r>
          </w:p>
          <w:p w14:paraId="192A89DF" w14:textId="15A62C9D" w:rsidR="007D4FFE" w:rsidRPr="00E65C5F" w:rsidRDefault="007D4FFE" w:rsidP="00DA4BA9">
            <w:pPr>
              <w:spacing w:line="276" w:lineRule="auto"/>
              <w:jc w:val="both"/>
              <w:rPr>
                <w:rFonts w:ascii="Verdana" w:hAnsi="Verdana" w:cs="Arial"/>
                <w:color w:val="000000" w:themeColor="text1"/>
              </w:rPr>
            </w:pPr>
          </w:p>
        </w:tc>
      </w:tr>
      <w:tr w:rsidR="00BB1C8C" w:rsidRPr="005644FE" w14:paraId="3C53B538" w14:textId="77777777" w:rsidTr="00DA4BA9">
        <w:tc>
          <w:tcPr>
            <w:tcW w:w="3119" w:type="dxa"/>
          </w:tcPr>
          <w:p w14:paraId="388245AD" w14:textId="77777777" w:rsidR="00BB1C8C" w:rsidRPr="005644FE" w:rsidRDefault="00BB1C8C" w:rsidP="00DA4BA9">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670" w:type="dxa"/>
          </w:tcPr>
          <w:p w14:paraId="78B7C028" w14:textId="77777777" w:rsidR="00BB1C8C" w:rsidRPr="00F04657" w:rsidRDefault="00BB1C8C" w:rsidP="00DA4BA9">
            <w:pPr>
              <w:jc w:val="both"/>
              <w:rPr>
                <w:rFonts w:ascii="Verdana" w:eastAsia="Calibri" w:hAnsi="Verdana" w:cs="Arial"/>
                <w:lang w:eastAsia="es-ES_tradnl"/>
              </w:rPr>
            </w:pPr>
            <w:r w:rsidRPr="005644FE">
              <w:rPr>
                <w:rFonts w:ascii="Verdana" w:eastAsia="Calibri" w:hAnsi="Verdana" w:cs="Arial"/>
                <w:lang w:eastAsia="es-ES_tradnl"/>
              </w:rPr>
              <w:t>Respuesta a consulta con radicado</w:t>
            </w:r>
            <w:r>
              <w:rPr>
                <w:rFonts w:ascii="Verdana" w:eastAsia="Calibri" w:hAnsi="Verdana" w:cs="Arial"/>
                <w:lang w:eastAsia="es-ES_tradnl"/>
              </w:rPr>
              <w:t xml:space="preserve"> </w:t>
            </w:r>
            <w:r w:rsidRPr="007B0B33">
              <w:rPr>
                <w:rFonts w:ascii="Verdana" w:eastAsia="Calibri" w:hAnsi="Verdana" w:cs="Arial"/>
                <w:lang w:eastAsia="es-ES_tradnl"/>
              </w:rPr>
              <w:t>1_2026_02_04_001366</w:t>
            </w:r>
          </w:p>
        </w:tc>
      </w:tr>
    </w:tbl>
    <w:p w14:paraId="725BF464" w14:textId="77777777" w:rsidR="00BB1C8C" w:rsidRPr="005644FE" w:rsidRDefault="00BB1C8C" w:rsidP="00BB1C8C">
      <w:pPr>
        <w:spacing w:after="0" w:line="276" w:lineRule="auto"/>
        <w:jc w:val="both"/>
        <w:rPr>
          <w:rFonts w:ascii="Verdana" w:eastAsia="Calibri" w:hAnsi="Verdana" w:cs="Arial"/>
          <w:lang w:eastAsia="es-ES_tradnl"/>
        </w:rPr>
      </w:pPr>
    </w:p>
    <w:p w14:paraId="4CBB925E" w14:textId="77777777" w:rsidR="00BB1C8C" w:rsidRPr="005644FE" w:rsidRDefault="00BB1C8C" w:rsidP="007D4FFE">
      <w:pPr>
        <w:spacing w:after="0" w:line="276" w:lineRule="auto"/>
        <w:jc w:val="both"/>
        <w:rPr>
          <w:rFonts w:ascii="Verdana" w:eastAsia="Calibri" w:hAnsi="Verdana" w:cs="Arial"/>
          <w:lang w:eastAsia="es-ES"/>
        </w:rPr>
      </w:pPr>
      <w:r>
        <w:rPr>
          <w:rFonts w:ascii="Verdana" w:eastAsia="Calibri" w:hAnsi="Verdana" w:cs="Arial"/>
          <w:lang w:eastAsia="es-ES"/>
        </w:rPr>
        <w:t xml:space="preserve">Estimada señora </w:t>
      </w:r>
      <w:proofErr w:type="spellStart"/>
      <w:r>
        <w:rPr>
          <w:rFonts w:ascii="Verdana" w:eastAsia="Calibri" w:hAnsi="Verdana" w:cs="Arial"/>
          <w:lang w:eastAsia="es-ES"/>
        </w:rPr>
        <w:t>Malfy</w:t>
      </w:r>
      <w:proofErr w:type="spellEnd"/>
      <w:r>
        <w:rPr>
          <w:rFonts w:ascii="Verdana" w:eastAsia="Calibri" w:hAnsi="Verdana" w:cs="Arial"/>
          <w:lang w:eastAsia="es-ES"/>
        </w:rPr>
        <w:t xml:space="preserve">: </w:t>
      </w:r>
    </w:p>
    <w:p w14:paraId="52EB0BAB" w14:textId="77777777" w:rsidR="00BB1C8C" w:rsidRPr="00E02524" w:rsidRDefault="00BB1C8C" w:rsidP="00BF6219">
      <w:pPr>
        <w:spacing w:after="0" w:line="276" w:lineRule="auto"/>
        <w:jc w:val="both"/>
        <w:rPr>
          <w:rFonts w:ascii="Verdana" w:hAnsi="Verdana"/>
          <w:lang w:val="es-MX"/>
        </w:rPr>
      </w:pPr>
    </w:p>
    <w:p w14:paraId="1E2B9210" w14:textId="3B1F886B" w:rsidR="00BB1C8C" w:rsidRDefault="00BB1C8C" w:rsidP="007D4FFE">
      <w:pPr>
        <w:spacing w:after="0" w:line="276" w:lineRule="auto"/>
        <w:jc w:val="both"/>
        <w:rPr>
          <w:rFonts w:ascii="Verdana" w:eastAsia="Calibri" w:hAnsi="Verdana" w:cs="Arial"/>
          <w:lang w:eastAsia="es-ES"/>
        </w:rPr>
      </w:pPr>
      <w:r w:rsidRPr="00E02524">
        <w:rPr>
          <w:rFonts w:ascii="Verdana" w:hAnsi="Verdana"/>
        </w:rPr>
        <w:t xml:space="preserve">La Agencia Nacional de Contratación Pública – Colombia Compra Eficiente –, en ejercicio de las competencias otorgadas </w:t>
      </w:r>
      <w:r w:rsidRPr="005644FE">
        <w:rPr>
          <w:rFonts w:ascii="Verdana" w:eastAsia="Calibri" w:hAnsi="Verdana" w:cs="Arial"/>
          <w:lang w:eastAsia="es-ES"/>
        </w:rPr>
        <w:t>por los artículos 3, numeral 5º, y 11, numeral 8º, del Decreto Ley 4170 de 2011</w:t>
      </w:r>
      <w:r>
        <w:rPr>
          <w:rFonts w:ascii="Verdana" w:eastAsia="Calibri" w:hAnsi="Verdana" w:cs="Arial"/>
          <w:lang w:eastAsia="es-ES"/>
        </w:rPr>
        <w:t>,</w:t>
      </w:r>
      <w:r w:rsidRPr="00595C9B">
        <w:rPr>
          <w:rFonts w:ascii="Verdana" w:hAnsi="Verdana" w:cs="Arial"/>
        </w:rPr>
        <w:t xml:space="preserve"> </w:t>
      </w:r>
      <w:r w:rsidRPr="005644FE">
        <w:rPr>
          <w:rFonts w:ascii="Verdana" w:hAnsi="Verdana" w:cs="Arial"/>
        </w:rPr>
        <w:t>así como lo establecido en el artículo 4 de la Resolución 1707 de 2018 expedida por esta Entidad</w:t>
      </w:r>
      <w:r w:rsidRPr="00E02524">
        <w:rPr>
          <w:rFonts w:ascii="Verdana" w:hAnsi="Verdana"/>
        </w:rPr>
        <w:t xml:space="preserve"> y</w:t>
      </w:r>
      <w:r>
        <w:rPr>
          <w:rFonts w:ascii="Verdana" w:hAnsi="Verdana"/>
        </w:rPr>
        <w:t>,</w:t>
      </w:r>
      <w:r w:rsidRPr="00E02524">
        <w:rPr>
          <w:rFonts w:ascii="Verdana" w:hAnsi="Verdana"/>
        </w:rPr>
        <w:t xml:space="preserve"> de conformidad con las modalidades del derecho de petición contempladas en la Ley 1755 de 2015</w:t>
      </w:r>
      <w:r>
        <w:rPr>
          <w:rFonts w:ascii="Verdana" w:hAnsi="Verdana"/>
        </w:rPr>
        <w:t xml:space="preserve"> y en </w:t>
      </w:r>
      <w:r w:rsidRPr="00E02524">
        <w:rPr>
          <w:rFonts w:ascii="Verdana" w:hAnsi="Verdana"/>
        </w:rPr>
        <w:t xml:space="preserve">la resolución </w:t>
      </w:r>
      <w:proofErr w:type="spellStart"/>
      <w:r w:rsidRPr="00E02524">
        <w:rPr>
          <w:rFonts w:ascii="Verdana" w:eastAsia="Times New Roman" w:hAnsi="Verdana" w:cs="Segoe UI"/>
          <w:lang w:eastAsia="es-CO"/>
        </w:rPr>
        <w:t>N°</w:t>
      </w:r>
      <w:proofErr w:type="spellEnd"/>
      <w:r w:rsidRPr="00E02524">
        <w:rPr>
          <w:rFonts w:ascii="Verdana" w:eastAsia="Times New Roman" w:hAnsi="Verdana" w:cs="Segoe UI"/>
          <w:lang w:eastAsia="es-CO"/>
        </w:rPr>
        <w:t xml:space="preserve"> 469 del 2025 </w:t>
      </w:r>
      <w:r w:rsidRPr="00E02524">
        <w:rPr>
          <w:rFonts w:ascii="Verdana" w:hAnsi="Verdana"/>
        </w:rPr>
        <w:t xml:space="preserve">expedida por esta Agencia, </w:t>
      </w:r>
      <w:r w:rsidRPr="005644FE">
        <w:rPr>
          <w:rFonts w:ascii="Verdana" w:eastAsia="Calibri" w:hAnsi="Verdana" w:cs="Arial"/>
          <w:lang w:eastAsia="es-ES"/>
        </w:rPr>
        <w:t xml:space="preserve">responde su solicitud de consulta de fecha </w:t>
      </w:r>
      <w:r>
        <w:rPr>
          <w:rFonts w:ascii="Verdana" w:eastAsia="Calibri" w:hAnsi="Verdana" w:cs="Arial"/>
          <w:lang w:eastAsia="es-ES"/>
        </w:rPr>
        <w:t>28 de enero de 2026, previamente remitida por el Departamento de la Función Pública el 2 de febrero de 2026 y radicada ante la entidad el 4 de febrero de 2026,</w:t>
      </w:r>
      <w:r w:rsidRPr="005644FE">
        <w:rPr>
          <w:rFonts w:ascii="Verdana" w:eastAsia="Calibri" w:hAnsi="Verdana" w:cs="Arial"/>
          <w:lang w:eastAsia="es-ES"/>
        </w:rPr>
        <w:t xml:space="preserve"> en la cual manifiesta lo siguiente:</w:t>
      </w:r>
    </w:p>
    <w:p w14:paraId="43C15619" w14:textId="77777777" w:rsidR="00D4186D" w:rsidRDefault="00D4186D" w:rsidP="00BF6219">
      <w:pPr>
        <w:spacing w:after="0" w:line="276" w:lineRule="auto"/>
        <w:jc w:val="both"/>
        <w:rPr>
          <w:rFonts w:ascii="Verdana" w:hAnsi="Verdana"/>
        </w:rPr>
      </w:pPr>
    </w:p>
    <w:p w14:paraId="79F2B564" w14:textId="0D1C643C" w:rsidR="00BB1C8C" w:rsidRPr="008E5B36" w:rsidRDefault="00BB1C8C" w:rsidP="00BF6219">
      <w:pPr>
        <w:spacing w:after="0" w:line="276" w:lineRule="auto"/>
        <w:jc w:val="both"/>
        <w:rPr>
          <w:rFonts w:ascii="Verdana" w:hAnsi="Verdana"/>
        </w:rPr>
      </w:pPr>
      <w:r w:rsidRPr="00E02524">
        <w:rPr>
          <w:rFonts w:ascii="Verdana" w:hAnsi="Verdana"/>
        </w:rPr>
        <w:lastRenderedPageBreak/>
        <w:t xml:space="preserve">PETICIÓN REALIZADA </w:t>
      </w:r>
    </w:p>
    <w:p w14:paraId="6F25BC54" w14:textId="77777777" w:rsidR="00BB1C8C" w:rsidRPr="00594153" w:rsidRDefault="00BB1C8C" w:rsidP="00BF6219">
      <w:pPr>
        <w:spacing w:after="0" w:line="240" w:lineRule="auto"/>
        <w:ind w:left="709" w:right="709"/>
        <w:jc w:val="both"/>
        <w:rPr>
          <w:rFonts w:ascii="Verdana" w:hAnsi="Verdana"/>
          <w:sz w:val="20"/>
          <w:szCs w:val="20"/>
        </w:rPr>
      </w:pPr>
      <w:r w:rsidRPr="00FC1BE4">
        <w:rPr>
          <w:rFonts w:ascii="Verdana" w:hAnsi="Verdana"/>
          <w:sz w:val="20"/>
          <w:szCs w:val="20"/>
        </w:rPr>
        <w:t xml:space="preserve">“(…) </w:t>
      </w:r>
      <w:r>
        <w:rPr>
          <w:rFonts w:ascii="Verdana" w:hAnsi="Verdana"/>
          <w:sz w:val="20"/>
          <w:szCs w:val="20"/>
        </w:rPr>
        <w:t xml:space="preserve">De manera atenta me permito </w:t>
      </w:r>
      <w:proofErr w:type="spellStart"/>
      <w:r>
        <w:rPr>
          <w:rFonts w:ascii="Verdana" w:hAnsi="Verdana"/>
          <w:sz w:val="20"/>
          <w:szCs w:val="20"/>
        </w:rPr>
        <w:t>soliictar</w:t>
      </w:r>
      <w:proofErr w:type="spellEnd"/>
      <w:r>
        <w:rPr>
          <w:rFonts w:ascii="Verdana" w:hAnsi="Verdana"/>
          <w:sz w:val="20"/>
          <w:szCs w:val="20"/>
        </w:rPr>
        <w:t xml:space="preserve"> (sic) le (sic) colaboren con </w:t>
      </w:r>
      <w:proofErr w:type="spellStart"/>
      <w:r>
        <w:rPr>
          <w:rFonts w:ascii="Verdana" w:hAnsi="Verdana"/>
          <w:sz w:val="20"/>
          <w:szCs w:val="20"/>
        </w:rPr>
        <w:t>informacion</w:t>
      </w:r>
      <w:proofErr w:type="spellEnd"/>
      <w:r>
        <w:rPr>
          <w:rFonts w:ascii="Verdana" w:hAnsi="Verdana"/>
          <w:sz w:val="20"/>
          <w:szCs w:val="20"/>
        </w:rPr>
        <w:t xml:space="preserve"> (sic) referente a la legalidad de exigir un contrato de </w:t>
      </w:r>
      <w:proofErr w:type="spellStart"/>
      <w:r>
        <w:rPr>
          <w:rFonts w:ascii="Verdana" w:hAnsi="Verdana"/>
          <w:sz w:val="20"/>
          <w:szCs w:val="20"/>
        </w:rPr>
        <w:t>prestacion</w:t>
      </w:r>
      <w:proofErr w:type="spellEnd"/>
      <w:r>
        <w:rPr>
          <w:rFonts w:ascii="Verdana" w:hAnsi="Verdana"/>
          <w:sz w:val="20"/>
          <w:szCs w:val="20"/>
        </w:rPr>
        <w:t xml:space="preserve"> (sic) se (sic) servicios </w:t>
      </w:r>
      <w:proofErr w:type="spellStart"/>
      <w:r>
        <w:rPr>
          <w:rFonts w:ascii="Verdana" w:hAnsi="Verdana"/>
          <w:sz w:val="20"/>
          <w:szCs w:val="20"/>
        </w:rPr>
        <w:t>poliza</w:t>
      </w:r>
      <w:proofErr w:type="spellEnd"/>
      <w:r>
        <w:rPr>
          <w:rFonts w:ascii="Verdana" w:hAnsi="Verdana"/>
          <w:sz w:val="20"/>
          <w:szCs w:val="20"/>
        </w:rPr>
        <w:t xml:space="preserve"> (sic) de cumplimiento (sic), si esta </w:t>
      </w:r>
      <w:proofErr w:type="spellStart"/>
      <w:r>
        <w:rPr>
          <w:rFonts w:ascii="Verdana" w:hAnsi="Verdana"/>
          <w:sz w:val="20"/>
          <w:szCs w:val="20"/>
        </w:rPr>
        <w:t>poliza</w:t>
      </w:r>
      <w:proofErr w:type="spellEnd"/>
      <w:r>
        <w:rPr>
          <w:rFonts w:ascii="Verdana" w:hAnsi="Verdana"/>
          <w:sz w:val="20"/>
          <w:szCs w:val="20"/>
        </w:rPr>
        <w:t xml:space="preserve"> (sic) es legal exigirla y bajo a que (sic) </w:t>
      </w:r>
      <w:proofErr w:type="spellStart"/>
      <w:r>
        <w:rPr>
          <w:rFonts w:ascii="Verdana" w:hAnsi="Verdana"/>
          <w:sz w:val="20"/>
          <w:szCs w:val="20"/>
        </w:rPr>
        <w:t>amporo</w:t>
      </w:r>
      <w:proofErr w:type="spellEnd"/>
      <w:r>
        <w:rPr>
          <w:rFonts w:ascii="Verdana" w:hAnsi="Verdana"/>
          <w:sz w:val="20"/>
          <w:szCs w:val="20"/>
        </w:rPr>
        <w:t xml:space="preserve"> (sic) legal </w:t>
      </w:r>
      <w:r w:rsidRPr="00FC1BE4">
        <w:rPr>
          <w:rFonts w:ascii="Verdana" w:hAnsi="Verdana"/>
          <w:sz w:val="20"/>
          <w:szCs w:val="20"/>
        </w:rPr>
        <w:t>(…)”.</w:t>
      </w:r>
    </w:p>
    <w:p w14:paraId="15B6DE3A" w14:textId="77777777" w:rsidR="00BB1C8C" w:rsidRPr="00BF6219" w:rsidRDefault="00BB1C8C" w:rsidP="00BF6219">
      <w:pPr>
        <w:spacing w:after="0" w:line="276" w:lineRule="auto"/>
        <w:ind w:left="567" w:right="758"/>
        <w:jc w:val="both"/>
        <w:rPr>
          <w:rFonts w:ascii="Verdana" w:hAnsi="Verdana"/>
        </w:rPr>
      </w:pPr>
    </w:p>
    <w:p w14:paraId="2378065A" w14:textId="77777777" w:rsidR="00BB1C8C" w:rsidRPr="00F64722" w:rsidRDefault="00BB1C8C" w:rsidP="00A36773">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w:t>
      </w:r>
      <w:r w:rsidRPr="00F64722">
        <w:rPr>
          <w:rFonts w:ascii="Verdana" w:eastAsia="Calibri" w:hAnsi="Verdana" w:cs="Arial"/>
          <w:color w:val="000000"/>
          <w:lang w:eastAsia="es-ES"/>
        </w:rPr>
        <w:t xml:space="preserve">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4E9875C6" w14:textId="77777777" w:rsidR="00BB1C8C" w:rsidRDefault="00BB1C8C" w:rsidP="00BB1C8C">
      <w:pPr>
        <w:spacing w:after="0" w:line="276" w:lineRule="auto"/>
        <w:ind w:firstLine="709"/>
        <w:jc w:val="both"/>
        <w:rPr>
          <w:rFonts w:ascii="Verdana" w:eastAsia="Calibri" w:hAnsi="Verdana" w:cs="Arial"/>
          <w:lang w:eastAsia="es-ES"/>
        </w:rPr>
      </w:pPr>
      <w:r w:rsidRPr="00F64722">
        <w:rPr>
          <w:rFonts w:ascii="Verdana" w:eastAsia="Calibri" w:hAnsi="Verdana" w:cs="Arial"/>
          <w:color w:val="000000"/>
          <w:lang w:eastAsia="es-ES"/>
        </w:rPr>
        <w:t>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a</w:t>
      </w:r>
      <w:r>
        <w:rPr>
          <w:rFonts w:ascii="Verdana" w:eastAsia="Calibri" w:hAnsi="Verdana" w:cs="Arial"/>
          <w:color w:val="000000"/>
          <w:lang w:eastAsia="es-ES"/>
        </w:rPr>
        <w:t xml:space="preserve">l problema </w:t>
      </w:r>
      <w:r w:rsidRPr="00F64722">
        <w:rPr>
          <w:rFonts w:ascii="Verdana" w:eastAsia="Calibri" w:hAnsi="Verdana" w:cs="Arial"/>
          <w:color w:val="000000"/>
          <w:lang w:eastAsia="es-ES"/>
        </w:rPr>
        <w:t>jurídico de su consulta.</w:t>
      </w:r>
      <w:r w:rsidRPr="00F64722">
        <w:rPr>
          <w:rFonts w:ascii="Verdana" w:eastAsia="Calibri" w:hAnsi="Verdana" w:cs="Arial"/>
          <w:lang w:eastAsia="es-ES"/>
        </w:rPr>
        <w:t xml:space="preserve">  </w:t>
      </w:r>
    </w:p>
    <w:p w14:paraId="49EB06EB" w14:textId="77777777" w:rsidR="00BB1C8C" w:rsidRPr="00F64722" w:rsidRDefault="00BB1C8C" w:rsidP="00A36773">
      <w:pPr>
        <w:spacing w:after="0" w:line="276" w:lineRule="auto"/>
        <w:ind w:firstLine="709"/>
        <w:jc w:val="both"/>
        <w:rPr>
          <w:rFonts w:ascii="Verdana" w:eastAsia="Calibri" w:hAnsi="Verdana" w:cs="Arial"/>
          <w:lang w:eastAsia="es-ES"/>
        </w:rPr>
      </w:pPr>
    </w:p>
    <w:p w14:paraId="587544FA" w14:textId="77777777" w:rsidR="00BB1C8C" w:rsidRPr="00F64722" w:rsidRDefault="00BB1C8C" w:rsidP="00BF621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64722">
        <w:rPr>
          <w:rFonts w:ascii="Verdana" w:eastAsia="Century Gothic" w:hAnsi="Verdana" w:cs="Century Gothic"/>
          <w:b/>
          <w:bCs/>
        </w:rPr>
        <w:t>Problema planteado:</w:t>
      </w:r>
    </w:p>
    <w:p w14:paraId="25E42255" w14:textId="77777777" w:rsidR="00BB1C8C" w:rsidRPr="00F64722" w:rsidRDefault="00BB1C8C" w:rsidP="00BF6219">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C05E5DB" w14:textId="5CEB0775" w:rsidR="00BB1C8C" w:rsidRDefault="00BB1C8C" w:rsidP="00A36773">
      <w:pPr>
        <w:spacing w:after="0" w:line="276" w:lineRule="auto"/>
        <w:jc w:val="both"/>
        <w:rPr>
          <w:rFonts w:ascii="Verdana" w:eastAsia="Calibri" w:hAnsi="Verdana" w:cs="Arial"/>
          <w:color w:val="000000"/>
          <w:lang w:eastAsia="es-ES"/>
        </w:rPr>
      </w:pPr>
      <w:r w:rsidRPr="00005FE3">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 xml:space="preserve">el siguiente problema jurídico: En los contratos de prestación de servicios ¿es viable que la entidad contratante exija al contratista la constitución de </w:t>
      </w:r>
      <w:r w:rsidR="0065454A">
        <w:rPr>
          <w:rFonts w:ascii="Verdana" w:eastAsia="Calibri" w:hAnsi="Verdana" w:cs="Arial"/>
          <w:color w:val="000000"/>
          <w:lang w:eastAsia="es-ES"/>
        </w:rPr>
        <w:t>l</w:t>
      </w:r>
      <w:r>
        <w:rPr>
          <w:rFonts w:ascii="Verdana" w:eastAsia="Calibri" w:hAnsi="Verdana" w:cs="Arial"/>
          <w:color w:val="000000"/>
          <w:lang w:eastAsia="es-ES"/>
        </w:rPr>
        <w:t>a garantía</w:t>
      </w:r>
      <w:r w:rsidR="0065454A">
        <w:rPr>
          <w:rFonts w:ascii="Verdana" w:eastAsia="Calibri" w:hAnsi="Verdana" w:cs="Arial"/>
          <w:color w:val="000000"/>
          <w:lang w:eastAsia="es-ES"/>
        </w:rPr>
        <w:t xml:space="preserve"> única</w:t>
      </w:r>
      <w:r>
        <w:rPr>
          <w:rFonts w:ascii="Verdana" w:eastAsia="Calibri" w:hAnsi="Verdana" w:cs="Arial"/>
          <w:color w:val="000000"/>
          <w:lang w:eastAsia="es-ES"/>
        </w:rPr>
        <w:t xml:space="preserve"> de cumplimiento? </w:t>
      </w:r>
    </w:p>
    <w:p w14:paraId="45CB48B8" w14:textId="77777777" w:rsidR="00A36773" w:rsidRDefault="00A36773" w:rsidP="00BF6219">
      <w:pPr>
        <w:spacing w:after="0" w:line="276" w:lineRule="auto"/>
        <w:jc w:val="both"/>
        <w:rPr>
          <w:rFonts w:ascii="Verdana" w:eastAsia="Calibri" w:hAnsi="Verdana" w:cs="Arial"/>
          <w:color w:val="000000"/>
          <w:lang w:eastAsia="es-ES"/>
        </w:rPr>
      </w:pPr>
    </w:p>
    <w:p w14:paraId="494FC745" w14:textId="77777777" w:rsidR="00BB1C8C" w:rsidRPr="00B33011" w:rsidRDefault="00BB1C8C" w:rsidP="00BF6219">
      <w:pPr>
        <w:spacing w:after="0" w:line="276" w:lineRule="auto"/>
        <w:jc w:val="both"/>
        <w:rPr>
          <w:rFonts w:ascii="Verdana" w:eastAsia="Century Gothic" w:hAnsi="Verdana" w:cs="Century Gothic"/>
          <w:b/>
          <w:bCs/>
        </w:rPr>
      </w:pPr>
      <w:r w:rsidRPr="00B33011">
        <w:rPr>
          <w:rFonts w:ascii="Verdana" w:eastAsia="Century Gothic" w:hAnsi="Verdana" w:cs="Century Gothic"/>
          <w:b/>
          <w:bCs/>
        </w:rPr>
        <w:t>2. Respuesta:</w:t>
      </w:r>
    </w:p>
    <w:p w14:paraId="149C6B33" w14:textId="77777777" w:rsidR="00BB1C8C" w:rsidRPr="005644FE" w:rsidRDefault="00BB1C8C" w:rsidP="00BF6219">
      <w:pPr>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BB1C8C" w:rsidRPr="005644FE" w14:paraId="254BAFE3" w14:textId="77777777" w:rsidTr="00DA4BA9">
        <w:tc>
          <w:tcPr>
            <w:tcW w:w="8828" w:type="dxa"/>
          </w:tcPr>
          <w:p w14:paraId="4FC941CB" w14:textId="77777777" w:rsidR="00BB1C8C" w:rsidRDefault="00BB1C8C" w:rsidP="00BB1C8C">
            <w:pPr>
              <w:spacing w:after="120" w:line="276" w:lineRule="auto"/>
              <w:jc w:val="both"/>
              <w:rPr>
                <w:rFonts w:ascii="Verdana" w:eastAsia="Calibri" w:hAnsi="Verdana" w:cs="Arial"/>
                <w:color w:val="000000"/>
                <w:lang w:val="es-ES_tradnl"/>
              </w:rPr>
            </w:pPr>
            <w:r w:rsidRPr="00884819">
              <w:rPr>
                <w:rFonts w:ascii="Verdana" w:eastAsia="Calibri" w:hAnsi="Verdana" w:cs="Arial"/>
                <w:color w:val="000000"/>
                <w:lang w:val="es-ES_tradnl"/>
              </w:rPr>
              <w:t xml:space="preserve">El contrato de prestación de servicios es uno de los tipos contractuales consagrados en el Estatuto General de Contratación de la Administración </w:t>
            </w:r>
            <w:r w:rsidRPr="00884819">
              <w:rPr>
                <w:rFonts w:ascii="Verdana" w:eastAsia="Calibri" w:hAnsi="Verdana" w:cs="Arial"/>
                <w:color w:val="000000"/>
                <w:lang w:val="es-ES_tradnl"/>
              </w:rPr>
              <w:lastRenderedPageBreak/>
              <w:t>Pública, que pueden celebrar las entidades estatales</w:t>
            </w:r>
            <w:r>
              <w:rPr>
                <w:rFonts w:ascii="Verdana" w:eastAsia="Calibri" w:hAnsi="Verdana" w:cs="Arial"/>
                <w:color w:val="000000"/>
                <w:lang w:val="es-ES_tradnl"/>
              </w:rPr>
              <w:t xml:space="preserve"> a través</w:t>
            </w:r>
            <w:r w:rsidRPr="00884819">
              <w:rPr>
                <w:rFonts w:ascii="Verdana" w:eastAsia="Calibri" w:hAnsi="Verdana" w:cs="Arial"/>
                <w:color w:val="000000"/>
                <w:lang w:val="es-ES_tradnl"/>
              </w:rPr>
              <w:t xml:space="preserve"> de la modalidad de la contratación directa.</w:t>
            </w:r>
          </w:p>
          <w:p w14:paraId="1EC709EB" w14:textId="60026A3A" w:rsidR="00BB1C8C" w:rsidRPr="00BB1C8C" w:rsidRDefault="00BB1C8C" w:rsidP="00BB1C8C">
            <w:pPr>
              <w:spacing w:after="120" w:line="276" w:lineRule="auto"/>
              <w:ind w:firstLine="709"/>
              <w:jc w:val="both"/>
              <w:rPr>
                <w:rFonts w:ascii="Verdana" w:eastAsia="Calibri" w:hAnsi="Verdana" w:cs="Arial"/>
                <w:bCs/>
                <w:sz w:val="21"/>
                <w:szCs w:val="21"/>
                <w:lang w:val="es-ES_tradnl"/>
              </w:rPr>
            </w:pPr>
            <w:r>
              <w:rPr>
                <w:rFonts w:ascii="Verdana" w:eastAsia="Calibri" w:hAnsi="Verdana" w:cs="Arial"/>
                <w:bCs/>
                <w:lang w:val="es-ES_tradnl"/>
              </w:rPr>
              <w:t>De acuerdo con lo anterior, debe advertirse que l</w:t>
            </w:r>
            <w:r w:rsidRPr="00627B03">
              <w:rPr>
                <w:rFonts w:ascii="Verdana" w:eastAsia="Calibri" w:hAnsi="Verdana" w:cs="Arial"/>
                <w:bCs/>
                <w:lang w:val="es-ES_tradnl"/>
              </w:rPr>
              <w:t>a planeación contractual es una herramienta de gerencia pública, la cual exige estructurar el proceso contractual dedicando tiempo y esfuerzos para elaborar estudios previos, con el fin de determinar la necesidad que pretende satisfacer y cuál es la mejor manera de hacerlo, consultando el tipo de bienes y servicios que ofrece el mercado y cuáles son sus características, especificaciones, precios, costos, riesgos, garantías, disponibilidad, oferentes, etc., que conlleven a una diligente escogencia de la mejor oferta para beneficiar los intereses y fines públicos inmersos en la contratación de las entidades estatales</w:t>
            </w:r>
            <w:r w:rsidRPr="00627B03">
              <w:rPr>
                <w:rFonts w:ascii="Verdana" w:eastAsia="Calibri" w:hAnsi="Verdana" w:cs="Arial"/>
                <w:bCs/>
                <w:sz w:val="21"/>
                <w:szCs w:val="21"/>
                <w:lang w:val="es-ES_tradnl"/>
              </w:rPr>
              <w:t>.</w:t>
            </w:r>
          </w:p>
          <w:p w14:paraId="6BD7A285" w14:textId="735C0011" w:rsidR="00BB1C8C" w:rsidRPr="00BB1C8C" w:rsidRDefault="00BB1C8C" w:rsidP="00BB1C8C">
            <w:pPr>
              <w:spacing w:after="120" w:line="276" w:lineRule="auto"/>
              <w:ind w:firstLine="709"/>
              <w:jc w:val="both"/>
              <w:rPr>
                <w:rFonts w:ascii="Verdana" w:hAnsi="Verdana" w:cs="Arial"/>
                <w:lang w:val="es-MX"/>
              </w:rPr>
            </w:pPr>
            <w:r w:rsidRPr="00B97C74">
              <w:rPr>
                <w:rFonts w:ascii="Verdana" w:hAnsi="Verdana" w:cs="Arial"/>
                <w:lang w:val="es-MX"/>
              </w:rPr>
              <w:t xml:space="preserve">En ese sentido, los estudios y documentos previos son necesarios antes de la celebración del contrato, pues fundamentan las condiciones que la Entidad Estatal exige en sus procesos de contratación. </w:t>
            </w:r>
          </w:p>
          <w:p w14:paraId="11A79DDE" w14:textId="4E6346D4" w:rsidR="00BB1C8C" w:rsidRDefault="00BB1C8C" w:rsidP="00BB1C8C">
            <w:pPr>
              <w:spacing w:after="120" w:line="276" w:lineRule="auto"/>
              <w:ind w:firstLine="709"/>
              <w:jc w:val="both"/>
              <w:rPr>
                <w:rFonts w:ascii="Verdana" w:eastAsia="Calibri" w:hAnsi="Verdana" w:cs="Arial"/>
                <w:lang w:val="es-ES"/>
              </w:rPr>
            </w:pPr>
            <w:r w:rsidRPr="7B4F50DD">
              <w:rPr>
                <w:rFonts w:ascii="Verdana" w:eastAsia="Calibri" w:hAnsi="Verdana" w:cs="Arial"/>
                <w:lang w:val="es-ES"/>
              </w:rPr>
              <w:t>Para cumplir este objetivo es necesario el estudio del mercado y el análisis del sector económico y de los oferentes, actividad de planeación previa que sirve para identificar aspectos concretos del mercado que pueden afectar el proceso de selección o las condiciones del negocio a realizar a través del proceso de contratación de bienes, obras o servicios.</w:t>
            </w:r>
          </w:p>
          <w:p w14:paraId="0B4623BE" w14:textId="7BAB18CB" w:rsidR="00BB1C8C" w:rsidRDefault="00BB1C8C" w:rsidP="00BB1C8C">
            <w:pPr>
              <w:spacing w:after="120" w:line="276" w:lineRule="auto"/>
              <w:ind w:firstLine="709"/>
              <w:jc w:val="both"/>
              <w:rPr>
                <w:rFonts w:ascii="Verdana" w:eastAsia="Calibri" w:hAnsi="Verdana" w:cs="Arial"/>
                <w:lang w:val="es-ES"/>
              </w:rPr>
            </w:pPr>
            <w:r w:rsidRPr="7B4F50DD">
              <w:rPr>
                <w:rFonts w:ascii="Verdana" w:eastAsia="Calibri" w:hAnsi="Verdana" w:cs="Arial"/>
                <w:lang w:val="es-ES"/>
              </w:rPr>
              <w:t>Si bien los estudios del sector son de gran relevancia en los procesos de contratación donde existe pluralidad de oferentes, nada obsta para que se elaboren allí donde no existiría competencia. Para estos efectos, la guía mencionada en el precedente explica que “En la contratación directa, el estudio del sector debe tener en cuenta el objeto del Proceso de Contratación, particularmente las condiciones del contrato, como los plazos y formas de entrega y de pago. El estudio del sector debe permitir a la Entidad Estatal sustentar su decisión de hacer una contratación directa, la elección del proveedor y la forma en que se pacta el contrato desde el punto de vista de la eficiencia, eficacia y economía. La Entidad Estatal debe consignar en los Documentos del Proceso, bien sea en los estudios previos o en la información de soporte de los mismos, los aspectos de que trata el artículo 2.2.1.1.1.6.1 del Decreto 1082 de 2015</w:t>
            </w:r>
            <w:r>
              <w:rPr>
                <w:rFonts w:ascii="Verdana" w:eastAsia="Calibri" w:hAnsi="Verdana" w:cs="Arial"/>
                <w:lang w:val="es-ES"/>
              </w:rPr>
              <w:t xml:space="preserve">. </w:t>
            </w:r>
          </w:p>
          <w:p w14:paraId="1CD5DCFC" w14:textId="77777777" w:rsidR="00BB1C8C" w:rsidRDefault="00BB1C8C" w:rsidP="00BB1C8C">
            <w:pPr>
              <w:spacing w:after="120" w:line="276" w:lineRule="auto"/>
              <w:ind w:firstLine="709"/>
              <w:jc w:val="both"/>
              <w:rPr>
                <w:rFonts w:ascii="Verdana" w:eastAsia="Times New Roman" w:hAnsi="Verdana" w:cs="Arial"/>
                <w:color w:val="000000" w:themeColor="text1"/>
                <w:lang w:eastAsia="es-CO"/>
              </w:rPr>
            </w:pPr>
            <w:r>
              <w:rPr>
                <w:rFonts w:ascii="Verdana" w:eastAsia="Calibri" w:hAnsi="Verdana" w:cs="Arial"/>
                <w:lang w:val="es-ES"/>
              </w:rPr>
              <w:t xml:space="preserve">De acuerdo con lo anterior y en atención a la necesidad de la constitución de garantía en los contratos de prestación de servicios, el </w:t>
            </w:r>
            <w:r>
              <w:rPr>
                <w:rFonts w:ascii="Verdana" w:eastAsia="Times New Roman" w:hAnsi="Verdana" w:cs="Arial"/>
                <w:color w:val="000000" w:themeColor="text1"/>
                <w:lang w:eastAsia="es-CO"/>
              </w:rPr>
              <w:t xml:space="preserve">artículo </w:t>
            </w:r>
            <w:r w:rsidRPr="00DA2A6A">
              <w:rPr>
                <w:rFonts w:ascii="Verdana" w:eastAsia="Times New Roman" w:hAnsi="Verdana" w:cs="Arial"/>
                <w:color w:val="000000" w:themeColor="text1"/>
                <w:lang w:eastAsia="es-CO"/>
              </w:rPr>
              <w:lastRenderedPageBreak/>
              <w:t>2.2.1.2.1.4.5</w:t>
            </w:r>
            <w:r>
              <w:rPr>
                <w:rFonts w:ascii="Verdana" w:eastAsia="Times New Roman" w:hAnsi="Verdana" w:cs="Arial"/>
                <w:color w:val="000000" w:themeColor="text1"/>
                <w:lang w:eastAsia="es-CO"/>
              </w:rPr>
              <w:t xml:space="preserve"> del Decreto 1082 de 2015 establece que “</w:t>
            </w:r>
            <w:r w:rsidRPr="00DA2A6A">
              <w:rPr>
                <w:rFonts w:ascii="Verdana" w:eastAsia="Times New Roman" w:hAnsi="Verdana" w:cs="Arial"/>
                <w:color w:val="000000" w:themeColor="text1"/>
                <w:lang w:eastAsia="es-CO"/>
              </w:rPr>
              <w:t>En la contratación directa la exigencia de garantías establecidas en la Sección 3, que comprende los artículos 2.2.1.2.3.1.1 al 2.2.1.2.3.5.1.</w:t>
            </w:r>
            <w:r>
              <w:rPr>
                <w:rFonts w:ascii="Verdana" w:eastAsia="Times New Roman" w:hAnsi="Verdana" w:cs="Arial"/>
                <w:color w:val="000000" w:themeColor="text1"/>
                <w:lang w:eastAsia="es-CO"/>
              </w:rPr>
              <w:t xml:space="preserve"> </w:t>
            </w:r>
            <w:r w:rsidRPr="00DA2A6A">
              <w:rPr>
                <w:rFonts w:ascii="Verdana" w:eastAsia="Times New Roman" w:hAnsi="Verdana" w:cs="Arial"/>
                <w:color w:val="000000" w:themeColor="text1"/>
                <w:lang w:eastAsia="es-CO"/>
              </w:rPr>
              <w:t>del presente decreto no es obligatoria y la justificación para exigirlas o no debe estar en los estudios y documentos previos</w:t>
            </w:r>
            <w:r>
              <w:rPr>
                <w:rFonts w:ascii="Verdana" w:eastAsia="Times New Roman" w:hAnsi="Verdana" w:cs="Arial"/>
                <w:color w:val="000000" w:themeColor="text1"/>
                <w:lang w:eastAsia="es-CO"/>
              </w:rPr>
              <w:t>”</w:t>
            </w:r>
            <w:r w:rsidRPr="00DA2A6A">
              <w:rPr>
                <w:rFonts w:ascii="Verdana" w:eastAsia="Times New Roman" w:hAnsi="Verdana" w:cs="Arial"/>
                <w:color w:val="000000" w:themeColor="text1"/>
                <w:lang w:eastAsia="es-CO"/>
              </w:rPr>
              <w:t>.</w:t>
            </w:r>
          </w:p>
          <w:p w14:paraId="538B626C" w14:textId="278B9F28" w:rsidR="00BB1C8C" w:rsidRPr="00D076E5" w:rsidRDefault="00BB1C8C" w:rsidP="00BB1C8C">
            <w:pPr>
              <w:spacing w:after="120" w:line="276" w:lineRule="auto"/>
              <w:ind w:firstLine="708"/>
              <w:jc w:val="both"/>
              <w:rPr>
                <w:rFonts w:ascii="Verdana" w:eastAsia="Times New Roman" w:hAnsi="Verdana" w:cs="Arial"/>
                <w:color w:val="000000" w:themeColor="text1"/>
                <w:lang w:eastAsia="es-CO"/>
              </w:rPr>
            </w:pPr>
            <w:r w:rsidRPr="00C1665C">
              <w:rPr>
                <w:rFonts w:ascii="Verdana" w:eastAsia="Calibri" w:hAnsi="Verdana" w:cs="Arial"/>
                <w:lang w:val="es-ES"/>
              </w:rPr>
              <w:t xml:space="preserve">Así las cosas, </w:t>
            </w:r>
            <w:r w:rsidR="00AE4BD5">
              <w:rPr>
                <w:rFonts w:ascii="Verdana" w:eastAsia="Calibri" w:hAnsi="Verdana" w:cs="Arial"/>
                <w:lang w:val="es-ES"/>
              </w:rPr>
              <w:t>en principio, en los contratos de prestación de servicios no es obligatorio la constitución de garantías. L</w:t>
            </w:r>
            <w:r w:rsidRPr="00C1665C">
              <w:rPr>
                <w:rFonts w:ascii="Verdana" w:eastAsia="Calibri" w:hAnsi="Verdana" w:cs="Arial"/>
                <w:lang w:val="es-ES"/>
              </w:rPr>
              <w:t>a exigencia de garantías en los contratos de prestación de servicios dependerá del análisis que en cada caso realice la Entidad Estatal en los estudios previos</w:t>
            </w:r>
            <w:r>
              <w:rPr>
                <w:rFonts w:ascii="Verdana" w:eastAsia="Calibri" w:hAnsi="Verdana" w:cs="Arial"/>
                <w:lang w:val="es-ES"/>
              </w:rPr>
              <w:t>, pues derivado del examen, el contratante podrá definir la necesidad a satisfacer y así mismo determinar si resulta necesario exigir o no al contratista la constitución de una garantía de cumplimiento con el fin de amparar los riesgos que se puedan desarrollar en la ejecución del contrato de prestación de servicios a celebrar</w:t>
            </w:r>
            <w:r w:rsidRPr="00C1665C">
              <w:rPr>
                <w:rFonts w:ascii="Verdana" w:eastAsia="Calibri" w:hAnsi="Verdana" w:cs="Arial"/>
                <w:lang w:val="es-ES"/>
              </w:rPr>
              <w:t>.</w:t>
            </w:r>
          </w:p>
        </w:tc>
      </w:tr>
    </w:tbl>
    <w:p w14:paraId="63A76B75" w14:textId="77777777" w:rsidR="00BB1C8C" w:rsidRDefault="00BB1C8C" w:rsidP="00A75DA2">
      <w:pPr>
        <w:tabs>
          <w:tab w:val="left" w:pos="142"/>
          <w:tab w:val="left" w:pos="284"/>
        </w:tabs>
        <w:spacing w:after="0" w:line="276" w:lineRule="auto"/>
        <w:jc w:val="both"/>
        <w:rPr>
          <w:rFonts w:ascii="Verdana" w:eastAsia="Century Gothic" w:hAnsi="Verdana" w:cs="Century Gothic"/>
          <w:b/>
          <w:bCs/>
        </w:rPr>
      </w:pPr>
    </w:p>
    <w:p w14:paraId="28D25919" w14:textId="77777777" w:rsidR="00BB1C8C" w:rsidRPr="005644FE" w:rsidRDefault="00BB1C8C">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28B0D5A5" w14:textId="77777777" w:rsidR="00BB1C8C" w:rsidRPr="005644FE" w:rsidRDefault="00BB1C8C" w:rsidP="00BF6219">
      <w:pPr>
        <w:pStyle w:val="Prrafodelista"/>
        <w:tabs>
          <w:tab w:val="left" w:pos="142"/>
          <w:tab w:val="left" w:pos="284"/>
        </w:tabs>
        <w:spacing w:after="0" w:line="276" w:lineRule="auto"/>
        <w:ind w:left="0"/>
        <w:contextualSpacing w:val="0"/>
        <w:jc w:val="both"/>
        <w:rPr>
          <w:rFonts w:ascii="Verdana" w:eastAsia="Calibri" w:hAnsi="Verdana" w:cs="Arial"/>
        </w:rPr>
      </w:pPr>
    </w:p>
    <w:p w14:paraId="2300F24F" w14:textId="77777777" w:rsidR="00BB1C8C" w:rsidRDefault="00BB1C8C" w:rsidP="00A75DA2">
      <w:pPr>
        <w:tabs>
          <w:tab w:val="left" w:pos="142"/>
          <w:tab w:val="left" w:pos="284"/>
          <w:tab w:val="left" w:pos="6975"/>
        </w:tabs>
        <w:spacing w:after="0" w:line="276" w:lineRule="auto"/>
        <w:jc w:val="both"/>
        <w:rPr>
          <w:rFonts w:ascii="Verdana" w:eastAsia="Calibri" w:hAnsi="Verdana" w:cs="Arial"/>
        </w:rPr>
      </w:pPr>
      <w:r w:rsidRPr="005644FE">
        <w:rPr>
          <w:rFonts w:ascii="Verdana" w:eastAsia="Calibri" w:hAnsi="Verdana" w:cs="Arial"/>
        </w:rPr>
        <w:t>Lo anterior se sustenta en las siguientes consideraciones:</w:t>
      </w:r>
      <w:r>
        <w:rPr>
          <w:rFonts w:ascii="Verdana" w:eastAsia="Calibri" w:hAnsi="Verdana" w:cs="Arial"/>
        </w:rPr>
        <w:tab/>
      </w:r>
    </w:p>
    <w:p w14:paraId="765C9298" w14:textId="77777777" w:rsidR="00BB1C8C" w:rsidRDefault="00BB1C8C" w:rsidP="0044375F">
      <w:pPr>
        <w:tabs>
          <w:tab w:val="left" w:pos="142"/>
          <w:tab w:val="left" w:pos="284"/>
          <w:tab w:val="left" w:pos="6975"/>
        </w:tabs>
        <w:spacing w:after="0" w:line="276" w:lineRule="auto"/>
        <w:jc w:val="both"/>
        <w:rPr>
          <w:rFonts w:ascii="Verdana" w:eastAsia="Calibri" w:hAnsi="Verdana" w:cs="Arial"/>
        </w:rPr>
      </w:pPr>
    </w:p>
    <w:p w14:paraId="0AEB445C" w14:textId="77777777" w:rsidR="0044375F" w:rsidRDefault="00BB1C8C" w:rsidP="00BF6219">
      <w:pPr>
        <w:spacing w:after="120" w:line="276" w:lineRule="auto"/>
        <w:jc w:val="both"/>
        <w:rPr>
          <w:rFonts w:ascii="Verdana" w:eastAsia="Calibri" w:hAnsi="Verdana" w:cs="Arial"/>
          <w:color w:val="000000"/>
          <w:lang w:val="es-ES_tradnl"/>
        </w:rPr>
      </w:pPr>
      <w:r w:rsidRPr="00884819">
        <w:rPr>
          <w:rFonts w:ascii="Verdana" w:eastAsia="Calibri" w:hAnsi="Verdana" w:cs="Arial"/>
          <w:color w:val="000000"/>
          <w:lang w:val="es-ES_tradnl"/>
        </w:rPr>
        <w:t>El contrato de prestación de servicios es uno de los tipos contractuales consagrados en el Estatuto General de Contratación de la Administración Pública</w:t>
      </w:r>
      <w:r w:rsidR="00211E4E">
        <w:rPr>
          <w:rFonts w:ascii="Verdana" w:eastAsia="Calibri" w:hAnsi="Verdana" w:cs="Arial"/>
          <w:color w:val="000000"/>
          <w:lang w:val="es-ES_tradnl"/>
        </w:rPr>
        <w:t xml:space="preserve"> – en adelante EGCAP -</w:t>
      </w:r>
      <w:r w:rsidRPr="00884819">
        <w:rPr>
          <w:rFonts w:ascii="Verdana" w:eastAsia="Calibri" w:hAnsi="Verdana" w:cs="Arial"/>
          <w:color w:val="000000"/>
          <w:lang w:val="es-ES_tradnl"/>
        </w:rPr>
        <w:t xml:space="preserve">, que pueden celebrar las entidades estatales. Históricamente, dicha tipología se encontraba regulada en el artículo 138 del Decreto Ley 150 del 1976 y en el artículo 163 del Decreto Ley 222 de 1983. Se trata de un contrato típico, ya que se encuentra definido en la ley y, por tanto, en las condiciones descritas en los artículos 13, 32 y 40 del EGCAP, su regulación desplaza las reglas del arrendamiento de servicios inmateriales de que tratan los artículos 2063 y siguientes del Código Civil. </w:t>
      </w:r>
    </w:p>
    <w:p w14:paraId="5870BF83" w14:textId="52F3AE70" w:rsidR="00BB1C8C" w:rsidRDefault="00BB1C8C" w:rsidP="00BF6219">
      <w:pPr>
        <w:spacing w:after="0" w:line="276" w:lineRule="auto"/>
        <w:ind w:firstLine="708"/>
        <w:jc w:val="both"/>
        <w:rPr>
          <w:rFonts w:ascii="Verdana" w:eastAsia="Calibri" w:hAnsi="Verdana" w:cs="Arial"/>
          <w:color w:val="000000"/>
          <w:lang w:val="es-ES_tradnl"/>
        </w:rPr>
      </w:pPr>
      <w:r w:rsidRPr="00884819">
        <w:rPr>
          <w:rFonts w:ascii="Verdana" w:eastAsia="Calibri" w:hAnsi="Verdana" w:cs="Arial"/>
          <w:color w:val="000000"/>
          <w:lang w:val="es-ES_tradnl"/>
        </w:rPr>
        <w:t xml:space="preserve">Actualmente, </w:t>
      </w:r>
      <w:r w:rsidR="0044375F">
        <w:rPr>
          <w:rFonts w:ascii="Verdana" w:eastAsia="Calibri" w:hAnsi="Verdana" w:cs="Arial"/>
          <w:color w:val="000000"/>
          <w:lang w:val="es-ES_tradnl"/>
        </w:rPr>
        <w:t xml:space="preserve">dicho contrato se encuentra consagrado en </w:t>
      </w:r>
      <w:r w:rsidRPr="00884819">
        <w:rPr>
          <w:rFonts w:ascii="Verdana" w:eastAsia="Calibri" w:hAnsi="Verdana" w:cs="Arial"/>
          <w:color w:val="000000"/>
          <w:lang w:val="es-ES_tradnl"/>
        </w:rPr>
        <w:t xml:space="preserve">el artículo 32, numeral 3º, de la Ley 80 de 1993, </w:t>
      </w:r>
      <w:r w:rsidR="0044375F">
        <w:rPr>
          <w:rFonts w:ascii="Verdana" w:eastAsia="Calibri" w:hAnsi="Verdana" w:cs="Arial"/>
          <w:color w:val="000000"/>
          <w:lang w:val="es-ES_tradnl"/>
        </w:rPr>
        <w:t xml:space="preserve">el cual </w:t>
      </w:r>
      <w:r w:rsidRPr="00884819">
        <w:rPr>
          <w:rFonts w:ascii="Verdana" w:eastAsia="Calibri" w:hAnsi="Verdana" w:cs="Arial"/>
          <w:color w:val="000000"/>
          <w:lang w:val="es-ES_tradnl"/>
        </w:rPr>
        <w:t>establece:</w:t>
      </w:r>
    </w:p>
    <w:p w14:paraId="3DF0AD6A" w14:textId="77777777" w:rsidR="00A75DA2" w:rsidRPr="00884819" w:rsidRDefault="00A75DA2" w:rsidP="00BF6219">
      <w:pPr>
        <w:spacing w:after="0" w:line="276" w:lineRule="auto"/>
        <w:jc w:val="both"/>
        <w:rPr>
          <w:rFonts w:ascii="Verdana" w:eastAsia="Calibri" w:hAnsi="Verdana" w:cs="Arial"/>
          <w:color w:val="000000"/>
          <w:lang w:val="es-ES_tradnl"/>
        </w:rPr>
      </w:pPr>
    </w:p>
    <w:p w14:paraId="786FECD0" w14:textId="77777777" w:rsidR="00BB1C8C" w:rsidRPr="00692C00" w:rsidRDefault="00BB1C8C" w:rsidP="00BF6219">
      <w:pPr>
        <w:spacing w:after="0" w:line="240" w:lineRule="auto"/>
        <w:ind w:left="709" w:right="652"/>
        <w:jc w:val="both"/>
        <w:rPr>
          <w:rFonts w:ascii="Verdana" w:eastAsia="Calibri" w:hAnsi="Verdana" w:cs="Arial"/>
          <w:color w:val="000000"/>
          <w:sz w:val="20"/>
          <w:szCs w:val="20"/>
          <w:lang w:val="es-ES_tradnl"/>
        </w:rPr>
      </w:pPr>
      <w:r w:rsidRPr="00692C00">
        <w:rPr>
          <w:rFonts w:ascii="Verdana" w:eastAsia="Calibri" w:hAnsi="Verdana" w:cs="Arial"/>
          <w:color w:val="000000"/>
          <w:sz w:val="20"/>
          <w:szCs w:val="20"/>
          <w:lang w:val="es-ES_tradnl"/>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78DCDACD" w14:textId="77777777" w:rsidR="00BB1C8C" w:rsidRDefault="00BB1C8C" w:rsidP="00BF6219">
      <w:pPr>
        <w:spacing w:after="0" w:line="240" w:lineRule="auto"/>
        <w:ind w:left="709" w:right="652"/>
        <w:jc w:val="both"/>
        <w:rPr>
          <w:rFonts w:ascii="Verdana" w:eastAsia="Calibri" w:hAnsi="Verdana" w:cs="Arial"/>
          <w:color w:val="000000"/>
          <w:sz w:val="20"/>
          <w:szCs w:val="20"/>
          <w:lang w:val="es-ES_tradnl"/>
        </w:rPr>
      </w:pPr>
    </w:p>
    <w:p w14:paraId="4BC2D266" w14:textId="77777777" w:rsidR="00BB1C8C" w:rsidRPr="00884819" w:rsidRDefault="00BB1C8C" w:rsidP="00BF6219">
      <w:pPr>
        <w:spacing w:after="0" w:line="240" w:lineRule="auto"/>
        <w:ind w:left="709" w:right="652"/>
        <w:jc w:val="both"/>
        <w:rPr>
          <w:rFonts w:ascii="Verdana" w:eastAsia="Calibri" w:hAnsi="Verdana" w:cs="Arial"/>
          <w:color w:val="000000"/>
          <w:sz w:val="21"/>
          <w:szCs w:val="21"/>
          <w:lang w:val="es-ES_tradnl"/>
        </w:rPr>
      </w:pPr>
      <w:r w:rsidRPr="00692C00">
        <w:rPr>
          <w:rFonts w:ascii="Verdana" w:eastAsia="Calibri" w:hAnsi="Verdana" w:cs="Arial"/>
          <w:color w:val="000000"/>
          <w:sz w:val="20"/>
          <w:szCs w:val="20"/>
          <w:lang w:val="es-ES_tradnl"/>
        </w:rPr>
        <w:lastRenderedPageBreak/>
        <w:t>En ningún caso estos contratos generan relación laboral ni prestaciones sociales y se celebrarán por el término estrictamente indispensable”.</w:t>
      </w:r>
    </w:p>
    <w:p w14:paraId="0C0E6A80" w14:textId="77777777" w:rsidR="00BB1C8C" w:rsidRPr="00884819" w:rsidRDefault="00BB1C8C" w:rsidP="00DB4215">
      <w:pPr>
        <w:tabs>
          <w:tab w:val="left" w:pos="284"/>
        </w:tabs>
        <w:spacing w:after="0" w:line="276" w:lineRule="auto"/>
        <w:contextualSpacing/>
        <w:jc w:val="both"/>
        <w:rPr>
          <w:rFonts w:ascii="Verdana" w:eastAsia="Calibri" w:hAnsi="Verdana" w:cs="Arial"/>
          <w:b/>
          <w:color w:val="000000"/>
          <w:lang w:val="es-ES_tradnl"/>
        </w:rPr>
      </w:pPr>
    </w:p>
    <w:p w14:paraId="20186301" w14:textId="5107009C" w:rsidR="00BB1C8C" w:rsidRDefault="00BB1C8C" w:rsidP="00DB4215">
      <w:pPr>
        <w:spacing w:after="0" w:line="276" w:lineRule="auto"/>
        <w:ind w:firstLine="709"/>
        <w:jc w:val="both"/>
        <w:rPr>
          <w:rFonts w:ascii="Verdana" w:eastAsia="Calibri" w:hAnsi="Verdana" w:cs="Arial"/>
          <w:color w:val="000000"/>
          <w:lang w:val="es-ES_tradnl"/>
        </w:rPr>
      </w:pPr>
      <w:r w:rsidRPr="00884819">
        <w:rPr>
          <w:rFonts w:ascii="Verdana" w:eastAsia="Calibri" w:hAnsi="Verdana" w:cs="Arial"/>
          <w:color w:val="000000"/>
          <w:lang w:val="es-ES_tradnl"/>
        </w:rPr>
        <w:t>A pesar de la derogatoria del literal d) del artículo 24.1 del Estatuto General, la celebración de dicho contrato se realiza a través de la modalidad de la contratación directa. Así lo prevé el artículo 2, numeral 4º, literal h), de la Ley 1150 de 2007, que dispone:</w:t>
      </w:r>
    </w:p>
    <w:p w14:paraId="14AF308C" w14:textId="77777777" w:rsidR="00DB4215" w:rsidRPr="00884819" w:rsidRDefault="00DB4215" w:rsidP="00BF6219">
      <w:pPr>
        <w:spacing w:after="0" w:line="276" w:lineRule="auto"/>
        <w:ind w:firstLine="709"/>
        <w:jc w:val="both"/>
        <w:rPr>
          <w:rFonts w:ascii="Verdana" w:eastAsia="Calibri" w:hAnsi="Verdana" w:cs="Arial"/>
          <w:color w:val="000000"/>
          <w:lang w:val="es-ES_tradnl"/>
        </w:rPr>
      </w:pPr>
    </w:p>
    <w:p w14:paraId="629AE12C" w14:textId="77777777" w:rsidR="00BB1C8C" w:rsidRDefault="00BB1C8C" w:rsidP="00BF6219">
      <w:pPr>
        <w:spacing w:after="0" w:line="240" w:lineRule="auto"/>
        <w:ind w:left="709" w:right="709"/>
        <w:jc w:val="both"/>
        <w:rPr>
          <w:rFonts w:ascii="Verdana" w:eastAsia="Calibri" w:hAnsi="Verdana" w:cs="Arial"/>
          <w:color w:val="000000"/>
          <w:sz w:val="20"/>
          <w:szCs w:val="20"/>
          <w:lang w:val="es-ES_tradnl"/>
        </w:rPr>
      </w:pPr>
      <w:r>
        <w:rPr>
          <w:rFonts w:ascii="Verdana" w:eastAsia="Calibri" w:hAnsi="Verdana" w:cs="Arial"/>
          <w:color w:val="000000"/>
          <w:sz w:val="20"/>
          <w:szCs w:val="20"/>
          <w:lang w:val="es-ES_tradnl"/>
        </w:rPr>
        <w:t>“(…)</w:t>
      </w:r>
    </w:p>
    <w:p w14:paraId="6ABD3D95" w14:textId="77777777" w:rsidR="00BB1C8C" w:rsidRPr="00692C00" w:rsidRDefault="00BB1C8C" w:rsidP="00BF6219">
      <w:pPr>
        <w:spacing w:after="0" w:line="240" w:lineRule="auto"/>
        <w:ind w:left="709" w:right="709"/>
        <w:jc w:val="both"/>
        <w:rPr>
          <w:rFonts w:ascii="Verdana" w:eastAsia="Calibri" w:hAnsi="Verdana" w:cs="Arial"/>
          <w:color w:val="000000"/>
          <w:sz w:val="20"/>
          <w:szCs w:val="20"/>
          <w:lang w:val="es-ES_tradnl"/>
        </w:rPr>
      </w:pPr>
    </w:p>
    <w:p w14:paraId="78F06CD8" w14:textId="77777777" w:rsidR="00BB1C8C" w:rsidRPr="00692C00" w:rsidRDefault="00BB1C8C" w:rsidP="00BF6219">
      <w:pPr>
        <w:spacing w:after="0" w:line="240" w:lineRule="auto"/>
        <w:ind w:left="709" w:right="709"/>
        <w:jc w:val="both"/>
        <w:rPr>
          <w:rFonts w:ascii="Verdana" w:eastAsia="Calibri" w:hAnsi="Verdana" w:cs="Arial"/>
          <w:color w:val="000000"/>
          <w:sz w:val="20"/>
          <w:szCs w:val="20"/>
          <w:lang w:val="es-ES"/>
        </w:rPr>
      </w:pPr>
      <w:r w:rsidRPr="00692C00">
        <w:rPr>
          <w:rFonts w:ascii="Verdana" w:eastAsia="Calibri" w:hAnsi="Verdana" w:cs="Arial"/>
          <w:color w:val="000000" w:themeColor="text1"/>
          <w:sz w:val="20"/>
          <w:szCs w:val="20"/>
          <w:lang w:val="es-ES"/>
        </w:rPr>
        <w:t>Contratación directa. La modalidad de selección de contratación directa solamente procederá en los siguientes casos:</w:t>
      </w:r>
    </w:p>
    <w:p w14:paraId="3A8C9401" w14:textId="77777777" w:rsidR="00BB1C8C" w:rsidRDefault="00BB1C8C" w:rsidP="00BF6219">
      <w:pPr>
        <w:spacing w:after="0" w:line="240" w:lineRule="auto"/>
        <w:ind w:left="709" w:right="709"/>
        <w:jc w:val="both"/>
        <w:rPr>
          <w:rFonts w:ascii="Verdana" w:eastAsia="Calibri" w:hAnsi="Verdana" w:cs="Arial"/>
          <w:color w:val="000000"/>
          <w:sz w:val="20"/>
          <w:szCs w:val="20"/>
          <w:lang w:val="es-ES_tradnl"/>
        </w:rPr>
      </w:pPr>
    </w:p>
    <w:p w14:paraId="3E16B5D1" w14:textId="77777777" w:rsidR="00BB1C8C" w:rsidRDefault="00BB1C8C" w:rsidP="00BF6219">
      <w:pPr>
        <w:spacing w:after="0" w:line="240" w:lineRule="auto"/>
        <w:ind w:left="709" w:right="709"/>
        <w:jc w:val="both"/>
        <w:rPr>
          <w:rFonts w:ascii="Verdana" w:eastAsia="Calibri" w:hAnsi="Verdana" w:cs="Arial"/>
          <w:color w:val="000000"/>
          <w:sz w:val="20"/>
          <w:szCs w:val="20"/>
          <w:lang w:val="es-ES_tradnl"/>
        </w:rPr>
      </w:pPr>
      <w:r>
        <w:rPr>
          <w:rFonts w:ascii="Verdana" w:eastAsia="Calibri" w:hAnsi="Verdana" w:cs="Arial"/>
          <w:color w:val="000000"/>
          <w:sz w:val="20"/>
          <w:szCs w:val="20"/>
          <w:lang w:val="es-ES_tradnl"/>
        </w:rPr>
        <w:t>(…)</w:t>
      </w:r>
    </w:p>
    <w:p w14:paraId="0849E966" w14:textId="77777777" w:rsidR="00BB1C8C" w:rsidRPr="00692C00" w:rsidRDefault="00BB1C8C" w:rsidP="00BF6219">
      <w:pPr>
        <w:spacing w:after="0" w:line="240" w:lineRule="auto"/>
        <w:ind w:left="709" w:right="709"/>
        <w:jc w:val="both"/>
        <w:rPr>
          <w:rFonts w:ascii="Verdana" w:eastAsia="Calibri" w:hAnsi="Verdana" w:cs="Arial"/>
          <w:color w:val="000000"/>
          <w:sz w:val="20"/>
          <w:szCs w:val="20"/>
          <w:lang w:val="es-ES_tradnl"/>
        </w:rPr>
      </w:pPr>
    </w:p>
    <w:p w14:paraId="168B92B3" w14:textId="77777777" w:rsidR="00BB1C8C" w:rsidRDefault="00BB1C8C" w:rsidP="00BF6219">
      <w:pPr>
        <w:spacing w:after="0" w:line="240" w:lineRule="auto"/>
        <w:ind w:left="709" w:right="709"/>
        <w:jc w:val="both"/>
        <w:rPr>
          <w:rFonts w:ascii="Verdana" w:eastAsia="Calibri" w:hAnsi="Verdana" w:cs="Arial"/>
          <w:color w:val="000000"/>
          <w:sz w:val="20"/>
          <w:szCs w:val="20"/>
          <w:lang w:val="es-ES_tradnl"/>
        </w:rPr>
      </w:pPr>
      <w:r w:rsidRPr="00692C00">
        <w:rPr>
          <w:rFonts w:ascii="Verdana" w:eastAsia="Calibri" w:hAnsi="Verdana" w:cs="Arial"/>
          <w:color w:val="000000"/>
          <w:sz w:val="20"/>
          <w:szCs w:val="20"/>
          <w:lang w:val="es-ES_tradnl"/>
        </w:rPr>
        <w:t>h) Para la prestación de servicios profesionales y de apoyo a la gestión, o para la ejecución de trabajos artísticos que sólo puedan encomendarse a determinadas personas naturales”.</w:t>
      </w:r>
    </w:p>
    <w:p w14:paraId="038789B0" w14:textId="77777777" w:rsidR="00BB1C8C" w:rsidRDefault="00BB1C8C" w:rsidP="00BB1C8C">
      <w:pPr>
        <w:spacing w:after="0" w:line="240" w:lineRule="auto"/>
        <w:ind w:left="709" w:right="616"/>
        <w:jc w:val="both"/>
        <w:rPr>
          <w:rFonts w:ascii="Verdana" w:eastAsia="Calibri" w:hAnsi="Verdana" w:cs="Arial"/>
          <w:color w:val="000000"/>
          <w:sz w:val="20"/>
          <w:szCs w:val="20"/>
          <w:lang w:val="es-ES_tradnl"/>
        </w:rPr>
      </w:pPr>
    </w:p>
    <w:p w14:paraId="01B9E24F" w14:textId="77777777" w:rsidR="00BB1C8C" w:rsidRPr="00627B03" w:rsidRDefault="00BB1C8C" w:rsidP="00BF6219">
      <w:pPr>
        <w:spacing w:after="120" w:line="276" w:lineRule="auto"/>
        <w:ind w:firstLine="709"/>
        <w:jc w:val="both"/>
        <w:rPr>
          <w:rFonts w:ascii="Verdana" w:hAnsi="Verdana"/>
        </w:rPr>
      </w:pPr>
      <w:r>
        <w:rPr>
          <w:rFonts w:ascii="Verdana" w:eastAsia="Calibri" w:hAnsi="Verdana" w:cs="Arial"/>
          <w:bCs/>
          <w:lang w:val="es-ES_tradnl"/>
        </w:rPr>
        <w:t>De acuerdo con lo anterior, debe advertirse que l</w:t>
      </w:r>
      <w:r w:rsidRPr="00627B03">
        <w:rPr>
          <w:rFonts w:ascii="Verdana" w:eastAsia="Calibri" w:hAnsi="Verdana" w:cs="Arial"/>
          <w:bCs/>
          <w:lang w:val="es-ES_tradnl"/>
        </w:rPr>
        <w:t>a planeación contractual es una herramienta de gerencia pública, la cual exige estructurar el proceso contractual dedicando tiempo y esfuerzos para elaborar estudios previos, con el fin de determinar la necesidad que pretende satisfacer y cuál es la mejor manera de hacerlo, consultando el tipo de bienes y servicios que ofrece el mercado y cuáles son sus características, especificaciones, precios, costos, riesgos, garantías, disponibilidad, oferentes, etc., que conlleven a una diligente escogencia de la mejor oferta para beneficiar los intereses y fines públicos inmersos en la contratación de las entidades estatales</w:t>
      </w:r>
      <w:r w:rsidRPr="00627B03">
        <w:rPr>
          <w:rFonts w:ascii="Verdana" w:eastAsia="Calibri" w:hAnsi="Verdana" w:cs="Arial"/>
          <w:bCs/>
          <w:sz w:val="21"/>
          <w:szCs w:val="21"/>
          <w:lang w:val="es-ES_tradnl"/>
        </w:rPr>
        <w:t>.</w:t>
      </w:r>
    </w:p>
    <w:p w14:paraId="532B9B1C" w14:textId="30BF683B" w:rsidR="00BB1C8C" w:rsidRPr="00627B03" w:rsidRDefault="00BB1C8C" w:rsidP="00BB1C8C">
      <w:pPr>
        <w:pStyle w:val="Sinespaciado"/>
        <w:spacing w:before="120" w:line="276" w:lineRule="auto"/>
        <w:ind w:firstLine="708"/>
        <w:jc w:val="both"/>
        <w:rPr>
          <w:rFonts w:ascii="Verdana" w:hAnsi="Verdana" w:cs="Arial"/>
          <w:bCs/>
          <w:sz w:val="22"/>
          <w:lang w:val="es-ES"/>
        </w:rPr>
      </w:pPr>
      <w:r w:rsidRPr="00627B03">
        <w:rPr>
          <w:rFonts w:ascii="Verdana" w:hAnsi="Verdana" w:cs="Arial"/>
          <w:bCs/>
          <w:sz w:val="22"/>
        </w:rPr>
        <w:t xml:space="preserve">El </w:t>
      </w:r>
      <w:r w:rsidR="00DC73A8">
        <w:rPr>
          <w:rFonts w:ascii="Verdana" w:hAnsi="Verdana" w:cs="Arial"/>
          <w:bCs/>
          <w:sz w:val="22"/>
        </w:rPr>
        <w:t>EGCAP</w:t>
      </w:r>
      <w:r w:rsidRPr="00627B03">
        <w:rPr>
          <w:rFonts w:ascii="Verdana" w:hAnsi="Verdana" w:cs="Arial"/>
          <w:bCs/>
          <w:sz w:val="22"/>
        </w:rPr>
        <w:t xml:space="preserve"> contiene disposiciones que demandan de las entidades estatales el deber de realizar planeación en la etapa precontractual, para que los procesos de contratación satisfagan las necesidades de la Administración, cumplan sus fines, logren la continua y eficiente prestación de los servicios públicos y permitan la efectividad de los derechos e intereses de los administrados que colaboran en la consecución. En relación con el valor del futuro contrato y su correlativo respaldo presupuestal, se tienen, por ejemplo, las siguientes reglas derivadas de la aplicación del principio de economía previsto en el artículo 25 de la Ley 80 de 1993: </w:t>
      </w:r>
    </w:p>
    <w:p w14:paraId="4AEA53AC" w14:textId="77777777" w:rsidR="00BB1C8C" w:rsidRPr="00627B03" w:rsidRDefault="00BB1C8C" w:rsidP="00BB1C8C">
      <w:pPr>
        <w:pStyle w:val="Sinespaciado"/>
        <w:spacing w:line="276" w:lineRule="auto"/>
        <w:jc w:val="both"/>
        <w:rPr>
          <w:rFonts w:ascii="Verdana" w:hAnsi="Verdana" w:cs="Arial"/>
          <w:bCs/>
          <w:sz w:val="22"/>
          <w:lang w:val="es-ES"/>
        </w:rPr>
      </w:pPr>
    </w:p>
    <w:p w14:paraId="1A98B771" w14:textId="77777777" w:rsidR="00BB1C8C" w:rsidRPr="000B037E" w:rsidRDefault="00BB1C8C" w:rsidP="00DC73A8">
      <w:pPr>
        <w:pStyle w:val="Sinespaciado"/>
        <w:ind w:left="709" w:right="709"/>
        <w:jc w:val="both"/>
        <w:rPr>
          <w:rFonts w:ascii="Verdana" w:hAnsi="Verdana" w:cs="Arial"/>
          <w:sz w:val="20"/>
          <w:szCs w:val="20"/>
        </w:rPr>
      </w:pPr>
      <w:r w:rsidRPr="000B037E">
        <w:rPr>
          <w:rFonts w:ascii="Verdana" w:hAnsi="Verdana" w:cs="Arial"/>
          <w:sz w:val="20"/>
          <w:szCs w:val="20"/>
        </w:rPr>
        <w:lastRenderedPageBreak/>
        <w:t>“7o. La conveniencia o inconveniencia del objeto a contratar y las autorizaciones y aprobaciones para ello, se analizarán o impartirán con antelación al inicio del proceso de selección del contratista o al de la firma del contrato, según el caso.</w:t>
      </w:r>
    </w:p>
    <w:p w14:paraId="6FC2283D" w14:textId="77777777" w:rsidR="00BB1C8C" w:rsidRPr="000B037E" w:rsidRDefault="00BB1C8C" w:rsidP="00AE4BD5">
      <w:pPr>
        <w:pStyle w:val="Sinespaciado"/>
        <w:ind w:left="709" w:right="709"/>
        <w:jc w:val="both"/>
        <w:rPr>
          <w:rFonts w:ascii="Verdana" w:hAnsi="Verdana" w:cs="Arial"/>
          <w:sz w:val="20"/>
          <w:szCs w:val="20"/>
        </w:rPr>
      </w:pPr>
      <w:r w:rsidRPr="000B037E">
        <w:rPr>
          <w:rFonts w:ascii="Verdana" w:hAnsi="Verdana" w:cs="Arial"/>
          <w:sz w:val="20"/>
          <w:szCs w:val="20"/>
        </w:rPr>
        <w:t>[…]</w:t>
      </w:r>
    </w:p>
    <w:p w14:paraId="28967BF9" w14:textId="77777777" w:rsidR="00BF6219" w:rsidRDefault="00BF6219">
      <w:pPr>
        <w:pStyle w:val="Sinespaciado"/>
        <w:ind w:left="709" w:right="709"/>
        <w:jc w:val="both"/>
        <w:rPr>
          <w:rFonts w:ascii="Verdana" w:hAnsi="Verdana" w:cs="Arial"/>
          <w:sz w:val="20"/>
          <w:szCs w:val="20"/>
        </w:rPr>
      </w:pPr>
    </w:p>
    <w:p w14:paraId="068EA33A" w14:textId="6C057641" w:rsidR="00BB1C8C" w:rsidRPr="000B037E" w:rsidRDefault="00BB1C8C">
      <w:pPr>
        <w:pStyle w:val="Sinespaciado"/>
        <w:ind w:left="709" w:right="709"/>
        <w:jc w:val="both"/>
        <w:rPr>
          <w:rFonts w:ascii="Verdana" w:hAnsi="Verdana" w:cs="Arial"/>
          <w:sz w:val="20"/>
          <w:szCs w:val="20"/>
        </w:rPr>
      </w:pPr>
      <w:r w:rsidRPr="000B037E">
        <w:rPr>
          <w:rFonts w:ascii="Verdana" w:hAnsi="Verdana" w:cs="Arial"/>
          <w:sz w:val="20"/>
          <w:szCs w:val="20"/>
        </w:rPr>
        <w:t>12. Previo a la apertura de un proceso de selección, o a la firma del contrato en el caso en que la modalidad de selección sea contratación directa, deberán elaborarse los estudios, diseños y proyectos requeridos, y los pliegos de condiciones, según corresponda.</w:t>
      </w:r>
    </w:p>
    <w:p w14:paraId="29188D50" w14:textId="77777777" w:rsidR="00BB1C8C" w:rsidRPr="000B037E" w:rsidRDefault="00BB1C8C">
      <w:pPr>
        <w:pStyle w:val="Sinespaciado"/>
        <w:ind w:left="709" w:right="709"/>
        <w:jc w:val="both"/>
        <w:rPr>
          <w:rFonts w:ascii="Verdana" w:hAnsi="Verdana" w:cs="Arial"/>
          <w:sz w:val="20"/>
          <w:szCs w:val="20"/>
        </w:rPr>
      </w:pPr>
      <w:r w:rsidRPr="000B037E">
        <w:rPr>
          <w:rFonts w:ascii="Verdana" w:hAnsi="Verdana" w:cs="Arial"/>
          <w:sz w:val="20"/>
          <w:szCs w:val="20"/>
        </w:rPr>
        <w:t>Cuando el objeto de la contratación incluya la realización de una obra, en la misma oportunidad señalada en el inciso primero, la entidad contratante deberá contar con los estudios y diseños que permitan establecer la viabilidad del proyecto y su impacto social, económico y ambiental. Esta condición será aplicable incluso para los contratos que incluyan dentro del objeto el diseño.</w:t>
      </w:r>
    </w:p>
    <w:p w14:paraId="2DF1F41B" w14:textId="77777777" w:rsidR="00BB1C8C" w:rsidRPr="000B037E" w:rsidRDefault="00BB1C8C">
      <w:pPr>
        <w:spacing w:after="0" w:line="240" w:lineRule="auto"/>
        <w:ind w:left="709" w:right="709"/>
        <w:jc w:val="both"/>
        <w:rPr>
          <w:rFonts w:ascii="Verdana" w:hAnsi="Verdana" w:cs="Arial"/>
          <w:sz w:val="20"/>
          <w:szCs w:val="20"/>
        </w:rPr>
      </w:pPr>
      <w:r w:rsidRPr="000B037E">
        <w:rPr>
          <w:rFonts w:ascii="Verdana" w:hAnsi="Verdana" w:cs="Arial"/>
          <w:sz w:val="20"/>
          <w:szCs w:val="20"/>
        </w:rPr>
        <w:t>13. Las autoridades constituirán las reservas y compromisos presupuestales necesarios, tomando como base el valor de las prestaciones al momento de celebrar el contrato y el estimativo de los ajustes resultantes de la aplicación de la cláusula de actualización de precios.</w:t>
      </w:r>
    </w:p>
    <w:p w14:paraId="362E7292" w14:textId="77777777" w:rsidR="00BB1C8C" w:rsidRPr="000B037E" w:rsidRDefault="00BB1C8C">
      <w:pPr>
        <w:spacing w:after="0" w:line="240" w:lineRule="auto"/>
        <w:ind w:left="709" w:right="709"/>
        <w:jc w:val="both"/>
        <w:rPr>
          <w:rFonts w:ascii="Verdana" w:hAnsi="Verdana" w:cs="Arial"/>
          <w:sz w:val="20"/>
          <w:szCs w:val="20"/>
        </w:rPr>
      </w:pPr>
      <w:r w:rsidRPr="000B037E">
        <w:rPr>
          <w:rFonts w:ascii="Verdana" w:hAnsi="Verdana" w:cs="Arial"/>
          <w:sz w:val="20"/>
          <w:szCs w:val="20"/>
        </w:rPr>
        <w:t xml:space="preserve">14. Las entidades incluirán en sus presupuestos anuales una apropiación global destinada a cubrir los costos imprevistos ocasionados por los retardos en los pagos, así como los que se originen en la revisión de los precios pactados por razón de los cambios o alteraciones en las condiciones iniciales de los contratos por ellas celebrados […]”. </w:t>
      </w:r>
    </w:p>
    <w:p w14:paraId="2EEE1ECF" w14:textId="77777777" w:rsidR="00BB1C8C" w:rsidRDefault="00BB1C8C" w:rsidP="00BF6219">
      <w:pPr>
        <w:spacing w:after="0" w:line="276" w:lineRule="auto"/>
        <w:ind w:left="709" w:right="709"/>
        <w:jc w:val="both"/>
        <w:rPr>
          <w:rFonts w:ascii="Verdana" w:hAnsi="Verdana" w:cs="Arial"/>
        </w:rPr>
      </w:pPr>
    </w:p>
    <w:p w14:paraId="1D3A4924" w14:textId="30CCB204" w:rsidR="004A0413" w:rsidRDefault="00BB1C8C" w:rsidP="004A0413">
      <w:pPr>
        <w:spacing w:after="120" w:line="276" w:lineRule="auto"/>
        <w:ind w:right="51" w:firstLine="709"/>
        <w:jc w:val="both"/>
        <w:rPr>
          <w:rFonts w:ascii="Verdana" w:hAnsi="Verdana" w:cs="Arial"/>
          <w:lang w:val="es-ES_tradnl"/>
        </w:rPr>
      </w:pPr>
      <w:r w:rsidRPr="000B037E">
        <w:rPr>
          <w:rFonts w:ascii="Verdana" w:hAnsi="Verdana" w:cs="Arial"/>
          <w:lang w:val="es-ES"/>
        </w:rPr>
        <w:t xml:space="preserve">Lo anterior le permitirá a la </w:t>
      </w:r>
      <w:r w:rsidR="00DC73A8">
        <w:rPr>
          <w:rFonts w:ascii="Verdana" w:hAnsi="Verdana" w:cs="Arial"/>
          <w:lang w:val="es-ES"/>
        </w:rPr>
        <w:t>e</w:t>
      </w:r>
      <w:r w:rsidRPr="000B037E">
        <w:rPr>
          <w:rFonts w:ascii="Verdana" w:hAnsi="Verdana" w:cs="Arial"/>
          <w:lang w:val="es-ES"/>
        </w:rPr>
        <w:t xml:space="preserve">ntidad </w:t>
      </w:r>
      <w:r w:rsidR="00DC73A8">
        <w:rPr>
          <w:rFonts w:ascii="Verdana" w:hAnsi="Verdana" w:cs="Arial"/>
          <w:lang w:val="es-ES"/>
        </w:rPr>
        <w:t>e</w:t>
      </w:r>
      <w:r w:rsidRPr="000B037E">
        <w:rPr>
          <w:rFonts w:ascii="Verdana" w:hAnsi="Verdana" w:cs="Arial"/>
          <w:lang w:val="es-ES"/>
        </w:rPr>
        <w:t xml:space="preserve">statal identificar desde el punto de vista técnico y financiero el objeto del contrato, las particularidades de su ejecución, los potenciales proponentes, requisitos mínimos para evaluar la idoneidad del contratista, así </w:t>
      </w:r>
      <w:r w:rsidRPr="000B037E">
        <w:rPr>
          <w:rFonts w:ascii="Verdana" w:hAnsi="Verdana" w:cs="Arial"/>
          <w:lang w:val="es-ES_tradnl"/>
        </w:rPr>
        <w:t>como analizar todas las variables que puedan afectar el procedimiento de selección, celebración y ejecución del contrato. Tal es la importancia de los estudios y documentos previos que su deficiencia o ausencia, “genera prácticas indebidas, revocatoria de actos administrativos de apertura, declaratorias de desierta de procesos de selección, comisión de faltas disciplinarias, mayores costos o mayor permanencia de la obra y, en general, el fracaso en la ejecución de contratos estatales”</w:t>
      </w:r>
      <w:r w:rsidRPr="000B037E">
        <w:rPr>
          <w:rFonts w:ascii="Verdana" w:hAnsi="Verdana" w:cs="Arial"/>
          <w:vertAlign w:val="superscript"/>
          <w:lang w:val="es-ES_tradnl"/>
        </w:rPr>
        <w:footnoteReference w:id="1"/>
      </w:r>
      <w:r w:rsidRPr="000B037E">
        <w:rPr>
          <w:rFonts w:ascii="Verdana" w:hAnsi="Verdana" w:cs="Arial"/>
          <w:lang w:val="es-ES_tradnl"/>
        </w:rPr>
        <w:t xml:space="preserve">. </w:t>
      </w:r>
    </w:p>
    <w:p w14:paraId="0020C7E4" w14:textId="430E6002" w:rsidR="00BB1C8C" w:rsidRDefault="00BB1C8C" w:rsidP="004A0413">
      <w:pPr>
        <w:spacing w:after="0" w:line="276" w:lineRule="auto"/>
        <w:ind w:right="51" w:firstLine="709"/>
        <w:jc w:val="both"/>
        <w:rPr>
          <w:rFonts w:ascii="Verdana" w:hAnsi="Verdana" w:cs="Arial"/>
          <w:lang w:val="es-ES_tradnl"/>
        </w:rPr>
      </w:pPr>
      <w:r w:rsidRPr="000B037E">
        <w:rPr>
          <w:rFonts w:ascii="Verdana" w:hAnsi="Verdana" w:cs="Arial"/>
          <w:lang w:val="es-ES_tradnl"/>
        </w:rPr>
        <w:lastRenderedPageBreak/>
        <w:t>En congruencia con el artículo 25 de la Ley 80 de 1993, el Decreto Único Reglamentario del Sector Administrativo de Planeación Nacional –Decreto 1082 de 2015–, dispone en el artículo 2.2.1.1.2.1.1 el contenido mínimo de los estudios y documentos previos:</w:t>
      </w:r>
    </w:p>
    <w:p w14:paraId="19860BAA" w14:textId="77777777" w:rsidR="004A0413" w:rsidRPr="000B037E" w:rsidRDefault="004A0413" w:rsidP="00BF6219">
      <w:pPr>
        <w:spacing w:after="0" w:line="276" w:lineRule="auto"/>
        <w:ind w:right="51" w:firstLine="709"/>
        <w:jc w:val="both"/>
        <w:rPr>
          <w:rFonts w:ascii="Verdana" w:hAnsi="Verdana" w:cs="Arial"/>
          <w:lang w:val="es-ES_tradnl"/>
        </w:rPr>
      </w:pPr>
    </w:p>
    <w:p w14:paraId="04A11D65" w14:textId="77777777" w:rsidR="00BB1C8C" w:rsidRPr="004A0413" w:rsidRDefault="00BB1C8C" w:rsidP="00BF6219">
      <w:pPr>
        <w:spacing w:after="0" w:line="240" w:lineRule="auto"/>
        <w:ind w:left="709" w:right="709"/>
        <w:jc w:val="both"/>
        <w:rPr>
          <w:rFonts w:ascii="Verdana" w:hAnsi="Verdana" w:cs="Arial"/>
          <w:sz w:val="20"/>
          <w:szCs w:val="20"/>
          <w:lang w:val="es-ES_tradnl"/>
        </w:rPr>
      </w:pPr>
      <w:r w:rsidRPr="004A0413">
        <w:rPr>
          <w:rFonts w:ascii="Verdana" w:hAnsi="Verdana" w:cs="Arial"/>
          <w:sz w:val="20"/>
          <w:szCs w:val="20"/>
          <w:lang w:val="es-ES_tradnl"/>
        </w:rPr>
        <w:t xml:space="preserve">“Artículo 2.2.1.1.2.1.1. </w:t>
      </w:r>
      <w:r w:rsidRPr="004A0413">
        <w:rPr>
          <w:rFonts w:ascii="Verdana" w:hAnsi="Verdana" w:cs="Arial"/>
          <w:i/>
          <w:iCs/>
          <w:sz w:val="20"/>
          <w:szCs w:val="20"/>
          <w:u w:val="single"/>
          <w:lang w:val="es-ES_tradnl"/>
        </w:rPr>
        <w:t>Los estudios y documentos previos son el soporte para elaborar el proyecto de pliegos, los pliegos de condiciones y el contrato</w:t>
      </w:r>
      <w:r w:rsidRPr="004A0413">
        <w:rPr>
          <w:rFonts w:ascii="Verdana" w:hAnsi="Verdana" w:cs="Arial"/>
          <w:sz w:val="20"/>
          <w:szCs w:val="20"/>
          <w:lang w:val="es-ES_tradnl"/>
        </w:rPr>
        <w:t xml:space="preserve">. Estos deben permanecer a disposición del público durante el desarrollo del Proceso de Contratación y contener los siguientes elementos, además de los indicados para cada modalidad de selección: </w:t>
      </w:r>
    </w:p>
    <w:p w14:paraId="33F15B93" w14:textId="77777777" w:rsidR="00BB1C8C" w:rsidRPr="004A0413" w:rsidRDefault="00BB1C8C" w:rsidP="00BF6219">
      <w:pPr>
        <w:spacing w:after="0" w:line="240" w:lineRule="auto"/>
        <w:ind w:left="709" w:right="709"/>
        <w:jc w:val="both"/>
        <w:rPr>
          <w:rFonts w:ascii="Verdana" w:hAnsi="Verdana" w:cs="Arial"/>
          <w:sz w:val="20"/>
          <w:szCs w:val="20"/>
          <w:lang w:val="es-ES_tradnl"/>
        </w:rPr>
      </w:pPr>
    </w:p>
    <w:p w14:paraId="4D52DADF" w14:textId="77777777" w:rsidR="00BB1C8C" w:rsidRPr="004A0413" w:rsidRDefault="00BB1C8C" w:rsidP="00BF6219">
      <w:pPr>
        <w:spacing w:after="0" w:line="240" w:lineRule="auto"/>
        <w:ind w:left="709" w:right="709"/>
        <w:jc w:val="both"/>
        <w:rPr>
          <w:rFonts w:ascii="Verdana" w:hAnsi="Verdana" w:cs="Arial"/>
          <w:sz w:val="20"/>
          <w:szCs w:val="20"/>
          <w:lang w:val="es-ES_tradnl"/>
        </w:rPr>
      </w:pPr>
      <w:r w:rsidRPr="004A0413">
        <w:rPr>
          <w:rFonts w:ascii="Verdana" w:hAnsi="Verdana" w:cs="Arial"/>
          <w:sz w:val="20"/>
          <w:szCs w:val="20"/>
          <w:lang w:val="es-ES_tradnl"/>
        </w:rPr>
        <w:t xml:space="preserve">1. La descripción de la necesidad que la Entidad Estatal pretende satisfacer con el Proceso de Contratación. </w:t>
      </w:r>
      <w:r w:rsidRPr="004A0413">
        <w:rPr>
          <w:rFonts w:ascii="Arial" w:hAnsi="Arial" w:cs="Arial"/>
          <w:sz w:val="20"/>
          <w:szCs w:val="20"/>
          <w:lang w:val="es-ES_tradnl"/>
        </w:rPr>
        <w:t>​</w:t>
      </w:r>
    </w:p>
    <w:p w14:paraId="7EA38712" w14:textId="77777777" w:rsidR="00BB1C8C" w:rsidRPr="004A0413" w:rsidRDefault="00BB1C8C" w:rsidP="00BF6219">
      <w:pPr>
        <w:spacing w:after="0" w:line="240" w:lineRule="auto"/>
        <w:ind w:left="709" w:right="709"/>
        <w:jc w:val="both"/>
        <w:rPr>
          <w:rFonts w:ascii="Verdana" w:hAnsi="Verdana" w:cs="Arial"/>
          <w:sz w:val="20"/>
          <w:szCs w:val="20"/>
          <w:lang w:val="es-ES_tradnl"/>
        </w:rPr>
      </w:pPr>
    </w:p>
    <w:p w14:paraId="6281AED4" w14:textId="77777777" w:rsidR="00BB1C8C" w:rsidRPr="004A0413" w:rsidRDefault="00BB1C8C" w:rsidP="00BF6219">
      <w:pPr>
        <w:spacing w:after="0" w:line="240" w:lineRule="auto"/>
        <w:ind w:left="709" w:right="709"/>
        <w:jc w:val="both"/>
        <w:rPr>
          <w:rFonts w:ascii="Verdana" w:hAnsi="Verdana" w:cs="Arial"/>
          <w:sz w:val="20"/>
          <w:szCs w:val="20"/>
          <w:lang w:val="es-ES_tradnl"/>
        </w:rPr>
      </w:pPr>
      <w:r w:rsidRPr="004A0413">
        <w:rPr>
          <w:rFonts w:ascii="Verdana" w:hAnsi="Verdana" w:cs="Arial"/>
          <w:sz w:val="20"/>
          <w:szCs w:val="20"/>
          <w:lang w:val="es-ES_tradnl"/>
        </w:rPr>
        <w:t xml:space="preserve">2. El objeto a contratar, con sus especificaciones, las autorizaciones, permisos y licencias requeridos para su ejecución, y cuando el contrato incluye diseño y construcción, los documentos técnicos para el desarrollo del proyecto. </w:t>
      </w:r>
    </w:p>
    <w:p w14:paraId="241CED6F" w14:textId="77777777" w:rsidR="00BB1C8C" w:rsidRPr="004A0413" w:rsidRDefault="00BB1C8C" w:rsidP="00BF6219">
      <w:pPr>
        <w:spacing w:after="0" w:line="240" w:lineRule="auto"/>
        <w:ind w:left="709" w:right="709"/>
        <w:jc w:val="both"/>
        <w:rPr>
          <w:rFonts w:ascii="Verdana" w:hAnsi="Verdana" w:cs="Arial"/>
          <w:sz w:val="20"/>
          <w:szCs w:val="20"/>
          <w:lang w:val="es-ES_tradnl"/>
        </w:rPr>
      </w:pPr>
    </w:p>
    <w:p w14:paraId="04CD7CD1" w14:textId="77777777" w:rsidR="00BB1C8C" w:rsidRPr="004A0413" w:rsidRDefault="00BB1C8C" w:rsidP="00BF6219">
      <w:pPr>
        <w:spacing w:after="0" w:line="240" w:lineRule="auto"/>
        <w:ind w:left="709" w:right="709"/>
        <w:jc w:val="both"/>
        <w:rPr>
          <w:rFonts w:ascii="Verdana" w:hAnsi="Verdana" w:cs="Arial"/>
          <w:sz w:val="20"/>
          <w:szCs w:val="20"/>
          <w:lang w:val="es-ES_tradnl"/>
        </w:rPr>
      </w:pPr>
      <w:r w:rsidRPr="004A0413">
        <w:rPr>
          <w:rFonts w:ascii="Verdana" w:hAnsi="Verdana" w:cs="Arial"/>
          <w:sz w:val="20"/>
          <w:szCs w:val="20"/>
          <w:lang w:val="es-ES_tradnl"/>
        </w:rPr>
        <w:t xml:space="preserve">3. La modalidad de selección del contratista y su justificación, incluyendo los fundamentos jurídicos. </w:t>
      </w:r>
    </w:p>
    <w:p w14:paraId="5A3A07F6" w14:textId="77777777" w:rsidR="00BB1C8C" w:rsidRPr="004A0413" w:rsidRDefault="00BB1C8C" w:rsidP="00BF6219">
      <w:pPr>
        <w:spacing w:after="0" w:line="240" w:lineRule="auto"/>
        <w:ind w:left="709" w:right="709"/>
        <w:jc w:val="both"/>
        <w:rPr>
          <w:rFonts w:ascii="Verdana" w:hAnsi="Verdana" w:cs="Arial"/>
          <w:sz w:val="20"/>
          <w:szCs w:val="20"/>
          <w:lang w:val="es-ES_tradnl"/>
        </w:rPr>
      </w:pPr>
    </w:p>
    <w:p w14:paraId="7F503E62" w14:textId="77777777" w:rsidR="00BB1C8C" w:rsidRPr="004A0413" w:rsidRDefault="00BB1C8C" w:rsidP="00BF6219">
      <w:pPr>
        <w:spacing w:after="0" w:line="240" w:lineRule="auto"/>
        <w:ind w:left="709" w:right="709"/>
        <w:jc w:val="both"/>
        <w:rPr>
          <w:rFonts w:ascii="Verdana" w:hAnsi="Verdana" w:cs="Arial"/>
          <w:sz w:val="20"/>
          <w:szCs w:val="20"/>
          <w:lang w:val="es-ES"/>
        </w:rPr>
      </w:pPr>
      <w:r w:rsidRPr="004A0413">
        <w:rPr>
          <w:rFonts w:ascii="Verdana" w:hAnsi="Verdana" w:cs="Arial"/>
          <w:sz w:val="20"/>
          <w:szCs w:val="20"/>
          <w:lang w:val="es-ES"/>
        </w:rPr>
        <w:t xml:space="preserve">4. El valor estimado del contrato y la justificación del mismo. Cuando el valor del contrato esté determinado por precios unitarios, la Entidad Estatal debe incluir la forma como los calculó y soportar sus cálculos presupuestales en la estimación de aquellos. Si el contrato es de concesión, la Entidad Estatal no debe publicar el modelo financiero utilizado en su estructuración. </w:t>
      </w:r>
    </w:p>
    <w:p w14:paraId="44762385" w14:textId="77777777" w:rsidR="00BB1C8C" w:rsidRPr="004A0413" w:rsidRDefault="00BB1C8C" w:rsidP="00BF6219">
      <w:pPr>
        <w:spacing w:after="0" w:line="240" w:lineRule="auto"/>
        <w:ind w:left="709" w:right="709"/>
        <w:jc w:val="both"/>
        <w:rPr>
          <w:rFonts w:ascii="Verdana" w:hAnsi="Verdana" w:cs="Arial"/>
          <w:sz w:val="20"/>
          <w:szCs w:val="20"/>
          <w:lang w:val="es-ES_tradnl"/>
        </w:rPr>
      </w:pPr>
    </w:p>
    <w:p w14:paraId="033D9124" w14:textId="77777777" w:rsidR="00BB1C8C" w:rsidRPr="004A0413" w:rsidRDefault="00BB1C8C" w:rsidP="00BF6219">
      <w:pPr>
        <w:spacing w:after="0" w:line="240" w:lineRule="auto"/>
        <w:ind w:left="709" w:right="709"/>
        <w:jc w:val="both"/>
        <w:rPr>
          <w:rFonts w:ascii="Verdana" w:hAnsi="Verdana" w:cs="Arial"/>
          <w:sz w:val="20"/>
          <w:szCs w:val="20"/>
          <w:lang w:val="es-ES_tradnl"/>
        </w:rPr>
      </w:pPr>
      <w:r w:rsidRPr="004A0413">
        <w:rPr>
          <w:rFonts w:ascii="Verdana" w:hAnsi="Verdana" w:cs="Arial"/>
          <w:sz w:val="20"/>
          <w:szCs w:val="20"/>
          <w:lang w:val="es-ES_tradnl"/>
        </w:rPr>
        <w:t xml:space="preserve">5. Los criterios para seleccionar la oferta más favorable. </w:t>
      </w:r>
    </w:p>
    <w:p w14:paraId="6BF5D42A" w14:textId="77777777" w:rsidR="00BB1C8C" w:rsidRPr="004A0413" w:rsidRDefault="00BB1C8C" w:rsidP="00BF6219">
      <w:pPr>
        <w:spacing w:after="0" w:line="240" w:lineRule="auto"/>
        <w:ind w:left="709" w:right="709"/>
        <w:jc w:val="both"/>
        <w:rPr>
          <w:rFonts w:ascii="Verdana" w:hAnsi="Verdana" w:cs="Arial"/>
          <w:sz w:val="20"/>
          <w:szCs w:val="20"/>
          <w:lang w:val="es-ES_tradnl"/>
        </w:rPr>
      </w:pPr>
    </w:p>
    <w:p w14:paraId="50D9310A" w14:textId="77777777" w:rsidR="00BB1C8C" w:rsidRPr="004A0413" w:rsidRDefault="00BB1C8C" w:rsidP="00BF6219">
      <w:pPr>
        <w:spacing w:after="0" w:line="240" w:lineRule="auto"/>
        <w:ind w:left="709" w:right="709"/>
        <w:jc w:val="both"/>
        <w:rPr>
          <w:rFonts w:ascii="Verdana" w:hAnsi="Verdana" w:cs="Arial"/>
          <w:sz w:val="20"/>
          <w:szCs w:val="20"/>
          <w:lang w:val="es-ES_tradnl"/>
        </w:rPr>
      </w:pPr>
      <w:r w:rsidRPr="004A0413">
        <w:rPr>
          <w:rFonts w:ascii="Verdana" w:hAnsi="Verdana" w:cs="Arial"/>
          <w:sz w:val="20"/>
          <w:szCs w:val="20"/>
          <w:lang w:val="es-ES_tradnl"/>
        </w:rPr>
        <w:t xml:space="preserve">6. El análisis de Riesgo y la forma de mitigarlo. </w:t>
      </w:r>
    </w:p>
    <w:p w14:paraId="373B3F0D" w14:textId="77777777" w:rsidR="00BB1C8C" w:rsidRPr="004A0413" w:rsidRDefault="00BB1C8C" w:rsidP="00BF6219">
      <w:pPr>
        <w:spacing w:after="0" w:line="240" w:lineRule="auto"/>
        <w:ind w:left="709" w:right="709"/>
        <w:jc w:val="both"/>
        <w:rPr>
          <w:rFonts w:ascii="Verdana" w:hAnsi="Verdana" w:cs="Arial"/>
          <w:sz w:val="20"/>
          <w:szCs w:val="20"/>
          <w:lang w:val="es-ES_tradnl"/>
        </w:rPr>
      </w:pPr>
    </w:p>
    <w:p w14:paraId="76EE9735" w14:textId="77777777" w:rsidR="00BB1C8C" w:rsidRPr="004A0413" w:rsidRDefault="00BB1C8C" w:rsidP="00BF6219">
      <w:pPr>
        <w:spacing w:after="0" w:line="240" w:lineRule="auto"/>
        <w:ind w:left="709" w:right="709"/>
        <w:jc w:val="both"/>
        <w:rPr>
          <w:rFonts w:ascii="Verdana" w:hAnsi="Verdana" w:cs="Arial"/>
          <w:sz w:val="20"/>
          <w:szCs w:val="20"/>
          <w:lang w:val="es-ES_tradnl"/>
        </w:rPr>
      </w:pPr>
      <w:r w:rsidRPr="004A0413">
        <w:rPr>
          <w:rFonts w:ascii="Verdana" w:hAnsi="Verdana" w:cs="Arial"/>
          <w:sz w:val="20"/>
          <w:szCs w:val="20"/>
          <w:lang w:val="es-ES_tradnl"/>
        </w:rPr>
        <w:t xml:space="preserve">7. Las garantías que la Entidad Estatal contempla exigir en el proceso de contratación. </w:t>
      </w:r>
    </w:p>
    <w:p w14:paraId="3A2BC304" w14:textId="77777777" w:rsidR="00BB1C8C" w:rsidRPr="004A0413" w:rsidRDefault="00BB1C8C" w:rsidP="00BF6219">
      <w:pPr>
        <w:spacing w:after="0" w:line="240" w:lineRule="auto"/>
        <w:ind w:left="709" w:right="709"/>
        <w:jc w:val="both"/>
        <w:rPr>
          <w:rFonts w:ascii="Verdana" w:hAnsi="Verdana" w:cs="Arial"/>
          <w:sz w:val="20"/>
          <w:szCs w:val="20"/>
          <w:lang w:val="es-ES_tradnl"/>
        </w:rPr>
      </w:pPr>
    </w:p>
    <w:p w14:paraId="3BE5468C" w14:textId="77777777" w:rsidR="00BB1C8C" w:rsidRPr="004A0413" w:rsidRDefault="00BB1C8C" w:rsidP="00BF6219">
      <w:pPr>
        <w:spacing w:after="0" w:line="240" w:lineRule="auto"/>
        <w:ind w:left="709" w:right="709"/>
        <w:jc w:val="both"/>
        <w:rPr>
          <w:rFonts w:ascii="Verdana" w:hAnsi="Verdana" w:cs="Arial"/>
          <w:sz w:val="20"/>
          <w:szCs w:val="20"/>
          <w:lang w:val="es-ES_tradnl"/>
        </w:rPr>
      </w:pPr>
      <w:r w:rsidRPr="004A0413">
        <w:rPr>
          <w:rFonts w:ascii="Verdana" w:hAnsi="Verdana" w:cs="Arial"/>
          <w:sz w:val="20"/>
          <w:szCs w:val="20"/>
          <w:lang w:val="es-ES_tradnl"/>
        </w:rPr>
        <w:t xml:space="preserve">8. La indicación de si el proceso de contratación está cobijado por un acuerdo comercial. </w:t>
      </w:r>
    </w:p>
    <w:p w14:paraId="65D03762" w14:textId="77777777" w:rsidR="00BB1C8C" w:rsidRPr="004A0413" w:rsidRDefault="00BB1C8C" w:rsidP="00BF6219">
      <w:pPr>
        <w:spacing w:after="0" w:line="240" w:lineRule="auto"/>
        <w:ind w:left="709" w:right="709"/>
        <w:jc w:val="both"/>
        <w:rPr>
          <w:rFonts w:ascii="Verdana" w:hAnsi="Verdana" w:cs="Arial"/>
          <w:sz w:val="20"/>
          <w:szCs w:val="20"/>
          <w:lang w:val="es-ES_tradnl"/>
        </w:rPr>
      </w:pPr>
    </w:p>
    <w:p w14:paraId="7FE99239" w14:textId="77777777" w:rsidR="00BB1C8C" w:rsidRPr="004A0413" w:rsidRDefault="00BB1C8C" w:rsidP="00BF6219">
      <w:pPr>
        <w:spacing w:after="0" w:line="240" w:lineRule="auto"/>
        <w:ind w:left="709" w:right="709"/>
        <w:jc w:val="both"/>
        <w:rPr>
          <w:rFonts w:ascii="Verdana" w:hAnsi="Verdana" w:cs="Arial"/>
          <w:sz w:val="20"/>
          <w:szCs w:val="20"/>
          <w:lang w:val="es-ES_tradnl"/>
        </w:rPr>
      </w:pPr>
      <w:r w:rsidRPr="004A0413">
        <w:rPr>
          <w:rFonts w:ascii="Verdana" w:hAnsi="Verdana" w:cs="Arial"/>
          <w:sz w:val="20"/>
          <w:szCs w:val="20"/>
          <w:lang w:val="es-ES_tradnl"/>
        </w:rPr>
        <w:t>El presente artículo no es aplicable a la contratación por mínima cuantía”. (Énfasis fuera de texto)</w:t>
      </w:r>
    </w:p>
    <w:p w14:paraId="3E9B9CED" w14:textId="77777777" w:rsidR="00BB1C8C" w:rsidRPr="00BF6219" w:rsidRDefault="00BB1C8C" w:rsidP="00BF6219">
      <w:pPr>
        <w:spacing w:after="0" w:line="276" w:lineRule="auto"/>
        <w:ind w:left="709" w:right="616"/>
        <w:jc w:val="both"/>
        <w:rPr>
          <w:rFonts w:ascii="Verdana" w:hAnsi="Verdana" w:cs="Arial"/>
          <w:lang w:val="es-ES_tradnl"/>
        </w:rPr>
      </w:pPr>
    </w:p>
    <w:p w14:paraId="72E012A0" w14:textId="4AD18158" w:rsidR="00BB1C8C" w:rsidRPr="00B97C74" w:rsidRDefault="00BB1C8C" w:rsidP="00BB1C8C">
      <w:pPr>
        <w:spacing w:after="120" w:line="276" w:lineRule="auto"/>
        <w:ind w:right="51" w:firstLine="709"/>
        <w:jc w:val="both"/>
        <w:rPr>
          <w:rFonts w:ascii="Verdana" w:hAnsi="Verdana" w:cs="Arial"/>
          <w:lang w:val="es-MX"/>
        </w:rPr>
      </w:pPr>
      <w:r w:rsidRPr="00B97C74">
        <w:rPr>
          <w:rFonts w:ascii="Verdana" w:hAnsi="Verdana" w:cs="Arial"/>
          <w:lang w:val="es-MX"/>
        </w:rPr>
        <w:t xml:space="preserve">Más allá del cumplimiento de la normativa, “los estudios y documentos previos son el soporte para elaborar el proyecto de pliegos, los pliegos de </w:t>
      </w:r>
      <w:r w:rsidRPr="00B97C74">
        <w:rPr>
          <w:rFonts w:ascii="Verdana" w:hAnsi="Verdana" w:cs="Arial"/>
          <w:lang w:val="es-MX"/>
        </w:rPr>
        <w:lastRenderedPageBreak/>
        <w:t>condiciones, y el contrato”</w:t>
      </w:r>
      <w:r w:rsidRPr="00B97C74">
        <w:rPr>
          <w:rFonts w:ascii="Verdana" w:hAnsi="Verdana" w:cs="Arial"/>
          <w:vertAlign w:val="superscript"/>
          <w:lang w:val="es-MX"/>
        </w:rPr>
        <w:footnoteReference w:id="2"/>
      </w:r>
      <w:r w:rsidRPr="00B97C74">
        <w:rPr>
          <w:rFonts w:ascii="Verdana" w:hAnsi="Verdana" w:cs="Arial"/>
          <w:vertAlign w:val="superscript"/>
          <w:lang w:val="es-MX"/>
        </w:rPr>
        <w:t>,</w:t>
      </w:r>
      <w:r w:rsidRPr="00B97C74">
        <w:rPr>
          <w:rFonts w:ascii="Verdana" w:hAnsi="Verdana" w:cs="Arial"/>
          <w:lang w:val="es-MX"/>
        </w:rPr>
        <w:t xml:space="preserve"> por lo que deben publicarse en la etapa precontractual y sirven de motivación para los documentos expedidos unilateralmente por la </w:t>
      </w:r>
      <w:r w:rsidR="004A0413">
        <w:rPr>
          <w:rFonts w:ascii="Verdana" w:hAnsi="Verdana" w:cs="Arial"/>
          <w:lang w:val="es-MX"/>
        </w:rPr>
        <w:t>e</w:t>
      </w:r>
      <w:r w:rsidRPr="00B97C74">
        <w:rPr>
          <w:rFonts w:ascii="Verdana" w:hAnsi="Verdana" w:cs="Arial"/>
          <w:lang w:val="es-MX"/>
        </w:rPr>
        <w:t xml:space="preserve">ntidad </w:t>
      </w:r>
      <w:r w:rsidR="004A0413">
        <w:rPr>
          <w:rFonts w:ascii="Verdana" w:hAnsi="Verdana" w:cs="Arial"/>
          <w:lang w:val="es-MX"/>
        </w:rPr>
        <w:t>e</w:t>
      </w:r>
      <w:r w:rsidRPr="00B97C74">
        <w:rPr>
          <w:rFonts w:ascii="Verdana" w:hAnsi="Verdana" w:cs="Arial"/>
          <w:lang w:val="es-MX"/>
        </w:rPr>
        <w:t>statal tales como el acto administrativo de apertura, los pliegos de condiciones y el acto de adjudicación, entre otros. En ese sentido, los estudios y documentos previos son necesarios antes de la celebración del contrato, pues fundamentan las condiciones que la Entidad Estatal exige en sus procesos de contratación. Sin embargo, luego de la suscripción del contrato la entidad no debe actuar unilateralmente, sino que debe respetar la buena fe contractual y proceder de acuerdo con lo pactado</w:t>
      </w:r>
      <w:r w:rsidRPr="00B97C74">
        <w:rPr>
          <w:rFonts w:ascii="Verdana" w:hAnsi="Verdana" w:cs="Arial"/>
          <w:vertAlign w:val="superscript"/>
          <w:lang w:val="es-MX"/>
        </w:rPr>
        <w:footnoteReference w:id="3"/>
      </w:r>
      <w:r w:rsidRPr="00B97C74">
        <w:rPr>
          <w:rFonts w:ascii="Verdana" w:hAnsi="Verdana" w:cs="Arial"/>
          <w:vertAlign w:val="superscript"/>
          <w:lang w:val="es-MX"/>
        </w:rPr>
        <w:t>.</w:t>
      </w:r>
    </w:p>
    <w:p w14:paraId="19377EDC" w14:textId="77777777" w:rsidR="00BB1C8C" w:rsidRPr="00B97C74" w:rsidRDefault="00BB1C8C" w:rsidP="00BB1C8C">
      <w:pPr>
        <w:pStyle w:val="Sinespaciado"/>
        <w:spacing w:after="120" w:line="276" w:lineRule="auto"/>
        <w:ind w:firstLine="709"/>
        <w:jc w:val="both"/>
        <w:rPr>
          <w:rFonts w:ascii="Verdana" w:hAnsi="Verdana" w:cs="Arial"/>
          <w:sz w:val="21"/>
          <w:szCs w:val="21"/>
        </w:rPr>
      </w:pPr>
      <w:r w:rsidRPr="00627B03">
        <w:rPr>
          <w:rFonts w:ascii="Verdana" w:hAnsi="Verdana" w:cs="Arial"/>
          <w:sz w:val="22"/>
        </w:rPr>
        <w:t xml:space="preserve">De las normas citadas se resalta que, en virtud del principio de economía, para iniciar un proceso de contratación </w:t>
      </w:r>
      <w:r>
        <w:rPr>
          <w:rFonts w:ascii="Verdana" w:hAnsi="Verdana" w:cs="Arial"/>
          <w:sz w:val="22"/>
        </w:rPr>
        <w:t xml:space="preserve">o la celebración de un contrato </w:t>
      </w:r>
      <w:r w:rsidRPr="00627B03">
        <w:rPr>
          <w:rFonts w:ascii="Verdana" w:hAnsi="Verdana" w:cs="Arial"/>
          <w:sz w:val="22"/>
        </w:rPr>
        <w:t xml:space="preserve">se requiere </w:t>
      </w:r>
      <w:r>
        <w:rPr>
          <w:rFonts w:ascii="Verdana" w:hAnsi="Verdana" w:cs="Arial"/>
          <w:sz w:val="22"/>
        </w:rPr>
        <w:t xml:space="preserve">de los </w:t>
      </w:r>
      <w:r w:rsidRPr="00627B03">
        <w:rPr>
          <w:rFonts w:ascii="Verdana" w:hAnsi="Verdana" w:cs="Arial"/>
          <w:sz w:val="22"/>
        </w:rPr>
        <w:t xml:space="preserve">estudios previos que permitan estructurar, concretar y viabilizar los aspectos esenciales del futuro contrato, dentro de los cuales se encuentran su objeto y valor estimado, entre otros elementos. </w:t>
      </w:r>
    </w:p>
    <w:p w14:paraId="010A85C8" w14:textId="77777777" w:rsidR="00BB1C8C" w:rsidRPr="00627B03" w:rsidRDefault="00BB1C8C" w:rsidP="00BB1C8C">
      <w:pPr>
        <w:spacing w:after="120" w:line="276" w:lineRule="auto"/>
        <w:ind w:firstLine="709"/>
        <w:jc w:val="both"/>
        <w:rPr>
          <w:rFonts w:ascii="Verdana" w:eastAsia="Calibri" w:hAnsi="Verdana" w:cs="Arial"/>
          <w:lang w:val="es-ES"/>
        </w:rPr>
      </w:pPr>
      <w:r w:rsidRPr="7B4F50DD">
        <w:rPr>
          <w:rFonts w:ascii="Verdana" w:eastAsia="Calibri" w:hAnsi="Verdana" w:cs="Arial"/>
          <w:lang w:val="es-ES"/>
        </w:rPr>
        <w:t xml:space="preserve">Para cumplir este objetivo es necesario el estudio del mercado y el análisis del sector económico y de los oferentes, actividad de planeación previa que sirve para identificar aspectos concretos del mercado que pueden afectar el proceso de selección o las condiciones del negocio a realizar a través del proceso de contratación de bienes, obras o servicios. En este sentido, el artículo </w:t>
      </w:r>
      <w:bookmarkStart w:id="3" w:name="_Hlk36117416"/>
      <w:r w:rsidRPr="7B4F50DD">
        <w:rPr>
          <w:rFonts w:ascii="Verdana" w:eastAsia="Calibri" w:hAnsi="Verdana" w:cs="Arial"/>
          <w:lang w:val="es-ES"/>
        </w:rPr>
        <w:t>2.2.1.1.1.6.1 del Decreto 1082 de 2015</w:t>
      </w:r>
      <w:bookmarkEnd w:id="3"/>
      <w:r w:rsidRPr="7B4F50DD">
        <w:rPr>
          <w:rFonts w:ascii="Verdana" w:eastAsia="Calibri" w:hAnsi="Verdana" w:cs="Arial"/>
          <w:lang w:val="es-ES"/>
        </w:rPr>
        <w:t xml:space="preserve"> dispone lo siguiente: “La Entidad Estatal debe hacer, durante la etapa de planeación, el análisis necesario para conocer el sector relativo al objeto del Proceso de Contratación desde la perspectiva legal, comercial, financiera, organizacional, técnica, y de análisis de Riesgo. La Entidad Estatal debe dejar constancia de este análisis en los Documentos del Proceso”.</w:t>
      </w:r>
    </w:p>
    <w:p w14:paraId="0BBB048E" w14:textId="77777777" w:rsidR="00BB1C8C" w:rsidRPr="00627B03" w:rsidRDefault="00BB1C8C" w:rsidP="00BB1C8C">
      <w:pPr>
        <w:spacing w:after="120" w:line="276" w:lineRule="auto"/>
        <w:ind w:firstLine="709"/>
        <w:jc w:val="both"/>
        <w:rPr>
          <w:rFonts w:ascii="Verdana" w:eastAsia="Calibri" w:hAnsi="Verdana" w:cs="Arial"/>
          <w:lang w:val="es-ES"/>
        </w:rPr>
      </w:pPr>
      <w:r w:rsidRPr="7B4F50DD">
        <w:rPr>
          <w:rFonts w:ascii="Verdana" w:eastAsia="Calibri" w:hAnsi="Verdana" w:cs="Arial"/>
          <w:lang w:val="es-ES"/>
        </w:rPr>
        <w:t xml:space="preserve">De acuerdo con la norma citada, </w:t>
      </w:r>
      <w:bookmarkStart w:id="4" w:name="_Hlk36140682"/>
      <w:r w:rsidRPr="7B4F50DD">
        <w:rPr>
          <w:rFonts w:ascii="Verdana" w:eastAsia="Calibri" w:hAnsi="Verdana" w:cs="Arial"/>
          <w:lang w:val="es-ES"/>
        </w:rPr>
        <w:t xml:space="preserve">la entidad debe realizar el análisis necesario para conocer el sector relativo al objeto del proceso de contratación, </w:t>
      </w:r>
      <w:r w:rsidRPr="7B4F50DD">
        <w:rPr>
          <w:rFonts w:ascii="Verdana" w:eastAsia="Calibri" w:hAnsi="Verdana" w:cs="Arial"/>
          <w:lang w:val="es-ES"/>
        </w:rPr>
        <w:lastRenderedPageBreak/>
        <w:t>sin que sea relevante la modalidad de selección. Hacer un análisis desde la perspectiva legal implica la revisión de la regulación vigente para el mercado dentro del que se encuentra el objeto del contrato. La perspectiva comercial hace referencia a analizar quiénes pueden ofrecer el bien o servicio que se quiere contratar, cuáles son sus condiciones, si tienen condiciones especiales que sean relevantes para determinar los requisitos habilitantes, entre otros. Desde una perspectiva financiera, el análisis conlleva una revisión de las características financieras que se presentan dentro del mercado del bien o servicio, como por ejemplo el índice de endeudamiento que tienen las empresas o personas naturales que ofrecen dicho bien o servicio. Con la perspectiva organizacional se pretende que la entidad estatal entienda cómo están organizados internamente los posibles oferentes y de qué manera realizan sus negocios y operaciones.</w:t>
      </w:r>
    </w:p>
    <w:p w14:paraId="20AA6639" w14:textId="77777777" w:rsidR="00BB1C8C" w:rsidRPr="00627B03" w:rsidRDefault="00BB1C8C" w:rsidP="00BB1C8C">
      <w:pPr>
        <w:spacing w:after="120" w:line="276" w:lineRule="auto"/>
        <w:ind w:firstLine="709"/>
        <w:jc w:val="both"/>
        <w:rPr>
          <w:rFonts w:ascii="Verdana" w:eastAsia="Calibri" w:hAnsi="Verdana" w:cs="Arial"/>
          <w:bCs/>
          <w:lang w:val="es-ES_tradnl"/>
        </w:rPr>
      </w:pPr>
      <w:r w:rsidRPr="00627B03">
        <w:rPr>
          <w:rFonts w:ascii="Verdana" w:eastAsia="Calibri" w:hAnsi="Verdana" w:cs="Arial"/>
          <w:bCs/>
          <w:lang w:val="es-ES_tradnl"/>
        </w:rPr>
        <w:t>Para negociar de manera adecuada, es necesario conocer la estructura de los posibles contratistas, pues permite identificar la forma en la que suplirá los requerimientos de la entidad. El análisis del sector debe tener en cuenta el objeto del proceso de contratación, las condiciones del bien o servicio y las ventajas que representa para la Administración contratar el bien o servicio con el contratista. En este último punto, el análisis del sector permite sustentar la decisión de realizar un proceso de contratación desde el punto de vista de la eficiencia, eficacia y economía.</w:t>
      </w:r>
    </w:p>
    <w:p w14:paraId="4420653F" w14:textId="77777777" w:rsidR="00BB1C8C" w:rsidRPr="00627B03" w:rsidRDefault="00BB1C8C" w:rsidP="00BB1C8C">
      <w:pPr>
        <w:spacing w:after="120" w:line="276" w:lineRule="auto"/>
        <w:ind w:firstLine="709"/>
        <w:jc w:val="both"/>
        <w:rPr>
          <w:rFonts w:ascii="Verdana" w:eastAsia="Calibri" w:hAnsi="Verdana" w:cs="Arial"/>
          <w:bCs/>
          <w:lang w:val="es-ES_tradnl"/>
        </w:rPr>
      </w:pPr>
      <w:r w:rsidRPr="00627B03">
        <w:rPr>
          <w:rFonts w:ascii="Verdana" w:eastAsia="Calibri" w:hAnsi="Verdana" w:cs="Arial"/>
          <w:bCs/>
          <w:lang w:val="es-ES_tradnl"/>
        </w:rPr>
        <w:t xml:space="preserve">Dicho análisis facilita tanto el conocimiento del sector, desde una perspectiva multidisciplinaria, como de los proveedores disponibles en el mercado para satisfacer la necesidad de la entidad contratante. </w:t>
      </w:r>
      <w:r>
        <w:rPr>
          <w:rFonts w:ascii="Verdana" w:eastAsia="Calibri" w:hAnsi="Verdana" w:cs="Arial"/>
          <w:bCs/>
          <w:lang w:val="es-ES_tradnl"/>
        </w:rPr>
        <w:t>E</w:t>
      </w:r>
      <w:r w:rsidRPr="00627B03">
        <w:rPr>
          <w:rFonts w:ascii="Verdana" w:eastAsia="Calibri" w:hAnsi="Verdana" w:cs="Arial"/>
          <w:bCs/>
          <w:lang w:val="es-ES_tradnl"/>
        </w:rPr>
        <w:t>l análisis del sector implica un estudio de la oferta, lo que permitirá identificar qué proveedores existen en el mercado y cómo intervienen en la cadena de producción, comercialización y distribución de los bienes, obras o servicios. As</w:t>
      </w:r>
      <w:r>
        <w:rPr>
          <w:rFonts w:ascii="Verdana" w:eastAsia="Calibri" w:hAnsi="Verdana" w:cs="Arial"/>
          <w:bCs/>
          <w:lang w:val="es-ES_tradnl"/>
        </w:rPr>
        <w:t>i</w:t>
      </w:r>
      <w:r w:rsidRPr="00627B03">
        <w:rPr>
          <w:rFonts w:ascii="Verdana" w:eastAsia="Calibri" w:hAnsi="Verdana" w:cs="Arial"/>
          <w:bCs/>
          <w:lang w:val="es-ES_tradnl"/>
        </w:rPr>
        <w:t xml:space="preserve">mismo, podrá estudiar la demanda para determinar cómo las entidades estatales y los particulares adquieren esos bienes, obras o servicios para extraer las mejores prácticas e información para el proceso de contratación. </w:t>
      </w:r>
    </w:p>
    <w:bookmarkEnd w:id="4"/>
    <w:p w14:paraId="29D8FD7D" w14:textId="77777777" w:rsidR="00BB1C8C" w:rsidRPr="00627B03" w:rsidRDefault="00BB1C8C" w:rsidP="0403E054">
      <w:pPr>
        <w:spacing w:after="120" w:line="276" w:lineRule="auto"/>
        <w:ind w:firstLine="709"/>
        <w:jc w:val="both"/>
        <w:rPr>
          <w:rFonts w:ascii="Verdana" w:eastAsia="Calibri" w:hAnsi="Verdana" w:cs="Arial"/>
          <w:lang w:val="es-ES"/>
        </w:rPr>
      </w:pPr>
      <w:r w:rsidRPr="0403E054">
        <w:rPr>
          <w:rFonts w:ascii="Verdana" w:eastAsia="Calibri" w:hAnsi="Verdana" w:cs="Arial"/>
          <w:lang w:val="es-ES"/>
        </w:rPr>
        <w:t>Colombia Compra Eficiente dispone de una “Guía para la Elaboración de Estudios del Sector”</w:t>
      </w:r>
      <w:r w:rsidRPr="0403E054">
        <w:rPr>
          <w:rStyle w:val="Refdenotaalpie"/>
          <w:rFonts w:ascii="Verdana" w:eastAsia="Calibri" w:hAnsi="Verdana" w:cs="Arial"/>
          <w:lang w:val="es-ES"/>
        </w:rPr>
        <w:footnoteReference w:id="4"/>
      </w:r>
      <w:r w:rsidRPr="0403E054">
        <w:rPr>
          <w:rFonts w:ascii="Verdana" w:eastAsia="Calibri" w:hAnsi="Verdana" w:cs="Arial"/>
          <w:lang w:val="es-ES"/>
        </w:rPr>
        <w:t xml:space="preserve">, instrumento que sirve de apoyo para entender el mercado del bien, obra o servicio que la entidad estatal pretende adquirir para diseñar el proceso de contratación con la información necesaria para alcanzar los objetivos </w:t>
      </w:r>
      <w:r w:rsidRPr="0403E054">
        <w:rPr>
          <w:rFonts w:ascii="Verdana" w:eastAsia="Calibri" w:hAnsi="Verdana" w:cs="Arial"/>
          <w:lang w:val="es-ES"/>
        </w:rPr>
        <w:lastRenderedPageBreak/>
        <w:t>de eficacia, eficiencia, economía, promoción de la competencia y manejo del riesgo. En dicho instrumento, se recomienda que un análisis integral sobre varios aspectos del mercado –económico, técnico, regulatorio, etc.–, lo cual permitirá que la entidad delimite con precisión qué bienes y servicios existen, cuáles son las condiciones de su comercialización, cómo es la oferta y la demanda y cuáles son los factores que inciden en el valor del contrato, tales como el análisis de precios, las cargas tributarias, la tasa de cambio, las garantías, los gastos de transporte, etc.</w:t>
      </w:r>
    </w:p>
    <w:p w14:paraId="04816D3F" w14:textId="77777777" w:rsidR="00BB1C8C" w:rsidRPr="000B037E" w:rsidRDefault="00BB1C8C" w:rsidP="00BB1C8C">
      <w:pPr>
        <w:spacing w:after="120" w:line="276" w:lineRule="auto"/>
        <w:ind w:firstLine="708"/>
        <w:jc w:val="both"/>
        <w:rPr>
          <w:rFonts w:ascii="Verdana" w:eastAsia="Calibri" w:hAnsi="Verdana" w:cs="Arial"/>
          <w:lang w:val="es-ES"/>
        </w:rPr>
      </w:pPr>
      <w:r w:rsidRPr="7B4F50DD">
        <w:rPr>
          <w:rFonts w:ascii="Verdana" w:eastAsia="Calibri" w:hAnsi="Verdana" w:cs="Arial"/>
          <w:lang w:val="es-ES"/>
        </w:rPr>
        <w:t xml:space="preserve">Si bien los estudios del sector son de gran relevancia en los procesos de contratación donde existe pluralidad de oferentes, nada obsta para que se elaboren allí donde no existiría competencia. Para estos efectos, la guía mencionada en el precedente explica que “En la contratación directa, el estudio del sector debe tener en cuenta el objeto del Proceso de Contratación, particularmente las condiciones del contrato, como los plazos y formas de entrega y de pago. El estudio del sector debe permitir a la Entidad Estatal sustentar su decisión de hacer una contratación directa, la elección del proveedor y la forma en que se pacta el contrato desde el punto de vista de la eficiencia, eficacia y economía. La Entidad Estatal debe consignar en los Documentos del Proceso, bien sea en los estudios previos o en la información de soporte de los mismos, los aspectos de que trata el artículo 2.2.1.1.1.6.1 del Decreto 1082 de 2015 </w:t>
      </w:r>
      <w:r>
        <w:rPr>
          <w:rFonts w:ascii="Verdana" w:eastAsia="Calibri" w:hAnsi="Verdana" w:cs="Arial"/>
          <w:lang w:val="es-ES"/>
        </w:rPr>
        <w:t>(…)</w:t>
      </w:r>
      <w:r w:rsidRPr="7B4F50DD">
        <w:rPr>
          <w:rFonts w:ascii="Verdana" w:eastAsia="Calibri" w:hAnsi="Verdana" w:cs="Arial"/>
          <w:lang w:val="es-ES"/>
        </w:rPr>
        <w:t xml:space="preserve">”. </w:t>
      </w:r>
    </w:p>
    <w:p w14:paraId="7448AC47" w14:textId="77777777" w:rsidR="00BB1C8C" w:rsidRPr="00CA6FDA" w:rsidRDefault="00BB1C8C" w:rsidP="00BB1C8C">
      <w:pPr>
        <w:spacing w:after="120" w:line="276" w:lineRule="auto"/>
        <w:ind w:firstLine="709"/>
        <w:jc w:val="both"/>
        <w:rPr>
          <w:rFonts w:ascii="Verdana" w:eastAsia="Calibri" w:hAnsi="Verdana" w:cs="Arial"/>
          <w:color w:val="000000" w:themeColor="text1"/>
          <w:lang w:val="es-ES"/>
        </w:rPr>
      </w:pPr>
      <w:r>
        <w:rPr>
          <w:rFonts w:ascii="Verdana" w:hAnsi="Verdana" w:cs="Arial"/>
          <w:color w:val="000000"/>
          <w:shd w:val="clear" w:color="auto" w:fill="FFFFFF"/>
        </w:rPr>
        <w:t xml:space="preserve">Ahora bien, a través de </w:t>
      </w:r>
      <w:r w:rsidRPr="00CA6FDA">
        <w:rPr>
          <w:rFonts w:ascii="Verdana" w:eastAsia="Calibri" w:hAnsi="Verdana" w:cs="Arial"/>
          <w:color w:val="000000" w:themeColor="text1"/>
          <w:lang w:val="es-ES"/>
        </w:rPr>
        <w:t xml:space="preserve">la </w:t>
      </w:r>
      <w:r w:rsidRPr="00CA6FDA">
        <w:rPr>
          <w:rFonts w:ascii="Verdana" w:eastAsia="Calibri" w:hAnsi="Verdana" w:cs="Arial"/>
          <w:i/>
          <w:iCs/>
          <w:color w:val="000000" w:themeColor="text1"/>
          <w:lang w:val="es-ES"/>
        </w:rPr>
        <w:t>garantía de única de cumplimiento</w:t>
      </w:r>
      <w:r w:rsidRPr="00CA6FDA">
        <w:rPr>
          <w:rFonts w:ascii="Verdana" w:eastAsia="Calibri" w:hAnsi="Verdana" w:cs="Arial"/>
          <w:color w:val="000000" w:themeColor="text1"/>
          <w:lang w:val="es-ES"/>
        </w:rPr>
        <w:t>, el contratista ampara los perjuicios que le pueda generar a la entidad el incumplimiento de las obligaciones derivadas del contrato</w:t>
      </w:r>
      <w:r w:rsidRPr="00CA6FDA">
        <w:rPr>
          <w:rStyle w:val="Refdenotaalpie"/>
          <w:rFonts w:ascii="Verdana" w:eastAsia="Calibri" w:hAnsi="Verdana" w:cs="Arial"/>
          <w:color w:val="000000" w:themeColor="text1"/>
        </w:rPr>
        <w:footnoteReference w:id="5"/>
      </w:r>
      <w:r w:rsidRPr="00CA6FDA">
        <w:rPr>
          <w:rFonts w:ascii="Verdana" w:eastAsia="Calibri" w:hAnsi="Verdana" w:cs="Arial"/>
          <w:color w:val="000000" w:themeColor="text1"/>
          <w:lang w:val="es-ES"/>
        </w:rPr>
        <w:t xml:space="preserve">. En esta medida, tienen como objetivo reparar los perjuicios causados por conductas atribuibles al contratista, por lo que estos últimos son un presupuesto necesario para el pago que cubre la garantía. </w:t>
      </w:r>
      <w:r w:rsidRPr="00CA6FDA">
        <w:rPr>
          <w:rFonts w:ascii="Verdana" w:hAnsi="Verdana" w:cs="Arial"/>
          <w:color w:val="000000" w:themeColor="text1"/>
          <w:lang w:val="es-ES_tradnl"/>
        </w:rPr>
        <w:t>Para estos efectos es única, ya que “</w:t>
      </w:r>
      <w:r>
        <w:rPr>
          <w:rFonts w:ascii="Verdana" w:hAnsi="Verdana" w:cs="Arial"/>
          <w:color w:val="000000" w:themeColor="text1"/>
          <w:lang w:val="es-ES_tradnl"/>
        </w:rPr>
        <w:t>(…)</w:t>
      </w:r>
      <w:r w:rsidRPr="00CA6FDA">
        <w:rPr>
          <w:rFonts w:ascii="Verdana" w:hAnsi="Verdana" w:cs="Arial"/>
          <w:color w:val="000000" w:themeColor="text1"/>
          <w:lang w:val="es-ES_tradnl"/>
        </w:rPr>
        <w:t xml:space="preserve"> La prioridad </w:t>
      </w:r>
      <w:r>
        <w:rPr>
          <w:rFonts w:ascii="Verdana" w:hAnsi="Verdana" w:cs="Arial"/>
          <w:color w:val="000000" w:themeColor="text1"/>
          <w:lang w:val="es-ES_tradnl"/>
        </w:rPr>
        <w:t>(…)</w:t>
      </w:r>
      <w:r w:rsidRPr="00CA6FDA">
        <w:rPr>
          <w:rFonts w:ascii="Verdana" w:hAnsi="Verdana" w:cs="Arial"/>
          <w:color w:val="000000" w:themeColor="text1"/>
          <w:lang w:val="es-ES_tradnl"/>
        </w:rPr>
        <w:t xml:space="preserve"> es que no haya garantías separadas para los diferentes riesgos, aunque </w:t>
      </w:r>
      <w:r w:rsidRPr="00CA6FDA">
        <w:rPr>
          <w:rFonts w:ascii="Verdana" w:hAnsi="Verdana" w:cs="Arial"/>
          <w:color w:val="000000" w:themeColor="text1"/>
          <w:lang w:val="es-ES_tradnl"/>
        </w:rPr>
        <w:lastRenderedPageBreak/>
        <w:t xml:space="preserve">existan varias garantías para diferentes proporciones del interés asegurado </w:t>
      </w:r>
      <w:r>
        <w:rPr>
          <w:rFonts w:ascii="Verdana" w:hAnsi="Verdana" w:cs="Arial"/>
          <w:color w:val="000000" w:themeColor="text1"/>
          <w:lang w:val="es-ES_tradnl"/>
        </w:rPr>
        <w:t>(…)</w:t>
      </w:r>
      <w:r w:rsidRPr="00CA6FDA">
        <w:rPr>
          <w:rFonts w:ascii="Verdana" w:hAnsi="Verdana" w:cs="Arial"/>
          <w:color w:val="000000" w:themeColor="text1"/>
          <w:lang w:val="es-ES_tradnl"/>
        </w:rPr>
        <w:t>”</w:t>
      </w:r>
      <w:r w:rsidRPr="00CA6FDA">
        <w:rPr>
          <w:rStyle w:val="Refdenotaalpie"/>
          <w:rFonts w:ascii="Verdana" w:hAnsi="Verdana" w:cs="Arial"/>
          <w:color w:val="000000" w:themeColor="text1"/>
          <w:lang w:val="es-ES_tradnl"/>
        </w:rPr>
        <w:footnoteReference w:id="6"/>
      </w:r>
      <w:r w:rsidRPr="00CA6FDA">
        <w:rPr>
          <w:rFonts w:ascii="Verdana" w:hAnsi="Verdana" w:cs="Arial"/>
          <w:color w:val="000000" w:themeColor="text1"/>
          <w:lang w:val="es-ES_tradnl"/>
        </w:rPr>
        <w:t xml:space="preserve">.    </w:t>
      </w:r>
    </w:p>
    <w:p w14:paraId="230607F2" w14:textId="77777777" w:rsidR="00BB1C8C" w:rsidRPr="00CA6FDA" w:rsidRDefault="00BB1C8C" w:rsidP="00BB1C8C">
      <w:pPr>
        <w:spacing w:after="120" w:line="276" w:lineRule="auto"/>
        <w:ind w:firstLine="709"/>
        <w:jc w:val="both"/>
        <w:rPr>
          <w:rFonts w:ascii="Verdana" w:hAnsi="Verdana" w:cs="Arial"/>
          <w:color w:val="000000" w:themeColor="text1"/>
          <w:lang w:val="es-ES"/>
        </w:rPr>
      </w:pPr>
      <w:r w:rsidRPr="7B4F50DD">
        <w:rPr>
          <w:rFonts w:ascii="Verdana" w:hAnsi="Verdana" w:cs="Arial"/>
          <w:color w:val="000000" w:themeColor="text1"/>
          <w:lang w:val="es-ES"/>
        </w:rPr>
        <w:t xml:space="preserve">Desde esta perspectiva, constituye una obligación de seguridad, es decir, aquella donde el interés del acreedor no consiste en una utilidad específica y tangible, sino en la tranquilidad frente a ciertos riesgos por la cobertura de sus consecuencias nocivas. Conforme al inciso segundo del artículo 7 de la Ley 1150 de 2007, pueden otorgarse a través de: i) contratos de seguro, </w:t>
      </w:r>
      <w:proofErr w:type="spellStart"/>
      <w:r w:rsidRPr="7B4F50DD">
        <w:rPr>
          <w:rFonts w:ascii="Verdana" w:hAnsi="Verdana" w:cs="Arial"/>
          <w:color w:val="000000" w:themeColor="text1"/>
          <w:lang w:val="es-ES"/>
        </w:rPr>
        <w:t>ii</w:t>
      </w:r>
      <w:proofErr w:type="spellEnd"/>
      <w:r w:rsidRPr="7B4F50DD">
        <w:rPr>
          <w:rFonts w:ascii="Verdana" w:hAnsi="Verdana" w:cs="Arial"/>
          <w:color w:val="000000" w:themeColor="text1"/>
          <w:lang w:val="es-ES"/>
        </w:rPr>
        <w:t xml:space="preserve">) garantías bancarias o </w:t>
      </w:r>
      <w:proofErr w:type="spellStart"/>
      <w:r w:rsidRPr="7B4F50DD">
        <w:rPr>
          <w:rFonts w:ascii="Verdana" w:hAnsi="Verdana" w:cs="Arial"/>
          <w:color w:val="000000" w:themeColor="text1"/>
          <w:lang w:val="es-ES"/>
        </w:rPr>
        <w:t>iii</w:t>
      </w:r>
      <w:proofErr w:type="spellEnd"/>
      <w:r w:rsidRPr="7B4F50DD">
        <w:rPr>
          <w:rFonts w:ascii="Verdana" w:hAnsi="Verdana" w:cs="Arial"/>
          <w:color w:val="000000" w:themeColor="text1"/>
          <w:lang w:val="es-ES"/>
        </w:rPr>
        <w:t>) los demás mecanismos de cobertura del riesgo que disponga el reglamento. Igualmente establece que “</w:t>
      </w:r>
      <w:r>
        <w:rPr>
          <w:rFonts w:ascii="Verdana" w:hAnsi="Verdana" w:cs="Arial"/>
          <w:color w:val="000000" w:themeColor="text1"/>
          <w:lang w:val="es-ES"/>
        </w:rPr>
        <w:t xml:space="preserve">(…) </w:t>
      </w:r>
      <w:r w:rsidRPr="7B4F50DD">
        <w:rPr>
          <w:rFonts w:ascii="Verdana" w:hAnsi="Verdana" w:cs="Arial"/>
          <w:color w:val="000000" w:themeColor="text1"/>
          <w:lang w:val="es-ES"/>
        </w:rPr>
        <w:t>tratándose de pólizas, las mismas no expirarán por falta de pago de la prima o por revocatoria unilateral […]”. Esta norma es una excepción a la terminación automática del contrato de seguro prevista en los artículos 1068 y 1071 del Código de Comercio</w:t>
      </w:r>
      <w:r w:rsidRPr="7B4F50DD">
        <w:rPr>
          <w:rStyle w:val="Refdenotaalpie"/>
          <w:rFonts w:ascii="Verdana" w:hAnsi="Verdana" w:cs="Arial"/>
          <w:color w:val="000000" w:themeColor="text1"/>
          <w:lang w:val="es-ES"/>
        </w:rPr>
        <w:footnoteReference w:id="7"/>
      </w:r>
      <w:r w:rsidRPr="7B4F50DD">
        <w:rPr>
          <w:rFonts w:ascii="Verdana" w:hAnsi="Verdana" w:cs="Arial"/>
          <w:color w:val="000000" w:themeColor="text1"/>
          <w:lang w:val="es-ES"/>
        </w:rPr>
        <w:t>. De esta manera, las garantías previstas en la ley tienen como objetivo asegurar la solvencia del garante</w:t>
      </w:r>
      <w:r w:rsidRPr="7B4F50DD">
        <w:rPr>
          <w:rStyle w:val="Refdenotaalpie"/>
          <w:rFonts w:ascii="Verdana" w:hAnsi="Verdana" w:cs="Arial"/>
          <w:color w:val="000000" w:themeColor="text1"/>
          <w:lang w:val="es-ES"/>
        </w:rPr>
        <w:footnoteReference w:id="8"/>
      </w:r>
      <w:r w:rsidRPr="7B4F50DD">
        <w:rPr>
          <w:rFonts w:ascii="Verdana" w:hAnsi="Verdana" w:cs="Arial"/>
          <w:color w:val="000000" w:themeColor="text1"/>
          <w:lang w:val="es-ES"/>
        </w:rPr>
        <w:t>.</w:t>
      </w:r>
    </w:p>
    <w:p w14:paraId="396B94F9" w14:textId="77777777" w:rsidR="00BB1C8C" w:rsidRPr="00CA6FDA" w:rsidRDefault="00BB1C8C" w:rsidP="00BB1C8C">
      <w:pPr>
        <w:spacing w:after="120" w:line="276" w:lineRule="auto"/>
        <w:ind w:firstLine="708"/>
        <w:jc w:val="both"/>
        <w:rPr>
          <w:rFonts w:ascii="Verdana" w:hAnsi="Verdana" w:cs="Arial"/>
          <w:color w:val="000000" w:themeColor="text1"/>
        </w:rPr>
      </w:pPr>
      <w:r w:rsidRPr="00CA6FDA">
        <w:rPr>
          <w:rFonts w:ascii="Verdana" w:hAnsi="Verdana" w:cs="Arial"/>
          <w:color w:val="000000" w:themeColor="text1"/>
        </w:rPr>
        <w:t xml:space="preserve">El Decreto 1082 de 2015 reglamenta las condiciones en que debe cumplirse esta obligación. Los artículos 2.2.1.2.3.1.1 a 2.2.1.2.3.1.19 del Decreto Único Reglamentario del sector Administrativo de Planeación Nacional regulan asuntos como las clases de garantías permitidas, la indivisibilidad de las mismas, los diferentes riesgos que deben ser objeto de garantía, la vigencia y valores mínimos que deben cubrir los amparos, entre otros aspectos. </w:t>
      </w:r>
    </w:p>
    <w:p w14:paraId="6F3EE7ED" w14:textId="77777777" w:rsidR="00BB1C8C" w:rsidRDefault="00BB1C8C" w:rsidP="00BB1C8C">
      <w:pPr>
        <w:spacing w:before="120" w:after="0" w:line="276" w:lineRule="auto"/>
        <w:ind w:firstLine="708"/>
        <w:jc w:val="both"/>
        <w:rPr>
          <w:rFonts w:ascii="Verdana" w:eastAsia="Times New Roman" w:hAnsi="Verdana" w:cs="Arial"/>
          <w:color w:val="000000" w:themeColor="text1"/>
          <w:lang w:eastAsia="es-CO"/>
        </w:rPr>
      </w:pPr>
      <w:r w:rsidRPr="00CA6FDA">
        <w:rPr>
          <w:rFonts w:ascii="Verdana" w:hAnsi="Verdana" w:cs="Arial"/>
          <w:color w:val="000000" w:themeColor="text1"/>
        </w:rPr>
        <w:t xml:space="preserve">El artículo 2.2.1.2.3.1.3, por ejemplo, establece que la “garantía de cobertura del Riesgo es indivisible”, además de la obligación de los contratantes </w:t>
      </w:r>
      <w:r w:rsidRPr="00CA6FDA">
        <w:rPr>
          <w:rFonts w:ascii="Verdana" w:hAnsi="Verdana" w:cs="Arial"/>
          <w:color w:val="000000" w:themeColor="text1"/>
        </w:rPr>
        <w:lastRenderedPageBreak/>
        <w:t>de establecer en los pliegos de condiciones las garantías exigidas para cada periodo contractual</w:t>
      </w:r>
      <w:r w:rsidRPr="00CA6FDA">
        <w:rPr>
          <w:rStyle w:val="Refdenotaalpie"/>
          <w:rFonts w:ascii="Verdana" w:hAnsi="Verdana" w:cs="Arial"/>
          <w:color w:val="000000" w:themeColor="text1"/>
        </w:rPr>
        <w:footnoteReference w:id="9"/>
      </w:r>
      <w:r w:rsidRPr="00CA6FDA">
        <w:rPr>
          <w:rFonts w:ascii="Verdana" w:hAnsi="Verdana" w:cs="Arial"/>
          <w:color w:val="000000" w:themeColor="text1"/>
        </w:rPr>
        <w:t xml:space="preserve">. Por su parte, el artículo 2.2.1.3.1.7 prescribe que la garantía de cumplimiento debe cubrir: i) el buen manejo y correcta inversión del anticipo; </w:t>
      </w:r>
      <w:proofErr w:type="spellStart"/>
      <w:r w:rsidRPr="00CA6FDA">
        <w:rPr>
          <w:rFonts w:ascii="Verdana" w:hAnsi="Verdana" w:cs="Arial"/>
          <w:color w:val="000000" w:themeColor="text1"/>
        </w:rPr>
        <w:t>ii</w:t>
      </w:r>
      <w:proofErr w:type="spellEnd"/>
      <w:r w:rsidRPr="00CA6FDA">
        <w:rPr>
          <w:rFonts w:ascii="Verdana" w:hAnsi="Verdana" w:cs="Arial"/>
          <w:color w:val="000000" w:themeColor="text1"/>
        </w:rPr>
        <w:t xml:space="preserve">) la devolución del pago anticipado; </w:t>
      </w:r>
      <w:proofErr w:type="spellStart"/>
      <w:r w:rsidRPr="00CA6FDA">
        <w:rPr>
          <w:rFonts w:ascii="Verdana" w:hAnsi="Verdana" w:cs="Arial"/>
          <w:color w:val="000000" w:themeColor="text1"/>
        </w:rPr>
        <w:t>iii</w:t>
      </w:r>
      <w:proofErr w:type="spellEnd"/>
      <w:r w:rsidRPr="00CA6FDA">
        <w:rPr>
          <w:rFonts w:ascii="Verdana" w:hAnsi="Verdana" w:cs="Arial"/>
          <w:color w:val="000000" w:themeColor="text1"/>
        </w:rPr>
        <w:t xml:space="preserve">) el cumplimiento del contrato; </w:t>
      </w:r>
      <w:proofErr w:type="spellStart"/>
      <w:r w:rsidRPr="00CA6FDA">
        <w:rPr>
          <w:rFonts w:ascii="Verdana" w:hAnsi="Verdana" w:cs="Arial"/>
          <w:color w:val="000000" w:themeColor="text1"/>
        </w:rPr>
        <w:t>iv</w:t>
      </w:r>
      <w:proofErr w:type="spellEnd"/>
      <w:r w:rsidRPr="00CA6FDA">
        <w:rPr>
          <w:rFonts w:ascii="Verdana" w:hAnsi="Verdana" w:cs="Arial"/>
          <w:color w:val="000000" w:themeColor="text1"/>
        </w:rPr>
        <w:t xml:space="preserve">) el pago de salarios, prestaciones sociales legales e indemnizaciones laborales; v)  la estabilidad y calidad de la obra; vi) la </w:t>
      </w:r>
      <w:r w:rsidRPr="00CA6FDA">
        <w:rPr>
          <w:rFonts w:ascii="Verdana" w:eastAsia="Times New Roman" w:hAnsi="Verdana" w:cs="Arial"/>
          <w:color w:val="000000" w:themeColor="text1"/>
          <w:lang w:eastAsia="es-CO"/>
        </w:rPr>
        <w:t xml:space="preserve">calidad del servicio; </w:t>
      </w:r>
      <w:proofErr w:type="spellStart"/>
      <w:r w:rsidRPr="00CA6FDA">
        <w:rPr>
          <w:rFonts w:ascii="Verdana" w:eastAsia="Times New Roman" w:hAnsi="Verdana" w:cs="Arial"/>
          <w:color w:val="000000" w:themeColor="text1"/>
          <w:lang w:eastAsia="es-CO"/>
        </w:rPr>
        <w:t>vii</w:t>
      </w:r>
      <w:proofErr w:type="spellEnd"/>
      <w:r w:rsidRPr="00CA6FDA">
        <w:rPr>
          <w:rFonts w:ascii="Verdana" w:eastAsia="Times New Roman" w:hAnsi="Verdana" w:cs="Arial"/>
          <w:color w:val="000000" w:themeColor="text1"/>
          <w:lang w:eastAsia="es-CO"/>
        </w:rPr>
        <w:t xml:space="preserve">) la calidad y correcto funcionamiento de los bienes; y </w:t>
      </w:r>
      <w:proofErr w:type="spellStart"/>
      <w:r w:rsidRPr="00CA6FDA">
        <w:rPr>
          <w:rFonts w:ascii="Verdana" w:eastAsia="Times New Roman" w:hAnsi="Verdana" w:cs="Arial"/>
          <w:color w:val="000000" w:themeColor="text1"/>
          <w:lang w:eastAsia="es-CO"/>
        </w:rPr>
        <w:t>viii</w:t>
      </w:r>
      <w:proofErr w:type="spellEnd"/>
      <w:r w:rsidRPr="00CA6FDA">
        <w:rPr>
          <w:rFonts w:ascii="Verdana" w:eastAsia="Times New Roman" w:hAnsi="Verdana" w:cs="Arial"/>
          <w:color w:val="000000" w:themeColor="text1"/>
          <w:lang w:eastAsia="es-CO"/>
        </w:rPr>
        <w:t>) los demás incumplimientos de las obligaciones que la entidad estatal considere deben ser amparados</w:t>
      </w:r>
      <w:r w:rsidRPr="00CA6FDA">
        <w:rPr>
          <w:rStyle w:val="Refdenotaalpie"/>
          <w:rFonts w:ascii="Verdana" w:eastAsia="Times New Roman" w:hAnsi="Verdana" w:cs="Arial"/>
          <w:color w:val="000000" w:themeColor="text1"/>
          <w:lang w:eastAsia="es-CO"/>
        </w:rPr>
        <w:footnoteReference w:id="10"/>
      </w:r>
      <w:r w:rsidRPr="00CA6FDA">
        <w:rPr>
          <w:rFonts w:ascii="Verdana" w:eastAsia="Times New Roman" w:hAnsi="Verdana" w:cs="Arial"/>
          <w:color w:val="000000" w:themeColor="text1"/>
          <w:lang w:eastAsia="es-CO"/>
        </w:rPr>
        <w:t xml:space="preserve">. </w:t>
      </w:r>
    </w:p>
    <w:p w14:paraId="5B545646" w14:textId="77777777" w:rsidR="00BB1C8C" w:rsidRDefault="00BB1C8C" w:rsidP="00BB1C8C">
      <w:pPr>
        <w:spacing w:before="120" w:after="0" w:line="276" w:lineRule="auto"/>
        <w:ind w:firstLine="708"/>
        <w:jc w:val="both"/>
        <w:rPr>
          <w:rFonts w:ascii="Verdana" w:eastAsia="Times New Roman" w:hAnsi="Verdana" w:cs="Arial"/>
          <w:color w:val="000000" w:themeColor="text1"/>
          <w:lang w:eastAsia="es-CO"/>
        </w:rPr>
      </w:pPr>
      <w:r>
        <w:rPr>
          <w:rFonts w:ascii="Verdana" w:eastAsia="Times New Roman" w:hAnsi="Verdana" w:cs="Arial"/>
          <w:color w:val="000000" w:themeColor="text1"/>
          <w:lang w:eastAsia="es-CO"/>
        </w:rPr>
        <w:lastRenderedPageBreak/>
        <w:t xml:space="preserve">Conforme al artículo </w:t>
      </w:r>
      <w:r w:rsidRPr="00DA2A6A">
        <w:rPr>
          <w:rFonts w:ascii="Verdana" w:eastAsia="Times New Roman" w:hAnsi="Verdana" w:cs="Arial"/>
          <w:color w:val="000000" w:themeColor="text1"/>
          <w:lang w:eastAsia="es-CO"/>
        </w:rPr>
        <w:t>2.2.1.2.1.4.5</w:t>
      </w:r>
      <w:r>
        <w:rPr>
          <w:rFonts w:ascii="Verdana" w:eastAsia="Times New Roman" w:hAnsi="Verdana" w:cs="Arial"/>
          <w:color w:val="000000" w:themeColor="text1"/>
          <w:lang w:eastAsia="es-CO"/>
        </w:rPr>
        <w:t xml:space="preserve"> del Decreto 1082 de 2015, “</w:t>
      </w:r>
      <w:r w:rsidRPr="00DA2A6A">
        <w:rPr>
          <w:rFonts w:ascii="Verdana" w:eastAsia="Times New Roman" w:hAnsi="Verdana" w:cs="Arial"/>
          <w:color w:val="000000" w:themeColor="text1"/>
          <w:lang w:eastAsia="es-CO"/>
        </w:rPr>
        <w:t>En la contratación directa la exigencia de garantías establecidas en la Sección 3, que comprende los artículos 2.2.1.2.3.1.1 al 2.2.1.2.3.5.1.</w:t>
      </w:r>
      <w:r>
        <w:rPr>
          <w:rFonts w:ascii="Verdana" w:eastAsia="Times New Roman" w:hAnsi="Verdana" w:cs="Arial"/>
          <w:color w:val="000000" w:themeColor="text1"/>
          <w:lang w:eastAsia="es-CO"/>
        </w:rPr>
        <w:t xml:space="preserve"> </w:t>
      </w:r>
      <w:r w:rsidRPr="00DA2A6A">
        <w:rPr>
          <w:rFonts w:ascii="Verdana" w:eastAsia="Times New Roman" w:hAnsi="Verdana" w:cs="Arial"/>
          <w:color w:val="000000" w:themeColor="text1"/>
          <w:lang w:eastAsia="es-CO"/>
        </w:rPr>
        <w:t>del presente decreto no es obligatoria y la justificación para exigirlas o no debe estar en los estudios y documentos previos</w:t>
      </w:r>
      <w:r>
        <w:rPr>
          <w:rFonts w:ascii="Verdana" w:eastAsia="Times New Roman" w:hAnsi="Verdana" w:cs="Arial"/>
          <w:color w:val="000000" w:themeColor="text1"/>
          <w:lang w:eastAsia="es-CO"/>
        </w:rPr>
        <w:t>”</w:t>
      </w:r>
      <w:r w:rsidRPr="00DA2A6A">
        <w:rPr>
          <w:rFonts w:ascii="Verdana" w:eastAsia="Times New Roman" w:hAnsi="Verdana" w:cs="Arial"/>
          <w:color w:val="000000" w:themeColor="text1"/>
          <w:lang w:eastAsia="es-CO"/>
        </w:rPr>
        <w:t>.</w:t>
      </w:r>
      <w:r>
        <w:rPr>
          <w:rFonts w:ascii="Verdana" w:eastAsia="Times New Roman" w:hAnsi="Verdana" w:cs="Arial"/>
          <w:color w:val="000000" w:themeColor="text1"/>
          <w:lang w:eastAsia="es-CO"/>
        </w:rPr>
        <w:t xml:space="preserve"> </w:t>
      </w:r>
    </w:p>
    <w:p w14:paraId="4D7E99EA" w14:textId="77777777" w:rsidR="00BB1C8C" w:rsidRDefault="00BB1C8C" w:rsidP="00BB1C8C">
      <w:pPr>
        <w:spacing w:before="120" w:after="0" w:line="276" w:lineRule="auto"/>
        <w:ind w:firstLine="708"/>
        <w:jc w:val="both"/>
        <w:rPr>
          <w:rFonts w:ascii="Verdana" w:eastAsia="Times New Roman" w:hAnsi="Verdana" w:cs="Arial"/>
          <w:color w:val="000000" w:themeColor="text1"/>
          <w:lang w:eastAsia="es-CO"/>
        </w:rPr>
      </w:pPr>
      <w:r w:rsidRPr="00C1665C">
        <w:rPr>
          <w:rFonts w:ascii="Verdana" w:eastAsia="Calibri" w:hAnsi="Verdana" w:cs="Arial"/>
          <w:lang w:val="es-ES"/>
        </w:rPr>
        <w:t>Así las cosas, la exigencia de garantías en los contratos de prestación de servicios dependerá del análisis que en cada caso realice la Entidad Estatal en los estudios previos</w:t>
      </w:r>
      <w:r>
        <w:rPr>
          <w:rFonts w:ascii="Verdana" w:eastAsia="Calibri" w:hAnsi="Verdana" w:cs="Arial"/>
          <w:lang w:val="es-ES"/>
        </w:rPr>
        <w:t>, pues derivado del examen, el contratante podrá definir la necesidad a satisfacer y así mismo determinar si resulta necesario exigir o no al contratista la constitución de una garantía de cumplimiento con el fin de amparar los riesgos que se puedan desarrollar en la ejecución del contrato de prestación de servicios a celebrar</w:t>
      </w:r>
      <w:r w:rsidRPr="00C1665C">
        <w:rPr>
          <w:rFonts w:ascii="Verdana" w:eastAsia="Calibri" w:hAnsi="Verdana" w:cs="Arial"/>
          <w:lang w:val="es-ES"/>
        </w:rPr>
        <w:t>.</w:t>
      </w:r>
    </w:p>
    <w:p w14:paraId="0CE381B9" w14:textId="77777777" w:rsidR="00BB1C8C" w:rsidRDefault="00BB1C8C" w:rsidP="00BB1C8C">
      <w:pPr>
        <w:spacing w:before="120" w:after="0" w:line="276" w:lineRule="auto"/>
        <w:ind w:firstLine="708"/>
        <w:jc w:val="both"/>
        <w:rPr>
          <w:rFonts w:ascii="Verdana" w:eastAsia="Times New Roman" w:hAnsi="Verdana" w:cs="Arial"/>
          <w:color w:val="000000" w:themeColor="text1"/>
          <w:lang w:eastAsia="es-CO"/>
        </w:rPr>
      </w:pPr>
      <w:r w:rsidRPr="00462654">
        <w:rPr>
          <w:rFonts w:ascii="Verdana" w:hAnsi="Verdana" w:cs="Arial"/>
          <w:lang w:val="es-ES_tradnl" w:eastAsia="es-ES"/>
        </w:rPr>
        <w:t>A</w:t>
      </w:r>
      <w:r>
        <w:rPr>
          <w:rFonts w:ascii="Verdana" w:hAnsi="Verdana" w:cs="Arial"/>
          <w:lang w:val="es-ES_tradnl" w:eastAsia="es-ES"/>
        </w:rPr>
        <w:t xml:space="preserve">l </w:t>
      </w:r>
      <w:r w:rsidRPr="00462654">
        <w:rPr>
          <w:rFonts w:ascii="Verdana" w:hAnsi="Verdana" w:cs="Arial"/>
          <w:lang w:val="es-ES_tradnl" w:eastAsia="es-ES"/>
        </w:rPr>
        <w:t xml:space="preserve">margen de la explicación precedente debe advertirse que el análisis requerido para resolver problemas específicos en torno </w:t>
      </w:r>
      <w:r>
        <w:rPr>
          <w:rFonts w:ascii="Verdana" w:hAnsi="Verdana" w:cs="Arial"/>
          <w:lang w:val="es-ES_tradnl" w:eastAsia="es-ES"/>
        </w:rPr>
        <w:t>a la gestión contractual de las entidades públicas</w:t>
      </w:r>
      <w:r w:rsidRPr="00462654">
        <w:rPr>
          <w:rFonts w:ascii="Verdana" w:hAnsi="Verdana" w:cs="Arial"/>
          <w:lang w:val="es-ES_tradnl" w:eastAsia="es-ES"/>
        </w:rPr>
        <w:t xml:space="preserve"> debe ser realizado por quienes tengan interés en ello, de acuerdo con lo explicado la aclaración preliminar del presente oficio</w:t>
      </w:r>
      <w:r>
        <w:rPr>
          <w:rFonts w:ascii="Verdana" w:hAnsi="Verdana" w:cs="Arial"/>
          <w:lang w:val="es-ES_tradnl" w:eastAsia="es-ES"/>
        </w:rPr>
        <w:t xml:space="preserve">. </w:t>
      </w:r>
      <w:r w:rsidRPr="00462654">
        <w:rPr>
          <w:rFonts w:ascii="Verdana" w:hAnsi="Verdana" w:cs="Arial"/>
          <w:lang w:val="es-ES_tradnl" w:eastAsia="es-ES"/>
        </w:rPr>
        <w:t>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EF45646" w14:textId="77777777" w:rsidR="00BB1C8C" w:rsidRPr="00B97C74" w:rsidRDefault="00BB1C8C" w:rsidP="00BB1C8C">
      <w:pPr>
        <w:spacing w:before="120" w:after="0" w:line="276" w:lineRule="auto"/>
        <w:ind w:firstLine="708"/>
        <w:jc w:val="both"/>
        <w:rPr>
          <w:rFonts w:ascii="Verdana" w:eastAsia="Times New Roman" w:hAnsi="Verdana" w:cs="Arial"/>
          <w:color w:val="000000" w:themeColor="text1"/>
          <w:lang w:eastAsia="es-CO"/>
        </w:rPr>
      </w:pPr>
      <w:r w:rsidRPr="002835E7">
        <w:rPr>
          <w:rFonts w:ascii="Verdana" w:hAnsi="Verdana" w:cs="Arial"/>
          <w:lang w:val="es-ES" w:eastAsia="es-ES"/>
        </w:rPr>
        <w:t>Dentro de este marco, la entidad contratante definirá en cada caso concreto lo relacionado con el tema objeto de consulta</w:t>
      </w:r>
      <w:r w:rsidRPr="07C9AC1B">
        <w:rPr>
          <w:rFonts w:ascii="Verdana" w:hAnsi="Verdana" w:cs="Arial"/>
          <w:lang w:val="es-ES" w:eastAsia="es-ES"/>
        </w:rPr>
        <w:t xml:space="preserve">. Al tratarse de un análisis que debe realizarse en el procedimiento contractual específico, la Agencia no puede definir un criterio universal y absoluto por vía consultiva, sino que brinda elementos de carácter general para que los partícipes del sistema de compras y </w:t>
      </w:r>
      <w:r w:rsidRPr="07C9AC1B">
        <w:rPr>
          <w:rFonts w:ascii="Verdana" w:hAnsi="Verdana" w:cs="Arial"/>
          <w:lang w:val="es-ES" w:eastAsia="es-ES"/>
        </w:rPr>
        <w:lastRenderedPageBreak/>
        <w:t>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4E9E7A85" w14:textId="77777777" w:rsidR="00BB1C8C" w:rsidRPr="006C3FB2" w:rsidRDefault="00BB1C8C" w:rsidP="00BB1C8C">
      <w:pPr>
        <w:spacing w:after="0" w:line="276" w:lineRule="auto"/>
        <w:ind w:firstLine="709"/>
        <w:jc w:val="both"/>
        <w:rPr>
          <w:rFonts w:ascii="Verdana" w:hAnsi="Verdana" w:cs="Arial"/>
          <w:lang w:val="es-ES" w:eastAsia="es-ES"/>
        </w:rPr>
      </w:pPr>
    </w:p>
    <w:p w14:paraId="30CF17E9" w14:textId="77777777" w:rsidR="00BB1C8C" w:rsidRDefault="00BB1C8C" w:rsidP="00BB1C8C">
      <w:pPr>
        <w:spacing w:after="0" w:line="276" w:lineRule="auto"/>
        <w:jc w:val="both"/>
        <w:rPr>
          <w:rFonts w:ascii="Verdana" w:eastAsia="Century Gothic" w:hAnsi="Verdana" w:cs="Century Gothic"/>
          <w:b/>
          <w:bCs/>
        </w:rPr>
      </w:pPr>
      <w:bookmarkStart w:id="8" w:name="_Hlk204854194"/>
      <w:r w:rsidRPr="00237877">
        <w:rPr>
          <w:rFonts w:ascii="Verdana" w:hAnsi="Verdana" w:cs="Arial"/>
          <w:b/>
          <w:color w:val="000000" w:themeColor="text1"/>
        </w:rPr>
        <w:t>4.</w:t>
      </w:r>
      <w:r>
        <w:rPr>
          <w:rFonts w:ascii="Verdana" w:hAnsi="Verdana" w:cs="Arial"/>
          <w:bCs/>
          <w:color w:val="000000" w:themeColor="text1"/>
        </w:rPr>
        <w:t xml:space="preserve"> </w:t>
      </w:r>
      <w:r w:rsidRPr="005644FE">
        <w:rPr>
          <w:rFonts w:ascii="Verdana" w:eastAsia="Century Gothic" w:hAnsi="Verdana" w:cs="Century Gothic"/>
          <w:b/>
          <w:bCs/>
        </w:rPr>
        <w:t>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8"/>
    </w:p>
    <w:p w14:paraId="13D50616" w14:textId="77777777" w:rsidR="00BB1C8C" w:rsidRPr="000B6E79" w:rsidRDefault="00BB1C8C" w:rsidP="00BB1C8C">
      <w:pPr>
        <w:spacing w:after="0" w:line="276" w:lineRule="auto"/>
        <w:jc w:val="both"/>
        <w:rPr>
          <w:rFonts w:ascii="Verdana" w:hAnsi="Verdana" w:cs="Arial"/>
          <w:bCs/>
          <w:color w:val="000000" w:themeColor="text1"/>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B1C8C" w:rsidRPr="002D2C18" w14:paraId="3EE71542" w14:textId="77777777" w:rsidTr="00DA4BA9">
        <w:trPr>
          <w:trHeight w:val="56"/>
          <w:jc w:val="center"/>
        </w:trPr>
        <w:tc>
          <w:tcPr>
            <w:tcW w:w="8647" w:type="dxa"/>
          </w:tcPr>
          <w:p w14:paraId="1F5226AF" w14:textId="77777777" w:rsidR="004A0413" w:rsidRDefault="004A0413" w:rsidP="004A0413">
            <w:pPr>
              <w:pStyle w:val="Prrafodelista"/>
              <w:numPr>
                <w:ilvl w:val="0"/>
                <w:numId w:val="17"/>
              </w:numPr>
              <w:spacing w:after="120" w:line="276" w:lineRule="auto"/>
              <w:ind w:left="714" w:hanging="357"/>
              <w:jc w:val="both"/>
              <w:rPr>
                <w:rFonts w:ascii="Verdana" w:hAnsi="Verdana" w:cs="Arial"/>
                <w:lang w:eastAsia="es-ES"/>
              </w:rPr>
            </w:pPr>
            <w:r w:rsidRPr="00C30D6B">
              <w:rPr>
                <w:rFonts w:ascii="Verdana" w:hAnsi="Verdana" w:cs="Arial"/>
                <w:lang w:eastAsia="es-ES"/>
              </w:rPr>
              <w:t>Código Civil. Artículo 2063.</w:t>
            </w:r>
          </w:p>
          <w:p w14:paraId="3FE9E314" w14:textId="77777777" w:rsidR="004A0413" w:rsidRPr="00C30D6B" w:rsidRDefault="004A0413" w:rsidP="004A0413">
            <w:pPr>
              <w:pStyle w:val="Prrafodelista"/>
              <w:numPr>
                <w:ilvl w:val="0"/>
                <w:numId w:val="17"/>
              </w:numPr>
              <w:spacing w:after="120" w:line="276" w:lineRule="auto"/>
              <w:ind w:left="714" w:hanging="357"/>
              <w:jc w:val="both"/>
              <w:rPr>
                <w:rFonts w:ascii="Verdana" w:hAnsi="Verdana" w:cs="Arial"/>
                <w:lang w:eastAsia="es-ES"/>
              </w:rPr>
            </w:pPr>
            <w:r w:rsidRPr="00C30D6B">
              <w:rPr>
                <w:rFonts w:ascii="Verdana" w:hAnsi="Verdana" w:cs="Arial"/>
                <w:lang w:eastAsia="es-ES"/>
              </w:rPr>
              <w:t>Ley 1150 de 2007. Artículo 2 numeral 4 literal h)</w:t>
            </w:r>
            <w:r>
              <w:rPr>
                <w:rFonts w:ascii="Verdana" w:hAnsi="Verdana" w:cs="Arial"/>
                <w:lang w:eastAsia="es-ES"/>
              </w:rPr>
              <w:t>, 7</w:t>
            </w:r>
            <w:r w:rsidRPr="00C30D6B">
              <w:rPr>
                <w:rFonts w:ascii="Verdana" w:hAnsi="Verdana" w:cs="Arial"/>
                <w:lang w:eastAsia="es-ES"/>
              </w:rPr>
              <w:t xml:space="preserve">. </w:t>
            </w:r>
          </w:p>
          <w:p w14:paraId="6E57358F" w14:textId="77777777" w:rsidR="00BB1C8C" w:rsidRPr="00C30D6B" w:rsidRDefault="00BB1C8C" w:rsidP="00DA4BA9">
            <w:pPr>
              <w:pStyle w:val="Prrafodelista"/>
              <w:numPr>
                <w:ilvl w:val="0"/>
                <w:numId w:val="17"/>
              </w:numPr>
              <w:spacing w:after="120" w:line="276" w:lineRule="auto"/>
              <w:ind w:left="714" w:hanging="357"/>
              <w:jc w:val="both"/>
              <w:rPr>
                <w:rFonts w:ascii="Verdana" w:hAnsi="Verdana" w:cs="Arial"/>
                <w:lang w:eastAsia="es-ES"/>
              </w:rPr>
            </w:pPr>
            <w:r w:rsidRPr="00C30D6B">
              <w:rPr>
                <w:rFonts w:ascii="Verdana" w:hAnsi="Verdana" w:cs="Arial"/>
                <w:lang w:eastAsia="es-ES"/>
              </w:rPr>
              <w:t>Decreto Ley 150 del 1976. Artículo 138.</w:t>
            </w:r>
          </w:p>
          <w:p w14:paraId="22AE984D" w14:textId="77777777" w:rsidR="00BB1C8C" w:rsidRPr="00C30D6B" w:rsidRDefault="00BB1C8C" w:rsidP="00DA4BA9">
            <w:pPr>
              <w:pStyle w:val="Prrafodelista"/>
              <w:numPr>
                <w:ilvl w:val="0"/>
                <w:numId w:val="17"/>
              </w:numPr>
              <w:spacing w:after="120" w:line="276" w:lineRule="auto"/>
              <w:ind w:left="714" w:hanging="357"/>
              <w:jc w:val="both"/>
              <w:rPr>
                <w:rFonts w:ascii="Verdana" w:hAnsi="Verdana" w:cs="Arial"/>
                <w:lang w:eastAsia="es-ES"/>
              </w:rPr>
            </w:pPr>
            <w:r w:rsidRPr="00C30D6B">
              <w:rPr>
                <w:rFonts w:ascii="Verdana" w:hAnsi="Verdana" w:cs="Arial"/>
                <w:lang w:eastAsia="es-ES"/>
              </w:rPr>
              <w:t>Decreto 222 de 1983. Artículo 163.</w:t>
            </w:r>
          </w:p>
          <w:p w14:paraId="1F158470" w14:textId="77777777" w:rsidR="00BB1C8C" w:rsidRPr="00C30D6B" w:rsidRDefault="00BB1C8C" w:rsidP="00DA4BA9">
            <w:pPr>
              <w:pStyle w:val="Prrafodelista"/>
              <w:numPr>
                <w:ilvl w:val="0"/>
                <w:numId w:val="17"/>
              </w:numPr>
              <w:spacing w:after="120" w:line="276" w:lineRule="auto"/>
              <w:ind w:left="714" w:hanging="357"/>
              <w:jc w:val="both"/>
              <w:rPr>
                <w:rFonts w:ascii="Verdana" w:hAnsi="Verdana" w:cs="Arial"/>
                <w:lang w:eastAsia="es-ES"/>
              </w:rPr>
            </w:pPr>
            <w:r w:rsidRPr="00C30D6B">
              <w:rPr>
                <w:rFonts w:ascii="Verdana" w:hAnsi="Verdana" w:cs="Arial"/>
                <w:lang w:eastAsia="es-ES"/>
              </w:rPr>
              <w:t>Ley 80 de 1993. Artículos 13, 24, 25, 32, 40.</w:t>
            </w:r>
          </w:p>
          <w:p w14:paraId="17867496" w14:textId="77777777" w:rsidR="00BB1C8C" w:rsidRPr="00C30D6B" w:rsidRDefault="00BB1C8C" w:rsidP="00DA4BA9">
            <w:pPr>
              <w:pStyle w:val="Prrafodelista"/>
              <w:numPr>
                <w:ilvl w:val="0"/>
                <w:numId w:val="17"/>
              </w:numPr>
              <w:spacing w:after="120" w:line="276" w:lineRule="auto"/>
              <w:ind w:left="714" w:hanging="357"/>
              <w:jc w:val="both"/>
              <w:rPr>
                <w:rFonts w:ascii="Verdana" w:hAnsi="Verdana" w:cs="Arial"/>
                <w:lang w:eastAsia="es-ES"/>
              </w:rPr>
            </w:pPr>
            <w:r w:rsidRPr="00C30D6B">
              <w:rPr>
                <w:rFonts w:ascii="Verdana" w:hAnsi="Verdana" w:cs="Arial"/>
                <w:lang w:eastAsia="es-ES"/>
              </w:rPr>
              <w:t>Decreto 1</w:t>
            </w:r>
            <w:r>
              <w:rPr>
                <w:rFonts w:ascii="Verdana" w:hAnsi="Verdana" w:cs="Arial"/>
                <w:lang w:eastAsia="es-ES"/>
              </w:rPr>
              <w:t>0</w:t>
            </w:r>
            <w:r w:rsidRPr="00C30D6B">
              <w:rPr>
                <w:rFonts w:ascii="Verdana" w:hAnsi="Verdana" w:cs="Arial"/>
                <w:lang w:eastAsia="es-ES"/>
              </w:rPr>
              <w:t>82 de 2015. Artículo</w:t>
            </w:r>
            <w:r>
              <w:rPr>
                <w:rFonts w:ascii="Verdana" w:hAnsi="Verdana" w:cs="Arial"/>
                <w:lang w:eastAsia="es-ES"/>
              </w:rPr>
              <w:t>s</w:t>
            </w:r>
            <w:r w:rsidRPr="00C30D6B">
              <w:rPr>
                <w:rFonts w:ascii="Verdana" w:hAnsi="Verdana" w:cs="Arial"/>
                <w:lang w:eastAsia="es-ES"/>
              </w:rPr>
              <w:t xml:space="preserve"> </w:t>
            </w:r>
            <w:r w:rsidRPr="000B037E">
              <w:rPr>
                <w:rFonts w:ascii="Verdana" w:hAnsi="Verdana" w:cs="Arial"/>
                <w:lang w:eastAsia="es-ES"/>
              </w:rPr>
              <w:t>2.2.1.1.2.1.1</w:t>
            </w:r>
            <w:r>
              <w:rPr>
                <w:rFonts w:ascii="Verdana" w:hAnsi="Verdana" w:cs="Arial"/>
                <w:lang w:eastAsia="es-ES"/>
              </w:rPr>
              <w:t xml:space="preserve">, </w:t>
            </w:r>
            <w:r w:rsidRPr="7B4F50DD">
              <w:rPr>
                <w:rFonts w:ascii="Verdana" w:eastAsia="Calibri" w:hAnsi="Verdana" w:cs="Arial"/>
              </w:rPr>
              <w:t>2.2.1.1.1.6</w:t>
            </w:r>
            <w:r>
              <w:rPr>
                <w:rFonts w:ascii="Verdana" w:eastAsia="Calibri" w:hAnsi="Verdana" w:cs="Arial"/>
              </w:rPr>
              <w:t>, 2</w:t>
            </w:r>
            <w:r w:rsidRPr="00CA6FDA">
              <w:rPr>
                <w:rFonts w:ascii="Verdana" w:hAnsi="Verdana" w:cs="Arial"/>
                <w:color w:val="000000" w:themeColor="text1"/>
              </w:rPr>
              <w:t>.2.1.2.3.1.1 a 2.2.1.2.3.1.19</w:t>
            </w:r>
            <w:r>
              <w:rPr>
                <w:rFonts w:ascii="Verdana" w:hAnsi="Verdana" w:cs="Arial"/>
                <w:color w:val="000000" w:themeColor="text1"/>
              </w:rPr>
              <w:t xml:space="preserve">, </w:t>
            </w:r>
            <w:r w:rsidRPr="00DA2A6A">
              <w:rPr>
                <w:rFonts w:ascii="Verdana" w:eastAsia="Times New Roman" w:hAnsi="Verdana" w:cs="Arial"/>
                <w:color w:val="000000" w:themeColor="text1"/>
                <w:lang w:eastAsia="es-CO"/>
              </w:rPr>
              <w:t>2.2.1.2.1.4.5</w:t>
            </w:r>
            <w:r>
              <w:rPr>
                <w:rFonts w:ascii="Verdana" w:eastAsia="Times New Roman" w:hAnsi="Verdana" w:cs="Arial"/>
                <w:color w:val="000000" w:themeColor="text1"/>
                <w:lang w:eastAsia="es-CO"/>
              </w:rPr>
              <w:t xml:space="preserve"> </w:t>
            </w:r>
          </w:p>
          <w:p w14:paraId="00A2B863" w14:textId="77777777" w:rsidR="00BB1C8C" w:rsidRDefault="00BB1C8C" w:rsidP="00DA4BA9">
            <w:pPr>
              <w:pStyle w:val="Prrafodelista"/>
              <w:numPr>
                <w:ilvl w:val="0"/>
                <w:numId w:val="17"/>
              </w:numPr>
              <w:spacing w:after="120" w:line="276" w:lineRule="auto"/>
              <w:ind w:left="714" w:hanging="357"/>
              <w:jc w:val="both"/>
              <w:rPr>
                <w:rFonts w:ascii="Verdana" w:hAnsi="Verdana" w:cs="Arial"/>
                <w:lang w:eastAsia="es-ES"/>
              </w:rPr>
            </w:pPr>
            <w:r w:rsidRPr="00C30D6B">
              <w:rPr>
                <w:rFonts w:ascii="Verdana" w:hAnsi="Verdana" w:cs="Arial"/>
                <w:lang w:eastAsia="es-ES"/>
              </w:rPr>
              <w:t xml:space="preserve">Consejo de Estado. Sala de lo Contencioso Administrativo. Sección Tercera. Subsección B. Sentencia del 31 de agosto de 2011. </w:t>
            </w:r>
            <w:proofErr w:type="spellStart"/>
            <w:r w:rsidRPr="00C30D6B">
              <w:rPr>
                <w:rFonts w:ascii="Verdana" w:hAnsi="Verdana" w:cs="Arial"/>
                <w:lang w:eastAsia="es-ES"/>
              </w:rPr>
              <w:t>Exp</w:t>
            </w:r>
            <w:proofErr w:type="spellEnd"/>
            <w:r w:rsidRPr="00C30D6B">
              <w:rPr>
                <w:rFonts w:ascii="Verdana" w:hAnsi="Verdana" w:cs="Arial"/>
                <w:lang w:eastAsia="es-ES"/>
              </w:rPr>
              <w:t>. 18.080. C.P. Ruth Stella Correa Palacio</w:t>
            </w:r>
            <w:r>
              <w:rPr>
                <w:rFonts w:ascii="Verdana" w:hAnsi="Verdana" w:cs="Arial"/>
                <w:lang w:eastAsia="es-ES"/>
              </w:rPr>
              <w:t>.</w:t>
            </w:r>
          </w:p>
          <w:p w14:paraId="7D8869D4" w14:textId="77777777" w:rsidR="00BB1C8C" w:rsidRPr="00C30D6B" w:rsidRDefault="00BB1C8C" w:rsidP="00DA4BA9">
            <w:pPr>
              <w:pStyle w:val="Prrafodelista"/>
              <w:numPr>
                <w:ilvl w:val="0"/>
                <w:numId w:val="17"/>
              </w:numPr>
              <w:spacing w:after="120" w:line="276" w:lineRule="auto"/>
              <w:ind w:left="714" w:hanging="357"/>
              <w:jc w:val="both"/>
              <w:rPr>
                <w:rFonts w:ascii="Verdana" w:hAnsi="Verdana" w:cs="Arial"/>
                <w:lang w:eastAsia="es-ES"/>
              </w:rPr>
            </w:pPr>
            <w:r w:rsidRPr="00C30D6B">
              <w:rPr>
                <w:rFonts w:ascii="Verdana" w:hAnsi="Verdana" w:cs="Arial"/>
                <w:lang w:eastAsia="es-ES"/>
              </w:rPr>
              <w:t xml:space="preserve">Consejo de Estado. Sala de lo Contencioso Administrativo. Sección Tercera. Subsección A. Sentencia del 12 de febrero de 2015. </w:t>
            </w:r>
            <w:proofErr w:type="spellStart"/>
            <w:r w:rsidRPr="00C30D6B">
              <w:rPr>
                <w:rFonts w:ascii="Verdana" w:hAnsi="Verdana" w:cs="Arial"/>
                <w:lang w:eastAsia="es-ES"/>
              </w:rPr>
              <w:t>Exp</w:t>
            </w:r>
            <w:proofErr w:type="spellEnd"/>
            <w:r w:rsidRPr="00C30D6B">
              <w:rPr>
                <w:rFonts w:ascii="Verdana" w:hAnsi="Verdana" w:cs="Arial"/>
                <w:lang w:eastAsia="es-ES"/>
              </w:rPr>
              <w:t>.  28278. C.P. Carlos Alberto Zambrano Barrera.</w:t>
            </w:r>
          </w:p>
          <w:p w14:paraId="7550EF3D" w14:textId="77777777" w:rsidR="00BB1C8C" w:rsidRDefault="00BB1C8C" w:rsidP="00DA4BA9">
            <w:pPr>
              <w:pStyle w:val="Prrafodelista"/>
              <w:numPr>
                <w:ilvl w:val="0"/>
                <w:numId w:val="17"/>
              </w:numPr>
              <w:spacing w:after="120" w:line="276" w:lineRule="auto"/>
              <w:ind w:left="714" w:hanging="357"/>
              <w:jc w:val="both"/>
              <w:rPr>
                <w:rFonts w:ascii="Verdana" w:hAnsi="Verdana" w:cs="Arial"/>
                <w:lang w:eastAsia="es-ES"/>
              </w:rPr>
            </w:pPr>
            <w:r w:rsidRPr="00C30D6B">
              <w:rPr>
                <w:rFonts w:ascii="Verdana" w:hAnsi="Verdana" w:cs="Arial"/>
                <w:lang w:eastAsia="es-ES"/>
              </w:rPr>
              <w:t>DEIK ACOSTAMADIEDO, Carolina, Guía de Contratación Estatal: Deber de planeación y modalidades de selección, Buenos Aires, 2015.</w:t>
            </w:r>
          </w:p>
          <w:p w14:paraId="3CF6DAE4" w14:textId="77777777" w:rsidR="00BB1C8C" w:rsidRDefault="00BB1C8C" w:rsidP="00DA4BA9">
            <w:pPr>
              <w:pStyle w:val="Prrafodelista"/>
              <w:numPr>
                <w:ilvl w:val="0"/>
                <w:numId w:val="17"/>
              </w:numPr>
              <w:spacing w:after="120" w:line="276" w:lineRule="auto"/>
              <w:ind w:left="714" w:hanging="357"/>
              <w:jc w:val="both"/>
              <w:rPr>
                <w:rFonts w:ascii="Verdana" w:hAnsi="Verdana" w:cs="Arial"/>
                <w:lang w:eastAsia="es-ES"/>
              </w:rPr>
            </w:pPr>
            <w:r w:rsidRPr="00C30D6B">
              <w:rPr>
                <w:rFonts w:ascii="Verdana" w:hAnsi="Verdana" w:cs="Arial"/>
                <w:lang w:eastAsia="es-ES"/>
              </w:rPr>
              <w:t xml:space="preserve">ORDÓÑEZ </w:t>
            </w:r>
            <w:proofErr w:type="spellStart"/>
            <w:r w:rsidRPr="00C30D6B">
              <w:rPr>
                <w:rFonts w:ascii="Verdana" w:hAnsi="Verdana" w:cs="Arial"/>
                <w:lang w:eastAsia="es-ES"/>
              </w:rPr>
              <w:t>ORDÓÑEZ</w:t>
            </w:r>
            <w:proofErr w:type="spellEnd"/>
            <w:r w:rsidRPr="00C30D6B">
              <w:rPr>
                <w:rFonts w:ascii="Verdana" w:hAnsi="Verdana" w:cs="Arial"/>
                <w:lang w:eastAsia="es-ES"/>
              </w:rPr>
              <w:t>, Andrés E. Seguro de cumplimiento de los contratos estatales en Colombia. Bogotá: Universidad Externado de Colombia, 2011</w:t>
            </w:r>
            <w:r>
              <w:rPr>
                <w:rFonts w:ascii="Verdana" w:hAnsi="Verdana" w:cs="Arial"/>
                <w:lang w:eastAsia="es-ES"/>
              </w:rPr>
              <w:t>.</w:t>
            </w:r>
          </w:p>
          <w:p w14:paraId="65382DAC" w14:textId="77777777" w:rsidR="00BB1C8C" w:rsidRPr="00C30D6B" w:rsidRDefault="00BB1C8C" w:rsidP="00DA4BA9">
            <w:pPr>
              <w:pStyle w:val="Prrafodelista"/>
              <w:numPr>
                <w:ilvl w:val="0"/>
                <w:numId w:val="17"/>
              </w:numPr>
              <w:spacing w:after="120" w:line="276" w:lineRule="auto"/>
              <w:ind w:left="714" w:hanging="357"/>
              <w:jc w:val="both"/>
              <w:rPr>
                <w:rFonts w:ascii="Verdana" w:hAnsi="Verdana" w:cs="Arial"/>
                <w:lang w:eastAsia="es-ES"/>
              </w:rPr>
            </w:pPr>
            <w:r w:rsidRPr="00C30D6B">
              <w:rPr>
                <w:rFonts w:ascii="Verdana" w:hAnsi="Verdana" w:cs="Arial"/>
                <w:lang w:eastAsia="es-ES"/>
              </w:rPr>
              <w:t>ESCOBAR GIL, Rodrigo. Teoría general de los contratos de la Administración pública. Bogotá: Legis, 2000.</w:t>
            </w:r>
          </w:p>
          <w:p w14:paraId="373D1F50" w14:textId="77777777" w:rsidR="00BB1C8C" w:rsidRPr="00C30D6B" w:rsidRDefault="00BB1C8C" w:rsidP="00DA4BA9">
            <w:pPr>
              <w:pStyle w:val="Prrafodelista"/>
              <w:numPr>
                <w:ilvl w:val="0"/>
                <w:numId w:val="17"/>
              </w:numPr>
              <w:spacing w:after="120" w:line="276" w:lineRule="auto"/>
              <w:jc w:val="both"/>
              <w:rPr>
                <w:rFonts w:ascii="Verdana" w:hAnsi="Verdana" w:cs="Arial"/>
                <w:lang w:eastAsia="es-ES"/>
              </w:rPr>
            </w:pPr>
            <w:r>
              <w:rPr>
                <w:rFonts w:ascii="Verdana" w:hAnsi="Verdana" w:cs="Arial"/>
                <w:lang w:val="es-CO" w:eastAsia="es-ES"/>
              </w:rPr>
              <w:t xml:space="preserve">Guía para la elaboración de estudios del sector. Se puede consultar en </w:t>
            </w:r>
            <w:hyperlink r:id="rId12" w:history="1">
              <w:r w:rsidRPr="00C30D6B">
                <w:rPr>
                  <w:rStyle w:val="Hipervnculo"/>
                  <w:rFonts w:ascii="Verdana" w:hAnsi="Verdana" w:cs="Arial"/>
                  <w:lang w:val="es-CO" w:eastAsia="es-ES"/>
                </w:rPr>
                <w:t>Guia-para-la-elaboracion-de-estudios-del-sector-Original-Firmado.pdf</w:t>
              </w:r>
            </w:hyperlink>
          </w:p>
        </w:tc>
      </w:tr>
    </w:tbl>
    <w:p w14:paraId="42274C9C" w14:textId="77777777" w:rsidR="00BB1C8C" w:rsidRPr="004A0413" w:rsidRDefault="00BB1C8C" w:rsidP="004A0413">
      <w:pPr>
        <w:tabs>
          <w:tab w:val="left" w:pos="142"/>
          <w:tab w:val="left" w:pos="284"/>
          <w:tab w:val="left" w:pos="3828"/>
        </w:tabs>
        <w:spacing w:after="0" w:line="276" w:lineRule="auto"/>
        <w:jc w:val="both"/>
        <w:rPr>
          <w:rFonts w:ascii="Verdana" w:eastAsia="Century Gothic" w:hAnsi="Verdana" w:cs="Century Gothic"/>
          <w:b/>
          <w:bCs/>
        </w:rPr>
      </w:pPr>
    </w:p>
    <w:p w14:paraId="78B2C905" w14:textId="77777777" w:rsidR="00BB1C8C" w:rsidRPr="004A0413" w:rsidRDefault="00BB1C8C" w:rsidP="004A0413">
      <w:pPr>
        <w:tabs>
          <w:tab w:val="left" w:pos="142"/>
          <w:tab w:val="left" w:pos="284"/>
          <w:tab w:val="left" w:pos="3828"/>
        </w:tabs>
        <w:spacing w:after="0" w:line="276" w:lineRule="auto"/>
        <w:jc w:val="both"/>
        <w:rPr>
          <w:rFonts w:ascii="Verdana" w:eastAsia="Century Gothic" w:hAnsi="Verdana" w:cs="Century Gothic"/>
          <w:b/>
          <w:bCs/>
        </w:rPr>
      </w:pPr>
      <w:r w:rsidRPr="004A0413">
        <w:rPr>
          <w:rFonts w:ascii="Verdana" w:eastAsia="Century Gothic" w:hAnsi="Verdana" w:cs="Century Gothic"/>
          <w:b/>
          <w:bCs/>
        </w:rPr>
        <w:t>5. Doctrina de la Agencia Nacional de Contratación Pública:</w:t>
      </w:r>
    </w:p>
    <w:p w14:paraId="7DD6C889" w14:textId="77777777" w:rsidR="00BB1C8C" w:rsidRPr="004A0413" w:rsidRDefault="00BB1C8C">
      <w:pPr>
        <w:widowControl w:val="0"/>
        <w:autoSpaceDE w:val="0"/>
        <w:autoSpaceDN w:val="0"/>
        <w:spacing w:after="0" w:line="276" w:lineRule="auto"/>
        <w:jc w:val="both"/>
        <w:rPr>
          <w:rStyle w:val="normaltextrun"/>
          <w:rFonts w:ascii="Verdana" w:hAnsi="Verdana" w:cs="Arial"/>
          <w:shd w:val="clear" w:color="auto" w:fill="FFFFFF"/>
          <w:lang w:val="es-ES"/>
        </w:rPr>
      </w:pPr>
    </w:p>
    <w:p w14:paraId="33D83C90" w14:textId="77777777" w:rsidR="00BB1C8C" w:rsidRPr="004A0413" w:rsidRDefault="00BB1C8C">
      <w:pPr>
        <w:widowControl w:val="0"/>
        <w:autoSpaceDE w:val="0"/>
        <w:autoSpaceDN w:val="0"/>
        <w:spacing w:after="0" w:line="276" w:lineRule="auto"/>
        <w:jc w:val="both"/>
        <w:rPr>
          <w:rFonts w:ascii="Verdana" w:hAnsi="Verdana" w:cs="Arial"/>
          <w:shd w:val="clear" w:color="auto" w:fill="FFFFFF"/>
          <w:lang w:val="es-ES"/>
        </w:rPr>
      </w:pPr>
      <w:r w:rsidRPr="004A0413">
        <w:rPr>
          <w:rStyle w:val="normaltextrun"/>
          <w:rFonts w:ascii="Verdana" w:hAnsi="Verdana" w:cs="Arial"/>
          <w:shd w:val="clear" w:color="auto" w:fill="FFFFFF"/>
          <w:lang w:val="es-ES"/>
        </w:rPr>
        <w:t>Esta Subdirección se ha pronunciado sobre el régimen de garantías en los Conceptos</w:t>
      </w:r>
      <w:r w:rsidRPr="004A0413">
        <w:rPr>
          <w:rStyle w:val="normaltextrun"/>
          <w:rFonts w:ascii="Verdana" w:hAnsi="Verdana" w:cs="Calibri"/>
          <w:shd w:val="clear" w:color="auto" w:fill="FFFFFF"/>
        </w:rPr>
        <w:t xml:space="preserve"> </w:t>
      </w:r>
      <w:r w:rsidRPr="004A0413">
        <w:rPr>
          <w:rStyle w:val="normaltextrun"/>
          <w:rFonts w:ascii="Verdana" w:hAnsi="Verdana" w:cs="Arial"/>
          <w:shd w:val="clear" w:color="auto" w:fill="FFFFFF"/>
          <w:lang w:val="es-ES"/>
        </w:rPr>
        <w:t xml:space="preserve">2201913000009075 del 9 de diciembre de 2019, C-080 del 8 de abril de 2021, C-525 del 27 de septiembre de 2021, C- 567 del 08 de octubre del </w:t>
      </w:r>
      <w:r w:rsidRPr="004A0413">
        <w:rPr>
          <w:rStyle w:val="normaltextrun"/>
          <w:rFonts w:ascii="Verdana" w:hAnsi="Verdana" w:cs="Arial"/>
          <w:shd w:val="clear" w:color="auto" w:fill="FFFFFF"/>
          <w:lang w:val="es-ES"/>
        </w:rPr>
        <w:lastRenderedPageBreak/>
        <w:t>2021, C-036 del 28 de febrero del 2022, C-126 de 25 de marzo de 2022, C-583 del 19 de octubre de 2022, C-584 del 26 de septiembre de 2022, C-712 del 13 de octubre de 2022, C-845 del 7 de diciembre de 2022, C-036 del 31 de marzo de 2023, C-386 del 31 de enero de 2024, C-053 del 7 de mayo de 2024, C-306 del 12 de agosto de 2024, C-099 del 21 de febrero de 2025, entre otros.</w:t>
      </w:r>
      <w:r w:rsidRPr="004A0413">
        <w:rPr>
          <w:rFonts w:ascii="Verdana" w:hAnsi="Verdana" w:cs="Arial"/>
          <w:shd w:val="clear" w:color="auto" w:fill="FFFFFF"/>
          <w:lang w:val="es-ES"/>
        </w:rPr>
        <w:t xml:space="preserve"> </w:t>
      </w:r>
      <w:r w:rsidRPr="004A0413">
        <w:rPr>
          <w:rFonts w:ascii="Verdana" w:hAnsi="Verdana" w:cs="Arial"/>
        </w:rPr>
        <w:t xml:space="preserve">Estos y otros </w:t>
      </w:r>
      <w:r w:rsidRPr="004A0413">
        <w:rPr>
          <w:rFonts w:ascii="Verdana" w:hAnsi="Verdana"/>
        </w:rPr>
        <w:t>conceptos se encuentran disponibles para consulta en el Sistema de relatoría de la Agencia, al cual se puede acceder a través del siguiente enlace:</w:t>
      </w:r>
      <w:r w:rsidRPr="004A0413">
        <w:rPr>
          <w:rFonts w:ascii="Verdana" w:hAnsi="Verdana" w:cs="Arial"/>
          <w:shd w:val="clear" w:color="auto" w:fill="FFFFFF"/>
        </w:rPr>
        <w:t xml:space="preserve"> </w:t>
      </w:r>
      <w:hyperlink r:id="rId13" w:history="1">
        <w:r w:rsidRPr="004A0413">
          <w:rPr>
            <w:rFonts w:ascii="Verdana" w:hAnsi="Verdana" w:cs="Arial"/>
            <w:color w:val="0563C1" w:themeColor="hyperlink"/>
            <w:u w:val="single"/>
            <w:shd w:val="clear" w:color="auto" w:fill="FFFFFF"/>
          </w:rPr>
          <w:t>https://relatoria.colombiacompra.gov.co/busqueda/conceptos</w:t>
        </w:r>
      </w:hyperlink>
      <w:r w:rsidRPr="004A0413">
        <w:rPr>
          <w:rFonts w:ascii="Verdana" w:hAnsi="Verdana" w:cs="Arial"/>
          <w:shd w:val="clear" w:color="auto" w:fill="FFFFFF"/>
        </w:rPr>
        <w:t>.</w:t>
      </w:r>
      <w:r w:rsidRPr="004A0413">
        <w:rPr>
          <w:rFonts w:ascii="Verdana" w:hAnsi="Verdana" w:cs="Arial"/>
          <w:color w:val="FF0000"/>
          <w:shd w:val="clear" w:color="auto" w:fill="FFFFFF"/>
        </w:rPr>
        <w:t xml:space="preserve"> </w:t>
      </w:r>
      <w:r w:rsidRPr="004A0413">
        <w:rPr>
          <w:rFonts w:ascii="Verdana" w:hAnsi="Verdana" w:cs="Arial"/>
          <w:color w:val="000000" w:themeColor="text1"/>
          <w:shd w:val="clear" w:color="auto" w:fill="FFFFFF"/>
        </w:rPr>
        <w:t>  </w:t>
      </w:r>
    </w:p>
    <w:p w14:paraId="09981F7B" w14:textId="77777777" w:rsidR="00BB1C8C" w:rsidRPr="004A0413" w:rsidRDefault="00BB1C8C" w:rsidP="00BF6219">
      <w:pPr>
        <w:widowControl w:val="0"/>
        <w:autoSpaceDE w:val="0"/>
        <w:autoSpaceDN w:val="0"/>
        <w:spacing w:after="0" w:line="276" w:lineRule="auto"/>
        <w:jc w:val="both"/>
        <w:rPr>
          <w:rFonts w:ascii="Verdana" w:hAnsi="Verdana"/>
          <w:lang w:val="es-ES"/>
        </w:rPr>
      </w:pPr>
    </w:p>
    <w:p w14:paraId="2BFC69E2" w14:textId="77777777" w:rsidR="00BB1C8C" w:rsidRPr="004A0413" w:rsidRDefault="00BB1C8C" w:rsidP="004A0413">
      <w:pPr>
        <w:widowControl w:val="0"/>
        <w:autoSpaceDE w:val="0"/>
        <w:autoSpaceDN w:val="0"/>
        <w:spacing w:after="120" w:line="276" w:lineRule="auto"/>
        <w:jc w:val="both"/>
        <w:rPr>
          <w:rFonts w:ascii="Verdana" w:hAnsi="Verdana" w:cs="Arial"/>
          <w:highlight w:val="yellow"/>
          <w:shd w:val="clear" w:color="auto" w:fill="FFFFFF"/>
          <w:lang w:val="es-MX"/>
        </w:rPr>
      </w:pPr>
      <w:r w:rsidRPr="004A0413">
        <w:rPr>
          <w:rFonts w:ascii="Verdana" w:hAnsi="Verdana"/>
        </w:rPr>
        <w:t xml:space="preserve">Por </w:t>
      </w:r>
      <w:r w:rsidRPr="0065454A">
        <w:rPr>
          <w:rFonts w:ascii="Verdana" w:hAnsi="Verdana"/>
        </w:rPr>
        <w:t>último, aprovechamos la oportunidad de manifestar la entera disposición de la Agencia Nacional de Contratación Pública –Colombia Compra Eficiente– para atender las peticiones o solicitudes, así como para brindar el apoyo que se requiera en el marco de nues</w:t>
      </w:r>
      <w:r w:rsidRPr="004A0413">
        <w:rPr>
          <w:rFonts w:ascii="Verdana" w:hAnsi="Verdana"/>
        </w:rPr>
        <w:t xml:space="preserve">tras funciones a través de nuestros diferentes canales de atención: </w:t>
      </w:r>
    </w:p>
    <w:p w14:paraId="0D76BF6C" w14:textId="77777777" w:rsidR="00BB1C8C" w:rsidRPr="004A0413" w:rsidRDefault="00BB1C8C" w:rsidP="0065454A">
      <w:pPr>
        <w:pStyle w:val="Prrafodelista"/>
        <w:numPr>
          <w:ilvl w:val="0"/>
          <w:numId w:val="15"/>
        </w:numPr>
        <w:spacing w:after="0" w:line="276" w:lineRule="auto"/>
        <w:jc w:val="both"/>
        <w:rPr>
          <w:rFonts w:ascii="Verdana" w:eastAsia="Verdana" w:hAnsi="Verdana" w:cs="Verdana"/>
          <w:color w:val="4472C4" w:themeColor="accent1"/>
          <w:u w:val="single"/>
          <w:lang w:val="es-MX"/>
        </w:rPr>
      </w:pPr>
      <w:r w:rsidRPr="004A0413">
        <w:rPr>
          <w:rFonts w:ascii="Verdana" w:eastAsia="Verdana" w:hAnsi="Verdana" w:cs="Verdana"/>
          <w:lang w:val="es-MX"/>
        </w:rPr>
        <w:t xml:space="preserve">Línea nacional gratuita o servicio a la ciudadanía (Mesa de servicio): </w:t>
      </w:r>
      <w:r w:rsidRPr="004A0413">
        <w:rPr>
          <w:rStyle w:val="Hipervnculo"/>
          <w:rFonts w:ascii="Verdana" w:hAnsi="Verdana"/>
        </w:rPr>
        <w:t>01800 0520808</w:t>
      </w:r>
    </w:p>
    <w:p w14:paraId="1F9A4E2E" w14:textId="77777777" w:rsidR="00BB1C8C" w:rsidRPr="004A0413" w:rsidRDefault="00BB1C8C" w:rsidP="00BF6219">
      <w:pPr>
        <w:pStyle w:val="Prrafodelista"/>
        <w:numPr>
          <w:ilvl w:val="0"/>
          <w:numId w:val="15"/>
        </w:numPr>
        <w:spacing w:after="0" w:line="276" w:lineRule="auto"/>
        <w:jc w:val="both"/>
        <w:rPr>
          <w:rFonts w:ascii="Verdana" w:eastAsia="Verdana" w:hAnsi="Verdana" w:cs="Verdana"/>
          <w:color w:val="4472C4" w:themeColor="accent1"/>
          <w:u w:val="single"/>
          <w:lang w:val="es-MX"/>
        </w:rPr>
      </w:pPr>
      <w:r w:rsidRPr="004A0413">
        <w:rPr>
          <w:rFonts w:ascii="Verdana" w:eastAsia="Verdana" w:hAnsi="Verdana" w:cs="Verdana"/>
          <w:lang w:val="es-MX"/>
        </w:rPr>
        <w:t>Línea en Bogotá (Mesa de servicio</w:t>
      </w:r>
      <w:proofErr w:type="gramStart"/>
      <w:r w:rsidRPr="004A0413">
        <w:rPr>
          <w:rFonts w:ascii="Verdana" w:eastAsia="Verdana" w:hAnsi="Verdana" w:cs="Verdana"/>
          <w:lang w:val="es-MX"/>
        </w:rPr>
        <w:t>):</w:t>
      </w:r>
      <w:r w:rsidRPr="004A0413">
        <w:rPr>
          <w:rStyle w:val="Hipervnculo"/>
          <w:rFonts w:ascii="Verdana" w:hAnsi="Verdana"/>
        </w:rPr>
        <w:t>+</w:t>
      </w:r>
      <w:proofErr w:type="gramEnd"/>
      <w:r w:rsidRPr="004A0413">
        <w:rPr>
          <w:rStyle w:val="Hipervnculo"/>
          <w:rFonts w:ascii="Verdana" w:hAnsi="Verdana"/>
        </w:rPr>
        <w:t>57 601 7456788</w:t>
      </w:r>
    </w:p>
    <w:p w14:paraId="7DB5FA2C" w14:textId="77777777" w:rsidR="00BB1C8C" w:rsidRPr="004A0413" w:rsidRDefault="00BB1C8C" w:rsidP="00BF6219">
      <w:pPr>
        <w:pStyle w:val="Prrafodelista"/>
        <w:numPr>
          <w:ilvl w:val="0"/>
          <w:numId w:val="15"/>
        </w:numPr>
        <w:spacing w:after="0" w:line="276" w:lineRule="auto"/>
        <w:jc w:val="both"/>
        <w:rPr>
          <w:rFonts w:ascii="Verdana" w:eastAsia="Verdana" w:hAnsi="Verdana" w:cs="Verdana"/>
          <w:color w:val="0000FF"/>
          <w:u w:val="single"/>
          <w:lang w:val="es-MX"/>
        </w:rPr>
      </w:pPr>
      <w:r w:rsidRPr="004A0413">
        <w:rPr>
          <w:rFonts w:ascii="Verdana" w:eastAsia="Verdana" w:hAnsi="Verdana" w:cs="Verdana"/>
          <w:lang w:val="es-MX"/>
        </w:rPr>
        <w:t xml:space="preserve">Correo de radicación de correspondencia: </w:t>
      </w:r>
      <w:hyperlink r:id="rId14">
        <w:r w:rsidRPr="004A0413">
          <w:rPr>
            <w:rStyle w:val="Hipervnculo"/>
            <w:rFonts w:ascii="Verdana" w:eastAsia="Verdana" w:hAnsi="Verdana" w:cs="Verdana"/>
            <w:lang w:val="es-MX"/>
          </w:rPr>
          <w:t>ventanilladeradicacion@colombiacompra.gov.co</w:t>
        </w:r>
      </w:hyperlink>
    </w:p>
    <w:p w14:paraId="494B646B" w14:textId="77777777" w:rsidR="00BB1C8C" w:rsidRPr="004A0413" w:rsidRDefault="00BB1C8C" w:rsidP="00BF6219">
      <w:pPr>
        <w:pStyle w:val="Prrafodelista"/>
        <w:numPr>
          <w:ilvl w:val="0"/>
          <w:numId w:val="15"/>
        </w:numPr>
        <w:spacing w:after="0" w:line="276" w:lineRule="auto"/>
        <w:jc w:val="both"/>
        <w:rPr>
          <w:rFonts w:ascii="Verdana" w:eastAsia="Verdana" w:hAnsi="Verdana" w:cs="Verdana"/>
          <w:color w:val="0000FF"/>
          <w:u w:val="single"/>
          <w:lang w:val="es-MX"/>
        </w:rPr>
      </w:pPr>
      <w:r w:rsidRPr="004A0413">
        <w:rPr>
          <w:rFonts w:ascii="Verdana" w:eastAsia="Verdana" w:hAnsi="Verdana" w:cs="Verdana"/>
        </w:rPr>
        <w:t>Formulario web para</w:t>
      </w:r>
      <w:r w:rsidRPr="004A0413">
        <w:rPr>
          <w:rFonts w:ascii="Verdana" w:eastAsia="Verdana" w:hAnsi="Verdana" w:cs="Verdana"/>
          <w:lang w:val="es"/>
        </w:rPr>
        <w:t xml:space="preserve"> PQRSD: </w:t>
      </w:r>
      <w:hyperlink r:id="rId15">
        <w:r w:rsidRPr="004A0413">
          <w:rPr>
            <w:rStyle w:val="Hipervnculo"/>
            <w:rFonts w:ascii="Verdana" w:eastAsia="Verdana" w:hAnsi="Verdana" w:cs="Verdana"/>
            <w:lang w:val="es-MX"/>
          </w:rPr>
          <w:t>https://www.colombiacompra.gov.co/pqrsd/informacion-importante-antes-de-formular-una-pqrsd</w:t>
        </w:r>
      </w:hyperlink>
    </w:p>
    <w:p w14:paraId="6C582F37" w14:textId="77777777" w:rsidR="00BB1C8C" w:rsidRPr="004A0413" w:rsidRDefault="00BB1C8C" w:rsidP="004A0413">
      <w:pPr>
        <w:spacing w:after="0" w:line="276" w:lineRule="auto"/>
        <w:ind w:left="720"/>
        <w:jc w:val="both"/>
        <w:rPr>
          <w:rFonts w:ascii="Verdana" w:hAnsi="Verdana"/>
        </w:rPr>
      </w:pPr>
    </w:p>
    <w:p w14:paraId="0E1842BA" w14:textId="77777777" w:rsidR="00BB1C8C" w:rsidRPr="004A0413" w:rsidRDefault="00BB1C8C" w:rsidP="004A0413">
      <w:pPr>
        <w:spacing w:after="120" w:line="276" w:lineRule="auto"/>
        <w:jc w:val="both"/>
        <w:rPr>
          <w:rFonts w:ascii="Verdana" w:hAnsi="Verdana"/>
        </w:rPr>
      </w:pPr>
      <w:r w:rsidRPr="004A0413">
        <w:rPr>
          <w:rFonts w:ascii="Verdana" w:hAnsi="Verdana"/>
        </w:rPr>
        <w:t xml:space="preserve">Evalúa el servicio que ofrece la Agencia por el canal de atención de PQRSD en el siguiente enlace: </w:t>
      </w:r>
      <w:hyperlink r:id="rId16" w:history="1">
        <w:r w:rsidRPr="004A0413">
          <w:rPr>
            <w:rStyle w:val="Hipervnculo"/>
            <w:rFonts w:ascii="Verdana" w:eastAsia="Verdana" w:hAnsi="Verdana" w:cs="Verdana"/>
            <w:lang w:val="es-MX"/>
          </w:rPr>
          <w:t>https://forms.office.com/r/pPHyWVs2SZ</w:t>
        </w:r>
      </w:hyperlink>
      <w:r w:rsidRPr="004A0413">
        <w:rPr>
          <w:rStyle w:val="Hipervnculo"/>
          <w:rFonts w:ascii="Verdana" w:eastAsia="Verdana" w:hAnsi="Verdana" w:cs="Verdana"/>
          <w:lang w:val="es-MX"/>
        </w:rPr>
        <w:t>.</w:t>
      </w:r>
      <w:r w:rsidRPr="004A0413">
        <w:rPr>
          <w:rFonts w:ascii="Verdana" w:hAnsi="Verdana"/>
        </w:rPr>
        <w:t xml:space="preserve"> ¡Ayúdanos a mejorar porque el compromiso es de todos!</w:t>
      </w:r>
    </w:p>
    <w:p w14:paraId="53C482DB" w14:textId="77777777" w:rsidR="00BB1C8C" w:rsidRPr="004A0413" w:rsidRDefault="00BB1C8C">
      <w:pPr>
        <w:spacing w:after="120" w:line="276" w:lineRule="auto"/>
        <w:jc w:val="both"/>
        <w:rPr>
          <w:rFonts w:ascii="Verdana" w:hAnsi="Verdana"/>
        </w:rPr>
      </w:pPr>
      <w:r w:rsidRPr="004A0413">
        <w:rPr>
          <w:rFonts w:ascii="Verdana" w:hAnsi="Verdana"/>
        </w:rPr>
        <w:t xml:space="preserve">Por último, lo invitamos a seguirnos en las redes sociales en las cuales se difunde información institucional: </w:t>
      </w:r>
    </w:p>
    <w:p w14:paraId="34DCE89F" w14:textId="77777777" w:rsidR="00BB1C8C" w:rsidRPr="004A0413" w:rsidRDefault="00BB1C8C">
      <w:pPr>
        <w:spacing w:after="0" w:line="276" w:lineRule="auto"/>
        <w:jc w:val="both"/>
        <w:rPr>
          <w:rFonts w:ascii="Verdana" w:hAnsi="Verdana"/>
        </w:rPr>
      </w:pPr>
      <w:r w:rsidRPr="004A0413">
        <w:rPr>
          <w:rFonts w:ascii="Verdana" w:hAnsi="Verdana"/>
        </w:rPr>
        <w:t xml:space="preserve">Twitter: </w:t>
      </w:r>
      <w:r w:rsidRPr="004A0413">
        <w:rPr>
          <w:rStyle w:val="Hipervnculo"/>
          <w:rFonts w:ascii="Verdana" w:hAnsi="Verdana"/>
        </w:rPr>
        <w:t>@colombiacompra</w:t>
      </w:r>
      <w:r w:rsidRPr="004A0413">
        <w:rPr>
          <w:rFonts w:ascii="Verdana" w:hAnsi="Verdana"/>
        </w:rPr>
        <w:t xml:space="preserve"> </w:t>
      </w:r>
    </w:p>
    <w:p w14:paraId="19D4E62B" w14:textId="77777777" w:rsidR="00BB1C8C" w:rsidRPr="004A0413" w:rsidRDefault="00BB1C8C">
      <w:pPr>
        <w:spacing w:after="0" w:line="276" w:lineRule="auto"/>
        <w:jc w:val="both"/>
        <w:rPr>
          <w:rFonts w:ascii="Verdana" w:hAnsi="Verdana"/>
        </w:rPr>
      </w:pPr>
      <w:r w:rsidRPr="004A0413">
        <w:rPr>
          <w:rFonts w:ascii="Verdana" w:hAnsi="Verdana"/>
        </w:rPr>
        <w:t xml:space="preserve">Facebook: </w:t>
      </w:r>
      <w:proofErr w:type="spellStart"/>
      <w:r w:rsidRPr="004A0413">
        <w:rPr>
          <w:rStyle w:val="Hipervnculo"/>
          <w:rFonts w:ascii="Verdana" w:hAnsi="Verdana"/>
        </w:rPr>
        <w:t>ColombiaCompraEficiente</w:t>
      </w:r>
      <w:proofErr w:type="spellEnd"/>
    </w:p>
    <w:p w14:paraId="178EC143" w14:textId="77777777" w:rsidR="00BB1C8C" w:rsidRPr="004A0413" w:rsidRDefault="00BB1C8C">
      <w:pPr>
        <w:spacing w:after="0" w:line="276" w:lineRule="auto"/>
        <w:jc w:val="both"/>
        <w:rPr>
          <w:rFonts w:ascii="Verdana" w:hAnsi="Verdana"/>
        </w:rPr>
      </w:pPr>
      <w:r w:rsidRPr="004A0413">
        <w:rPr>
          <w:rFonts w:ascii="Verdana" w:hAnsi="Verdana"/>
        </w:rPr>
        <w:t xml:space="preserve">LinkedIn: </w:t>
      </w:r>
      <w:r w:rsidRPr="004A0413">
        <w:rPr>
          <w:rStyle w:val="Hipervnculo"/>
          <w:rFonts w:ascii="Verdana" w:hAnsi="Verdana"/>
        </w:rPr>
        <w:t>Agencia Nacional de Contratación Pública - Colombia Compra Eficiente</w:t>
      </w:r>
      <w:r w:rsidRPr="004A0413">
        <w:rPr>
          <w:rFonts w:ascii="Verdana" w:hAnsi="Verdana"/>
        </w:rPr>
        <w:t xml:space="preserve"> Instagram: </w:t>
      </w:r>
      <w:r w:rsidRPr="004A0413">
        <w:rPr>
          <w:rStyle w:val="Hipervnculo"/>
          <w:rFonts w:ascii="Verdana" w:hAnsi="Verdana"/>
        </w:rPr>
        <w:t>@colombiacompraeficiente_cce</w:t>
      </w:r>
    </w:p>
    <w:p w14:paraId="5A98DF4F" w14:textId="77777777" w:rsidR="00BB1C8C" w:rsidRPr="004A0413" w:rsidRDefault="00BB1C8C">
      <w:pPr>
        <w:spacing w:after="0" w:line="276" w:lineRule="auto"/>
        <w:jc w:val="both"/>
        <w:rPr>
          <w:rFonts w:ascii="Verdana" w:hAnsi="Verdana"/>
          <w:lang w:val="es-MX"/>
        </w:rPr>
      </w:pPr>
    </w:p>
    <w:p w14:paraId="35BBCDD7" w14:textId="77777777" w:rsidR="00BB1C8C" w:rsidRPr="004A0413" w:rsidRDefault="00BB1C8C">
      <w:pPr>
        <w:spacing w:after="0" w:line="276" w:lineRule="auto"/>
        <w:jc w:val="both"/>
        <w:rPr>
          <w:rFonts w:ascii="Verdana" w:hAnsi="Verdana"/>
          <w:lang w:val="es-MX"/>
        </w:rPr>
      </w:pPr>
      <w:r w:rsidRPr="004A0413">
        <w:rPr>
          <w:rFonts w:ascii="Verdana" w:hAnsi="Verdana"/>
          <w:lang w:val="es-MX"/>
        </w:rPr>
        <w:t>Cordialmente,</w:t>
      </w:r>
    </w:p>
    <w:p w14:paraId="00D4796A" w14:textId="4FD8A813" w:rsidR="00BB1C8C" w:rsidRDefault="00E55230" w:rsidP="00BB1C8C">
      <w:pPr>
        <w:spacing w:after="0" w:line="256" w:lineRule="auto"/>
        <w:jc w:val="center"/>
        <w:rPr>
          <w:rFonts w:ascii="Verdana" w:eastAsia="Calibri" w:hAnsi="Verdana" w:cs="Times New Roman"/>
        </w:rPr>
      </w:pPr>
      <w:r w:rsidRPr="0065791A">
        <w:rPr>
          <w:rFonts w:ascii="Century Gothic" w:hAnsi="Century Gothic"/>
          <w:noProof/>
        </w:rPr>
        <w:lastRenderedPageBreak/>
        <w:drawing>
          <wp:inline distT="0" distB="0" distL="0" distR="0" wp14:anchorId="45B4CE86" wp14:editId="4463BA8E">
            <wp:extent cx="3962953" cy="1867161"/>
            <wp:effectExtent l="0" t="0" r="0"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17"/>
                    <a:stretch>
                      <a:fillRect/>
                    </a:stretch>
                  </pic:blipFill>
                  <pic:spPr>
                    <a:xfrm>
                      <a:off x="0" y="0"/>
                      <a:ext cx="3962953" cy="1867161"/>
                    </a:xfrm>
                    <a:prstGeom prst="rect">
                      <a:avLst/>
                    </a:prstGeom>
                  </pic:spPr>
                </pic:pic>
              </a:graphicData>
            </a:graphic>
          </wp:inline>
        </w:drawing>
      </w:r>
    </w:p>
    <w:p w14:paraId="7F7B8477" w14:textId="77777777" w:rsidR="00BB1C8C" w:rsidRDefault="00BB1C8C" w:rsidP="004A0413">
      <w:pPr>
        <w:spacing w:after="0" w:line="256" w:lineRule="auto"/>
        <w:jc w:val="center"/>
        <w:rPr>
          <w:rFonts w:ascii="Verdana" w:eastAsia="Calibri" w:hAnsi="Verdana" w:cs="Times New Roman"/>
        </w:rPr>
      </w:pP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BB1C8C" w:rsidRPr="005644FE" w14:paraId="65B68F0E" w14:textId="77777777" w:rsidTr="00DA4BA9">
        <w:trPr>
          <w:trHeight w:val="288"/>
        </w:trPr>
        <w:tc>
          <w:tcPr>
            <w:tcW w:w="893" w:type="dxa"/>
            <w:vAlign w:val="center"/>
            <w:hideMark/>
          </w:tcPr>
          <w:p w14:paraId="4095BE7E" w14:textId="77777777" w:rsidR="00BB1C8C" w:rsidRPr="005644FE" w:rsidRDefault="00BB1C8C" w:rsidP="00DA4BA9">
            <w:pPr>
              <w:contextualSpacing/>
              <w:rPr>
                <w:rFonts w:ascii="Verdana" w:hAnsi="Verdana" w:cs="Arial"/>
                <w:sz w:val="16"/>
                <w:szCs w:val="16"/>
                <w:lang w:eastAsia="es-ES"/>
              </w:rPr>
            </w:pPr>
            <w:r w:rsidRPr="005644FE">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4BB9CBF4" w14:textId="77777777" w:rsidR="00BB1C8C" w:rsidRPr="005644FE" w:rsidRDefault="00BB1C8C" w:rsidP="00DA4BA9">
            <w:pPr>
              <w:contextualSpacing/>
              <w:rPr>
                <w:rStyle w:val="normaltextrun"/>
                <w:rFonts w:ascii="Verdana" w:hAnsi="Verdana"/>
                <w:sz w:val="16"/>
                <w:szCs w:val="16"/>
              </w:rPr>
            </w:pPr>
            <w:r w:rsidRPr="005644FE">
              <w:rPr>
                <w:rStyle w:val="normaltextrun"/>
                <w:rFonts w:ascii="Verdana" w:hAnsi="Verdana"/>
                <w:sz w:val="16"/>
                <w:szCs w:val="16"/>
              </w:rPr>
              <w:t xml:space="preserve">Esperanza Contreras P </w:t>
            </w:r>
          </w:p>
          <w:p w14:paraId="31D223DC" w14:textId="77777777" w:rsidR="00BB1C8C" w:rsidRPr="005644FE" w:rsidRDefault="00BB1C8C" w:rsidP="00DA4BA9">
            <w:pPr>
              <w:contextualSpacing/>
              <w:rPr>
                <w:rFonts w:ascii="Verdana" w:eastAsia="Arial" w:hAnsi="Verdana" w:cs="Arial"/>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BB1C8C" w:rsidRPr="005644FE" w14:paraId="0A0715E5" w14:textId="77777777" w:rsidTr="00DA4BA9">
        <w:trPr>
          <w:trHeight w:val="330"/>
        </w:trPr>
        <w:tc>
          <w:tcPr>
            <w:tcW w:w="893" w:type="dxa"/>
            <w:vAlign w:val="center"/>
            <w:hideMark/>
          </w:tcPr>
          <w:p w14:paraId="279AE7A6" w14:textId="77777777" w:rsidR="00BB1C8C" w:rsidRPr="005644FE" w:rsidRDefault="00BB1C8C" w:rsidP="00DA4BA9">
            <w:pPr>
              <w:contextualSpacing/>
              <w:rPr>
                <w:rFonts w:ascii="Verdana" w:hAnsi="Verdana" w:cs="Arial"/>
                <w:sz w:val="16"/>
                <w:szCs w:val="16"/>
                <w:lang w:eastAsia="es-ES"/>
              </w:rPr>
            </w:pPr>
            <w:r w:rsidRPr="005644FE">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7CB5A3CB" w14:textId="77777777" w:rsidR="00BB1C8C" w:rsidRPr="0043234D" w:rsidRDefault="00BB1C8C" w:rsidP="00DA4BA9">
            <w:pPr>
              <w:pStyle w:val="paragraph"/>
              <w:spacing w:before="0" w:beforeAutospacing="0" w:after="0" w:afterAutospacing="0"/>
              <w:contextualSpacing/>
              <w:textAlignment w:val="baseline"/>
              <w:rPr>
                <w:rStyle w:val="normaltextrun"/>
                <w:rFonts w:ascii="Verdana" w:hAnsi="Verdana"/>
                <w:sz w:val="16"/>
                <w:szCs w:val="16"/>
              </w:rPr>
            </w:pPr>
            <w:r w:rsidRPr="0043234D">
              <w:rPr>
                <w:rStyle w:val="normaltextrun"/>
                <w:rFonts w:ascii="Verdana" w:hAnsi="Verdana"/>
                <w:sz w:val="16"/>
                <w:szCs w:val="16"/>
              </w:rPr>
              <w:t xml:space="preserve">Diana Lucía Saavedra </w:t>
            </w:r>
            <w:r>
              <w:rPr>
                <w:rStyle w:val="normaltextrun"/>
                <w:rFonts w:ascii="Verdana" w:hAnsi="Verdana"/>
                <w:sz w:val="16"/>
                <w:szCs w:val="16"/>
              </w:rPr>
              <w:t>Castañeda</w:t>
            </w:r>
          </w:p>
          <w:p w14:paraId="5F599071" w14:textId="77777777" w:rsidR="00BB1C8C" w:rsidRPr="005644FE" w:rsidRDefault="00BB1C8C" w:rsidP="00DA4BA9">
            <w:pPr>
              <w:pStyle w:val="paragraph"/>
              <w:spacing w:before="0" w:beforeAutospacing="0" w:after="0" w:afterAutospacing="0"/>
              <w:contextualSpacing/>
              <w:textAlignment w:val="baseline"/>
              <w:rPr>
                <w:rFonts w:ascii="Verdana" w:hAnsi="Verdana" w:cs="Segoe UI"/>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BB1C8C" w:rsidRPr="005644FE" w14:paraId="1081B615" w14:textId="77777777" w:rsidTr="00DA4BA9">
        <w:trPr>
          <w:trHeight w:val="300"/>
        </w:trPr>
        <w:tc>
          <w:tcPr>
            <w:tcW w:w="893" w:type="dxa"/>
            <w:vAlign w:val="center"/>
          </w:tcPr>
          <w:p w14:paraId="4CDFB9AC" w14:textId="77777777" w:rsidR="00BB1C8C" w:rsidRPr="005644FE" w:rsidRDefault="00BB1C8C" w:rsidP="00DA4BA9">
            <w:pPr>
              <w:contextualSpacing/>
              <w:rPr>
                <w:rFonts w:ascii="Verdana" w:hAnsi="Verdana" w:cs="Arial"/>
                <w:sz w:val="16"/>
                <w:szCs w:val="16"/>
                <w:lang w:eastAsia="es-ES"/>
              </w:rPr>
            </w:pPr>
            <w:r w:rsidRPr="005644FE">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3DE2E043" w14:textId="77777777" w:rsidR="00BB1C8C" w:rsidRPr="005644FE" w:rsidRDefault="00BB1C8C" w:rsidP="00DA4BA9">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 xml:space="preserve">Carolina Quintero </w:t>
            </w:r>
            <w:proofErr w:type="spellStart"/>
            <w:r w:rsidRPr="005644FE">
              <w:rPr>
                <w:rFonts w:ascii="Verdana" w:eastAsia="Calibri" w:hAnsi="Verdana" w:cs="Arial"/>
                <w:sz w:val="16"/>
                <w:szCs w:val="16"/>
                <w:lang w:eastAsia="es-ES"/>
              </w:rPr>
              <w:t>Gacharná</w:t>
            </w:r>
            <w:proofErr w:type="spellEnd"/>
          </w:p>
          <w:p w14:paraId="43C24FF1" w14:textId="77777777" w:rsidR="00BB1C8C" w:rsidRPr="005644FE" w:rsidRDefault="00BB1C8C" w:rsidP="00DA4BA9">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Subdirectora de Gestión Contractual ANCP – CCE</w:t>
            </w:r>
          </w:p>
        </w:tc>
      </w:tr>
    </w:tbl>
    <w:p w14:paraId="5B32FBD3" w14:textId="77777777" w:rsidR="00BB1C8C" w:rsidRDefault="00BB1C8C" w:rsidP="00BB1C8C"/>
    <w:bookmarkEnd w:id="0"/>
    <w:p w14:paraId="18C08F30" w14:textId="44A0DC54" w:rsidR="00BB1C8C" w:rsidRPr="005B0D10" w:rsidRDefault="00BB1C8C" w:rsidP="00BB1C8C"/>
    <w:p w14:paraId="2E41E3E7" w14:textId="77777777" w:rsidR="00BB1C8C" w:rsidRPr="00F459C4" w:rsidRDefault="00BB1C8C" w:rsidP="00BB1C8C"/>
    <w:p w14:paraId="30D0E8FD" w14:textId="77777777" w:rsidR="00BB1C8C" w:rsidRPr="009C576B" w:rsidRDefault="00BB1C8C" w:rsidP="00BB1C8C">
      <w:pPr>
        <w:spacing w:after="0" w:line="240" w:lineRule="auto"/>
        <w:jc w:val="both"/>
        <w:rPr>
          <w:rFonts w:ascii="Verdana" w:eastAsia="Verdana" w:hAnsi="Verdana" w:cs="Verdana"/>
          <w:b/>
          <w:bCs/>
        </w:rPr>
      </w:pPr>
    </w:p>
    <w:bookmarkEnd w:id="1"/>
    <w:p w14:paraId="0F293BF4" w14:textId="1F9473D1" w:rsidR="00127233" w:rsidRPr="00BB1C8C" w:rsidRDefault="00127233" w:rsidP="00BB1C8C">
      <w:pPr>
        <w:spacing w:after="0" w:line="240" w:lineRule="auto"/>
        <w:textAlignment w:val="baseline"/>
        <w:rPr>
          <w:rFonts w:ascii="Verdana" w:eastAsia="Verdana" w:hAnsi="Verdana" w:cs="Verdana"/>
          <w:lang w:eastAsia="es-CO"/>
        </w:rPr>
      </w:pPr>
    </w:p>
    <w:sectPr w:rsidR="00127233" w:rsidRPr="00BB1C8C"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E367AF" w14:textId="77777777" w:rsidR="00A36AE8" w:rsidRDefault="00A36AE8" w:rsidP="004A1847">
      <w:pPr>
        <w:spacing w:after="0" w:line="240" w:lineRule="auto"/>
      </w:pPr>
      <w:r>
        <w:separator/>
      </w:r>
    </w:p>
  </w:endnote>
  <w:endnote w:type="continuationSeparator" w:id="0">
    <w:p w14:paraId="182F2FC4" w14:textId="77777777" w:rsidR="00A36AE8" w:rsidRDefault="00A36AE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charset w:val="00"/>
    <w:family w:val="auto"/>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40F26A" w14:textId="77777777" w:rsidR="00A36AE8" w:rsidRDefault="00A36AE8" w:rsidP="004A1847">
      <w:pPr>
        <w:spacing w:after="0" w:line="240" w:lineRule="auto"/>
      </w:pPr>
      <w:r>
        <w:separator/>
      </w:r>
    </w:p>
  </w:footnote>
  <w:footnote w:type="continuationSeparator" w:id="0">
    <w:p w14:paraId="50073075" w14:textId="77777777" w:rsidR="00A36AE8" w:rsidRDefault="00A36AE8" w:rsidP="004A1847">
      <w:pPr>
        <w:spacing w:after="0" w:line="240" w:lineRule="auto"/>
      </w:pPr>
      <w:r>
        <w:continuationSeparator/>
      </w:r>
    </w:p>
  </w:footnote>
  <w:footnote w:id="1">
    <w:p w14:paraId="51EBE8FF" w14:textId="77777777" w:rsidR="00BB1C8C" w:rsidRPr="00BF6219" w:rsidRDefault="00BB1C8C" w:rsidP="00BF6219">
      <w:pPr>
        <w:spacing w:after="0" w:line="240" w:lineRule="auto"/>
        <w:ind w:firstLine="707"/>
        <w:jc w:val="both"/>
        <w:rPr>
          <w:rFonts w:ascii="Verdana" w:hAnsi="Verdana" w:cs="Arial"/>
          <w:sz w:val="16"/>
          <w:szCs w:val="16"/>
        </w:rPr>
      </w:pPr>
      <w:r w:rsidRPr="00BF6219">
        <w:rPr>
          <w:rStyle w:val="Refdenotaalpie"/>
          <w:rFonts w:ascii="Verdana" w:hAnsi="Verdana" w:cs="Arial"/>
          <w:sz w:val="16"/>
          <w:szCs w:val="16"/>
        </w:rPr>
        <w:footnoteRef/>
      </w:r>
      <w:r w:rsidRPr="00BF6219">
        <w:rPr>
          <w:rFonts w:ascii="Verdana" w:hAnsi="Verdana" w:cs="Arial"/>
          <w:position w:val="6"/>
          <w:sz w:val="16"/>
          <w:szCs w:val="16"/>
        </w:rPr>
        <w:t xml:space="preserve"> </w:t>
      </w:r>
      <w:r w:rsidRPr="00BF6219">
        <w:rPr>
          <w:rFonts w:ascii="Verdana" w:hAnsi="Verdana" w:cs="Arial"/>
          <w:sz w:val="16"/>
          <w:szCs w:val="16"/>
        </w:rPr>
        <w:t>DEIK ACOSTAMADIEDO, Carolina, Guía de Contratación Estatal: Deber de planeación y modalidades de selección, Buenos Aires, 2015, p. 59.</w:t>
      </w:r>
    </w:p>
    <w:p w14:paraId="6256704D" w14:textId="77777777" w:rsidR="00BB1C8C" w:rsidRPr="00BF6219" w:rsidRDefault="00BB1C8C" w:rsidP="0065454A">
      <w:pPr>
        <w:pStyle w:val="Textonotapie"/>
        <w:jc w:val="both"/>
        <w:rPr>
          <w:rFonts w:ascii="Verdana" w:hAnsi="Verdana" w:cs="Arial"/>
          <w:sz w:val="16"/>
          <w:szCs w:val="16"/>
        </w:rPr>
      </w:pPr>
    </w:p>
  </w:footnote>
  <w:footnote w:id="2">
    <w:p w14:paraId="291F28DE" w14:textId="77777777" w:rsidR="00BB1C8C" w:rsidRPr="00BF6219" w:rsidRDefault="00BB1C8C" w:rsidP="00BF6219">
      <w:pPr>
        <w:pStyle w:val="Textoindependiente"/>
        <w:spacing w:after="0" w:line="240" w:lineRule="auto"/>
        <w:ind w:firstLine="709"/>
        <w:jc w:val="both"/>
        <w:rPr>
          <w:rFonts w:ascii="Verdana" w:hAnsi="Verdana" w:cs="Arial"/>
          <w:sz w:val="16"/>
          <w:szCs w:val="16"/>
        </w:rPr>
      </w:pPr>
      <w:r w:rsidRPr="00BF6219">
        <w:rPr>
          <w:rStyle w:val="Refdenotaalpie"/>
          <w:rFonts w:ascii="Verdana" w:hAnsi="Verdana" w:cs="Arial"/>
          <w:sz w:val="16"/>
          <w:szCs w:val="16"/>
        </w:rPr>
        <w:footnoteRef/>
      </w:r>
      <w:r w:rsidRPr="00BF6219">
        <w:rPr>
          <w:rFonts w:ascii="Verdana" w:hAnsi="Verdana" w:cs="Arial"/>
          <w:sz w:val="16"/>
          <w:szCs w:val="16"/>
        </w:rPr>
        <w:t xml:space="preserve"> “Artículo </w:t>
      </w:r>
      <w:bookmarkStart w:id="2" w:name="_Hlk54173885"/>
      <w:r w:rsidRPr="00BF6219">
        <w:rPr>
          <w:rFonts w:ascii="Verdana" w:hAnsi="Verdana" w:cs="Arial"/>
          <w:sz w:val="16"/>
          <w:szCs w:val="16"/>
        </w:rPr>
        <w:t>2.2.1.1.2.1.1</w:t>
      </w:r>
      <w:bookmarkEnd w:id="2"/>
      <w:r w:rsidRPr="00BF6219">
        <w:rPr>
          <w:rFonts w:ascii="Verdana" w:hAnsi="Verdana" w:cs="Arial"/>
          <w:sz w:val="16"/>
          <w:szCs w:val="16"/>
        </w:rPr>
        <w:t>. Estudios y documentos previos. Los estudios y documentos previos son el soporte para elaborar el proyecto de pliegos, los pliegos de condiciones, y el contrato. Deben permanecer a disposición del público durante el desarrollo del Proceso de Contratación y contener los siguientes elementos, además de los indicados para cada modalidad de selección: (…)”.</w:t>
      </w:r>
    </w:p>
    <w:p w14:paraId="2B6F9FE5" w14:textId="77777777" w:rsidR="00BB1C8C" w:rsidRPr="00BF6219" w:rsidRDefault="00BB1C8C" w:rsidP="0065454A">
      <w:pPr>
        <w:pStyle w:val="Textonotapie"/>
        <w:ind w:firstLine="709"/>
        <w:jc w:val="both"/>
        <w:rPr>
          <w:rFonts w:ascii="Verdana" w:hAnsi="Verdana" w:cs="Arial"/>
          <w:sz w:val="16"/>
          <w:szCs w:val="16"/>
        </w:rPr>
      </w:pPr>
    </w:p>
  </w:footnote>
  <w:footnote w:id="3">
    <w:p w14:paraId="7455E676" w14:textId="77777777" w:rsidR="00BB1C8C" w:rsidRPr="00BF6219" w:rsidRDefault="00BB1C8C" w:rsidP="00BF6219">
      <w:pPr>
        <w:pStyle w:val="Textoindependiente"/>
        <w:spacing w:after="0" w:line="240" w:lineRule="auto"/>
        <w:ind w:firstLine="709"/>
        <w:jc w:val="both"/>
        <w:rPr>
          <w:rFonts w:ascii="Verdana" w:hAnsi="Verdana" w:cs="Arial"/>
          <w:sz w:val="16"/>
          <w:szCs w:val="16"/>
        </w:rPr>
      </w:pPr>
      <w:r w:rsidRPr="00BF6219">
        <w:rPr>
          <w:rStyle w:val="Refdenotaalpie"/>
          <w:rFonts w:ascii="Verdana" w:hAnsi="Verdana" w:cs="Arial"/>
          <w:sz w:val="16"/>
          <w:szCs w:val="16"/>
        </w:rPr>
        <w:footnoteRef/>
      </w:r>
      <w:r w:rsidRPr="00BF6219">
        <w:rPr>
          <w:rFonts w:ascii="Verdana" w:hAnsi="Verdana" w:cs="Arial"/>
          <w:sz w:val="16"/>
          <w:szCs w:val="16"/>
        </w:rPr>
        <w:t xml:space="preserve"> Consejo de Estado. Sala de lo Contencioso Administrativo. Sección Tercera. Subsección B. Sentencia del 31 de agosto de 2011. </w:t>
      </w:r>
      <w:proofErr w:type="spellStart"/>
      <w:r w:rsidRPr="00BF6219">
        <w:rPr>
          <w:rFonts w:ascii="Verdana" w:hAnsi="Verdana" w:cs="Arial"/>
          <w:sz w:val="16"/>
          <w:szCs w:val="16"/>
        </w:rPr>
        <w:t>Exp</w:t>
      </w:r>
      <w:proofErr w:type="spellEnd"/>
      <w:r w:rsidRPr="00BF6219">
        <w:rPr>
          <w:rFonts w:ascii="Verdana" w:hAnsi="Verdana" w:cs="Arial"/>
          <w:sz w:val="16"/>
          <w:szCs w:val="16"/>
        </w:rPr>
        <w:t xml:space="preserve">. 18.080. C.P. Ruth Stella Correa Palacio: </w:t>
      </w:r>
      <w:r w:rsidRPr="00BF6219">
        <w:rPr>
          <w:rFonts w:ascii="Verdana" w:hAnsi="Verdana" w:cs="Arial"/>
          <w:i/>
          <w:iCs/>
          <w:sz w:val="16"/>
          <w:szCs w:val="16"/>
        </w:rPr>
        <w:t>“(…) recuérdese que la aplicación de la buena fe en materia negocial implica para las partes la observancia la observancia de una conducta enmarcada dentro del contexto de los deberes de corrección, claridad y recíproca lealtad que se deben los contratantes, para remitir la realización de los efectos finales buscados en el contrato”.</w:t>
      </w:r>
    </w:p>
    <w:p w14:paraId="1E7727A4" w14:textId="77777777" w:rsidR="00BB1C8C" w:rsidRPr="00BF6219" w:rsidRDefault="00BB1C8C" w:rsidP="0065454A">
      <w:pPr>
        <w:pStyle w:val="Textonotapie"/>
        <w:jc w:val="both"/>
        <w:rPr>
          <w:rFonts w:ascii="Verdana" w:hAnsi="Verdana" w:cs="Arial"/>
          <w:sz w:val="16"/>
          <w:szCs w:val="16"/>
        </w:rPr>
      </w:pPr>
    </w:p>
  </w:footnote>
  <w:footnote w:id="4">
    <w:p w14:paraId="5C389246" w14:textId="77777777" w:rsidR="00BB1C8C" w:rsidRPr="00BF6219" w:rsidRDefault="00BB1C8C" w:rsidP="00BF6219">
      <w:pPr>
        <w:pStyle w:val="Textonotapie"/>
        <w:ind w:firstLine="709"/>
        <w:jc w:val="both"/>
        <w:rPr>
          <w:rFonts w:ascii="Verdana" w:hAnsi="Verdana"/>
          <w:sz w:val="16"/>
          <w:szCs w:val="16"/>
        </w:rPr>
      </w:pPr>
      <w:r w:rsidRPr="00BF6219">
        <w:rPr>
          <w:rStyle w:val="Refdenotaalpie"/>
          <w:rFonts w:ascii="Verdana" w:hAnsi="Verdana"/>
          <w:sz w:val="16"/>
          <w:szCs w:val="16"/>
        </w:rPr>
        <w:footnoteRef/>
      </w:r>
      <w:r w:rsidRPr="00BF6219">
        <w:rPr>
          <w:rFonts w:ascii="Verdana" w:hAnsi="Verdana"/>
          <w:sz w:val="16"/>
          <w:szCs w:val="16"/>
        </w:rPr>
        <w:t xml:space="preserve"> Disponible en </w:t>
      </w:r>
      <w:hyperlink r:id="rId1" w:history="1">
        <w:r w:rsidRPr="00BF6219">
          <w:rPr>
            <w:rStyle w:val="Hipervnculo"/>
            <w:rFonts w:ascii="Verdana" w:hAnsi="Verdana"/>
            <w:sz w:val="16"/>
            <w:szCs w:val="16"/>
            <w:lang w:val="es-CO"/>
          </w:rPr>
          <w:t>Guia-para-la-elaboracion-de-estudios-del-sector-Original-Firmado.pdf</w:t>
        </w:r>
      </w:hyperlink>
    </w:p>
    <w:p w14:paraId="01505D27" w14:textId="77777777" w:rsidR="00BB1C8C" w:rsidRPr="00BF6219" w:rsidRDefault="00BB1C8C" w:rsidP="00BF6219">
      <w:pPr>
        <w:pStyle w:val="Textonotapie"/>
        <w:ind w:firstLine="709"/>
        <w:jc w:val="both"/>
        <w:rPr>
          <w:rFonts w:ascii="Verdana" w:hAnsi="Verdana"/>
          <w:sz w:val="16"/>
          <w:szCs w:val="16"/>
        </w:rPr>
      </w:pPr>
    </w:p>
  </w:footnote>
  <w:footnote w:id="5">
    <w:p w14:paraId="03124CDB" w14:textId="77777777" w:rsidR="00BB1C8C" w:rsidRPr="00BF6219" w:rsidRDefault="00BB1C8C" w:rsidP="0065454A">
      <w:pPr>
        <w:pStyle w:val="Textonotapie"/>
        <w:ind w:firstLine="708"/>
        <w:jc w:val="both"/>
        <w:rPr>
          <w:rFonts w:ascii="Verdana" w:hAnsi="Verdana" w:cs="Arial"/>
          <w:sz w:val="16"/>
          <w:szCs w:val="16"/>
        </w:rPr>
      </w:pPr>
      <w:r w:rsidRPr="00BF6219">
        <w:rPr>
          <w:rStyle w:val="Refdenotaalpie"/>
          <w:rFonts w:ascii="Verdana" w:hAnsi="Verdana" w:cs="Arial"/>
          <w:sz w:val="16"/>
          <w:szCs w:val="16"/>
        </w:rPr>
        <w:footnoteRef/>
      </w:r>
      <w:r w:rsidRPr="00BF6219">
        <w:rPr>
          <w:rFonts w:ascii="Verdana" w:hAnsi="Verdana" w:cs="Arial"/>
          <w:sz w:val="16"/>
          <w:szCs w:val="16"/>
        </w:rPr>
        <w:t xml:space="preserve"> Para la jurisprudencia, “[…] los seguros de cumplimiento, específicamente, el de contratos estatales, son aquellos que garantizan al acreedor (entidad estatal) que serán resarcidos los daños que pueda provocar el incumplimiento de las obligaciones del deudor (contratista) dentro del marco de una relación contractual. Así, pues, el riesgo asegurado en esta categoría de seguros, visto de manera general, lo constituye el incumplimiento de las obligaciones contractuales a cargo del deudor (contratista), quien a su vez es el tomador de la póliza, de modo que el objeto de las obligaciones garantizadas es lo que determina o particulariza el riesgo asegurado”. Consejo de Estado. Sala de lo Contencioso Administrativo. Sección Tercera. Subsección A. Sentencia del 12 de febrero de 2015. </w:t>
      </w:r>
      <w:proofErr w:type="spellStart"/>
      <w:r w:rsidRPr="00BF6219">
        <w:rPr>
          <w:rFonts w:ascii="Verdana" w:hAnsi="Verdana" w:cs="Arial"/>
          <w:sz w:val="16"/>
          <w:szCs w:val="16"/>
        </w:rPr>
        <w:t>Exp</w:t>
      </w:r>
      <w:proofErr w:type="spellEnd"/>
      <w:r w:rsidRPr="00BF6219">
        <w:rPr>
          <w:rFonts w:ascii="Verdana" w:hAnsi="Verdana" w:cs="Arial"/>
          <w:sz w:val="16"/>
          <w:szCs w:val="16"/>
        </w:rPr>
        <w:t>.  28278. C.P. Carlos Alberto Zambrano Barrera.</w:t>
      </w:r>
    </w:p>
    <w:p w14:paraId="3F768120" w14:textId="77777777" w:rsidR="00BB1C8C" w:rsidRPr="00BF6219" w:rsidRDefault="00BB1C8C">
      <w:pPr>
        <w:pStyle w:val="Textonotapie"/>
        <w:ind w:firstLine="708"/>
        <w:jc w:val="both"/>
        <w:rPr>
          <w:rFonts w:ascii="Verdana" w:hAnsi="Verdana" w:cs="Arial"/>
          <w:sz w:val="16"/>
          <w:szCs w:val="16"/>
        </w:rPr>
      </w:pPr>
    </w:p>
  </w:footnote>
  <w:footnote w:id="6">
    <w:p w14:paraId="701B1D10" w14:textId="77777777" w:rsidR="00BB1C8C" w:rsidRPr="00BF6219" w:rsidRDefault="00BB1C8C">
      <w:pPr>
        <w:pStyle w:val="Textonotapie"/>
        <w:ind w:firstLine="709"/>
        <w:jc w:val="both"/>
        <w:rPr>
          <w:rFonts w:ascii="Verdana" w:hAnsi="Verdana" w:cs="Arial"/>
          <w:color w:val="000000" w:themeColor="text1"/>
          <w:sz w:val="16"/>
          <w:szCs w:val="16"/>
        </w:rPr>
      </w:pPr>
      <w:r w:rsidRPr="00BF6219">
        <w:rPr>
          <w:rStyle w:val="Refdenotaalpie"/>
          <w:rFonts w:ascii="Verdana" w:hAnsi="Verdana" w:cs="Arial"/>
          <w:color w:val="000000" w:themeColor="text1"/>
          <w:sz w:val="16"/>
          <w:szCs w:val="16"/>
        </w:rPr>
        <w:footnoteRef/>
      </w:r>
      <w:r w:rsidRPr="00BF6219">
        <w:rPr>
          <w:rFonts w:ascii="Verdana" w:hAnsi="Verdana" w:cs="Arial"/>
          <w:color w:val="000000" w:themeColor="text1"/>
          <w:sz w:val="16"/>
          <w:szCs w:val="16"/>
        </w:rPr>
        <w:t xml:space="preserve"> ORDÓÑEZ </w:t>
      </w:r>
      <w:proofErr w:type="spellStart"/>
      <w:r w:rsidRPr="00BF6219">
        <w:rPr>
          <w:rFonts w:ascii="Verdana" w:hAnsi="Verdana" w:cs="Arial"/>
          <w:color w:val="000000" w:themeColor="text1"/>
          <w:sz w:val="16"/>
          <w:szCs w:val="16"/>
        </w:rPr>
        <w:t>ORDÓÑEZ</w:t>
      </w:r>
      <w:proofErr w:type="spellEnd"/>
      <w:r w:rsidRPr="00BF6219">
        <w:rPr>
          <w:rFonts w:ascii="Verdana" w:hAnsi="Verdana" w:cs="Arial"/>
          <w:color w:val="000000" w:themeColor="text1"/>
          <w:sz w:val="16"/>
          <w:szCs w:val="16"/>
        </w:rPr>
        <w:t>, Andrés E. Seguro de cumplimiento de los contratos estatales en Colombia. Bogotá: Universidad Externado de Colombia, 2011. p. 44.</w:t>
      </w:r>
    </w:p>
    <w:p w14:paraId="5B36DA4B" w14:textId="77777777" w:rsidR="00BB1C8C" w:rsidRPr="00BF6219" w:rsidRDefault="00BB1C8C">
      <w:pPr>
        <w:pStyle w:val="Textonotapie"/>
        <w:ind w:firstLine="709"/>
        <w:jc w:val="both"/>
        <w:rPr>
          <w:rFonts w:ascii="Verdana" w:hAnsi="Verdana" w:cs="Arial"/>
          <w:color w:val="000000" w:themeColor="text1"/>
          <w:sz w:val="16"/>
          <w:szCs w:val="16"/>
        </w:rPr>
      </w:pPr>
    </w:p>
  </w:footnote>
  <w:footnote w:id="7">
    <w:p w14:paraId="62615AEB" w14:textId="77777777" w:rsidR="00BB1C8C" w:rsidRPr="00BF6219" w:rsidRDefault="00BB1C8C">
      <w:pPr>
        <w:pStyle w:val="Textonotapie"/>
        <w:ind w:firstLine="709"/>
        <w:jc w:val="both"/>
        <w:rPr>
          <w:rFonts w:ascii="Verdana" w:hAnsi="Verdana" w:cs="Arial"/>
          <w:color w:val="000000" w:themeColor="text1"/>
          <w:sz w:val="16"/>
          <w:szCs w:val="16"/>
          <w:lang w:val="es-ES"/>
        </w:rPr>
      </w:pPr>
      <w:r w:rsidRPr="00BF6219">
        <w:rPr>
          <w:rStyle w:val="Refdenotaalpie"/>
          <w:rFonts w:ascii="Verdana" w:hAnsi="Verdana" w:cs="Arial"/>
          <w:color w:val="000000" w:themeColor="text1"/>
          <w:sz w:val="16"/>
          <w:szCs w:val="16"/>
        </w:rPr>
        <w:footnoteRef/>
      </w:r>
      <w:r w:rsidRPr="00BF6219">
        <w:rPr>
          <w:rFonts w:ascii="Verdana" w:hAnsi="Verdana" w:cs="Arial"/>
          <w:color w:val="000000" w:themeColor="text1"/>
          <w:sz w:val="16"/>
          <w:szCs w:val="16"/>
        </w:rPr>
        <w:t xml:space="preserve"> Al respecto, el inciso primero del artículo 1068 del Código de Comercio dispone lo siguiente: “La mora en el pago de la prima de la póliza o de los certificados o anexos que se expidan con fundamento en ella, producirá la terminación automática del contrato y dará derecho al asegurador para exigir el pago de la prima devengada y de los gastos causados con ocasión de la expedición del contrato. </w:t>
      </w:r>
      <w:r w:rsidRPr="00BF6219">
        <w:rPr>
          <w:rFonts w:ascii="Verdana" w:hAnsi="Verdana" w:cs="Arial"/>
          <w:color w:val="000000" w:themeColor="text1"/>
          <w:sz w:val="16"/>
          <w:szCs w:val="16"/>
          <w:lang w:val="es-ES"/>
        </w:rPr>
        <w:t xml:space="preserve">Igualmente, el inciso primero del artículo 1071 </w:t>
      </w:r>
      <w:r w:rsidRPr="00BF6219">
        <w:rPr>
          <w:rFonts w:ascii="Verdana" w:hAnsi="Verdana" w:cs="Arial"/>
          <w:i/>
          <w:iCs/>
          <w:color w:val="000000" w:themeColor="text1"/>
          <w:sz w:val="16"/>
          <w:szCs w:val="16"/>
          <w:lang w:val="es-ES"/>
        </w:rPr>
        <w:t>ibidem</w:t>
      </w:r>
      <w:r w:rsidRPr="00BF6219">
        <w:rPr>
          <w:rFonts w:ascii="Verdana" w:hAnsi="Verdana" w:cs="Arial"/>
          <w:color w:val="000000" w:themeColor="text1"/>
          <w:sz w:val="16"/>
          <w:szCs w:val="16"/>
          <w:lang w:val="es-ES"/>
        </w:rPr>
        <w:t xml:space="preserve"> prescribe: “El contrato de seguro podrá ser revocado unilateralmente por los contratantes. Por el asegurador, mediante noticia escrita al asegurado, enviada a su última dirección conocida, con no menos de diez días de antelación, contados a partir de la fecha del envío; por el asegurado, en cualquier momento, mediante aviso escrito al asegurador”.  </w:t>
      </w:r>
    </w:p>
    <w:p w14:paraId="4BE9C3E2" w14:textId="77777777" w:rsidR="00BB1C8C" w:rsidRPr="00BF6219" w:rsidRDefault="00BB1C8C">
      <w:pPr>
        <w:pStyle w:val="Textonotapie"/>
        <w:ind w:firstLine="709"/>
        <w:jc w:val="both"/>
        <w:rPr>
          <w:rFonts w:ascii="Verdana" w:hAnsi="Verdana" w:cs="Arial"/>
          <w:color w:val="000000" w:themeColor="text1"/>
          <w:sz w:val="16"/>
          <w:szCs w:val="16"/>
          <w:lang w:val="es-ES"/>
        </w:rPr>
      </w:pPr>
    </w:p>
  </w:footnote>
  <w:footnote w:id="8">
    <w:p w14:paraId="620C9F20" w14:textId="77777777" w:rsidR="00BB1C8C" w:rsidRPr="00BF6219" w:rsidRDefault="00BB1C8C">
      <w:pPr>
        <w:pStyle w:val="Textonotapie"/>
        <w:ind w:firstLine="709"/>
        <w:jc w:val="both"/>
        <w:rPr>
          <w:rFonts w:ascii="Verdana" w:hAnsi="Verdana" w:cs="Arial"/>
          <w:color w:val="000000" w:themeColor="text1"/>
          <w:sz w:val="16"/>
          <w:szCs w:val="16"/>
        </w:rPr>
      </w:pPr>
      <w:r w:rsidRPr="00BF6219">
        <w:rPr>
          <w:rStyle w:val="Refdenotaalpie"/>
          <w:rFonts w:ascii="Verdana" w:hAnsi="Verdana" w:cs="Arial"/>
          <w:color w:val="000000" w:themeColor="text1"/>
          <w:sz w:val="16"/>
          <w:szCs w:val="16"/>
        </w:rPr>
        <w:footnoteRef/>
      </w:r>
      <w:r w:rsidRPr="00BF6219">
        <w:rPr>
          <w:rFonts w:ascii="Verdana" w:hAnsi="Verdana" w:cs="Arial"/>
          <w:color w:val="000000" w:themeColor="text1"/>
          <w:sz w:val="16"/>
          <w:szCs w:val="16"/>
        </w:rPr>
        <w:t xml:space="preserve"> ESCOBAR GIL, Rodrigo. Teoría general de los contratos de la Administración pública. Bogotá: Legis, 2000. p. 247. Respecto a las pólizas, la doctrina explica que “En rigor, el seguro no elimina el daño sino que tolera que sus consecuencias resulten transferidas (trasladadas) por el sujeto amenazado por un evento económicamente desfavorable, a otro (asegurador) que, a esos fines, ha constituido una mutualidad especialmente ‘preparada para absorber el riesgo de indemnización” (Cfr. STIGLITZ, Rubén S. Derecho de seguros. Tomo I. Tercera Edición. Buenos Aires: Abeledo – Perrot, 2001. p. 21).</w:t>
      </w:r>
    </w:p>
    <w:p w14:paraId="1941694A" w14:textId="77777777" w:rsidR="00BB1C8C" w:rsidRPr="00BF6219" w:rsidRDefault="00BB1C8C">
      <w:pPr>
        <w:pStyle w:val="Textonotapie"/>
        <w:ind w:firstLine="709"/>
        <w:jc w:val="both"/>
        <w:rPr>
          <w:rFonts w:ascii="Verdana" w:hAnsi="Verdana" w:cs="Arial"/>
          <w:color w:val="000000" w:themeColor="text1"/>
          <w:sz w:val="16"/>
          <w:szCs w:val="16"/>
        </w:rPr>
      </w:pPr>
    </w:p>
  </w:footnote>
  <w:footnote w:id="9">
    <w:p w14:paraId="7D710D7A" w14:textId="77777777" w:rsidR="00BB1C8C" w:rsidRPr="00BF6219" w:rsidRDefault="00BB1C8C">
      <w:pPr>
        <w:pStyle w:val="Textonotapie"/>
        <w:ind w:firstLine="708"/>
        <w:jc w:val="both"/>
        <w:rPr>
          <w:rFonts w:ascii="Verdana" w:hAnsi="Verdana" w:cs="Arial"/>
          <w:color w:val="000000" w:themeColor="text1"/>
          <w:sz w:val="16"/>
          <w:szCs w:val="16"/>
          <w:lang w:val="es-CO"/>
        </w:rPr>
      </w:pPr>
      <w:r w:rsidRPr="00BF6219">
        <w:rPr>
          <w:rStyle w:val="Refdenotaalpie"/>
          <w:rFonts w:ascii="Verdana" w:hAnsi="Verdana" w:cs="Arial"/>
          <w:color w:val="000000" w:themeColor="text1"/>
          <w:sz w:val="16"/>
          <w:szCs w:val="16"/>
        </w:rPr>
        <w:footnoteRef/>
      </w:r>
      <w:r w:rsidRPr="00BF6219">
        <w:rPr>
          <w:rFonts w:ascii="Verdana" w:hAnsi="Verdana" w:cs="Arial"/>
          <w:color w:val="000000" w:themeColor="text1"/>
          <w:sz w:val="16"/>
          <w:szCs w:val="16"/>
        </w:rPr>
        <w:t xml:space="preserve"> </w:t>
      </w:r>
      <w:r w:rsidRPr="00BF6219">
        <w:rPr>
          <w:rFonts w:ascii="Verdana" w:hAnsi="Verdana" w:cs="Arial"/>
          <w:color w:val="000000" w:themeColor="text1"/>
          <w:sz w:val="16"/>
          <w:szCs w:val="16"/>
          <w:lang w:val="es-CO"/>
        </w:rPr>
        <w:t xml:space="preserve">“Artículo 2.2.1.2.3.1.3. Indivisibilidad de la garantía. La garantía de cobertura del Riesgo es indivisible. Sin embargo, en los contratos con un plazo mayor a cinco (5) años las garantías pueden cubrir los Riesgos de la Etapa del Contrato o del Periodo Contractual, de acuerdo con lo previsto en el contrato. </w:t>
      </w:r>
    </w:p>
    <w:p w14:paraId="751EFA1A" w14:textId="77777777" w:rsidR="00BB1C8C" w:rsidRPr="00BF6219" w:rsidRDefault="00BB1C8C">
      <w:pPr>
        <w:pStyle w:val="Textonotapie"/>
        <w:ind w:firstLine="708"/>
        <w:jc w:val="both"/>
        <w:rPr>
          <w:rFonts w:ascii="Verdana" w:hAnsi="Verdana" w:cs="Arial"/>
          <w:color w:val="000000" w:themeColor="text1"/>
          <w:sz w:val="16"/>
          <w:szCs w:val="16"/>
          <w:lang w:val="es-CO"/>
        </w:rPr>
      </w:pPr>
      <w:r w:rsidRPr="00BF6219">
        <w:rPr>
          <w:rFonts w:ascii="Verdana" w:hAnsi="Verdana" w:cs="Arial"/>
          <w:color w:val="000000" w:themeColor="text1"/>
          <w:sz w:val="16"/>
          <w:szCs w:val="16"/>
          <w:lang w:val="es-CO"/>
        </w:rPr>
        <w:t xml:space="preserve">En consecuencia, la Entidad Estatal en los pliegos de condiciones para la Contratación debe indicar las garantías que exige en cada Etapa del Contrato o cada Periodo Contractual así: </w:t>
      </w:r>
    </w:p>
    <w:p w14:paraId="406DB028" w14:textId="77777777" w:rsidR="00BB1C8C" w:rsidRPr="00BF6219" w:rsidRDefault="00BB1C8C">
      <w:pPr>
        <w:pStyle w:val="Textonotapie"/>
        <w:ind w:firstLine="708"/>
        <w:jc w:val="both"/>
        <w:rPr>
          <w:rFonts w:ascii="Verdana" w:hAnsi="Verdana" w:cs="Arial"/>
          <w:color w:val="000000" w:themeColor="text1"/>
          <w:sz w:val="16"/>
          <w:szCs w:val="16"/>
          <w:lang w:val="es-CO"/>
        </w:rPr>
      </w:pPr>
      <w:r w:rsidRPr="00BF6219">
        <w:rPr>
          <w:rFonts w:ascii="Verdana" w:hAnsi="Verdana" w:cs="Arial"/>
          <w:color w:val="000000" w:themeColor="text1"/>
          <w:sz w:val="16"/>
          <w:szCs w:val="16"/>
          <w:lang w:val="es-CO"/>
        </w:rPr>
        <w:t xml:space="preserve">1. La Entidad Estatal debe exigir una garantía independiente para cada Etapa del Contrato o cada Periodo Contractual o cada unidad funcional en el caso de las Asociaciones Público Privadas, cuya vigencia debe ser por lo menos la misma establecida para la Etapa del Contrato o Periodo Contractual respectivo. </w:t>
      </w:r>
    </w:p>
    <w:p w14:paraId="4B0BB9FC" w14:textId="77777777" w:rsidR="00BB1C8C" w:rsidRPr="00BF6219" w:rsidRDefault="00BB1C8C">
      <w:pPr>
        <w:pStyle w:val="Textonotapie"/>
        <w:ind w:firstLine="708"/>
        <w:jc w:val="both"/>
        <w:rPr>
          <w:rFonts w:ascii="Verdana" w:hAnsi="Verdana" w:cs="Arial"/>
          <w:color w:val="000000" w:themeColor="text1"/>
          <w:sz w:val="16"/>
          <w:szCs w:val="16"/>
          <w:lang w:val="es-CO"/>
        </w:rPr>
      </w:pPr>
      <w:r w:rsidRPr="00BF6219">
        <w:rPr>
          <w:rFonts w:ascii="Verdana" w:hAnsi="Verdana" w:cs="Arial"/>
          <w:color w:val="000000" w:themeColor="text1"/>
          <w:sz w:val="16"/>
          <w:szCs w:val="16"/>
          <w:lang w:val="es-CO"/>
        </w:rPr>
        <w:t xml:space="preserve">2. La Entidad Estatal debe calcular el valor asegurado para cada Etapa del Contrato, Periodo Contractual o unidad funcional, tomando el valor de las obligaciones del contratista para cada Etapa del Contrato, Periodo Contractual o unidad funcional y de acuerdo con las reglas de suficiencia de las garantías establecidas en el presente título. </w:t>
      </w:r>
    </w:p>
    <w:p w14:paraId="1BEACF04" w14:textId="77777777" w:rsidR="00BB1C8C" w:rsidRPr="00BF6219" w:rsidRDefault="00BB1C8C">
      <w:pPr>
        <w:pStyle w:val="Textonotapie"/>
        <w:ind w:firstLine="708"/>
        <w:jc w:val="both"/>
        <w:rPr>
          <w:rFonts w:ascii="Verdana" w:hAnsi="Verdana" w:cs="Arial"/>
          <w:color w:val="000000" w:themeColor="text1"/>
          <w:sz w:val="16"/>
          <w:szCs w:val="16"/>
          <w:lang w:val="es-CO"/>
        </w:rPr>
      </w:pPr>
      <w:r w:rsidRPr="00BF6219">
        <w:rPr>
          <w:rFonts w:ascii="Verdana" w:hAnsi="Verdana" w:cs="Arial"/>
          <w:color w:val="000000" w:themeColor="text1"/>
          <w:sz w:val="16"/>
          <w:szCs w:val="16"/>
          <w:lang w:val="es-CO"/>
        </w:rPr>
        <w:t xml:space="preserve">3. Antes del vencimiento de cada Etapa del Contrato o cada Periodo Contractual, el contratista está obligado a obtener una nueva garantía que ampare el cumplimiento de sus obligaciones para la Etapa del Contrato o Periodo Contractual subsiguiente, si no lo hiciere se aplicarán las reglas previstas para el restablecimiento de la garantía. </w:t>
      </w:r>
    </w:p>
    <w:p w14:paraId="1A149776" w14:textId="77777777" w:rsidR="00BB1C8C" w:rsidRPr="00BF6219" w:rsidRDefault="00BB1C8C">
      <w:pPr>
        <w:pStyle w:val="Textonotapie"/>
        <w:ind w:firstLine="708"/>
        <w:jc w:val="both"/>
        <w:rPr>
          <w:rFonts w:ascii="Verdana" w:hAnsi="Verdana" w:cs="Arial"/>
          <w:color w:val="000000" w:themeColor="text1"/>
          <w:sz w:val="16"/>
          <w:szCs w:val="16"/>
          <w:lang w:val="es-CO"/>
        </w:rPr>
      </w:pPr>
      <w:r w:rsidRPr="00BF6219">
        <w:rPr>
          <w:rFonts w:ascii="Verdana" w:hAnsi="Verdana" w:cs="Arial"/>
          <w:color w:val="000000" w:themeColor="text1"/>
          <w:sz w:val="16"/>
          <w:szCs w:val="16"/>
          <w:lang w:val="es-CO"/>
        </w:rPr>
        <w:t>Si el garante de una Etapa del Contrato o un Periodo Contractual decide no continuar garantizando la Etapa del Contrato o Periodo Contractual subsiguiente, debe informar su decisión por escrito a la Entidad Estatal garantizada seis (6) meses antes del vencimiento del plazo de la garantía. Este aviso no afecta la garantía de la Etapa Contractual o Periodo Contractual en ejecución. Si el garante no da el aviso con la anticipación mencionada y el contratista no obtiene una nueva garantía, queda obligado a garantizar la Etapa del Contrato o el Periodo Contractual subsiguiente”.</w:t>
      </w:r>
    </w:p>
    <w:p w14:paraId="23033687" w14:textId="77777777" w:rsidR="00BB1C8C" w:rsidRPr="00BF6219" w:rsidRDefault="00BB1C8C">
      <w:pPr>
        <w:pStyle w:val="Textonotapie"/>
        <w:ind w:firstLine="708"/>
        <w:jc w:val="both"/>
        <w:rPr>
          <w:rFonts w:ascii="Verdana" w:hAnsi="Verdana" w:cs="Arial"/>
          <w:color w:val="000000" w:themeColor="text1"/>
          <w:sz w:val="16"/>
          <w:szCs w:val="16"/>
          <w:lang w:val="es-CO"/>
        </w:rPr>
      </w:pPr>
    </w:p>
  </w:footnote>
  <w:footnote w:id="10">
    <w:p w14:paraId="4D4F9669" w14:textId="77777777" w:rsidR="00BB1C8C" w:rsidRPr="00BF6219" w:rsidRDefault="00BB1C8C">
      <w:pPr>
        <w:pStyle w:val="Textonotapie"/>
        <w:ind w:firstLine="708"/>
        <w:jc w:val="both"/>
        <w:rPr>
          <w:rFonts w:ascii="Verdana" w:hAnsi="Verdana" w:cs="Arial"/>
          <w:color w:val="000000" w:themeColor="text1"/>
          <w:sz w:val="16"/>
          <w:szCs w:val="16"/>
          <w:lang w:val="es-CO"/>
        </w:rPr>
      </w:pPr>
      <w:r w:rsidRPr="00BF6219">
        <w:rPr>
          <w:rStyle w:val="Refdenotaalpie"/>
          <w:rFonts w:ascii="Verdana" w:hAnsi="Verdana" w:cs="Arial"/>
          <w:color w:val="000000" w:themeColor="text1"/>
          <w:sz w:val="16"/>
          <w:szCs w:val="16"/>
        </w:rPr>
        <w:footnoteRef/>
      </w:r>
      <w:r w:rsidRPr="00BF6219">
        <w:rPr>
          <w:rFonts w:ascii="Verdana" w:hAnsi="Verdana" w:cs="Arial"/>
          <w:color w:val="000000" w:themeColor="text1"/>
          <w:sz w:val="16"/>
          <w:szCs w:val="16"/>
        </w:rPr>
        <w:t xml:space="preserve"> </w:t>
      </w:r>
      <w:r w:rsidRPr="00BF6219">
        <w:rPr>
          <w:rFonts w:ascii="Verdana" w:hAnsi="Verdana" w:cs="Arial"/>
          <w:color w:val="000000" w:themeColor="text1"/>
          <w:sz w:val="16"/>
          <w:szCs w:val="16"/>
          <w:lang w:val="es-CO"/>
        </w:rPr>
        <w:t xml:space="preserve">“Artículo </w:t>
      </w:r>
      <w:bookmarkStart w:id="5" w:name="_Hlk67919994"/>
      <w:r w:rsidRPr="00BF6219">
        <w:rPr>
          <w:rFonts w:ascii="Verdana" w:hAnsi="Verdana" w:cs="Arial"/>
          <w:color w:val="000000" w:themeColor="text1"/>
          <w:sz w:val="16"/>
          <w:szCs w:val="16"/>
          <w:lang w:val="es-CO"/>
        </w:rPr>
        <w:t>2.2.1.2.3.1.7</w:t>
      </w:r>
      <w:bookmarkEnd w:id="5"/>
      <w:r w:rsidRPr="00BF6219">
        <w:rPr>
          <w:rFonts w:ascii="Verdana" w:hAnsi="Verdana" w:cs="Arial"/>
          <w:color w:val="000000" w:themeColor="text1"/>
          <w:sz w:val="16"/>
          <w:szCs w:val="16"/>
          <w:lang w:val="es-CO"/>
        </w:rPr>
        <w:t xml:space="preserve">. Garantía de cumplimiento. La garantía de cumplimiento del contrato debe cubrir: </w:t>
      </w:r>
    </w:p>
    <w:p w14:paraId="014A0AEC" w14:textId="77777777" w:rsidR="00BB1C8C" w:rsidRPr="00BF6219" w:rsidRDefault="00BB1C8C">
      <w:pPr>
        <w:pStyle w:val="Textonotapie"/>
        <w:jc w:val="both"/>
        <w:rPr>
          <w:rFonts w:ascii="Verdana" w:hAnsi="Verdana" w:cs="Arial"/>
          <w:color w:val="000000" w:themeColor="text1"/>
          <w:sz w:val="16"/>
          <w:szCs w:val="16"/>
          <w:lang w:val="es-CO"/>
        </w:rPr>
      </w:pPr>
      <w:r w:rsidRPr="00BF6219">
        <w:rPr>
          <w:rFonts w:ascii="Verdana" w:hAnsi="Verdana" w:cs="Arial"/>
          <w:color w:val="000000" w:themeColor="text1"/>
          <w:sz w:val="16"/>
          <w:szCs w:val="16"/>
          <w:lang w:val="es-CO"/>
        </w:rPr>
        <w:t xml:space="preserve">  </w:t>
      </w:r>
      <w:r w:rsidRPr="00BF6219">
        <w:rPr>
          <w:rFonts w:ascii="Verdana" w:hAnsi="Verdana" w:cs="Arial"/>
          <w:color w:val="000000" w:themeColor="text1"/>
          <w:sz w:val="16"/>
          <w:szCs w:val="16"/>
          <w:lang w:val="es-CO"/>
        </w:rPr>
        <w:tab/>
        <w:t>1. Buen manejo y correcta inversión del anticipo. Este amparo cubre los perjuicios sufridos por la Entidad Estatal con ocasión de: (i) la no inversión del anticipo; (</w:t>
      </w:r>
      <w:proofErr w:type="spellStart"/>
      <w:r w:rsidRPr="00BF6219">
        <w:rPr>
          <w:rFonts w:ascii="Verdana" w:hAnsi="Verdana" w:cs="Arial"/>
          <w:color w:val="000000" w:themeColor="text1"/>
          <w:sz w:val="16"/>
          <w:szCs w:val="16"/>
          <w:lang w:val="es-CO"/>
        </w:rPr>
        <w:t>ii</w:t>
      </w:r>
      <w:proofErr w:type="spellEnd"/>
      <w:r w:rsidRPr="00BF6219">
        <w:rPr>
          <w:rFonts w:ascii="Verdana" w:hAnsi="Verdana" w:cs="Arial"/>
          <w:color w:val="000000" w:themeColor="text1"/>
          <w:sz w:val="16"/>
          <w:szCs w:val="16"/>
          <w:lang w:val="es-CO"/>
        </w:rPr>
        <w:t>) el uso indebido del anticipo; y (</w:t>
      </w:r>
      <w:proofErr w:type="spellStart"/>
      <w:r w:rsidRPr="00BF6219">
        <w:rPr>
          <w:rFonts w:ascii="Verdana" w:hAnsi="Verdana" w:cs="Arial"/>
          <w:color w:val="000000" w:themeColor="text1"/>
          <w:sz w:val="16"/>
          <w:szCs w:val="16"/>
          <w:lang w:val="es-CO"/>
        </w:rPr>
        <w:t>iii</w:t>
      </w:r>
      <w:proofErr w:type="spellEnd"/>
      <w:r w:rsidRPr="00BF6219">
        <w:rPr>
          <w:rFonts w:ascii="Verdana" w:hAnsi="Verdana" w:cs="Arial"/>
          <w:color w:val="000000" w:themeColor="text1"/>
          <w:sz w:val="16"/>
          <w:szCs w:val="16"/>
          <w:lang w:val="es-CO"/>
        </w:rPr>
        <w:t>) la apropiación indebida de los recursos recibidos en calidad de anticipo</w:t>
      </w:r>
    </w:p>
    <w:p w14:paraId="1091ABDF" w14:textId="77777777" w:rsidR="00BB1C8C" w:rsidRPr="00BF6219" w:rsidRDefault="00BB1C8C">
      <w:pPr>
        <w:pStyle w:val="Textonotapie"/>
        <w:ind w:firstLine="708"/>
        <w:jc w:val="both"/>
        <w:rPr>
          <w:rFonts w:ascii="Verdana" w:hAnsi="Verdana" w:cs="Arial"/>
          <w:color w:val="000000" w:themeColor="text1"/>
          <w:sz w:val="16"/>
          <w:szCs w:val="16"/>
          <w:lang w:val="es-CO"/>
        </w:rPr>
      </w:pPr>
      <w:r w:rsidRPr="00BF6219">
        <w:rPr>
          <w:rFonts w:ascii="Verdana" w:hAnsi="Verdana" w:cs="Arial"/>
          <w:color w:val="000000" w:themeColor="text1"/>
          <w:sz w:val="16"/>
          <w:szCs w:val="16"/>
          <w:lang w:val="es-CO"/>
        </w:rPr>
        <w:t xml:space="preserve">2. Devolución del pago anticipado. Este amparo cubre los perjuicios sufridos por la Entidad Estatal por la no devolución total o parcial del dinero entregado al contratista a título de pago anticipado, cuando a ello hubiere lugar. </w:t>
      </w:r>
    </w:p>
    <w:p w14:paraId="3F7B3CF7" w14:textId="77777777" w:rsidR="00BB1C8C" w:rsidRPr="00BF6219" w:rsidRDefault="00BB1C8C">
      <w:pPr>
        <w:pStyle w:val="Textonotapie"/>
        <w:ind w:firstLine="708"/>
        <w:jc w:val="both"/>
        <w:rPr>
          <w:rFonts w:ascii="Verdana" w:hAnsi="Verdana" w:cs="Arial"/>
          <w:color w:val="000000" w:themeColor="text1"/>
          <w:sz w:val="16"/>
          <w:szCs w:val="16"/>
          <w:lang w:val="es-CO"/>
        </w:rPr>
      </w:pPr>
      <w:r w:rsidRPr="00BF6219">
        <w:rPr>
          <w:rFonts w:ascii="Verdana" w:hAnsi="Verdana" w:cs="Arial"/>
          <w:color w:val="000000" w:themeColor="text1"/>
          <w:sz w:val="16"/>
          <w:szCs w:val="16"/>
          <w:lang w:val="es-CO"/>
        </w:rPr>
        <w:t xml:space="preserve">3. Cumplimiento del contrato. Este amparo cubre a la Entidad Estatal de los perjuicios derivados de: </w:t>
      </w:r>
    </w:p>
    <w:p w14:paraId="75DEA27C" w14:textId="77777777" w:rsidR="00BB1C8C" w:rsidRPr="00BF6219" w:rsidRDefault="00BB1C8C">
      <w:pPr>
        <w:pStyle w:val="Textonotapie"/>
        <w:jc w:val="both"/>
        <w:rPr>
          <w:rFonts w:ascii="Verdana" w:hAnsi="Verdana" w:cs="Arial"/>
          <w:color w:val="000000" w:themeColor="text1"/>
          <w:sz w:val="16"/>
          <w:szCs w:val="16"/>
          <w:lang w:val="es-CO"/>
        </w:rPr>
      </w:pPr>
      <w:r w:rsidRPr="00BF6219">
        <w:rPr>
          <w:rFonts w:ascii="Verdana" w:hAnsi="Verdana" w:cs="Arial"/>
          <w:color w:val="000000" w:themeColor="text1"/>
          <w:sz w:val="16"/>
          <w:szCs w:val="16"/>
          <w:lang w:val="es-CO"/>
        </w:rPr>
        <w:t xml:space="preserve">  </w:t>
      </w:r>
      <w:r w:rsidRPr="00BF6219">
        <w:rPr>
          <w:rFonts w:ascii="Verdana" w:hAnsi="Verdana" w:cs="Arial"/>
          <w:color w:val="000000" w:themeColor="text1"/>
          <w:sz w:val="16"/>
          <w:szCs w:val="16"/>
          <w:lang w:val="es-CO"/>
        </w:rPr>
        <w:tab/>
        <w:t xml:space="preserve">3.1. </w:t>
      </w:r>
      <w:bookmarkStart w:id="6" w:name="_Hlk67920056"/>
      <w:r w:rsidRPr="00BF6219">
        <w:rPr>
          <w:rFonts w:ascii="Verdana" w:hAnsi="Verdana" w:cs="Arial"/>
          <w:color w:val="000000" w:themeColor="text1"/>
          <w:sz w:val="16"/>
          <w:szCs w:val="16"/>
          <w:lang w:val="es-CO"/>
        </w:rPr>
        <w:t xml:space="preserve">El incumplimiento total o parcial del contrato, cuando el incumplimiento es imputable al contratista; </w:t>
      </w:r>
    </w:p>
    <w:p w14:paraId="790C73F7" w14:textId="77777777" w:rsidR="00BB1C8C" w:rsidRPr="00BF6219" w:rsidRDefault="00BB1C8C">
      <w:pPr>
        <w:pStyle w:val="Textonotapie"/>
        <w:jc w:val="both"/>
        <w:rPr>
          <w:rFonts w:ascii="Verdana" w:hAnsi="Verdana" w:cs="Arial"/>
          <w:color w:val="000000" w:themeColor="text1"/>
          <w:sz w:val="16"/>
          <w:szCs w:val="16"/>
          <w:lang w:val="es-CO"/>
        </w:rPr>
      </w:pPr>
      <w:r w:rsidRPr="00BF6219">
        <w:rPr>
          <w:rFonts w:ascii="Verdana" w:hAnsi="Verdana" w:cs="Arial"/>
          <w:color w:val="000000" w:themeColor="text1"/>
          <w:sz w:val="16"/>
          <w:szCs w:val="16"/>
          <w:lang w:val="es-CO"/>
        </w:rPr>
        <w:t xml:space="preserve">  </w:t>
      </w:r>
      <w:r w:rsidRPr="00BF6219">
        <w:rPr>
          <w:rFonts w:ascii="Verdana" w:hAnsi="Verdana" w:cs="Arial"/>
          <w:color w:val="000000" w:themeColor="text1"/>
          <w:sz w:val="16"/>
          <w:szCs w:val="16"/>
          <w:lang w:val="es-CO"/>
        </w:rPr>
        <w:tab/>
        <w:t xml:space="preserve">3.2. El cumplimiento tardío o defectuoso del contrato, cuando el incumplimiento es imputable al contratista; </w:t>
      </w:r>
    </w:p>
    <w:p w14:paraId="6DC9D3EC" w14:textId="77777777" w:rsidR="00BB1C8C" w:rsidRPr="00BF6219" w:rsidRDefault="00BB1C8C">
      <w:pPr>
        <w:pStyle w:val="Textonotapie"/>
        <w:ind w:firstLine="708"/>
        <w:jc w:val="both"/>
        <w:rPr>
          <w:rFonts w:ascii="Verdana" w:hAnsi="Verdana" w:cs="Arial"/>
          <w:color w:val="000000" w:themeColor="text1"/>
          <w:sz w:val="16"/>
          <w:szCs w:val="16"/>
          <w:lang w:val="es-CO"/>
        </w:rPr>
      </w:pPr>
      <w:r w:rsidRPr="00BF6219">
        <w:rPr>
          <w:rFonts w:ascii="Verdana" w:hAnsi="Verdana" w:cs="Arial"/>
          <w:color w:val="000000" w:themeColor="text1"/>
          <w:sz w:val="16"/>
          <w:szCs w:val="16"/>
          <w:lang w:val="es-CO"/>
        </w:rPr>
        <w:t xml:space="preserve">3.3. Los daños imputables al contratista por entregas parciales de la obra, cuando el contrato no prevé entregas parciales; y </w:t>
      </w:r>
    </w:p>
    <w:bookmarkEnd w:id="6"/>
    <w:p w14:paraId="72D3F50D" w14:textId="77777777" w:rsidR="00BB1C8C" w:rsidRPr="00BF6219" w:rsidRDefault="00BB1C8C">
      <w:pPr>
        <w:pStyle w:val="Textonotapie"/>
        <w:ind w:firstLine="708"/>
        <w:jc w:val="both"/>
        <w:rPr>
          <w:rFonts w:ascii="Verdana" w:hAnsi="Verdana" w:cs="Arial"/>
          <w:color w:val="000000" w:themeColor="text1"/>
          <w:sz w:val="16"/>
          <w:szCs w:val="16"/>
          <w:lang w:val="es-CO"/>
        </w:rPr>
      </w:pPr>
      <w:r w:rsidRPr="00BF6219">
        <w:rPr>
          <w:rFonts w:ascii="Verdana" w:hAnsi="Verdana" w:cs="Arial"/>
          <w:color w:val="000000" w:themeColor="text1"/>
          <w:sz w:val="16"/>
          <w:szCs w:val="16"/>
          <w:lang w:val="es-CO"/>
        </w:rPr>
        <w:t xml:space="preserve">3.4. El pago del valor de las multas y de la cláusula penal pecuniaria. </w:t>
      </w:r>
    </w:p>
    <w:p w14:paraId="486CD85A" w14:textId="77777777" w:rsidR="00BB1C8C" w:rsidRPr="00BF6219" w:rsidRDefault="00BB1C8C">
      <w:pPr>
        <w:pStyle w:val="Textonotapie"/>
        <w:ind w:firstLine="708"/>
        <w:jc w:val="both"/>
        <w:rPr>
          <w:rFonts w:ascii="Verdana" w:hAnsi="Verdana" w:cs="Arial"/>
          <w:color w:val="000000" w:themeColor="text1"/>
          <w:sz w:val="16"/>
          <w:szCs w:val="16"/>
          <w:lang w:val="es-CO"/>
        </w:rPr>
      </w:pPr>
      <w:r w:rsidRPr="00BF6219">
        <w:rPr>
          <w:rFonts w:ascii="Verdana" w:hAnsi="Verdana" w:cs="Arial"/>
          <w:color w:val="000000" w:themeColor="text1"/>
          <w:sz w:val="16"/>
          <w:szCs w:val="16"/>
          <w:lang w:val="es-CO"/>
        </w:rPr>
        <w:t xml:space="preserve">4. Pago de salarios, prestaciones sociales legales e indemnizaciones laborales. Este amparo debe cubrir a la Entidad Estatal de los perjuicios ocasionados por el incumplimiento de las obligaciones laborales del contratista derivadas de la contratación del personal utilizado en el territorio nacional para la ejecución del contrato amparado. </w:t>
      </w:r>
    </w:p>
    <w:p w14:paraId="12B4CC70" w14:textId="77777777" w:rsidR="00BB1C8C" w:rsidRPr="00BF6219" w:rsidRDefault="00BB1C8C">
      <w:pPr>
        <w:pStyle w:val="Textonotapie"/>
        <w:ind w:firstLine="708"/>
        <w:jc w:val="both"/>
        <w:rPr>
          <w:rFonts w:ascii="Verdana" w:hAnsi="Verdana" w:cs="Arial"/>
          <w:color w:val="000000" w:themeColor="text1"/>
          <w:sz w:val="16"/>
          <w:szCs w:val="16"/>
          <w:lang w:val="es-CO"/>
        </w:rPr>
      </w:pPr>
      <w:r w:rsidRPr="00BF6219">
        <w:rPr>
          <w:rFonts w:ascii="Verdana" w:hAnsi="Verdana" w:cs="Arial"/>
          <w:color w:val="000000" w:themeColor="text1"/>
          <w:sz w:val="16"/>
          <w:szCs w:val="16"/>
          <w:lang w:val="es-CO"/>
        </w:rPr>
        <w:t xml:space="preserve">La Entidad Estatal no debe exigir una garantía para cubrir este Riesgo en los contratos que se ejecuten fuera del territorio nacional con personal contratado bajo un régimen jurídico distinto al colombiano. </w:t>
      </w:r>
    </w:p>
    <w:p w14:paraId="3D13B310" w14:textId="77777777" w:rsidR="00BB1C8C" w:rsidRPr="00BF6219" w:rsidRDefault="00BB1C8C">
      <w:pPr>
        <w:pStyle w:val="Textonotapie"/>
        <w:ind w:firstLine="708"/>
        <w:jc w:val="both"/>
        <w:rPr>
          <w:rFonts w:ascii="Verdana" w:hAnsi="Verdana" w:cs="Arial"/>
          <w:color w:val="000000" w:themeColor="text1"/>
          <w:sz w:val="16"/>
          <w:szCs w:val="16"/>
          <w:lang w:val="es-CO"/>
        </w:rPr>
      </w:pPr>
      <w:r w:rsidRPr="00BF6219">
        <w:rPr>
          <w:rFonts w:ascii="Verdana" w:hAnsi="Verdana" w:cs="Arial"/>
          <w:color w:val="000000" w:themeColor="text1"/>
          <w:sz w:val="16"/>
          <w:szCs w:val="16"/>
          <w:lang w:val="es-CO"/>
        </w:rPr>
        <w:t xml:space="preserve">5. Estabilidad y calidad de la obra. Este amparo cubre a la Entidad Estatal de los perjuicios ocasionados por cualquier tipo de daño o deterioro, imputable al contratista, sufrido por la obra entregada a satisfacción. </w:t>
      </w:r>
    </w:p>
    <w:p w14:paraId="37C94681" w14:textId="77777777" w:rsidR="00BB1C8C" w:rsidRPr="00BF6219" w:rsidRDefault="00BB1C8C">
      <w:pPr>
        <w:pStyle w:val="Textonotapie"/>
        <w:ind w:firstLine="708"/>
        <w:jc w:val="both"/>
        <w:rPr>
          <w:rFonts w:ascii="Verdana" w:hAnsi="Verdana" w:cs="Arial"/>
          <w:color w:val="000000" w:themeColor="text1"/>
          <w:sz w:val="16"/>
          <w:szCs w:val="16"/>
          <w:lang w:val="es-CO"/>
        </w:rPr>
      </w:pPr>
      <w:r w:rsidRPr="00BF6219">
        <w:rPr>
          <w:rFonts w:ascii="Verdana" w:hAnsi="Verdana" w:cs="Arial"/>
          <w:color w:val="000000" w:themeColor="text1"/>
          <w:sz w:val="16"/>
          <w:szCs w:val="16"/>
          <w:lang w:val="es-CO"/>
        </w:rPr>
        <w:t xml:space="preserve">6. Calidad del servicio. Este amparo cubre a la Entidad Estatal por los perjuicios derivados de la deficiente calidad del servicio prestado. </w:t>
      </w:r>
    </w:p>
    <w:p w14:paraId="3FA28699" w14:textId="77777777" w:rsidR="00BB1C8C" w:rsidRPr="00BF6219" w:rsidRDefault="00BB1C8C">
      <w:pPr>
        <w:pStyle w:val="Textonotapie"/>
        <w:ind w:firstLine="708"/>
        <w:jc w:val="both"/>
        <w:rPr>
          <w:rFonts w:ascii="Verdana" w:hAnsi="Verdana" w:cs="Arial"/>
          <w:color w:val="000000" w:themeColor="text1"/>
          <w:sz w:val="16"/>
          <w:szCs w:val="16"/>
          <w:lang w:val="es-CO"/>
        </w:rPr>
      </w:pPr>
      <w:r w:rsidRPr="00BF6219">
        <w:rPr>
          <w:rFonts w:ascii="Verdana" w:hAnsi="Verdana" w:cs="Arial"/>
          <w:color w:val="000000" w:themeColor="text1"/>
          <w:sz w:val="16"/>
          <w:szCs w:val="16"/>
          <w:lang w:val="es-CO"/>
        </w:rPr>
        <w:t xml:space="preserve">7. Calidad y correcto funcionamiento de los bienes. Este amparo debe cubrir la calidad y el correcto funcionamiento de los bienes que recibe la Entidad Estatal en cumplimiento de un contrato. </w:t>
      </w:r>
    </w:p>
    <w:p w14:paraId="59127D36" w14:textId="77777777" w:rsidR="00BB1C8C" w:rsidRPr="00BF6219" w:rsidRDefault="00BB1C8C">
      <w:pPr>
        <w:pStyle w:val="Textonotapie"/>
        <w:ind w:firstLine="708"/>
        <w:jc w:val="both"/>
        <w:rPr>
          <w:rFonts w:ascii="Verdana" w:hAnsi="Verdana" w:cs="Arial"/>
          <w:color w:val="000000" w:themeColor="text1"/>
          <w:sz w:val="16"/>
          <w:szCs w:val="16"/>
          <w:lang w:val="es-CO"/>
        </w:rPr>
      </w:pPr>
      <w:r w:rsidRPr="00BF6219">
        <w:rPr>
          <w:rFonts w:ascii="Verdana" w:hAnsi="Verdana" w:cs="Arial"/>
          <w:color w:val="000000" w:themeColor="text1"/>
          <w:sz w:val="16"/>
          <w:szCs w:val="16"/>
          <w:lang w:val="es-CO"/>
        </w:rPr>
        <w:t xml:space="preserve">8. </w:t>
      </w:r>
      <w:bookmarkStart w:id="7" w:name="_Hlk143267015"/>
      <w:r w:rsidRPr="00BF6219">
        <w:rPr>
          <w:rFonts w:ascii="Verdana" w:hAnsi="Verdana" w:cs="Arial"/>
          <w:color w:val="000000" w:themeColor="text1"/>
          <w:sz w:val="16"/>
          <w:szCs w:val="16"/>
          <w:lang w:val="es-CO"/>
        </w:rPr>
        <w:t>Los demás incumplimientos de obligaciones que la Entidad Estatal considere deben ser amparados de manera proporcional y acorde a la naturaleza del contrato</w:t>
      </w:r>
      <w:bookmarkEnd w:id="7"/>
      <w:r w:rsidRPr="00BF6219">
        <w:rPr>
          <w:rFonts w:ascii="Verdana" w:hAnsi="Verdana" w:cs="Arial"/>
          <w:color w:val="000000" w:themeColor="text1"/>
          <w:sz w:val="16"/>
          <w:szCs w:val="16"/>
          <w:lang w:val="es-CO"/>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2.5pt;height:12.5pt" o:bullet="t">
        <v:imagedata r:id="rId1" o:title="mso1B13"/>
      </v:shape>
    </w:pict>
  </w:numPicBullet>
  <w:abstractNum w:abstractNumId="0" w15:restartNumberingAfterBreak="0">
    <w:nsid w:val="01C06310"/>
    <w:multiLevelType w:val="multilevel"/>
    <w:tmpl w:val="92EC0BC6"/>
    <w:lvl w:ilvl="0">
      <w:start w:val="1"/>
      <w:numFmt w:val="decimal"/>
      <w:lvlText w:val="%1."/>
      <w:lvlJc w:val="left"/>
      <w:pPr>
        <w:ind w:left="6601" w:hanging="360"/>
      </w:pPr>
      <w:rPr>
        <w:b/>
        <w:color w:val="000000" w:themeColor="text1"/>
        <w:lang w:val="es-CO"/>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FBC25EC"/>
    <w:multiLevelType w:val="hybridMultilevel"/>
    <w:tmpl w:val="116E12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2"/>
  </w:num>
  <w:num w:numId="3">
    <w:abstractNumId w:val="5"/>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3"/>
  </w:num>
  <w:num w:numId="7">
    <w:abstractNumId w:val="6"/>
  </w:num>
  <w:num w:numId="8">
    <w:abstractNumId w:val="12"/>
  </w:num>
  <w:num w:numId="9">
    <w:abstractNumId w:val="8"/>
  </w:num>
  <w:num w:numId="10">
    <w:abstractNumId w:val="11"/>
  </w:num>
  <w:num w:numId="11">
    <w:abstractNumId w:val="9"/>
  </w:num>
  <w:num w:numId="12">
    <w:abstractNumId w:val="1"/>
  </w:num>
  <w:num w:numId="13">
    <w:abstractNumId w:val="4"/>
  </w:num>
  <w:num w:numId="14">
    <w:abstractNumId w:val="14"/>
  </w:num>
  <w:num w:numId="15">
    <w:abstractNumId w:val="10"/>
  </w:num>
  <w:num w:numId="16">
    <w:abstractNumId w:val="0"/>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1497"/>
    <w:rsid w:val="00046945"/>
    <w:rsid w:val="0005376C"/>
    <w:rsid w:val="00061B2A"/>
    <w:rsid w:val="00062BC6"/>
    <w:rsid w:val="00082362"/>
    <w:rsid w:val="000A0D49"/>
    <w:rsid w:val="000A683E"/>
    <w:rsid w:val="000B19B9"/>
    <w:rsid w:val="000D0334"/>
    <w:rsid w:val="000D5DA7"/>
    <w:rsid w:val="000F03C8"/>
    <w:rsid w:val="000F6486"/>
    <w:rsid w:val="00116940"/>
    <w:rsid w:val="00125105"/>
    <w:rsid w:val="00127233"/>
    <w:rsid w:val="00151FDE"/>
    <w:rsid w:val="0015699B"/>
    <w:rsid w:val="001A33BF"/>
    <w:rsid w:val="001E4177"/>
    <w:rsid w:val="001F0B24"/>
    <w:rsid w:val="001F7DC6"/>
    <w:rsid w:val="00211E4E"/>
    <w:rsid w:val="0022400B"/>
    <w:rsid w:val="002421BB"/>
    <w:rsid w:val="00252248"/>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375F"/>
    <w:rsid w:val="0044528D"/>
    <w:rsid w:val="00466E39"/>
    <w:rsid w:val="004A0413"/>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46E36"/>
    <w:rsid w:val="0065454A"/>
    <w:rsid w:val="00665D70"/>
    <w:rsid w:val="006900D9"/>
    <w:rsid w:val="00706C16"/>
    <w:rsid w:val="007340C3"/>
    <w:rsid w:val="0075235A"/>
    <w:rsid w:val="00756841"/>
    <w:rsid w:val="007649AB"/>
    <w:rsid w:val="00771D0C"/>
    <w:rsid w:val="007833AC"/>
    <w:rsid w:val="007B268C"/>
    <w:rsid w:val="007B7171"/>
    <w:rsid w:val="007C0C0F"/>
    <w:rsid w:val="007C3DC2"/>
    <w:rsid w:val="007D4FFE"/>
    <w:rsid w:val="007E5497"/>
    <w:rsid w:val="00806F5F"/>
    <w:rsid w:val="00820278"/>
    <w:rsid w:val="00823B10"/>
    <w:rsid w:val="008258C9"/>
    <w:rsid w:val="00844AE9"/>
    <w:rsid w:val="008631CA"/>
    <w:rsid w:val="00867F95"/>
    <w:rsid w:val="008843B6"/>
    <w:rsid w:val="00891928"/>
    <w:rsid w:val="008A446D"/>
    <w:rsid w:val="008B25F1"/>
    <w:rsid w:val="008D180B"/>
    <w:rsid w:val="008F0EA7"/>
    <w:rsid w:val="008F613C"/>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36773"/>
    <w:rsid w:val="00A36AE8"/>
    <w:rsid w:val="00A75DA2"/>
    <w:rsid w:val="00A81F7E"/>
    <w:rsid w:val="00AB0ADB"/>
    <w:rsid w:val="00AB19F4"/>
    <w:rsid w:val="00AE4BD5"/>
    <w:rsid w:val="00B00C0E"/>
    <w:rsid w:val="00B01B1A"/>
    <w:rsid w:val="00B0381D"/>
    <w:rsid w:val="00B34683"/>
    <w:rsid w:val="00B44A47"/>
    <w:rsid w:val="00B663EA"/>
    <w:rsid w:val="00B72CD3"/>
    <w:rsid w:val="00B72FFF"/>
    <w:rsid w:val="00BB1C8C"/>
    <w:rsid w:val="00BC3D36"/>
    <w:rsid w:val="00BD54A6"/>
    <w:rsid w:val="00BD7F72"/>
    <w:rsid w:val="00BF6219"/>
    <w:rsid w:val="00BF7425"/>
    <w:rsid w:val="00C00F46"/>
    <w:rsid w:val="00C04FB3"/>
    <w:rsid w:val="00C11D8B"/>
    <w:rsid w:val="00C15139"/>
    <w:rsid w:val="00C330EB"/>
    <w:rsid w:val="00C50D69"/>
    <w:rsid w:val="00C5365C"/>
    <w:rsid w:val="00C754BE"/>
    <w:rsid w:val="00C76B1C"/>
    <w:rsid w:val="00C925AC"/>
    <w:rsid w:val="00C93E63"/>
    <w:rsid w:val="00CB6357"/>
    <w:rsid w:val="00CC1B26"/>
    <w:rsid w:val="00D361FD"/>
    <w:rsid w:val="00D4186D"/>
    <w:rsid w:val="00D423A2"/>
    <w:rsid w:val="00D44E26"/>
    <w:rsid w:val="00D520D8"/>
    <w:rsid w:val="00D63AC2"/>
    <w:rsid w:val="00D7383B"/>
    <w:rsid w:val="00D7788A"/>
    <w:rsid w:val="00DA231B"/>
    <w:rsid w:val="00DB4215"/>
    <w:rsid w:val="00DC39FC"/>
    <w:rsid w:val="00DC73A8"/>
    <w:rsid w:val="00DC7723"/>
    <w:rsid w:val="00DF5254"/>
    <w:rsid w:val="00E02524"/>
    <w:rsid w:val="00E16408"/>
    <w:rsid w:val="00E20894"/>
    <w:rsid w:val="00E245AB"/>
    <w:rsid w:val="00E2764C"/>
    <w:rsid w:val="00E27F2E"/>
    <w:rsid w:val="00E50AFE"/>
    <w:rsid w:val="00E55230"/>
    <w:rsid w:val="00E75C92"/>
    <w:rsid w:val="00E771DC"/>
    <w:rsid w:val="00E8345A"/>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E3928"/>
    <w:rsid w:val="00FF1449"/>
    <w:rsid w:val="00FF55F0"/>
    <w:rsid w:val="00FF7963"/>
    <w:rsid w:val="0403E054"/>
    <w:rsid w:val="071B8F93"/>
    <w:rsid w:val="07C73DD1"/>
    <w:rsid w:val="09908A09"/>
    <w:rsid w:val="0FF4CCA8"/>
    <w:rsid w:val="13CFC91B"/>
    <w:rsid w:val="19A2EC2C"/>
    <w:rsid w:val="21779BE6"/>
    <w:rsid w:val="2859CA1B"/>
    <w:rsid w:val="2EE1E026"/>
    <w:rsid w:val="30821638"/>
    <w:rsid w:val="32A4F9CF"/>
    <w:rsid w:val="356CEDFD"/>
    <w:rsid w:val="3C591AFD"/>
    <w:rsid w:val="69614A15"/>
    <w:rsid w:val="74BA017B"/>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BB1C8C"/>
    <w:rPr>
      <w:rFonts w:ascii="Geomanist Light" w:hAnsi="Geomanist Light"/>
      <w:lang w:val="es-ES"/>
    </w:rPr>
  </w:style>
  <w:style w:type="paragraph" w:customStyle="1" w:styleId="Appelnotedebasde">
    <w:name w:val="Appel note de bas de..."/>
    <w:basedOn w:val="Normal"/>
    <w:link w:val="Refdenotaalpie"/>
    <w:uiPriority w:val="99"/>
    <w:rsid w:val="00BB1C8C"/>
    <w:pPr>
      <w:spacing w:line="240" w:lineRule="exact"/>
    </w:pPr>
    <w:rPr>
      <w:vertAlign w:val="superscript"/>
    </w:rPr>
  </w:style>
  <w:style w:type="paragraph" w:styleId="Sinespaciado">
    <w:name w:val="No Spacing"/>
    <w:aliases w:val="No Indent"/>
    <w:uiPriority w:val="3"/>
    <w:qFormat/>
    <w:rsid w:val="00BB1C8C"/>
    <w:pPr>
      <w:spacing w:after="0" w:line="240" w:lineRule="auto"/>
    </w:pPr>
    <w:rPr>
      <w:sz w:val="24"/>
      <w:lang w:val="es-MX"/>
    </w:rPr>
  </w:style>
  <w:style w:type="paragraph" w:styleId="Textoindependiente">
    <w:name w:val="Body Text"/>
    <w:basedOn w:val="Normal"/>
    <w:link w:val="TextoindependienteCar"/>
    <w:uiPriority w:val="99"/>
    <w:semiHidden/>
    <w:unhideWhenUsed/>
    <w:rsid w:val="00BB1C8C"/>
    <w:pPr>
      <w:spacing w:after="120" w:line="256" w:lineRule="auto"/>
    </w:pPr>
  </w:style>
  <w:style w:type="character" w:customStyle="1" w:styleId="TextoindependienteCar">
    <w:name w:val="Texto independiente Car"/>
    <w:basedOn w:val="Fuentedeprrafopredeter"/>
    <w:link w:val="Textoindependiente"/>
    <w:uiPriority w:val="99"/>
    <w:semiHidden/>
    <w:rsid w:val="00BB1C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colombiacompra.gov.co/wp-content/uploads/2025/08/Guia-para-la-elaboracion-de-estudios-del-sector-Original-Firmado.pdf"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ilisuns14@yahoo.es"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colombiacompra.gov.co/wp-content/uploads/2025/08/Guia-para-la-elaboracion-de-estudios-del-sector-Original-Firmado.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21C5DE3-20AF-4F64-ADCA-429820A615B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82</TotalTime>
  <Pages>20</Pages>
  <Words>5948</Words>
  <Characters>32717</Characters>
  <Application>Microsoft Office Word</Application>
  <DocSecurity>0</DocSecurity>
  <Lines>272</Lines>
  <Paragraphs>77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6</cp:revision>
  <cp:lastPrinted>2023-01-10T21:18:00Z</cp:lastPrinted>
  <dcterms:created xsi:type="dcterms:W3CDTF">2026-03-12T13:17:00Z</dcterms:created>
  <dcterms:modified xsi:type="dcterms:W3CDTF">2026-03-17T00:45:00Z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