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E3074" w14:textId="74C87F7F" w:rsidR="00C01D7C" w:rsidRPr="00C01D7C" w:rsidRDefault="00C01D7C" w:rsidP="00C01D7C">
      <w:pPr>
        <w:spacing w:after="0"/>
        <w:jc w:val="both"/>
        <w:rPr>
          <w:rFonts w:ascii="Verdana" w:eastAsia="Verdana" w:hAnsi="Verdana" w:cs="Verdana"/>
        </w:rPr>
      </w:pPr>
      <w:bookmarkStart w:id="0" w:name="_Hlk143780582"/>
      <w:r w:rsidRPr="00C01D7C">
        <w:rPr>
          <w:rFonts w:ascii="Verdana" w:eastAsia="Calibri" w:hAnsi="Verdana" w:cs="Arial"/>
          <w:b/>
          <w:bCs/>
          <w:kern w:val="2"/>
          <w:lang w:val="es-ES" w:eastAsia="es-ES"/>
          <w14:ligatures w14:val="standardContextual"/>
        </w:rPr>
        <w:t>SUBSANABILIDAD – Aplicación – R</w:t>
      </w:r>
      <w:r w:rsidRPr="00C01D7C">
        <w:rPr>
          <w:rFonts w:ascii="Verdana" w:eastAsia="Calibri" w:hAnsi="Verdana" w:cs="Times New Roman"/>
          <w:b/>
          <w:bCs/>
          <w:kern w:val="2"/>
          <w:lang w:val="es-ES" w:eastAsia="es-ES"/>
          <w14:ligatures w14:val="standardContextual"/>
        </w:rPr>
        <w:t>egla general</w:t>
      </w:r>
      <w:r w:rsidRPr="00C01D7C">
        <w:rPr>
          <w:rFonts w:ascii="Verdana" w:eastAsia="Calibri" w:hAnsi="Verdana" w:cs="Arial"/>
          <w:b/>
          <w:bCs/>
          <w:kern w:val="2"/>
          <w:lang w:val="es-ES" w:eastAsia="es-ES"/>
          <w14:ligatures w14:val="standardContextual"/>
        </w:rPr>
        <w:t xml:space="preserve"> – Excepciones </w:t>
      </w:r>
    </w:p>
    <w:p w14:paraId="4055BC77" w14:textId="77777777" w:rsidR="00C01D7C" w:rsidRPr="00C01D7C" w:rsidRDefault="00C01D7C" w:rsidP="00C01D7C">
      <w:pPr>
        <w:tabs>
          <w:tab w:val="left" w:pos="426"/>
        </w:tabs>
        <w:spacing w:after="0" w:line="276" w:lineRule="auto"/>
        <w:jc w:val="both"/>
        <w:rPr>
          <w:rFonts w:ascii="Verdana" w:eastAsia="Calibri" w:hAnsi="Verdana" w:cs="Arial"/>
          <w:b/>
          <w:kern w:val="2"/>
          <w:lang w:eastAsia="es-CO"/>
          <w14:ligatures w14:val="standardContextual"/>
        </w:rPr>
      </w:pPr>
    </w:p>
    <w:p w14:paraId="342BF168" w14:textId="1EA9954F" w:rsidR="00C01D7C" w:rsidRPr="00C01D7C" w:rsidRDefault="00C36E99" w:rsidP="00C01D7C">
      <w:pPr>
        <w:spacing w:after="0" w:line="240" w:lineRule="auto"/>
        <w:jc w:val="both"/>
        <w:rPr>
          <w:rFonts w:ascii="Verdana" w:eastAsia="Calibri" w:hAnsi="Verdana" w:cs="Arial"/>
          <w:bCs/>
          <w:kern w:val="2"/>
          <w:sz w:val="20"/>
          <w:szCs w:val="20"/>
          <w:lang w:eastAsia="es-CO"/>
          <w14:ligatures w14:val="standardContextual"/>
        </w:rPr>
      </w:pPr>
      <w:r w:rsidRPr="00C36E99">
        <w:rPr>
          <w:rFonts w:ascii="Verdana" w:eastAsia="Calibri" w:hAnsi="Verdana" w:cs="Arial"/>
          <w:bCs/>
          <w:kern w:val="2"/>
          <w:sz w:val="20"/>
          <w:szCs w:val="20"/>
          <w:lang w:eastAsia="es-CO"/>
          <w14:ligatures w14:val="standardContextual"/>
        </w:rPr>
        <w:t xml:space="preserve">La regla de la </w:t>
      </w:r>
      <w:proofErr w:type="spellStart"/>
      <w:r w:rsidRPr="00C36E99">
        <w:rPr>
          <w:rFonts w:ascii="Verdana" w:eastAsia="Calibri" w:hAnsi="Verdana" w:cs="Arial"/>
          <w:bCs/>
          <w:kern w:val="2"/>
          <w:sz w:val="20"/>
          <w:szCs w:val="20"/>
          <w:lang w:eastAsia="es-CO"/>
          <w14:ligatures w14:val="standardContextual"/>
        </w:rPr>
        <w:t>subsanabilidad</w:t>
      </w:r>
      <w:proofErr w:type="spellEnd"/>
      <w:r w:rsidRPr="00C36E99">
        <w:rPr>
          <w:rFonts w:ascii="Verdana" w:eastAsia="Calibri" w:hAnsi="Verdana" w:cs="Arial"/>
          <w:bCs/>
          <w:kern w:val="2"/>
          <w:sz w:val="20"/>
          <w:szCs w:val="20"/>
          <w:lang w:eastAsia="es-CO"/>
          <w14:ligatures w14:val="standardContextual"/>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14D8E3E6" w14:textId="77777777" w:rsidR="00C01D7C" w:rsidRPr="00C01D7C" w:rsidRDefault="00C01D7C" w:rsidP="00C01D7C">
      <w:pPr>
        <w:spacing w:after="0" w:line="276" w:lineRule="auto"/>
        <w:jc w:val="both"/>
        <w:rPr>
          <w:rFonts w:ascii="Verdana" w:eastAsia="Calibri" w:hAnsi="Verdana" w:cs="Arial"/>
          <w:bCs/>
          <w:kern w:val="2"/>
          <w:lang w:val="es-ES_tradnl" w:eastAsia="es-CO"/>
          <w14:ligatures w14:val="standardContextual"/>
        </w:rPr>
      </w:pPr>
    </w:p>
    <w:p w14:paraId="5FAB9C1C" w14:textId="77777777" w:rsidR="00C01D7C" w:rsidRPr="00C01D7C" w:rsidRDefault="00C01D7C" w:rsidP="00C01D7C">
      <w:pPr>
        <w:spacing w:after="0" w:line="276" w:lineRule="auto"/>
        <w:jc w:val="both"/>
        <w:rPr>
          <w:rFonts w:ascii="Verdana" w:eastAsia="Calibri" w:hAnsi="Verdana" w:cs="Arial"/>
          <w:b/>
          <w:bCs/>
          <w:kern w:val="2"/>
          <w:lang w:val="es-ES" w:eastAsia="es-ES"/>
          <w14:ligatures w14:val="standardContextual"/>
        </w:rPr>
      </w:pPr>
      <w:r w:rsidRPr="00C01D7C">
        <w:rPr>
          <w:rFonts w:ascii="Verdana" w:eastAsia="Calibri" w:hAnsi="Verdana" w:cs="Arial"/>
          <w:b/>
          <w:bCs/>
          <w:kern w:val="2"/>
          <w:lang w:val="es-ES" w:eastAsia="es-ES"/>
          <w14:ligatures w14:val="standardContextual"/>
        </w:rPr>
        <w:t>SUBSANABILIDAD – Ley 1882 de 2018</w:t>
      </w:r>
    </w:p>
    <w:p w14:paraId="5590C8CB" w14:textId="77777777" w:rsidR="00C01D7C" w:rsidRPr="00C01D7C" w:rsidRDefault="00C01D7C" w:rsidP="00C01D7C">
      <w:pPr>
        <w:spacing w:after="0" w:line="276" w:lineRule="auto"/>
        <w:jc w:val="both"/>
        <w:rPr>
          <w:rFonts w:ascii="Verdana" w:eastAsia="Times New Roman" w:hAnsi="Verdana" w:cs="Arial"/>
          <w:kern w:val="2"/>
          <w:lang w:val="es-ES" w:eastAsia="es-ES_tradnl"/>
          <w14:ligatures w14:val="standardContextual"/>
        </w:rPr>
      </w:pPr>
    </w:p>
    <w:p w14:paraId="2E73FFCB" w14:textId="6C5125EB" w:rsidR="00C01D7C" w:rsidRPr="00C01D7C" w:rsidRDefault="00C01D7C" w:rsidP="00C01D7C">
      <w:pPr>
        <w:spacing w:after="0" w:line="240" w:lineRule="auto"/>
        <w:jc w:val="both"/>
        <w:rPr>
          <w:rFonts w:ascii="Verdana" w:eastAsia="Calibri" w:hAnsi="Verdana" w:cs="Arial"/>
          <w:bCs/>
          <w:kern w:val="2"/>
          <w:sz w:val="20"/>
          <w:szCs w:val="20"/>
          <w:lang w:eastAsia="es-CO"/>
          <w14:ligatures w14:val="standardContextual"/>
        </w:rPr>
      </w:pPr>
      <w:r w:rsidRPr="00C01D7C">
        <w:rPr>
          <w:rFonts w:ascii="Verdana" w:eastAsia="Calibri" w:hAnsi="Verdana" w:cs="Arial"/>
          <w:bCs/>
          <w:kern w:val="2"/>
          <w:sz w:val="20"/>
          <w:szCs w:val="20"/>
          <w:lang w:eastAsia="es-CO"/>
          <w14:ligatures w14:val="standardContextual"/>
        </w:rPr>
        <w:t xml:space="preserve">[…] </w:t>
      </w:r>
      <w:r w:rsidR="00E23E4C" w:rsidRPr="00E23E4C">
        <w:rPr>
          <w:rFonts w:ascii="Verdana" w:eastAsia="Calibri" w:hAnsi="Verdana" w:cs="Arial"/>
          <w:bCs/>
          <w:kern w:val="2"/>
          <w:sz w:val="20"/>
          <w:szCs w:val="20"/>
          <w:lang w:eastAsia="es-CO"/>
          <w14:ligatures w14:val="standardContextual"/>
        </w:rPr>
        <w:t xml:space="preserve">la Ley 1882 de 2018: i) mantiene el criterio de la Ley 80 de 1993, relativo a que todo lo que no sea necesario para la comparación de propuestas no es título suficiente para su rechazo; </w:t>
      </w:r>
      <w:proofErr w:type="spellStart"/>
      <w:r w:rsidR="00E23E4C" w:rsidRPr="00E23E4C">
        <w:rPr>
          <w:rFonts w:ascii="Verdana" w:eastAsia="Calibri" w:hAnsi="Verdana" w:cs="Arial"/>
          <w:bCs/>
          <w:kern w:val="2"/>
          <w:sz w:val="20"/>
          <w:szCs w:val="20"/>
          <w:lang w:eastAsia="es-CO"/>
          <w14:ligatures w14:val="standardContextual"/>
        </w:rPr>
        <w:t>ii</w:t>
      </w:r>
      <w:proofErr w:type="spellEnd"/>
      <w:r w:rsidR="00E23E4C" w:rsidRPr="00E23E4C">
        <w:rPr>
          <w:rFonts w:ascii="Verdana" w:eastAsia="Calibri" w:hAnsi="Verdana" w:cs="Arial"/>
          <w:bCs/>
          <w:kern w:val="2"/>
          <w:sz w:val="20"/>
          <w:szCs w:val="20"/>
          <w:lang w:eastAsia="es-CO"/>
          <w14:ligatures w14:val="standardContextual"/>
        </w:rPr>
        <w:t xml:space="preserve">) mantiene el criterio aclaratorio de la Ley 1150 de 2007, según el cual todo lo que no afecte la asignación de puntaje puede subsanarse; y, </w:t>
      </w:r>
      <w:proofErr w:type="spellStart"/>
      <w:r w:rsidR="00E23E4C" w:rsidRPr="00E23E4C">
        <w:rPr>
          <w:rFonts w:ascii="Verdana" w:eastAsia="Calibri" w:hAnsi="Verdana" w:cs="Arial"/>
          <w:bCs/>
          <w:kern w:val="2"/>
          <w:sz w:val="20"/>
          <w:szCs w:val="20"/>
          <w:lang w:eastAsia="es-CO"/>
          <w14:ligatures w14:val="standardContextual"/>
        </w:rPr>
        <w:t>iii</w:t>
      </w:r>
      <w:proofErr w:type="spellEnd"/>
      <w:r w:rsidR="00E23E4C" w:rsidRPr="00E23E4C">
        <w:rPr>
          <w:rFonts w:ascii="Verdana" w:eastAsia="Calibri" w:hAnsi="Verdana" w:cs="Arial"/>
          <w:bCs/>
          <w:kern w:val="2"/>
          <w:sz w:val="20"/>
          <w:szCs w:val="20"/>
          <w:lang w:eastAsia="es-CO"/>
          <w14:ligatures w14:val="standardContextual"/>
        </w:rPr>
        <w:t>) introduce modificaciones en relación con algunos aspectos que se analizarán a continuación.</w:t>
      </w:r>
    </w:p>
    <w:p w14:paraId="3328E5BD" w14:textId="77777777" w:rsidR="00C01D7C" w:rsidRPr="00C01D7C" w:rsidRDefault="00C01D7C" w:rsidP="00C01D7C">
      <w:pPr>
        <w:spacing w:after="0" w:line="276" w:lineRule="auto"/>
        <w:jc w:val="both"/>
        <w:rPr>
          <w:rFonts w:ascii="Verdana" w:eastAsia="Calibri" w:hAnsi="Verdana" w:cs="Arial"/>
          <w:b/>
          <w:bCs/>
          <w:kern w:val="2"/>
          <w:lang w:eastAsia="es-ES"/>
          <w14:ligatures w14:val="standardContextual"/>
        </w:rPr>
      </w:pPr>
    </w:p>
    <w:p w14:paraId="43025914" w14:textId="77777777" w:rsidR="00C01D7C" w:rsidRPr="00C01D7C" w:rsidRDefault="00C01D7C" w:rsidP="00C01D7C">
      <w:pPr>
        <w:spacing w:after="0" w:line="276" w:lineRule="auto"/>
        <w:jc w:val="both"/>
        <w:rPr>
          <w:rFonts w:ascii="Verdana" w:eastAsia="Calibri" w:hAnsi="Verdana" w:cs="Arial"/>
          <w:b/>
          <w:bCs/>
          <w:color w:val="000000"/>
          <w:kern w:val="2"/>
          <w14:ligatures w14:val="standardContextual"/>
        </w:rPr>
      </w:pPr>
      <w:r w:rsidRPr="00C01D7C">
        <w:rPr>
          <w:rFonts w:ascii="Verdana" w:eastAsia="Calibri" w:hAnsi="Verdana" w:cs="Arial"/>
          <w:b/>
          <w:bCs/>
          <w:color w:val="000000"/>
          <w:kern w:val="2"/>
          <w14:ligatures w14:val="standardContextual"/>
        </w:rPr>
        <w:t>SUBSANABILIDAD – Circunstancias posteriores – Cierre del proceso – Prueba</w:t>
      </w:r>
    </w:p>
    <w:p w14:paraId="4C2030CD" w14:textId="77777777" w:rsidR="00C01D7C" w:rsidRPr="00C01D7C" w:rsidRDefault="00C01D7C" w:rsidP="00C01D7C">
      <w:pPr>
        <w:spacing w:after="0" w:line="276" w:lineRule="auto"/>
        <w:jc w:val="both"/>
        <w:rPr>
          <w:rFonts w:ascii="Verdana" w:eastAsia="Calibri" w:hAnsi="Verdana" w:cs="Times New Roman"/>
          <w:color w:val="000000"/>
          <w:kern w:val="2"/>
          <w:lang w:val="es-ES_tradnl"/>
          <w14:ligatures w14:val="standardContextual"/>
        </w:rPr>
      </w:pPr>
    </w:p>
    <w:p w14:paraId="09FD0ED4" w14:textId="7B580075" w:rsidR="00C01D7C" w:rsidRPr="00C01D7C" w:rsidRDefault="00C01D7C" w:rsidP="00C01D7C">
      <w:pPr>
        <w:spacing w:after="0" w:line="240" w:lineRule="auto"/>
        <w:jc w:val="both"/>
        <w:rPr>
          <w:rFonts w:ascii="Verdana" w:eastAsia="Calibri" w:hAnsi="Verdana" w:cs="Times New Roman"/>
          <w:color w:val="000000"/>
          <w:kern w:val="2"/>
          <w:sz w:val="20"/>
          <w:szCs w:val="20"/>
          <w:lang w:val="es-ES"/>
          <w14:ligatures w14:val="standardContextual"/>
        </w:rPr>
      </w:pPr>
      <w:r w:rsidRPr="00C01D7C">
        <w:rPr>
          <w:rFonts w:ascii="Verdana" w:eastAsia="Calibri" w:hAnsi="Verdana" w:cs="Times New Roman"/>
          <w:color w:val="000000"/>
          <w:kern w:val="2"/>
          <w:sz w:val="20"/>
          <w:szCs w:val="20"/>
          <w:lang w:val="es-ES"/>
          <w14:ligatures w14:val="standardContextual"/>
        </w:rPr>
        <w:t xml:space="preserve">[…] </w:t>
      </w:r>
      <w:r w:rsidR="00744409" w:rsidRPr="00744409">
        <w:rPr>
          <w:rFonts w:ascii="Verdana" w:eastAsia="Calibri" w:hAnsi="Verdana" w:cs="Times New Roman"/>
          <w:color w:val="000000"/>
          <w:kern w:val="2"/>
          <w:sz w:val="20"/>
          <w:szCs w:val="20"/>
          <w:lang w:val="es-ES"/>
          <w14:ligatures w14:val="standardContextual"/>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00744409" w:rsidRPr="00744409">
        <w:rPr>
          <w:rFonts w:ascii="Verdana" w:eastAsia="Calibri" w:hAnsi="Verdana" w:cs="Times New Roman"/>
          <w:color w:val="000000"/>
          <w:kern w:val="2"/>
          <w:sz w:val="20"/>
          <w:szCs w:val="20"/>
          <w:lang w:val="es-ES"/>
          <w14:ligatures w14:val="standardContextual"/>
        </w:rPr>
        <w:t>que</w:t>
      </w:r>
      <w:proofErr w:type="gramEnd"/>
      <w:r w:rsidR="00744409" w:rsidRPr="00744409">
        <w:rPr>
          <w:rFonts w:ascii="Verdana" w:eastAsia="Calibri" w:hAnsi="Verdana" w:cs="Times New Roman"/>
          <w:color w:val="000000"/>
          <w:kern w:val="2"/>
          <w:sz w:val="20"/>
          <w:szCs w:val="20"/>
          <w:lang w:val="es-ES"/>
          <w14:ligatures w14:val="standardContextual"/>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4C2E9323" w14:textId="77777777" w:rsidR="00C01D7C" w:rsidRPr="00C01D7C" w:rsidRDefault="00C01D7C" w:rsidP="00C01D7C">
      <w:pPr>
        <w:spacing w:line="276" w:lineRule="auto"/>
        <w:contextualSpacing/>
        <w:jc w:val="both"/>
        <w:rPr>
          <w:rFonts w:ascii="Verdana" w:eastAsia="Aptos" w:hAnsi="Verdana" w:cs="Arial"/>
          <w:b/>
          <w:bCs/>
          <w:color w:val="000000"/>
          <w:kern w:val="2"/>
          <w:lang w:val="es-ES_tradnl"/>
          <w14:ligatures w14:val="standardContextual"/>
        </w:rPr>
      </w:pPr>
    </w:p>
    <w:p w14:paraId="31CF816E" w14:textId="77777777" w:rsidR="00C01D7C" w:rsidRPr="00C01D7C" w:rsidRDefault="00C01D7C" w:rsidP="00C01D7C">
      <w:pPr>
        <w:spacing w:after="0" w:line="240" w:lineRule="auto"/>
        <w:jc w:val="both"/>
        <w:rPr>
          <w:rFonts w:ascii="Verdana" w:eastAsia="Geomanist Light" w:hAnsi="Verdana" w:cs="Arial"/>
          <w:b/>
          <w:bCs/>
          <w:lang w:val="es-ES_tradnl"/>
        </w:rPr>
      </w:pPr>
      <w:r w:rsidRPr="00C01D7C">
        <w:rPr>
          <w:rFonts w:ascii="Verdana" w:eastAsia="Geomanist Light" w:hAnsi="Verdana" w:cs="Arial"/>
          <w:b/>
          <w:bCs/>
          <w:lang w:val="es-ES_tradnl"/>
        </w:rPr>
        <w:t>SUBSANABILIDAD – Documentos Tipo – Formatos</w:t>
      </w:r>
    </w:p>
    <w:p w14:paraId="00A51907" w14:textId="77777777" w:rsidR="00C01D7C" w:rsidRPr="00C01D7C" w:rsidRDefault="00C01D7C" w:rsidP="00C01D7C">
      <w:pPr>
        <w:spacing w:after="0" w:line="240" w:lineRule="auto"/>
        <w:rPr>
          <w:rFonts w:ascii="Verdana" w:eastAsia="Geomanist Light" w:hAnsi="Verdana" w:cs="Arial"/>
          <w:lang w:val="es-ES_tradnl"/>
        </w:rPr>
      </w:pPr>
    </w:p>
    <w:p w14:paraId="45AB2741" w14:textId="77777777" w:rsidR="00744409" w:rsidRDefault="00744409" w:rsidP="00744409">
      <w:pPr>
        <w:spacing w:after="0" w:line="240" w:lineRule="auto"/>
        <w:jc w:val="both"/>
        <w:rPr>
          <w:rFonts w:ascii="Verdana" w:eastAsia="Calibri" w:hAnsi="Verdana" w:cs="Arial"/>
          <w:color w:val="000000"/>
          <w:sz w:val="20"/>
          <w:szCs w:val="20"/>
        </w:rPr>
      </w:pPr>
      <w:r w:rsidRPr="00744409">
        <w:rPr>
          <w:rFonts w:ascii="Verdana" w:eastAsia="Calibri" w:hAnsi="Verdana" w:cs="Arial"/>
          <w:color w:val="000000"/>
          <w:sz w:val="20"/>
          <w:szCs w:val="20"/>
        </w:rPr>
        <w:t xml:space="preserve">Tratándose de los documentos tipo, el numeral 1.6 del documento base de infraestructura de transporte contempla las reglas de </w:t>
      </w:r>
      <w:proofErr w:type="spellStart"/>
      <w:r w:rsidRPr="00744409">
        <w:rPr>
          <w:rFonts w:ascii="Verdana" w:eastAsia="Calibri" w:hAnsi="Verdana" w:cs="Arial"/>
          <w:color w:val="000000"/>
          <w:sz w:val="20"/>
          <w:szCs w:val="20"/>
        </w:rPr>
        <w:t>subsanabilidad</w:t>
      </w:r>
      <w:proofErr w:type="spellEnd"/>
      <w:r w:rsidRPr="00744409">
        <w:rPr>
          <w:rFonts w:ascii="Verdana" w:eastAsia="Calibri" w:hAnsi="Verdana" w:cs="Arial"/>
          <w:color w:val="000000"/>
          <w:sz w:val="20"/>
          <w:szCs w:val="20"/>
        </w:rPr>
        <w:t xml:space="preserve"> de las ofertas, en los siguientes términos: </w:t>
      </w:r>
    </w:p>
    <w:p w14:paraId="075F7E73" w14:textId="673DB73A" w:rsidR="00C01D7C" w:rsidRPr="00C01D7C" w:rsidRDefault="00C01D7C" w:rsidP="00C01D7C">
      <w:pPr>
        <w:spacing w:after="0" w:line="240" w:lineRule="auto"/>
        <w:ind w:right="709"/>
        <w:jc w:val="both"/>
        <w:rPr>
          <w:rFonts w:ascii="Verdana" w:eastAsia="Calibri" w:hAnsi="Verdana" w:cs="Arial"/>
          <w:color w:val="000000"/>
          <w:sz w:val="20"/>
          <w:szCs w:val="20"/>
        </w:rPr>
      </w:pPr>
      <w:r w:rsidRPr="00C01D7C">
        <w:rPr>
          <w:rFonts w:ascii="Verdana" w:eastAsia="Calibri" w:hAnsi="Verdana" w:cs="Arial"/>
          <w:color w:val="000000"/>
          <w:sz w:val="20"/>
          <w:szCs w:val="20"/>
        </w:rPr>
        <w:t>[…]</w:t>
      </w:r>
    </w:p>
    <w:p w14:paraId="7582A750" w14:textId="41CFEF75" w:rsidR="00C01D7C" w:rsidRPr="00C01D7C" w:rsidRDefault="00FC2B8C" w:rsidP="00C01D7C">
      <w:pPr>
        <w:spacing w:after="120" w:line="240" w:lineRule="auto"/>
        <w:jc w:val="both"/>
        <w:rPr>
          <w:rFonts w:ascii="Verdana" w:eastAsia="Calibri" w:hAnsi="Verdana" w:cs="Arial"/>
          <w:color w:val="000000"/>
          <w:sz w:val="20"/>
          <w:szCs w:val="20"/>
        </w:rPr>
      </w:pPr>
      <w:r w:rsidRPr="00FC2B8C">
        <w:rPr>
          <w:rFonts w:ascii="Verdana" w:eastAsia="Calibri" w:hAnsi="Verdana" w:cs="Arial"/>
          <w:color w:val="000000"/>
          <w:sz w:val="20"/>
          <w:szCs w:val="20"/>
        </w:rPr>
        <w:t xml:space="preserve">Como puede observarse, los documentos tipo se encuentran en plena consonancia con lo expuesto en el presente concepto, de acuerdo con las normas aquí referidas. Así, en los procesos de contratación adelantados con pliegos tipo, la subsanación de las ofertas y, en este caso, de los formatos, es procedente, siempre y cuando atiendan a los criterios temporales y materiales expuestos con anterioridad, conforme a la Ley 1882 de 2018. </w:t>
      </w:r>
      <w:r w:rsidRPr="00FC2B8C">
        <w:rPr>
          <w:rFonts w:ascii="Verdana" w:eastAsia="Calibri" w:hAnsi="Verdana" w:cs="Arial"/>
          <w:color w:val="000000"/>
          <w:sz w:val="20"/>
          <w:szCs w:val="20"/>
        </w:rPr>
        <w:lastRenderedPageBreak/>
        <w:t>Sin embargo, este es una análisis que deberá realizar la entidad contratante en cada caso concreto, dependiendo de la situación que amerite subsanación.</w:t>
      </w:r>
    </w:p>
    <w:p w14:paraId="3059A857" w14:textId="77777777" w:rsidR="00C01D7C" w:rsidRPr="00C01D7C" w:rsidRDefault="00C01D7C" w:rsidP="00C01D7C">
      <w:pPr>
        <w:spacing w:after="0" w:line="240" w:lineRule="auto"/>
        <w:rPr>
          <w:rFonts w:ascii="Verdana" w:eastAsia="Geomanist Light" w:hAnsi="Verdana" w:cs="Arial"/>
          <w:sz w:val="20"/>
          <w:szCs w:val="20"/>
          <w:lang w:val="es-ES_tradnl"/>
        </w:rPr>
      </w:pPr>
    </w:p>
    <w:p w14:paraId="7A9BEA3E" w14:textId="77777777" w:rsidR="00C01D7C" w:rsidRPr="00C01D7C" w:rsidRDefault="00C01D7C" w:rsidP="00C01D7C">
      <w:pPr>
        <w:spacing w:after="0" w:line="240" w:lineRule="auto"/>
        <w:rPr>
          <w:rFonts w:ascii="Verdana" w:eastAsia="Calibri" w:hAnsi="Verdana" w:cs="Times New Roman"/>
          <w:lang w:val="es-ES_tradnl"/>
        </w:rPr>
      </w:pPr>
    </w:p>
    <w:p w14:paraId="4A764828" w14:textId="77777777" w:rsidR="00C01D7C" w:rsidRPr="00C01D7C" w:rsidRDefault="00C01D7C" w:rsidP="00C01D7C">
      <w:pPr>
        <w:spacing w:after="0" w:line="240" w:lineRule="auto"/>
        <w:rPr>
          <w:rFonts w:ascii="Verdana" w:eastAsia="Calibri" w:hAnsi="Verdana" w:cs="Times New Roman"/>
          <w:lang w:val="es-ES_tradnl"/>
        </w:rPr>
      </w:pPr>
    </w:p>
    <w:p w14:paraId="36BAF548" w14:textId="77777777" w:rsidR="00C01D7C" w:rsidRPr="00C01D7C" w:rsidRDefault="00C01D7C" w:rsidP="00C01D7C">
      <w:pPr>
        <w:spacing w:after="0" w:line="240" w:lineRule="auto"/>
        <w:rPr>
          <w:rFonts w:ascii="Verdana" w:eastAsia="Calibri" w:hAnsi="Verdana" w:cs="Times New Roman"/>
          <w:lang w:val="es-ES_tradnl"/>
        </w:rPr>
      </w:pPr>
    </w:p>
    <w:p w14:paraId="3D60A153" w14:textId="77777777" w:rsidR="00C01D7C" w:rsidRPr="00C01D7C" w:rsidRDefault="00C01D7C" w:rsidP="00C01D7C">
      <w:pPr>
        <w:spacing w:after="0" w:line="240" w:lineRule="auto"/>
        <w:rPr>
          <w:rFonts w:ascii="Verdana" w:eastAsia="Calibri" w:hAnsi="Verdana" w:cs="Times New Roman"/>
          <w:lang w:val="es-ES_tradnl"/>
        </w:rPr>
      </w:pPr>
    </w:p>
    <w:p w14:paraId="3F19C2A5" w14:textId="77777777" w:rsidR="00C01D7C" w:rsidRPr="00C01D7C" w:rsidRDefault="00C01D7C" w:rsidP="00C01D7C">
      <w:pPr>
        <w:spacing w:after="0" w:line="240" w:lineRule="auto"/>
        <w:rPr>
          <w:rFonts w:ascii="Verdana" w:eastAsia="Calibri" w:hAnsi="Verdana" w:cs="Times New Roman"/>
          <w:lang w:val="es-ES_tradnl"/>
        </w:rPr>
      </w:pPr>
    </w:p>
    <w:p w14:paraId="5A4D1772" w14:textId="77777777" w:rsidR="00C01D7C" w:rsidRPr="00C01D7C" w:rsidRDefault="00C01D7C" w:rsidP="00C01D7C">
      <w:pPr>
        <w:spacing w:after="0" w:line="240" w:lineRule="auto"/>
        <w:rPr>
          <w:rFonts w:ascii="Verdana" w:eastAsia="Calibri" w:hAnsi="Verdana" w:cs="Times New Roman"/>
          <w:lang w:val="es-ES_tradnl"/>
        </w:rPr>
      </w:pPr>
    </w:p>
    <w:p w14:paraId="5A8952A5" w14:textId="77777777" w:rsidR="00C01D7C" w:rsidRPr="00C01D7C" w:rsidRDefault="00C01D7C" w:rsidP="00C01D7C">
      <w:pPr>
        <w:spacing w:after="0" w:line="240" w:lineRule="auto"/>
        <w:jc w:val="both"/>
        <w:rPr>
          <w:rFonts w:ascii="Verdana" w:eastAsia="Calibri" w:hAnsi="Verdana" w:cs="Times New Roman"/>
          <w:lang w:val="es-ES_tradnl"/>
        </w:rPr>
      </w:pPr>
    </w:p>
    <w:p w14:paraId="613462CD" w14:textId="77777777" w:rsidR="00C01D7C" w:rsidRPr="00C01D7C" w:rsidRDefault="00C01D7C" w:rsidP="00C01D7C">
      <w:pPr>
        <w:spacing w:after="0" w:line="240" w:lineRule="auto"/>
        <w:jc w:val="both"/>
        <w:rPr>
          <w:rFonts w:ascii="Verdana" w:eastAsia="Calibri" w:hAnsi="Verdana" w:cs="Times New Roman"/>
          <w:lang w:val="es-ES_tradnl"/>
        </w:rPr>
      </w:pPr>
    </w:p>
    <w:p w14:paraId="31BF2AAA" w14:textId="77777777" w:rsidR="00C01D7C" w:rsidRPr="00C01D7C" w:rsidRDefault="00C01D7C" w:rsidP="00C01D7C">
      <w:pPr>
        <w:spacing w:after="0" w:line="240" w:lineRule="auto"/>
        <w:jc w:val="both"/>
        <w:rPr>
          <w:rFonts w:ascii="Verdana" w:eastAsia="Calibri" w:hAnsi="Verdana" w:cs="Times New Roman"/>
          <w:lang w:val="es-ES_tradnl"/>
        </w:rPr>
      </w:pPr>
    </w:p>
    <w:p w14:paraId="0DD48D95" w14:textId="77777777" w:rsidR="00C01D7C" w:rsidRPr="00C01D7C" w:rsidRDefault="00C01D7C" w:rsidP="00C01D7C">
      <w:pPr>
        <w:spacing w:after="0" w:line="240" w:lineRule="auto"/>
        <w:jc w:val="both"/>
        <w:rPr>
          <w:rFonts w:ascii="Verdana" w:eastAsia="Calibri" w:hAnsi="Verdana" w:cs="Times New Roman"/>
          <w:lang w:val="es-ES_tradnl"/>
        </w:rPr>
      </w:pPr>
    </w:p>
    <w:p w14:paraId="2E484E18" w14:textId="77777777" w:rsidR="00C01D7C" w:rsidRPr="00C01D7C" w:rsidRDefault="00C01D7C" w:rsidP="00C01D7C">
      <w:pPr>
        <w:spacing w:after="0" w:line="240" w:lineRule="auto"/>
        <w:jc w:val="both"/>
        <w:rPr>
          <w:rFonts w:ascii="Verdana" w:eastAsia="Calibri" w:hAnsi="Verdana" w:cs="Times New Roman"/>
          <w:lang w:val="es-ES_tradnl"/>
        </w:rPr>
      </w:pPr>
    </w:p>
    <w:p w14:paraId="26E8B4B4" w14:textId="77777777" w:rsidR="00C01D7C" w:rsidRPr="00C01D7C" w:rsidRDefault="00C01D7C" w:rsidP="00C01D7C">
      <w:pPr>
        <w:spacing w:after="0" w:line="240" w:lineRule="auto"/>
        <w:jc w:val="both"/>
        <w:rPr>
          <w:rFonts w:ascii="Verdana" w:eastAsia="Calibri" w:hAnsi="Verdana" w:cs="Times New Roman"/>
          <w:lang w:val="es-ES_tradnl"/>
        </w:rPr>
      </w:pPr>
    </w:p>
    <w:p w14:paraId="486929E4" w14:textId="77777777" w:rsidR="00C01D7C" w:rsidRPr="00C01D7C" w:rsidRDefault="00C01D7C" w:rsidP="00C01D7C">
      <w:pPr>
        <w:spacing w:after="0" w:line="240" w:lineRule="auto"/>
        <w:jc w:val="both"/>
        <w:rPr>
          <w:rFonts w:ascii="Verdana" w:eastAsia="Calibri" w:hAnsi="Verdana" w:cs="Times New Roman"/>
          <w:lang w:val="es-ES_tradnl"/>
        </w:rPr>
      </w:pPr>
    </w:p>
    <w:p w14:paraId="0578FB21" w14:textId="77777777" w:rsidR="00C01D7C" w:rsidRPr="00C01D7C" w:rsidRDefault="00C01D7C" w:rsidP="00C01D7C">
      <w:pPr>
        <w:spacing w:after="0" w:line="240" w:lineRule="auto"/>
        <w:jc w:val="both"/>
        <w:rPr>
          <w:rFonts w:ascii="Verdana" w:eastAsia="Calibri" w:hAnsi="Verdana" w:cs="Times New Roman"/>
          <w:lang w:val="es-ES_tradnl"/>
        </w:rPr>
      </w:pPr>
    </w:p>
    <w:p w14:paraId="0D46D8AA" w14:textId="77777777" w:rsidR="00C01D7C" w:rsidRPr="00C01D7C" w:rsidRDefault="00C01D7C" w:rsidP="00C01D7C">
      <w:pPr>
        <w:spacing w:after="0" w:line="240" w:lineRule="auto"/>
        <w:jc w:val="both"/>
        <w:rPr>
          <w:rFonts w:ascii="Verdana" w:eastAsia="Calibri" w:hAnsi="Verdana" w:cs="Times New Roman"/>
          <w:lang w:val="es-ES_tradnl"/>
        </w:rPr>
      </w:pPr>
    </w:p>
    <w:p w14:paraId="71F2A3A8" w14:textId="77777777" w:rsidR="00C01D7C" w:rsidRPr="00C01D7C" w:rsidRDefault="00C01D7C" w:rsidP="00C01D7C">
      <w:pPr>
        <w:spacing w:after="0" w:line="240" w:lineRule="auto"/>
        <w:jc w:val="both"/>
        <w:rPr>
          <w:rFonts w:ascii="Verdana" w:eastAsia="Calibri" w:hAnsi="Verdana" w:cs="Times New Roman"/>
          <w:lang w:val="es-ES_tradnl"/>
        </w:rPr>
      </w:pPr>
    </w:p>
    <w:p w14:paraId="047D6330" w14:textId="77777777" w:rsidR="00C01D7C" w:rsidRPr="00C01D7C" w:rsidRDefault="00C01D7C" w:rsidP="00C01D7C">
      <w:pPr>
        <w:spacing w:after="0" w:line="240" w:lineRule="auto"/>
        <w:jc w:val="both"/>
        <w:rPr>
          <w:rFonts w:ascii="Verdana" w:eastAsia="Calibri" w:hAnsi="Verdana" w:cs="Times New Roman"/>
          <w:lang w:val="es-ES_tradnl"/>
        </w:rPr>
      </w:pPr>
    </w:p>
    <w:p w14:paraId="5952E55A" w14:textId="77777777" w:rsidR="00C01D7C" w:rsidRPr="00C01D7C" w:rsidRDefault="00C01D7C" w:rsidP="00C01D7C">
      <w:pPr>
        <w:spacing w:after="0" w:line="240" w:lineRule="auto"/>
        <w:jc w:val="both"/>
        <w:rPr>
          <w:rFonts w:ascii="Verdana" w:eastAsia="Calibri" w:hAnsi="Verdana" w:cs="Times New Roman"/>
          <w:lang w:val="es-ES_tradnl"/>
        </w:rPr>
      </w:pPr>
    </w:p>
    <w:p w14:paraId="5C35A162" w14:textId="77777777" w:rsidR="00C01D7C" w:rsidRPr="00C01D7C" w:rsidRDefault="00C01D7C" w:rsidP="00C01D7C">
      <w:pPr>
        <w:spacing w:after="0" w:line="240" w:lineRule="auto"/>
        <w:jc w:val="both"/>
        <w:rPr>
          <w:rFonts w:ascii="Verdana" w:eastAsia="Calibri" w:hAnsi="Verdana" w:cs="Times New Roman"/>
          <w:lang w:val="es-ES_tradnl"/>
        </w:rPr>
      </w:pPr>
    </w:p>
    <w:p w14:paraId="107D17D4" w14:textId="77777777" w:rsidR="00C01D7C" w:rsidRPr="00C01D7C" w:rsidRDefault="00C01D7C" w:rsidP="00C01D7C">
      <w:pPr>
        <w:spacing w:after="0" w:line="240" w:lineRule="auto"/>
        <w:jc w:val="both"/>
        <w:rPr>
          <w:rFonts w:ascii="Verdana" w:eastAsia="Calibri" w:hAnsi="Verdana" w:cs="Times New Roman"/>
          <w:lang w:val="es-ES_tradnl"/>
        </w:rPr>
      </w:pPr>
    </w:p>
    <w:p w14:paraId="2A07D0B8" w14:textId="77777777" w:rsidR="00C01D7C" w:rsidRPr="00C01D7C" w:rsidRDefault="00C01D7C" w:rsidP="00C01D7C">
      <w:pPr>
        <w:spacing w:after="0" w:line="240" w:lineRule="auto"/>
        <w:jc w:val="both"/>
        <w:rPr>
          <w:rFonts w:ascii="Verdana" w:eastAsia="Calibri" w:hAnsi="Verdana" w:cs="Times New Roman"/>
          <w:lang w:val="es-ES_tradnl"/>
        </w:rPr>
      </w:pPr>
    </w:p>
    <w:p w14:paraId="08DEFF3C" w14:textId="77777777" w:rsidR="00C01D7C" w:rsidRPr="00C01D7C" w:rsidRDefault="00C01D7C" w:rsidP="00C01D7C">
      <w:pPr>
        <w:spacing w:after="0" w:line="240" w:lineRule="auto"/>
        <w:jc w:val="both"/>
        <w:rPr>
          <w:rFonts w:ascii="Verdana" w:eastAsia="Calibri" w:hAnsi="Verdana" w:cs="Times New Roman"/>
          <w:lang w:val="es-ES_tradnl"/>
        </w:rPr>
      </w:pPr>
    </w:p>
    <w:p w14:paraId="6DF252D9" w14:textId="77777777" w:rsidR="00C01D7C" w:rsidRPr="00C01D7C" w:rsidRDefault="00C01D7C" w:rsidP="00C01D7C">
      <w:pPr>
        <w:spacing w:after="0" w:line="240" w:lineRule="auto"/>
        <w:jc w:val="both"/>
        <w:rPr>
          <w:rFonts w:ascii="Verdana" w:eastAsia="Calibri" w:hAnsi="Verdana" w:cs="Times New Roman"/>
          <w:lang w:val="es-ES_tradnl"/>
        </w:rPr>
      </w:pPr>
    </w:p>
    <w:p w14:paraId="04613590" w14:textId="77777777" w:rsidR="00C01D7C" w:rsidRPr="00C01D7C" w:rsidRDefault="00C01D7C" w:rsidP="00C01D7C">
      <w:pPr>
        <w:spacing w:after="0" w:line="240" w:lineRule="auto"/>
        <w:jc w:val="both"/>
        <w:rPr>
          <w:rFonts w:ascii="Verdana" w:eastAsia="Calibri" w:hAnsi="Verdana" w:cs="Times New Roman"/>
          <w:lang w:val="es-ES_tradnl"/>
        </w:rPr>
      </w:pPr>
    </w:p>
    <w:p w14:paraId="205089FD" w14:textId="77777777" w:rsidR="00C01D7C" w:rsidRPr="00C01D7C" w:rsidRDefault="00C01D7C" w:rsidP="00C01D7C">
      <w:pPr>
        <w:spacing w:after="0" w:line="240" w:lineRule="auto"/>
        <w:jc w:val="both"/>
        <w:rPr>
          <w:rFonts w:ascii="Verdana" w:eastAsia="Calibri" w:hAnsi="Verdana" w:cs="Times New Roman"/>
          <w:lang w:val="es-ES_tradnl"/>
        </w:rPr>
      </w:pPr>
    </w:p>
    <w:p w14:paraId="4CCA7CFC" w14:textId="77777777" w:rsidR="00C01D7C" w:rsidRPr="00C01D7C" w:rsidRDefault="00C01D7C" w:rsidP="00C01D7C">
      <w:pPr>
        <w:spacing w:after="0" w:line="240" w:lineRule="auto"/>
        <w:jc w:val="both"/>
        <w:rPr>
          <w:rFonts w:ascii="Verdana" w:eastAsia="Calibri" w:hAnsi="Verdana" w:cs="Times New Roman"/>
          <w:lang w:val="es-ES_tradnl"/>
        </w:rPr>
      </w:pPr>
    </w:p>
    <w:p w14:paraId="0F29B3BB" w14:textId="77777777" w:rsidR="00C01D7C" w:rsidRPr="00C01D7C" w:rsidRDefault="00C01D7C" w:rsidP="00C01D7C">
      <w:pPr>
        <w:spacing w:after="0" w:line="240" w:lineRule="auto"/>
        <w:jc w:val="both"/>
        <w:rPr>
          <w:rFonts w:ascii="Verdana" w:eastAsia="Calibri" w:hAnsi="Verdana" w:cs="Times New Roman"/>
          <w:lang w:val="es-ES_tradnl"/>
        </w:rPr>
      </w:pPr>
    </w:p>
    <w:p w14:paraId="4DE0BACA" w14:textId="77777777" w:rsidR="00C01D7C" w:rsidRPr="00C01D7C" w:rsidRDefault="00C01D7C" w:rsidP="00C01D7C">
      <w:pPr>
        <w:spacing w:after="0" w:line="240" w:lineRule="auto"/>
        <w:jc w:val="both"/>
        <w:rPr>
          <w:rFonts w:ascii="Verdana" w:eastAsia="Calibri" w:hAnsi="Verdana" w:cs="Times New Roman"/>
          <w:lang w:val="es-ES_tradnl"/>
        </w:rPr>
      </w:pPr>
    </w:p>
    <w:p w14:paraId="416AB784" w14:textId="77777777" w:rsidR="00C01D7C" w:rsidRPr="00C01D7C" w:rsidRDefault="00C01D7C" w:rsidP="00C01D7C">
      <w:pPr>
        <w:spacing w:after="0" w:line="240" w:lineRule="auto"/>
        <w:jc w:val="both"/>
        <w:rPr>
          <w:rFonts w:ascii="Verdana" w:eastAsia="Calibri" w:hAnsi="Verdana" w:cs="Times New Roman"/>
          <w:lang w:val="es-ES_tradnl"/>
        </w:rPr>
      </w:pPr>
    </w:p>
    <w:p w14:paraId="360F1E84" w14:textId="77777777" w:rsidR="00C01D7C" w:rsidRPr="00C01D7C" w:rsidRDefault="00C01D7C" w:rsidP="00C01D7C">
      <w:pPr>
        <w:spacing w:after="0" w:line="240" w:lineRule="auto"/>
        <w:jc w:val="both"/>
        <w:rPr>
          <w:rFonts w:ascii="Verdana" w:eastAsia="Calibri" w:hAnsi="Verdana" w:cs="Times New Roman"/>
          <w:lang w:val="es-ES_tradnl"/>
        </w:rPr>
      </w:pPr>
    </w:p>
    <w:p w14:paraId="7D128671" w14:textId="77777777" w:rsidR="00C01D7C" w:rsidRPr="00C01D7C" w:rsidRDefault="00C01D7C" w:rsidP="00C01D7C">
      <w:pPr>
        <w:spacing w:after="0" w:line="240" w:lineRule="auto"/>
        <w:jc w:val="both"/>
        <w:rPr>
          <w:rFonts w:ascii="Verdana" w:eastAsia="Calibri" w:hAnsi="Verdana" w:cs="Times New Roman"/>
          <w:lang w:val="es-ES_tradnl"/>
        </w:rPr>
      </w:pPr>
    </w:p>
    <w:p w14:paraId="4ABC8ABF" w14:textId="77777777" w:rsidR="00C01D7C" w:rsidRPr="00C01D7C" w:rsidRDefault="00C01D7C" w:rsidP="00C01D7C">
      <w:pPr>
        <w:spacing w:after="0" w:line="240" w:lineRule="auto"/>
        <w:jc w:val="both"/>
        <w:rPr>
          <w:rFonts w:ascii="Verdana" w:eastAsia="Calibri" w:hAnsi="Verdana" w:cs="Times New Roman"/>
          <w:lang w:val="es-ES_tradnl"/>
        </w:rPr>
      </w:pPr>
    </w:p>
    <w:p w14:paraId="3E23983B" w14:textId="77777777" w:rsidR="00C01D7C" w:rsidRPr="00C01D7C" w:rsidRDefault="00C01D7C" w:rsidP="00C01D7C">
      <w:pPr>
        <w:spacing w:after="0" w:line="240" w:lineRule="auto"/>
        <w:jc w:val="both"/>
        <w:rPr>
          <w:rFonts w:ascii="Verdana" w:eastAsia="Calibri" w:hAnsi="Verdana" w:cs="Times New Roman"/>
          <w:lang w:val="es-ES_tradnl"/>
        </w:rPr>
      </w:pPr>
    </w:p>
    <w:p w14:paraId="7693D6EA" w14:textId="77777777" w:rsidR="00C01D7C" w:rsidRPr="00C01D7C" w:rsidRDefault="00C01D7C" w:rsidP="00C01D7C">
      <w:pPr>
        <w:spacing w:after="0" w:line="240" w:lineRule="auto"/>
        <w:jc w:val="both"/>
        <w:rPr>
          <w:rFonts w:ascii="Verdana" w:eastAsia="Calibri" w:hAnsi="Verdana" w:cs="Times New Roman"/>
          <w:lang w:val="es-ES_tradnl"/>
        </w:rPr>
      </w:pPr>
    </w:p>
    <w:p w14:paraId="20A8B3CA" w14:textId="77777777" w:rsidR="00C01D7C" w:rsidRPr="00C01D7C" w:rsidRDefault="00C01D7C" w:rsidP="00C01D7C">
      <w:pPr>
        <w:spacing w:after="0" w:line="240" w:lineRule="auto"/>
        <w:jc w:val="both"/>
        <w:rPr>
          <w:rFonts w:ascii="Verdana" w:eastAsia="Calibri" w:hAnsi="Verdana" w:cs="Times New Roman"/>
          <w:lang w:val="es-ES_tradnl"/>
        </w:rPr>
      </w:pPr>
    </w:p>
    <w:p w14:paraId="03060BB4" w14:textId="77777777" w:rsidR="00C01D7C" w:rsidRPr="00C01D7C" w:rsidRDefault="00C01D7C" w:rsidP="00C01D7C">
      <w:pPr>
        <w:spacing w:after="0" w:line="240" w:lineRule="auto"/>
        <w:jc w:val="both"/>
        <w:rPr>
          <w:rFonts w:ascii="Verdana" w:eastAsia="Calibri" w:hAnsi="Verdana" w:cs="Times New Roman"/>
          <w:lang w:val="es-ES_tradnl"/>
        </w:rPr>
      </w:pPr>
    </w:p>
    <w:p w14:paraId="19FB982A" w14:textId="77777777" w:rsidR="00C01D7C" w:rsidRPr="00C01D7C" w:rsidRDefault="00C01D7C" w:rsidP="00C01D7C">
      <w:pPr>
        <w:spacing w:after="0" w:line="240" w:lineRule="auto"/>
        <w:jc w:val="both"/>
        <w:rPr>
          <w:rFonts w:ascii="Verdana" w:eastAsia="Calibri" w:hAnsi="Verdana" w:cs="Times New Roman"/>
          <w:lang w:val="es-ES_tradnl"/>
        </w:rPr>
      </w:pPr>
    </w:p>
    <w:p w14:paraId="42E5AB54" w14:textId="77777777" w:rsidR="00C01D7C" w:rsidRDefault="00C01D7C" w:rsidP="00C01D7C">
      <w:pPr>
        <w:spacing w:after="0" w:line="240" w:lineRule="auto"/>
        <w:jc w:val="both"/>
        <w:rPr>
          <w:rFonts w:ascii="Verdana" w:eastAsia="Calibri" w:hAnsi="Verdana" w:cs="Times New Roman"/>
          <w:lang w:val="es-ES_tradnl"/>
        </w:rPr>
      </w:pPr>
    </w:p>
    <w:p w14:paraId="04CE7D77" w14:textId="00F38659" w:rsidR="008E6B3E" w:rsidRPr="003E386C" w:rsidRDefault="008E6B3E" w:rsidP="00C01D7C">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7F4086">
        <w:rPr>
          <w:rFonts w:ascii="Verdana" w:eastAsia="Verdana" w:hAnsi="Verdana" w:cs="Verdana"/>
        </w:rPr>
        <w:t xml:space="preserve">, </w:t>
      </w:r>
      <w:r w:rsidR="003E386C">
        <w:rPr>
          <w:rFonts w:ascii="Verdana" w:eastAsia="Verdana" w:hAnsi="Verdana" w:cs="Verdana"/>
        </w:rPr>
        <w:t>13 Marzo 2026</w:t>
      </w:r>
    </w:p>
    <w:p w14:paraId="7FEA8B61" w14:textId="05AE6D63" w:rsidR="00C01D7C" w:rsidRPr="00C01D7C" w:rsidRDefault="003E386C" w:rsidP="003E386C">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0FA733D4" wp14:editId="1BC48071">
            <wp:extent cx="2284108" cy="657419"/>
            <wp:effectExtent l="0" t="0" r="1905" b="3175"/>
            <wp:docPr id="14225758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575879" name="Imagen 1422575879"/>
                    <pic:cNvPicPr/>
                  </pic:nvPicPr>
                  <pic:blipFill>
                    <a:blip r:embed="rId10">
                      <a:extLst>
                        <a:ext uri="{28A0092B-C50C-407E-A947-70E740481C1C}">
                          <a14:useLocalDpi xmlns:a14="http://schemas.microsoft.com/office/drawing/2010/main" val="0"/>
                        </a:ext>
                      </a:extLst>
                    </a:blip>
                    <a:stretch>
                      <a:fillRect/>
                    </a:stretch>
                  </pic:blipFill>
                  <pic:spPr>
                    <a:xfrm>
                      <a:off x="0" y="0"/>
                      <a:ext cx="2299396" cy="661819"/>
                    </a:xfrm>
                    <a:prstGeom prst="rect">
                      <a:avLst/>
                    </a:prstGeom>
                  </pic:spPr>
                </pic:pic>
              </a:graphicData>
            </a:graphic>
          </wp:inline>
        </w:drawing>
      </w:r>
    </w:p>
    <w:p w14:paraId="63F20E95" w14:textId="77777777" w:rsidR="00C01D7C" w:rsidRPr="00C01D7C" w:rsidRDefault="00C01D7C" w:rsidP="00C01D7C">
      <w:pPr>
        <w:spacing w:after="0" w:line="240" w:lineRule="auto"/>
        <w:jc w:val="both"/>
        <w:rPr>
          <w:rFonts w:ascii="Verdana" w:eastAsia="Calibri" w:hAnsi="Verdana" w:cs="Arial"/>
          <w:lang w:val="es-ES_tradnl" w:eastAsia="es-ES"/>
        </w:rPr>
      </w:pPr>
      <w:r w:rsidRPr="00C01D7C">
        <w:rPr>
          <w:rFonts w:ascii="Verdana" w:eastAsia="Calibri" w:hAnsi="Verdana" w:cs="Arial"/>
          <w:lang w:val="es-ES_tradnl" w:eastAsia="es-ES"/>
        </w:rPr>
        <w:t>Señora</w:t>
      </w:r>
    </w:p>
    <w:p w14:paraId="58265E31" w14:textId="77777777" w:rsidR="00C01D7C" w:rsidRPr="00C01D7C" w:rsidRDefault="00C01D7C" w:rsidP="00C01D7C">
      <w:pPr>
        <w:spacing w:after="0" w:line="240" w:lineRule="auto"/>
        <w:rPr>
          <w:rFonts w:ascii="Verdana" w:eastAsia="Calibri" w:hAnsi="Verdana" w:cs="Arial"/>
          <w:b/>
          <w:bCs/>
          <w:lang w:val="es-ES" w:eastAsia="es-ES"/>
        </w:rPr>
      </w:pPr>
      <w:r w:rsidRPr="00C01D7C">
        <w:rPr>
          <w:rFonts w:ascii="Verdana" w:eastAsia="Calibri" w:hAnsi="Verdana" w:cs="Arial"/>
          <w:b/>
          <w:bCs/>
          <w:lang w:val="es-ES" w:eastAsia="es-ES"/>
        </w:rPr>
        <w:t>Claudia Milena Ricaurte Rincón</w:t>
      </w:r>
    </w:p>
    <w:p w14:paraId="52F86580" w14:textId="77777777" w:rsidR="00C01D7C" w:rsidRPr="00C01D7C" w:rsidRDefault="00C01D7C" w:rsidP="00C01D7C">
      <w:pPr>
        <w:spacing w:after="0" w:line="240" w:lineRule="auto"/>
        <w:rPr>
          <w:rFonts w:ascii="Verdana" w:eastAsia="Calibri" w:hAnsi="Verdana" w:cs="Arial"/>
          <w:lang w:val="es-ES_tradnl" w:eastAsia="es-ES"/>
        </w:rPr>
      </w:pPr>
      <w:r w:rsidRPr="00C01D7C">
        <w:rPr>
          <w:rFonts w:ascii="Verdana" w:eastAsia="Calibri" w:hAnsi="Verdana" w:cs="Arial"/>
          <w:lang w:val="es-ES_tradnl" w:eastAsia="es-ES"/>
        </w:rPr>
        <w:t>Villavicencio, Meta</w:t>
      </w:r>
    </w:p>
    <w:p w14:paraId="1E5AC854" w14:textId="77777777" w:rsidR="00C01D7C" w:rsidRPr="00C01D7C" w:rsidRDefault="00C01D7C" w:rsidP="00C01D7C">
      <w:pPr>
        <w:spacing w:after="0" w:line="240" w:lineRule="auto"/>
        <w:rPr>
          <w:rFonts w:ascii="Verdana" w:eastAsia="Calibri" w:hAnsi="Verdana" w:cs="Arial"/>
          <w:b/>
          <w:bCs/>
          <w:lang w:val="es-ES_tradnl" w:eastAsia="es-ES_tradnl"/>
        </w:rPr>
      </w:pPr>
    </w:p>
    <w:p w14:paraId="1BC3F66A" w14:textId="77777777" w:rsidR="00C01D7C" w:rsidRPr="00C01D7C" w:rsidRDefault="00C01D7C" w:rsidP="00C01D7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01D7C" w:rsidRPr="00C01D7C" w14:paraId="377BB3D6" w14:textId="77777777" w:rsidTr="008C2018">
        <w:trPr>
          <w:trHeight w:val="884"/>
        </w:trPr>
        <w:tc>
          <w:tcPr>
            <w:tcW w:w="2689" w:type="dxa"/>
          </w:tcPr>
          <w:p w14:paraId="47D10751" w14:textId="77777777" w:rsidR="00C01D7C" w:rsidRPr="00C01D7C" w:rsidRDefault="00C01D7C" w:rsidP="00C01D7C">
            <w:pPr>
              <w:jc w:val="both"/>
              <w:rPr>
                <w:rFonts w:ascii="Verdana" w:eastAsia="Calibri" w:hAnsi="Verdana" w:cs="Arial"/>
                <w:b/>
                <w:bCs/>
                <w:lang w:val="es-ES_tradnl" w:eastAsia="es-ES_tradnl"/>
              </w:rPr>
            </w:pPr>
          </w:p>
        </w:tc>
        <w:tc>
          <w:tcPr>
            <w:tcW w:w="6100" w:type="dxa"/>
          </w:tcPr>
          <w:p w14:paraId="39127ADA" w14:textId="77777777" w:rsidR="00C01D7C" w:rsidRPr="00C01D7C" w:rsidRDefault="00C01D7C" w:rsidP="00C01D7C">
            <w:pPr>
              <w:jc w:val="both"/>
              <w:rPr>
                <w:rFonts w:ascii="Verdana" w:eastAsia="Calibri" w:hAnsi="Verdana" w:cs="Arial"/>
                <w:b/>
                <w:bCs/>
                <w:lang w:val="es-ES_tradnl" w:eastAsia="es-ES"/>
              </w:rPr>
            </w:pPr>
            <w:r w:rsidRPr="00C01D7C">
              <w:rPr>
                <w:rFonts w:ascii="Verdana" w:eastAsia="Calibri" w:hAnsi="Verdana" w:cs="Arial"/>
                <w:b/>
                <w:bCs/>
                <w:lang w:val="es-ES_tradnl" w:eastAsia="es-ES"/>
              </w:rPr>
              <w:t>Concepto C – 153 de 2026</w:t>
            </w:r>
          </w:p>
          <w:p w14:paraId="14FFE187" w14:textId="77777777" w:rsidR="00C01D7C" w:rsidRPr="00C01D7C" w:rsidRDefault="00C01D7C" w:rsidP="00C01D7C">
            <w:pPr>
              <w:tabs>
                <w:tab w:val="left" w:pos="1137"/>
              </w:tabs>
              <w:rPr>
                <w:rFonts w:ascii="Verdana" w:eastAsia="Calibri" w:hAnsi="Verdana" w:cs="Arial"/>
                <w:lang w:val="es-ES_tradnl" w:eastAsia="es-ES"/>
              </w:rPr>
            </w:pPr>
            <w:r w:rsidRPr="00C01D7C">
              <w:rPr>
                <w:rFonts w:ascii="Verdana" w:eastAsia="Calibri" w:hAnsi="Verdana" w:cs="Arial"/>
                <w:lang w:val="es-ES_tradnl" w:eastAsia="es-ES"/>
              </w:rPr>
              <w:tab/>
            </w:r>
          </w:p>
        </w:tc>
      </w:tr>
      <w:tr w:rsidR="00C01D7C" w:rsidRPr="00C01D7C" w14:paraId="392B3B3D" w14:textId="77777777" w:rsidTr="008C2018">
        <w:trPr>
          <w:trHeight w:val="884"/>
        </w:trPr>
        <w:tc>
          <w:tcPr>
            <w:tcW w:w="2689" w:type="dxa"/>
          </w:tcPr>
          <w:p w14:paraId="1FAEF0A3" w14:textId="77777777" w:rsidR="00C01D7C" w:rsidRPr="00C01D7C" w:rsidRDefault="00C01D7C" w:rsidP="00C01D7C">
            <w:pPr>
              <w:jc w:val="both"/>
              <w:rPr>
                <w:rFonts w:ascii="Verdana" w:eastAsia="Calibri" w:hAnsi="Verdana" w:cs="Arial"/>
                <w:lang w:val="es-ES_tradnl" w:eastAsia="es-ES_tradnl"/>
              </w:rPr>
            </w:pPr>
            <w:r w:rsidRPr="00C01D7C">
              <w:rPr>
                <w:rFonts w:ascii="Verdana" w:eastAsia="Calibri" w:hAnsi="Verdana" w:cs="Arial"/>
                <w:b/>
                <w:lang w:val="es-ES_tradnl" w:eastAsia="es-ES_tradnl"/>
              </w:rPr>
              <w:t>Temas:</w:t>
            </w:r>
            <w:r w:rsidRPr="00C01D7C">
              <w:rPr>
                <w:rFonts w:ascii="Verdana" w:eastAsia="Calibri" w:hAnsi="Verdana" w:cs="Arial"/>
                <w:lang w:val="es-ES_tradnl" w:eastAsia="es-ES_tradnl"/>
              </w:rPr>
              <w:t xml:space="preserve">                   </w:t>
            </w:r>
          </w:p>
        </w:tc>
        <w:tc>
          <w:tcPr>
            <w:tcW w:w="6100" w:type="dxa"/>
          </w:tcPr>
          <w:p w14:paraId="1552532B" w14:textId="77777777" w:rsidR="00C01D7C" w:rsidRPr="00C01D7C" w:rsidRDefault="00C01D7C" w:rsidP="00C01D7C">
            <w:pPr>
              <w:jc w:val="both"/>
              <w:rPr>
                <w:rFonts w:ascii="Verdana" w:eastAsia="Geomanist Light" w:hAnsi="Verdana" w:cs="Arial"/>
                <w:bCs/>
                <w:lang w:val="es-ES_tradnl"/>
              </w:rPr>
            </w:pPr>
            <w:r w:rsidRPr="00C01D7C">
              <w:rPr>
                <w:rFonts w:ascii="Verdana" w:eastAsia="Calibri" w:hAnsi="Verdana" w:cs="Arial"/>
                <w:bCs/>
                <w:lang w:val="es-ES" w:eastAsia="es-ES"/>
              </w:rPr>
              <w:t>SUBSANABILIDAD – Aplicación – R</w:t>
            </w:r>
            <w:r w:rsidRPr="00C01D7C">
              <w:rPr>
                <w:rFonts w:ascii="Verdana" w:eastAsia="Calibri" w:hAnsi="Verdana" w:cs="Times New Roman"/>
                <w:bCs/>
                <w:lang w:val="es-ES" w:eastAsia="es-ES"/>
              </w:rPr>
              <w:t>egla general</w:t>
            </w:r>
            <w:r w:rsidRPr="00C01D7C">
              <w:rPr>
                <w:rFonts w:ascii="Verdana" w:eastAsia="Calibri" w:hAnsi="Verdana" w:cs="Arial"/>
                <w:bCs/>
                <w:lang w:val="es-ES" w:eastAsia="es-ES"/>
              </w:rPr>
              <w:t xml:space="preserve"> – Excepciones / SUBSANABILIDAD – Ley 1882 de 2018 / </w:t>
            </w:r>
            <w:r w:rsidRPr="00C01D7C">
              <w:rPr>
                <w:rFonts w:ascii="Verdana" w:eastAsia="Calibri" w:hAnsi="Verdana" w:cs="Arial"/>
                <w:bCs/>
                <w:color w:val="000000"/>
              </w:rPr>
              <w:t xml:space="preserve">SUBSANABILIDAD – Circunstancias posteriores – Cierre del proceso – Prueba / </w:t>
            </w:r>
            <w:r w:rsidRPr="00C01D7C">
              <w:rPr>
                <w:rFonts w:ascii="Verdana" w:eastAsia="Geomanist Light" w:hAnsi="Verdana" w:cs="Arial"/>
                <w:bCs/>
                <w:lang w:val="es-ES_tradnl"/>
              </w:rPr>
              <w:t>SUBSANABILIDAD – Documentos Tipo – Formatos</w:t>
            </w:r>
          </w:p>
          <w:p w14:paraId="124D43B5" w14:textId="77777777" w:rsidR="00C01D7C" w:rsidRPr="00C01D7C" w:rsidRDefault="00C01D7C" w:rsidP="00C01D7C">
            <w:pPr>
              <w:spacing w:line="276" w:lineRule="auto"/>
              <w:jc w:val="both"/>
              <w:rPr>
                <w:rFonts w:ascii="Verdana" w:eastAsia="Calibri" w:hAnsi="Verdana" w:cs="Arial"/>
                <w:bCs/>
                <w:highlight w:val="yellow"/>
                <w:lang w:val="es-ES_tradnl" w:eastAsia="es-ES"/>
              </w:rPr>
            </w:pPr>
          </w:p>
        </w:tc>
      </w:tr>
      <w:tr w:rsidR="00C01D7C" w:rsidRPr="00C01D7C" w14:paraId="2C4F44C8" w14:textId="77777777" w:rsidTr="008C2018">
        <w:tc>
          <w:tcPr>
            <w:tcW w:w="2689" w:type="dxa"/>
          </w:tcPr>
          <w:p w14:paraId="4A8C6DC0" w14:textId="77777777" w:rsidR="00C01D7C" w:rsidRPr="00C01D7C" w:rsidRDefault="00C01D7C" w:rsidP="00C01D7C">
            <w:pPr>
              <w:jc w:val="both"/>
              <w:rPr>
                <w:rFonts w:ascii="Verdana" w:eastAsia="Calibri" w:hAnsi="Verdana" w:cs="Arial"/>
                <w:b/>
                <w:lang w:val="es-ES_tradnl" w:eastAsia="es-ES_tradnl"/>
              </w:rPr>
            </w:pPr>
            <w:r w:rsidRPr="00C01D7C">
              <w:rPr>
                <w:rFonts w:ascii="Verdana" w:eastAsia="Calibri" w:hAnsi="Verdana" w:cs="Arial"/>
                <w:b/>
                <w:lang w:val="es-ES_tradnl" w:eastAsia="es-ES_tradnl"/>
              </w:rPr>
              <w:t>Radicación:</w:t>
            </w:r>
            <w:r w:rsidRPr="00C01D7C">
              <w:rPr>
                <w:rFonts w:ascii="Verdana" w:eastAsia="Calibri" w:hAnsi="Verdana" w:cs="Arial"/>
                <w:lang w:val="es-ES_tradnl" w:eastAsia="es-ES_tradnl"/>
              </w:rPr>
              <w:t xml:space="preserve">               </w:t>
            </w:r>
          </w:p>
        </w:tc>
        <w:tc>
          <w:tcPr>
            <w:tcW w:w="6100" w:type="dxa"/>
          </w:tcPr>
          <w:p w14:paraId="085B2962" w14:textId="77777777" w:rsidR="00C01D7C" w:rsidRPr="00C01D7C" w:rsidRDefault="00C01D7C" w:rsidP="00C01D7C">
            <w:pPr>
              <w:jc w:val="both"/>
              <w:rPr>
                <w:rFonts w:ascii="Verdana" w:eastAsia="Calibri" w:hAnsi="Verdana" w:cs="Arial"/>
                <w:lang w:val="es-ES_tradnl" w:eastAsia="es-ES_tradnl"/>
              </w:rPr>
            </w:pPr>
            <w:r w:rsidRPr="00C01D7C">
              <w:rPr>
                <w:rFonts w:ascii="Verdana" w:eastAsia="Calibri" w:hAnsi="Verdana" w:cs="Arial"/>
                <w:lang w:val="es-ES_tradnl" w:eastAsia="es-ES_tradnl"/>
              </w:rPr>
              <w:t>Respuesta a consulta con radicado No. 1_2026_02_04_001367</w:t>
            </w:r>
          </w:p>
        </w:tc>
      </w:tr>
    </w:tbl>
    <w:p w14:paraId="780E7EA0" w14:textId="77777777" w:rsidR="00C01D7C" w:rsidRPr="00C01D7C" w:rsidRDefault="00C01D7C" w:rsidP="00C01D7C">
      <w:pPr>
        <w:spacing w:after="0" w:line="240" w:lineRule="auto"/>
        <w:jc w:val="both"/>
        <w:rPr>
          <w:rFonts w:ascii="Verdana" w:eastAsia="Calibri" w:hAnsi="Verdana" w:cs="Arial"/>
          <w:lang w:val="es-ES_tradnl" w:eastAsia="es-ES_tradnl"/>
        </w:rPr>
      </w:pPr>
    </w:p>
    <w:p w14:paraId="5F1CB563" w14:textId="77777777" w:rsidR="00C01D7C" w:rsidRPr="00C01D7C" w:rsidRDefault="00C01D7C" w:rsidP="00C01D7C">
      <w:pPr>
        <w:spacing w:after="0" w:line="240" w:lineRule="auto"/>
        <w:jc w:val="both"/>
        <w:rPr>
          <w:rFonts w:ascii="Verdana" w:eastAsia="Calibri" w:hAnsi="Verdana" w:cs="Arial"/>
          <w:lang w:val="es-ES_tradnl" w:eastAsia="es-ES_tradnl"/>
        </w:rPr>
      </w:pPr>
    </w:p>
    <w:p w14:paraId="6B677B24" w14:textId="77777777" w:rsidR="00C01D7C" w:rsidRPr="00C01D7C" w:rsidRDefault="00C01D7C" w:rsidP="00C01D7C">
      <w:pPr>
        <w:spacing w:after="0" w:line="276" w:lineRule="auto"/>
        <w:jc w:val="both"/>
        <w:rPr>
          <w:rFonts w:ascii="Verdana" w:eastAsia="Calibri" w:hAnsi="Verdana" w:cs="Arial"/>
          <w:lang w:val="es-ES" w:eastAsia="es-ES"/>
        </w:rPr>
      </w:pPr>
      <w:r w:rsidRPr="00C01D7C">
        <w:rPr>
          <w:rFonts w:ascii="Verdana" w:eastAsia="Calibri" w:hAnsi="Verdana" w:cs="Arial"/>
          <w:lang w:val="es-ES" w:eastAsia="es-ES"/>
        </w:rPr>
        <w:t xml:space="preserve">Estimada señora Ricaurte Rincón: </w:t>
      </w:r>
    </w:p>
    <w:p w14:paraId="7BEC0EA8" w14:textId="77777777" w:rsidR="00C01D7C" w:rsidRPr="00C01D7C" w:rsidRDefault="00C01D7C" w:rsidP="00C01D7C">
      <w:pPr>
        <w:tabs>
          <w:tab w:val="left" w:pos="3768"/>
        </w:tabs>
        <w:spacing w:after="0" w:line="276" w:lineRule="auto"/>
        <w:jc w:val="both"/>
        <w:rPr>
          <w:rFonts w:ascii="Verdana" w:eastAsia="Calibri" w:hAnsi="Verdana" w:cs="Arial"/>
          <w:lang w:val="es-ES_tradnl" w:eastAsia="es-ES"/>
        </w:rPr>
      </w:pPr>
      <w:r w:rsidRPr="00C01D7C">
        <w:rPr>
          <w:rFonts w:ascii="Verdana" w:eastAsia="Calibri" w:hAnsi="Verdana" w:cs="Arial"/>
          <w:lang w:val="es-ES_tradnl" w:eastAsia="es-ES"/>
        </w:rPr>
        <w:tab/>
      </w:r>
    </w:p>
    <w:p w14:paraId="29FB4987" w14:textId="77777777" w:rsidR="00C01D7C" w:rsidRPr="00C01D7C" w:rsidRDefault="00C01D7C" w:rsidP="00C01D7C">
      <w:pPr>
        <w:snapToGrid w:val="0"/>
        <w:spacing w:after="0" w:line="276" w:lineRule="auto"/>
        <w:jc w:val="both"/>
        <w:rPr>
          <w:rFonts w:ascii="Verdana" w:eastAsia="Calibri" w:hAnsi="Verdana" w:cs="Arial"/>
          <w:lang w:val="es-ES_tradnl" w:eastAsia="es-ES"/>
        </w:rPr>
      </w:pPr>
      <w:r w:rsidRPr="00C01D7C">
        <w:rPr>
          <w:rFonts w:ascii="Verdana" w:eastAsia="Calibri" w:hAnsi="Verdana" w:cs="Arial"/>
          <w:lang w:val="es-ES_tradnl" w:eastAsia="es-ES"/>
        </w:rPr>
        <w:t>En ejercicio de la competencia otorgada por los artículos 3, numeral 5º, y 11, numeral 8º, del Decreto Ley 4170 de 2011,</w:t>
      </w:r>
      <w:r w:rsidRPr="00C01D7C">
        <w:rPr>
          <w:rFonts w:ascii="Verdana" w:eastAsia="Arial MT" w:hAnsi="Verdana" w:cs="Arial MT"/>
          <w:lang w:val="es-ES_tradnl" w:eastAsia="es-ES"/>
        </w:rPr>
        <w:t xml:space="preserve"> </w:t>
      </w:r>
      <w:r w:rsidRPr="00C01D7C">
        <w:rPr>
          <w:rFonts w:ascii="Verdana" w:eastAsia="Calibri" w:hAnsi="Verdana" w:cs="Arial"/>
          <w:lang w:val="es-ES_tradnl"/>
        </w:rPr>
        <w:t xml:space="preserve">así como lo establecido en el artículo 4 de la Resolución 1707 de 2018 expedida por esta Entidad, </w:t>
      </w:r>
      <w:r w:rsidRPr="00C01D7C">
        <w:rPr>
          <w:rFonts w:ascii="Verdana" w:eastAsia="Calibri" w:hAnsi="Verdana" w:cs="Arial"/>
          <w:lang w:val="es-ES_tradnl" w:eastAsia="es-ES"/>
        </w:rPr>
        <w:t>la Agencia Nacional de Contratación Pública –Colombia Compra Eficiente– responde su solicitud de consulta de fecha 4 de febrero de 2026. En relación con el resultado de evaluación de un proceso de licitación, usted solicita aclarar lo siguiente:</w:t>
      </w:r>
    </w:p>
    <w:p w14:paraId="28409BAF" w14:textId="77777777" w:rsidR="00C01D7C" w:rsidRPr="00C01D7C" w:rsidRDefault="00C01D7C" w:rsidP="00C01D7C">
      <w:pPr>
        <w:tabs>
          <w:tab w:val="left" w:pos="142"/>
          <w:tab w:val="left" w:pos="1275"/>
        </w:tabs>
        <w:snapToGrid w:val="0"/>
        <w:spacing w:after="0" w:line="276" w:lineRule="auto"/>
        <w:jc w:val="both"/>
        <w:rPr>
          <w:rFonts w:ascii="Verdana" w:eastAsia="Century Gothic" w:hAnsi="Verdana" w:cs="Century Gothic"/>
          <w:b/>
          <w:bCs/>
          <w:lang w:val="es-ES_tradnl"/>
        </w:rPr>
      </w:pPr>
      <w:r w:rsidRPr="00C01D7C">
        <w:rPr>
          <w:rFonts w:ascii="Verdana" w:eastAsia="Century Gothic" w:hAnsi="Verdana" w:cs="Century Gothic"/>
          <w:b/>
          <w:bCs/>
          <w:lang w:val="es-ES_tradnl"/>
        </w:rPr>
        <w:tab/>
      </w:r>
      <w:r w:rsidRPr="00C01D7C">
        <w:rPr>
          <w:rFonts w:ascii="Verdana" w:eastAsia="Century Gothic" w:hAnsi="Verdana" w:cs="Century Gothic"/>
          <w:b/>
          <w:bCs/>
          <w:lang w:val="es-ES_tradnl"/>
        </w:rPr>
        <w:tab/>
      </w:r>
    </w:p>
    <w:p w14:paraId="51A141AB" w14:textId="77777777" w:rsidR="00C01D7C" w:rsidRPr="00C01D7C" w:rsidRDefault="00C01D7C" w:rsidP="00C01D7C">
      <w:pPr>
        <w:snapToGrid w:val="0"/>
        <w:spacing w:after="0" w:line="240" w:lineRule="auto"/>
        <w:ind w:left="720" w:right="709"/>
        <w:jc w:val="both"/>
        <w:rPr>
          <w:rFonts w:ascii="Verdana" w:eastAsia="Century Gothic" w:hAnsi="Verdana" w:cs="Century Gothic"/>
          <w:sz w:val="21"/>
          <w:szCs w:val="21"/>
          <w:lang w:val="es-ES"/>
        </w:rPr>
      </w:pPr>
      <w:r w:rsidRPr="00C01D7C">
        <w:rPr>
          <w:rFonts w:ascii="Verdana" w:eastAsia="Century Gothic" w:hAnsi="Verdana" w:cs="Century Gothic"/>
          <w:sz w:val="21"/>
          <w:szCs w:val="21"/>
          <w:lang w:val="es-ES"/>
        </w:rPr>
        <w:t>“1.</w:t>
      </w:r>
      <w:r w:rsidRPr="00C01D7C">
        <w:rPr>
          <w:rFonts w:ascii="Verdana" w:eastAsia="Century Gothic" w:hAnsi="Verdana" w:cs="Century Gothic"/>
          <w:sz w:val="21"/>
          <w:szCs w:val="21"/>
          <w:lang w:val="es-ES"/>
        </w:rPr>
        <w:tab/>
        <w:t xml:space="preserve">APORTAR EL Formato 6 - Pago de seguridad social y aportes legales, suscrito con fecha posterior a la radicación de la oferta, GENERA O NO una inconsistencia temporal entre la fecha de expedición de la certificación y el momento efectivo de presentación de la propuesta. ¿El documento tendría una validez de 30 </w:t>
      </w:r>
      <w:proofErr w:type="spellStart"/>
      <w:r w:rsidRPr="00C01D7C">
        <w:rPr>
          <w:rFonts w:ascii="Verdana" w:eastAsia="Century Gothic" w:hAnsi="Verdana" w:cs="Century Gothic"/>
          <w:sz w:val="21"/>
          <w:szCs w:val="21"/>
          <w:lang w:val="es-ES"/>
        </w:rPr>
        <w:t>dias</w:t>
      </w:r>
      <w:proofErr w:type="spellEnd"/>
      <w:r w:rsidRPr="00C01D7C">
        <w:rPr>
          <w:rFonts w:ascii="Verdana" w:eastAsia="Century Gothic" w:hAnsi="Verdana" w:cs="Century Gothic"/>
          <w:sz w:val="21"/>
          <w:szCs w:val="21"/>
          <w:lang w:val="es-ES"/>
        </w:rPr>
        <w:t xml:space="preserve">? O debe suscribirse con la fecha del cierre o de radicación de la propuesta en la </w:t>
      </w:r>
      <w:proofErr w:type="spellStart"/>
      <w:r w:rsidRPr="00C01D7C">
        <w:rPr>
          <w:rFonts w:ascii="Verdana" w:eastAsia="Century Gothic" w:hAnsi="Verdana" w:cs="Century Gothic"/>
          <w:sz w:val="21"/>
          <w:szCs w:val="21"/>
          <w:lang w:val="es-ES"/>
        </w:rPr>
        <w:t>pagina</w:t>
      </w:r>
      <w:proofErr w:type="spellEnd"/>
      <w:r w:rsidRPr="00C01D7C">
        <w:rPr>
          <w:rFonts w:ascii="Verdana" w:eastAsia="Century Gothic" w:hAnsi="Verdana" w:cs="Century Gothic"/>
          <w:sz w:val="21"/>
          <w:szCs w:val="21"/>
          <w:lang w:val="es-ES"/>
        </w:rPr>
        <w:t xml:space="preserve"> del SECOP II</w:t>
      </w:r>
    </w:p>
    <w:p w14:paraId="326126B2" w14:textId="77777777" w:rsidR="00C01D7C" w:rsidRPr="00C01D7C" w:rsidRDefault="00C01D7C" w:rsidP="00C01D7C">
      <w:pPr>
        <w:snapToGrid w:val="0"/>
        <w:spacing w:after="0" w:line="240" w:lineRule="auto"/>
        <w:ind w:left="720" w:right="709"/>
        <w:jc w:val="both"/>
        <w:rPr>
          <w:rFonts w:ascii="Verdana" w:eastAsia="Century Gothic" w:hAnsi="Verdana" w:cs="Century Gothic"/>
          <w:sz w:val="21"/>
          <w:szCs w:val="21"/>
          <w:lang w:val="es-ES"/>
        </w:rPr>
      </w:pPr>
    </w:p>
    <w:p w14:paraId="541651E1" w14:textId="77777777" w:rsidR="00C01D7C" w:rsidRPr="00C01D7C" w:rsidRDefault="00C01D7C" w:rsidP="00C01D7C">
      <w:pPr>
        <w:snapToGrid w:val="0"/>
        <w:spacing w:after="0" w:line="240" w:lineRule="auto"/>
        <w:ind w:left="720" w:right="709"/>
        <w:jc w:val="both"/>
        <w:rPr>
          <w:rFonts w:ascii="Verdana" w:eastAsia="Century Gothic" w:hAnsi="Verdana" w:cs="Century Gothic"/>
          <w:sz w:val="21"/>
          <w:szCs w:val="21"/>
          <w:lang w:val="es-ES"/>
        </w:rPr>
      </w:pPr>
      <w:r w:rsidRPr="00C01D7C">
        <w:rPr>
          <w:rFonts w:ascii="Verdana" w:eastAsia="Century Gothic" w:hAnsi="Verdana" w:cs="Century Gothic"/>
          <w:sz w:val="21"/>
          <w:szCs w:val="21"/>
          <w:lang w:val="es-ES"/>
        </w:rPr>
        <w:lastRenderedPageBreak/>
        <w:t>2.</w:t>
      </w:r>
      <w:r w:rsidRPr="00C01D7C">
        <w:rPr>
          <w:rFonts w:ascii="Verdana" w:eastAsia="Century Gothic" w:hAnsi="Verdana" w:cs="Century Gothic"/>
          <w:sz w:val="21"/>
          <w:szCs w:val="21"/>
          <w:lang w:val="es-ES"/>
        </w:rPr>
        <w:tab/>
        <w:t xml:space="preserve"> No se asigna puntaje. El integrante XX aporta formato 8 - Vinculación de personas en condición de discapacidad suscrito con una fecha posterior a la fecha de radicación de su oferta. No se asigna puntaje de conformidad con lo establecido en el Concepto C-302 de 2020 emitido por Colombia Compra Eficiente. </w:t>
      </w:r>
      <w:proofErr w:type="gramStart"/>
      <w:r w:rsidRPr="00C01D7C">
        <w:rPr>
          <w:rFonts w:ascii="Verdana" w:eastAsia="Century Gothic" w:hAnsi="Verdana" w:cs="Century Gothic"/>
          <w:sz w:val="21"/>
          <w:szCs w:val="21"/>
          <w:lang w:val="es-ES"/>
        </w:rPr>
        <w:t>ES CIERTO O NO QUE EL DOCUMENTO SUSCRITO A UNA FECHA DIFERENTE AL CIERRE NO ES VALIDO PARA OTORGAR PUNTAJE?</w:t>
      </w:r>
      <w:proofErr w:type="gramEnd"/>
    </w:p>
    <w:p w14:paraId="77500F0F" w14:textId="77777777" w:rsidR="00C01D7C" w:rsidRPr="00C01D7C" w:rsidRDefault="00C01D7C" w:rsidP="00C01D7C">
      <w:pPr>
        <w:snapToGrid w:val="0"/>
        <w:spacing w:after="0" w:line="240" w:lineRule="auto"/>
        <w:ind w:left="720" w:right="709"/>
        <w:jc w:val="both"/>
        <w:rPr>
          <w:rFonts w:ascii="Verdana" w:eastAsia="Century Gothic" w:hAnsi="Verdana" w:cs="Century Gothic"/>
          <w:sz w:val="21"/>
          <w:szCs w:val="21"/>
          <w:lang w:val="es-ES"/>
        </w:rPr>
      </w:pPr>
    </w:p>
    <w:p w14:paraId="555EA8FC" w14:textId="77777777" w:rsidR="00C01D7C" w:rsidRPr="00C01D7C" w:rsidRDefault="00C01D7C" w:rsidP="00C01D7C">
      <w:pPr>
        <w:snapToGrid w:val="0"/>
        <w:spacing w:after="0" w:line="240" w:lineRule="auto"/>
        <w:ind w:left="720" w:right="709"/>
        <w:jc w:val="both"/>
        <w:rPr>
          <w:rFonts w:ascii="Verdana" w:eastAsia="Century Gothic" w:hAnsi="Verdana" w:cs="Century Gothic"/>
          <w:sz w:val="21"/>
          <w:szCs w:val="21"/>
          <w:lang w:val="es-ES"/>
        </w:rPr>
      </w:pPr>
      <w:r w:rsidRPr="00C01D7C">
        <w:rPr>
          <w:rFonts w:ascii="Verdana" w:eastAsia="Century Gothic" w:hAnsi="Verdana" w:cs="Century Gothic"/>
          <w:sz w:val="21"/>
          <w:szCs w:val="21"/>
          <w:lang w:val="es-ES"/>
        </w:rPr>
        <w:t>3.</w:t>
      </w:r>
      <w:r w:rsidRPr="00C01D7C">
        <w:rPr>
          <w:rFonts w:ascii="Verdana" w:eastAsia="Century Gothic" w:hAnsi="Verdana" w:cs="Century Gothic"/>
          <w:sz w:val="21"/>
          <w:szCs w:val="21"/>
          <w:lang w:val="es-ES"/>
        </w:rPr>
        <w:tab/>
        <w:t>No se asigna puntaje. El integrante XX aporta Formato 13A - Acreditación de Emprendimiento y Empresa de Mujeres suscrito con una fecha posterior a la fecha de radicación de su oferta identificando una inconsistencia temporal entre la fecha registrada y la fecha de emisión y radicación Acredita la calidad de emprendimientos y empresas de mujeres con domicilio en el territorio nacional de conformidad con lo previsto en el artículo del documento”.</w:t>
      </w:r>
    </w:p>
    <w:p w14:paraId="2B85B32D" w14:textId="77777777" w:rsidR="00C01D7C" w:rsidRPr="00C01D7C" w:rsidRDefault="00C01D7C" w:rsidP="00C01D7C">
      <w:pPr>
        <w:snapToGrid w:val="0"/>
        <w:spacing w:after="0" w:line="240" w:lineRule="auto"/>
        <w:ind w:left="720" w:right="709"/>
        <w:jc w:val="both"/>
        <w:rPr>
          <w:rFonts w:ascii="Verdana" w:eastAsia="Century Gothic" w:hAnsi="Verdana" w:cs="Century Gothic"/>
          <w:lang w:val="es-ES_tradnl"/>
        </w:rPr>
      </w:pPr>
    </w:p>
    <w:p w14:paraId="433780D7" w14:textId="77777777" w:rsidR="00C01D7C" w:rsidRPr="00C01D7C" w:rsidRDefault="00C01D7C" w:rsidP="00C01D7C">
      <w:pPr>
        <w:spacing w:after="120" w:line="276" w:lineRule="auto"/>
        <w:ind w:firstLine="709"/>
        <w:jc w:val="both"/>
        <w:rPr>
          <w:rFonts w:ascii="Verdana" w:eastAsia="Calibri" w:hAnsi="Verdana" w:cs="Arial"/>
          <w:lang w:val="es-ES" w:eastAsia="es-ES"/>
        </w:rPr>
      </w:pPr>
      <w:r w:rsidRPr="00C01D7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01D7C">
        <w:rPr>
          <w:rFonts w:ascii="Calibri" w:eastAsia="Calibri" w:hAnsi="Calibri" w:cs="Times New Roman"/>
        </w:rPr>
        <w:tab/>
      </w:r>
    </w:p>
    <w:p w14:paraId="43569A7D" w14:textId="77777777" w:rsidR="00C01D7C" w:rsidRPr="00C01D7C" w:rsidRDefault="00C01D7C" w:rsidP="00C01D7C">
      <w:pPr>
        <w:snapToGrid w:val="0"/>
        <w:spacing w:after="0" w:line="276" w:lineRule="auto"/>
        <w:ind w:firstLine="709"/>
        <w:jc w:val="both"/>
        <w:rPr>
          <w:rFonts w:ascii="Verdana" w:eastAsia="Calibri" w:hAnsi="Verdana" w:cs="Arial"/>
          <w:lang w:val="es-ES_tradnl" w:eastAsia="es-ES"/>
        </w:rPr>
      </w:pPr>
      <w:r w:rsidRPr="00C01D7C">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C7173D7" w14:textId="77777777" w:rsidR="00C01D7C" w:rsidRPr="00C01D7C" w:rsidRDefault="00C01D7C" w:rsidP="00C01D7C">
      <w:pPr>
        <w:snapToGrid w:val="0"/>
        <w:spacing w:after="0" w:line="276" w:lineRule="auto"/>
        <w:ind w:firstLine="709"/>
        <w:jc w:val="both"/>
        <w:rPr>
          <w:rFonts w:ascii="Verdana" w:eastAsia="Calibri" w:hAnsi="Verdana" w:cs="Arial"/>
          <w:lang w:val="es-ES_tradnl" w:eastAsia="es-ES"/>
        </w:rPr>
      </w:pPr>
    </w:p>
    <w:p w14:paraId="5775F56B" w14:textId="77777777" w:rsidR="00C01D7C" w:rsidRPr="00C01D7C" w:rsidRDefault="00C01D7C" w:rsidP="00C01D7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01D7C">
        <w:rPr>
          <w:rFonts w:ascii="Verdana" w:eastAsia="Century Gothic" w:hAnsi="Verdana" w:cs="Century Gothic"/>
          <w:b/>
          <w:bCs/>
          <w:lang w:val="es-ES_tradnl"/>
        </w:rPr>
        <w:t>Problema planteado:</w:t>
      </w:r>
    </w:p>
    <w:p w14:paraId="6354DC84" w14:textId="77777777" w:rsidR="00C01D7C" w:rsidRPr="00C01D7C" w:rsidRDefault="00C01D7C" w:rsidP="00C01D7C">
      <w:pPr>
        <w:tabs>
          <w:tab w:val="left" w:pos="426"/>
        </w:tabs>
        <w:snapToGrid w:val="0"/>
        <w:spacing w:after="0" w:line="276" w:lineRule="auto"/>
        <w:jc w:val="both"/>
        <w:rPr>
          <w:rFonts w:ascii="Verdana" w:eastAsia="Century Gothic" w:hAnsi="Verdana" w:cs="Century Gothic"/>
          <w:lang w:val="es-ES_tradnl"/>
        </w:rPr>
      </w:pPr>
    </w:p>
    <w:p w14:paraId="499C9B34" w14:textId="77777777" w:rsidR="00C01D7C" w:rsidRPr="00C01D7C" w:rsidRDefault="00C01D7C" w:rsidP="00C01D7C">
      <w:pPr>
        <w:snapToGrid w:val="0"/>
        <w:spacing w:after="0" w:line="276" w:lineRule="auto"/>
        <w:jc w:val="both"/>
        <w:rPr>
          <w:rFonts w:ascii="Verdana" w:eastAsia="Century Gothic" w:hAnsi="Verdana" w:cs="Century Gothic"/>
          <w:lang w:val="es-ES"/>
        </w:rPr>
      </w:pPr>
      <w:r w:rsidRPr="00C01D7C">
        <w:rPr>
          <w:rFonts w:ascii="Verdana" w:eastAsia="Century Gothic" w:hAnsi="Verdana" w:cs="Century Gothic"/>
          <w:lang w:val="es-ES"/>
        </w:rPr>
        <w:t xml:space="preserve">De acuerdo con el contenido de su solicitud, esta Agencia resolverá el siguiente problema jurídico: ¿cuál es el alcance de la regla de </w:t>
      </w:r>
      <w:proofErr w:type="spellStart"/>
      <w:r w:rsidRPr="00C01D7C">
        <w:rPr>
          <w:rFonts w:ascii="Verdana" w:eastAsia="Century Gothic" w:hAnsi="Verdana" w:cs="Century Gothic"/>
          <w:lang w:val="es-ES"/>
        </w:rPr>
        <w:t>subsanabilidad</w:t>
      </w:r>
      <w:proofErr w:type="spellEnd"/>
      <w:r w:rsidRPr="00C01D7C">
        <w:rPr>
          <w:rFonts w:ascii="Verdana" w:eastAsia="Century Gothic" w:hAnsi="Verdana" w:cs="Century Gothic"/>
          <w:lang w:val="es-ES"/>
        </w:rPr>
        <w:t>, teniendo en cuenta los formatos de los documentos tipo?</w:t>
      </w:r>
    </w:p>
    <w:p w14:paraId="17FAFF45" w14:textId="77777777" w:rsidR="00C01D7C" w:rsidRPr="00C01D7C" w:rsidRDefault="00C01D7C" w:rsidP="00C01D7C">
      <w:pPr>
        <w:snapToGrid w:val="0"/>
        <w:spacing w:after="0" w:line="276" w:lineRule="auto"/>
        <w:jc w:val="both"/>
        <w:rPr>
          <w:rFonts w:ascii="Verdana" w:eastAsia="Century Gothic" w:hAnsi="Verdana" w:cs="Century Gothic"/>
          <w:lang w:val="es-ES_tradnl"/>
        </w:rPr>
      </w:pPr>
    </w:p>
    <w:p w14:paraId="131FCAB1" w14:textId="77777777" w:rsidR="00C01D7C" w:rsidRPr="00C01D7C" w:rsidRDefault="00C01D7C" w:rsidP="00C01D7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01D7C">
        <w:rPr>
          <w:rFonts w:ascii="Verdana" w:eastAsia="Century Gothic" w:hAnsi="Verdana" w:cs="Century Gothic"/>
          <w:b/>
          <w:bCs/>
          <w:lang w:val="es-ES_tradnl"/>
        </w:rPr>
        <w:t>Respuesta:</w:t>
      </w:r>
    </w:p>
    <w:p w14:paraId="45AFACDC" w14:textId="77777777" w:rsidR="00C01D7C" w:rsidRPr="00C01D7C" w:rsidRDefault="00C01D7C" w:rsidP="00C01D7C">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01D7C" w:rsidRPr="00C01D7C" w14:paraId="4CB56219" w14:textId="77777777" w:rsidTr="008C2018">
        <w:tc>
          <w:tcPr>
            <w:tcW w:w="8828" w:type="dxa"/>
          </w:tcPr>
          <w:p w14:paraId="7F87557A" w14:textId="77777777" w:rsidR="00C01D7C" w:rsidRPr="00C01D7C" w:rsidRDefault="00C01D7C" w:rsidP="00C01D7C">
            <w:pPr>
              <w:spacing w:after="120" w:line="276" w:lineRule="auto"/>
              <w:jc w:val="both"/>
              <w:rPr>
                <w:rFonts w:ascii="Verdana" w:eastAsia="Times New Roman" w:hAnsi="Verdana" w:cs="Arial"/>
                <w:lang w:val="es-ES" w:eastAsia="es-ES"/>
              </w:rPr>
            </w:pPr>
            <w:r w:rsidRPr="00C01D7C">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5E71632"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Así las cosas,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0D4B2CCC"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En virtud de lo anterior, corresponderá a la entidad establecer si es procedente la subsanación en un caso particular, teniendo presente que no puede recaer sobre aspectos que otorgan puntaje o la acreditación de circunstancias ocurridas con posterioridad al cierre del proceso de selección.</w:t>
            </w:r>
          </w:p>
          <w:p w14:paraId="18023D2B" w14:textId="77777777" w:rsidR="00C01D7C" w:rsidRPr="00C01D7C" w:rsidRDefault="00C01D7C" w:rsidP="00C01D7C">
            <w:pPr>
              <w:spacing w:after="120" w:line="276" w:lineRule="auto"/>
              <w:ind w:firstLine="709"/>
              <w:jc w:val="both"/>
              <w:rPr>
                <w:rFonts w:ascii="Verdana" w:eastAsia="Calibri" w:hAnsi="Verdana" w:cs="Arial"/>
                <w:color w:val="000000"/>
              </w:rPr>
            </w:pPr>
            <w:r w:rsidRPr="00C01D7C">
              <w:rPr>
                <w:rFonts w:ascii="Verdana" w:eastAsia="Calibri" w:hAnsi="Verdana" w:cs="Arial"/>
                <w:color w:val="000000"/>
              </w:rPr>
              <w:t xml:space="preserve">En los procesos de contratación adelantados con pliegos tipo, la subsanación de las ofertas y, en este caso, de los formatos, es procedente, siempre y cuando atiendan a los criterios temporales y materiales expuestos en este concepto, conforme a la Ley 1882 de 2018. Sin embargo, este es una análisis que deberá realizar la entidad contratante en cada caso concreto, dependiendo de la situación que amerite subsanación. </w:t>
            </w:r>
          </w:p>
          <w:p w14:paraId="28F150CC" w14:textId="77777777" w:rsidR="00C01D7C" w:rsidRPr="00C01D7C" w:rsidRDefault="00C01D7C" w:rsidP="00C01D7C">
            <w:pPr>
              <w:spacing w:line="276" w:lineRule="auto"/>
              <w:ind w:firstLine="709"/>
              <w:jc w:val="both"/>
              <w:rPr>
                <w:rFonts w:ascii="Verdana" w:eastAsia="Calibri" w:hAnsi="Verdana" w:cs="Arial"/>
                <w:color w:val="000000"/>
              </w:rPr>
            </w:pPr>
            <w:r w:rsidRPr="00C01D7C">
              <w:rPr>
                <w:rFonts w:ascii="Verdana" w:eastAsia="Calibri" w:hAnsi="Verdana" w:cs="Arial"/>
                <w:color w:val="000000"/>
              </w:rPr>
              <w:t xml:space="preserve">Finalmente, es importante señalar que esta Agencia no es competente para emitir pronunciamientos particulares respecto a procesos de selección específicos, ni frente a las evaluaciones que realicen las entidades estatales en desarrollo de dichos procesos. En este sentido, corresponde a cada entidad contratante adoptar las decisiones que estime procedentes, claro está, atendiendo al marco normativo vigente y a lo señalado en los documentos tipo, cuando estos resulten aplicables. </w:t>
            </w:r>
          </w:p>
        </w:tc>
      </w:tr>
    </w:tbl>
    <w:p w14:paraId="65813791" w14:textId="77777777" w:rsidR="00C01D7C" w:rsidRPr="00C01D7C" w:rsidRDefault="00C01D7C" w:rsidP="00C01D7C">
      <w:pPr>
        <w:tabs>
          <w:tab w:val="left" w:pos="142"/>
          <w:tab w:val="left" w:pos="284"/>
        </w:tabs>
        <w:snapToGrid w:val="0"/>
        <w:spacing w:after="0" w:line="276" w:lineRule="auto"/>
        <w:jc w:val="both"/>
        <w:rPr>
          <w:rFonts w:ascii="Verdana" w:eastAsia="Century Gothic" w:hAnsi="Verdana" w:cs="Century Gothic"/>
          <w:b/>
          <w:bCs/>
          <w:lang w:val="es-ES_tradnl"/>
        </w:rPr>
      </w:pPr>
    </w:p>
    <w:p w14:paraId="293D9164" w14:textId="77777777" w:rsidR="00C01D7C" w:rsidRPr="00C01D7C" w:rsidRDefault="00C01D7C" w:rsidP="00C01D7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01D7C">
        <w:rPr>
          <w:rFonts w:ascii="Verdana" w:eastAsia="Century Gothic" w:hAnsi="Verdana" w:cs="Century Gothic"/>
          <w:b/>
          <w:bCs/>
          <w:lang w:val="es-ES_tradnl"/>
        </w:rPr>
        <w:lastRenderedPageBreak/>
        <w:t>Razones de la respuesta:</w:t>
      </w:r>
    </w:p>
    <w:p w14:paraId="39FF6964" w14:textId="77777777" w:rsidR="00C01D7C" w:rsidRPr="00C01D7C" w:rsidRDefault="00C01D7C" w:rsidP="00C01D7C">
      <w:pPr>
        <w:snapToGrid w:val="0"/>
        <w:spacing w:after="0" w:line="276" w:lineRule="auto"/>
        <w:jc w:val="both"/>
        <w:rPr>
          <w:rFonts w:ascii="Verdana" w:eastAsia="Calibri" w:hAnsi="Verdana" w:cs="Arial"/>
          <w:lang w:val="es-ES_tradnl"/>
        </w:rPr>
      </w:pPr>
    </w:p>
    <w:p w14:paraId="167B06C9" w14:textId="77777777" w:rsidR="00C01D7C" w:rsidRPr="00C01D7C" w:rsidRDefault="00C01D7C" w:rsidP="00C01D7C">
      <w:pPr>
        <w:snapToGrid w:val="0"/>
        <w:spacing w:after="0" w:line="276" w:lineRule="auto"/>
        <w:jc w:val="both"/>
        <w:rPr>
          <w:rFonts w:ascii="Verdana" w:eastAsia="Calibri" w:hAnsi="Verdana" w:cs="Arial"/>
          <w:lang w:val="es-ES_tradnl"/>
        </w:rPr>
      </w:pPr>
      <w:r w:rsidRPr="00C01D7C">
        <w:rPr>
          <w:rFonts w:ascii="Verdana" w:eastAsia="Calibri" w:hAnsi="Verdana" w:cs="Arial"/>
          <w:lang w:val="es-ES_tradnl"/>
        </w:rPr>
        <w:t xml:space="preserve">Lo anterior se sustenta en las siguientes consideraciones: </w:t>
      </w:r>
    </w:p>
    <w:p w14:paraId="08BFFE40" w14:textId="77777777" w:rsidR="00C01D7C" w:rsidRPr="00C01D7C" w:rsidRDefault="00C01D7C" w:rsidP="00C01D7C">
      <w:pPr>
        <w:snapToGrid w:val="0"/>
        <w:spacing w:after="0" w:line="276" w:lineRule="auto"/>
        <w:jc w:val="both"/>
        <w:rPr>
          <w:rFonts w:ascii="Verdana" w:eastAsia="Calibri" w:hAnsi="Verdana" w:cs="Arial"/>
          <w:lang w:val="es-ES_tradnl"/>
        </w:rPr>
      </w:pPr>
    </w:p>
    <w:p w14:paraId="48899DB0" w14:textId="77777777" w:rsidR="00C01D7C" w:rsidRPr="00C01D7C" w:rsidRDefault="00C01D7C" w:rsidP="00C01D7C">
      <w:pPr>
        <w:spacing w:after="120" w:line="276" w:lineRule="auto"/>
        <w:jc w:val="both"/>
        <w:rPr>
          <w:rFonts w:ascii="Verdana" w:eastAsia="Times New Roman" w:hAnsi="Verdana" w:cs="Arial"/>
          <w:lang w:val="es-ES_tradnl" w:eastAsia="es-ES_tradnl"/>
        </w:rPr>
      </w:pPr>
      <w:r w:rsidRPr="00C01D7C">
        <w:rPr>
          <w:rFonts w:ascii="Verdana" w:eastAsia="Calibri" w:hAnsi="Verdana" w:cs="Arial"/>
          <w:noProof/>
          <w:lang w:val="es-ES_tradnl"/>
        </w:rPr>
        <w:t>L</w:t>
      </w:r>
      <w:r w:rsidRPr="00C01D7C">
        <w:rPr>
          <w:rFonts w:ascii="Verdana" w:eastAsia="Times New Roman" w:hAnsi="Verdana" w:cs="Arial"/>
        </w:rPr>
        <w:t xml:space="preserve">a regla de la </w:t>
      </w:r>
      <w:proofErr w:type="spellStart"/>
      <w:r w:rsidRPr="00C01D7C">
        <w:rPr>
          <w:rFonts w:ascii="Verdana" w:eastAsia="Times New Roman" w:hAnsi="Verdana" w:cs="Arial"/>
        </w:rPr>
        <w:t>subsanabilidad</w:t>
      </w:r>
      <w:proofErr w:type="spellEnd"/>
      <w:r w:rsidRPr="00C01D7C">
        <w:rPr>
          <w:rFonts w:ascii="Verdana" w:eastAsia="Times New Roman" w:hAnsi="Verdana" w:cs="Arial"/>
        </w:rPr>
        <w:t xml:space="preserve"> de las ofertas en los procedimientos de selección</w:t>
      </w:r>
      <w:r w:rsidRPr="00C01D7C">
        <w:rPr>
          <w:rFonts w:ascii="Verdana" w:eastAsia="Times New Roman" w:hAnsi="Verdana" w:cs="Arial"/>
          <w:b/>
          <w:bCs/>
        </w:rPr>
        <w:t xml:space="preserve"> </w:t>
      </w:r>
      <w:r w:rsidRPr="00C01D7C">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62734ADE" w14:textId="77777777" w:rsidR="00C01D7C" w:rsidRPr="00C01D7C" w:rsidRDefault="00C01D7C" w:rsidP="00C01D7C">
      <w:pPr>
        <w:spacing w:after="120" w:line="276" w:lineRule="auto"/>
        <w:ind w:firstLine="708"/>
        <w:jc w:val="both"/>
        <w:rPr>
          <w:rFonts w:ascii="Verdana" w:eastAsia="Times New Roman" w:hAnsi="Verdana" w:cs="Arial"/>
          <w:lang w:val="es-ES" w:eastAsia="es-ES"/>
        </w:rPr>
      </w:pPr>
      <w:r w:rsidRPr="00C01D7C">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Pr="00C01D7C">
        <w:rPr>
          <w:rFonts w:ascii="Verdana" w:eastAsia="Times New Roman" w:hAnsi="Verdana" w:cs="Arial"/>
          <w:vertAlign w:val="superscript"/>
          <w:lang w:val="es-ES_tradnl" w:eastAsia="es-ES_tradnl"/>
        </w:rPr>
        <w:footnoteReference w:id="1"/>
      </w:r>
      <w:r w:rsidRPr="00C01D7C">
        <w:rPr>
          <w:rFonts w:ascii="Verdana" w:eastAsia="Times New Roman" w:hAnsi="Verdana" w:cs="Arial"/>
          <w:lang w:val="es-ES_tradnl" w:eastAsia="es-ES_tradnl"/>
        </w:rPr>
        <w:t xml:space="preserve"> o el C-447 del 19 de septiembre de 2024</w:t>
      </w:r>
      <w:r w:rsidRPr="00C01D7C">
        <w:rPr>
          <w:rFonts w:ascii="Verdana" w:eastAsia="Times New Roman" w:hAnsi="Verdana" w:cs="Arial"/>
          <w:vertAlign w:val="superscript"/>
          <w:lang w:val="es-ES_tradnl" w:eastAsia="es-ES_tradnl"/>
        </w:rPr>
        <w:footnoteReference w:id="2"/>
      </w:r>
      <w:r w:rsidRPr="00C01D7C">
        <w:rPr>
          <w:rFonts w:ascii="Verdana" w:eastAsia="Times New Roman" w:hAnsi="Verdana" w:cs="Arial"/>
          <w:lang w:val="es-ES_tradnl" w:eastAsia="es-ES_tradnl"/>
        </w:rPr>
        <w:t>, los cuales, en el evento en que tenga interés, podrá consultar en los enlaces de la nota al pie. Sin embargo</w:t>
      </w:r>
      <w:r w:rsidRPr="00C01D7C">
        <w:rPr>
          <w:rFonts w:ascii="Verdana" w:eastAsia="Times New Roman" w:hAnsi="Verdana" w:cs="Arial"/>
          <w:lang w:val="es-ES" w:eastAsia="es-ES"/>
        </w:rPr>
        <w:t xml:space="preserve">, a continuación, se hará referencia particularmente al último momento, que refleja la postura vigente en torno a la </w:t>
      </w:r>
      <w:proofErr w:type="spellStart"/>
      <w:r w:rsidRPr="00C01D7C">
        <w:rPr>
          <w:rFonts w:ascii="Verdana" w:eastAsia="Times New Roman" w:hAnsi="Verdana" w:cs="Arial"/>
          <w:lang w:val="es-ES" w:eastAsia="es-ES"/>
        </w:rPr>
        <w:t>subsanabilidad</w:t>
      </w:r>
      <w:proofErr w:type="spellEnd"/>
      <w:r w:rsidRPr="00C01D7C">
        <w:rPr>
          <w:rFonts w:ascii="Verdana" w:eastAsia="Times New Roman" w:hAnsi="Verdana" w:cs="Arial"/>
          <w:lang w:val="es-ES" w:eastAsia="es-ES"/>
        </w:rPr>
        <w:t>.</w:t>
      </w:r>
    </w:p>
    <w:p w14:paraId="7C0C0FFF" w14:textId="77777777" w:rsidR="00C01D7C" w:rsidRPr="00C01D7C" w:rsidRDefault="00C01D7C" w:rsidP="00C01D7C">
      <w:pPr>
        <w:tabs>
          <w:tab w:val="left" w:pos="284"/>
        </w:tabs>
        <w:spacing w:after="0" w:line="276" w:lineRule="auto"/>
        <w:ind w:firstLine="709"/>
        <w:jc w:val="both"/>
        <w:rPr>
          <w:rFonts w:ascii="Verdana" w:eastAsia="Times New Roman" w:hAnsi="Verdana" w:cs="Arial"/>
          <w:lang w:val="es-ES_tradnl" w:eastAsia="es-CO"/>
        </w:rPr>
      </w:pPr>
      <w:r w:rsidRPr="00C01D7C">
        <w:rPr>
          <w:rFonts w:ascii="Verdana" w:eastAsia="Times New Roman" w:hAnsi="Verdana" w:cs="Arial"/>
          <w:lang w:val="es-ES_tradnl" w:eastAsia="es-ES_tradnl"/>
        </w:rPr>
        <w:t xml:space="preserve">La expedición de la Ley </w:t>
      </w:r>
      <w:r w:rsidRPr="00C01D7C">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75CE924F" w14:textId="77777777" w:rsidR="00C01D7C" w:rsidRPr="00C01D7C" w:rsidRDefault="00C01D7C" w:rsidP="00C01D7C">
      <w:pPr>
        <w:spacing w:after="0" w:line="276" w:lineRule="auto"/>
        <w:ind w:left="709" w:right="709"/>
        <w:jc w:val="both"/>
        <w:rPr>
          <w:rFonts w:ascii="Verdana" w:eastAsia="Times New Roman" w:hAnsi="Verdana" w:cs="Arial"/>
          <w:lang w:val="es-ES_tradnl" w:eastAsia="es-CO"/>
        </w:rPr>
      </w:pPr>
    </w:p>
    <w:p w14:paraId="10CFD777" w14:textId="77777777" w:rsidR="00C01D7C" w:rsidRPr="00C01D7C" w:rsidRDefault="00C01D7C" w:rsidP="00C01D7C">
      <w:pPr>
        <w:spacing w:after="0" w:line="240" w:lineRule="auto"/>
        <w:ind w:left="709" w:right="709"/>
        <w:jc w:val="both"/>
        <w:rPr>
          <w:rFonts w:ascii="Verdana" w:eastAsia="Times New Roman" w:hAnsi="Verdana" w:cs="Arial"/>
          <w:sz w:val="21"/>
          <w:szCs w:val="21"/>
          <w:lang w:val="es-ES_tradnl" w:eastAsia="es-CO"/>
        </w:rPr>
      </w:pPr>
      <w:r w:rsidRPr="00C01D7C">
        <w:rPr>
          <w:rFonts w:ascii="Verdana" w:eastAsia="Times New Roman" w:hAnsi="Verdana" w:cs="Arial"/>
          <w:sz w:val="21"/>
          <w:szCs w:val="21"/>
          <w:lang w:val="es-ES_tradnl" w:eastAsia="es-CO"/>
        </w:rPr>
        <w:t xml:space="preserve">“Artículo 5°. De la selección objetiva. </w:t>
      </w:r>
    </w:p>
    <w:p w14:paraId="10899FF7" w14:textId="77777777" w:rsidR="00C01D7C" w:rsidRPr="00C01D7C" w:rsidRDefault="00C01D7C" w:rsidP="00C01D7C">
      <w:pPr>
        <w:spacing w:after="0" w:line="240" w:lineRule="auto"/>
        <w:ind w:left="709" w:right="709"/>
        <w:jc w:val="both"/>
        <w:textAlignment w:val="baseline"/>
        <w:rPr>
          <w:rFonts w:ascii="Verdana" w:eastAsia="Times New Roman" w:hAnsi="Verdana" w:cs="Arial"/>
          <w:color w:val="000000"/>
          <w:sz w:val="21"/>
          <w:szCs w:val="21"/>
          <w:lang w:val="es-ES" w:eastAsia="es-CO"/>
        </w:rPr>
      </w:pPr>
    </w:p>
    <w:p w14:paraId="0ACA6EE5"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w:t>
      </w:r>
      <w:r w:rsidRPr="00C01D7C">
        <w:rPr>
          <w:rFonts w:ascii="Verdana" w:eastAsia="Times New Roman" w:hAnsi="Verdana" w:cs="Arial"/>
          <w:color w:val="000000"/>
          <w:sz w:val="21"/>
          <w:szCs w:val="21"/>
          <w:lang w:val="es-ES" w:eastAsia="es-CO"/>
        </w:rPr>
        <w:lastRenderedPageBreak/>
        <w:t xml:space="preserve">de condiciones o sus </w:t>
      </w:r>
      <w:proofErr w:type="gramStart"/>
      <w:r w:rsidRPr="00C01D7C">
        <w:rPr>
          <w:rFonts w:ascii="Verdana" w:eastAsia="Times New Roman" w:hAnsi="Verdana" w:cs="Arial"/>
          <w:color w:val="000000"/>
          <w:sz w:val="21"/>
          <w:szCs w:val="21"/>
          <w:lang w:val="es-ES" w:eastAsia="es-CO"/>
        </w:rPr>
        <w:t>equivalentes,</w:t>
      </w:r>
      <w:proofErr w:type="gramEnd"/>
      <w:r w:rsidRPr="00C01D7C">
        <w:rPr>
          <w:rFonts w:ascii="Verdana" w:eastAsia="Times New Roman" w:hAnsi="Verdana" w:cs="Arial"/>
          <w:color w:val="000000"/>
          <w:sz w:val="21"/>
          <w:szCs w:val="21"/>
          <w:lang w:val="es-ES" w:eastAsia="es-CO"/>
        </w:rPr>
        <w:t xml:space="preserve"> tendrán en cuenta los siguientes criterios:</w:t>
      </w:r>
      <w:r w:rsidRPr="00C01D7C">
        <w:rPr>
          <w:rFonts w:ascii="Verdana" w:eastAsia="Times New Roman" w:hAnsi="Verdana" w:cs="Arial"/>
          <w:color w:val="000000"/>
          <w:sz w:val="21"/>
          <w:szCs w:val="21"/>
          <w:lang w:eastAsia="es-CO"/>
        </w:rPr>
        <w:t> </w:t>
      </w:r>
    </w:p>
    <w:p w14:paraId="130D0875"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760A2BFE"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C01D7C">
        <w:rPr>
          <w:rFonts w:ascii="Verdana" w:eastAsia="Times New Roman" w:hAnsi="Verdana" w:cs="Arial"/>
          <w:color w:val="000000"/>
          <w:sz w:val="21"/>
          <w:szCs w:val="21"/>
          <w:lang w:eastAsia="es-CO"/>
        </w:rPr>
        <w:t> </w:t>
      </w:r>
    </w:p>
    <w:p w14:paraId="7F46B804"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570E5E53"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C01D7C">
        <w:rPr>
          <w:rFonts w:ascii="Verdana" w:eastAsia="Times New Roman" w:hAnsi="Verdana" w:cs="Arial"/>
          <w:color w:val="000000"/>
          <w:sz w:val="21"/>
          <w:szCs w:val="21"/>
          <w:lang w:eastAsia="es-CO"/>
        </w:rPr>
        <w:t> </w:t>
      </w:r>
    </w:p>
    <w:p w14:paraId="5D456D25"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p>
    <w:p w14:paraId="4B78F9DC"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En los procesos de selección en los que se tenga en cuenta los factores técnicos y económicos, la oferta más ventajosa será la que resulte de aplicar alguna de las siguientes alternativas:</w:t>
      </w:r>
      <w:r w:rsidRPr="00C01D7C">
        <w:rPr>
          <w:rFonts w:ascii="Verdana" w:eastAsia="Times New Roman" w:hAnsi="Verdana" w:cs="Arial"/>
          <w:color w:val="000000"/>
          <w:sz w:val="21"/>
          <w:szCs w:val="21"/>
          <w:lang w:eastAsia="es-CO"/>
        </w:rPr>
        <w:t> </w:t>
      </w:r>
    </w:p>
    <w:p w14:paraId="7B164974"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p>
    <w:p w14:paraId="210CF3DC"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a) La ponderación de los elementos de calidad y precio soportados en puntajes o fórmulas señaladas en el pliego de condiciones; o</w:t>
      </w:r>
    </w:p>
    <w:p w14:paraId="08F3F732"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p>
    <w:p w14:paraId="125EFC74"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b) La ponderación de los elementos de calidad y precio que representen la mejor relación de costo-beneficio para la entidad.</w:t>
      </w:r>
      <w:r w:rsidRPr="00C01D7C">
        <w:rPr>
          <w:rFonts w:ascii="Verdana" w:eastAsia="Times New Roman" w:hAnsi="Verdana" w:cs="Arial"/>
          <w:color w:val="000000"/>
          <w:sz w:val="21"/>
          <w:szCs w:val="21"/>
          <w:lang w:eastAsia="es-CO"/>
        </w:rPr>
        <w:t> </w:t>
      </w:r>
    </w:p>
    <w:p w14:paraId="6107A5F6"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p>
    <w:p w14:paraId="7D76B491"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C01D7C">
        <w:rPr>
          <w:rFonts w:ascii="Verdana" w:eastAsia="Times New Roman" w:hAnsi="Verdana" w:cs="Arial"/>
          <w:color w:val="000000"/>
          <w:sz w:val="21"/>
          <w:szCs w:val="21"/>
          <w:lang w:eastAsia="es-CO"/>
        </w:rPr>
        <w:t> </w:t>
      </w:r>
    </w:p>
    <w:p w14:paraId="4DFA1596"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0E1AFF86"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lastRenderedPageBreak/>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C01D7C">
        <w:rPr>
          <w:rFonts w:ascii="Verdana" w:eastAsia="Times New Roman" w:hAnsi="Verdana" w:cs="Arial"/>
          <w:color w:val="000000"/>
          <w:sz w:val="21"/>
          <w:szCs w:val="21"/>
          <w:lang w:eastAsia="es-CO"/>
        </w:rPr>
        <w:t> </w:t>
      </w:r>
    </w:p>
    <w:p w14:paraId="3CC97DF7"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18F22EBF"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En ningún caso se podrá incluir el precio, como factor de escogencia para la selección de consultores.</w:t>
      </w:r>
      <w:r w:rsidRPr="00C01D7C">
        <w:rPr>
          <w:rFonts w:ascii="Verdana" w:eastAsia="Times New Roman" w:hAnsi="Verdana" w:cs="Arial"/>
          <w:color w:val="000000"/>
          <w:sz w:val="21"/>
          <w:szCs w:val="21"/>
          <w:lang w:eastAsia="es-CO"/>
        </w:rPr>
        <w:t> </w:t>
      </w:r>
    </w:p>
    <w:p w14:paraId="1DF809D7"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4F9E3646"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u w:val="single"/>
          <w:lang w:val="es-ES" w:eastAsia="es-CO"/>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C01D7C">
        <w:rPr>
          <w:rFonts w:ascii="Verdana" w:eastAsia="Times New Roman" w:hAnsi="Verdana" w:cs="Arial"/>
          <w:color w:val="000000"/>
          <w:sz w:val="21"/>
          <w:szCs w:val="21"/>
          <w:u w:val="single"/>
          <w:lang w:val="es-ES" w:eastAsia="es-CO"/>
        </w:rPr>
        <w:t>puntaje,</w:t>
      </w:r>
      <w:proofErr w:type="gramEnd"/>
      <w:r w:rsidRPr="00C01D7C">
        <w:rPr>
          <w:rFonts w:ascii="Verdana" w:eastAsia="Times New Roman" w:hAnsi="Verdana" w:cs="Arial"/>
          <w:color w:val="000000"/>
          <w:sz w:val="21"/>
          <w:szCs w:val="21"/>
          <w:u w:val="single"/>
          <w:lang w:val="es-ES" w:eastAsia="es-CO"/>
        </w:rPr>
        <w:t xml:space="preserve"> deberán ser solicitados por las entidades estatales y deberán ser entregados por los proponentes hasta el término de traslado del informe de evaluación que corresponda a cada modalidad de selección</w:t>
      </w:r>
      <w:r w:rsidRPr="00C01D7C">
        <w:rPr>
          <w:rFonts w:ascii="Verdana" w:eastAsia="Times New Roman" w:hAnsi="Verdana" w:cs="Arial"/>
          <w:color w:val="000000"/>
          <w:sz w:val="21"/>
          <w:szCs w:val="21"/>
          <w:lang w:val="es-ES" w:eastAsia="es-CO"/>
        </w:rPr>
        <w:t xml:space="preserve">, salvo lo dispuesto para el proceso de Mínima cuantía y para el proceso de selección a través del sistema de subasta. </w:t>
      </w:r>
      <w:r w:rsidRPr="00C01D7C">
        <w:rPr>
          <w:rFonts w:ascii="Verdana" w:eastAsia="Times New Roman" w:hAnsi="Verdana" w:cs="Arial"/>
          <w:color w:val="000000"/>
          <w:sz w:val="21"/>
          <w:szCs w:val="21"/>
          <w:u w:val="single"/>
          <w:lang w:val="es-ES" w:eastAsia="es-CO"/>
        </w:rPr>
        <w:t>Serán rechazadas las ofertas de aquellos proponentes que no suministren la información y la documentación solicitada por la entidad estatal hasta el plazo anteriormente señalado.</w:t>
      </w:r>
      <w:r w:rsidRPr="00C01D7C">
        <w:rPr>
          <w:rFonts w:ascii="Verdana" w:eastAsia="Times New Roman" w:hAnsi="Verdana" w:cs="Arial"/>
          <w:color w:val="000000"/>
          <w:sz w:val="21"/>
          <w:szCs w:val="21"/>
          <w:u w:val="single"/>
          <w:lang w:eastAsia="es-CO"/>
        </w:rPr>
        <w:t> </w:t>
      </w:r>
    </w:p>
    <w:p w14:paraId="03950BFA"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07F9228E"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u w:val="single"/>
          <w:lang w:val="es-ES" w:eastAsia="es-CO"/>
        </w:rPr>
        <w:t>Durante el término otorgado para subsanar las ofertas, los proponentes no podrán acreditar circunstancias ocurridas con posterioridad al cierre del proceso.</w:t>
      </w:r>
      <w:r w:rsidRPr="00C01D7C">
        <w:rPr>
          <w:rFonts w:ascii="Verdana" w:eastAsia="Times New Roman" w:hAnsi="Verdana" w:cs="Arial"/>
          <w:color w:val="000000"/>
          <w:sz w:val="21"/>
          <w:szCs w:val="21"/>
          <w:lang w:eastAsia="es-CO"/>
        </w:rPr>
        <w:t> </w:t>
      </w:r>
    </w:p>
    <w:p w14:paraId="7BAF65EB"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12E5DB64"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PARÁGRAFO 2o. Las certificaciones de sistemas de gestión de calidad no serán objeto de calificación, ni podrán establecerse como documento habilitante para participar en licitaciones o concursos.</w:t>
      </w:r>
      <w:r w:rsidRPr="00C01D7C">
        <w:rPr>
          <w:rFonts w:ascii="Verdana" w:eastAsia="Times New Roman" w:hAnsi="Verdana" w:cs="Arial"/>
          <w:color w:val="000000"/>
          <w:sz w:val="21"/>
          <w:szCs w:val="21"/>
          <w:lang w:eastAsia="es-CO"/>
        </w:rPr>
        <w:t> </w:t>
      </w:r>
    </w:p>
    <w:p w14:paraId="171E37EA"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7D53C267"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u w:val="single"/>
          <w:lang w:eastAsia="es-CO"/>
        </w:rPr>
      </w:pPr>
      <w:r w:rsidRPr="00C01D7C">
        <w:rPr>
          <w:rFonts w:ascii="Verdana" w:eastAsia="Times New Roman" w:hAnsi="Verdana" w:cs="Arial"/>
          <w:color w:val="000000"/>
          <w:sz w:val="21"/>
          <w:szCs w:val="21"/>
          <w:u w:val="single"/>
          <w:lang w:val="es-ES" w:eastAsia="es-CO"/>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C01D7C">
        <w:rPr>
          <w:rFonts w:ascii="Verdana" w:eastAsia="Times New Roman" w:hAnsi="Verdana" w:cs="Arial"/>
          <w:color w:val="000000"/>
          <w:sz w:val="21"/>
          <w:szCs w:val="21"/>
          <w:u w:val="single"/>
          <w:lang w:val="es-ES" w:eastAsia="es-CO"/>
        </w:rPr>
        <w:t>la misma</w:t>
      </w:r>
      <w:proofErr w:type="gramEnd"/>
      <w:r w:rsidRPr="00C01D7C">
        <w:rPr>
          <w:rFonts w:ascii="Verdana" w:eastAsia="Times New Roman" w:hAnsi="Verdana" w:cs="Arial"/>
          <w:color w:val="000000"/>
          <w:sz w:val="21"/>
          <w:szCs w:val="21"/>
          <w:u w:val="single"/>
          <w:lang w:val="es-ES" w:eastAsia="es-CO"/>
        </w:rPr>
        <w:t>.</w:t>
      </w:r>
      <w:r w:rsidRPr="00C01D7C">
        <w:rPr>
          <w:rFonts w:ascii="Verdana" w:eastAsia="Times New Roman" w:hAnsi="Verdana" w:cs="Arial"/>
          <w:color w:val="000000"/>
          <w:sz w:val="21"/>
          <w:szCs w:val="21"/>
          <w:u w:val="single"/>
          <w:lang w:eastAsia="es-CO"/>
        </w:rPr>
        <w:t> </w:t>
      </w:r>
    </w:p>
    <w:p w14:paraId="1155E4AE"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2732930C"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C01D7C">
        <w:rPr>
          <w:rFonts w:ascii="Verdana" w:eastAsia="Times New Roman" w:hAnsi="Verdana" w:cs="Arial"/>
          <w:color w:val="000000"/>
          <w:sz w:val="21"/>
          <w:szCs w:val="21"/>
          <w:lang w:eastAsia="es-CO"/>
        </w:rPr>
        <w:t> </w:t>
      </w:r>
    </w:p>
    <w:p w14:paraId="5A3FF0CD"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eastAsia="es-CO"/>
        </w:rPr>
        <w:t> </w:t>
      </w:r>
    </w:p>
    <w:p w14:paraId="6205C036" w14:textId="77777777" w:rsidR="00C01D7C" w:rsidRPr="00C01D7C" w:rsidRDefault="00C01D7C" w:rsidP="00C01D7C">
      <w:pPr>
        <w:spacing w:after="0" w:line="240" w:lineRule="auto"/>
        <w:ind w:left="709" w:right="709"/>
        <w:jc w:val="both"/>
        <w:textAlignment w:val="baseline"/>
        <w:rPr>
          <w:rFonts w:ascii="Verdana" w:eastAsia="Times New Roman" w:hAnsi="Verdana" w:cs="Segoe UI"/>
          <w:sz w:val="21"/>
          <w:szCs w:val="21"/>
          <w:lang w:eastAsia="es-CO"/>
        </w:rPr>
      </w:pPr>
      <w:r w:rsidRPr="00C01D7C">
        <w:rPr>
          <w:rFonts w:ascii="Verdana" w:eastAsia="Times New Roman" w:hAnsi="Verdana" w:cs="Arial"/>
          <w:color w:val="000000"/>
          <w:sz w:val="21"/>
          <w:szCs w:val="21"/>
          <w:lang w:val="es-ES" w:eastAsia="es-CO"/>
        </w:rPr>
        <w:lastRenderedPageBreak/>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11ABCC5C" w14:textId="77777777" w:rsidR="00C01D7C" w:rsidRPr="00C01D7C" w:rsidRDefault="00C01D7C" w:rsidP="00C01D7C">
      <w:pPr>
        <w:spacing w:after="0" w:line="276" w:lineRule="auto"/>
        <w:ind w:left="709" w:right="709"/>
        <w:jc w:val="both"/>
        <w:rPr>
          <w:rFonts w:ascii="Verdana" w:eastAsia="Times New Roman" w:hAnsi="Verdana" w:cs="Arial"/>
          <w:lang w:eastAsia="es-CO"/>
        </w:rPr>
      </w:pPr>
    </w:p>
    <w:p w14:paraId="06CB98C0"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C01D7C">
        <w:rPr>
          <w:rFonts w:ascii="Verdana" w:eastAsia="Times New Roman" w:hAnsi="Verdana" w:cs="Arial"/>
          <w:lang w:val="es-ES" w:eastAsia="es-ES"/>
        </w:rPr>
        <w:t>ii</w:t>
      </w:r>
      <w:proofErr w:type="spellEnd"/>
      <w:r w:rsidRPr="00C01D7C">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C01D7C">
        <w:rPr>
          <w:rFonts w:ascii="Verdana" w:eastAsia="Times New Roman" w:hAnsi="Verdana" w:cs="Arial"/>
          <w:lang w:val="es-ES" w:eastAsia="es-ES"/>
        </w:rPr>
        <w:t>iii</w:t>
      </w:r>
      <w:proofErr w:type="spellEnd"/>
      <w:r w:rsidRPr="00C01D7C">
        <w:rPr>
          <w:rFonts w:ascii="Verdana" w:eastAsia="Times New Roman" w:hAnsi="Verdana" w:cs="Arial"/>
          <w:lang w:val="es-ES" w:eastAsia="es-ES"/>
        </w:rPr>
        <w:t xml:space="preserve">) introduce modificaciones en relación con algunos aspectos que se analizarán a continuación. </w:t>
      </w:r>
    </w:p>
    <w:p w14:paraId="4BAFC17C" w14:textId="77777777" w:rsidR="00C01D7C" w:rsidRPr="00C01D7C" w:rsidRDefault="00C01D7C" w:rsidP="00C01D7C">
      <w:pPr>
        <w:spacing w:after="120" w:line="276" w:lineRule="auto"/>
        <w:ind w:right="51" w:firstLine="709"/>
        <w:jc w:val="both"/>
        <w:rPr>
          <w:rFonts w:ascii="Verdana" w:eastAsia="Times New Roman" w:hAnsi="Verdana" w:cs="Arial"/>
          <w:lang w:val="es-ES_tradnl" w:eastAsia="es-ES_tradnl"/>
        </w:rPr>
      </w:pPr>
      <w:r w:rsidRPr="00C01D7C">
        <w:rPr>
          <w:rFonts w:ascii="Verdana" w:eastAsia="Times New Roman" w:hAnsi="Verdana" w:cs="Arial"/>
          <w:i/>
          <w:iCs/>
          <w:lang w:val="es-ES_tradnl" w:eastAsia="es-ES_tradnl"/>
        </w:rPr>
        <w:t xml:space="preserve">La primera modificación </w:t>
      </w:r>
      <w:r w:rsidRPr="00C01D7C">
        <w:rPr>
          <w:rFonts w:ascii="Verdana" w:eastAsia="Times New Roman"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C01D7C">
        <w:rPr>
          <w:rFonts w:ascii="Verdana" w:eastAsia="Times New Roman" w:hAnsi="Verdana" w:cs="Arial"/>
          <w:vertAlign w:val="superscript"/>
          <w:lang w:val="es-ES_tradnl" w:eastAsia="es-ES_tradnl"/>
        </w:rPr>
        <w:footnoteReference w:id="3"/>
      </w:r>
      <w:r w:rsidRPr="00C01D7C">
        <w:rPr>
          <w:rFonts w:ascii="Verdana" w:eastAsia="Times New Roman" w:hAnsi="Verdana" w:cs="Arial"/>
          <w:lang w:val="es-ES_tradnl" w:eastAsia="es-ES_tradnl"/>
        </w:rPr>
        <w:t>.</w:t>
      </w:r>
    </w:p>
    <w:p w14:paraId="309E93AE"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00C01D7C">
        <w:rPr>
          <w:rFonts w:ascii="Verdana" w:eastAsia="Times New Roman" w:hAnsi="Verdana" w:cs="Arial"/>
          <w:lang w:val="es-ES" w:eastAsia="es-ES"/>
        </w:rPr>
        <w:t>obstante</w:t>
      </w:r>
      <w:proofErr w:type="gramEnd"/>
      <w:r w:rsidRPr="00C01D7C">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C01D7C">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C01D7C">
        <w:rPr>
          <w:rFonts w:ascii="Verdana" w:eastAsia="Times New Roman" w:hAnsi="Verdana" w:cs="Arial"/>
          <w:lang w:val="es-ES" w:eastAsia="es-ES"/>
        </w:rPr>
        <w:t xml:space="preserve"> </w:t>
      </w:r>
    </w:p>
    <w:p w14:paraId="4E9447B0"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w:t>
      </w:r>
      <w:r w:rsidRPr="00C01D7C">
        <w:rPr>
          <w:rFonts w:ascii="Verdana" w:eastAsia="Times New Roman" w:hAnsi="Verdana" w:cs="Arial"/>
          <w:lang w:val="es-ES" w:eastAsia="es-ES"/>
        </w:rPr>
        <w:lastRenderedPageBreak/>
        <w:t xml:space="preserve">los procesos de selección, en lo que a la </w:t>
      </w:r>
      <w:proofErr w:type="spellStart"/>
      <w:r w:rsidRPr="00C01D7C">
        <w:rPr>
          <w:rFonts w:ascii="Verdana" w:eastAsia="Times New Roman" w:hAnsi="Verdana" w:cs="Arial"/>
          <w:lang w:val="es-ES" w:eastAsia="es-ES"/>
        </w:rPr>
        <w:t>subsanabilidad</w:t>
      </w:r>
      <w:proofErr w:type="spellEnd"/>
      <w:r w:rsidRPr="00C01D7C">
        <w:rPr>
          <w:rFonts w:ascii="Verdana" w:eastAsia="Times New Roman" w:hAnsi="Verdana" w:cs="Arial"/>
          <w:lang w:val="es-ES" w:eastAsia="es-ES"/>
        </w:rPr>
        <w:t xml:space="preserve"> de las ofertas se refiere. </w:t>
      </w:r>
      <w:r w:rsidRPr="00C01D7C">
        <w:rPr>
          <w:rFonts w:ascii="Verdana" w:eastAsia="Times New Roman" w:hAnsi="Verdana" w:cs="Arial"/>
          <w:i/>
          <w:iCs/>
          <w:lang w:val="es-ES" w:eastAsia="es-ES"/>
        </w:rPr>
        <w:t>Primera</w:t>
      </w:r>
      <w:r w:rsidRPr="00C01D7C">
        <w:rPr>
          <w:rFonts w:ascii="Verdana" w:eastAsia="Times New Roman" w:hAnsi="Verdana"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C01D7C">
        <w:rPr>
          <w:rFonts w:ascii="Verdana" w:eastAsia="Times New Roman" w:hAnsi="Verdana" w:cs="Arial"/>
          <w:i/>
          <w:iCs/>
          <w:lang w:val="es-ES" w:eastAsia="es-ES"/>
        </w:rPr>
        <w:t>Segunda</w:t>
      </w:r>
      <w:r w:rsidRPr="00C01D7C">
        <w:rPr>
          <w:rFonts w:ascii="Verdana" w:eastAsia="Times New Roman" w:hAnsi="Verdana" w:cs="Arial"/>
          <w:lang w:val="es-ES" w:eastAsia="es-ES"/>
        </w:rPr>
        <w:t xml:space="preserve">, que el término del traslado del informe de evaluación es el </w:t>
      </w:r>
      <w:r w:rsidRPr="00C01D7C">
        <w:rPr>
          <w:rFonts w:ascii="Verdana" w:eastAsia="Times New Roman" w:hAnsi="Verdana" w:cs="Arial"/>
          <w:i/>
          <w:lang w:val="es-ES" w:eastAsia="es-ES"/>
        </w:rPr>
        <w:t>límite</w:t>
      </w:r>
      <w:r w:rsidRPr="00C01D7C">
        <w:rPr>
          <w:rFonts w:ascii="Verdana" w:eastAsia="Times New Roman" w:hAnsi="Verdana" w:cs="Arial"/>
          <w:lang w:val="es-ES" w:eastAsia="es-ES"/>
        </w:rPr>
        <w:t xml:space="preserve"> para la subsanación de ofertas, pero no el único momento para hacerlo. </w:t>
      </w:r>
    </w:p>
    <w:p w14:paraId="298EFDBC" w14:textId="77777777" w:rsidR="00C01D7C" w:rsidRPr="00C01D7C" w:rsidRDefault="00C01D7C" w:rsidP="00C01D7C">
      <w:pPr>
        <w:spacing w:after="120" w:line="276" w:lineRule="auto"/>
        <w:ind w:firstLine="709"/>
        <w:jc w:val="both"/>
        <w:rPr>
          <w:rFonts w:ascii="Verdana" w:eastAsia="Times New Roman" w:hAnsi="Verdana" w:cs="Arial"/>
          <w:lang w:val="es-ES_tradnl" w:eastAsia="es-ES_tradnl"/>
        </w:rPr>
      </w:pPr>
      <w:r w:rsidRPr="00C01D7C">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14:paraId="6DA8E41E" w14:textId="77777777" w:rsidR="00C01D7C" w:rsidRPr="00C01D7C" w:rsidRDefault="00C01D7C" w:rsidP="00C01D7C">
      <w:pPr>
        <w:spacing w:after="120" w:line="276" w:lineRule="auto"/>
        <w:ind w:firstLine="709"/>
        <w:jc w:val="both"/>
        <w:rPr>
          <w:rFonts w:ascii="Verdana" w:eastAsia="Times New Roman" w:hAnsi="Verdana" w:cs="Arial"/>
          <w:lang w:val="es-ES_tradnl" w:eastAsia="es-ES_tradnl"/>
        </w:rPr>
      </w:pPr>
      <w:r w:rsidRPr="00C01D7C">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03445667"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6FB35880" w14:textId="77777777" w:rsidR="00C01D7C" w:rsidRPr="00C01D7C" w:rsidRDefault="00C01D7C" w:rsidP="00C01D7C">
      <w:pPr>
        <w:spacing w:after="120" w:line="276" w:lineRule="auto"/>
        <w:ind w:firstLine="709"/>
        <w:jc w:val="both"/>
        <w:rPr>
          <w:rFonts w:ascii="Verdana" w:eastAsia="Times New Roman" w:hAnsi="Verdana" w:cs="Arial"/>
          <w:lang w:val="es-ES_tradnl" w:eastAsia="es-ES_tradnl"/>
        </w:rPr>
      </w:pPr>
      <w:r w:rsidRPr="00C01D7C">
        <w:rPr>
          <w:rFonts w:ascii="Verdana" w:eastAsia="Times New Roman" w:hAnsi="Verdana" w:cs="Arial"/>
          <w:lang w:val="es-ES_tradnl" w:eastAsia="es-ES_tradnl"/>
        </w:rPr>
        <w:t xml:space="preserve">El </w:t>
      </w:r>
      <w:r w:rsidRPr="00C01D7C">
        <w:rPr>
          <w:rFonts w:ascii="Verdana" w:eastAsia="Times New Roman" w:hAnsi="Verdana" w:cs="Arial"/>
          <w:i/>
          <w:iCs/>
          <w:lang w:val="es-ES_tradnl" w:eastAsia="es-ES_tradnl"/>
        </w:rPr>
        <w:t>segundo cambio</w:t>
      </w:r>
      <w:r w:rsidRPr="00C01D7C">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C01D7C">
        <w:rPr>
          <w:rFonts w:ascii="Verdana" w:eastAsia="Times New Roman" w:hAnsi="Verdana" w:cs="Arial"/>
          <w:i/>
          <w:iCs/>
          <w:lang w:val="es-ES_tradnl" w:eastAsia="es-ES_tradnl"/>
        </w:rPr>
        <w:t xml:space="preserve">“los proponentes no podrán acreditar circunstancias ocurridas con posterioridad </w:t>
      </w:r>
      <w:r w:rsidRPr="00C01D7C">
        <w:rPr>
          <w:rFonts w:ascii="Verdana" w:eastAsia="Times New Roman" w:hAnsi="Verdana" w:cs="Arial"/>
          <w:i/>
          <w:iCs/>
          <w:lang w:val="es-ES_tradnl" w:eastAsia="es-ES_tradnl"/>
        </w:rPr>
        <w:lastRenderedPageBreak/>
        <w:t>al cierre del proceso”.</w:t>
      </w:r>
      <w:r w:rsidRPr="00C01D7C">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4E571159"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C01D7C">
        <w:rPr>
          <w:rFonts w:ascii="Verdana" w:eastAsia="Times New Roman" w:hAnsi="Verdana" w:cs="Arial"/>
          <w:vertAlign w:val="superscript"/>
          <w:lang w:val="es-ES" w:eastAsia="es-ES"/>
        </w:rPr>
        <w:footnoteReference w:id="4"/>
      </w:r>
      <w:r w:rsidRPr="00C01D7C">
        <w:rPr>
          <w:rFonts w:ascii="Verdana" w:eastAsia="Times New Roman" w:hAnsi="Verdana" w:cs="Arial"/>
          <w:lang w:val="es-ES" w:eastAsia="es-ES"/>
        </w:rPr>
        <w:t>.</w:t>
      </w:r>
    </w:p>
    <w:p w14:paraId="7D4174FF"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3324988"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lastRenderedPageBreak/>
        <w:t xml:space="preserve">Un mejor entendimiento del significado de la expresión </w:t>
      </w:r>
      <w:r w:rsidRPr="00C01D7C">
        <w:rPr>
          <w:rFonts w:ascii="Verdana" w:eastAsia="Times New Roman" w:hAnsi="Verdana" w:cs="Arial"/>
          <w:i/>
          <w:lang w:val="es-ES" w:eastAsia="es-ES"/>
        </w:rPr>
        <w:t>“circunstancias ocurridas con posterioridad al cierre del proceso”</w:t>
      </w:r>
      <w:r w:rsidRPr="00C01D7C">
        <w:rPr>
          <w:rFonts w:ascii="Verdana" w:eastAsia="Times New Roman" w:hAnsi="Verdana" w:cs="Arial"/>
          <w:lang w:val="es-ES" w:eastAsia="es-ES"/>
        </w:rPr>
        <w:t xml:space="preserve"> implica distinguir entre la prueba de un hecho y el hecho mismo. En el caso de la </w:t>
      </w:r>
      <w:proofErr w:type="spellStart"/>
      <w:r w:rsidRPr="00C01D7C">
        <w:rPr>
          <w:rFonts w:ascii="Verdana" w:eastAsia="Times New Roman" w:hAnsi="Verdana" w:cs="Arial"/>
          <w:lang w:val="es-ES" w:eastAsia="es-ES"/>
        </w:rPr>
        <w:t>subsanabilidad</w:t>
      </w:r>
      <w:proofErr w:type="spellEnd"/>
      <w:r w:rsidRPr="00C01D7C">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C01D7C">
        <w:rPr>
          <w:rFonts w:ascii="Verdana" w:eastAsia="Times New Roman" w:hAnsi="Verdana" w:cs="Arial"/>
          <w:vertAlign w:val="superscript"/>
          <w:lang w:val="es-ES" w:eastAsia="es-ES"/>
        </w:rPr>
        <w:footnoteReference w:id="5"/>
      </w:r>
      <w:r w:rsidRPr="00C01D7C">
        <w:rPr>
          <w:rFonts w:ascii="Verdana" w:eastAsia="Times New Roman" w:hAnsi="Verdana" w:cs="Arial"/>
          <w:lang w:val="es-ES" w:eastAsia="es-ES"/>
        </w:rPr>
        <w:t xml:space="preserve">. </w:t>
      </w:r>
    </w:p>
    <w:p w14:paraId="4B3BB9A7" w14:textId="77777777" w:rsidR="00C01D7C" w:rsidRPr="00C01D7C" w:rsidRDefault="00C01D7C" w:rsidP="00C01D7C">
      <w:pPr>
        <w:spacing w:after="120" w:line="276" w:lineRule="auto"/>
        <w:ind w:firstLine="709"/>
        <w:jc w:val="both"/>
        <w:rPr>
          <w:rFonts w:ascii="Verdana" w:eastAsia="Times New Roman" w:hAnsi="Verdana" w:cs="Arial"/>
          <w:lang w:val="es-ES" w:eastAsia="es-ES"/>
        </w:rPr>
      </w:pPr>
      <w:r w:rsidRPr="00C01D7C">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C01D7C">
        <w:rPr>
          <w:rFonts w:ascii="Verdana" w:eastAsia="Times New Roman" w:hAnsi="Verdana" w:cs="Arial"/>
          <w:lang w:val="es-ES" w:eastAsia="es-ES"/>
        </w:rPr>
        <w:t>esta</w:t>
      </w:r>
      <w:proofErr w:type="spellEnd"/>
      <w:r w:rsidRPr="00C01D7C">
        <w:rPr>
          <w:rFonts w:ascii="Verdana" w:eastAsia="Times New Roman" w:hAnsi="Verdana" w:cs="Arial"/>
          <w:lang w:val="es-ES" w:eastAsia="es-ES"/>
        </w:rPr>
        <w:t xml:space="preserve"> en firme para dicho momento; </w:t>
      </w:r>
      <w:proofErr w:type="spellStart"/>
      <w:r w:rsidRPr="00C01D7C">
        <w:rPr>
          <w:rFonts w:ascii="Verdana" w:eastAsia="Times New Roman" w:hAnsi="Verdana" w:cs="Arial"/>
          <w:lang w:val="es-ES" w:eastAsia="es-ES"/>
        </w:rPr>
        <w:t>ii</w:t>
      </w:r>
      <w:proofErr w:type="spellEnd"/>
      <w:r w:rsidRPr="00C01D7C">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01D7C">
        <w:rPr>
          <w:rFonts w:ascii="Verdana" w:eastAsia="Times New Roman" w:hAnsi="Verdana" w:cs="Arial"/>
          <w:vertAlign w:val="superscript"/>
          <w:lang w:val="es-ES" w:eastAsia="es-ES"/>
        </w:rPr>
        <w:footnoteReference w:id="6"/>
      </w:r>
      <w:r w:rsidRPr="00C01D7C">
        <w:rPr>
          <w:rFonts w:ascii="Verdana" w:eastAsia="Times New Roman" w:hAnsi="Verdana" w:cs="Arial"/>
          <w:lang w:val="es-ES" w:eastAsia="es-ES"/>
        </w:rPr>
        <w:t xml:space="preserve">; </w:t>
      </w:r>
      <w:proofErr w:type="spellStart"/>
      <w:r w:rsidRPr="00C01D7C">
        <w:rPr>
          <w:rFonts w:ascii="Verdana" w:eastAsia="Times New Roman" w:hAnsi="Verdana" w:cs="Arial"/>
          <w:lang w:val="es-ES" w:eastAsia="es-ES"/>
        </w:rPr>
        <w:t>iii</w:t>
      </w:r>
      <w:proofErr w:type="spellEnd"/>
      <w:r w:rsidRPr="00C01D7C">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C01D7C">
        <w:rPr>
          <w:rFonts w:ascii="Verdana" w:eastAsia="Times New Roman" w:hAnsi="Verdana" w:cs="Arial"/>
          <w:vertAlign w:val="superscript"/>
          <w:lang w:val="es-ES" w:eastAsia="es-ES"/>
        </w:rPr>
        <w:footnoteReference w:id="7"/>
      </w:r>
      <w:r w:rsidRPr="00C01D7C">
        <w:rPr>
          <w:rFonts w:ascii="Verdana" w:eastAsia="Times New Roman" w:hAnsi="Verdana" w:cs="Arial"/>
          <w:lang w:val="es-ES" w:eastAsia="es-ES"/>
        </w:rPr>
        <w:t xml:space="preserve">; </w:t>
      </w:r>
      <w:proofErr w:type="spellStart"/>
      <w:r w:rsidRPr="00C01D7C">
        <w:rPr>
          <w:rFonts w:ascii="Verdana" w:eastAsia="Times New Roman" w:hAnsi="Verdana" w:cs="Arial"/>
          <w:lang w:val="es-ES" w:eastAsia="es-ES"/>
        </w:rPr>
        <w:t>iv</w:t>
      </w:r>
      <w:proofErr w:type="spellEnd"/>
      <w:r w:rsidRPr="00C01D7C">
        <w:rPr>
          <w:rFonts w:ascii="Verdana" w:eastAsia="Times New Roman" w:hAnsi="Verdana" w:cs="Arial"/>
          <w:lang w:val="es-ES" w:eastAsia="es-ES"/>
        </w:rPr>
        <w:t xml:space="preserve">) si </w:t>
      </w:r>
      <w:r w:rsidRPr="00C01D7C">
        <w:rPr>
          <w:rFonts w:ascii="Verdana" w:eastAsia="Times New Roman" w:hAnsi="Verdana" w:cs="Arial"/>
          <w:lang w:val="es-ES" w:eastAsia="es-ES"/>
        </w:rPr>
        <w:lastRenderedPageBreak/>
        <w:t xml:space="preserve">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4D4E0DF0" w14:textId="77777777" w:rsidR="00C01D7C" w:rsidRPr="00C01D7C" w:rsidRDefault="00C01D7C" w:rsidP="00C01D7C">
      <w:pPr>
        <w:spacing w:after="120" w:line="276" w:lineRule="auto"/>
        <w:ind w:firstLine="709"/>
        <w:jc w:val="both"/>
        <w:rPr>
          <w:rFonts w:ascii="Verdana" w:eastAsia="Times New Roman" w:hAnsi="Verdana" w:cs="Arial"/>
          <w:i/>
          <w:lang w:val="es-ES" w:eastAsia="es-ES"/>
        </w:rPr>
      </w:pPr>
      <w:r w:rsidRPr="00C01D7C">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C01D7C">
        <w:rPr>
          <w:rFonts w:ascii="Verdana" w:eastAsia="Times New Roman" w:hAnsi="Verdana" w:cs="Arial"/>
          <w:lang w:val="es-ES" w:eastAsia="es-ES"/>
        </w:rPr>
        <w:t>que</w:t>
      </w:r>
      <w:proofErr w:type="gramEnd"/>
      <w:r w:rsidRPr="00C01D7C">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01D7C">
        <w:rPr>
          <w:rFonts w:ascii="Verdana" w:eastAsia="Times New Roman" w:hAnsi="Verdana" w:cs="Arial"/>
          <w:vertAlign w:val="superscript"/>
          <w:lang w:val="es-ES" w:eastAsia="es-ES"/>
        </w:rPr>
        <w:footnoteReference w:id="8"/>
      </w:r>
      <w:r w:rsidRPr="00C01D7C">
        <w:rPr>
          <w:rFonts w:ascii="Verdana" w:eastAsia="Times New Roman" w:hAnsi="Verdana" w:cs="Arial"/>
          <w:lang w:val="es-ES" w:eastAsia="es-ES"/>
        </w:rPr>
        <w:t>.</w:t>
      </w:r>
    </w:p>
    <w:p w14:paraId="46799AF6" w14:textId="77777777" w:rsidR="00C01D7C" w:rsidRPr="00C01D7C" w:rsidRDefault="00C01D7C" w:rsidP="00C01D7C">
      <w:pPr>
        <w:spacing w:after="120" w:line="276" w:lineRule="auto"/>
        <w:ind w:firstLine="708"/>
        <w:jc w:val="both"/>
        <w:rPr>
          <w:rFonts w:ascii="Verdana" w:eastAsia="Calibri" w:hAnsi="Verdana" w:cs="Arial"/>
          <w:color w:val="000000"/>
        </w:rPr>
      </w:pPr>
      <w:r w:rsidRPr="00C01D7C">
        <w:rPr>
          <w:rFonts w:ascii="Verdana" w:eastAsia="Times New Roman" w:hAnsi="Verdana" w:cs="Arial"/>
          <w:iCs/>
          <w:lang w:val="es-ES" w:eastAsia="es-ES"/>
        </w:rPr>
        <w:t>Ahora bien, e</w:t>
      </w:r>
      <w:r w:rsidRPr="00C01D7C">
        <w:rPr>
          <w:rFonts w:ascii="Verdana" w:eastAsia="Calibri" w:hAnsi="Verdana" w:cs="Arial"/>
          <w:iCs/>
          <w:color w:val="000000"/>
          <w:lang w:val="es-ES"/>
        </w:rPr>
        <w:t>l</w:t>
      </w:r>
      <w:r w:rsidRPr="00C01D7C">
        <w:rPr>
          <w:rFonts w:ascii="Verdana" w:eastAsia="Calibri" w:hAnsi="Verdana" w:cs="Arial"/>
          <w:color w:val="000000"/>
          <w:lang w:val="es-ES"/>
        </w:rPr>
        <w:t xml:space="preserve"> parágrafo 3 del artículo 5 de la Ley 1882 de 2018 determinó, de manera expresa, que “la no entrega de la garantía de seriedad junto con la propuesta no será subsanable y será causal de rechazo de </w:t>
      </w:r>
      <w:proofErr w:type="gramStart"/>
      <w:r w:rsidRPr="00C01D7C">
        <w:rPr>
          <w:rFonts w:ascii="Verdana" w:eastAsia="Calibri" w:hAnsi="Verdana" w:cs="Arial"/>
          <w:color w:val="000000"/>
          <w:lang w:val="es-ES"/>
        </w:rPr>
        <w:t>la misma</w:t>
      </w:r>
      <w:proofErr w:type="gramEnd"/>
      <w:r w:rsidRPr="00C01D7C">
        <w:rPr>
          <w:rFonts w:ascii="Verdana" w:eastAsia="Calibri" w:hAnsi="Verdana" w:cs="Arial"/>
          <w:color w:val="000000"/>
          <w:lang w:val="es-ES"/>
        </w:rPr>
        <w:t>”, dejando claro que se trata de un documento de obligatoria presentación junto con la propuesta y que materializa los principios de seriedad e irrevocabilidad de la oferta.</w:t>
      </w:r>
      <w:r w:rsidRPr="00C01D7C">
        <w:rPr>
          <w:rFonts w:ascii="Verdana" w:eastAsia="Calibri" w:hAnsi="Verdana" w:cs="Arial"/>
          <w:color w:val="000000"/>
        </w:rPr>
        <w:t> </w:t>
      </w:r>
    </w:p>
    <w:p w14:paraId="423AA2FD" w14:textId="77777777" w:rsidR="00C01D7C" w:rsidRPr="00C01D7C" w:rsidRDefault="00C01D7C" w:rsidP="00C01D7C">
      <w:pPr>
        <w:spacing w:after="0" w:line="276" w:lineRule="auto"/>
        <w:ind w:firstLine="709"/>
        <w:jc w:val="both"/>
        <w:rPr>
          <w:rFonts w:ascii="Verdana" w:eastAsia="Calibri" w:hAnsi="Verdana" w:cs="Arial"/>
          <w:color w:val="000000"/>
        </w:rPr>
      </w:pPr>
      <w:r w:rsidRPr="00C01D7C">
        <w:rPr>
          <w:rFonts w:ascii="Verdana" w:eastAsia="Calibri" w:hAnsi="Verdana" w:cs="Arial"/>
          <w:color w:val="000000"/>
        </w:rPr>
        <w:t xml:space="preserve">Tratándose de los documentos tipo, el numeral 1.6 del documento base de infraestructura de transporte contempla las reglas de </w:t>
      </w:r>
      <w:proofErr w:type="spellStart"/>
      <w:r w:rsidRPr="00C01D7C">
        <w:rPr>
          <w:rFonts w:ascii="Verdana" w:eastAsia="Calibri" w:hAnsi="Verdana" w:cs="Arial"/>
          <w:color w:val="000000"/>
        </w:rPr>
        <w:t>subsanabilidad</w:t>
      </w:r>
      <w:proofErr w:type="spellEnd"/>
      <w:r w:rsidRPr="00C01D7C">
        <w:rPr>
          <w:rFonts w:ascii="Verdana" w:eastAsia="Calibri" w:hAnsi="Verdana" w:cs="Arial"/>
          <w:color w:val="000000"/>
        </w:rPr>
        <w:t xml:space="preserve"> de las ofertas, en los siguientes términos:</w:t>
      </w:r>
    </w:p>
    <w:p w14:paraId="5E8B92A9" w14:textId="77777777" w:rsidR="00C01D7C" w:rsidRPr="00C01D7C" w:rsidRDefault="00C01D7C" w:rsidP="00C01D7C">
      <w:pPr>
        <w:spacing w:after="120" w:line="276" w:lineRule="auto"/>
        <w:jc w:val="both"/>
        <w:rPr>
          <w:rFonts w:ascii="Verdana" w:eastAsia="Calibri" w:hAnsi="Verdana" w:cs="Arial"/>
          <w:color w:val="000000"/>
        </w:rPr>
      </w:pPr>
    </w:p>
    <w:p w14:paraId="2B863390" w14:textId="77777777" w:rsidR="00C01D7C" w:rsidRPr="00C01D7C" w:rsidRDefault="00C01D7C" w:rsidP="00C01D7C">
      <w:pPr>
        <w:spacing w:after="0" w:line="240" w:lineRule="auto"/>
        <w:ind w:left="709" w:right="709"/>
        <w:jc w:val="both"/>
        <w:rPr>
          <w:rFonts w:ascii="Verdana" w:eastAsia="Calibri" w:hAnsi="Verdana" w:cs="Arial"/>
          <w:color w:val="000000"/>
          <w:sz w:val="21"/>
          <w:szCs w:val="21"/>
        </w:rPr>
      </w:pPr>
      <w:r w:rsidRPr="00C01D7C">
        <w:rPr>
          <w:rFonts w:ascii="Verdana" w:eastAsia="Calibri" w:hAnsi="Verdana" w:cs="Arial"/>
          <w:color w:val="000000"/>
          <w:sz w:val="21"/>
          <w:szCs w:val="21"/>
        </w:rPr>
        <w:t>“En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w:t>
      </w:r>
    </w:p>
    <w:p w14:paraId="5674F0CE" w14:textId="77777777" w:rsidR="00C01D7C" w:rsidRPr="00C01D7C" w:rsidRDefault="00C01D7C" w:rsidP="00C01D7C">
      <w:pPr>
        <w:spacing w:after="0" w:line="240" w:lineRule="auto"/>
        <w:ind w:left="709" w:right="709"/>
        <w:jc w:val="both"/>
        <w:rPr>
          <w:rFonts w:ascii="Verdana" w:eastAsia="Calibri" w:hAnsi="Verdana" w:cs="Arial"/>
          <w:color w:val="000000"/>
          <w:sz w:val="21"/>
          <w:szCs w:val="21"/>
        </w:rPr>
      </w:pPr>
      <w:r w:rsidRPr="00C01D7C">
        <w:rPr>
          <w:rFonts w:ascii="Verdana" w:eastAsia="Calibri" w:hAnsi="Verdana" w:cs="Arial"/>
          <w:color w:val="000000"/>
          <w:sz w:val="21"/>
          <w:szCs w:val="21"/>
        </w:rPr>
        <w:t>[…]</w:t>
      </w:r>
    </w:p>
    <w:p w14:paraId="5F46F257" w14:textId="77777777" w:rsidR="00C01D7C" w:rsidRPr="00C01D7C" w:rsidRDefault="00C01D7C" w:rsidP="00C01D7C">
      <w:pPr>
        <w:spacing w:after="0" w:line="240" w:lineRule="auto"/>
        <w:ind w:left="709" w:right="709"/>
        <w:jc w:val="both"/>
        <w:rPr>
          <w:rFonts w:ascii="Verdana" w:eastAsia="Calibri" w:hAnsi="Verdana" w:cs="Arial"/>
          <w:color w:val="000000"/>
          <w:sz w:val="21"/>
          <w:szCs w:val="21"/>
        </w:rPr>
      </w:pPr>
      <w:r w:rsidRPr="00C01D7C">
        <w:rPr>
          <w:rFonts w:ascii="Verdana" w:eastAsia="Calibri" w:hAnsi="Verdana" w:cs="Arial"/>
          <w:color w:val="000000"/>
          <w:sz w:val="21"/>
          <w:szCs w:val="21"/>
        </w:rPr>
        <w:t>Todos aquellos requisitos de la oferta que afecten la asignación de puntaje, incluyendo los necesarios para acreditar requisitos de desempate, no son subsanables, por lo que los mismos deben ser aportados por los proponentes desde la presentación de la oferta”.</w:t>
      </w:r>
    </w:p>
    <w:p w14:paraId="3FCBD5D6" w14:textId="77777777" w:rsidR="00C01D7C" w:rsidRPr="00C01D7C" w:rsidRDefault="00C01D7C" w:rsidP="00C01D7C">
      <w:pPr>
        <w:spacing w:after="0" w:line="276" w:lineRule="auto"/>
        <w:ind w:left="709" w:right="709"/>
        <w:jc w:val="both"/>
        <w:rPr>
          <w:rFonts w:ascii="Verdana" w:eastAsia="Calibri" w:hAnsi="Verdana" w:cs="Arial"/>
          <w:color w:val="000000"/>
        </w:rPr>
      </w:pPr>
    </w:p>
    <w:p w14:paraId="09D7519B" w14:textId="77777777" w:rsidR="00C01D7C" w:rsidRPr="00C01D7C" w:rsidRDefault="00C01D7C" w:rsidP="00C01D7C">
      <w:pPr>
        <w:spacing w:after="120" w:line="276" w:lineRule="auto"/>
        <w:ind w:firstLine="709"/>
        <w:jc w:val="both"/>
        <w:rPr>
          <w:rFonts w:ascii="Verdana" w:eastAsia="Calibri" w:hAnsi="Verdana" w:cs="Arial"/>
          <w:color w:val="000000"/>
        </w:rPr>
      </w:pPr>
      <w:r w:rsidRPr="00C01D7C">
        <w:rPr>
          <w:rFonts w:ascii="Verdana" w:eastAsia="Calibri" w:hAnsi="Verdana" w:cs="Arial"/>
          <w:color w:val="000000"/>
        </w:rPr>
        <w:t xml:space="preserve">Como puede observarse, los documentos tipo se encuentran en plena consonancia con lo expuesto en el presente concepto, de acuerdo con las normas aquí referidas. Así, en los procesos de contratación adelantados con pliegos tipo, la subsanación de las ofertas y, en este caso, de los formatos, es procedente, siempre y cuando atiendan a los criterios temporales y materiales expuestos con anterioridad, conforme a la Ley 1882 de 2018. Sin embargo, este es una análisis que deberá realizar la entidad contratante en cada caso concreto, dependiendo de la situación que amerite subsanación. </w:t>
      </w:r>
    </w:p>
    <w:p w14:paraId="24625923" w14:textId="77777777" w:rsidR="00C01D7C" w:rsidRPr="00C01D7C" w:rsidRDefault="00C01D7C" w:rsidP="00C01D7C">
      <w:pPr>
        <w:spacing w:after="0" w:line="276" w:lineRule="auto"/>
        <w:ind w:firstLine="709"/>
        <w:jc w:val="both"/>
        <w:rPr>
          <w:rFonts w:ascii="Verdana" w:eastAsia="Calibri" w:hAnsi="Verdana" w:cs="Arial"/>
          <w:color w:val="000000"/>
        </w:rPr>
      </w:pPr>
      <w:r w:rsidRPr="00C01D7C">
        <w:rPr>
          <w:rFonts w:ascii="Verdana" w:eastAsia="Calibri" w:hAnsi="Verdana" w:cs="Arial"/>
          <w:color w:val="000000"/>
        </w:rPr>
        <w:t xml:space="preserve">Finalmente, es importante señalar que esta Agencia no es competente para emitir pronunciamientos particulares respecto a procesos de selección específicos, ni frente a las evaluaciones que realicen las entidades estatales en desarrollo de dichos procesos. En este sentido, corresponde a cada entidad contratante adoptar las decisiones que estime procedentes, claro está, atendiendo al marco normativo vigente y a lo señalado en los documentos tipo, cuando estos resulten aplicables. </w:t>
      </w:r>
    </w:p>
    <w:p w14:paraId="6C026589" w14:textId="77777777" w:rsidR="00C01D7C" w:rsidRPr="00C01D7C" w:rsidRDefault="00C01D7C" w:rsidP="00C01D7C">
      <w:pPr>
        <w:spacing w:after="0" w:line="276" w:lineRule="auto"/>
        <w:ind w:firstLine="709"/>
        <w:jc w:val="both"/>
        <w:rPr>
          <w:rFonts w:ascii="Verdana" w:eastAsia="Calibri" w:hAnsi="Verdana" w:cs="Arial"/>
          <w:color w:val="000000"/>
        </w:rPr>
      </w:pPr>
    </w:p>
    <w:p w14:paraId="32FE2019" w14:textId="77777777" w:rsidR="00C01D7C" w:rsidRPr="00C01D7C" w:rsidRDefault="00C01D7C" w:rsidP="00C01D7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01D7C">
        <w:rPr>
          <w:rFonts w:ascii="Verdana" w:eastAsia="Century Gothic" w:hAnsi="Verdana" w:cs="Century Gothic"/>
          <w:b/>
          <w:bCs/>
          <w:lang w:val="es-ES_tradnl"/>
        </w:rPr>
        <w:t>Referencias normativas, jurisprudenciales y otras fuentes:</w:t>
      </w:r>
    </w:p>
    <w:p w14:paraId="5A222524" w14:textId="77777777" w:rsidR="00C01D7C" w:rsidRPr="00C01D7C" w:rsidRDefault="00C01D7C" w:rsidP="00C01D7C">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01D7C" w:rsidRPr="00C01D7C" w14:paraId="2EC63070" w14:textId="77777777" w:rsidTr="008C2018">
        <w:trPr>
          <w:trHeight w:val="870"/>
        </w:trPr>
        <w:tc>
          <w:tcPr>
            <w:tcW w:w="8647" w:type="dxa"/>
          </w:tcPr>
          <w:p w14:paraId="6AF7A98C" w14:textId="77777777" w:rsidR="00C01D7C" w:rsidRPr="00C01D7C" w:rsidRDefault="00C01D7C" w:rsidP="00C01D7C">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C01D7C">
              <w:rPr>
                <w:rFonts w:ascii="Verdana" w:eastAsia="Calibri" w:hAnsi="Verdana" w:cs="Arial"/>
                <w:lang w:val="es-ES_tradnl"/>
              </w:rPr>
              <w:lastRenderedPageBreak/>
              <w:t>Ley 2022 de 2020, artículo 1.</w:t>
            </w:r>
          </w:p>
          <w:p w14:paraId="3A304709" w14:textId="77777777" w:rsidR="00C01D7C" w:rsidRPr="00C01D7C" w:rsidRDefault="00C01D7C" w:rsidP="00C01D7C">
            <w:pPr>
              <w:numPr>
                <w:ilvl w:val="0"/>
                <w:numId w:val="17"/>
              </w:numPr>
              <w:snapToGrid w:val="0"/>
              <w:spacing w:after="120" w:line="276" w:lineRule="auto"/>
              <w:jc w:val="both"/>
              <w:rPr>
                <w:rFonts w:ascii="Verdana" w:eastAsia="Calibri" w:hAnsi="Verdana" w:cs="Arial"/>
                <w:noProof/>
                <w:lang w:val="es-ES_tradnl"/>
              </w:rPr>
            </w:pPr>
            <w:r w:rsidRPr="00C01D7C">
              <w:rPr>
                <w:rFonts w:ascii="Verdana" w:eastAsia="Calibri" w:hAnsi="Verdana" w:cs="Arial"/>
                <w:noProof/>
                <w:lang w:val="es-ES_tradnl"/>
              </w:rPr>
              <w:t xml:space="preserve">Ley 1150 de 2007, artículo 5. Modificado por la Ley 1882 de 2018, parágrafos 1, 3 y 4. </w:t>
            </w:r>
          </w:p>
          <w:p w14:paraId="692202C0" w14:textId="77777777" w:rsidR="00C01D7C" w:rsidRPr="00C01D7C" w:rsidRDefault="00C01D7C" w:rsidP="00C01D7C">
            <w:pPr>
              <w:numPr>
                <w:ilvl w:val="0"/>
                <w:numId w:val="17"/>
              </w:numPr>
              <w:snapToGrid w:val="0"/>
              <w:spacing w:after="120" w:line="276" w:lineRule="auto"/>
              <w:jc w:val="both"/>
              <w:rPr>
                <w:rFonts w:ascii="Verdana" w:eastAsia="Aptos" w:hAnsi="Verdana" w:cs="Arial"/>
                <w:lang w:val="es-ES"/>
              </w:rPr>
            </w:pPr>
            <w:r w:rsidRPr="00C01D7C">
              <w:rPr>
                <w:rFonts w:ascii="Verdana" w:eastAsia="Calibri" w:hAnsi="Verdana" w:cs="Arial"/>
                <w:noProof/>
                <w:lang w:val="es-ES_tradnl"/>
              </w:rPr>
              <w:t>Consejo de Estado. Sala de Consulta y Servicio Civil. Concepto del 20 de mayo de 2010. Exp. 1992. C.P. Enrique José Arboleda Perdomo.</w:t>
            </w:r>
          </w:p>
          <w:p w14:paraId="58D081D3" w14:textId="77777777" w:rsidR="00C01D7C" w:rsidRPr="00C01D7C" w:rsidRDefault="00C01D7C" w:rsidP="00C01D7C">
            <w:pPr>
              <w:numPr>
                <w:ilvl w:val="0"/>
                <w:numId w:val="17"/>
              </w:numPr>
              <w:snapToGrid w:val="0"/>
              <w:spacing w:after="120" w:line="276" w:lineRule="auto"/>
              <w:jc w:val="both"/>
              <w:rPr>
                <w:rFonts w:ascii="Verdana" w:eastAsia="Calibri" w:hAnsi="Verdana" w:cs="Arial"/>
                <w:noProof/>
                <w:lang w:val="es-ES_tradnl"/>
              </w:rPr>
            </w:pPr>
            <w:r w:rsidRPr="00C01D7C">
              <w:rPr>
                <w:rFonts w:ascii="Verdana" w:eastAsia="Calibri" w:hAnsi="Verdana" w:cs="Arial"/>
                <w:noProof/>
                <w:lang w:val="es-ES_tradnl"/>
              </w:rPr>
              <w:t>Consejo De Estado. Sección Tercera, Subsección C. Sentencia del 26 de febrero de 2011. C.P. Jaime Orlando Santofimio. Rad. 36.408.</w:t>
            </w:r>
          </w:p>
          <w:p w14:paraId="52116214" w14:textId="77777777" w:rsidR="00C01D7C" w:rsidRPr="00C01D7C" w:rsidRDefault="00C01D7C" w:rsidP="00C01D7C">
            <w:pPr>
              <w:numPr>
                <w:ilvl w:val="0"/>
                <w:numId w:val="17"/>
              </w:numPr>
              <w:snapToGrid w:val="0"/>
              <w:spacing w:after="120" w:line="276" w:lineRule="auto"/>
              <w:jc w:val="both"/>
              <w:rPr>
                <w:rFonts w:ascii="Verdana" w:eastAsia="Calibri" w:hAnsi="Verdana" w:cs="Arial"/>
                <w:noProof/>
                <w:lang w:val="es-ES_tradnl"/>
              </w:rPr>
            </w:pPr>
            <w:r w:rsidRPr="00C01D7C">
              <w:rPr>
                <w:rFonts w:ascii="Verdana" w:eastAsia="Calibri" w:hAnsi="Verdana" w:cs="Arial"/>
                <w:noProof/>
                <w:lang w:val="es-ES_tradnl"/>
              </w:rPr>
              <w:t>Consejo de Estado. Sección Tercera. Subsección C. Sentencia del 26 de febrero de 2014. C.P. Enrique Gil Botero. Rad. 25.804.</w:t>
            </w:r>
          </w:p>
          <w:p w14:paraId="7FEC7EB7" w14:textId="77777777" w:rsidR="00C01D7C" w:rsidRPr="00C01D7C" w:rsidRDefault="00C01D7C" w:rsidP="00C01D7C">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C01D7C">
              <w:rPr>
                <w:rFonts w:ascii="Verdana" w:eastAsia="Aptos" w:hAnsi="Verdana" w:cs="Arial"/>
                <w:lang w:val="es-ES_tradnl"/>
              </w:rPr>
              <w:t xml:space="preserve">Documentos tipo de infraestructura de transporte. Disponibles en: </w:t>
            </w:r>
            <w:hyperlink r:id="rId11" w:history="1">
              <w:r w:rsidRPr="00C01D7C">
                <w:rPr>
                  <w:rFonts w:ascii="Verdana" w:eastAsia="Aptos" w:hAnsi="Verdana" w:cs="Arial"/>
                  <w:color w:val="0000FF"/>
                  <w:u w:val="single"/>
                  <w:lang w:val="es-ES_tradnl"/>
                </w:rPr>
                <w:t>https://www.colombiacompra.gov.co/normativa-y-relatoria/documentos-tipo</w:t>
              </w:r>
            </w:hyperlink>
            <w:r w:rsidRPr="00C01D7C">
              <w:rPr>
                <w:rFonts w:ascii="Verdana" w:eastAsia="Aptos" w:hAnsi="Verdana" w:cs="Arial"/>
                <w:lang w:val="es-ES_tradnl"/>
              </w:rPr>
              <w:t xml:space="preserve">. </w:t>
            </w:r>
          </w:p>
        </w:tc>
      </w:tr>
    </w:tbl>
    <w:p w14:paraId="043CF934" w14:textId="77777777" w:rsidR="00C01D7C" w:rsidRPr="00C01D7C" w:rsidRDefault="00C01D7C" w:rsidP="00C01D7C">
      <w:pPr>
        <w:widowControl w:val="0"/>
        <w:autoSpaceDE w:val="0"/>
        <w:autoSpaceDN w:val="0"/>
        <w:snapToGrid w:val="0"/>
        <w:spacing w:after="0" w:line="276" w:lineRule="auto"/>
        <w:jc w:val="both"/>
        <w:rPr>
          <w:rFonts w:ascii="Verdana" w:eastAsia="Calibri" w:hAnsi="Verdana" w:cs="Arial"/>
          <w:lang w:val="es-ES_tradnl"/>
        </w:rPr>
      </w:pPr>
    </w:p>
    <w:p w14:paraId="3231026E" w14:textId="77777777" w:rsidR="00C01D7C" w:rsidRPr="00C01D7C" w:rsidRDefault="00C01D7C" w:rsidP="00C01D7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01D7C">
        <w:rPr>
          <w:rFonts w:ascii="Verdana" w:eastAsia="Century Gothic" w:hAnsi="Verdana" w:cs="Century Gothic"/>
          <w:b/>
          <w:bCs/>
          <w:lang w:val="es-ES_tradnl"/>
        </w:rPr>
        <w:t>Doctrina de la Agencia Nacional de Contratación Pública:</w:t>
      </w:r>
    </w:p>
    <w:p w14:paraId="1D36F4D4" w14:textId="77777777" w:rsidR="00C01D7C" w:rsidRPr="00C01D7C" w:rsidRDefault="00C01D7C" w:rsidP="00C01D7C">
      <w:pPr>
        <w:widowControl w:val="0"/>
        <w:autoSpaceDE w:val="0"/>
        <w:autoSpaceDN w:val="0"/>
        <w:snapToGrid w:val="0"/>
        <w:spacing w:after="0" w:line="276" w:lineRule="auto"/>
        <w:jc w:val="both"/>
        <w:rPr>
          <w:rFonts w:ascii="Verdana" w:eastAsia="Calibri" w:hAnsi="Verdana" w:cs="Arial"/>
          <w:lang w:val="es-ES_tradnl"/>
        </w:rPr>
      </w:pPr>
    </w:p>
    <w:p w14:paraId="605B2BB3"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01D7C">
        <w:rPr>
          <w:rFonts w:ascii="Verdana" w:eastAsia="Calibri" w:hAnsi="Verdana" w:cs="Arial"/>
          <w:kern w:val="2"/>
          <w:shd w:val="clear" w:color="auto" w:fill="FFFFFF"/>
          <w:lang w:val="es-ES_tradnl"/>
          <w14:ligatures w14:val="standardContextual"/>
        </w:rPr>
        <w:t xml:space="preserve">Esta Agencia ha estudiado la regla de </w:t>
      </w:r>
      <w:proofErr w:type="spellStart"/>
      <w:r w:rsidRPr="00C01D7C">
        <w:rPr>
          <w:rFonts w:ascii="Verdana" w:eastAsia="Calibri" w:hAnsi="Verdana" w:cs="Arial"/>
          <w:kern w:val="2"/>
          <w:shd w:val="clear" w:color="auto" w:fill="FFFFFF"/>
          <w:lang w:val="es-ES_tradnl"/>
          <w14:ligatures w14:val="standardContextual"/>
        </w:rPr>
        <w:t>subsanabilidad</w:t>
      </w:r>
      <w:proofErr w:type="spellEnd"/>
      <w:r w:rsidRPr="00C01D7C">
        <w:rPr>
          <w:rFonts w:ascii="Verdana" w:eastAsia="Calibri" w:hAnsi="Verdana" w:cs="Arial"/>
          <w:kern w:val="2"/>
          <w:shd w:val="clear" w:color="auto" w:fill="FFFFFF"/>
          <w:lang w:val="es-ES_tradnl"/>
          <w14:ligatures w14:val="standardContextual"/>
        </w:rPr>
        <w:t xml:space="preserve"> en los procesos de selección, en los conceptos </w:t>
      </w:r>
      <w:r w:rsidRPr="00C01D7C">
        <w:rPr>
          <w:rFonts w:ascii="Verdana" w:eastAsia="Calibri" w:hAnsi="Verdana" w:cs="Arial"/>
          <w:kern w:val="2"/>
          <w:lang w:val="es-ES"/>
          <w14:ligatures w14:val="standardContextual"/>
        </w:rPr>
        <w:t>4201913000007643 del 26 de diciembre de 2019, C-343 del 17 de junio de 2020, C-518 del 9 de septiembre de 2020, C-614 del 5 de octubre de 2022, C-882 del 21 de diciembre de 2022, C-172 del 6 de junio de 2023, C-120 del 7 de marzo de 2025, C-1210 del 8 de octubre de 2025 y C-1610 del 4 de diciembre de 2025.</w:t>
      </w:r>
      <w:r w:rsidRPr="00C01D7C">
        <w:rPr>
          <w:rFonts w:ascii="Verdana" w:eastAsia="Calibri" w:hAnsi="Verdana" w:cs="Arial"/>
          <w:kern w:val="2"/>
          <w:shd w:val="clear" w:color="auto" w:fill="FFFFFF"/>
          <w:lang w:val="es-ES_tradnl"/>
          <w14:ligatures w14:val="standardContextual"/>
        </w:rPr>
        <w:t xml:space="preserve"> </w:t>
      </w:r>
      <w:r w:rsidRPr="00C01D7C">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C01D7C">
          <w:rPr>
            <w:rFonts w:ascii="Verdana" w:eastAsia="Times New Roman" w:hAnsi="Verdana" w:cs="Arial"/>
            <w:kern w:val="2"/>
            <w:shd w:val="clear" w:color="auto" w:fill="FFFFFF"/>
            <w:lang w:val="es-ES"/>
            <w14:ligatures w14:val="standardContextual"/>
          </w:rPr>
          <w:t>https://relatoria.colombiacompra.gov.co/</w:t>
        </w:r>
      </w:hyperlink>
      <w:r w:rsidRPr="00C01D7C">
        <w:rPr>
          <w:rFonts w:ascii="Verdana" w:eastAsia="Times New Roman" w:hAnsi="Verdana" w:cs="Arial"/>
          <w:kern w:val="2"/>
          <w:shd w:val="clear" w:color="auto" w:fill="FFFFFF"/>
          <w:lang w:val="es-ES"/>
          <w14:ligatures w14:val="standardContextual"/>
        </w:rPr>
        <w:t>.</w:t>
      </w:r>
    </w:p>
    <w:p w14:paraId="24A86532" w14:textId="77777777" w:rsidR="00C01D7C" w:rsidRPr="00C01D7C" w:rsidRDefault="00C01D7C" w:rsidP="00C01D7C">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B3EE99B"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01D7C">
        <w:rPr>
          <w:rFonts w:ascii="Verdana" w:eastAsia="Calibri" w:hAnsi="Verdana" w:cs="Arial"/>
          <w:kern w:val="2"/>
          <w:shd w:val="clear" w:color="auto" w:fill="FFFFFF"/>
          <w:lang w:val="es-ES_tradnl"/>
          <w14:ligatures w14:val="standardContextual"/>
        </w:rPr>
        <w:t>La</w:t>
      </w:r>
      <w:r w:rsidRPr="00C01D7C">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01D7C">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C01D7C">
        <w:rPr>
          <w:rFonts w:ascii="Verdana" w:eastAsia="Calibri" w:hAnsi="Verdana" w:cs="Arial"/>
          <w:b/>
          <w:bCs/>
          <w:kern w:val="2"/>
          <w:shd w:val="clear" w:color="auto" w:fill="FFFFFF"/>
          <w:lang w:val="es-ES_tradnl"/>
          <w14:ligatures w14:val="standardContextual"/>
        </w:rPr>
        <w:t>Documentos Tipo</w:t>
      </w:r>
      <w:r w:rsidRPr="00C01D7C">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C01D7C">
        <w:rPr>
          <w:rFonts w:ascii="Verdana" w:eastAsia="Calibri" w:hAnsi="Verdana" w:cs="Arial"/>
          <w:b/>
          <w:bCs/>
          <w:kern w:val="2"/>
          <w:shd w:val="clear" w:color="auto" w:fill="FFFFFF"/>
          <w:lang w:val="es-ES_tradnl"/>
          <w14:ligatures w14:val="standardContextual"/>
        </w:rPr>
        <w:t>transparencia</w:t>
      </w:r>
      <w:r w:rsidRPr="00C01D7C">
        <w:rPr>
          <w:rFonts w:ascii="Verdana" w:eastAsia="Calibri" w:hAnsi="Verdana" w:cs="Arial"/>
          <w:kern w:val="2"/>
          <w:shd w:val="clear" w:color="auto" w:fill="FFFFFF"/>
          <w:lang w:val="es-ES_tradnl"/>
          <w14:ligatures w14:val="standardContextual"/>
        </w:rPr>
        <w:t> y promover un proceso de </w:t>
      </w:r>
      <w:r w:rsidRPr="00C01D7C">
        <w:rPr>
          <w:rFonts w:ascii="Verdana" w:eastAsia="Calibri" w:hAnsi="Verdana" w:cs="Arial"/>
          <w:b/>
          <w:bCs/>
          <w:kern w:val="2"/>
          <w:shd w:val="clear" w:color="auto" w:fill="FFFFFF"/>
          <w:lang w:val="es-ES_tradnl"/>
          <w14:ligatures w14:val="standardContextual"/>
        </w:rPr>
        <w:t>selección objetiva</w:t>
      </w:r>
      <w:r w:rsidRPr="00C01D7C">
        <w:rPr>
          <w:rFonts w:ascii="Verdana" w:eastAsia="Calibri" w:hAnsi="Verdana" w:cs="Arial"/>
          <w:kern w:val="2"/>
          <w:shd w:val="clear" w:color="auto" w:fill="FFFFFF"/>
          <w:lang w:val="es-ES_tradnl"/>
          <w14:ligatures w14:val="standardContextual"/>
        </w:rPr>
        <w:t xml:space="preserve"> en la contratación pública, contribuyendo así a </w:t>
      </w:r>
      <w:r w:rsidRPr="00C01D7C">
        <w:rPr>
          <w:rFonts w:ascii="Verdana" w:eastAsia="Calibri" w:hAnsi="Verdana" w:cs="Arial"/>
          <w:kern w:val="2"/>
          <w:shd w:val="clear" w:color="auto" w:fill="FFFFFF"/>
          <w:lang w:val="es-ES_tradnl"/>
          <w14:ligatures w14:val="standardContextual"/>
        </w:rPr>
        <w:lastRenderedPageBreak/>
        <w:t>mejorar la eficiencia, la competencia y la confianza en el manejo de los recursos del Estado.</w:t>
      </w:r>
    </w:p>
    <w:p w14:paraId="6794D338"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3780B8C"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C01D7C">
        <w:rPr>
          <w:rFonts w:ascii="Verdana" w:eastAsia="Calibri" w:hAnsi="Verdana" w:cs="Arial"/>
          <w:kern w:val="2"/>
          <w:shd w:val="clear" w:color="auto" w:fill="FFFFFF"/>
          <w:lang w:val="es-ES"/>
          <w14:ligatures w14:val="standardContextual"/>
        </w:rPr>
        <w:t>También, le contamos que ya se encuentra disponible la </w:t>
      </w:r>
      <w:r w:rsidRPr="00C01D7C">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C01D7C">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01D7C">
        <w:rPr>
          <w:rFonts w:ascii="Verdana" w:eastAsia="Calibri" w:hAnsi="Verdana" w:cs="Arial"/>
          <w:kern w:val="2"/>
          <w:shd w:val="clear" w:color="auto" w:fill="FFFFFF"/>
          <w:lang w:val="es-ES"/>
          <w14:ligatures w14:val="standardContextual"/>
        </w:rPr>
        <w:t>Wayúu</w:t>
      </w:r>
      <w:proofErr w:type="spellEnd"/>
      <w:r w:rsidRPr="00C01D7C">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C01D7C">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C01D7C">
        <w:rPr>
          <w:rFonts w:ascii="Verdana" w:eastAsia="Calibri" w:hAnsi="Verdana" w:cs="Arial"/>
          <w:kern w:val="2"/>
          <w:u w:val="single"/>
          <w:shd w:val="clear" w:color="auto" w:fill="FFFFFF"/>
          <w:lang w:val="es-ES"/>
          <w14:ligatures w14:val="standardContextual"/>
        </w:rPr>
        <w:t>.</w:t>
      </w:r>
    </w:p>
    <w:p w14:paraId="3F5FCB88"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90FF9CB" w14:textId="77777777" w:rsidR="00C01D7C" w:rsidRPr="00C01D7C" w:rsidRDefault="00C01D7C" w:rsidP="00C01D7C">
      <w:pPr>
        <w:spacing w:after="0" w:line="276" w:lineRule="auto"/>
        <w:jc w:val="both"/>
        <w:rPr>
          <w:rFonts w:ascii="Verdana" w:eastAsia="Calibri" w:hAnsi="Verdana" w:cs="Times New Roman"/>
          <w:kern w:val="2"/>
          <w:lang w:val="es-ES_tradnl"/>
          <w14:ligatures w14:val="standardContextual"/>
        </w:rPr>
      </w:pPr>
      <w:r w:rsidRPr="00C01D7C">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54EED555" w14:textId="77777777" w:rsidR="00C01D7C" w:rsidRPr="00C01D7C" w:rsidRDefault="00C01D7C" w:rsidP="00C01D7C">
      <w:pPr>
        <w:spacing w:after="0" w:line="240" w:lineRule="auto"/>
        <w:jc w:val="both"/>
        <w:rPr>
          <w:rFonts w:ascii="Verdana" w:eastAsia="Calibri" w:hAnsi="Verdana" w:cs="Times New Roman"/>
          <w:kern w:val="2"/>
          <w:lang w:val="es-ES_tradnl"/>
          <w14:ligatures w14:val="standardContextual"/>
        </w:rPr>
      </w:pPr>
    </w:p>
    <w:p w14:paraId="697B0FFE" w14:textId="77777777" w:rsidR="00C01D7C" w:rsidRPr="00C01D7C" w:rsidRDefault="00C01D7C" w:rsidP="00C01D7C">
      <w:pPr>
        <w:spacing w:after="0" w:line="240" w:lineRule="auto"/>
        <w:jc w:val="both"/>
        <w:rPr>
          <w:rFonts w:ascii="Verdana" w:eastAsia="Calibri" w:hAnsi="Verdana" w:cs="Times New Roman"/>
          <w:kern w:val="2"/>
          <w:lang w:val="es-ES_tradnl"/>
          <w14:ligatures w14:val="standardContextual"/>
        </w:rPr>
      </w:pPr>
      <w:r w:rsidRPr="00C01D7C">
        <w:rPr>
          <w:rFonts w:ascii="Verdana" w:eastAsia="Calibri" w:hAnsi="Verdana" w:cs="Times New Roman"/>
          <w:kern w:val="2"/>
          <w:lang w:val="es-ES_tradnl"/>
          <w14:ligatures w14:val="standardContextual"/>
        </w:rPr>
        <w:t xml:space="preserve">X: </w:t>
      </w:r>
      <w:r w:rsidRPr="00C01D7C">
        <w:rPr>
          <w:rFonts w:ascii="Verdana" w:eastAsia="Calibri" w:hAnsi="Verdana" w:cs="Times New Roman"/>
          <w:kern w:val="2"/>
          <w:u w:val="single"/>
          <w:lang w:val="es-ES_tradnl"/>
          <w14:ligatures w14:val="standardContextual"/>
        </w:rPr>
        <w:t>@colombiacompra</w:t>
      </w:r>
      <w:r w:rsidRPr="00C01D7C">
        <w:rPr>
          <w:rFonts w:ascii="Verdana" w:eastAsia="Calibri" w:hAnsi="Verdana" w:cs="Times New Roman"/>
          <w:kern w:val="2"/>
          <w:lang w:val="es-ES_tradnl"/>
          <w14:ligatures w14:val="standardContextual"/>
        </w:rPr>
        <w:t xml:space="preserve"> </w:t>
      </w:r>
    </w:p>
    <w:p w14:paraId="3121759E" w14:textId="77777777" w:rsidR="00C01D7C" w:rsidRPr="00C01D7C" w:rsidRDefault="00C01D7C" w:rsidP="00C01D7C">
      <w:pPr>
        <w:spacing w:after="0" w:line="240" w:lineRule="auto"/>
        <w:jc w:val="both"/>
        <w:rPr>
          <w:rFonts w:ascii="Verdana" w:eastAsia="Calibri" w:hAnsi="Verdana" w:cs="Times New Roman"/>
          <w:kern w:val="2"/>
          <w:lang w:val="es-ES"/>
          <w14:ligatures w14:val="standardContextual"/>
        </w:rPr>
      </w:pPr>
      <w:r w:rsidRPr="00C01D7C">
        <w:rPr>
          <w:rFonts w:ascii="Verdana" w:eastAsia="Calibri" w:hAnsi="Verdana" w:cs="Times New Roman"/>
          <w:kern w:val="2"/>
          <w:lang w:val="es-ES"/>
          <w14:ligatures w14:val="standardContextual"/>
        </w:rPr>
        <w:t xml:space="preserve">Facebook: </w:t>
      </w:r>
      <w:proofErr w:type="spellStart"/>
      <w:r w:rsidRPr="00C01D7C">
        <w:rPr>
          <w:rFonts w:ascii="Verdana" w:eastAsia="Calibri" w:hAnsi="Verdana" w:cs="Times New Roman"/>
          <w:kern w:val="2"/>
          <w:u w:val="single"/>
          <w:lang w:val="es-ES"/>
          <w14:ligatures w14:val="standardContextual"/>
        </w:rPr>
        <w:t>ColombiaCompraEficiente</w:t>
      </w:r>
      <w:proofErr w:type="spellEnd"/>
    </w:p>
    <w:p w14:paraId="6BA9E8EA" w14:textId="77777777" w:rsidR="00C01D7C" w:rsidRPr="00C01D7C" w:rsidRDefault="00C01D7C" w:rsidP="00C01D7C">
      <w:pPr>
        <w:spacing w:after="0" w:line="240" w:lineRule="auto"/>
        <w:jc w:val="both"/>
        <w:rPr>
          <w:rFonts w:ascii="Verdana" w:eastAsia="Calibri" w:hAnsi="Verdana" w:cs="Times New Roman"/>
          <w:kern w:val="2"/>
          <w:lang w:val="es-ES_tradnl"/>
          <w14:ligatures w14:val="standardContextual"/>
        </w:rPr>
      </w:pPr>
      <w:r w:rsidRPr="00C01D7C">
        <w:rPr>
          <w:rFonts w:ascii="Verdana" w:eastAsia="Calibri" w:hAnsi="Verdana" w:cs="Times New Roman"/>
          <w:kern w:val="2"/>
          <w:lang w:val="es-ES_tradnl"/>
          <w14:ligatures w14:val="standardContextual"/>
        </w:rPr>
        <w:t xml:space="preserve">LinkedIn: </w:t>
      </w:r>
      <w:r w:rsidRPr="00C01D7C">
        <w:rPr>
          <w:rFonts w:ascii="Verdana" w:eastAsia="Calibri" w:hAnsi="Verdana" w:cs="Times New Roman"/>
          <w:kern w:val="2"/>
          <w:u w:val="single"/>
          <w:lang w:val="es-ES_tradnl"/>
          <w14:ligatures w14:val="standardContextual"/>
        </w:rPr>
        <w:t>Agencia Nacional de Contratación Pública - Colombia Compra Eficiente</w:t>
      </w:r>
      <w:r w:rsidRPr="00C01D7C">
        <w:rPr>
          <w:rFonts w:ascii="Verdana" w:eastAsia="Calibri" w:hAnsi="Verdana" w:cs="Times New Roman"/>
          <w:kern w:val="2"/>
          <w:lang w:val="es-ES_tradnl"/>
          <w14:ligatures w14:val="standardContextual"/>
        </w:rPr>
        <w:t xml:space="preserve"> Instagram: </w:t>
      </w:r>
      <w:r w:rsidRPr="00C01D7C">
        <w:rPr>
          <w:rFonts w:ascii="Verdana" w:eastAsia="Calibri" w:hAnsi="Verdana" w:cs="Times New Roman"/>
          <w:kern w:val="2"/>
          <w:u w:val="single"/>
          <w:lang w:val="es-ES_tradnl"/>
          <w14:ligatures w14:val="standardContextual"/>
        </w:rPr>
        <w:t>@colombiacompraeficiente_cce</w:t>
      </w:r>
    </w:p>
    <w:p w14:paraId="705953E3"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DF42779" w14:textId="77777777" w:rsidR="00C01D7C" w:rsidRPr="00C01D7C" w:rsidRDefault="00C01D7C" w:rsidP="00C01D7C">
      <w:pPr>
        <w:widowControl w:val="0"/>
        <w:autoSpaceDE w:val="0"/>
        <w:autoSpaceDN w:val="0"/>
        <w:spacing w:after="0" w:line="276" w:lineRule="auto"/>
        <w:jc w:val="both"/>
        <w:rPr>
          <w:rFonts w:ascii="Verdana" w:eastAsia="Calibri" w:hAnsi="Verdana" w:cs="Arial"/>
          <w:kern w:val="2"/>
          <w:lang w:val="es-ES_tradnl"/>
          <w14:ligatures w14:val="standardContextual"/>
        </w:rPr>
      </w:pPr>
      <w:r w:rsidRPr="00C01D7C">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A9B181D" w14:textId="77777777" w:rsidR="00C01D7C" w:rsidRPr="00C01D7C" w:rsidRDefault="00C01D7C" w:rsidP="00C01D7C">
      <w:pPr>
        <w:widowControl w:val="0"/>
        <w:autoSpaceDE w:val="0"/>
        <w:autoSpaceDN w:val="0"/>
        <w:spacing w:after="0" w:line="276" w:lineRule="auto"/>
        <w:jc w:val="both"/>
        <w:rPr>
          <w:rFonts w:ascii="Verdana" w:eastAsia="Calibri" w:hAnsi="Verdana" w:cs="Arial"/>
          <w:lang w:val="es-ES_tradnl"/>
        </w:rPr>
      </w:pPr>
    </w:p>
    <w:p w14:paraId="7AF8CB20" w14:textId="77777777" w:rsidR="00C01D7C" w:rsidRPr="00C01D7C" w:rsidRDefault="00C01D7C" w:rsidP="00C01D7C">
      <w:pPr>
        <w:spacing w:after="0" w:line="240" w:lineRule="auto"/>
        <w:rPr>
          <w:rFonts w:ascii="Verdana" w:eastAsia="Calibri" w:hAnsi="Verdana" w:cs="Arial"/>
          <w:lang w:val="es-ES_tradnl" w:eastAsia="es-CO"/>
        </w:rPr>
      </w:pPr>
      <w:r w:rsidRPr="00C01D7C">
        <w:rPr>
          <w:rFonts w:ascii="Verdana" w:eastAsia="Times New Roman" w:hAnsi="Verdana" w:cs="Arial"/>
          <w:lang w:val="es-ES_tradnl" w:eastAsia="es-CO"/>
        </w:rPr>
        <w:t>Atentamente,</w:t>
      </w:r>
      <w:r w:rsidRPr="00C01D7C">
        <w:rPr>
          <w:rFonts w:ascii="Verdana" w:eastAsia="Calibri" w:hAnsi="Verdana" w:cs="Arial"/>
          <w:lang w:val="es-ES_tradnl" w:eastAsia="es-CO"/>
        </w:rPr>
        <w:t xml:space="preserve"> </w:t>
      </w:r>
    </w:p>
    <w:p w14:paraId="35958C7A" w14:textId="7EC59CF7" w:rsidR="00C01D7C" w:rsidRPr="00C01D7C" w:rsidRDefault="00EC771E" w:rsidP="00C01D7C">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7E23A30B" wp14:editId="41C2AC43">
            <wp:extent cx="3424773" cy="1271317"/>
            <wp:effectExtent l="0" t="0" r="4445"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39772" cy="127688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01D7C" w:rsidRPr="00C01D7C" w14:paraId="43E4C419" w14:textId="77777777" w:rsidTr="008C2018">
        <w:trPr>
          <w:trHeight w:val="315"/>
        </w:trPr>
        <w:tc>
          <w:tcPr>
            <w:tcW w:w="893" w:type="dxa"/>
            <w:vAlign w:val="center"/>
            <w:hideMark/>
          </w:tcPr>
          <w:p w14:paraId="453AF5EB" w14:textId="77777777" w:rsidR="00C01D7C" w:rsidRPr="00C01D7C" w:rsidRDefault="00C01D7C" w:rsidP="00C01D7C">
            <w:pPr>
              <w:rPr>
                <w:rFonts w:ascii="Verdana" w:eastAsia="Calibri" w:hAnsi="Verdana" w:cs="Arial"/>
                <w:sz w:val="16"/>
                <w:szCs w:val="16"/>
                <w:lang w:val="es-ES_tradnl" w:eastAsia="es-ES"/>
              </w:rPr>
            </w:pPr>
            <w:r w:rsidRPr="00C01D7C">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01F90ACC" w14:textId="77777777" w:rsidR="00C01D7C" w:rsidRPr="00C01D7C" w:rsidRDefault="00C01D7C" w:rsidP="00C01D7C">
            <w:pPr>
              <w:rPr>
                <w:rFonts w:ascii="Verdana" w:eastAsia="Arial" w:hAnsi="Verdana" w:cs="Arial"/>
                <w:sz w:val="16"/>
                <w:szCs w:val="16"/>
                <w:lang w:val="es-ES"/>
              </w:rPr>
            </w:pPr>
            <w:r w:rsidRPr="00C01D7C">
              <w:rPr>
                <w:rFonts w:ascii="Verdana" w:eastAsia="Arial" w:hAnsi="Verdana" w:cs="Arial"/>
                <w:sz w:val="16"/>
                <w:szCs w:val="16"/>
                <w:lang w:val="es-ES"/>
              </w:rPr>
              <w:t>Kevin Arlid Herrera Santa</w:t>
            </w:r>
          </w:p>
          <w:p w14:paraId="4A1FE018" w14:textId="77777777" w:rsidR="00C01D7C" w:rsidRPr="00C01D7C" w:rsidRDefault="00C01D7C" w:rsidP="00C01D7C">
            <w:pPr>
              <w:rPr>
                <w:rFonts w:ascii="Verdana" w:eastAsia="Arial" w:hAnsi="Verdana" w:cs="Arial"/>
                <w:sz w:val="16"/>
                <w:szCs w:val="16"/>
                <w:lang w:val="es-ES_tradnl"/>
              </w:rPr>
            </w:pPr>
            <w:r w:rsidRPr="00C01D7C">
              <w:rPr>
                <w:rFonts w:ascii="Verdana" w:eastAsia="Arial" w:hAnsi="Verdana" w:cs="Arial"/>
                <w:sz w:val="16"/>
                <w:szCs w:val="16"/>
                <w:lang w:val="es-ES_tradnl"/>
              </w:rPr>
              <w:lastRenderedPageBreak/>
              <w:t xml:space="preserve">Contratista de la Subdirección de Gestión Contractual </w:t>
            </w:r>
          </w:p>
        </w:tc>
      </w:tr>
      <w:tr w:rsidR="00C01D7C" w:rsidRPr="00C01D7C" w14:paraId="157D8E7B" w14:textId="77777777" w:rsidTr="008C2018">
        <w:trPr>
          <w:trHeight w:val="330"/>
        </w:trPr>
        <w:tc>
          <w:tcPr>
            <w:tcW w:w="893" w:type="dxa"/>
            <w:vAlign w:val="center"/>
            <w:hideMark/>
          </w:tcPr>
          <w:p w14:paraId="3A43D996" w14:textId="77777777" w:rsidR="00C01D7C" w:rsidRPr="00C01D7C" w:rsidRDefault="00C01D7C" w:rsidP="00C01D7C">
            <w:pPr>
              <w:rPr>
                <w:rFonts w:ascii="Verdana" w:eastAsia="Calibri" w:hAnsi="Verdana" w:cs="Arial"/>
                <w:sz w:val="16"/>
                <w:szCs w:val="16"/>
                <w:lang w:val="es-ES_tradnl" w:eastAsia="es-ES"/>
              </w:rPr>
            </w:pPr>
            <w:r w:rsidRPr="00C01D7C">
              <w:rPr>
                <w:rFonts w:ascii="Verdana" w:eastAsia="Calibri" w:hAnsi="Verdana" w:cs="Arial"/>
                <w:sz w:val="16"/>
                <w:szCs w:val="16"/>
                <w:lang w:val="es-ES_tradnl"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57FF158D" w14:textId="77777777" w:rsidR="00C01D7C" w:rsidRPr="00C01D7C" w:rsidRDefault="00C01D7C" w:rsidP="00C01D7C">
            <w:pPr>
              <w:textAlignment w:val="baseline"/>
              <w:rPr>
                <w:rFonts w:ascii="Verdana" w:eastAsia="Times New Roman" w:hAnsi="Verdana" w:cs="Segoe UI"/>
                <w:sz w:val="16"/>
                <w:szCs w:val="16"/>
                <w:lang w:val="es-ES" w:eastAsia="es-ES"/>
              </w:rPr>
            </w:pPr>
            <w:r w:rsidRPr="00C01D7C">
              <w:rPr>
                <w:rFonts w:ascii="Verdana" w:eastAsia="Times New Roman" w:hAnsi="Verdana" w:cs="Segoe UI"/>
                <w:sz w:val="16"/>
                <w:szCs w:val="16"/>
                <w:lang w:val="es-ES" w:eastAsia="es-ES"/>
              </w:rPr>
              <w:t xml:space="preserve">Adriana </w:t>
            </w:r>
            <w:proofErr w:type="spellStart"/>
            <w:r w:rsidRPr="00C01D7C">
              <w:rPr>
                <w:rFonts w:ascii="Verdana" w:eastAsia="Times New Roman" w:hAnsi="Verdana" w:cs="Segoe UI"/>
                <w:sz w:val="16"/>
                <w:szCs w:val="16"/>
                <w:lang w:val="es-ES" w:eastAsia="es-ES"/>
              </w:rPr>
              <w:t>Katerine</w:t>
            </w:r>
            <w:proofErr w:type="spellEnd"/>
            <w:r w:rsidRPr="00C01D7C">
              <w:rPr>
                <w:rFonts w:ascii="Verdana" w:eastAsia="Times New Roman" w:hAnsi="Verdana" w:cs="Segoe UI"/>
                <w:sz w:val="16"/>
                <w:szCs w:val="16"/>
                <w:lang w:val="es-ES" w:eastAsia="es-ES"/>
              </w:rPr>
              <w:t xml:space="preserve"> López Rodríguez</w:t>
            </w:r>
          </w:p>
          <w:p w14:paraId="6FEA95B1" w14:textId="77777777" w:rsidR="00C01D7C" w:rsidRPr="00C01D7C" w:rsidRDefault="00C01D7C" w:rsidP="00C01D7C">
            <w:pPr>
              <w:textAlignment w:val="baseline"/>
              <w:rPr>
                <w:rFonts w:ascii="Verdana" w:eastAsia="Times New Roman" w:hAnsi="Verdana" w:cs="Segoe UI"/>
                <w:sz w:val="16"/>
                <w:szCs w:val="16"/>
                <w:lang w:val="es-ES_tradnl" w:eastAsia="es-ES_tradnl"/>
              </w:rPr>
            </w:pPr>
            <w:r w:rsidRPr="00C01D7C">
              <w:rPr>
                <w:rFonts w:ascii="Verdana" w:eastAsia="Times New Roman" w:hAnsi="Verdana" w:cs="Arial"/>
                <w:sz w:val="16"/>
                <w:szCs w:val="16"/>
                <w:lang w:val="es-ES_tradnl" w:eastAsia="es-ES_tradnl"/>
              </w:rPr>
              <w:t>Contratista de la Subdirección de Gestión Contractual </w:t>
            </w:r>
          </w:p>
        </w:tc>
      </w:tr>
      <w:tr w:rsidR="00C01D7C" w:rsidRPr="00C01D7C" w14:paraId="606248F9" w14:textId="77777777" w:rsidTr="008C2018">
        <w:trPr>
          <w:trHeight w:val="300"/>
        </w:trPr>
        <w:tc>
          <w:tcPr>
            <w:tcW w:w="893" w:type="dxa"/>
            <w:vAlign w:val="center"/>
          </w:tcPr>
          <w:p w14:paraId="0CCFBCCF" w14:textId="77777777" w:rsidR="00C01D7C" w:rsidRPr="00C01D7C" w:rsidRDefault="00C01D7C" w:rsidP="00C01D7C">
            <w:pPr>
              <w:rPr>
                <w:rFonts w:ascii="Verdana" w:eastAsia="Calibri" w:hAnsi="Verdana" w:cs="Arial"/>
                <w:sz w:val="16"/>
                <w:szCs w:val="16"/>
                <w:lang w:val="es-ES_tradnl" w:eastAsia="es-ES"/>
              </w:rPr>
            </w:pPr>
            <w:r w:rsidRPr="00C01D7C">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188B068D" w14:textId="77777777" w:rsidR="00C01D7C" w:rsidRPr="00C01D7C" w:rsidRDefault="00C01D7C" w:rsidP="00C01D7C">
            <w:pPr>
              <w:rPr>
                <w:rFonts w:ascii="Verdana" w:eastAsia="Calibri" w:hAnsi="Verdana" w:cs="Arial"/>
                <w:sz w:val="16"/>
                <w:szCs w:val="16"/>
                <w:lang w:val="es-ES" w:eastAsia="es-ES"/>
              </w:rPr>
            </w:pPr>
            <w:r w:rsidRPr="00C01D7C">
              <w:rPr>
                <w:rFonts w:ascii="Verdana" w:eastAsia="Calibri" w:hAnsi="Verdana" w:cs="Arial"/>
                <w:sz w:val="16"/>
                <w:szCs w:val="16"/>
                <w:lang w:val="es-ES" w:eastAsia="es-ES"/>
              </w:rPr>
              <w:t xml:space="preserve">Carolina Quintero </w:t>
            </w:r>
            <w:proofErr w:type="spellStart"/>
            <w:r w:rsidRPr="00C01D7C">
              <w:rPr>
                <w:rFonts w:ascii="Verdana" w:eastAsia="Calibri" w:hAnsi="Verdana" w:cs="Arial"/>
                <w:sz w:val="16"/>
                <w:szCs w:val="16"/>
                <w:lang w:val="es-ES" w:eastAsia="es-ES"/>
              </w:rPr>
              <w:t>Gacharná</w:t>
            </w:r>
            <w:proofErr w:type="spellEnd"/>
          </w:p>
          <w:p w14:paraId="28870F4A" w14:textId="77777777" w:rsidR="00C01D7C" w:rsidRPr="00C01D7C" w:rsidRDefault="00C01D7C" w:rsidP="00C01D7C">
            <w:pPr>
              <w:rPr>
                <w:rFonts w:ascii="Verdana" w:eastAsia="Calibri" w:hAnsi="Verdana" w:cs="Arial"/>
                <w:sz w:val="16"/>
                <w:szCs w:val="16"/>
                <w:lang w:val="es-ES_tradnl" w:eastAsia="es-ES"/>
              </w:rPr>
            </w:pPr>
            <w:r w:rsidRPr="00C01D7C">
              <w:rPr>
                <w:rFonts w:ascii="Verdana" w:eastAsia="Calibri" w:hAnsi="Verdana" w:cs="Arial"/>
                <w:sz w:val="16"/>
                <w:szCs w:val="16"/>
                <w:lang w:val="es-ES_tradnl" w:eastAsia="es-ES"/>
              </w:rPr>
              <w:t>Subdirectora de Gestión Contractual ANCP – CCE</w:t>
            </w:r>
          </w:p>
        </w:tc>
      </w:tr>
    </w:tbl>
    <w:p w14:paraId="69BC4D14" w14:textId="0721144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06B66" w14:textId="77777777" w:rsidR="008B025B" w:rsidRDefault="008B025B" w:rsidP="004A1847">
      <w:pPr>
        <w:spacing w:after="0" w:line="240" w:lineRule="auto"/>
      </w:pPr>
      <w:r>
        <w:separator/>
      </w:r>
    </w:p>
  </w:endnote>
  <w:endnote w:type="continuationSeparator" w:id="0">
    <w:p w14:paraId="2F9995A6" w14:textId="77777777" w:rsidR="008B025B" w:rsidRDefault="008B025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8E88A" w14:textId="77777777" w:rsidR="008B025B" w:rsidRDefault="008B025B" w:rsidP="004A1847">
      <w:pPr>
        <w:spacing w:after="0" w:line="240" w:lineRule="auto"/>
      </w:pPr>
      <w:r>
        <w:separator/>
      </w:r>
    </w:p>
  </w:footnote>
  <w:footnote w:type="continuationSeparator" w:id="0">
    <w:p w14:paraId="746B0368" w14:textId="77777777" w:rsidR="008B025B" w:rsidRDefault="008B025B" w:rsidP="004A1847">
      <w:pPr>
        <w:spacing w:after="0" w:line="240" w:lineRule="auto"/>
      </w:pPr>
      <w:r>
        <w:continuationSeparator/>
      </w:r>
    </w:p>
  </w:footnote>
  <w:footnote w:id="1">
    <w:p w14:paraId="541AD100" w14:textId="77777777" w:rsidR="00C01D7C" w:rsidRPr="004E71D6" w:rsidRDefault="00C01D7C" w:rsidP="00C01D7C">
      <w:pPr>
        <w:pStyle w:val="Textonotapie"/>
        <w:ind w:firstLine="708"/>
        <w:jc w:val="both"/>
        <w:rPr>
          <w:rFonts w:ascii="Verdana" w:hAnsi="Verdana"/>
          <w:sz w:val="18"/>
          <w:szCs w:val="18"/>
        </w:rPr>
      </w:pPr>
      <w:r w:rsidRPr="004E71D6">
        <w:rPr>
          <w:rStyle w:val="Refdenotaalpie"/>
          <w:rFonts w:ascii="Verdana" w:hAnsi="Verdana"/>
          <w:sz w:val="18"/>
          <w:szCs w:val="18"/>
        </w:rPr>
        <w:footnoteRef/>
      </w:r>
      <w:r w:rsidRPr="004E71D6">
        <w:rPr>
          <w:rFonts w:ascii="Verdana" w:hAnsi="Verdana"/>
          <w:sz w:val="18"/>
          <w:szCs w:val="18"/>
        </w:rPr>
        <w:t xml:space="preserve"> Agencia Nacional de Contratación Pública – Colombia Compra Eficiente. Concepto C-285 del 20 de mayo de 2022. Consultar en: </w:t>
      </w:r>
      <w:hyperlink r:id="rId1" w:history="1">
        <w:r w:rsidRPr="004E71D6">
          <w:rPr>
            <w:rStyle w:val="Hipervnculo"/>
            <w:rFonts w:ascii="Verdana" w:hAnsi="Verdana"/>
            <w:sz w:val="18"/>
            <w:szCs w:val="18"/>
          </w:rPr>
          <w:t>https://relatoria.colombiacompra.gov.co/conceptos/c-285-de-2022/</w:t>
        </w:r>
      </w:hyperlink>
    </w:p>
  </w:footnote>
  <w:footnote w:id="2">
    <w:p w14:paraId="23D0D5AD" w14:textId="77777777" w:rsidR="00C01D7C" w:rsidRPr="004E71D6" w:rsidRDefault="00C01D7C" w:rsidP="00C01D7C">
      <w:pPr>
        <w:pStyle w:val="Textonotapie"/>
        <w:ind w:firstLine="708"/>
        <w:jc w:val="both"/>
        <w:rPr>
          <w:rFonts w:ascii="Verdana" w:hAnsi="Verdana"/>
          <w:sz w:val="18"/>
          <w:szCs w:val="18"/>
        </w:rPr>
      </w:pPr>
      <w:r w:rsidRPr="004E71D6">
        <w:rPr>
          <w:rStyle w:val="Refdenotaalpie"/>
          <w:rFonts w:ascii="Verdana" w:hAnsi="Verdana"/>
          <w:sz w:val="18"/>
          <w:szCs w:val="18"/>
        </w:rPr>
        <w:footnoteRef/>
      </w:r>
      <w:r w:rsidRPr="004E71D6">
        <w:rPr>
          <w:rFonts w:ascii="Verdana" w:hAnsi="Verdana"/>
          <w:sz w:val="18"/>
          <w:szCs w:val="18"/>
        </w:rPr>
        <w:t xml:space="preserve"> Agencia Nacional de Contratación Pública – Colombia Compra Eficiente. Concepto C-447 del 19 de septiembre de 2024. Consultar en: </w:t>
      </w:r>
      <w:hyperlink r:id="rId2" w:history="1">
        <w:r w:rsidRPr="004E71D6">
          <w:rPr>
            <w:rStyle w:val="Hipervnculo"/>
            <w:rFonts w:ascii="Verdana" w:hAnsi="Verdana"/>
            <w:sz w:val="18"/>
            <w:szCs w:val="18"/>
          </w:rPr>
          <w:t>https://relatoria.colombiacompra.gov.co/conceptos/c-447-de-2024/</w:t>
        </w:r>
      </w:hyperlink>
      <w:r w:rsidRPr="004E71D6">
        <w:rPr>
          <w:rFonts w:ascii="Verdana" w:hAnsi="Verdana"/>
          <w:sz w:val="18"/>
          <w:szCs w:val="18"/>
        </w:rPr>
        <w:t xml:space="preserve"> </w:t>
      </w:r>
    </w:p>
    <w:p w14:paraId="1DA21E2C" w14:textId="77777777" w:rsidR="00C01D7C" w:rsidRPr="004E71D6" w:rsidRDefault="00C01D7C" w:rsidP="00C01D7C">
      <w:pPr>
        <w:pStyle w:val="Textonotapie"/>
        <w:jc w:val="both"/>
        <w:rPr>
          <w:rFonts w:ascii="Verdana" w:hAnsi="Verdana"/>
          <w:sz w:val="18"/>
          <w:szCs w:val="18"/>
        </w:rPr>
      </w:pPr>
    </w:p>
  </w:footnote>
  <w:footnote w:id="3">
    <w:p w14:paraId="6F6C4D08" w14:textId="77777777" w:rsidR="00C01D7C" w:rsidRPr="004E71D6" w:rsidRDefault="00C01D7C" w:rsidP="00C01D7C">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Style w:val="Refdenotaalpie"/>
          <w:rFonts w:ascii="Verdana" w:hAnsi="Verdana" w:cs="Arial"/>
          <w:color w:val="000000"/>
          <w:sz w:val="18"/>
          <w:szCs w:val="18"/>
        </w:rPr>
        <w:t xml:space="preserve"> </w:t>
      </w:r>
      <w:r w:rsidRPr="004E71D6">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28D41DF3" w14:textId="77777777" w:rsidR="00C01D7C" w:rsidRPr="004E71D6" w:rsidRDefault="00C01D7C" w:rsidP="00C01D7C">
      <w:pPr>
        <w:pStyle w:val="Textonotapie"/>
        <w:ind w:firstLine="709"/>
        <w:jc w:val="both"/>
        <w:rPr>
          <w:rFonts w:ascii="Verdana" w:hAnsi="Verdana" w:cs="Arial"/>
          <w:color w:val="000000"/>
          <w:sz w:val="18"/>
          <w:szCs w:val="18"/>
        </w:rPr>
      </w:pPr>
    </w:p>
  </w:footnote>
  <w:footnote w:id="4">
    <w:p w14:paraId="6C8DB86F" w14:textId="77777777" w:rsidR="00C01D7C" w:rsidRPr="004E71D6" w:rsidRDefault="00C01D7C" w:rsidP="00C01D7C">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13E96D44" w14:textId="77777777" w:rsidR="00C01D7C" w:rsidRPr="004E71D6" w:rsidRDefault="00C01D7C" w:rsidP="00C01D7C">
      <w:pPr>
        <w:pStyle w:val="Textonotapie"/>
        <w:ind w:firstLine="709"/>
        <w:jc w:val="both"/>
        <w:rPr>
          <w:rFonts w:ascii="Verdana" w:hAnsi="Verdana" w:cs="Arial"/>
          <w:color w:val="000000"/>
          <w:sz w:val="18"/>
          <w:szCs w:val="18"/>
        </w:rPr>
      </w:pPr>
      <w:r w:rsidRPr="004E71D6">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7D1195C0" w14:textId="77777777" w:rsidR="00C01D7C" w:rsidRPr="004E71D6" w:rsidRDefault="00C01D7C" w:rsidP="00C01D7C">
      <w:pPr>
        <w:pStyle w:val="Textonotapie"/>
        <w:ind w:firstLine="709"/>
        <w:jc w:val="both"/>
        <w:rPr>
          <w:rFonts w:ascii="Verdana" w:hAnsi="Verdana" w:cs="Arial"/>
          <w:color w:val="000000"/>
          <w:sz w:val="18"/>
          <w:szCs w:val="18"/>
        </w:rPr>
      </w:pPr>
    </w:p>
  </w:footnote>
  <w:footnote w:id="5">
    <w:p w14:paraId="26AAF4F7" w14:textId="77777777" w:rsidR="00C01D7C" w:rsidRPr="004E71D6" w:rsidRDefault="00C01D7C" w:rsidP="00C01D7C">
      <w:pPr>
        <w:pStyle w:val="Textonotapie"/>
        <w:ind w:firstLine="709"/>
        <w:jc w:val="both"/>
        <w:rPr>
          <w:rFonts w:ascii="Verdana" w:hAnsi="Verdana" w:cs="Arial"/>
          <w:color w:val="000000"/>
          <w:sz w:val="18"/>
          <w:szCs w:val="18"/>
        </w:rPr>
      </w:pPr>
      <w:r w:rsidRPr="004E71D6">
        <w:rPr>
          <w:rStyle w:val="Refdenotaalpie"/>
          <w:rFonts w:ascii="Verdana" w:hAnsi="Verdana" w:cs="Arial"/>
          <w:sz w:val="18"/>
          <w:szCs w:val="18"/>
        </w:rPr>
        <w:footnoteRef/>
      </w:r>
      <w:r w:rsidRPr="004E71D6">
        <w:rPr>
          <w:rFonts w:ascii="Verdana" w:hAnsi="Verdana" w:cs="Arial"/>
          <w:sz w:val="18"/>
          <w:szCs w:val="18"/>
        </w:rPr>
        <w:t xml:space="preserve"> </w:t>
      </w:r>
      <w:r w:rsidRPr="004E71D6">
        <w:rPr>
          <w:rFonts w:ascii="Verdana" w:hAnsi="Verdana" w:cs="Arial"/>
          <w:color w:val="000000"/>
          <w:sz w:val="18"/>
          <w:szCs w:val="18"/>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07847848" w14:textId="77777777" w:rsidR="00C01D7C" w:rsidRPr="004E71D6" w:rsidRDefault="00C01D7C" w:rsidP="00C01D7C">
      <w:pPr>
        <w:pStyle w:val="Textonotapie"/>
        <w:ind w:firstLine="709"/>
        <w:jc w:val="both"/>
        <w:rPr>
          <w:rFonts w:ascii="Verdana" w:hAnsi="Verdana" w:cs="Arial"/>
          <w:color w:val="000000"/>
          <w:sz w:val="18"/>
          <w:szCs w:val="18"/>
        </w:rPr>
      </w:pPr>
      <w:r w:rsidRPr="004E71D6">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4E71D6">
          <w:rPr>
            <w:rStyle w:val="Hipervnculo"/>
            <w:rFonts w:ascii="Verdana" w:hAnsi="Verdana" w:cs="Arial"/>
            <w:sz w:val="18"/>
            <w:szCs w:val="18"/>
          </w:rPr>
          <w:t>https://www.colombiacompra.gov.co/circulares?page=2</w:t>
        </w:r>
      </w:hyperlink>
      <w:r w:rsidRPr="004E71D6">
        <w:rPr>
          <w:rStyle w:val="Hipervnculo"/>
          <w:rFonts w:ascii="Verdana" w:hAnsi="Verdana" w:cs="Arial"/>
          <w:color w:val="000000"/>
          <w:sz w:val="18"/>
          <w:szCs w:val="18"/>
        </w:rPr>
        <w:t xml:space="preserve"> </w:t>
      </w:r>
    </w:p>
  </w:footnote>
  <w:footnote w:id="6">
    <w:p w14:paraId="00071FC0" w14:textId="77777777" w:rsidR="00C01D7C" w:rsidRPr="004E71D6" w:rsidRDefault="00C01D7C" w:rsidP="00C01D7C">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Ver CONSEJO DE ESTADO, Sección Tercera, Subsección C. Sentencia del 26 de febrero de 2011. C.P. Jaime Orlando Santofimio. Rad. 36.408. </w:t>
      </w:r>
    </w:p>
  </w:footnote>
  <w:footnote w:id="7">
    <w:p w14:paraId="2C59C811" w14:textId="77777777" w:rsidR="00C01D7C" w:rsidRPr="004E71D6" w:rsidRDefault="00C01D7C" w:rsidP="00C01D7C">
      <w:pPr>
        <w:pStyle w:val="Textonotapie"/>
        <w:jc w:val="both"/>
        <w:rPr>
          <w:rFonts w:ascii="Verdana" w:hAnsi="Verdana" w:cs="Arial"/>
          <w:color w:val="000000"/>
          <w:sz w:val="18"/>
          <w:szCs w:val="18"/>
        </w:rPr>
      </w:pPr>
    </w:p>
    <w:p w14:paraId="0B5CFA50" w14:textId="77777777" w:rsidR="00C01D7C" w:rsidRPr="004E71D6" w:rsidRDefault="00C01D7C" w:rsidP="00C01D7C">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Ver CONSEJO DE ESTADO, Sección Tercera, Subsección C. Sentencia del 26 de febrero de 2014. C.P. Enrique Gil Botero. Rad. 25.804. </w:t>
      </w:r>
    </w:p>
    <w:p w14:paraId="08FB90C7" w14:textId="77777777" w:rsidR="00C01D7C" w:rsidRPr="004E71D6" w:rsidRDefault="00C01D7C" w:rsidP="00C01D7C">
      <w:pPr>
        <w:pStyle w:val="Textonotapie"/>
        <w:ind w:firstLine="709"/>
        <w:jc w:val="both"/>
        <w:rPr>
          <w:rFonts w:ascii="Verdana" w:hAnsi="Verdana" w:cs="Arial"/>
          <w:color w:val="000000"/>
          <w:sz w:val="18"/>
          <w:szCs w:val="18"/>
        </w:rPr>
      </w:pPr>
    </w:p>
  </w:footnote>
  <w:footnote w:id="8">
    <w:p w14:paraId="35EDE13C" w14:textId="77777777" w:rsidR="00C01D7C" w:rsidRPr="004E71D6" w:rsidRDefault="00C01D7C" w:rsidP="00C01D7C">
      <w:pPr>
        <w:pStyle w:val="Textonotapie"/>
        <w:ind w:firstLine="708"/>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CONSEJO DE ESTADO. Sala de Consulta y Servicio Civil. Concepto del 20 de mayo de 2010. Expediente: 1992. Consejero Ponente: Enrique José Arboleda Perdomo.</w:t>
      </w:r>
    </w:p>
    <w:p w14:paraId="01E68475" w14:textId="77777777" w:rsidR="00C01D7C" w:rsidRPr="004E71D6" w:rsidRDefault="00C01D7C" w:rsidP="00C01D7C">
      <w:pPr>
        <w:pStyle w:val="Textonotapie"/>
        <w:ind w:firstLine="708"/>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386C"/>
    <w:rsid w:val="003E4F80"/>
    <w:rsid w:val="003E6439"/>
    <w:rsid w:val="003F3941"/>
    <w:rsid w:val="00406575"/>
    <w:rsid w:val="00414C74"/>
    <w:rsid w:val="0042722E"/>
    <w:rsid w:val="0044528D"/>
    <w:rsid w:val="00462BC2"/>
    <w:rsid w:val="00466E39"/>
    <w:rsid w:val="004A1847"/>
    <w:rsid w:val="004A305D"/>
    <w:rsid w:val="004F21C4"/>
    <w:rsid w:val="004F685F"/>
    <w:rsid w:val="005566E8"/>
    <w:rsid w:val="00574867"/>
    <w:rsid w:val="00591460"/>
    <w:rsid w:val="005A23D4"/>
    <w:rsid w:val="005A65E0"/>
    <w:rsid w:val="005B18A1"/>
    <w:rsid w:val="005C3777"/>
    <w:rsid w:val="005C5CDC"/>
    <w:rsid w:val="005D194F"/>
    <w:rsid w:val="005D476C"/>
    <w:rsid w:val="006200BF"/>
    <w:rsid w:val="006219F8"/>
    <w:rsid w:val="006302F7"/>
    <w:rsid w:val="00646B9F"/>
    <w:rsid w:val="00647B8A"/>
    <w:rsid w:val="00665D70"/>
    <w:rsid w:val="006900D9"/>
    <w:rsid w:val="00706C16"/>
    <w:rsid w:val="007340C3"/>
    <w:rsid w:val="00744409"/>
    <w:rsid w:val="0075235A"/>
    <w:rsid w:val="00756841"/>
    <w:rsid w:val="007649AB"/>
    <w:rsid w:val="00771D0C"/>
    <w:rsid w:val="007833AC"/>
    <w:rsid w:val="007B268C"/>
    <w:rsid w:val="007B7171"/>
    <w:rsid w:val="007C0C0F"/>
    <w:rsid w:val="007C3DC2"/>
    <w:rsid w:val="007E5497"/>
    <w:rsid w:val="007F4086"/>
    <w:rsid w:val="00806F5F"/>
    <w:rsid w:val="00820278"/>
    <w:rsid w:val="008258C9"/>
    <w:rsid w:val="00844AE9"/>
    <w:rsid w:val="00867F95"/>
    <w:rsid w:val="008843B6"/>
    <w:rsid w:val="00891928"/>
    <w:rsid w:val="008A446D"/>
    <w:rsid w:val="008B025B"/>
    <w:rsid w:val="008B25F1"/>
    <w:rsid w:val="008D180B"/>
    <w:rsid w:val="008E6B3E"/>
    <w:rsid w:val="008F0EA7"/>
    <w:rsid w:val="00903936"/>
    <w:rsid w:val="00923EEF"/>
    <w:rsid w:val="009419F9"/>
    <w:rsid w:val="0094488C"/>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1D7C"/>
    <w:rsid w:val="00C04FB3"/>
    <w:rsid w:val="00C11D8B"/>
    <w:rsid w:val="00C15139"/>
    <w:rsid w:val="00C330EB"/>
    <w:rsid w:val="00C36E99"/>
    <w:rsid w:val="00C50D69"/>
    <w:rsid w:val="00C5365C"/>
    <w:rsid w:val="00C74A85"/>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DF5B33"/>
    <w:rsid w:val="00E02524"/>
    <w:rsid w:val="00E16408"/>
    <w:rsid w:val="00E20894"/>
    <w:rsid w:val="00E23E4C"/>
    <w:rsid w:val="00E245AB"/>
    <w:rsid w:val="00E2764C"/>
    <w:rsid w:val="00E27F2E"/>
    <w:rsid w:val="00E50AFE"/>
    <w:rsid w:val="00E75C92"/>
    <w:rsid w:val="00E771DC"/>
    <w:rsid w:val="00E8772A"/>
    <w:rsid w:val="00E90F6B"/>
    <w:rsid w:val="00E92C27"/>
    <w:rsid w:val="00EA0E3D"/>
    <w:rsid w:val="00EA52B7"/>
    <w:rsid w:val="00EC38A7"/>
    <w:rsid w:val="00EC771E"/>
    <w:rsid w:val="00EE1AA8"/>
    <w:rsid w:val="00F23FEA"/>
    <w:rsid w:val="00F31EDC"/>
    <w:rsid w:val="00F462B3"/>
    <w:rsid w:val="00F5664F"/>
    <w:rsid w:val="00F666C4"/>
    <w:rsid w:val="00F76AFC"/>
    <w:rsid w:val="00FA47C0"/>
    <w:rsid w:val="00FB5DD1"/>
    <w:rsid w:val="00FC2B5D"/>
    <w:rsid w:val="00FC2B8C"/>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01D7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0A4D68C-327E-4578-BFEE-D51A18FE1A4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17</Pages>
  <Words>5164</Words>
  <Characters>27426</Characters>
  <Application>Microsoft Office Word</Application>
  <DocSecurity>0</DocSecurity>
  <Lines>596</Lines>
  <Paragraphs>125</Paragraphs>
  <ScaleCrop>false</ScaleCrop>
  <Company/>
  <LinksUpToDate>false</LinksUpToDate>
  <CharactersWithSpaces>32465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8</cp:revision>
  <cp:lastPrinted>2023-01-10T21:18:00Z</cp:lastPrinted>
  <dcterms:created xsi:type="dcterms:W3CDTF">2026-03-09T20:56:00Z</dcterms:created>
  <dcterms:modified xsi:type="dcterms:W3CDTF">2026-03-20T20:53:00Z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