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DBAD94" w14:textId="5D9EDC1C" w:rsidR="00365084" w:rsidRPr="00365084" w:rsidRDefault="00365084" w:rsidP="00365084">
      <w:pPr>
        <w:jc w:val="both"/>
        <w:rPr>
          <w:rFonts w:ascii="Verdana" w:eastAsia="Geomanist Light" w:hAnsi="Verdana" w:cs="Arial"/>
          <w:b/>
          <w:bCs/>
          <w:color w:val="000000" w:themeColor="text1"/>
          <w:lang w:val="es-MX"/>
        </w:rPr>
      </w:pPr>
      <w:bookmarkStart w:id="0" w:name="_Hlk209418979"/>
      <w:bookmarkStart w:id="1" w:name="_Hlk143780582"/>
      <w:bookmarkStart w:id="2" w:name="_Hlk202875225"/>
      <w:bookmarkStart w:id="3" w:name="_Hlk203032812"/>
      <w:bookmarkStart w:id="4" w:name="_Hlk204367265"/>
      <w:bookmarkStart w:id="5" w:name="_Hlk206116713"/>
      <w:r w:rsidRPr="00365084">
        <w:rPr>
          <w:rFonts w:ascii="Verdana" w:hAnsi="Verdana" w:cs="Arial"/>
          <w:b/>
          <w:bCs/>
          <w:lang w:val="es-MX" w:eastAsia="es-ES_tradnl"/>
        </w:rPr>
        <w:t>LEY DE GARANTÍAS ELECTORALES ‒ Finalidad / LEY DE GARANTÍAS ELECTORALES ‒ Prohibición - Contratación directa</w:t>
      </w:r>
    </w:p>
    <w:p w14:paraId="1718BDAD" w14:textId="77777777" w:rsidR="00365084" w:rsidRPr="000E6777" w:rsidRDefault="00365084" w:rsidP="00365084">
      <w:pPr>
        <w:jc w:val="both"/>
        <w:rPr>
          <w:rFonts w:ascii="Verdana" w:eastAsia="Times New Roman" w:hAnsi="Verdana" w:cs="Arial"/>
          <w:bCs/>
          <w:sz w:val="20"/>
          <w:szCs w:val="20"/>
          <w:lang w:eastAsia="es-CO"/>
        </w:rPr>
      </w:pPr>
      <w:r w:rsidRPr="000E6777">
        <w:rPr>
          <w:rFonts w:ascii="Verdana" w:eastAsia="Times New Roman" w:hAnsi="Verdana" w:cs="Arial"/>
          <w:bCs/>
          <w:sz w:val="20"/>
          <w:szCs w:val="20"/>
          <w:lang w:eastAsia="es-CO"/>
        </w:rPr>
        <w:t>La Ley 996 de 2005, conocida como “Ley de Garantías Electorales”, tiene como propósito evitar la injerencia inadecuada de intereses particulares en el ejercicio de la función pública. Esta ley busca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0E6777">
        <w:rPr>
          <w:rFonts w:ascii="Verdana" w:eastAsia="Times New Roman" w:hAnsi="Verdana" w:cs="Arial"/>
          <w:bCs/>
          <w:sz w:val="20"/>
          <w:szCs w:val="20"/>
          <w:lang w:eastAsia="es-CO"/>
        </w:rPr>
        <w:t xml:space="preserve">. </w:t>
      </w:r>
    </w:p>
    <w:p w14:paraId="58B93945" w14:textId="1C843602" w:rsidR="00365084" w:rsidRPr="000E6777" w:rsidRDefault="00365084" w:rsidP="00365084">
      <w:pPr>
        <w:jc w:val="both"/>
        <w:rPr>
          <w:rFonts w:ascii="Verdana" w:eastAsia="Times New Roman" w:hAnsi="Verdana" w:cs="Arial"/>
          <w:bCs/>
          <w:sz w:val="20"/>
          <w:szCs w:val="20"/>
          <w:lang w:eastAsia="es-CO"/>
        </w:rPr>
      </w:pPr>
      <w:r w:rsidRPr="000E6777">
        <w:rPr>
          <w:rFonts w:ascii="Verdana" w:eastAsia="Times New Roman" w:hAnsi="Verdana" w:cs="Arial"/>
          <w:bCs/>
          <w:sz w:val="20"/>
          <w:szCs w:val="20"/>
          <w:lang w:eastAsia="es-CO"/>
        </w:rPr>
        <w:t>[…]</w:t>
      </w:r>
    </w:p>
    <w:p w14:paraId="6B92CE96" w14:textId="740C7227" w:rsidR="00365084" w:rsidRPr="000E6777" w:rsidRDefault="00365084" w:rsidP="00365084">
      <w:pPr>
        <w:jc w:val="both"/>
        <w:rPr>
          <w:rFonts w:ascii="Verdana" w:eastAsia="Geomanist Light" w:hAnsi="Verdana" w:cs="Arial"/>
          <w:color w:val="000000" w:themeColor="text1"/>
          <w:sz w:val="20"/>
          <w:szCs w:val="20"/>
          <w:lang w:val="es-MX"/>
        </w:rPr>
      </w:pPr>
      <w:r w:rsidRPr="000E6777">
        <w:rPr>
          <w:rFonts w:ascii="Verdana" w:eastAsia="Calibri" w:hAnsi="Verdana" w:cs="Arial"/>
          <w:sz w:val="20"/>
          <w:szCs w:val="20"/>
        </w:rPr>
        <w:t xml:space="preserve">El artículo 33 de la Ley 996 de 2005 prohíbe </w:t>
      </w:r>
      <w:r w:rsidRPr="000E6777">
        <w:rPr>
          <w:rFonts w:ascii="Verdana" w:eastAsia="Calibri" w:hAnsi="Verdana" w:cs="Arial"/>
          <w:bCs/>
          <w:sz w:val="20"/>
          <w:szCs w:val="20"/>
        </w:rPr>
        <w:t xml:space="preserve">“(…) </w:t>
      </w:r>
      <w:r w:rsidRPr="000E6777">
        <w:rPr>
          <w:rFonts w:ascii="Verdana" w:eastAsia="Calibri" w:hAnsi="Verdana" w:cs="Arial"/>
          <w:sz w:val="20"/>
          <w:szCs w:val="20"/>
        </w:rPr>
        <w:t xml:space="preserve">la contratación directa por parte de todos los entes del Estado” durante los cuatro (4) meses anteriores a las elecciones presidenciales, salvo </w:t>
      </w:r>
      <w:r w:rsidRPr="000E6777">
        <w:rPr>
          <w:rFonts w:ascii="Verdana" w:eastAsia="Calibri" w:hAnsi="Verdana" w:cs="Arial"/>
          <w:bCs/>
          <w:sz w:val="20"/>
          <w:szCs w:val="20"/>
        </w:rPr>
        <w:t>“(…) l</w:t>
      </w:r>
      <w:r w:rsidRPr="000E6777">
        <w:rPr>
          <w:rFonts w:ascii="Verdana" w:eastAsia="Calibri" w:hAnsi="Verdana" w:cs="Arial"/>
          <w:sz w:val="20"/>
          <w:szCs w:val="20"/>
        </w:rPr>
        <w:t>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D46E1C8" w14:textId="74282B97" w:rsidR="00365084" w:rsidRPr="00365084" w:rsidRDefault="00365084" w:rsidP="00582C1A">
      <w:pPr>
        <w:rPr>
          <w:rFonts w:ascii="Verdana" w:eastAsia="Geomanist Light" w:hAnsi="Verdana" w:cs="Arial"/>
          <w:b/>
          <w:bCs/>
          <w:color w:val="000000" w:themeColor="text1"/>
          <w:lang w:val="es-MX"/>
        </w:rPr>
      </w:pPr>
      <w:r w:rsidRPr="00365084">
        <w:rPr>
          <w:rFonts w:ascii="Verdana" w:eastAsia="Times New Roman" w:hAnsi="Verdana" w:cs="Arial"/>
          <w:b/>
          <w:bCs/>
          <w:lang w:eastAsia="es-ES_tradnl"/>
        </w:rPr>
        <w:t xml:space="preserve">LEY DE GARANTÍAS ELECTORALES ─ Prohibición ‒ Contratación directa ‒ </w:t>
      </w:r>
      <w:r w:rsidRPr="00365084">
        <w:rPr>
          <w:rFonts w:ascii="Verdana" w:eastAsia="Times New Roman" w:hAnsi="Verdana" w:cs="Arial"/>
          <w:b/>
          <w:bCs/>
          <w:lang w:eastAsia="es-ES_tradnl"/>
        </w:rPr>
        <w:t>excepción</w:t>
      </w:r>
    </w:p>
    <w:p w14:paraId="0F85F104" w14:textId="77777777" w:rsidR="00365084" w:rsidRPr="000E6777" w:rsidRDefault="00365084" w:rsidP="00365084">
      <w:pPr>
        <w:tabs>
          <w:tab w:val="left" w:pos="4312"/>
        </w:tabs>
        <w:spacing w:after="120" w:line="276" w:lineRule="auto"/>
        <w:jc w:val="both"/>
        <w:rPr>
          <w:rFonts w:ascii="Verdana" w:eastAsia="Times New Roman" w:hAnsi="Verdana" w:cs="Arial"/>
          <w:sz w:val="20"/>
          <w:szCs w:val="20"/>
          <w:lang w:val="es-MX" w:eastAsia="es-CO"/>
        </w:rPr>
      </w:pPr>
      <w:r w:rsidRPr="000E6777">
        <w:rPr>
          <w:rFonts w:ascii="Verdana" w:eastAsia="Times New Roman" w:hAnsi="Verdana" w:cs="Arial"/>
          <w:sz w:val="20"/>
          <w:szCs w:val="20"/>
          <w:lang w:val="es-MX" w:eastAsia="x-none"/>
        </w:rPr>
        <w:t xml:space="preserve">De otro lado, 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0E6777">
        <w:rPr>
          <w:rFonts w:ascii="Verdana" w:eastAsia="Times New Roman" w:hAnsi="Verdana" w:cs="Arial"/>
          <w:sz w:val="20"/>
          <w:szCs w:val="20"/>
          <w:lang w:val="es-MX" w:eastAsia="x-none"/>
        </w:rPr>
        <w:t>ii</w:t>
      </w:r>
      <w:proofErr w:type="spellEnd"/>
      <w:r w:rsidRPr="000E6777">
        <w:rPr>
          <w:rFonts w:ascii="Verdana" w:eastAsia="Times New Roman" w:hAnsi="Verdana" w:cs="Arial"/>
          <w:sz w:val="20"/>
          <w:szCs w:val="20"/>
          <w:lang w:val="es-MX" w:eastAsia="x-none"/>
        </w:rPr>
        <w:t xml:space="preserve">) los contratos de crédito público; </w:t>
      </w:r>
      <w:proofErr w:type="spellStart"/>
      <w:r w:rsidRPr="000E6777">
        <w:rPr>
          <w:rFonts w:ascii="Verdana" w:eastAsia="Times New Roman" w:hAnsi="Verdana" w:cs="Arial"/>
          <w:sz w:val="20"/>
          <w:szCs w:val="20"/>
          <w:lang w:val="es-MX" w:eastAsia="x-none"/>
        </w:rPr>
        <w:t>iii</w:t>
      </w:r>
      <w:proofErr w:type="spellEnd"/>
      <w:r w:rsidRPr="000E6777">
        <w:rPr>
          <w:rFonts w:ascii="Verdana" w:eastAsia="Times New Roman" w:hAnsi="Verdana" w:cs="Arial"/>
          <w:sz w:val="20"/>
          <w:szCs w:val="20"/>
          <w:lang w:val="es-MX" w:eastAsia="x-none"/>
        </w:rPr>
        <w:t xml:space="preserve">) los requeridos para cubrir las emergencias educativas, sanitarias y desastres; </w:t>
      </w:r>
      <w:proofErr w:type="spellStart"/>
      <w:r w:rsidRPr="000E6777">
        <w:rPr>
          <w:rFonts w:ascii="Verdana" w:eastAsia="Times New Roman" w:hAnsi="Verdana" w:cs="Arial"/>
          <w:sz w:val="20"/>
          <w:szCs w:val="20"/>
          <w:lang w:val="es-MX" w:eastAsia="x-none"/>
        </w:rPr>
        <w:t>iv</w:t>
      </w:r>
      <w:proofErr w:type="spellEnd"/>
      <w:r w:rsidRPr="000E6777">
        <w:rPr>
          <w:rFonts w:ascii="Verdana" w:eastAsia="Times New Roman" w:hAnsi="Verdana" w:cs="Arial"/>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0E6777">
        <w:rPr>
          <w:rFonts w:ascii="Verdana" w:eastAsia="Times New Roman" w:hAnsi="Verdana" w:cs="Arial"/>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CD3FC31" w14:textId="238592D1" w:rsidR="00365084" w:rsidRDefault="00365084" w:rsidP="00365084">
      <w:pPr>
        <w:tabs>
          <w:tab w:val="left" w:pos="4312"/>
        </w:tabs>
        <w:spacing w:after="0" w:line="276" w:lineRule="auto"/>
        <w:jc w:val="both"/>
        <w:rPr>
          <w:rFonts w:ascii="Verdana" w:eastAsia="Times New Roman" w:hAnsi="Verdana" w:cs="Arial"/>
          <w:sz w:val="21"/>
          <w:szCs w:val="21"/>
          <w:lang w:val="es-MX" w:eastAsia="x-none"/>
        </w:rPr>
      </w:pPr>
      <w:r w:rsidRPr="000E6777">
        <w:rPr>
          <w:rFonts w:ascii="Verdana" w:eastAsia="Times New Roman" w:hAnsi="Verdana" w:cs="Arial"/>
          <w:sz w:val="20"/>
          <w:szCs w:val="20"/>
          <w:lang w:val="es-MX" w:eastAsia="x-none"/>
        </w:rPr>
        <w:t>En esta labor es importante tener en cuenta, como lo anotó la Corte Constitucional, en Sentencia C-1153 de noviembre 11 de 2005</w:t>
      </w:r>
      <w:r w:rsidRPr="000E6777">
        <w:rPr>
          <w:rFonts w:ascii="Verdana" w:eastAsia="Calibri" w:hAnsi="Verdana" w:cs="Arial"/>
          <w:sz w:val="20"/>
          <w:szCs w:val="20"/>
          <w:lang w:val="es-MX"/>
        </w:rPr>
        <w:t>,</w:t>
      </w:r>
      <w:r w:rsidRPr="000E6777">
        <w:rPr>
          <w:rFonts w:ascii="Verdana" w:eastAsia="Times New Roman" w:hAnsi="Verdana" w:cs="Arial"/>
          <w:sz w:val="20"/>
          <w:szCs w:val="20"/>
          <w:lang w:val="es-MX" w:eastAsia="x-none"/>
        </w:rPr>
        <w:t xml:space="preserve"> que “si bien la limitación garantiza la igualdad de condiciones, también es necesario que tal limitación que pretende la </w:t>
      </w:r>
      <w:r w:rsidRPr="000E6777">
        <w:rPr>
          <w:rFonts w:ascii="Verdana" w:eastAsia="Times New Roman" w:hAnsi="Verdana" w:cs="Arial"/>
          <w:sz w:val="20"/>
          <w:szCs w:val="20"/>
          <w:lang w:val="es-MX" w:eastAsia="x-none"/>
        </w:rPr>
        <w:lastRenderedPageBreak/>
        <w:t xml:space="preserve">igualdad no termine yendo en detrimento de intereses públicos, cuya garantía está en cabeza del ejecutivo, como son los inmersos en las excepciones para la prohibición de contratación”.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0E6777">
        <w:rPr>
          <w:rFonts w:ascii="Verdana" w:eastAsia="Times New Roman" w:hAnsi="Verdana" w:cs="Arial"/>
          <w:sz w:val="20"/>
          <w:szCs w:val="20"/>
          <w:lang w:val="es-MX" w:eastAsia="es-CO"/>
        </w:rPr>
        <w:t>candidatos</w:t>
      </w:r>
      <w:r w:rsidRPr="000E6777">
        <w:rPr>
          <w:rFonts w:ascii="Verdana" w:eastAsia="Times New Roman" w:hAnsi="Verdana" w:cs="Arial"/>
          <w:sz w:val="20"/>
          <w:szCs w:val="20"/>
          <w:lang w:val="es-MX" w:eastAsia="x-none"/>
        </w:rPr>
        <w:t xml:space="preserve"> como garantía electoral</w:t>
      </w:r>
      <w:r w:rsidRPr="00365084">
        <w:rPr>
          <w:rFonts w:ascii="Verdana" w:eastAsia="Times New Roman" w:hAnsi="Verdana" w:cs="Arial"/>
          <w:sz w:val="21"/>
          <w:szCs w:val="21"/>
          <w:lang w:val="es-MX" w:eastAsia="x-none"/>
        </w:rPr>
        <w:t>.</w:t>
      </w:r>
    </w:p>
    <w:p w14:paraId="622E05C5" w14:textId="77777777" w:rsidR="00365084" w:rsidRPr="00365084" w:rsidRDefault="00365084" w:rsidP="00365084">
      <w:pPr>
        <w:tabs>
          <w:tab w:val="left" w:pos="4312"/>
        </w:tabs>
        <w:spacing w:after="0" w:line="276" w:lineRule="auto"/>
        <w:jc w:val="both"/>
        <w:rPr>
          <w:rFonts w:ascii="Verdana" w:eastAsia="Times New Roman" w:hAnsi="Verdana" w:cs="Arial"/>
          <w:sz w:val="21"/>
          <w:szCs w:val="21"/>
          <w:lang w:val="es-MX" w:eastAsia="x-none"/>
        </w:rPr>
      </w:pPr>
    </w:p>
    <w:p w14:paraId="03D00701" w14:textId="5EA97459" w:rsidR="00365084" w:rsidRPr="00365084" w:rsidRDefault="00365084" w:rsidP="00582C1A">
      <w:pPr>
        <w:rPr>
          <w:rFonts w:ascii="Verdana" w:eastAsia="Geomanist Light" w:hAnsi="Verdana" w:cs="Arial"/>
          <w:b/>
          <w:bCs/>
          <w:color w:val="000000" w:themeColor="text1"/>
          <w:lang w:val="es-MX"/>
        </w:rPr>
      </w:pPr>
      <w:r w:rsidRPr="00365084">
        <w:rPr>
          <w:rFonts w:ascii="Verdana" w:eastAsia="Times New Roman" w:hAnsi="Verdana" w:cs="Arial"/>
          <w:b/>
          <w:bCs/>
          <w:lang w:eastAsia="es-ES_tradnl"/>
        </w:rPr>
        <w:t>DECRETO 092 DE 2017 – Convenios de asociación / LEY DE GARANTÍAS - Aplicación en convenios de asociación</w:t>
      </w:r>
    </w:p>
    <w:p w14:paraId="0B48FF0C" w14:textId="6A1ADC62" w:rsidR="000E6777" w:rsidRPr="000E6777" w:rsidRDefault="000E6777" w:rsidP="000E6777">
      <w:pPr>
        <w:spacing w:before="120" w:after="120" w:line="276" w:lineRule="auto"/>
        <w:jc w:val="both"/>
        <w:rPr>
          <w:rFonts w:ascii="Verdana" w:eastAsia="Calibri" w:hAnsi="Verdana" w:cs="Arial"/>
          <w:sz w:val="20"/>
          <w:szCs w:val="20"/>
          <w:lang w:val="es-ES"/>
        </w:rPr>
      </w:pPr>
      <w:r w:rsidRPr="000E6777">
        <w:rPr>
          <w:rFonts w:ascii="Verdana" w:eastAsia="Times New Roman" w:hAnsi="Verdana" w:cs="Arial"/>
          <w:sz w:val="20"/>
          <w:szCs w:val="20"/>
          <w:lang w:val="es-MX" w:eastAsia="es-CO"/>
        </w:rPr>
        <w:t xml:space="preserve">[…] </w:t>
      </w:r>
      <w:r w:rsidRPr="000E6777">
        <w:rPr>
          <w:rFonts w:ascii="Verdana" w:eastAsia="Times New Roman" w:hAnsi="Verdana" w:cs="Arial"/>
          <w:sz w:val="20"/>
          <w:szCs w:val="20"/>
          <w:lang w:val="es-MX" w:eastAsia="es-CO"/>
        </w:rPr>
        <w:t>debe advertirse que e</w:t>
      </w:r>
      <w:r w:rsidRPr="000E6777">
        <w:rPr>
          <w:rFonts w:ascii="Verdana" w:eastAsia="Calibri" w:hAnsi="Verdana" w:cs="Arial"/>
          <w:sz w:val="20"/>
          <w:szCs w:val="20"/>
          <w:lang w:val="es-ES"/>
        </w:rPr>
        <w:t xml:space="preserve">l Decreto 092 de 2017 dispone reglas para las contrataciones que realicen las entidades estatales con las Entidades Sin Ánimo de Lucro – en adelante ESAL –.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0E6777">
        <w:rPr>
          <w:rFonts w:ascii="Verdana" w:eastAsia="Calibri" w:hAnsi="Verdana" w:cs="Arial"/>
          <w:sz w:val="20"/>
          <w:szCs w:val="20"/>
          <w:lang w:val="es-ES"/>
        </w:rPr>
        <w:t>ii</w:t>
      </w:r>
      <w:proofErr w:type="spellEnd"/>
      <w:r w:rsidRPr="000E6777">
        <w:rPr>
          <w:rFonts w:ascii="Verdana" w:eastAsia="Calibri" w:hAnsi="Verdana" w:cs="Arial"/>
          <w:sz w:val="20"/>
          <w:szCs w:val="20"/>
          <w:lang w:val="es-ES"/>
        </w:rPr>
        <w:t xml:space="preserve">) los convenios de asociación, para el desarrollo conjunto de actividades relacionadas con las funciones de las entidades estatales, en desarrollo del artículo 96 de la Ley 489 de 1998. </w:t>
      </w:r>
    </w:p>
    <w:p w14:paraId="0A6D173A" w14:textId="77777777" w:rsidR="000E6777" w:rsidRPr="000E6777" w:rsidRDefault="000E6777" w:rsidP="000E6777">
      <w:pPr>
        <w:spacing w:before="120" w:after="120" w:line="276" w:lineRule="auto"/>
        <w:jc w:val="both"/>
        <w:rPr>
          <w:rFonts w:ascii="Verdana" w:eastAsia="Calibri" w:hAnsi="Verdana" w:cs="Arial"/>
          <w:sz w:val="20"/>
          <w:szCs w:val="20"/>
          <w:lang w:val="es-ES"/>
        </w:rPr>
      </w:pPr>
      <w:r w:rsidRPr="000E6777">
        <w:rPr>
          <w:rFonts w:ascii="Verdana" w:eastAsia="Calibri" w:hAnsi="Verdana" w:cs="Arial"/>
          <w:sz w:val="20"/>
          <w:szCs w:val="20"/>
          <w:lang w:val="es-ES"/>
        </w:rPr>
        <w:t xml:space="preserve">Para celebrar el primer tipo de contratos, según lo establece el artículo 3 del Decreto 092 de 2017, la entidad debe adelantar un proceso competitivo para seleccionar la entidad sin ánimo de lucro que ejecutará el contrato. 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p w14:paraId="7B490251" w14:textId="77777777" w:rsidR="000E6777" w:rsidRDefault="000E6777" w:rsidP="000E6777">
      <w:pPr>
        <w:spacing w:before="120" w:after="120" w:line="276" w:lineRule="auto"/>
        <w:jc w:val="both"/>
        <w:rPr>
          <w:rFonts w:ascii="Verdana" w:eastAsia="Calibri" w:hAnsi="Verdana" w:cs="Arial"/>
          <w:sz w:val="20"/>
          <w:szCs w:val="20"/>
          <w:lang w:val="es-ES"/>
        </w:rPr>
      </w:pPr>
      <w:r w:rsidRPr="000E6777">
        <w:rPr>
          <w:rFonts w:ascii="Verdana" w:eastAsia="Calibri" w:hAnsi="Verdana" w:cs="Arial"/>
          <w:sz w:val="20"/>
          <w:szCs w:val="20"/>
          <w:lang w:val="es-ES"/>
        </w:rPr>
        <w:t xml:space="preserve">De otro lado, la celebración de los </w:t>
      </w:r>
      <w:r w:rsidRPr="000E6777">
        <w:rPr>
          <w:rFonts w:ascii="Verdana" w:eastAsia="Calibri" w:hAnsi="Verdana" w:cs="Arial"/>
          <w:i/>
          <w:sz w:val="20"/>
          <w:szCs w:val="20"/>
          <w:lang w:val="es-ES"/>
        </w:rPr>
        <w:t xml:space="preserve">convenios de asociación </w:t>
      </w:r>
      <w:r w:rsidRPr="000E6777">
        <w:rPr>
          <w:rFonts w:ascii="Verdana" w:eastAsia="Calibri" w:hAnsi="Verdana" w:cs="Arial"/>
          <w:sz w:val="20"/>
          <w:szCs w:val="20"/>
          <w:lang w:val="es-ES"/>
        </w:rPr>
        <w:t xml:space="preserve">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Lo anterior, a excepción de la posibilidad celebrar convenios de asociación de manera directa, en aquellos casos en los que una ESAL aporte el treinta por ciento (30%) de los recursos en dinero requeridos, supuesto que, al excluir la pluralidad de oferentes, y celebrarse de firma directa, si se encuentra dentro del ámbito de aplicación de la mencionada prohibición, de manera que no es posible su aplicación en vigencia de la Ley de Garantías Electorales.  </w:t>
      </w:r>
    </w:p>
    <w:p w14:paraId="61282582" w14:textId="77777777" w:rsidR="000E6777" w:rsidRDefault="000E6777" w:rsidP="000E6777">
      <w:pPr>
        <w:spacing w:before="120" w:after="120" w:line="276" w:lineRule="auto"/>
        <w:jc w:val="both"/>
        <w:rPr>
          <w:rFonts w:ascii="Verdana" w:eastAsia="Geomanist Light" w:hAnsi="Verdana" w:cs="Arial"/>
          <w:color w:val="000000" w:themeColor="text1"/>
          <w:lang w:val="es-MX"/>
        </w:rPr>
      </w:pPr>
    </w:p>
    <w:p w14:paraId="49F763B3" w14:textId="77777777" w:rsidR="000E6777" w:rsidRDefault="000E6777" w:rsidP="000E6777">
      <w:pPr>
        <w:spacing w:before="120" w:after="120" w:line="276" w:lineRule="auto"/>
        <w:jc w:val="both"/>
        <w:rPr>
          <w:rFonts w:ascii="Verdana" w:eastAsia="Geomanist Light" w:hAnsi="Verdana" w:cs="Arial"/>
          <w:color w:val="000000" w:themeColor="text1"/>
          <w:lang w:val="es-MX"/>
        </w:rPr>
      </w:pPr>
    </w:p>
    <w:p w14:paraId="71B81EB4" w14:textId="77777777" w:rsidR="000E6777" w:rsidRDefault="000E6777" w:rsidP="000E6777">
      <w:pPr>
        <w:spacing w:before="120" w:after="120" w:line="276" w:lineRule="auto"/>
        <w:jc w:val="both"/>
        <w:rPr>
          <w:rFonts w:ascii="Verdana" w:eastAsia="Geomanist Light" w:hAnsi="Verdana" w:cs="Arial"/>
          <w:color w:val="000000" w:themeColor="text1"/>
          <w:lang w:val="es-MX"/>
        </w:rPr>
      </w:pPr>
    </w:p>
    <w:p w14:paraId="58721875" w14:textId="0ECE3465" w:rsidR="00582C1A" w:rsidRPr="000E6777" w:rsidRDefault="00582C1A" w:rsidP="000E6777">
      <w:pPr>
        <w:spacing w:before="120" w:after="120" w:line="276" w:lineRule="auto"/>
        <w:jc w:val="both"/>
        <w:rPr>
          <w:rFonts w:ascii="Verdana" w:eastAsia="Calibri" w:hAnsi="Verdana" w:cs="Arial"/>
          <w:sz w:val="20"/>
          <w:szCs w:val="20"/>
          <w:lang w:val="es-ES"/>
        </w:rPr>
      </w:pPr>
      <w:r w:rsidRPr="00E959BB">
        <w:rPr>
          <w:rFonts w:ascii="Verdana" w:eastAsia="Geomanist Light" w:hAnsi="Verdana" w:cs="Arial"/>
          <w:color w:val="000000" w:themeColor="text1"/>
          <w:lang w:val="es-MX"/>
        </w:rPr>
        <w:lastRenderedPageBreak/>
        <w:t>Bogotá D.C., </w:t>
      </w:r>
      <w:r w:rsidR="000E6777">
        <w:rPr>
          <w:rFonts w:ascii="Verdana" w:eastAsia="Geomanist Light" w:hAnsi="Verdana" w:cs="Arial"/>
          <w:color w:val="201F1E"/>
          <w:lang w:val="es-MX"/>
        </w:rPr>
        <w:t>13</w:t>
      </w:r>
      <w:r w:rsidRPr="00E959BB">
        <w:rPr>
          <w:rFonts w:ascii="Verdana" w:eastAsia="Geomanist Light" w:hAnsi="Verdana" w:cs="Arial"/>
          <w:color w:val="201F1E"/>
          <w:lang w:val="es-MX"/>
        </w:rPr>
        <w:t xml:space="preserve"> de</w:t>
      </w:r>
      <w:r w:rsidR="000E6777">
        <w:rPr>
          <w:rFonts w:ascii="Verdana" w:eastAsia="Geomanist Light" w:hAnsi="Verdana" w:cs="Arial"/>
          <w:color w:val="201F1E"/>
          <w:lang w:val="es-MX"/>
        </w:rPr>
        <w:t xml:space="preserve"> marzo</w:t>
      </w:r>
      <w:r w:rsidRPr="00E959BB">
        <w:rPr>
          <w:rFonts w:ascii="Verdana" w:eastAsia="Geomanist Light" w:hAnsi="Verdana" w:cs="Arial"/>
          <w:color w:val="201F1E"/>
          <w:lang w:val="es-MX"/>
        </w:rPr>
        <w:t xml:space="preserve"> de </w:t>
      </w:r>
      <w:r w:rsidR="000E6777">
        <w:rPr>
          <w:rFonts w:ascii="Verdana" w:eastAsia="Geomanist Light" w:hAnsi="Verdana" w:cs="Arial"/>
          <w:color w:val="201F1E"/>
          <w:lang w:val="es-MX"/>
        </w:rPr>
        <w:t>2026</w:t>
      </w:r>
    </w:p>
    <w:p w14:paraId="2C212E80" w14:textId="77777777" w:rsidR="00582C1A" w:rsidRPr="00FF007A" w:rsidRDefault="00582C1A" w:rsidP="00582C1A">
      <w:pPr>
        <w:spacing w:after="0" w:line="240" w:lineRule="auto"/>
        <w:rPr>
          <w:rFonts w:ascii="Verdana" w:eastAsia="Calibri" w:hAnsi="Verdana" w:cs="Arial"/>
          <w:lang w:eastAsia="es-ES"/>
        </w:rPr>
      </w:pPr>
    </w:p>
    <w:p w14:paraId="71F6170E" w14:textId="03C3048D" w:rsidR="000E6777" w:rsidRDefault="000E6777" w:rsidP="000E6777">
      <w:pPr>
        <w:spacing w:after="0" w:line="240" w:lineRule="auto"/>
        <w:ind w:left="4956"/>
        <w:jc w:val="both"/>
        <w:rPr>
          <w:rFonts w:ascii="Verdana" w:eastAsia="Calibri" w:hAnsi="Verdana" w:cs="Arial"/>
          <w:lang w:eastAsia="es-ES"/>
        </w:rPr>
      </w:pPr>
      <w:r w:rsidRPr="000E6777">
        <w:rPr>
          <w:rFonts w:ascii="Verdana" w:eastAsia="Calibri" w:hAnsi="Verdana" w:cs="Arial"/>
          <w:lang w:eastAsia="es-ES"/>
        </w:rPr>
        <w:drawing>
          <wp:inline distT="0" distB="0" distL="0" distR="0" wp14:anchorId="6B923511" wp14:editId="630AAE95">
            <wp:extent cx="2514951" cy="752580"/>
            <wp:effectExtent l="0" t="0" r="0" b="9525"/>
            <wp:docPr id="11456904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690485" name=""/>
                    <pic:cNvPicPr/>
                  </pic:nvPicPr>
                  <pic:blipFill>
                    <a:blip r:embed="rId10"/>
                    <a:stretch>
                      <a:fillRect/>
                    </a:stretch>
                  </pic:blipFill>
                  <pic:spPr>
                    <a:xfrm>
                      <a:off x="0" y="0"/>
                      <a:ext cx="2514951" cy="752580"/>
                    </a:xfrm>
                    <a:prstGeom prst="rect">
                      <a:avLst/>
                    </a:prstGeom>
                  </pic:spPr>
                </pic:pic>
              </a:graphicData>
            </a:graphic>
          </wp:inline>
        </w:drawing>
      </w:r>
    </w:p>
    <w:p w14:paraId="1001B0DB" w14:textId="3E1976FA" w:rsidR="00582C1A" w:rsidRPr="00FF007A" w:rsidRDefault="00582C1A" w:rsidP="00582C1A">
      <w:pPr>
        <w:spacing w:after="0" w:line="240" w:lineRule="auto"/>
        <w:jc w:val="both"/>
        <w:rPr>
          <w:rFonts w:ascii="Verdana" w:eastAsia="Calibri" w:hAnsi="Verdana" w:cs="Arial"/>
          <w:lang w:eastAsia="es-ES"/>
        </w:rPr>
      </w:pPr>
      <w:r w:rsidRPr="00FF007A">
        <w:rPr>
          <w:rFonts w:ascii="Verdana" w:eastAsia="Calibri" w:hAnsi="Verdana" w:cs="Arial"/>
          <w:lang w:eastAsia="es-ES"/>
        </w:rPr>
        <w:t>Señor</w:t>
      </w:r>
    </w:p>
    <w:p w14:paraId="2BEA788F" w14:textId="77777777" w:rsidR="00582C1A" w:rsidRDefault="00582C1A" w:rsidP="00582C1A">
      <w:pPr>
        <w:spacing w:after="0" w:line="240" w:lineRule="auto"/>
        <w:jc w:val="both"/>
        <w:rPr>
          <w:rFonts w:ascii="Verdana" w:eastAsia="Calibri" w:hAnsi="Verdana" w:cs="Arial"/>
          <w:b/>
          <w:lang w:eastAsia="es-ES_tradnl"/>
        </w:rPr>
      </w:pPr>
      <w:r>
        <w:rPr>
          <w:rFonts w:ascii="Verdana" w:eastAsia="Calibri" w:hAnsi="Verdana" w:cs="Arial"/>
          <w:b/>
          <w:lang w:eastAsia="es-ES_tradnl"/>
        </w:rPr>
        <w:t>Jairo Emiro Ortega Anillo</w:t>
      </w:r>
    </w:p>
    <w:p w14:paraId="5D1FC5DD" w14:textId="70EEF131" w:rsidR="00582C1A" w:rsidRDefault="003F3FF5" w:rsidP="00582C1A">
      <w:pPr>
        <w:spacing w:after="0" w:line="240" w:lineRule="auto"/>
        <w:jc w:val="both"/>
        <w:rPr>
          <w:rFonts w:ascii="Verdana" w:eastAsia="Calibri" w:hAnsi="Verdana" w:cs="Arial"/>
          <w:bCs/>
          <w:lang w:eastAsia="es-ES_tradnl"/>
        </w:rPr>
      </w:pPr>
      <w:hyperlink r:id="rId11" w:history="1">
        <w:r w:rsidRPr="00E13992">
          <w:rPr>
            <w:rStyle w:val="Hipervnculo"/>
            <w:rFonts w:ascii="Verdana" w:eastAsia="Calibri" w:hAnsi="Verdana" w:cs="Arial"/>
            <w:bCs/>
            <w:lang w:eastAsia="es-ES_tradnl"/>
          </w:rPr>
          <w:t>abogadojairoortega@gmail.com</w:t>
        </w:r>
      </w:hyperlink>
      <w:r w:rsidR="00582C1A" w:rsidRPr="00E42616">
        <w:rPr>
          <w:rFonts w:ascii="Verdana" w:eastAsia="Calibri" w:hAnsi="Verdana" w:cs="Arial"/>
          <w:bCs/>
          <w:lang w:eastAsia="es-ES_tradnl"/>
        </w:rPr>
        <w:t xml:space="preserve"> </w:t>
      </w:r>
    </w:p>
    <w:p w14:paraId="26F686CE" w14:textId="77777777" w:rsidR="00582C1A" w:rsidRPr="00E42616" w:rsidRDefault="00582C1A" w:rsidP="00582C1A">
      <w:pPr>
        <w:spacing w:after="0" w:line="240" w:lineRule="auto"/>
        <w:jc w:val="both"/>
        <w:rPr>
          <w:rFonts w:ascii="Verdana" w:eastAsia="Calibri" w:hAnsi="Verdana" w:cs="Arial"/>
          <w:bCs/>
          <w:lang w:eastAsia="es-ES_tradnl"/>
        </w:rPr>
      </w:pPr>
      <w:r>
        <w:rPr>
          <w:rFonts w:ascii="Verdana" w:eastAsia="Calibri" w:hAnsi="Verdana" w:cs="Arial"/>
          <w:bCs/>
          <w:lang w:eastAsia="es-ES_tradnl"/>
        </w:rPr>
        <w:t>Municipio de San Jacinto, Bolivar</w:t>
      </w:r>
      <w:r w:rsidRPr="00E42616">
        <w:rPr>
          <w:rFonts w:ascii="Verdana" w:eastAsia="Calibri" w:hAnsi="Verdana" w:cs="Arial"/>
          <w:bCs/>
          <w:lang w:eastAsia="es-ES_tradnl"/>
        </w:rPr>
        <w:t xml:space="preserve"> </w:t>
      </w:r>
    </w:p>
    <w:p w14:paraId="5A9E464E" w14:textId="77777777" w:rsidR="00582C1A" w:rsidRDefault="00582C1A" w:rsidP="00582C1A">
      <w:pPr>
        <w:spacing w:after="0" w:line="240" w:lineRule="auto"/>
        <w:jc w:val="both"/>
        <w:rPr>
          <w:rFonts w:ascii="Verdana" w:eastAsia="Calibri" w:hAnsi="Verdana" w:cs="Arial"/>
          <w:b/>
          <w:bCs/>
          <w:color w:val="000000"/>
          <w:lang w:eastAsia="es-ES_tradnl"/>
        </w:rPr>
      </w:pPr>
    </w:p>
    <w:p w14:paraId="04FC0464" w14:textId="77777777" w:rsidR="00582C1A" w:rsidRPr="00FF007A" w:rsidRDefault="00582C1A" w:rsidP="00582C1A">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582C1A" w:rsidRPr="00FF007A" w14:paraId="1F6D2796" w14:textId="77777777" w:rsidTr="00582C1A">
        <w:trPr>
          <w:trHeight w:val="162"/>
        </w:trPr>
        <w:tc>
          <w:tcPr>
            <w:tcW w:w="3119" w:type="dxa"/>
          </w:tcPr>
          <w:p w14:paraId="534132F0" w14:textId="77777777" w:rsidR="00582C1A" w:rsidRPr="00FF007A" w:rsidRDefault="00582C1A" w:rsidP="00211F61">
            <w:pPr>
              <w:jc w:val="both"/>
              <w:rPr>
                <w:rFonts w:ascii="Verdana" w:eastAsia="Calibri" w:hAnsi="Verdana" w:cs="Arial"/>
                <w:b/>
                <w:bCs/>
                <w:color w:val="7030A0"/>
                <w:lang w:eastAsia="es-ES_tradnl"/>
              </w:rPr>
            </w:pPr>
          </w:p>
        </w:tc>
        <w:tc>
          <w:tcPr>
            <w:tcW w:w="5670" w:type="dxa"/>
          </w:tcPr>
          <w:p w14:paraId="074C0D63" w14:textId="77777777" w:rsidR="00582C1A" w:rsidRPr="00FF007A" w:rsidRDefault="00582C1A" w:rsidP="00211F61">
            <w:pPr>
              <w:jc w:val="both"/>
              <w:rPr>
                <w:rFonts w:ascii="Verdana" w:eastAsia="Calibri" w:hAnsi="Verdana" w:cs="Arial"/>
                <w:b/>
                <w:bCs/>
                <w:lang w:eastAsia="es-ES"/>
              </w:rPr>
            </w:pPr>
            <w:r w:rsidRPr="00FF007A">
              <w:rPr>
                <w:rFonts w:ascii="Verdana" w:eastAsia="Calibri" w:hAnsi="Verdana" w:cs="Arial"/>
                <w:b/>
                <w:bCs/>
                <w:lang w:eastAsia="es-ES"/>
              </w:rPr>
              <w:t>Concepto C-1</w:t>
            </w:r>
            <w:r>
              <w:rPr>
                <w:rFonts w:ascii="Verdana" w:eastAsia="Calibri" w:hAnsi="Verdana" w:cs="Arial"/>
                <w:b/>
                <w:bCs/>
                <w:lang w:eastAsia="es-ES"/>
              </w:rPr>
              <w:t>56</w:t>
            </w:r>
            <w:r w:rsidRPr="00FF007A">
              <w:rPr>
                <w:rFonts w:ascii="Verdana" w:eastAsia="Calibri" w:hAnsi="Verdana" w:cs="Arial"/>
                <w:b/>
                <w:bCs/>
                <w:lang w:eastAsia="es-ES"/>
              </w:rPr>
              <w:t xml:space="preserve"> de 202</w:t>
            </w:r>
            <w:r>
              <w:rPr>
                <w:rFonts w:ascii="Verdana" w:eastAsia="Calibri" w:hAnsi="Verdana" w:cs="Arial"/>
                <w:b/>
                <w:bCs/>
                <w:lang w:eastAsia="es-ES"/>
              </w:rPr>
              <w:t>6</w:t>
            </w:r>
          </w:p>
          <w:p w14:paraId="0BAA4D89" w14:textId="77777777" w:rsidR="00582C1A" w:rsidRPr="00FF007A" w:rsidRDefault="00582C1A" w:rsidP="00211F61">
            <w:pPr>
              <w:jc w:val="both"/>
              <w:rPr>
                <w:rFonts w:ascii="Verdana" w:eastAsia="Calibri" w:hAnsi="Verdana" w:cs="Arial"/>
                <w:b/>
                <w:bCs/>
                <w:color w:val="7030A0"/>
                <w:lang w:eastAsia="es-ES"/>
              </w:rPr>
            </w:pPr>
          </w:p>
        </w:tc>
      </w:tr>
      <w:tr w:rsidR="00582C1A" w:rsidRPr="00FF007A" w14:paraId="67B321C5" w14:textId="77777777" w:rsidTr="00582C1A">
        <w:trPr>
          <w:trHeight w:val="884"/>
        </w:trPr>
        <w:tc>
          <w:tcPr>
            <w:tcW w:w="3119" w:type="dxa"/>
          </w:tcPr>
          <w:p w14:paraId="39945C6A" w14:textId="77777777" w:rsidR="00582C1A" w:rsidRPr="00FF007A" w:rsidRDefault="00582C1A" w:rsidP="00211F61">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670" w:type="dxa"/>
          </w:tcPr>
          <w:p w14:paraId="0BAA2DD2" w14:textId="77777777" w:rsidR="00582C1A" w:rsidRDefault="00582C1A" w:rsidP="00211F61">
            <w:pPr>
              <w:spacing w:line="276" w:lineRule="auto"/>
              <w:jc w:val="both"/>
              <w:rPr>
                <w:rFonts w:ascii="Verdana" w:eastAsia="Times New Roman" w:hAnsi="Verdana" w:cs="Arial"/>
                <w:lang w:eastAsia="es-ES_tradnl"/>
              </w:rPr>
            </w:pPr>
            <w:r w:rsidRPr="00EA45F7">
              <w:rPr>
                <w:rFonts w:ascii="Verdana" w:hAnsi="Verdana" w:cs="Arial"/>
                <w:lang w:val="es-MX" w:eastAsia="es-ES_tradnl"/>
              </w:rPr>
              <w:t xml:space="preserve">LEY DE GARANTÍAS ELECTORALES </w:t>
            </w:r>
            <w:r w:rsidRPr="00EA45F7">
              <w:rPr>
                <w:rFonts w:ascii="Verdana" w:hAnsi="Verdana" w:cs="Arial"/>
                <w:bCs/>
                <w:lang w:val="es-MX" w:eastAsia="es-ES_tradnl"/>
              </w:rPr>
              <w:t>‒</w:t>
            </w:r>
            <w:r w:rsidRPr="00EA45F7">
              <w:rPr>
                <w:rFonts w:ascii="Verdana" w:hAnsi="Verdana" w:cs="Arial"/>
                <w:lang w:val="es-MX" w:eastAsia="es-ES_tradnl"/>
              </w:rPr>
              <w:t xml:space="preserve"> Finalidad / LEY DE GARANTÍAS ELECTORALES </w:t>
            </w:r>
            <w:r w:rsidRPr="00EA45F7">
              <w:rPr>
                <w:rFonts w:ascii="Verdana" w:hAnsi="Verdana" w:cs="Arial"/>
                <w:bCs/>
                <w:lang w:val="es-MX" w:eastAsia="es-ES_tradnl"/>
              </w:rPr>
              <w:t>‒</w:t>
            </w:r>
            <w:r w:rsidRPr="00EA45F7">
              <w:rPr>
                <w:rFonts w:ascii="Verdana" w:hAnsi="Verdana" w:cs="Arial"/>
                <w:lang w:val="es-MX" w:eastAsia="es-ES_tradnl"/>
              </w:rPr>
              <w:t xml:space="preserve"> Prohibición - Contratación directa / </w:t>
            </w:r>
            <w:r w:rsidRPr="00EA45F7">
              <w:rPr>
                <w:rFonts w:ascii="Verdana" w:eastAsia="Times New Roman" w:hAnsi="Verdana" w:cs="Arial"/>
                <w:lang w:eastAsia="es-ES_tradnl"/>
              </w:rPr>
              <w:t xml:space="preserve">LEY DE GARANTÍAS ELECTORALES ─ Prohibición ‒ Contratación directa ‒ </w:t>
            </w:r>
            <w:proofErr w:type="spellStart"/>
            <w:r w:rsidRPr="00EA45F7">
              <w:rPr>
                <w:rFonts w:ascii="Verdana" w:eastAsia="Times New Roman" w:hAnsi="Verdana" w:cs="Arial"/>
                <w:lang w:eastAsia="es-ES_tradnl"/>
              </w:rPr>
              <w:t>Excepcion</w:t>
            </w:r>
            <w:proofErr w:type="spellEnd"/>
            <w:r w:rsidRPr="00EA45F7">
              <w:rPr>
                <w:rFonts w:ascii="Verdana" w:eastAsia="Times New Roman" w:hAnsi="Verdana" w:cs="Arial"/>
                <w:lang w:eastAsia="es-ES_tradnl"/>
              </w:rPr>
              <w:t xml:space="preserve"> / DECRETO 092 DE 2017 – Convenios de asociación / LEY DE GARANTÍAS - Aplicación en convenios de asociación</w:t>
            </w:r>
          </w:p>
          <w:p w14:paraId="1AAC8691" w14:textId="77777777" w:rsidR="00582C1A" w:rsidRPr="00AA15A4" w:rsidRDefault="00582C1A" w:rsidP="00211F61">
            <w:pPr>
              <w:spacing w:line="276" w:lineRule="auto"/>
              <w:jc w:val="both"/>
              <w:rPr>
                <w:rFonts w:ascii="Verdana" w:hAnsi="Verdana" w:cs="Arial"/>
                <w:color w:val="000000" w:themeColor="text1"/>
                <w:lang w:val="es-ES"/>
              </w:rPr>
            </w:pPr>
          </w:p>
        </w:tc>
      </w:tr>
      <w:tr w:rsidR="00582C1A" w:rsidRPr="00FF007A" w14:paraId="4A2BBF92" w14:textId="77777777" w:rsidTr="00582C1A">
        <w:tc>
          <w:tcPr>
            <w:tcW w:w="3119" w:type="dxa"/>
          </w:tcPr>
          <w:p w14:paraId="5E236C24" w14:textId="77777777" w:rsidR="00582C1A" w:rsidRPr="00FF007A" w:rsidRDefault="00582C1A" w:rsidP="00211F61">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670" w:type="dxa"/>
          </w:tcPr>
          <w:p w14:paraId="0FF8784C" w14:textId="77777777" w:rsidR="00582C1A" w:rsidRPr="00FF007A" w:rsidRDefault="00582C1A" w:rsidP="00211F61">
            <w:pPr>
              <w:jc w:val="both"/>
              <w:rPr>
                <w:rFonts w:ascii="Verdana" w:eastAsia="Calibri" w:hAnsi="Verdana" w:cs="Arial"/>
                <w:lang w:eastAsia="es-ES_tradnl"/>
              </w:rPr>
            </w:pPr>
            <w:r w:rsidRPr="00FF007A">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FE4399">
              <w:rPr>
                <w:rFonts w:ascii="Verdana" w:eastAsia="Calibri" w:hAnsi="Verdana" w:cs="Arial"/>
                <w:lang w:eastAsia="es-ES_tradnl"/>
              </w:rPr>
              <w:t>1_2026_02_04_001378</w:t>
            </w:r>
          </w:p>
        </w:tc>
      </w:tr>
    </w:tbl>
    <w:p w14:paraId="0B611437" w14:textId="77777777" w:rsidR="00582C1A" w:rsidRPr="00FF007A" w:rsidRDefault="00582C1A" w:rsidP="00582C1A">
      <w:pPr>
        <w:spacing w:after="0" w:line="276" w:lineRule="auto"/>
        <w:jc w:val="both"/>
        <w:rPr>
          <w:rFonts w:ascii="Verdana" w:eastAsia="Calibri" w:hAnsi="Verdana" w:cs="Arial"/>
          <w:lang w:eastAsia="es-ES_tradnl"/>
        </w:rPr>
      </w:pPr>
    </w:p>
    <w:p w14:paraId="26514318" w14:textId="77777777" w:rsidR="00582C1A" w:rsidRPr="00FF007A" w:rsidRDefault="00582C1A" w:rsidP="00582C1A">
      <w:pPr>
        <w:spacing w:after="0" w:line="276" w:lineRule="auto"/>
        <w:jc w:val="both"/>
        <w:rPr>
          <w:rFonts w:ascii="Verdana" w:eastAsia="Calibri" w:hAnsi="Verdana" w:cs="Arial"/>
          <w:lang w:eastAsia="es-ES"/>
        </w:rPr>
      </w:pPr>
      <w:r w:rsidRPr="00FF007A">
        <w:rPr>
          <w:rFonts w:ascii="Verdana" w:eastAsia="Calibri" w:hAnsi="Verdana" w:cs="Arial"/>
          <w:lang w:eastAsia="es-ES"/>
        </w:rPr>
        <w:t>Estimad</w:t>
      </w:r>
      <w:r>
        <w:rPr>
          <w:rFonts w:ascii="Verdana" w:eastAsia="Calibri" w:hAnsi="Verdana" w:cs="Arial"/>
          <w:lang w:eastAsia="es-ES"/>
        </w:rPr>
        <w:t>o</w:t>
      </w:r>
      <w:r w:rsidRPr="00FF007A">
        <w:rPr>
          <w:rFonts w:ascii="Verdana" w:eastAsia="Calibri" w:hAnsi="Verdana" w:cs="Arial"/>
          <w:lang w:eastAsia="es-ES"/>
        </w:rPr>
        <w:t xml:space="preserve"> seño</w:t>
      </w:r>
      <w:r>
        <w:rPr>
          <w:rFonts w:ascii="Verdana" w:eastAsia="Calibri" w:hAnsi="Verdana" w:cs="Arial"/>
          <w:lang w:eastAsia="es-ES"/>
        </w:rPr>
        <w:t>r</w:t>
      </w:r>
      <w:r w:rsidRPr="00FF007A">
        <w:rPr>
          <w:rFonts w:ascii="Verdana" w:eastAsia="Calibri" w:hAnsi="Verdana" w:cs="Arial"/>
          <w:lang w:eastAsia="es-ES"/>
        </w:rPr>
        <w:t xml:space="preserve"> </w:t>
      </w:r>
      <w:r>
        <w:rPr>
          <w:rFonts w:ascii="Verdana" w:eastAsia="Calibri" w:hAnsi="Verdana" w:cs="Arial"/>
          <w:lang w:eastAsia="es-ES"/>
        </w:rPr>
        <w:t>Ortega Anillo:</w:t>
      </w:r>
      <w:r w:rsidRPr="00FF007A">
        <w:rPr>
          <w:rFonts w:ascii="Verdana" w:eastAsia="Calibri" w:hAnsi="Verdana" w:cs="Arial"/>
          <w:lang w:eastAsia="es-ES"/>
        </w:rPr>
        <w:t xml:space="preserve"> </w:t>
      </w:r>
    </w:p>
    <w:p w14:paraId="1687C3A4" w14:textId="77777777" w:rsidR="00582C1A" w:rsidRPr="00FF007A" w:rsidRDefault="00582C1A" w:rsidP="00582C1A">
      <w:pPr>
        <w:tabs>
          <w:tab w:val="left" w:pos="3768"/>
        </w:tabs>
        <w:spacing w:after="0" w:line="240" w:lineRule="auto"/>
        <w:jc w:val="both"/>
        <w:rPr>
          <w:rFonts w:ascii="Verdana" w:eastAsia="Calibri" w:hAnsi="Verdana" w:cs="Arial"/>
          <w:lang w:eastAsia="es-ES"/>
        </w:rPr>
      </w:pPr>
    </w:p>
    <w:p w14:paraId="71692ED6" w14:textId="77777777" w:rsidR="00582C1A" w:rsidRPr="00533BAE" w:rsidRDefault="00582C1A" w:rsidP="00582C1A">
      <w:pPr>
        <w:tabs>
          <w:tab w:val="left" w:pos="3768"/>
        </w:tabs>
        <w:spacing w:after="120" w:line="276" w:lineRule="auto"/>
        <w:jc w:val="both"/>
        <w:rPr>
          <w:rFonts w:ascii="Verdana" w:hAnsi="Verdana" w:cs="Arial"/>
        </w:rPr>
      </w:pPr>
      <w:r w:rsidRPr="00FF007A">
        <w:rPr>
          <w:rFonts w:ascii="Verdana" w:eastAsia="Calibri" w:hAnsi="Verdana" w:cs="Arial"/>
          <w:lang w:eastAsia="es-ES"/>
        </w:rPr>
        <w:t>En ejercicio de la competencia otorgada por los artículos 3, numeral 5º, y 11, numeral 8º, del Decreto Ley 4170 de 2011,</w:t>
      </w:r>
      <w:r w:rsidRPr="00FF007A">
        <w:rPr>
          <w:rFonts w:ascii="Verdana" w:eastAsia="Arial MT" w:hAnsi="Verdana" w:cs="Arial MT"/>
          <w:lang w:eastAsia="es-ES"/>
        </w:rPr>
        <w:t xml:space="preserve"> </w:t>
      </w:r>
      <w:r w:rsidRPr="00FF007A">
        <w:rPr>
          <w:rFonts w:ascii="Verdana" w:hAnsi="Verdana" w:cs="Arial"/>
        </w:rPr>
        <w:t>así como lo establecido</w:t>
      </w:r>
      <w:r w:rsidRPr="000D6B62">
        <w:rPr>
          <w:rFonts w:ascii="Verdana" w:hAnsi="Verdana" w:cs="Arial"/>
          <w:color w:val="000000" w:themeColor="text1"/>
          <w:lang w:val="es-ES"/>
        </w:rPr>
        <w:t xml:space="preserve"> </w:t>
      </w:r>
      <w:r>
        <w:rPr>
          <w:rFonts w:ascii="Verdana" w:hAnsi="Verdana" w:cs="Arial"/>
          <w:color w:val="000000" w:themeColor="text1"/>
          <w:lang w:val="es-ES"/>
        </w:rPr>
        <w:t>por la</w:t>
      </w:r>
      <w:r w:rsidRPr="00FC6F34">
        <w:rPr>
          <w:rFonts w:ascii="Verdana" w:hAnsi="Verdana" w:cs="Arial"/>
          <w:color w:val="000000" w:themeColor="text1"/>
          <w:lang w:val="es-ES"/>
        </w:rPr>
        <w:t xml:space="preserve"> </w:t>
      </w:r>
      <w:r w:rsidRPr="00A27102">
        <w:rPr>
          <w:rFonts w:ascii="Verdana" w:hAnsi="Verdana" w:cs="Arial"/>
        </w:rPr>
        <w:t>Resolución 469 de 2025 expedida por esta Entidad</w:t>
      </w:r>
      <w:r w:rsidRPr="00FF007A">
        <w:rPr>
          <w:rFonts w:ascii="Verdana" w:hAnsi="Verdana" w:cs="Arial"/>
        </w:rPr>
        <w:t xml:space="preserve">, </w:t>
      </w:r>
      <w:r w:rsidRPr="00FF007A">
        <w:rPr>
          <w:rFonts w:ascii="Verdana" w:eastAsia="Calibri" w:hAnsi="Verdana" w:cs="Arial"/>
          <w:lang w:eastAsia="es-ES"/>
        </w:rPr>
        <w:t xml:space="preserve">la Agencia Nacional de Contratación Pública – Colombia Compra Eficiente– responde su solicitud de consulta de fecha </w:t>
      </w:r>
      <w:r>
        <w:rPr>
          <w:rFonts w:ascii="Verdana" w:eastAsia="Calibri" w:hAnsi="Verdana" w:cs="Arial"/>
          <w:lang w:eastAsia="es-ES"/>
        </w:rPr>
        <w:t>04</w:t>
      </w:r>
      <w:r w:rsidRPr="00FF007A">
        <w:rPr>
          <w:rFonts w:ascii="Verdana" w:eastAsia="Calibri" w:hAnsi="Verdana" w:cs="Arial"/>
          <w:lang w:eastAsia="es-ES"/>
        </w:rPr>
        <w:t xml:space="preserve"> de </w:t>
      </w:r>
      <w:r>
        <w:rPr>
          <w:rFonts w:ascii="Verdana" w:eastAsia="Calibri" w:hAnsi="Verdana" w:cs="Arial"/>
          <w:lang w:eastAsia="es-ES"/>
        </w:rPr>
        <w:t>febrero</w:t>
      </w:r>
      <w:r w:rsidRPr="00FF007A">
        <w:rPr>
          <w:rFonts w:ascii="Verdana" w:eastAsia="Calibri" w:hAnsi="Verdana" w:cs="Arial"/>
          <w:lang w:eastAsia="es-ES"/>
        </w:rPr>
        <w:t xml:space="preserve"> de 202</w:t>
      </w:r>
      <w:r>
        <w:rPr>
          <w:rFonts w:ascii="Verdana" w:eastAsia="Calibri" w:hAnsi="Verdana" w:cs="Arial"/>
          <w:lang w:eastAsia="es-ES"/>
        </w:rPr>
        <w:t>6</w:t>
      </w:r>
      <w:r w:rsidRPr="00FF007A">
        <w:rPr>
          <w:rFonts w:ascii="Verdana" w:eastAsia="Calibri" w:hAnsi="Verdana" w:cs="Arial"/>
          <w:lang w:eastAsia="es-ES"/>
        </w:rPr>
        <w:t xml:space="preserve">, en la cual </w:t>
      </w:r>
      <w:r>
        <w:rPr>
          <w:rFonts w:ascii="Verdana" w:eastAsia="Calibri" w:hAnsi="Verdana" w:cs="Arial"/>
          <w:lang w:eastAsia="es-ES"/>
        </w:rPr>
        <w:t xml:space="preserve">respecto de los convenios de asociación regulados por el Decreto 092 de 2017, </w:t>
      </w:r>
      <w:r w:rsidRPr="00FF007A">
        <w:rPr>
          <w:rFonts w:ascii="Verdana" w:eastAsia="Calibri" w:hAnsi="Verdana" w:cs="Arial"/>
          <w:lang w:eastAsia="es-ES"/>
        </w:rPr>
        <w:t>manifiesta lo siguiente:</w:t>
      </w:r>
      <w:r>
        <w:rPr>
          <w:rFonts w:ascii="Verdana" w:eastAsia="Calibri" w:hAnsi="Verdana" w:cs="Arial"/>
          <w:lang w:eastAsia="es-ES"/>
        </w:rPr>
        <w:t xml:space="preserve"> </w:t>
      </w:r>
      <w:r w:rsidRPr="001A505E">
        <w:rPr>
          <w:rFonts w:ascii="Verdana" w:eastAsia="Calibri" w:hAnsi="Verdana" w:cs="Arial"/>
          <w:i/>
          <w:iCs/>
          <w:sz w:val="21"/>
          <w:szCs w:val="21"/>
          <w:lang w:eastAsia="es-ES"/>
        </w:rPr>
        <w:t>“Atendiendo la entrada en vigencia de la ley de garantías con ocasión de las elecciones presidenciales 2026, asiste la duda y/o inquietud sobre la procedencia o no de la suscripción y/o celebración de convenios de asociación (Decreto 092 de 2017), teniendo en cuenta que la misma establece dos figuras o maneras de realizarlo, entre ellas, las de adelantar un proceso competitivo.”</w:t>
      </w:r>
      <w:r>
        <w:rPr>
          <w:rFonts w:ascii="Verdana" w:eastAsia="Calibri" w:hAnsi="Verdana" w:cs="Arial"/>
          <w:lang w:eastAsia="es-ES"/>
        </w:rPr>
        <w:t xml:space="preserve"> </w:t>
      </w:r>
      <w:r w:rsidRPr="000D6B62">
        <w:rPr>
          <w:rFonts w:ascii="Verdana" w:eastAsia="Calibri" w:hAnsi="Verdana" w:cs="Arial"/>
          <w:i/>
          <w:iCs/>
          <w:lang w:eastAsia="es-ES"/>
        </w:rPr>
        <w:t xml:space="preserve"> </w:t>
      </w:r>
    </w:p>
    <w:p w14:paraId="6B36B3C9" w14:textId="77777777" w:rsidR="00582C1A" w:rsidRPr="00FF007A" w:rsidRDefault="00582C1A" w:rsidP="00582C1A">
      <w:pPr>
        <w:spacing w:after="120" w:line="276" w:lineRule="auto"/>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C9C2387" w14:textId="7F04EE3F" w:rsidR="00582C1A" w:rsidRDefault="00582C1A" w:rsidP="00992843">
      <w:pPr>
        <w:spacing w:after="0"/>
        <w:ind w:firstLine="709"/>
        <w:jc w:val="both"/>
        <w:rPr>
          <w:rFonts w:ascii="Verdana" w:eastAsia="Calibri" w:hAnsi="Verdana" w:cs="Arial"/>
          <w:color w:val="000000"/>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w:t>
      </w:r>
      <w:r w:rsidRPr="000D3A6E">
        <w:rPr>
          <w:rFonts w:ascii="Verdana" w:eastAsia="Calibri" w:hAnsi="Verdana" w:cs="Arial"/>
          <w:color w:val="000000"/>
          <w:lang w:eastAsia="es-ES"/>
        </w:rPr>
        <w:t xml:space="preserve">haciendo abstracción del caso particular y concreto señalado en su petición, pero señalando algunas consideraciones sobre las normas generales relacionadas con el problema jurídico de su consulta.  </w:t>
      </w:r>
    </w:p>
    <w:p w14:paraId="7B34F22D" w14:textId="77777777" w:rsidR="00992843" w:rsidRPr="000D3A6E" w:rsidRDefault="00992843" w:rsidP="00680412">
      <w:pPr>
        <w:spacing w:after="0"/>
        <w:ind w:firstLine="709"/>
        <w:jc w:val="both"/>
        <w:rPr>
          <w:rFonts w:ascii="Verdana" w:eastAsia="Calibri" w:hAnsi="Verdana" w:cs="Arial"/>
          <w:color w:val="000000"/>
          <w:lang w:eastAsia="es-ES"/>
        </w:rPr>
      </w:pPr>
    </w:p>
    <w:p w14:paraId="7D0BAF1B" w14:textId="77777777" w:rsidR="00582C1A" w:rsidRPr="000D3A6E" w:rsidRDefault="00582C1A" w:rsidP="00582C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D3A6E">
        <w:rPr>
          <w:rFonts w:ascii="Verdana" w:eastAsia="Century Gothic" w:hAnsi="Verdana" w:cs="Century Gothic"/>
          <w:b/>
          <w:bCs/>
          <w:lang w:val="es-CO"/>
        </w:rPr>
        <w:t>Problema planteado:</w:t>
      </w:r>
    </w:p>
    <w:p w14:paraId="4449A06F" w14:textId="77777777" w:rsidR="00582C1A" w:rsidRPr="000D3A6E" w:rsidRDefault="00582C1A" w:rsidP="00582C1A">
      <w:pPr>
        <w:spacing w:after="0" w:line="240" w:lineRule="auto"/>
        <w:jc w:val="both"/>
        <w:rPr>
          <w:rFonts w:ascii="Verdana" w:eastAsia="Calibri" w:hAnsi="Verdana" w:cs="Arial"/>
          <w:color w:val="000000"/>
          <w:lang w:eastAsia="es-ES"/>
        </w:rPr>
      </w:pPr>
    </w:p>
    <w:p w14:paraId="579CA574" w14:textId="77777777" w:rsidR="00582C1A" w:rsidRPr="00FF007A" w:rsidRDefault="00582C1A" w:rsidP="00582C1A">
      <w:pPr>
        <w:spacing w:after="120"/>
        <w:jc w:val="both"/>
        <w:rPr>
          <w:rFonts w:ascii="Verdana" w:eastAsia="Calibri" w:hAnsi="Verdana" w:cs="Arial"/>
          <w:color w:val="000000"/>
          <w:lang w:eastAsia="es-ES"/>
        </w:rPr>
      </w:pPr>
      <w:r w:rsidRPr="000D3A6E">
        <w:rPr>
          <w:rFonts w:ascii="Verdana" w:eastAsia="Calibri" w:hAnsi="Verdana" w:cs="Arial"/>
          <w:color w:val="000000"/>
          <w:lang w:eastAsia="es-ES"/>
        </w:rPr>
        <w:t>De acuerdo con el contenido de su solicitud, esta Agencia resolverá el siguiente problema jurídico</w:t>
      </w:r>
      <w:r>
        <w:rPr>
          <w:rFonts w:ascii="Verdana" w:eastAsia="Calibri" w:hAnsi="Verdana" w:cs="Arial"/>
          <w:color w:val="000000"/>
          <w:lang w:eastAsia="es-ES"/>
        </w:rPr>
        <w:t>:</w:t>
      </w:r>
      <w:r w:rsidRPr="000D3A6E">
        <w:rPr>
          <w:rFonts w:ascii="Verdana" w:eastAsia="Calibri" w:hAnsi="Verdana" w:cs="Arial"/>
          <w:color w:val="000000"/>
          <w:lang w:eastAsia="es-ES"/>
        </w:rPr>
        <w:t xml:space="preserve"> ¿La aplicación de la </w:t>
      </w:r>
      <w:r>
        <w:rPr>
          <w:rFonts w:ascii="Verdana" w:eastAsia="Calibri" w:hAnsi="Verdana" w:cs="Arial"/>
          <w:color w:val="000000"/>
          <w:lang w:eastAsia="es-ES"/>
        </w:rPr>
        <w:t>Ley de garantías electorales</w:t>
      </w:r>
      <w:r w:rsidRPr="000D3A6E">
        <w:rPr>
          <w:rFonts w:ascii="Verdana" w:eastAsia="Calibri" w:hAnsi="Verdana" w:cs="Arial"/>
          <w:color w:val="000000"/>
          <w:lang w:eastAsia="es-ES"/>
        </w:rPr>
        <w:t xml:space="preserve"> se extiende a los </w:t>
      </w:r>
      <w:r w:rsidRPr="000D3A6E">
        <w:rPr>
          <w:rFonts w:ascii="Verdana" w:eastAsia="Century Gothic" w:hAnsi="Verdana" w:cs="Century Gothic"/>
        </w:rPr>
        <w:t xml:space="preserve">contratos definidos en el 355 de la Constitución Política y </w:t>
      </w:r>
      <w:r>
        <w:rPr>
          <w:rFonts w:ascii="Verdana" w:eastAsia="Century Gothic" w:hAnsi="Verdana" w:cs="Century Gothic"/>
        </w:rPr>
        <w:t xml:space="preserve">a </w:t>
      </w:r>
      <w:r w:rsidRPr="000D3A6E">
        <w:rPr>
          <w:rFonts w:ascii="Verdana" w:eastAsia="Century Gothic" w:hAnsi="Verdana" w:cs="Century Gothic"/>
        </w:rPr>
        <w:t>los convenios de asociación del artículo 5 del Decreto 092 de 2017?</w:t>
      </w:r>
      <w:r>
        <w:rPr>
          <w:rFonts w:ascii="Verdana" w:eastAsia="Calibri" w:hAnsi="Verdana" w:cs="Arial"/>
          <w:color w:val="000000"/>
          <w:lang w:eastAsia="es-ES"/>
        </w:rPr>
        <w:t xml:space="preserve"> </w:t>
      </w:r>
    </w:p>
    <w:p w14:paraId="2F8438E5" w14:textId="77777777" w:rsidR="00582C1A" w:rsidRPr="00FF007A" w:rsidRDefault="00582C1A" w:rsidP="00582C1A">
      <w:pPr>
        <w:spacing w:after="0" w:line="276" w:lineRule="auto"/>
        <w:jc w:val="both"/>
        <w:rPr>
          <w:rFonts w:ascii="Verdana" w:eastAsia="Century Gothic" w:hAnsi="Verdana" w:cs="Century Gothic"/>
          <w:b/>
          <w:bCs/>
        </w:rPr>
      </w:pPr>
      <w:r w:rsidRPr="00FF007A">
        <w:rPr>
          <w:rFonts w:ascii="Verdana" w:eastAsia="Century Gothic" w:hAnsi="Verdana" w:cs="Century Gothic"/>
          <w:b/>
          <w:bCs/>
        </w:rPr>
        <w:t>2. Respuesta:</w:t>
      </w:r>
    </w:p>
    <w:p w14:paraId="7E87764A" w14:textId="77777777" w:rsidR="00582C1A" w:rsidRPr="00FF007A" w:rsidRDefault="00582C1A" w:rsidP="00582C1A">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82C1A" w:rsidRPr="00FF007A" w14:paraId="58E5B9C5" w14:textId="77777777" w:rsidTr="00211F61">
        <w:tc>
          <w:tcPr>
            <w:tcW w:w="8828" w:type="dxa"/>
          </w:tcPr>
          <w:p w14:paraId="2DD1F191" w14:textId="4D70AADB" w:rsidR="00582C1A" w:rsidRDefault="00582C1A" w:rsidP="00211F61">
            <w:pPr>
              <w:spacing w:line="276" w:lineRule="auto"/>
              <w:jc w:val="both"/>
              <w:rPr>
                <w:rFonts w:ascii="Verdana" w:eastAsia="Times New Roman" w:hAnsi="Verdana" w:cs="Arial"/>
                <w:lang w:eastAsia="x-none"/>
              </w:rPr>
            </w:pPr>
            <w:r>
              <w:rPr>
                <w:rFonts w:ascii="Verdana" w:eastAsia="Times New Roman" w:hAnsi="Verdana" w:cs="Arial"/>
                <w:bCs/>
                <w:lang w:eastAsia="es-CO"/>
              </w:rPr>
              <w:t>La</w:t>
            </w:r>
            <w:r w:rsidRPr="003E638E">
              <w:rPr>
                <w:rFonts w:ascii="Verdana" w:eastAsia="Times New Roman" w:hAnsi="Verdana" w:cs="Arial"/>
                <w:bCs/>
                <w:lang w:eastAsia="es-CO"/>
              </w:rPr>
              <w:t xml:space="preserve"> Ley 996 de 2005, conocida como Ley de Garantías Electorales</w:t>
            </w:r>
            <w:r>
              <w:rPr>
                <w:rFonts w:ascii="Verdana" w:eastAsia="Times New Roman" w:hAnsi="Verdana" w:cs="Arial"/>
                <w:bCs/>
                <w:lang w:eastAsia="es-CO"/>
              </w:rPr>
              <w:t xml:space="preserve"> </w:t>
            </w:r>
            <w:r w:rsidRPr="003E638E">
              <w:rPr>
                <w:rFonts w:ascii="Verdana" w:eastAsia="Times New Roman" w:hAnsi="Verdana" w:cs="Arial"/>
                <w:bCs/>
                <w:lang w:eastAsia="es-CO"/>
              </w:rPr>
              <w:t>introduce limitaciones para realizar nombramientos, postulaciones, contrataciones o cualquier otro tipo de actividad que implique destinación de recursos públicos bajo el devenir propio de las entidades estatales</w:t>
            </w:r>
            <w:r>
              <w:rPr>
                <w:rFonts w:ascii="Verdana" w:eastAsia="Times New Roman" w:hAnsi="Verdana" w:cs="Arial"/>
                <w:bCs/>
                <w:lang w:eastAsia="es-CO"/>
              </w:rPr>
              <w:t xml:space="preserve">. </w:t>
            </w:r>
            <w:r w:rsidR="00992843">
              <w:rPr>
                <w:rFonts w:ascii="Verdana" w:eastAsia="Times New Roman" w:hAnsi="Verdana" w:cs="Arial"/>
                <w:bCs/>
                <w:lang w:eastAsia="es-CO"/>
              </w:rPr>
              <w:t xml:space="preserve">Una de ellas, es la restricción establecida en el artículo 33 de la Ley 996 de 2005. </w:t>
            </w:r>
            <w:r w:rsidRPr="003F4079">
              <w:rPr>
                <w:rFonts w:ascii="Verdana" w:eastAsia="Times New Roman" w:hAnsi="Verdana" w:cs="Arial"/>
                <w:lang w:val="es-MX" w:eastAsia="x-none"/>
              </w:rPr>
              <w:t xml:space="preserve">El ámbito material de </w:t>
            </w:r>
            <w:r w:rsidR="00992843">
              <w:rPr>
                <w:rFonts w:ascii="Verdana" w:eastAsia="Times New Roman" w:hAnsi="Verdana" w:cs="Arial"/>
                <w:lang w:val="es-MX" w:eastAsia="x-none"/>
              </w:rPr>
              <w:t>esta</w:t>
            </w:r>
            <w:r w:rsidRPr="003F4079">
              <w:rPr>
                <w:rFonts w:ascii="Verdana" w:eastAsia="Times New Roman" w:hAnsi="Verdana" w:cs="Arial"/>
                <w:lang w:val="es-MX" w:eastAsia="x-none"/>
              </w:rPr>
              <w:t xml:space="preserve"> prohibición está delimitado por la expresión </w:t>
            </w:r>
            <w:r w:rsidRPr="00095A2F">
              <w:rPr>
                <w:rFonts w:ascii="Verdana" w:eastAsia="Calibri" w:hAnsi="Verdana" w:cs="Arial"/>
                <w:i/>
                <w:lang w:val="es-MX"/>
              </w:rPr>
              <w:t>“</w:t>
            </w:r>
            <w:r w:rsidRPr="00095A2F">
              <w:rPr>
                <w:rFonts w:ascii="Verdana" w:eastAsia="Times New Roman" w:hAnsi="Verdana" w:cs="Arial"/>
                <w:i/>
                <w:lang w:val="es-MX" w:eastAsia="x-none"/>
              </w:rPr>
              <w:t>queda prohibida la contratación directa</w:t>
            </w:r>
            <w:r w:rsidRPr="00095A2F">
              <w:rPr>
                <w:rFonts w:ascii="Verdana" w:eastAsia="Calibri" w:hAnsi="Verdana" w:cs="Arial"/>
                <w:i/>
                <w:lang w:val="es-MX"/>
              </w:rPr>
              <w:t>”,</w:t>
            </w:r>
            <w:r w:rsidRPr="003F4079">
              <w:rPr>
                <w:rFonts w:ascii="Verdana" w:eastAsia="Calibri" w:hAnsi="Verdana" w:cs="Arial"/>
                <w:lang w:val="es-MX"/>
              </w:rPr>
              <w:t xml:space="preserve"> </w:t>
            </w:r>
            <w:r>
              <w:rPr>
                <w:rFonts w:ascii="Verdana" w:eastAsia="Calibri" w:hAnsi="Verdana" w:cs="Arial"/>
                <w:lang w:val="es-MX"/>
              </w:rPr>
              <w:t>la cual</w:t>
            </w:r>
            <w:r w:rsidRPr="003F4079">
              <w:rPr>
                <w:rFonts w:ascii="Verdana" w:eastAsia="Calibri" w:hAnsi="Verdana" w:cs="Arial"/>
                <w:lang w:val="es-MX"/>
              </w:rPr>
              <w:t xml:space="preserve"> </w:t>
            </w:r>
            <w:r w:rsidRPr="003F4079">
              <w:rPr>
                <w:rFonts w:ascii="Verdana" w:eastAsia="Times New Roman" w:hAnsi="Verdana" w:cs="Arial"/>
                <w:lang w:eastAsia="x-none"/>
              </w:rPr>
              <w:t>se refiere a</w:t>
            </w:r>
            <w:r w:rsidRPr="00095A2F">
              <w:rPr>
                <w:rFonts w:ascii="Verdana" w:eastAsia="Times New Roman" w:hAnsi="Verdana" w:cs="Arial"/>
                <w:i/>
                <w:lang w:eastAsia="x-none"/>
              </w:rPr>
              <w:t xml:space="preserve"> </w:t>
            </w:r>
            <w:r w:rsidRPr="00095A2F">
              <w:rPr>
                <w:rFonts w:ascii="Verdana" w:eastAsia="Times New Roman" w:hAnsi="Verdana" w:cs="Arial"/>
                <w:i/>
                <w:lang w:eastAsia="en-GB"/>
              </w:rPr>
              <w:t>“</w:t>
            </w:r>
            <w:r w:rsidRPr="00095A2F">
              <w:rPr>
                <w:rFonts w:ascii="Verdana" w:eastAsia="Times New Roman" w:hAnsi="Verdana" w:cs="Arial"/>
                <w:i/>
                <w:lang w:eastAsia="x-none"/>
              </w:rPr>
              <w:t>cualquier sistema que no implique convocatoria pública y posibilidad de pluralidad de oferentes</w:t>
            </w:r>
            <w:r w:rsidRPr="00095A2F">
              <w:rPr>
                <w:rFonts w:ascii="Verdana" w:eastAsia="Times New Roman" w:hAnsi="Verdana" w:cs="Arial"/>
                <w:i/>
                <w:lang w:eastAsia="en-GB"/>
              </w:rPr>
              <w:t>”</w:t>
            </w:r>
            <w:r w:rsidRPr="003F4079">
              <w:rPr>
                <w:rFonts w:ascii="Verdana" w:eastAsia="Times New Roman" w:hAnsi="Verdana" w:cs="Arial"/>
                <w:lang w:eastAsia="x-none"/>
              </w:rPr>
              <w:t xml:space="preserve">, por lo que excluye las demás modalidades de contratación previstas en la Ley 1150 de 2007, es decir, la </w:t>
            </w:r>
            <w:r w:rsidRPr="003F4079">
              <w:rPr>
                <w:rFonts w:ascii="Verdana" w:eastAsia="Times New Roman" w:hAnsi="Verdana" w:cs="Arial"/>
                <w:lang w:eastAsia="x-none"/>
              </w:rPr>
              <w:lastRenderedPageBreak/>
              <w:t>licitación pública, la selección abreviada y el concurso de méritos u otros previstos en normas especiales.</w:t>
            </w:r>
          </w:p>
          <w:p w14:paraId="6A2D04BD" w14:textId="4CCEBD9D" w:rsidR="00582C1A" w:rsidRDefault="00582C1A" w:rsidP="00211F61">
            <w:pPr>
              <w:spacing w:before="120" w:after="120" w:line="276" w:lineRule="auto"/>
              <w:ind w:firstLine="709"/>
              <w:jc w:val="both"/>
              <w:rPr>
                <w:rFonts w:ascii="Verdana" w:eastAsia="Calibri" w:hAnsi="Verdana" w:cs="Arial"/>
                <w:lang w:val="es-ES"/>
              </w:rPr>
            </w:pPr>
            <w:r w:rsidRPr="00347328">
              <w:rPr>
                <w:rFonts w:ascii="Verdana" w:eastAsia="Times New Roman" w:hAnsi="Verdana" w:cs="Arial"/>
                <w:lang w:val="es-MX" w:eastAsia="es-CO"/>
              </w:rPr>
              <w:t>Ahora bien, para dar respuesta al problema jurídico planteado, debe advertirse que e</w:t>
            </w:r>
            <w:r w:rsidRPr="00347328">
              <w:rPr>
                <w:rFonts w:ascii="Verdana" w:eastAsia="Calibri" w:hAnsi="Verdana" w:cs="Arial"/>
                <w:lang w:val="es-ES"/>
              </w:rPr>
              <w:t xml:space="preserve">l Decreto 092 de 2017 dispone reglas para las contrataciones que realicen las entidades estatales con las </w:t>
            </w:r>
            <w:r w:rsidR="008C68D8">
              <w:rPr>
                <w:rFonts w:ascii="Verdana" w:eastAsia="Calibri" w:hAnsi="Verdana" w:cs="Arial"/>
                <w:lang w:val="es-ES"/>
              </w:rPr>
              <w:t xml:space="preserve">Entidades Sin Ánimo de Lucro – en adelante </w:t>
            </w:r>
            <w:r w:rsidRPr="00347328">
              <w:rPr>
                <w:rFonts w:ascii="Verdana" w:eastAsia="Calibri" w:hAnsi="Verdana" w:cs="Arial"/>
                <w:lang w:val="es-ES"/>
              </w:rPr>
              <w:t>ESAL</w:t>
            </w:r>
            <w:r w:rsidR="008C68D8">
              <w:rPr>
                <w:rFonts w:ascii="Verdana" w:eastAsia="Calibri" w:hAnsi="Verdana" w:cs="Arial"/>
                <w:lang w:val="es-ES"/>
              </w:rPr>
              <w:t xml:space="preserve"> –</w:t>
            </w:r>
            <w:r w:rsidRPr="00347328">
              <w:rPr>
                <w:rFonts w:ascii="Verdana" w:eastAsia="Calibri" w:hAnsi="Verdana" w:cs="Arial"/>
                <w:lang w:val="es-ES"/>
              </w:rPr>
              <w:t>. El Decreto regula dos (2) eventos: i) los contratos del artículo 355 de la Constitución Política con el fin impulsar programas y actividades de interés público de acuerdo con el Plan Nacional o los planes seccionales de desarrollo; y ii) los convenios de asociación, para el desarrollo conjunto de actividades relacionadas con las funciones de</w:t>
            </w:r>
            <w:r w:rsidRPr="00377ED6">
              <w:rPr>
                <w:rFonts w:ascii="Verdana" w:eastAsia="Calibri" w:hAnsi="Verdana" w:cs="Arial"/>
                <w:lang w:val="es-ES"/>
              </w:rPr>
              <w:t xml:space="preserve"> las entidades estatales, en desarrollo del artículo 96 de la Ley 489 de 1998. </w:t>
            </w:r>
          </w:p>
          <w:p w14:paraId="5C1BC849" w14:textId="77777777" w:rsidR="00582C1A" w:rsidRDefault="00582C1A" w:rsidP="00211F61">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Para celebrar el primer tipo de contratos, </w:t>
            </w:r>
            <w:r w:rsidRPr="00377ED6">
              <w:rPr>
                <w:rFonts w:ascii="Verdana" w:eastAsia="Calibri" w:hAnsi="Verdana" w:cs="Arial"/>
                <w:lang w:val="es-ES"/>
              </w:rPr>
              <w:t xml:space="preserve">según lo establece el artículo 3 del Decreto 092 de 2017, la entidad debe adelantar un proceso competitivo para seleccionar la entidad sin ánimo de lucro </w:t>
            </w:r>
            <w:r>
              <w:rPr>
                <w:rFonts w:ascii="Verdana" w:eastAsia="Calibri" w:hAnsi="Verdana" w:cs="Arial"/>
                <w:lang w:val="es-ES"/>
              </w:rPr>
              <w:t xml:space="preserve">que ejecutará el contrato. 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p w14:paraId="30DF7B80" w14:textId="0D602466" w:rsidR="00582C1A" w:rsidRDefault="00582C1A" w:rsidP="00211F61">
            <w:pPr>
              <w:spacing w:before="120" w:after="120" w:line="276" w:lineRule="auto"/>
              <w:ind w:firstLine="709"/>
              <w:jc w:val="both"/>
              <w:rPr>
                <w:rFonts w:ascii="Verdana" w:eastAsia="Calibri" w:hAnsi="Verdana" w:cs="Arial"/>
                <w:lang w:val="es-ES"/>
              </w:rPr>
            </w:pPr>
            <w:r w:rsidRPr="697BF333">
              <w:rPr>
                <w:rFonts w:ascii="Verdana" w:eastAsia="Calibri" w:hAnsi="Verdana" w:cs="Arial"/>
                <w:lang w:val="es-ES"/>
              </w:rPr>
              <w:t xml:space="preserve">De otro lado, la celebración de los </w:t>
            </w:r>
            <w:r w:rsidRPr="697BF333">
              <w:rPr>
                <w:rFonts w:ascii="Verdana" w:eastAsia="Calibri" w:hAnsi="Verdana" w:cs="Arial"/>
                <w:i/>
                <w:lang w:val="es-ES"/>
              </w:rPr>
              <w:t xml:space="preserve">convenios de asociación </w:t>
            </w:r>
            <w:r w:rsidRPr="697BF333">
              <w:rPr>
                <w:rFonts w:ascii="Verdana" w:eastAsia="Calibri" w:hAnsi="Verdana" w:cs="Arial"/>
                <w:lang w:val="es-ES"/>
              </w:rPr>
              <w:t>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w:t>
            </w:r>
            <w:r w:rsidR="00A12B46">
              <w:rPr>
                <w:rFonts w:ascii="Verdana" w:eastAsia="Calibri" w:hAnsi="Verdana" w:cs="Arial"/>
                <w:lang w:val="es-ES"/>
              </w:rPr>
              <w:t xml:space="preserve"> Lo anterior, </w:t>
            </w:r>
            <w:r w:rsidRPr="697BF333">
              <w:rPr>
                <w:rFonts w:ascii="Verdana" w:eastAsia="Calibri" w:hAnsi="Verdana" w:cs="Arial"/>
                <w:lang w:val="es-ES"/>
              </w:rPr>
              <w:t xml:space="preserve">a excepción de la posibilidad celebrar convenios de asociación de manera directa, en aquellos casos en los que una </w:t>
            </w:r>
            <w:r w:rsidR="00A12B46">
              <w:rPr>
                <w:rFonts w:ascii="Verdana" w:eastAsia="Calibri" w:hAnsi="Verdana" w:cs="Arial"/>
                <w:lang w:val="es-ES"/>
              </w:rPr>
              <w:t>ESAL</w:t>
            </w:r>
            <w:r w:rsidRPr="697BF333">
              <w:rPr>
                <w:rFonts w:ascii="Verdana" w:eastAsia="Calibri" w:hAnsi="Verdana" w:cs="Arial"/>
                <w:lang w:val="es-ES"/>
              </w:rPr>
              <w:t xml:space="preserve"> aporte el </w:t>
            </w:r>
            <w:r w:rsidR="00A12B46">
              <w:rPr>
                <w:rFonts w:ascii="Verdana" w:eastAsia="Calibri" w:hAnsi="Verdana" w:cs="Arial"/>
                <w:lang w:val="es-ES"/>
              </w:rPr>
              <w:t>treinta por ciento (</w:t>
            </w:r>
            <w:r w:rsidRPr="697BF333">
              <w:rPr>
                <w:rFonts w:ascii="Verdana" w:eastAsia="Calibri" w:hAnsi="Verdana" w:cs="Arial"/>
                <w:lang w:val="es-ES"/>
              </w:rPr>
              <w:t>30%</w:t>
            </w:r>
            <w:r w:rsidR="00A12B46">
              <w:rPr>
                <w:rFonts w:ascii="Verdana" w:eastAsia="Calibri" w:hAnsi="Verdana" w:cs="Arial"/>
                <w:lang w:val="es-ES"/>
              </w:rPr>
              <w:t>)</w:t>
            </w:r>
            <w:r w:rsidRPr="697BF333">
              <w:rPr>
                <w:rFonts w:ascii="Verdana" w:eastAsia="Calibri" w:hAnsi="Verdana" w:cs="Arial"/>
                <w:lang w:val="es-ES"/>
              </w:rPr>
              <w:t xml:space="preserve"> de los recursos en dinero requeridos, supuesto que, al excluir la pluralidad de oferentes, </w:t>
            </w:r>
            <w:r w:rsidR="00A12B46">
              <w:rPr>
                <w:rFonts w:ascii="Verdana" w:eastAsia="Calibri" w:hAnsi="Verdana" w:cs="Arial"/>
                <w:lang w:val="es-ES"/>
              </w:rPr>
              <w:t>y celebrarse de firma directa, si se encuentra</w:t>
            </w:r>
            <w:r w:rsidRPr="697BF333">
              <w:rPr>
                <w:rFonts w:ascii="Verdana" w:eastAsia="Calibri" w:hAnsi="Verdana" w:cs="Arial"/>
                <w:lang w:val="es-ES"/>
              </w:rPr>
              <w:t xml:space="preserve"> dentro del ámbito de aplicación de la mencionada prohibición, de manera que no es posible su aplicación en vigencia de </w:t>
            </w:r>
            <w:r w:rsidR="00A12B46">
              <w:rPr>
                <w:rFonts w:ascii="Verdana" w:eastAsia="Calibri" w:hAnsi="Verdana" w:cs="Arial"/>
                <w:lang w:val="es-ES"/>
              </w:rPr>
              <w:t>la Ley de Garantías Electorales</w:t>
            </w:r>
            <w:r w:rsidRPr="697BF333">
              <w:rPr>
                <w:rFonts w:ascii="Verdana" w:eastAsia="Calibri" w:hAnsi="Verdana" w:cs="Arial"/>
                <w:lang w:val="es-ES"/>
              </w:rPr>
              <w:t xml:space="preserve">.  </w:t>
            </w:r>
          </w:p>
          <w:p w14:paraId="0891B552" w14:textId="77777777" w:rsidR="00582C1A" w:rsidRPr="00A17A6F" w:rsidRDefault="00582C1A" w:rsidP="00211F61">
            <w:pPr>
              <w:spacing w:before="120" w:after="120" w:line="276" w:lineRule="auto"/>
              <w:ind w:firstLine="709"/>
              <w:jc w:val="both"/>
              <w:rPr>
                <w:rFonts w:ascii="Verdana" w:eastAsia="Calibri" w:hAnsi="Verdana" w:cs="Arial"/>
                <w:color w:val="000000"/>
              </w:rPr>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manera taxativa en el inciso final del citado artículo 33 de la Ley 996 de 2005.</w:t>
            </w:r>
            <w:r>
              <w:rPr>
                <w:rFonts w:ascii="Verdana" w:eastAsia="Times New Roman" w:hAnsi="Verdana" w:cs="Arial"/>
                <w:lang w:val="es-MX" w:eastAsia="x-none"/>
              </w:rPr>
              <w:t xml:space="preserve"> </w:t>
            </w:r>
            <w:r>
              <w:rPr>
                <w:rFonts w:ascii="Verdana" w:eastAsia="Times New Roman" w:hAnsi="Verdana" w:cs="Arial"/>
                <w:lang w:val="es-MX" w:eastAsia="x-none"/>
              </w:rPr>
              <w:lastRenderedPageBreak/>
              <w:t>Por lo tanto, será</w:t>
            </w:r>
            <w:r w:rsidRPr="00F02C5A">
              <w:rPr>
                <w:rFonts w:ascii="Verdana" w:eastAsia="Times New Roman" w:hAnsi="Verdana" w:cs="Arial"/>
                <w:lang w:val="es-MX" w:eastAsia="es-CO"/>
              </w:rPr>
              <w:t xml:space="preserve"> responsabilidad de</w:t>
            </w:r>
            <w:r>
              <w:rPr>
                <w:rFonts w:ascii="Verdana" w:eastAsia="Times New Roman" w:hAnsi="Verdana" w:cs="Arial"/>
                <w:lang w:val="es-MX" w:eastAsia="es-CO"/>
              </w:rPr>
              <w:t xml:space="preserve"> la entidad estatal</w:t>
            </w:r>
            <w:r w:rsidRPr="00F02C5A">
              <w:rPr>
                <w:rFonts w:ascii="Verdana" w:eastAsia="Times New Roman" w:hAnsi="Verdana" w:cs="Arial"/>
                <w:lang w:val="es-MX" w:eastAsia="es-CO"/>
              </w:rPr>
              <w:t>, examinar en cada caso la naturaleza de las actividades que adelanta y determinar si las mismas se enmarcan en alguna de las mencionadas excepciones</w:t>
            </w:r>
            <w:r>
              <w:rPr>
                <w:rFonts w:ascii="Verdana" w:eastAsia="Times New Roman" w:hAnsi="Verdana" w:cs="Arial"/>
                <w:lang w:val="es-MX" w:eastAsia="es-CO"/>
              </w:rPr>
              <w:t xml:space="preserve">. </w:t>
            </w:r>
          </w:p>
        </w:tc>
      </w:tr>
    </w:tbl>
    <w:p w14:paraId="00149024" w14:textId="77777777" w:rsidR="00582C1A" w:rsidRPr="00FF007A" w:rsidRDefault="00582C1A" w:rsidP="00992843">
      <w:pPr>
        <w:tabs>
          <w:tab w:val="left" w:pos="142"/>
          <w:tab w:val="left" w:pos="284"/>
        </w:tabs>
        <w:spacing w:after="0" w:line="276" w:lineRule="auto"/>
        <w:jc w:val="both"/>
        <w:rPr>
          <w:rFonts w:ascii="Verdana" w:eastAsia="Century Gothic" w:hAnsi="Verdana" w:cs="Century Gothic"/>
          <w:b/>
          <w:bCs/>
        </w:rPr>
      </w:pPr>
    </w:p>
    <w:p w14:paraId="2FEA52D3" w14:textId="77777777" w:rsidR="00582C1A" w:rsidRPr="00FF007A" w:rsidRDefault="00582C1A" w:rsidP="00992843">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4B7846C3" w14:textId="77777777" w:rsidR="00582C1A" w:rsidRPr="00FF007A" w:rsidRDefault="00582C1A" w:rsidP="00680412">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603F93B6" w14:textId="77777777" w:rsidR="00582C1A" w:rsidRDefault="00582C1A" w:rsidP="00992843">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0212840A" w14:textId="77777777" w:rsidR="00582C1A" w:rsidRDefault="00582C1A" w:rsidP="0053265F">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1B601BB9" w14:textId="77777777" w:rsidR="00582C1A" w:rsidRDefault="00582C1A" w:rsidP="00582C1A">
      <w:pPr>
        <w:tabs>
          <w:tab w:val="left" w:pos="426"/>
        </w:tabs>
        <w:spacing w:after="120" w:line="276" w:lineRule="auto"/>
        <w:jc w:val="both"/>
        <w:rPr>
          <w:rFonts w:ascii="Verdana" w:eastAsia="Calibri" w:hAnsi="Verdana" w:cs="Arial"/>
          <w:noProof/>
          <w:lang w:val="es-ES_tradnl"/>
        </w:rPr>
      </w:pPr>
      <w:r>
        <w:rPr>
          <w:rFonts w:ascii="Verdana" w:eastAsia="Times New Roman" w:hAnsi="Verdana" w:cs="Arial"/>
          <w:bCs/>
          <w:lang w:eastAsia="es-CO"/>
        </w:rPr>
        <w:t>i. La</w:t>
      </w:r>
      <w:r w:rsidRPr="003E638E">
        <w:rPr>
          <w:rFonts w:ascii="Verdana" w:eastAsia="Times New Roman" w:hAnsi="Verdana" w:cs="Arial"/>
          <w:bCs/>
          <w:lang w:eastAsia="es-CO"/>
        </w:rPr>
        <w:t xml:space="preserve"> Ley 996 de 2005, conocida como </w:t>
      </w:r>
      <w:r>
        <w:rPr>
          <w:rFonts w:ascii="Verdana" w:eastAsia="Times New Roman" w:hAnsi="Verdana" w:cs="Arial"/>
          <w:bCs/>
          <w:lang w:eastAsia="es-CO"/>
        </w:rPr>
        <w:t>“</w:t>
      </w:r>
      <w:r w:rsidRPr="003E638E">
        <w:rPr>
          <w:rFonts w:ascii="Verdana" w:eastAsia="Times New Roman" w:hAnsi="Verdana" w:cs="Arial"/>
          <w:bCs/>
          <w:lang w:eastAsia="es-CO"/>
        </w:rPr>
        <w:t>Ley de Garantías Electorales</w:t>
      </w:r>
      <w:r>
        <w:rPr>
          <w:rFonts w:ascii="Verdana" w:eastAsia="Times New Roman" w:hAnsi="Verdana" w:cs="Arial"/>
          <w:bCs/>
          <w:lang w:eastAsia="es-CO"/>
        </w:rPr>
        <w:t>”</w:t>
      </w:r>
      <w:r w:rsidRPr="003E638E">
        <w:rPr>
          <w:rFonts w:ascii="Verdana" w:eastAsia="Times New Roman" w:hAnsi="Verdana" w:cs="Arial"/>
          <w:bCs/>
          <w:lang w:eastAsia="es-CO"/>
        </w:rPr>
        <w:t xml:space="preserve">, </w:t>
      </w:r>
      <w:r>
        <w:rPr>
          <w:rFonts w:ascii="Verdana" w:eastAsia="Times New Roman" w:hAnsi="Verdana" w:cs="Arial"/>
          <w:bCs/>
          <w:lang w:eastAsia="es-CO"/>
        </w:rPr>
        <w:t xml:space="preserve">tiene como propósito </w:t>
      </w:r>
      <w:r w:rsidRPr="003E638E">
        <w:rPr>
          <w:rFonts w:ascii="Verdana" w:eastAsia="Times New Roman" w:hAnsi="Verdana" w:cs="Arial"/>
          <w:bCs/>
          <w:lang w:eastAsia="es-CO"/>
        </w:rPr>
        <w:t xml:space="preserve">evitar la injerencia inadecuada de intereses particulares en el ejercicio de la función pública. Esta ley </w:t>
      </w:r>
      <w:r>
        <w:rPr>
          <w:rFonts w:ascii="Verdana" w:eastAsia="Times New Roman" w:hAnsi="Verdana" w:cs="Arial"/>
          <w:bCs/>
          <w:lang w:eastAsia="es-CO"/>
        </w:rPr>
        <w:t>busca</w:t>
      </w:r>
      <w:r w:rsidRPr="003E638E">
        <w:rPr>
          <w:rFonts w:ascii="Verdana" w:eastAsia="Times New Roman" w:hAnsi="Verdana" w:cs="Arial"/>
          <w:bCs/>
          <w:lang w:eastAsia="es-CO"/>
        </w:rPr>
        <w:t xml:space="preserve"> evitar cualquier tipo de arbitrariedad, de ventaja injustificada, de uso irregular de los recursos del Estado en las campañas o falta de garantías en la elección presidencial</w:t>
      </w:r>
      <w:r w:rsidRPr="003E638E">
        <w:rPr>
          <w:rStyle w:val="Refdenotaalpie"/>
          <w:rFonts w:ascii="Verdana" w:eastAsia="Times New Roman" w:hAnsi="Verdana" w:cs="Arial"/>
          <w:bCs/>
          <w:lang w:eastAsia="es-CO"/>
        </w:rPr>
        <w:footnoteReference w:id="1"/>
      </w:r>
      <w:r w:rsidRPr="003E638E">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3E638E">
        <w:rPr>
          <w:rFonts w:ascii="Verdana" w:eastAsia="Calibri" w:hAnsi="Verdana" w:cs="Arial"/>
          <w:noProof/>
          <w:lang w:val="es-ES_tradnl"/>
        </w:rPr>
        <w:t xml:space="preserve"> </w:t>
      </w:r>
    </w:p>
    <w:p w14:paraId="51144281" w14:textId="77777777" w:rsidR="00582C1A" w:rsidRPr="003E638E" w:rsidRDefault="00582C1A" w:rsidP="00582C1A">
      <w:pPr>
        <w:tabs>
          <w:tab w:val="left" w:pos="426"/>
        </w:tabs>
        <w:spacing w:after="0" w:line="276" w:lineRule="auto"/>
        <w:ind w:firstLine="709"/>
        <w:jc w:val="both"/>
        <w:rPr>
          <w:rFonts w:ascii="Verdana" w:eastAsia="Times New Roman" w:hAnsi="Verdana" w:cs="Arial"/>
          <w:bCs/>
          <w:lang w:eastAsia="es-CO"/>
        </w:rPr>
      </w:pPr>
      <w:r w:rsidRPr="003E638E">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1148257C" w14:textId="77777777" w:rsidR="00582C1A" w:rsidRPr="00990FC7" w:rsidRDefault="00582C1A" w:rsidP="00582C1A">
      <w:pPr>
        <w:spacing w:after="0" w:line="240" w:lineRule="auto"/>
        <w:ind w:right="709"/>
        <w:rPr>
          <w:rFonts w:ascii="Arial" w:eastAsia="Times New Roman" w:hAnsi="Arial" w:cs="Arial"/>
          <w:sz w:val="21"/>
          <w:szCs w:val="21"/>
          <w:lang w:val="es-ES" w:eastAsia="es-CO"/>
        </w:rPr>
      </w:pPr>
    </w:p>
    <w:p w14:paraId="17D2B8A0" w14:textId="77777777" w:rsidR="00582C1A" w:rsidRPr="003E638E" w:rsidRDefault="00582C1A" w:rsidP="00582C1A">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sz w:val="20"/>
          <w:szCs w:val="20"/>
          <w:lang w:val="es-ES" w:eastAsia="es-CO"/>
        </w:rPr>
        <w:t>“(…)</w:t>
      </w:r>
      <w:r>
        <w:rPr>
          <w:rFonts w:ascii="Verdana" w:eastAsia="Times New Roman" w:hAnsi="Verdana" w:cs="Arial"/>
          <w:bCs/>
          <w:sz w:val="20"/>
          <w:szCs w:val="20"/>
          <w:lang w:val="es-ES" w:eastAsia="es-CO"/>
        </w:rPr>
        <w:t xml:space="preserve"> </w:t>
      </w:r>
      <w:r w:rsidRPr="003E638E">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w:t>
      </w:r>
      <w:r w:rsidRPr="003E638E">
        <w:rPr>
          <w:rFonts w:ascii="Verdana" w:eastAsia="Times New Roman" w:hAnsi="Verdana" w:cs="Arial"/>
          <w:bCs/>
          <w:sz w:val="20"/>
          <w:szCs w:val="20"/>
          <w:lang w:eastAsia="es-CO"/>
        </w:rPr>
        <w:t>.</w:t>
      </w:r>
      <w:r w:rsidRPr="003E638E">
        <w:rPr>
          <w:rStyle w:val="Refdenotaalpie"/>
          <w:rFonts w:ascii="Verdana" w:hAnsi="Verdana" w:cs="Arial"/>
          <w:sz w:val="20"/>
          <w:szCs w:val="20"/>
        </w:rPr>
        <w:footnoteReference w:id="2"/>
      </w:r>
    </w:p>
    <w:p w14:paraId="0A019CE8" w14:textId="77777777" w:rsidR="00582C1A" w:rsidRPr="003E638E" w:rsidRDefault="00582C1A" w:rsidP="00582C1A">
      <w:pPr>
        <w:spacing w:after="0"/>
        <w:ind w:left="709" w:right="709"/>
        <w:jc w:val="both"/>
        <w:rPr>
          <w:rFonts w:ascii="Verdana" w:eastAsia="Times New Roman" w:hAnsi="Verdana" w:cs="Arial"/>
          <w:bCs/>
          <w:sz w:val="21"/>
          <w:szCs w:val="21"/>
          <w:lang w:eastAsia="es-CO"/>
        </w:rPr>
      </w:pPr>
    </w:p>
    <w:p w14:paraId="7AED2E65" w14:textId="77777777" w:rsidR="00582C1A" w:rsidRPr="003E638E" w:rsidRDefault="00582C1A" w:rsidP="00582C1A">
      <w:pPr>
        <w:spacing w:after="0" w:line="276" w:lineRule="auto"/>
        <w:ind w:firstLine="709"/>
        <w:jc w:val="both"/>
        <w:rPr>
          <w:rFonts w:ascii="Verdana" w:eastAsia="Times New Roman" w:hAnsi="Verdana" w:cs="Arial"/>
          <w:bCs/>
          <w:lang w:eastAsia="es-CO"/>
        </w:rPr>
      </w:pPr>
      <w:bookmarkStart w:id="6" w:name="_Hlk78818186"/>
      <w:r w:rsidRPr="003E638E">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w:t>
      </w:r>
      <w:r w:rsidRPr="003E638E">
        <w:rPr>
          <w:rFonts w:ascii="Verdana" w:eastAsia="Times New Roman" w:hAnsi="Verdana" w:cs="Arial"/>
          <w:bCs/>
          <w:lang w:eastAsia="es-CO"/>
        </w:rPr>
        <w:lastRenderedPageBreak/>
        <w:t xml:space="preserve">el actuar de los servidores públicos, evitando interferencias en la contienda electoral, así como la posible desviación de recursos públicos en aspiraciones electorales. </w:t>
      </w:r>
      <w:bookmarkEnd w:id="6"/>
      <w:r w:rsidRPr="003E638E">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7819C8C8" w14:textId="77777777" w:rsidR="00582C1A" w:rsidRPr="003E638E" w:rsidRDefault="00582C1A" w:rsidP="00582C1A">
      <w:pPr>
        <w:spacing w:after="0"/>
        <w:ind w:firstLine="709"/>
        <w:jc w:val="both"/>
        <w:rPr>
          <w:rFonts w:ascii="Verdana" w:eastAsia="Times New Roman" w:hAnsi="Verdana" w:cs="Arial"/>
          <w:bCs/>
          <w:lang w:eastAsia="es-CO"/>
        </w:rPr>
      </w:pPr>
    </w:p>
    <w:p w14:paraId="103896AC" w14:textId="77777777" w:rsidR="00582C1A" w:rsidRDefault="00582C1A" w:rsidP="00582C1A">
      <w:pPr>
        <w:spacing w:after="12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3E638E">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3E638E">
        <w:rPr>
          <w:rFonts w:ascii="Verdana" w:eastAsia="Times New Roman" w:hAnsi="Verdana" w:cs="Arial"/>
          <w:bCs/>
          <w:sz w:val="20"/>
          <w:szCs w:val="20"/>
          <w:lang w:eastAsia="es-CO"/>
        </w:rPr>
        <w:t>legis</w:t>
      </w:r>
      <w:proofErr w:type="spellEnd"/>
      <w:r w:rsidRPr="003E638E">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5F8FB41" w14:textId="77777777" w:rsidR="00582C1A" w:rsidRPr="003E638E" w:rsidRDefault="00582C1A" w:rsidP="00582C1A">
      <w:pPr>
        <w:spacing w:after="120" w:line="240" w:lineRule="auto"/>
        <w:ind w:left="709" w:right="709"/>
        <w:jc w:val="both"/>
        <w:rPr>
          <w:rFonts w:ascii="Verdana" w:eastAsia="Times New Roman" w:hAnsi="Verdana" w:cs="Arial"/>
          <w:bCs/>
          <w:sz w:val="20"/>
          <w:szCs w:val="20"/>
          <w:lang w:eastAsia="es-CO"/>
        </w:rPr>
      </w:pPr>
      <w:r w:rsidRPr="003E638E">
        <w:rPr>
          <w:rFonts w:ascii="Verdana" w:eastAsia="Times New Roman" w:hAnsi="Verdana" w:cs="Arial"/>
          <w:bCs/>
          <w:sz w:val="20"/>
          <w:szCs w:val="20"/>
          <w:lang w:eastAsia="es-CO"/>
        </w:rPr>
        <w:t>La jurisprudencia de la Corte Constitucional</w:t>
      </w:r>
      <w:r w:rsidRPr="003E638E">
        <w:rPr>
          <w:rStyle w:val="Refdenotaalpie"/>
          <w:rFonts w:ascii="Verdana" w:eastAsia="Times New Roman" w:hAnsi="Verdana" w:cs="Arial"/>
          <w:bCs/>
          <w:sz w:val="20"/>
          <w:szCs w:val="20"/>
          <w:lang w:eastAsia="es-CO"/>
        </w:rPr>
        <w:footnoteReference w:id="3"/>
      </w:r>
      <w:r w:rsidRPr="003E638E">
        <w:rPr>
          <w:rFonts w:ascii="Verdana" w:eastAsia="Times New Roman" w:hAnsi="Verdana" w:cs="Arial"/>
          <w:bCs/>
          <w:sz w:val="20"/>
          <w:szCs w:val="20"/>
          <w:lang w:eastAsia="es-CO"/>
        </w:rPr>
        <w:t> y del Consejo de Estado</w:t>
      </w:r>
      <w:r w:rsidRPr="003E638E">
        <w:rPr>
          <w:rStyle w:val="Refdenotaalpie"/>
          <w:rFonts w:ascii="Verdana" w:eastAsia="Times New Roman" w:hAnsi="Verdana" w:cs="Arial"/>
          <w:bCs/>
          <w:sz w:val="20"/>
          <w:szCs w:val="20"/>
          <w:lang w:eastAsia="es-CO"/>
        </w:rPr>
        <w:footnoteReference w:id="4"/>
      </w:r>
      <w:r w:rsidRPr="003E638E">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3E638E">
        <w:rPr>
          <w:rStyle w:val="Refdenotaalpie"/>
          <w:rFonts w:ascii="Verdana" w:eastAsia="Times New Roman" w:hAnsi="Verdana" w:cs="Arial"/>
          <w:bCs/>
          <w:sz w:val="20"/>
          <w:szCs w:val="20"/>
          <w:lang w:eastAsia="es-CO"/>
        </w:rPr>
        <w:footnoteReference w:id="5"/>
      </w:r>
      <w:r w:rsidRPr="003E638E">
        <w:rPr>
          <w:rFonts w:ascii="Verdana" w:eastAsia="Times New Roman" w:hAnsi="Verdana" w:cs="Arial"/>
          <w:bCs/>
          <w:sz w:val="20"/>
          <w:szCs w:val="20"/>
          <w:lang w:eastAsia="es-CO"/>
        </w:rPr>
        <w:t>.</w:t>
      </w:r>
    </w:p>
    <w:p w14:paraId="1BCBE45A" w14:textId="77777777" w:rsidR="00582C1A" w:rsidRPr="00990FC7" w:rsidRDefault="00582C1A" w:rsidP="00582C1A">
      <w:pPr>
        <w:spacing w:after="0" w:line="240" w:lineRule="auto"/>
        <w:ind w:right="709"/>
        <w:rPr>
          <w:rFonts w:ascii="Arial" w:eastAsia="Times New Roman" w:hAnsi="Arial" w:cs="Arial"/>
          <w:bCs/>
          <w:sz w:val="21"/>
          <w:szCs w:val="21"/>
          <w:lang w:eastAsia="es-CO"/>
        </w:rPr>
      </w:pPr>
    </w:p>
    <w:p w14:paraId="78040E35" w14:textId="77777777" w:rsidR="00582C1A" w:rsidRPr="003E638E" w:rsidRDefault="00582C1A" w:rsidP="00582C1A">
      <w:pPr>
        <w:spacing w:after="120" w:line="276" w:lineRule="auto"/>
        <w:jc w:val="both"/>
        <w:rPr>
          <w:rFonts w:ascii="Verdana" w:eastAsia="Arial" w:hAnsi="Verdana" w:cs="Arial"/>
          <w:lang w:val="es-ES" w:eastAsia="es-ES" w:bidi="es-ES"/>
        </w:rPr>
      </w:pPr>
      <w:r w:rsidRPr="00990FC7">
        <w:rPr>
          <w:rFonts w:ascii="Arial" w:eastAsia="Times New Roman" w:hAnsi="Arial" w:cs="Arial"/>
          <w:bCs/>
          <w:lang w:eastAsia="es-CO"/>
        </w:rPr>
        <w:tab/>
      </w:r>
      <w:r w:rsidRPr="003E638E">
        <w:rPr>
          <w:rFonts w:ascii="Verdana" w:eastAsia="Times New Roman" w:hAnsi="Verdana" w:cs="Arial"/>
          <w:bCs/>
          <w:lang w:eastAsia="es-CO"/>
        </w:rPr>
        <w:t>De</w:t>
      </w:r>
      <w:r w:rsidRPr="003E638E">
        <w:rPr>
          <w:rFonts w:ascii="Verdana" w:eastAsia="Arial" w:hAnsi="Verdana" w:cs="Arial"/>
          <w:lang w:val="es-ES" w:eastAsia="es-ES" w:bidi="es-ES"/>
        </w:rPr>
        <w:t xml:space="preserve"> conformidad con lo anterior, </w:t>
      </w:r>
      <w:bookmarkStart w:id="7" w:name="_Hlk77236098"/>
      <w:r w:rsidRPr="003E638E">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w:t>
      </w:r>
      <w:r w:rsidRPr="003E638E">
        <w:rPr>
          <w:rFonts w:ascii="Verdana" w:eastAsia="Arial" w:hAnsi="Verdana" w:cs="Arial"/>
          <w:lang w:val="es-ES" w:eastAsia="es-ES" w:bidi="es-ES"/>
        </w:rPr>
        <w:lastRenderedPageBreak/>
        <w:t>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7"/>
    </w:p>
    <w:p w14:paraId="4EA20C53" w14:textId="77777777" w:rsidR="00582C1A" w:rsidRPr="003E638E" w:rsidRDefault="00582C1A" w:rsidP="00582C1A">
      <w:pPr>
        <w:spacing w:after="120" w:line="276" w:lineRule="auto"/>
        <w:ind w:firstLine="708"/>
        <w:jc w:val="both"/>
        <w:rPr>
          <w:rFonts w:ascii="Verdana" w:eastAsia="Calibri" w:hAnsi="Verdana" w:cs="Arial"/>
        </w:rPr>
      </w:pPr>
      <w:r>
        <w:rPr>
          <w:rFonts w:ascii="Verdana" w:eastAsia="Calibri" w:hAnsi="Verdana" w:cs="Arial"/>
        </w:rPr>
        <w:t xml:space="preserve">El </w:t>
      </w:r>
      <w:r w:rsidRPr="003E638E">
        <w:rPr>
          <w:rFonts w:ascii="Verdana" w:eastAsia="Calibri" w:hAnsi="Verdana" w:cs="Arial"/>
        </w:rPr>
        <w:t xml:space="preserve">artículo 33 de la Ley 996 de 2005 prohíbe </w:t>
      </w:r>
      <w:r>
        <w:rPr>
          <w:rFonts w:ascii="Verdana" w:eastAsia="Calibri" w:hAnsi="Verdana" w:cs="Arial"/>
          <w:bCs/>
        </w:rPr>
        <w:t>“(…)</w:t>
      </w:r>
      <w:r w:rsidRPr="003E638E">
        <w:rPr>
          <w:rFonts w:ascii="Verdana" w:eastAsia="Calibri" w:hAnsi="Verdana" w:cs="Arial"/>
          <w:bCs/>
        </w:rPr>
        <w:t xml:space="preserve"> </w:t>
      </w:r>
      <w:r w:rsidRPr="003E638E">
        <w:rPr>
          <w:rFonts w:ascii="Verdana" w:eastAsia="Calibri" w:hAnsi="Verdana" w:cs="Arial"/>
        </w:rPr>
        <w:t>la contratación directa por parte de todos los entes del Estado</w:t>
      </w:r>
      <w:r>
        <w:rPr>
          <w:rFonts w:ascii="Verdana" w:eastAsia="Calibri" w:hAnsi="Verdana" w:cs="Arial"/>
        </w:rPr>
        <w:t>”</w:t>
      </w:r>
      <w:r w:rsidRPr="003E638E">
        <w:rPr>
          <w:rFonts w:ascii="Verdana" w:eastAsia="Calibri" w:hAnsi="Verdana" w:cs="Arial"/>
        </w:rPr>
        <w:t xml:space="preserve"> durante los cuatro (4) meses anteriores a las elecciones presidenciales, salvo </w:t>
      </w:r>
      <w:r>
        <w:rPr>
          <w:rFonts w:ascii="Verdana" w:eastAsia="Calibri" w:hAnsi="Verdana" w:cs="Arial"/>
          <w:bCs/>
        </w:rPr>
        <w:t>“(…) l</w:t>
      </w:r>
      <w:r w:rsidRPr="003E638E">
        <w:rPr>
          <w:rFonts w:ascii="Verdana" w:eastAsia="Calibri" w:hAnsi="Verdana" w:cs="Arial"/>
        </w:rPr>
        <w:t>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rPr>
        <w:t>”</w:t>
      </w:r>
      <w:r w:rsidRPr="003E638E">
        <w:rPr>
          <w:rFonts w:ascii="Verdana" w:eastAsia="Calibri" w:hAnsi="Verdana" w:cs="Arial"/>
          <w:bCs/>
          <w:vertAlign w:val="superscript"/>
        </w:rPr>
        <w:footnoteReference w:id="6"/>
      </w:r>
      <w:r w:rsidRPr="003E638E">
        <w:rPr>
          <w:rFonts w:ascii="Verdana" w:eastAsia="Calibri" w:hAnsi="Verdana" w:cs="Arial"/>
        </w:rPr>
        <w:t>.</w:t>
      </w:r>
    </w:p>
    <w:p w14:paraId="39BFBCC5" w14:textId="77777777" w:rsidR="00582C1A" w:rsidRPr="00F02C5A" w:rsidRDefault="00582C1A" w:rsidP="00582C1A">
      <w:pPr>
        <w:spacing w:after="0" w:line="276" w:lineRule="auto"/>
        <w:ind w:firstLine="708"/>
        <w:contextualSpacing/>
        <w:jc w:val="both"/>
        <w:rPr>
          <w:rFonts w:ascii="Verdana" w:eastAsia="Times New Roman" w:hAnsi="Verdana" w:cs="Arial"/>
          <w:lang w:val="es-MX" w:eastAsia="es-CO"/>
        </w:rPr>
      </w:pPr>
      <w:r w:rsidRPr="00F02C5A">
        <w:rPr>
          <w:rFonts w:ascii="Verdana" w:eastAsia="Times New Roman" w:hAnsi="Verdana" w:cs="Arial"/>
          <w:lang w:val="es-MX" w:eastAsia="x-none"/>
        </w:rPr>
        <w:t xml:space="preserve">El ámbito material de la prohibición contenida </w:t>
      </w:r>
      <w:bookmarkStart w:id="9" w:name="_Hlk75628761"/>
      <w:r w:rsidRPr="00F02C5A">
        <w:rPr>
          <w:rFonts w:ascii="Verdana" w:eastAsia="Times New Roman" w:hAnsi="Verdana" w:cs="Arial"/>
          <w:lang w:val="es-MX" w:eastAsia="x-none"/>
        </w:rPr>
        <w:t xml:space="preserve">en el artículo 33 de la Ley 996 de 2005 </w:t>
      </w:r>
      <w:bookmarkEnd w:id="9"/>
      <w:r w:rsidRPr="00F02C5A">
        <w:rPr>
          <w:rFonts w:ascii="Verdana" w:eastAsia="Times New Roman" w:hAnsi="Verdana" w:cs="Arial"/>
          <w:lang w:val="es-MX" w:eastAsia="x-none"/>
        </w:rPr>
        <w:t xml:space="preserve">está delimitado por la expresión </w:t>
      </w:r>
      <w:r w:rsidRPr="002817AD">
        <w:rPr>
          <w:rFonts w:ascii="Verdana" w:eastAsia="Calibri" w:hAnsi="Verdana" w:cs="Arial"/>
          <w:i/>
          <w:sz w:val="20"/>
          <w:szCs w:val="20"/>
          <w:lang w:val="es-MX"/>
        </w:rPr>
        <w:t>“</w:t>
      </w:r>
      <w:r w:rsidRPr="002817AD">
        <w:rPr>
          <w:rFonts w:ascii="Verdana" w:eastAsia="Times New Roman" w:hAnsi="Verdana" w:cs="Arial"/>
          <w:i/>
          <w:lang w:val="es-MX" w:eastAsia="x-none"/>
        </w:rPr>
        <w:t>queda prohibida la contratación directa</w:t>
      </w:r>
      <w:r w:rsidRPr="002817AD">
        <w:rPr>
          <w:rFonts w:ascii="Verdana" w:eastAsia="Calibri" w:hAnsi="Verdana" w:cs="Arial"/>
          <w:i/>
          <w:sz w:val="20"/>
          <w:szCs w:val="20"/>
          <w:lang w:val="es-MX"/>
        </w:rPr>
        <w:t>”</w:t>
      </w:r>
      <w:r w:rsidRPr="002817AD">
        <w:rPr>
          <w:rFonts w:ascii="Verdana" w:eastAsia="Times New Roman" w:hAnsi="Verdana" w:cs="Arial"/>
          <w:i/>
          <w:lang w:val="es-MX" w:eastAsia="x-none"/>
        </w:rPr>
        <w:t>.</w:t>
      </w:r>
      <w:r w:rsidRPr="002817AD">
        <w:rPr>
          <w:rFonts w:ascii="Verdana" w:eastAsia="Times New Roman" w:hAnsi="Verdana" w:cs="Arial"/>
          <w:i/>
          <w:lang w:val="es-MX" w:eastAsia="es-CO"/>
        </w:rPr>
        <w:t xml:space="preserve"> </w:t>
      </w:r>
      <w:r w:rsidRPr="00F02C5A">
        <w:rPr>
          <w:rFonts w:ascii="Verdana" w:eastAsia="Times New Roman" w:hAnsi="Verdana" w:cs="Arial"/>
          <w:lang w:val="es-MX" w:eastAsia="es-CO"/>
        </w:rPr>
        <w:t xml:space="preserve">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0BB9ABA2" w14:textId="77777777" w:rsidR="00582C1A" w:rsidRPr="00F02C5A" w:rsidRDefault="00582C1A" w:rsidP="00582C1A">
      <w:pPr>
        <w:spacing w:after="0" w:line="276" w:lineRule="auto"/>
        <w:ind w:left="708" w:right="709"/>
        <w:contextualSpacing/>
        <w:jc w:val="both"/>
        <w:rPr>
          <w:rFonts w:ascii="Verdana" w:eastAsia="Calibri" w:hAnsi="Verdana" w:cs="Arial"/>
          <w:sz w:val="21"/>
          <w:szCs w:val="21"/>
          <w:lang w:val="es-MX"/>
        </w:rPr>
      </w:pPr>
    </w:p>
    <w:p w14:paraId="6CFA2610" w14:textId="77777777" w:rsidR="00582C1A" w:rsidRPr="002817AD" w:rsidRDefault="00582C1A" w:rsidP="00582C1A">
      <w:pPr>
        <w:spacing w:after="0" w:line="240" w:lineRule="auto"/>
        <w:ind w:left="709" w:right="709"/>
        <w:contextualSpacing/>
        <w:jc w:val="both"/>
        <w:rPr>
          <w:rFonts w:ascii="Verdana" w:eastAsia="Calibri" w:hAnsi="Verdana" w:cs="Arial"/>
          <w:sz w:val="20"/>
          <w:szCs w:val="20"/>
          <w:lang w:val="es-MX"/>
        </w:rPr>
      </w:pPr>
      <w:r w:rsidRPr="002817AD">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2817AD">
        <w:rPr>
          <w:rFonts w:ascii="Verdana" w:eastAsia="Times New Roman" w:hAnsi="Verdana" w:cs="Arial"/>
          <w:sz w:val="20"/>
          <w:szCs w:val="20"/>
          <w:vertAlign w:val="superscript"/>
          <w:lang w:eastAsia="es-CO"/>
        </w:rPr>
        <w:footnoteReference w:id="7"/>
      </w:r>
      <w:r w:rsidRPr="002817AD">
        <w:rPr>
          <w:rFonts w:ascii="Verdana" w:eastAsia="Calibri" w:hAnsi="Verdana" w:cs="Arial"/>
          <w:sz w:val="20"/>
          <w:szCs w:val="20"/>
          <w:lang w:val="es-MX"/>
        </w:rPr>
        <w:t>.</w:t>
      </w:r>
    </w:p>
    <w:p w14:paraId="53932734" w14:textId="77777777" w:rsidR="00582C1A" w:rsidRPr="002817AD" w:rsidRDefault="00582C1A" w:rsidP="00582C1A">
      <w:pPr>
        <w:spacing w:after="0" w:line="240" w:lineRule="auto"/>
        <w:ind w:left="709" w:right="709"/>
        <w:contextualSpacing/>
        <w:jc w:val="both"/>
        <w:rPr>
          <w:rFonts w:ascii="Verdana" w:eastAsia="Calibri" w:hAnsi="Verdana" w:cs="Arial"/>
          <w:sz w:val="20"/>
          <w:szCs w:val="20"/>
          <w:lang w:val="es-MX"/>
        </w:rPr>
      </w:pPr>
    </w:p>
    <w:p w14:paraId="4F53C53D" w14:textId="77777777" w:rsidR="00582C1A" w:rsidRPr="002817AD" w:rsidRDefault="00582C1A" w:rsidP="00582C1A">
      <w:pPr>
        <w:spacing w:after="0" w:line="240" w:lineRule="auto"/>
        <w:ind w:left="708" w:right="709"/>
        <w:contextualSpacing/>
        <w:jc w:val="both"/>
        <w:rPr>
          <w:rFonts w:ascii="Verdana" w:eastAsia="Calibri" w:hAnsi="Verdana" w:cs="Arial"/>
          <w:sz w:val="20"/>
          <w:szCs w:val="20"/>
          <w:lang w:val="es-MX"/>
        </w:rPr>
      </w:pPr>
      <w:r w:rsidRPr="002817AD">
        <w:rPr>
          <w:rFonts w:ascii="Verdana" w:eastAsia="Calibri" w:hAnsi="Verdana" w:cs="Arial"/>
          <w:sz w:val="20"/>
          <w:szCs w:val="20"/>
          <w:lang w:val="es-MX"/>
        </w:rPr>
        <w:t xml:space="preserve">Esta Sala ha entendido que para los efectos de la ley de garantías, y dada su finalidad, el enunciado ´contratación directa´ es sinónimo </w:t>
      </w:r>
      <w:bookmarkStart w:id="10" w:name="_Hlk75741738"/>
      <w:r w:rsidRPr="002817AD">
        <w:rPr>
          <w:rFonts w:ascii="Verdana" w:eastAsia="Calibri" w:hAnsi="Verdana" w:cs="Arial"/>
          <w:sz w:val="20"/>
          <w:szCs w:val="20"/>
          <w:lang w:val="es-MX"/>
        </w:rPr>
        <w:t xml:space="preserve">de cualquier sistema que no implique convocatoria pública y posibilidad de pluralidad de oferentes, </w:t>
      </w:r>
      <w:bookmarkEnd w:id="10"/>
      <w:r w:rsidRPr="002817AD">
        <w:rPr>
          <w:rFonts w:ascii="Verdana" w:eastAsia="Calibri" w:hAnsi="Verdana" w:cs="Arial"/>
          <w:sz w:val="20"/>
          <w:szCs w:val="20"/>
          <w:lang w:val="es-MX"/>
        </w:rPr>
        <w:t>y que, además, no necesariamente hace referencia al procedimiento especial regulado por la ley de contratación estatal, sino a cualquier otro que prescinda de un proceso de licitación pública o concurso</w:t>
      </w:r>
      <w:r w:rsidRPr="002817AD">
        <w:rPr>
          <w:rFonts w:ascii="Verdana" w:eastAsia="Times New Roman" w:hAnsi="Verdana" w:cs="Arial"/>
          <w:sz w:val="20"/>
          <w:szCs w:val="20"/>
          <w:vertAlign w:val="superscript"/>
          <w:lang w:val="es-MX"/>
        </w:rPr>
        <w:footnoteReference w:id="8"/>
      </w:r>
      <w:r w:rsidRPr="002817AD">
        <w:rPr>
          <w:rFonts w:ascii="Verdana" w:eastAsia="Times New Roman" w:hAnsi="Verdana" w:cs="Arial"/>
          <w:sz w:val="20"/>
          <w:szCs w:val="20"/>
          <w:vertAlign w:val="superscript"/>
          <w:lang w:val="es-MX"/>
        </w:rPr>
        <w:t>.</w:t>
      </w:r>
      <w:r w:rsidRPr="002817AD">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2817AD">
        <w:rPr>
          <w:rFonts w:ascii="Verdana" w:eastAsia="Times New Roman" w:hAnsi="Verdana" w:cs="Arial"/>
          <w:sz w:val="20"/>
          <w:szCs w:val="20"/>
          <w:vertAlign w:val="superscript"/>
          <w:lang w:eastAsia="es-CO"/>
        </w:rPr>
        <w:footnoteReference w:id="9"/>
      </w:r>
      <w:r w:rsidRPr="002817AD">
        <w:rPr>
          <w:rFonts w:ascii="Verdana" w:eastAsia="Calibri" w:hAnsi="Verdana" w:cs="Arial"/>
          <w:sz w:val="20"/>
          <w:szCs w:val="20"/>
          <w:lang w:val="es-MX"/>
        </w:rPr>
        <w:t>”.</w:t>
      </w:r>
    </w:p>
    <w:p w14:paraId="5BC29CB6" w14:textId="77777777" w:rsidR="00582C1A" w:rsidRPr="00F02C5A" w:rsidRDefault="00582C1A" w:rsidP="00582C1A">
      <w:pPr>
        <w:shd w:val="clear" w:color="auto" w:fill="FFFFFF"/>
        <w:spacing w:after="0" w:line="276" w:lineRule="auto"/>
        <w:ind w:firstLine="709"/>
        <w:contextualSpacing/>
        <w:jc w:val="both"/>
        <w:rPr>
          <w:rFonts w:ascii="Verdana" w:eastAsia="Times New Roman" w:hAnsi="Verdana" w:cs="Arial"/>
          <w:lang w:eastAsia="x-none"/>
        </w:rPr>
      </w:pPr>
    </w:p>
    <w:p w14:paraId="5402CD01" w14:textId="77777777" w:rsidR="00582C1A" w:rsidRPr="00F02C5A" w:rsidRDefault="00582C1A" w:rsidP="00582C1A">
      <w:pPr>
        <w:spacing w:after="120" w:line="276" w:lineRule="auto"/>
        <w:ind w:firstLine="709"/>
        <w:jc w:val="both"/>
        <w:rPr>
          <w:rFonts w:ascii="Verdana" w:eastAsia="Times New Roman" w:hAnsi="Verdana" w:cs="Arial"/>
          <w:lang w:eastAsia="x-none"/>
        </w:rPr>
      </w:pPr>
      <w:bookmarkStart w:id="12"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12"/>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10"/>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11"/>
      </w:r>
      <w:r w:rsidRPr="00F02C5A">
        <w:rPr>
          <w:rFonts w:ascii="Verdana" w:eastAsia="Times New Roman" w:hAnsi="Verdana" w:cs="Arial"/>
          <w:lang w:eastAsia="x-none"/>
        </w:rPr>
        <w:t xml:space="preserve">. </w:t>
      </w:r>
    </w:p>
    <w:p w14:paraId="0A7F85DE" w14:textId="77777777" w:rsidR="00582C1A" w:rsidRPr="00F02C5A" w:rsidRDefault="00582C1A" w:rsidP="00582C1A">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12"/>
      </w:r>
      <w:r w:rsidRPr="00F02C5A">
        <w:rPr>
          <w:rFonts w:ascii="Verdana" w:eastAsia="Times New Roman" w:hAnsi="Verdana" w:cs="Arial"/>
          <w:lang w:eastAsia="x-none"/>
        </w:rPr>
        <w:t xml:space="preserve">, han establecido sistemas de </w:t>
      </w:r>
      <w:r w:rsidRPr="00F02C5A">
        <w:rPr>
          <w:rFonts w:ascii="Verdana" w:eastAsia="Times New Roman" w:hAnsi="Verdana" w:cs="Arial"/>
          <w:lang w:eastAsia="x-none"/>
        </w:rPr>
        <w:lastRenderedPageBreak/>
        <w:t>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593F5BB5" w14:textId="77777777" w:rsidR="00582C1A" w:rsidRPr="00F02C5A" w:rsidRDefault="00582C1A" w:rsidP="00582C1A">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13"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13"/>
      <w:r w:rsidRPr="00F02C5A">
        <w:rPr>
          <w:rFonts w:ascii="Verdana" w:eastAsia="Times New Roman" w:hAnsi="Verdana" w:cs="Arial"/>
          <w:vertAlign w:val="superscript"/>
          <w:lang w:eastAsia="x-none"/>
        </w:rPr>
        <w:footnoteReference w:id="13"/>
      </w:r>
      <w:r w:rsidRPr="00F02C5A">
        <w:rPr>
          <w:rFonts w:ascii="Verdana" w:eastAsia="Times New Roman" w:hAnsi="Verdana" w:cs="Arial"/>
          <w:lang w:eastAsia="x-none"/>
        </w:rPr>
        <w:t xml:space="preserve">. </w:t>
      </w:r>
    </w:p>
    <w:p w14:paraId="6EAE0239" w14:textId="77777777" w:rsidR="00582C1A" w:rsidRPr="00F02C5A" w:rsidRDefault="00582C1A" w:rsidP="00582C1A">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24982BE3" w14:textId="77777777" w:rsidR="00582C1A" w:rsidRPr="00F02C5A" w:rsidRDefault="00582C1A" w:rsidP="00582C1A">
      <w:pPr>
        <w:spacing w:after="120" w:line="276" w:lineRule="auto"/>
        <w:ind w:firstLine="709"/>
        <w:jc w:val="both"/>
        <w:rPr>
          <w:rFonts w:ascii="Verdana" w:eastAsia="Times New Roman" w:hAnsi="Verdana" w:cs="Arial"/>
          <w:lang w:val="es-MX" w:eastAsia="x-none"/>
        </w:rPr>
      </w:pPr>
      <w:bookmarkStart w:id="14" w:name="_Hlk78818796"/>
      <w:r w:rsidRPr="00F02C5A">
        <w:rPr>
          <w:rFonts w:ascii="Verdana" w:eastAsia="Times New Roman" w:hAnsi="Verdana" w:cs="Arial"/>
          <w:lang w:val="es-MX" w:eastAsia="x-none"/>
        </w:rPr>
        <w:t xml:space="preserve"> Así las cosas, </w:t>
      </w:r>
      <w:bookmarkStart w:id="15"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14"/>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14"/>
    <w:p w14:paraId="7CD85B95" w14:textId="77777777" w:rsidR="00582C1A" w:rsidRPr="00F02C5A" w:rsidRDefault="00582C1A" w:rsidP="00582C1A">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w:t>
      </w:r>
      <w:r w:rsidRPr="00F02C5A">
        <w:rPr>
          <w:rFonts w:ascii="Verdana" w:eastAsia="Times New Roman" w:hAnsi="Verdana" w:cs="Arial"/>
          <w:lang w:eastAsia="x-none"/>
        </w:rPr>
        <w:lastRenderedPageBreak/>
        <w:t>selección abreviada y la mínima cuantía, razón por la cual en ese período preelectoral de que trata la disposición las entidades públicas pueden seguir contratando bajo estos sistemas.</w:t>
      </w:r>
    </w:p>
    <w:p w14:paraId="133E6535" w14:textId="77777777" w:rsidR="00582C1A" w:rsidRPr="00F02C5A" w:rsidRDefault="00582C1A" w:rsidP="00582C1A">
      <w:pPr>
        <w:spacing w:after="120" w:line="276" w:lineRule="auto"/>
        <w:ind w:firstLine="709"/>
        <w:jc w:val="both"/>
        <w:rPr>
          <w:rFonts w:ascii="Verdana" w:eastAsia="Times New Roman" w:hAnsi="Verdana" w:cs="Arial"/>
          <w:lang w:val="es-MX" w:eastAsia="x-none"/>
        </w:rPr>
      </w:pPr>
      <w:bookmarkStart w:id="16" w:name="_Hlk77237094"/>
      <w:bookmarkEnd w:id="15"/>
      <w:r w:rsidRPr="00F02C5A">
        <w:rPr>
          <w:rFonts w:ascii="Verdana" w:eastAsia="Times New Roman" w:hAnsi="Verdana" w:cs="Arial"/>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16"/>
    </w:p>
    <w:p w14:paraId="5BBD6251" w14:textId="77777777" w:rsidR="00582C1A" w:rsidRPr="00F02C5A" w:rsidRDefault="00582C1A" w:rsidP="00365084">
      <w:pPr>
        <w:tabs>
          <w:tab w:val="left" w:pos="4312"/>
        </w:tabs>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w:t>
      </w:r>
      <w:bookmarkStart w:id="17" w:name="_Hlk99577887"/>
      <w:bookmarkStart w:id="18" w:name="_Hlk100679762"/>
      <w:r w:rsidRPr="00F02C5A">
        <w:rPr>
          <w:rFonts w:ascii="Verdana" w:eastAsia="Times New Roman" w:hAnsi="Verdana" w:cs="Arial"/>
          <w:lang w:val="es-MX" w:eastAsia="x-none"/>
        </w:rPr>
        <w:t>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17"/>
    </w:p>
    <w:bookmarkEnd w:id="18"/>
    <w:p w14:paraId="0B71A2E2" w14:textId="3CF7EDD3" w:rsidR="00582C1A" w:rsidRDefault="00582C1A" w:rsidP="00365084">
      <w:pPr>
        <w:tabs>
          <w:tab w:val="left" w:pos="4312"/>
        </w:tabs>
        <w:spacing w:after="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En esta labor es importante tener en cuenta, como lo anotó la Corte Constitucional, en Sentencia C-1153 de noviembre 11 de 2005</w:t>
      </w:r>
      <w:r w:rsidRPr="00F02C5A">
        <w:rPr>
          <w:rFonts w:ascii="Verdana" w:eastAsia="Calibri" w:hAnsi="Verdana" w:cs="Arial"/>
          <w:sz w:val="24"/>
          <w:lang w:val="es-MX"/>
        </w:rPr>
        <w:t>,</w:t>
      </w:r>
      <w:r w:rsidRPr="00F02C5A">
        <w:rPr>
          <w:rFonts w:ascii="Verdana" w:eastAsia="Times New Roman" w:hAnsi="Verdana" w:cs="Arial"/>
          <w:lang w:val="es-MX" w:eastAsia="x-none"/>
        </w:rPr>
        <w:t xml:space="preserve"> </w:t>
      </w:r>
      <w:bookmarkStart w:id="19" w:name="_Hlk74309042"/>
      <w:r w:rsidRPr="00F02C5A">
        <w:rPr>
          <w:rFonts w:ascii="Verdana" w:eastAsia="Times New Roman" w:hAnsi="Verdana" w:cs="Arial"/>
          <w:lang w:val="es-MX" w:eastAsia="x-none"/>
        </w:rPr>
        <w:t>que “</w:t>
      </w:r>
      <w:bookmarkEnd w:id="19"/>
      <w:r w:rsidRPr="00F02C5A">
        <w:rPr>
          <w:rFonts w:ascii="Verdana" w:eastAsia="Times New Roman" w:hAnsi="Verdana" w:cs="Arial"/>
          <w:lang w:val="es-MX" w:eastAsia="x-none"/>
        </w:rPr>
        <w:t xml:space="preserve">si bien la limitación garantiza la igualdad de condiciones, también es necesario que tal limitación que pretende la igualdad </w:t>
      </w:r>
      <w:bookmarkStart w:id="20" w:name="_Hlk75768308"/>
      <w:r w:rsidRPr="00F02C5A">
        <w:rPr>
          <w:rFonts w:ascii="Verdana" w:eastAsia="Times New Roman" w:hAnsi="Verdana" w:cs="Arial"/>
          <w:lang w:val="es-MX" w:eastAsia="x-none"/>
        </w:rPr>
        <w:t>no termine yendo en detrimento de intereses públicos, cuya garantía está en cabeza del ejecutivo, como son los inmersos en las excepciones para la prohibición de contratación”</w:t>
      </w:r>
      <w:r w:rsidRPr="00F02C5A">
        <w:rPr>
          <w:rFonts w:ascii="Verdana" w:eastAsia="Calibri" w:hAnsi="Verdana" w:cs="Arial"/>
          <w:vertAlign w:val="superscript"/>
          <w:lang w:val="es-MX"/>
        </w:rPr>
        <w:footnoteReference w:id="15"/>
      </w:r>
      <w:r w:rsidRPr="00F02C5A">
        <w:rPr>
          <w:rFonts w:ascii="Verdana" w:eastAsia="Times New Roman" w:hAnsi="Verdana" w:cs="Arial"/>
          <w:lang w:val="es-MX" w:eastAsia="x-none"/>
        </w:rPr>
        <w:t xml:space="preserve">. De ahí que la Corte haya hecho particular énfasis en que las excepciones a la restricción protegen diversos tipos de urgencias de defensa, salud, educación, infraestructura vial y de </w:t>
      </w:r>
      <w:r w:rsidRPr="00F02C5A">
        <w:rPr>
          <w:rFonts w:ascii="Verdana" w:eastAsia="Times New Roman" w:hAnsi="Verdana" w:cs="Arial"/>
          <w:lang w:val="es-MX" w:eastAsia="x-none"/>
        </w:rPr>
        <w:lastRenderedPageBreak/>
        <w:t xml:space="preserve">servicios públicos y ecológicas, que tienden a no limitar desproporcionadamente la acción del Estado en el cumplimiento de sus fines, en procura de la igualdad entre los </w:t>
      </w:r>
      <w:r w:rsidRPr="00F02C5A">
        <w:rPr>
          <w:rFonts w:ascii="Verdana" w:eastAsia="Times New Roman" w:hAnsi="Verdana" w:cs="Arial"/>
          <w:lang w:val="es-MX" w:eastAsia="es-CO"/>
        </w:rPr>
        <w:t>candidatos</w:t>
      </w:r>
      <w:r w:rsidRPr="00F02C5A">
        <w:rPr>
          <w:rFonts w:ascii="Verdana" w:eastAsia="Times New Roman" w:hAnsi="Verdana" w:cs="Arial"/>
          <w:lang w:val="es-MX" w:eastAsia="x-none"/>
        </w:rPr>
        <w:t xml:space="preserve"> como garantía electoral.</w:t>
      </w:r>
      <w:bookmarkEnd w:id="20"/>
    </w:p>
    <w:p w14:paraId="0E6B9252" w14:textId="77777777" w:rsidR="0053265F" w:rsidRPr="00D42A84" w:rsidRDefault="0053265F" w:rsidP="00680412">
      <w:pPr>
        <w:spacing w:after="0" w:line="276" w:lineRule="auto"/>
        <w:ind w:firstLine="709"/>
        <w:jc w:val="both"/>
        <w:rPr>
          <w:rFonts w:ascii="Verdana" w:eastAsia="Times New Roman" w:hAnsi="Verdana" w:cs="Arial"/>
          <w:lang w:val="es-MX" w:eastAsia="x-none"/>
        </w:rPr>
      </w:pPr>
    </w:p>
    <w:p w14:paraId="21826955" w14:textId="77777777" w:rsidR="00582C1A" w:rsidRPr="00A90DCC" w:rsidRDefault="00582C1A" w:rsidP="00582C1A">
      <w:pPr>
        <w:spacing w:before="120" w:after="120" w:line="276" w:lineRule="auto"/>
        <w:jc w:val="both"/>
        <w:rPr>
          <w:rFonts w:ascii="Verdana" w:eastAsia="Calibri" w:hAnsi="Verdana" w:cs="Arial"/>
          <w:lang w:val="es-ES"/>
        </w:rPr>
      </w:pPr>
      <w:r>
        <w:rPr>
          <w:rFonts w:ascii="Verdana" w:eastAsia="Times New Roman" w:hAnsi="Verdana" w:cs="Arial"/>
          <w:bCs/>
          <w:lang w:eastAsia="es-CO"/>
        </w:rPr>
        <w:t xml:space="preserve">ii. Ahora bien, para dar respuesta al problema jurídico planteado, </w:t>
      </w:r>
      <w:r w:rsidRPr="00A90DCC">
        <w:rPr>
          <w:rFonts w:ascii="Verdana" w:eastAsia="Times New Roman" w:hAnsi="Verdana" w:cs="Arial"/>
          <w:bCs/>
          <w:lang w:eastAsia="es-CO"/>
        </w:rPr>
        <w:t xml:space="preserve">es necesario poner en contexto los contratos del artículo 355 de la Constitución Política y los convenios de asociación </w:t>
      </w:r>
      <w:r w:rsidRPr="00A90DCC">
        <w:rPr>
          <w:rFonts w:ascii="Verdana" w:eastAsia="Calibri" w:hAnsi="Verdana" w:cs="Arial"/>
          <w:lang w:val="es-ES"/>
        </w:rPr>
        <w:t>del artículo 96 de la Ley 489 de 19</w:t>
      </w:r>
      <w:r w:rsidRPr="00377ED6">
        <w:rPr>
          <w:rFonts w:ascii="Verdana" w:eastAsia="Calibri" w:hAnsi="Verdana" w:cs="Arial"/>
          <w:lang w:val="es-ES"/>
        </w:rPr>
        <w:t>98</w:t>
      </w:r>
      <w:r>
        <w:rPr>
          <w:rFonts w:ascii="Verdana" w:eastAsia="Calibri" w:hAnsi="Verdana" w:cs="Arial"/>
          <w:lang w:val="es-ES"/>
        </w:rPr>
        <w:t>, con el fin de determinar si a este tipo de negocios jurídicos le es aplicable el artículo 33 de la Ley 996 de 2005.</w:t>
      </w:r>
      <w:r w:rsidRPr="00377ED6">
        <w:rPr>
          <w:rFonts w:ascii="Verdana" w:eastAsia="Calibri" w:hAnsi="Verdana" w:cs="Arial"/>
          <w:lang w:val="es-ES"/>
        </w:rPr>
        <w:t xml:space="preserve"> </w:t>
      </w:r>
    </w:p>
    <w:p w14:paraId="230FA252" w14:textId="77777777" w:rsidR="00582C1A" w:rsidRPr="00377ED6" w:rsidRDefault="00582C1A" w:rsidP="00582C1A">
      <w:pPr>
        <w:spacing w:before="120" w:after="120" w:line="276" w:lineRule="auto"/>
        <w:ind w:firstLine="709"/>
        <w:jc w:val="both"/>
        <w:rPr>
          <w:rFonts w:ascii="Verdana" w:eastAsia="Calibri" w:hAnsi="Verdana" w:cs="Arial"/>
          <w:lang w:val="es-ES"/>
        </w:rPr>
      </w:pPr>
      <w:bookmarkStart w:id="21" w:name="_Hlk38819155"/>
      <w:r w:rsidRPr="00377ED6">
        <w:rPr>
          <w:rFonts w:ascii="Verdana" w:eastAsia="Calibri" w:hAnsi="Verdana" w:cs="Arial"/>
          <w:lang w:val="es-ES"/>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ii) los convenios de asociación, para el desarrollo conjunto de actividades relacionadas con las funciones de las entidades estatales, en desarrollo del artículo 96 de la Ley 489 de 1998. </w:t>
      </w:r>
      <w:bookmarkEnd w:id="21"/>
    </w:p>
    <w:p w14:paraId="29D2DF5C" w14:textId="77777777" w:rsidR="00582C1A" w:rsidRDefault="00582C1A" w:rsidP="00582C1A">
      <w:pPr>
        <w:spacing w:before="120" w:after="120" w:line="276" w:lineRule="auto"/>
        <w:ind w:firstLine="709"/>
        <w:jc w:val="both"/>
        <w:rPr>
          <w:rFonts w:ascii="Verdana" w:eastAsia="Calibri" w:hAnsi="Verdana" w:cs="Arial"/>
          <w:lang w:val="es-ES"/>
        </w:rPr>
      </w:pPr>
      <w:bookmarkStart w:id="22" w:name="_Hlk95756032"/>
      <w:r w:rsidRPr="00377ED6">
        <w:rPr>
          <w:rFonts w:ascii="Verdana" w:eastAsia="Calibri" w:hAnsi="Verdana" w:cs="Arial"/>
          <w:lang w:val="es-ES"/>
        </w:rPr>
        <w:t xml:space="preserve">Los </w:t>
      </w:r>
      <w:r w:rsidRPr="00377ED6">
        <w:rPr>
          <w:rFonts w:ascii="Verdana" w:eastAsia="Calibri" w:hAnsi="Verdana" w:cs="Arial"/>
          <w:i/>
          <w:iCs/>
          <w:lang w:val="es-ES"/>
        </w:rPr>
        <w:t>contratos del artículo 355 de la Constitución Política</w:t>
      </w:r>
      <w:r w:rsidRPr="00377ED6">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19CF8F69" w14:textId="77777777" w:rsidR="00582C1A" w:rsidRDefault="00582C1A" w:rsidP="00582C1A">
      <w:pPr>
        <w:spacing w:before="120" w:after="120" w:line="276" w:lineRule="auto"/>
        <w:ind w:firstLine="709"/>
        <w:jc w:val="both"/>
        <w:rPr>
          <w:rFonts w:ascii="Verdana" w:eastAsia="Calibri" w:hAnsi="Verdana" w:cs="Arial"/>
          <w:lang w:val="es-ES"/>
        </w:rPr>
      </w:pPr>
      <w:r w:rsidRPr="00377ED6">
        <w:rPr>
          <w:rFonts w:ascii="Verdana" w:eastAsia="Calibri" w:hAnsi="Verdana" w:cs="Arial"/>
          <w:lang w:val="es-ES"/>
        </w:rPr>
        <w:t xml:space="preserve">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ii)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w:t>
      </w:r>
      <w:r w:rsidRPr="00377ED6">
        <w:rPr>
          <w:rFonts w:ascii="Verdana" w:eastAsia="Calibri" w:hAnsi="Verdana" w:cs="Arial"/>
          <w:lang w:val="es-ES"/>
        </w:rPr>
        <w:lastRenderedPageBreak/>
        <w:t>artículo 355 de la Constitución Política; de lo contrario, se aplicarán las normas del Estatuto General de Contratación de la Administración Pública.</w:t>
      </w:r>
    </w:p>
    <w:p w14:paraId="4ABD7175" w14:textId="77777777" w:rsidR="00582C1A" w:rsidRDefault="00582C1A" w:rsidP="00582C1A">
      <w:pPr>
        <w:spacing w:before="120" w:line="276" w:lineRule="auto"/>
        <w:ind w:firstLine="708"/>
        <w:jc w:val="both"/>
        <w:rPr>
          <w:rFonts w:ascii="Verdana" w:eastAsia="Calibri" w:hAnsi="Verdana" w:cs="Arial"/>
          <w:lang w:val="es-ES"/>
        </w:rPr>
      </w:pPr>
      <w:r w:rsidRPr="5F8BC1B5">
        <w:rPr>
          <w:rFonts w:ascii="Verdana" w:eastAsia="Calibri" w:hAnsi="Verdana" w:cs="Arial"/>
          <w:lang w:val="es-ES"/>
        </w:rPr>
        <w:t xml:space="preserve">Ahora bien, por disposición del artículo 4 del Decreto </w:t>
      </w:r>
      <w:r>
        <w:rPr>
          <w:rFonts w:ascii="Verdana" w:eastAsia="Calibri" w:hAnsi="Verdana" w:cs="Arial"/>
          <w:lang w:val="es-ES"/>
        </w:rPr>
        <w:t>0</w:t>
      </w:r>
      <w:r w:rsidRPr="5F8BC1B5">
        <w:rPr>
          <w:rFonts w:ascii="Verdana" w:eastAsia="Calibri" w:hAnsi="Verdana" w:cs="Arial"/>
          <w:lang w:val="es-ES"/>
        </w:rPr>
        <w:t xml:space="preserve">92 de 2017, las entidades estatales deberán adelantar procesos competitivos cuando en el marco de planeación se evidencie que el programa o actividad que se requiere desarrollar es ofrecido por más de una ESAL. Para tales casos el referido artículo establece que, en el desarrollo de los respectivos procedimientos, la entidad estatal deberá garantizar las siguientes fases: (i) definición y publicación de los indicadores de idoneidad, experiencia, eficacia, eficiencia, economía y de manejo del Riesgo y los criterios de ponderación para comparar las ofertas; (ii) definición de un plazo razonable para que las entidades privadas sin ánimo de lucro de reconocida idoneidad presenten a la Entidad Estatal sus ofertas y los documentos que acrediten su idoneidad, y (iii) evaluación de las ofertas por parte de la Entidad Estatal teniendo en cuenta los criterios definidos para el efecto. </w:t>
      </w:r>
    </w:p>
    <w:p w14:paraId="60B665D3" w14:textId="77777777" w:rsidR="00582C1A" w:rsidRDefault="00582C1A" w:rsidP="00582C1A">
      <w:pPr>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De acuerdo con esto, la celebración de los contratos los que se refiere el artículo 355 superior, regidos por los artículos 2, 3 y 4 del Decreto 092 de 2017, no se afecta por la restricción del artículo 33 de la Ley 996 de 2005, en la medida en que su suscripción debe darse previo desarrollo de proceso competitivo.  </w:t>
      </w:r>
    </w:p>
    <w:bookmarkEnd w:id="22"/>
    <w:p w14:paraId="506D4510" w14:textId="77777777" w:rsidR="00582C1A" w:rsidRPr="00377ED6" w:rsidRDefault="00582C1A" w:rsidP="00582C1A">
      <w:pPr>
        <w:spacing w:before="120" w:after="120" w:line="276" w:lineRule="auto"/>
        <w:ind w:firstLine="709"/>
        <w:jc w:val="both"/>
        <w:rPr>
          <w:rFonts w:ascii="Verdana" w:eastAsia="Calibri" w:hAnsi="Verdana" w:cs="Arial"/>
          <w:bCs/>
          <w:lang w:val="es-ES_tradnl"/>
        </w:rPr>
      </w:pPr>
      <w:r w:rsidRPr="00377ED6">
        <w:rPr>
          <w:rFonts w:ascii="Verdana" w:eastAsia="Calibri" w:hAnsi="Verdana" w:cs="Arial"/>
          <w:bCs/>
          <w:lang w:val="es-ES_tradnl"/>
        </w:rPr>
        <w:t xml:space="preserve">De otro lado, </w:t>
      </w:r>
      <w:r>
        <w:rPr>
          <w:rFonts w:ascii="Verdana" w:eastAsia="Calibri" w:hAnsi="Verdana" w:cs="Arial"/>
          <w:bCs/>
          <w:lang w:val="es-ES_tradnl"/>
        </w:rPr>
        <w:t xml:space="preserve">la celebración de </w:t>
      </w:r>
      <w:r w:rsidRPr="00377ED6">
        <w:rPr>
          <w:rFonts w:ascii="Verdana" w:eastAsia="Calibri" w:hAnsi="Verdana" w:cs="Arial"/>
          <w:bCs/>
          <w:lang w:val="es-ES_tradnl"/>
        </w:rPr>
        <w:t xml:space="preserve">los </w:t>
      </w:r>
      <w:r w:rsidRPr="00377ED6">
        <w:rPr>
          <w:rFonts w:ascii="Verdana" w:eastAsia="Calibri" w:hAnsi="Verdana" w:cs="Arial"/>
          <w:bCs/>
          <w:i/>
          <w:lang w:val="es-ES_tradnl"/>
        </w:rPr>
        <w:t>convenios de asociación</w:t>
      </w:r>
      <w:r w:rsidRPr="00377ED6">
        <w:rPr>
          <w:rFonts w:ascii="Verdana" w:eastAsia="Calibri" w:hAnsi="Verdana" w:cs="Arial"/>
          <w:bCs/>
          <w:lang w:val="es-ES_tradnl"/>
        </w:rPr>
        <w:t xml:space="preserve"> “[t]</w:t>
      </w:r>
      <w:proofErr w:type="spellStart"/>
      <w:r w:rsidRPr="00377ED6">
        <w:rPr>
          <w:rFonts w:ascii="Verdana" w:eastAsia="Calibri" w:hAnsi="Verdana" w:cs="Arial"/>
          <w:bCs/>
          <w:lang w:val="es-ES_tradnl"/>
        </w:rPr>
        <w:t>ienen</w:t>
      </w:r>
      <w:proofErr w:type="spellEnd"/>
      <w:r w:rsidRPr="00377ED6">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77ED6">
        <w:rPr>
          <w:rFonts w:ascii="Verdana" w:hAnsi="Verdana" w:cs="Arial"/>
          <w:vertAlign w:val="superscript"/>
        </w:rPr>
        <w:footnoteReference w:id="16"/>
      </w:r>
      <w:r w:rsidRPr="00377ED6">
        <w:rPr>
          <w:rFonts w:ascii="Verdana" w:eastAsia="Calibri" w:hAnsi="Verdana" w:cs="Arial"/>
          <w:bCs/>
          <w:lang w:val="es-ES_tradnl"/>
        </w:rPr>
        <w:t xml:space="preserve">. En estos convenios existen aportes dirigidos, especialmente, a lograr la ejecución del convenio. De todos modos, la entidad deberá adelantar un proceso competitivo, </w:t>
      </w:r>
      <w:r w:rsidRPr="00B47839">
        <w:rPr>
          <w:rFonts w:ascii="Verdana" w:eastAsia="Calibri" w:hAnsi="Verdana" w:cs="Arial"/>
          <w:bCs/>
          <w:lang w:val="es-ES_tradnl"/>
        </w:rPr>
        <w:t>salvo cuando la ESAL comprometa recursos en dinero para la ejecución de estas actividades, en una proporción no inferior al 30% del valor total del convenio.</w:t>
      </w:r>
      <w:r>
        <w:rPr>
          <w:rFonts w:ascii="Verdana" w:eastAsia="Calibri" w:hAnsi="Verdana" w:cs="Arial"/>
          <w:bCs/>
          <w:lang w:val="es-ES_tradnl"/>
        </w:rPr>
        <w:t xml:space="preserve"> </w:t>
      </w:r>
      <w:r w:rsidRPr="00377ED6">
        <w:rPr>
          <w:rFonts w:ascii="Verdana" w:eastAsia="Calibri" w:hAnsi="Verdana" w:cs="Arial"/>
          <w:bCs/>
          <w:lang w:val="es-ES_tradnl"/>
        </w:rPr>
        <w:t>El convenio de asociación no es conmutativo, y por tanto, la entidad no instruye al contratista para desarrollar los programas o actividades previstas, sino que se asocia con él para el cumplimiento de objetivos comunes</w:t>
      </w:r>
      <w:r w:rsidRPr="00377ED6">
        <w:rPr>
          <w:rFonts w:ascii="Verdana" w:hAnsi="Verdana" w:cs="Arial"/>
          <w:vertAlign w:val="superscript"/>
        </w:rPr>
        <w:footnoteReference w:id="17"/>
      </w:r>
      <w:r w:rsidRPr="00377ED6">
        <w:rPr>
          <w:rFonts w:ascii="Verdana" w:eastAsia="Calibri" w:hAnsi="Verdana" w:cs="Arial"/>
          <w:bCs/>
          <w:lang w:val="es-ES_tradnl"/>
        </w:rPr>
        <w:t>.</w:t>
      </w:r>
    </w:p>
    <w:p w14:paraId="0AFF68DB" w14:textId="77777777" w:rsidR="00582C1A" w:rsidRPr="00377ED6" w:rsidRDefault="00582C1A" w:rsidP="00582C1A">
      <w:pPr>
        <w:spacing w:before="120" w:after="120" w:line="276" w:lineRule="auto"/>
        <w:ind w:firstLine="709"/>
        <w:jc w:val="both"/>
        <w:rPr>
          <w:rFonts w:ascii="Verdana" w:eastAsia="Calibri" w:hAnsi="Verdana" w:cs="Arial"/>
          <w:bCs/>
        </w:rPr>
      </w:pPr>
      <w:r w:rsidRPr="00377ED6">
        <w:rPr>
          <w:rFonts w:ascii="Verdana" w:eastAsia="Calibri" w:hAnsi="Verdana" w:cs="Arial"/>
          <w:bCs/>
          <w:lang w:val="es-ES_tradnl"/>
        </w:rPr>
        <w:lastRenderedPageBreak/>
        <w:t>La normativa vigente no impide que varias entidades suscriban conjuntamente el convenio de asociación y tampoco que dos o más ESAL pueden hacerlo, a través de las figuras asociativas autorizadas por la ley, por ejemplo, como unión temporal o como consorcio</w:t>
      </w:r>
      <w:r w:rsidRPr="00377ED6">
        <w:rPr>
          <w:rFonts w:ascii="Verdana" w:eastAsia="Calibri" w:hAnsi="Verdana" w:cs="Arial"/>
          <w:bCs/>
        </w:rPr>
        <w:t>.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03665E92" w14:textId="77777777" w:rsidR="00582C1A" w:rsidRPr="00377ED6" w:rsidRDefault="00582C1A" w:rsidP="00582C1A">
      <w:pPr>
        <w:spacing w:before="120" w:after="120" w:line="276" w:lineRule="auto"/>
        <w:ind w:firstLine="709"/>
        <w:jc w:val="both"/>
        <w:rPr>
          <w:rFonts w:ascii="Verdana" w:hAnsi="Verdana"/>
        </w:rPr>
      </w:pPr>
      <w:r w:rsidRPr="00377ED6">
        <w:rPr>
          <w:rFonts w:ascii="Verdana" w:hAnsi="Verdana" w:cs="Arial"/>
          <w:color w:val="000000" w:themeColor="text1"/>
        </w:rPr>
        <w:t xml:space="preserve">La noción “seleccionar de forma objetiva”, contenida en la disposición </w:t>
      </w:r>
      <w:r w:rsidRPr="00377ED6">
        <w:rPr>
          <w:rFonts w:ascii="Verdana" w:hAnsi="Verdana" w:cs="Arial"/>
          <w:i/>
          <w:iCs/>
          <w:color w:val="000000" w:themeColor="text1"/>
        </w:rPr>
        <w:t xml:space="preserve">sub examine </w:t>
      </w:r>
      <w:r w:rsidRPr="00377ED6">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0946C5AF" w14:textId="77777777" w:rsidR="00582C1A" w:rsidRPr="00377ED6" w:rsidRDefault="00582C1A" w:rsidP="00582C1A">
      <w:pPr>
        <w:spacing w:after="0" w:line="276" w:lineRule="auto"/>
        <w:ind w:firstLine="708"/>
        <w:jc w:val="both"/>
        <w:rPr>
          <w:rFonts w:ascii="Verdana" w:hAnsi="Verdana" w:cs="Arial"/>
          <w:color w:val="000000" w:themeColor="text1"/>
          <w:lang w:val="es-MX"/>
        </w:rPr>
      </w:pPr>
      <w:r w:rsidRPr="00377ED6">
        <w:rPr>
          <w:rFonts w:ascii="Verdana" w:hAnsi="Verdana" w:cs="Arial"/>
          <w:color w:val="000000" w:themeColor="text1"/>
          <w:lang w:val="es-MX"/>
        </w:rPr>
        <w:t>Es importante aclarar que los negocios jurídicos que regula el Decreto 092 de 2017 “</w:t>
      </w:r>
      <w:r>
        <w:rPr>
          <w:rFonts w:ascii="Verdana" w:hAnsi="Verdana" w:cs="Arial"/>
          <w:color w:val="000000" w:themeColor="text1"/>
          <w:lang w:val="es-MX"/>
        </w:rPr>
        <w:t xml:space="preserve">(…) </w:t>
      </w:r>
      <w:r w:rsidRPr="00377ED6">
        <w:rPr>
          <w:rFonts w:ascii="Verdana" w:hAnsi="Verdana" w:cs="Arial"/>
          <w:color w:val="000000" w:themeColor="text1"/>
          <w:lang w:val="es-MX"/>
        </w:rPr>
        <w:t>son esencialmente distintos a los contratos para la adquisición y aprovisionamiento de bienes, obras o servicios regulados por el estatuto de contratación y</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[como tal,] no hacen parte del sistema de compra pública. </w:t>
      </w:r>
      <w:r>
        <w:rPr>
          <w:rFonts w:ascii="Verdana" w:hAnsi="Verdana" w:cs="Arial"/>
          <w:color w:val="000000" w:themeColor="text1"/>
          <w:lang w:val="es-MX"/>
        </w:rPr>
        <w:t xml:space="preserve">(…) </w:t>
      </w:r>
      <w:r w:rsidRPr="00377ED6">
        <w:rPr>
          <w:rFonts w:ascii="Verdana" w:hAnsi="Verdana" w:cs="Arial"/>
          <w:color w:val="000000" w:themeColor="text1"/>
          <w:lang w:val="es-MX"/>
        </w:rPr>
        <w:t xml:space="preserve">De acuerdo con lo anterior, si la entidad estatal adquiere o se abastece de un bien, obra o servicio en un contrato conmutativo en el cual el proveedor es una [ESAL], debe aplicar el régimen contenido en las Leyes 80 de 1993 y 1150 de </w:t>
      </w:r>
      <w:r w:rsidRPr="00377ED6">
        <w:rPr>
          <w:rFonts w:ascii="Verdana" w:hAnsi="Verdana" w:cs="Arial"/>
          <w:color w:val="000000" w:themeColor="text1"/>
          <w:lang w:val="es-MX"/>
        </w:rPr>
        <w:lastRenderedPageBreak/>
        <w:t>2007, y no el Decreto 092 de 2017”</w:t>
      </w:r>
      <w:r w:rsidRPr="00377ED6">
        <w:rPr>
          <w:rFonts w:ascii="Verdana" w:hAnsi="Verdana" w:cs="Arial"/>
          <w:color w:val="000000" w:themeColor="text1"/>
          <w:vertAlign w:val="superscript"/>
          <w:lang w:val="es-MX"/>
        </w:rPr>
        <w:footnoteReference w:id="18"/>
      </w:r>
      <w:r w:rsidRPr="00377ED6">
        <w:rPr>
          <w:rFonts w:ascii="Verdana" w:hAnsi="Verdana" w:cs="Arial"/>
          <w:color w:val="000000" w:themeColor="text1"/>
          <w:lang w:val="es-MX"/>
        </w:rPr>
        <w:t>. Así lo consideró la Sala de Consulta y Servicio Civil del Consejo de Estado:</w:t>
      </w:r>
    </w:p>
    <w:p w14:paraId="7B1A785A" w14:textId="77777777" w:rsidR="00582C1A" w:rsidRPr="00377ED6" w:rsidRDefault="00582C1A" w:rsidP="00582C1A">
      <w:pPr>
        <w:spacing w:after="0" w:line="276" w:lineRule="auto"/>
        <w:jc w:val="both"/>
        <w:rPr>
          <w:rFonts w:ascii="Verdana" w:hAnsi="Verdana" w:cs="Arial"/>
          <w:color w:val="000000" w:themeColor="text1"/>
          <w:lang w:val="es-MX"/>
        </w:rPr>
      </w:pPr>
    </w:p>
    <w:p w14:paraId="41881439" w14:textId="77777777" w:rsidR="00582C1A" w:rsidRPr="003E7CD1" w:rsidRDefault="00582C1A" w:rsidP="00582C1A">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1C7CAE8B" w14:textId="77777777" w:rsidR="00582C1A" w:rsidRPr="003E7CD1" w:rsidRDefault="00582C1A" w:rsidP="00582C1A">
      <w:pPr>
        <w:spacing w:after="0" w:line="240" w:lineRule="auto"/>
        <w:ind w:left="708"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3E7CD1">
        <w:rPr>
          <w:rFonts w:ascii="Verdana" w:hAnsi="Verdana" w:cs="Arial"/>
          <w:color w:val="000000" w:themeColor="text1"/>
          <w:sz w:val="20"/>
          <w:szCs w:val="20"/>
          <w:vertAlign w:val="superscript"/>
        </w:rPr>
        <w:t xml:space="preserve"> </w:t>
      </w:r>
      <w:r w:rsidRPr="003E7CD1">
        <w:rPr>
          <w:rFonts w:ascii="Verdana" w:hAnsi="Verdana" w:cs="Arial"/>
          <w:color w:val="000000" w:themeColor="text1"/>
          <w:sz w:val="20"/>
          <w:szCs w:val="20"/>
          <w:vertAlign w:val="superscript"/>
        </w:rPr>
        <w:footnoteReference w:id="19"/>
      </w:r>
      <w:r w:rsidRPr="003E7CD1">
        <w:rPr>
          <w:rFonts w:ascii="Verdana" w:eastAsia="Calibri" w:hAnsi="Verdana" w:cs="Arial"/>
          <w:color w:val="000000" w:themeColor="text1"/>
          <w:sz w:val="20"/>
          <w:szCs w:val="20"/>
        </w:rPr>
        <w:t>.</w:t>
      </w:r>
    </w:p>
    <w:p w14:paraId="7640CA2F" w14:textId="77777777" w:rsidR="00582C1A" w:rsidRPr="00377ED6" w:rsidRDefault="00582C1A" w:rsidP="00582C1A">
      <w:pPr>
        <w:spacing w:after="0" w:line="276" w:lineRule="auto"/>
        <w:ind w:firstLine="708"/>
        <w:jc w:val="both"/>
        <w:rPr>
          <w:rFonts w:ascii="Verdana" w:eastAsia="Calibri" w:hAnsi="Verdana" w:cs="Arial"/>
          <w:color w:val="000000" w:themeColor="text1"/>
        </w:rPr>
      </w:pPr>
      <w:bookmarkStart w:id="23" w:name="_Hlk95756200"/>
    </w:p>
    <w:p w14:paraId="2E99560D" w14:textId="77777777" w:rsidR="00582C1A" w:rsidRPr="00377ED6" w:rsidRDefault="00582C1A" w:rsidP="00582C1A">
      <w:pPr>
        <w:spacing w:after="0" w:line="276" w:lineRule="auto"/>
        <w:ind w:firstLine="708"/>
        <w:jc w:val="both"/>
        <w:rPr>
          <w:rFonts w:ascii="Verdana" w:eastAsia="Calibri" w:hAnsi="Verdana" w:cs="Arial"/>
          <w:color w:val="000000" w:themeColor="text1"/>
        </w:rPr>
      </w:pPr>
      <w:r w:rsidRPr="00377ED6">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23"/>
      <w:r w:rsidRPr="00377ED6">
        <w:rPr>
          <w:rFonts w:ascii="Verdana" w:eastAsia="Calibri" w:hAnsi="Verdana" w:cs="Arial"/>
          <w:color w:val="000000" w:themeColor="text1"/>
        </w:rPr>
        <w:t>Así lo reconoció la Corte Constitucional en la sentencia C-287 del 18 de abril de 2012, en la que sostuvo lo siguiente:</w:t>
      </w:r>
    </w:p>
    <w:p w14:paraId="4B86F6A1" w14:textId="77777777" w:rsidR="00582C1A" w:rsidRPr="00377ED6" w:rsidRDefault="00582C1A" w:rsidP="00582C1A">
      <w:pPr>
        <w:spacing w:after="0" w:line="240" w:lineRule="auto"/>
        <w:ind w:firstLine="709"/>
        <w:jc w:val="both"/>
        <w:rPr>
          <w:rFonts w:ascii="Verdana" w:eastAsia="Calibri" w:hAnsi="Verdana" w:cs="Arial"/>
          <w:color w:val="000000" w:themeColor="text1"/>
        </w:rPr>
      </w:pPr>
    </w:p>
    <w:p w14:paraId="13B06A63" w14:textId="77777777" w:rsidR="00582C1A" w:rsidRPr="003E7CD1" w:rsidRDefault="00582C1A" w:rsidP="00582C1A">
      <w:pPr>
        <w:spacing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71EE2104" w14:textId="77777777" w:rsidR="00582C1A" w:rsidRPr="003E7CD1" w:rsidRDefault="00582C1A" w:rsidP="00582C1A">
      <w:pPr>
        <w:spacing w:after="0" w:line="240" w:lineRule="auto"/>
        <w:ind w:left="709" w:right="709"/>
        <w:jc w:val="both"/>
        <w:rPr>
          <w:rFonts w:ascii="Verdana" w:eastAsia="Calibri" w:hAnsi="Verdana" w:cs="Arial"/>
          <w:color w:val="000000" w:themeColor="text1"/>
          <w:sz w:val="20"/>
          <w:szCs w:val="20"/>
        </w:rPr>
      </w:pPr>
      <w:r w:rsidRPr="003E7CD1">
        <w:rPr>
          <w:rFonts w:ascii="Verdana" w:eastAsia="Calibri" w:hAnsi="Verdana" w:cs="Arial"/>
          <w:i/>
          <w:iCs/>
          <w:color w:val="000000" w:themeColor="text1"/>
          <w:sz w:val="20"/>
          <w:szCs w:val="20"/>
        </w:rPr>
        <w:lastRenderedPageBreak/>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3E7CD1">
        <w:rPr>
          <w:rFonts w:ascii="Verdana" w:eastAsia="Calibri" w:hAnsi="Verdana" w:cs="Arial"/>
          <w:color w:val="000000" w:themeColor="text1"/>
          <w:sz w:val="20"/>
          <w:szCs w:val="20"/>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(Cursivas propias)</w:t>
      </w:r>
    </w:p>
    <w:p w14:paraId="57759A7A" w14:textId="77777777" w:rsidR="00582C1A" w:rsidRPr="00377ED6" w:rsidRDefault="00582C1A" w:rsidP="00582C1A">
      <w:pPr>
        <w:spacing w:after="0" w:line="276" w:lineRule="auto"/>
        <w:ind w:firstLine="709"/>
        <w:jc w:val="both"/>
        <w:rPr>
          <w:rFonts w:ascii="Verdana" w:eastAsia="Calibri" w:hAnsi="Verdana" w:cs="Arial"/>
          <w:color w:val="000000" w:themeColor="text1"/>
        </w:rPr>
      </w:pPr>
    </w:p>
    <w:p w14:paraId="55B41642" w14:textId="77777777" w:rsidR="00582C1A" w:rsidRPr="00377ED6" w:rsidRDefault="00582C1A" w:rsidP="00582C1A">
      <w:pPr>
        <w:spacing w:after="120" w:line="276" w:lineRule="auto"/>
        <w:ind w:firstLine="709"/>
        <w:jc w:val="both"/>
        <w:rPr>
          <w:rFonts w:ascii="Verdana" w:eastAsia="Calibri" w:hAnsi="Verdana" w:cs="Arial"/>
          <w:color w:val="000000" w:themeColor="text1"/>
        </w:rPr>
      </w:pPr>
      <w:r w:rsidRPr="00377ED6">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78C6B6F1" w14:textId="77777777" w:rsidR="00582C1A" w:rsidRPr="00377ED6" w:rsidRDefault="00582C1A" w:rsidP="00582C1A">
      <w:pPr>
        <w:spacing w:line="276" w:lineRule="auto"/>
        <w:ind w:firstLine="709"/>
        <w:jc w:val="both"/>
        <w:rPr>
          <w:rFonts w:ascii="Verdana" w:eastAsia="Calibri" w:hAnsi="Verdana" w:cs="Arial"/>
          <w:color w:val="000000" w:themeColor="text1"/>
        </w:rPr>
      </w:pPr>
      <w:r w:rsidRPr="00377ED6">
        <w:rPr>
          <w:rFonts w:ascii="Verdana" w:hAnsi="Verdana" w:cs="Arial"/>
          <w:color w:val="000000" w:themeColor="text1"/>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w:t>
      </w:r>
      <w:r w:rsidRPr="00377ED6">
        <w:rPr>
          <w:rFonts w:ascii="Verdana" w:hAnsi="Verdana" w:cs="Arial"/>
          <w:i/>
          <w:iCs/>
          <w:color w:val="000000" w:themeColor="text1"/>
        </w:rPr>
        <w:t>contratos del artículo 355 de la Constitución Política</w:t>
      </w:r>
      <w:r w:rsidRPr="00377ED6">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ii) tampoco debe condicionarse a que la contratación con las ESAL garantice la optimización de los recursos públicos en términos de eficiencia, eficacia, economía y manejo del riesgo; iii) el objeto del contrato debe estar acorde con el plan nacional o seccional de desarrollo; iv)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w:t>
      </w:r>
      <w:r w:rsidRPr="00377ED6">
        <w:rPr>
          <w:rFonts w:ascii="Verdana" w:hAnsi="Verdana" w:cs="Arial"/>
          <w:color w:val="000000" w:themeColor="text1"/>
        </w:rPr>
        <w:lastRenderedPageBreak/>
        <w:t>deportivas y de promoción de la diversidad étnica colombiana, por lo que basta con cumplir el anterior numeral iii); y v) el contrato no debe establecer una relación conmutativa en el cual haya una contraprestación directa a favor de la entidad, ni instrucciones precisas dadas por esta al contratista para cumplir con el objeto del contrato.</w:t>
      </w:r>
    </w:p>
    <w:p w14:paraId="7A653B00" w14:textId="77777777" w:rsidR="00582C1A" w:rsidRDefault="00582C1A" w:rsidP="00582C1A">
      <w:pPr>
        <w:spacing w:after="120" w:line="276" w:lineRule="auto"/>
        <w:ind w:firstLine="709"/>
        <w:jc w:val="both"/>
        <w:rPr>
          <w:rFonts w:ascii="Verdana" w:eastAsia="Calibri" w:hAnsi="Verdana" w:cs="Arial"/>
          <w:color w:val="000000"/>
        </w:rPr>
      </w:pPr>
      <w:r>
        <w:rPr>
          <w:rFonts w:ascii="Verdana" w:eastAsia="Calibri" w:hAnsi="Verdana" w:cs="Arial"/>
          <w:color w:val="000000" w:themeColor="text1"/>
        </w:rPr>
        <w:t>De esta manera</w:t>
      </w:r>
      <w:r w:rsidRPr="00377ED6">
        <w:rPr>
          <w:rFonts w:ascii="Verdana" w:eastAsia="Calibri" w:hAnsi="Verdana" w:cs="Arial"/>
          <w:color w:val="000000" w:themeColor="text1"/>
        </w:rPr>
        <w:t xml:space="preserve">, si se pretende realizar un </w:t>
      </w:r>
      <w:r w:rsidRPr="00377ED6">
        <w:rPr>
          <w:rFonts w:ascii="Verdana" w:eastAsia="Calibri" w:hAnsi="Verdana" w:cs="Arial"/>
          <w:i/>
          <w:iCs/>
          <w:color w:val="000000" w:themeColor="text1"/>
        </w:rPr>
        <w:t>convenio de asociación</w:t>
      </w:r>
      <w:r w:rsidRPr="00377ED6">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w:t>
      </w:r>
      <w:r>
        <w:rPr>
          <w:rFonts w:ascii="Verdana" w:eastAsia="Calibri" w:hAnsi="Verdana" w:cs="Arial"/>
          <w:color w:val="000000" w:themeColor="text1"/>
        </w:rPr>
        <w:t>Por lo tanto</w:t>
      </w:r>
      <w:r w:rsidRPr="00377ED6">
        <w:rPr>
          <w:rFonts w:ascii="Verdana" w:eastAsia="Calibri" w:hAnsi="Verdana" w:cs="Arial"/>
          <w:color w:val="000000" w:themeColor="text1"/>
        </w:rPr>
        <w:t>, deben estar sujetos a competencia, salvo en aquellos casos en que una entidad sin ánimo de lucro comprometa recursos en dinero por un valor igual o superior al 30% del valor total del convenio</w:t>
      </w:r>
      <w:r w:rsidRPr="00377ED6">
        <w:rPr>
          <w:rFonts w:ascii="Verdana" w:hAnsi="Verdana" w:cs="Arial"/>
          <w:color w:val="000000" w:themeColor="text1"/>
          <w:vertAlign w:val="superscript"/>
        </w:rPr>
        <w:footnoteReference w:id="20"/>
      </w:r>
      <w:r w:rsidRPr="00377ED6">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Pr>
          <w:rFonts w:ascii="Verdana" w:eastAsia="Calibri" w:hAnsi="Verdana" w:cs="Arial"/>
          <w:color w:val="000000" w:themeColor="text1"/>
        </w:rPr>
        <w:t xml:space="preserve">En ese orden, en vigencia de la </w:t>
      </w:r>
      <w:r w:rsidRPr="00377ED6">
        <w:rPr>
          <w:rFonts w:ascii="Verdana" w:eastAsia="Calibri" w:hAnsi="Verdana" w:cs="Arial"/>
          <w:color w:val="000000"/>
        </w:rPr>
        <w:t>restricci</w:t>
      </w:r>
      <w:r>
        <w:rPr>
          <w:rFonts w:ascii="Verdana" w:eastAsia="Calibri" w:hAnsi="Verdana" w:cs="Arial"/>
          <w:color w:val="000000"/>
        </w:rPr>
        <w:t>ón</w:t>
      </w:r>
      <w:r w:rsidRPr="00377ED6">
        <w:rPr>
          <w:rFonts w:ascii="Verdana" w:eastAsia="Calibri" w:hAnsi="Verdana" w:cs="Arial"/>
          <w:color w:val="000000"/>
        </w:rPr>
        <w:t xml:space="preserve"> prevista en el artículo 33 de la Ley de Garantías</w:t>
      </w:r>
      <w:r>
        <w:rPr>
          <w:rFonts w:ascii="Verdana" w:eastAsia="Calibri" w:hAnsi="Verdana" w:cs="Arial"/>
          <w:color w:val="000000"/>
        </w:rPr>
        <w:t xml:space="preserve"> Electorales, según el artículo 5 del Decreto 092 de 2017, solo podrán celebrarse convenios previo desarrollo de proceso competitivo.</w:t>
      </w:r>
    </w:p>
    <w:p w14:paraId="18956E28" w14:textId="77777777" w:rsidR="00582C1A" w:rsidRDefault="00582C1A" w:rsidP="00582C1A">
      <w:pPr>
        <w:spacing w:before="120" w:after="120" w:line="276" w:lineRule="auto"/>
        <w:ind w:firstLine="709"/>
        <w:jc w:val="both"/>
        <w:rPr>
          <w:rFonts w:ascii="Verdana" w:eastAsia="Calibri" w:hAnsi="Verdana" w:cs="Arial"/>
          <w:lang w:val="es-ES"/>
        </w:rPr>
      </w:pPr>
      <w:r>
        <w:rPr>
          <w:rFonts w:ascii="Verdana" w:eastAsia="Calibri" w:hAnsi="Verdana" w:cs="Arial"/>
          <w:color w:val="000000"/>
        </w:rPr>
        <w:t xml:space="preserve">En otras palabras, los convenios de asociación </w:t>
      </w:r>
      <w:r w:rsidRPr="697BF333">
        <w:rPr>
          <w:rFonts w:ascii="Verdana" w:eastAsia="Calibri" w:hAnsi="Verdana" w:cs="Arial"/>
          <w:lang w:val="es-ES"/>
        </w:rPr>
        <w:t>regidos por el artículo 96 de la Ley 489 de 1998, así como por el artículo 5 del Decreto 092 de 2017, por regla general, también deben celebrarse previo desarrollo de un proceso competitivo, por lo que, en principio, su suscripción tampoco debería verse afectada por la restricción del artículo 33 de la Ley 996 de 2005. Esto a excepción de la posibilidad celebrar convenios de asociación de manera directa, en aquellos casos en los que una entidad sin ánimo de lucro aporte el 30% de los recursos en dinero requeridos, supuesto que, al excluir la pluralidad de oferentes, si entra dentro del ámbito de aplicación de la mencionada prohibición, de manera que no es posible su aplicación en vigencia de la restricción a la contratación directa.</w:t>
      </w:r>
    </w:p>
    <w:p w14:paraId="37AFB173" w14:textId="77777777" w:rsidR="00582C1A" w:rsidRDefault="00582C1A" w:rsidP="00582C1A">
      <w:pPr>
        <w:spacing w:before="120" w:after="120" w:line="276" w:lineRule="auto"/>
        <w:ind w:firstLine="709"/>
        <w:jc w:val="both"/>
        <w:rPr>
          <w:rFonts w:ascii="Verdana" w:eastAsia="Calibri" w:hAnsi="Verdana" w:cs="Arial"/>
          <w:lang w:val="es-ES"/>
        </w:rPr>
      </w:pPr>
      <w:r>
        <w:rPr>
          <w:rFonts w:ascii="Verdana" w:eastAsia="Times New Roman" w:hAnsi="Verdana" w:cs="Arial"/>
          <w:lang w:val="es-MX" w:eastAsia="x-none"/>
        </w:rPr>
        <w:t>Sin perjuicio de lo anterior</w:t>
      </w:r>
      <w:r w:rsidRPr="00F02C5A">
        <w:rPr>
          <w:rFonts w:ascii="Verdana" w:eastAsia="Times New Roman" w:hAnsi="Verdana" w:cs="Arial"/>
          <w:lang w:val="es-MX" w:eastAsia="x-none"/>
        </w:rPr>
        <w:t xml:space="preserve">, la restricción prevista en </w:t>
      </w:r>
      <w:r>
        <w:rPr>
          <w:rFonts w:ascii="Verdana" w:eastAsia="Times New Roman" w:hAnsi="Verdana" w:cs="Arial"/>
          <w:lang w:val="es-MX" w:eastAsia="x-none"/>
        </w:rPr>
        <w:t xml:space="preserve">el artículo 33 de la </w:t>
      </w:r>
      <w:r w:rsidRPr="00F02C5A">
        <w:rPr>
          <w:rFonts w:ascii="Verdana" w:eastAsia="Times New Roman" w:hAnsi="Verdana" w:cs="Arial"/>
          <w:lang w:val="es-MX" w:eastAsia="x-none"/>
        </w:rPr>
        <w:t>Ley de Garantías Electorales</w:t>
      </w:r>
      <w:r>
        <w:rPr>
          <w:rFonts w:ascii="Verdana" w:eastAsia="Times New Roman" w:hAnsi="Verdana" w:cs="Arial"/>
          <w:lang w:val="es-MX" w:eastAsia="x-none"/>
        </w:rPr>
        <w:t xml:space="preserve"> contempla algunas excepciones</w:t>
      </w:r>
      <w:r w:rsidRPr="00F02C5A">
        <w:rPr>
          <w:rFonts w:ascii="Verdana" w:eastAsia="Times New Roman" w:hAnsi="Verdana" w:cs="Arial"/>
          <w:lang w:val="es-MX" w:eastAsia="x-none"/>
        </w:rPr>
        <w:t xml:space="preserve">, con fundamento en las cuales podrán las entidades públicas adelantar procedimientos de </w:t>
      </w:r>
      <w:r>
        <w:rPr>
          <w:rFonts w:ascii="Verdana" w:eastAsia="Times New Roman" w:hAnsi="Verdana" w:cs="Arial"/>
          <w:lang w:val="es-MX" w:eastAsia="x-none"/>
        </w:rPr>
        <w:t>contratación</w:t>
      </w:r>
      <w:r w:rsidRPr="00F02C5A">
        <w:rPr>
          <w:rFonts w:ascii="Verdana" w:eastAsia="Times New Roman" w:hAnsi="Verdana" w:cs="Arial"/>
          <w:lang w:val="es-MX" w:eastAsia="x-none"/>
        </w:rPr>
        <w:t xml:space="preserve"> directa en períodos previos a la contienda electoral por la Presidencia, </w:t>
      </w:r>
      <w:r>
        <w:rPr>
          <w:rFonts w:ascii="Verdana" w:eastAsia="Times New Roman" w:hAnsi="Verdana" w:cs="Arial"/>
          <w:lang w:val="es-MX" w:eastAsia="x-none"/>
        </w:rPr>
        <w:t xml:space="preserve">siempre que se subsuma en los supuestos contemplados de </w:t>
      </w:r>
      <w:r w:rsidRPr="00F02C5A">
        <w:rPr>
          <w:rFonts w:ascii="Verdana" w:eastAsia="Times New Roman" w:hAnsi="Verdana" w:cs="Arial"/>
          <w:lang w:val="es-MX" w:eastAsia="x-none"/>
        </w:rPr>
        <w:t xml:space="preserve">manera </w:t>
      </w:r>
      <w:r w:rsidRPr="00F02C5A">
        <w:rPr>
          <w:rFonts w:ascii="Verdana" w:eastAsia="Times New Roman" w:hAnsi="Verdana" w:cs="Arial"/>
          <w:lang w:val="es-MX" w:eastAsia="x-none"/>
        </w:rPr>
        <w:lastRenderedPageBreak/>
        <w:t>taxativa en el inciso final del citado artículo 33 de la Ley 996 de 2005.</w:t>
      </w:r>
      <w:r>
        <w:rPr>
          <w:rFonts w:ascii="Verdana" w:eastAsia="Times New Roman" w:hAnsi="Verdana" w:cs="Arial"/>
          <w:lang w:val="es-MX" w:eastAsia="x-none"/>
        </w:rPr>
        <w:t xml:space="preserve"> Por lo tanto, será</w:t>
      </w:r>
      <w:r w:rsidRPr="00F02C5A">
        <w:rPr>
          <w:rFonts w:ascii="Verdana" w:eastAsia="Times New Roman" w:hAnsi="Verdana" w:cs="Arial"/>
          <w:lang w:val="es-MX" w:eastAsia="es-CO"/>
        </w:rPr>
        <w:t xml:space="preserve"> responsabilidad de</w:t>
      </w:r>
      <w:r>
        <w:rPr>
          <w:rFonts w:ascii="Verdana" w:eastAsia="Times New Roman" w:hAnsi="Verdana" w:cs="Arial"/>
          <w:lang w:val="es-MX" w:eastAsia="es-CO"/>
        </w:rPr>
        <w:t xml:space="preserve"> la entidad estatal</w:t>
      </w:r>
      <w:r w:rsidRPr="00F02C5A">
        <w:rPr>
          <w:rFonts w:ascii="Verdana" w:eastAsia="Times New Roman" w:hAnsi="Verdana" w:cs="Arial"/>
          <w:lang w:val="es-MX" w:eastAsia="es-CO"/>
        </w:rPr>
        <w:t>, examinar en cada caso la naturaleza de las actividades que adelanta y determinar si las mismas se enmarcan en alguna de las mencionadas excepciones</w:t>
      </w:r>
      <w:r>
        <w:rPr>
          <w:rFonts w:ascii="Verdana" w:eastAsia="Times New Roman" w:hAnsi="Verdana" w:cs="Arial"/>
          <w:lang w:val="es-MX" w:eastAsia="es-CO"/>
        </w:rPr>
        <w:t xml:space="preserve">. </w:t>
      </w:r>
      <w:r w:rsidRPr="697BF333">
        <w:rPr>
          <w:rFonts w:ascii="Verdana" w:eastAsia="Calibri" w:hAnsi="Verdana" w:cs="Arial"/>
          <w:lang w:val="es-ES"/>
        </w:rPr>
        <w:t xml:space="preserve"> </w:t>
      </w:r>
    </w:p>
    <w:p w14:paraId="6A37561A" w14:textId="77777777" w:rsidR="00582C1A" w:rsidRDefault="00582C1A" w:rsidP="00582C1A">
      <w:pPr>
        <w:spacing w:after="0" w:line="276" w:lineRule="auto"/>
        <w:ind w:firstLine="709"/>
        <w:jc w:val="both"/>
        <w:rPr>
          <w:rFonts w:ascii="Verdana" w:eastAsia="Calibri" w:hAnsi="Verdana" w:cs="Arial"/>
          <w:color w:val="000000" w:themeColor="text1"/>
        </w:rPr>
      </w:pPr>
      <w:r w:rsidRPr="005E4C47">
        <w:rPr>
          <w:rFonts w:ascii="Verdana" w:eastAsia="Calibri" w:hAnsi="Verdana" w:cs="Arial"/>
          <w:color w:val="000000" w:themeColor="text1"/>
        </w:rPr>
        <w:t xml:space="preserve">Por último,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67EF0EAA" w14:textId="77777777" w:rsidR="00582C1A" w:rsidRPr="00D90EA6" w:rsidRDefault="00582C1A" w:rsidP="00582C1A">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59128D30" w14:textId="77777777" w:rsidR="00582C1A" w:rsidRDefault="00582C1A" w:rsidP="00582C1A">
      <w:pPr>
        <w:tabs>
          <w:tab w:val="left" w:pos="142"/>
          <w:tab w:val="left" w:pos="284"/>
        </w:tabs>
        <w:spacing w:after="0" w:line="240" w:lineRule="auto"/>
        <w:rPr>
          <w:rFonts w:ascii="Verdana" w:eastAsia="Century Gothic" w:hAnsi="Verdana" w:cs="Century Gothic"/>
          <w:b/>
          <w:bCs/>
        </w:rPr>
      </w:pPr>
      <w:bookmarkStart w:id="24" w:name="_Hlk204854194"/>
      <w:r w:rsidRPr="00FF007A">
        <w:rPr>
          <w:rFonts w:ascii="Verdana" w:eastAsia="Century Gothic" w:hAnsi="Verdana" w:cs="Century Gothic"/>
          <w:b/>
          <w:bCs/>
        </w:rPr>
        <w:t>4. Referencias normativas:</w:t>
      </w:r>
    </w:p>
    <w:bookmarkEnd w:id="24"/>
    <w:p w14:paraId="400CE511" w14:textId="77777777" w:rsidR="00582C1A" w:rsidRPr="00FF007A" w:rsidRDefault="00582C1A" w:rsidP="00582C1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82C1A" w:rsidRPr="00FF007A" w14:paraId="12F53AE2" w14:textId="77777777" w:rsidTr="00211F61">
        <w:trPr>
          <w:trHeight w:val="870"/>
          <w:jc w:val="center"/>
        </w:trPr>
        <w:tc>
          <w:tcPr>
            <w:tcW w:w="8647" w:type="dxa"/>
          </w:tcPr>
          <w:p w14:paraId="49BCA3E7" w14:textId="77777777" w:rsidR="00582C1A" w:rsidRDefault="00582C1A" w:rsidP="00211F61">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Constitución Política. Artículo 355. </w:t>
            </w:r>
          </w:p>
          <w:p w14:paraId="6CE3CAB5" w14:textId="77777777" w:rsidR="0053265F" w:rsidRDefault="0053265F" w:rsidP="0053265F">
            <w:pPr>
              <w:pStyle w:val="Prrafodelista"/>
              <w:numPr>
                <w:ilvl w:val="0"/>
                <w:numId w:val="17"/>
              </w:numPr>
              <w:spacing w:line="276" w:lineRule="auto"/>
              <w:jc w:val="both"/>
              <w:rPr>
                <w:rFonts w:ascii="Verdana" w:eastAsia="Arial MT" w:hAnsi="Verdana" w:cs="Arial"/>
                <w:lang w:val="es-CO" w:eastAsia="es-ES" w:bidi="es-ES"/>
              </w:rPr>
            </w:pPr>
            <w:r>
              <w:rPr>
                <w:rFonts w:ascii="Verdana" w:eastAsia="Calibri" w:hAnsi="Verdana" w:cs="Arial"/>
              </w:rPr>
              <w:t xml:space="preserve">Ley 489 de 1998. Artículo 96. </w:t>
            </w:r>
          </w:p>
          <w:p w14:paraId="64E8AFE1" w14:textId="77777777" w:rsidR="00582C1A" w:rsidRDefault="00582C1A" w:rsidP="00211F61">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996 de 2005. Artículo 33. </w:t>
            </w:r>
          </w:p>
          <w:p w14:paraId="4DB03835" w14:textId="77777777" w:rsidR="00582C1A" w:rsidRDefault="00582C1A" w:rsidP="00211F61">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1150 de 2007. Artículo 2. </w:t>
            </w:r>
          </w:p>
          <w:p w14:paraId="7C69318D" w14:textId="5298784E" w:rsidR="00582C1A" w:rsidRPr="00CB71FC" w:rsidRDefault="00582C1A" w:rsidP="00211F61">
            <w:pPr>
              <w:pStyle w:val="Prrafodelista"/>
              <w:numPr>
                <w:ilvl w:val="0"/>
                <w:numId w:val="17"/>
              </w:numPr>
              <w:spacing w:line="276" w:lineRule="auto"/>
              <w:jc w:val="both"/>
              <w:rPr>
                <w:rFonts w:ascii="Verdana" w:eastAsia="Arial MT" w:hAnsi="Verdana" w:cs="Arial"/>
                <w:lang w:val="es-CO" w:eastAsia="es-ES" w:bidi="es-ES"/>
              </w:rPr>
            </w:pPr>
            <w:r w:rsidRPr="5F8BC1B5">
              <w:rPr>
                <w:rFonts w:ascii="Verdana" w:eastAsia="Calibri" w:hAnsi="Verdana" w:cs="Arial"/>
              </w:rPr>
              <w:t xml:space="preserve">Decreto </w:t>
            </w:r>
            <w:r>
              <w:rPr>
                <w:rFonts w:ascii="Verdana" w:eastAsia="Calibri" w:hAnsi="Verdana" w:cs="Arial"/>
              </w:rPr>
              <w:t>0</w:t>
            </w:r>
            <w:r w:rsidRPr="5F8BC1B5">
              <w:rPr>
                <w:rFonts w:ascii="Verdana" w:eastAsia="Calibri" w:hAnsi="Verdana" w:cs="Arial"/>
              </w:rPr>
              <w:t>92 de 2017</w:t>
            </w:r>
            <w:r>
              <w:rPr>
                <w:rFonts w:ascii="Verdana" w:eastAsia="Calibri" w:hAnsi="Verdana" w:cs="Arial"/>
              </w:rPr>
              <w:t xml:space="preserve">. </w:t>
            </w:r>
            <w:r w:rsidR="0053265F">
              <w:rPr>
                <w:rFonts w:ascii="Verdana" w:eastAsia="Calibri" w:hAnsi="Verdana" w:cs="Arial"/>
              </w:rPr>
              <w:t>Artículo 2, 3 y 5.</w:t>
            </w:r>
          </w:p>
          <w:p w14:paraId="6D47A7B0" w14:textId="77777777" w:rsidR="00582C1A" w:rsidRDefault="00582C1A" w:rsidP="00211F61">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 xml:space="preserve">Consejo de Estado. Sala de lo Contencioso Administrativo. Sección Primera. Sentencia de 3 de marzo de 2005. Radicado: 25001-23-15-000-2004-00823-01 (PI). C.P: Camilo Arciniegas Andrade. </w:t>
            </w:r>
          </w:p>
          <w:p w14:paraId="70F90212" w14:textId="77777777" w:rsidR="00582C1A" w:rsidRDefault="00582C1A" w:rsidP="00211F61">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lo Contencioso Administrativo. Sección Tercera. Sentencia de 22 de enero de 2002. Radicado: 2001-0148-01</w:t>
            </w:r>
            <w:r>
              <w:rPr>
                <w:rFonts w:ascii="Verdana" w:eastAsia="Arial MT" w:hAnsi="Verdana" w:cs="Arial"/>
                <w:lang w:val="es-CO" w:eastAsia="es-ES" w:bidi="es-ES"/>
              </w:rPr>
              <w:t>.</w:t>
            </w:r>
          </w:p>
          <w:p w14:paraId="1BD1658D" w14:textId="77777777" w:rsidR="00582C1A" w:rsidRDefault="00582C1A" w:rsidP="00211F61">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lo Contencioso Administrativo. Sección Tercera. Sentencia de 20 de noviembre de 2001. Radicado: 2001-0130-01(PI).</w:t>
            </w:r>
          </w:p>
          <w:p w14:paraId="4B31932F" w14:textId="77777777" w:rsidR="00582C1A" w:rsidRDefault="00582C1A" w:rsidP="00211F61">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Consejo de Estado, Sala de Consulta y Servicio Civil de fecha 24 de julio de 2013, radicado 2166, C</w:t>
            </w:r>
            <w:r>
              <w:rPr>
                <w:rFonts w:ascii="Verdana" w:eastAsia="Arial MT" w:hAnsi="Verdana" w:cs="Arial"/>
                <w:lang w:val="es-CO" w:eastAsia="es-ES" w:bidi="es-ES"/>
              </w:rPr>
              <w:t>.P:</w:t>
            </w:r>
            <w:r w:rsidRPr="00FA68B6">
              <w:rPr>
                <w:rFonts w:ascii="Verdana" w:eastAsia="Arial MT" w:hAnsi="Verdana" w:cs="Arial"/>
                <w:lang w:val="es-CO" w:eastAsia="es-ES" w:bidi="es-ES"/>
              </w:rPr>
              <w:t xml:space="preserve"> Álvaro Namén Vargas.  </w:t>
            </w:r>
          </w:p>
          <w:p w14:paraId="47E85E6C" w14:textId="77777777" w:rsidR="00582C1A" w:rsidRDefault="00582C1A" w:rsidP="00211F61">
            <w:pPr>
              <w:pStyle w:val="Prrafodelista"/>
              <w:numPr>
                <w:ilvl w:val="0"/>
                <w:numId w:val="17"/>
              </w:numPr>
              <w:spacing w:line="276" w:lineRule="auto"/>
              <w:jc w:val="both"/>
              <w:rPr>
                <w:rFonts w:ascii="Verdana" w:eastAsia="Arial MT" w:hAnsi="Verdana" w:cs="Arial"/>
                <w:lang w:val="es-CO" w:eastAsia="es-ES" w:bidi="es-ES"/>
              </w:rPr>
            </w:pPr>
            <w:r w:rsidRPr="00CB71FC">
              <w:rPr>
                <w:rFonts w:ascii="Verdana" w:eastAsia="Arial MT" w:hAnsi="Verdana" w:cs="Arial"/>
                <w:lang w:val="es-CO" w:eastAsia="es-ES" w:bidi="es-ES"/>
              </w:rPr>
              <w:t>Consejo de Estado. Sala de Consulta y Servicio Civil. Concepto del 2 de septiembre de 2013. Radicación número: 11001-03-06-000-2013-00412-00 (2168). Consejero Ponente: Álvaro Namén Vargas.</w:t>
            </w:r>
          </w:p>
          <w:p w14:paraId="387B21BD" w14:textId="77777777" w:rsidR="00582C1A" w:rsidRDefault="00582C1A" w:rsidP="00211F61">
            <w:pPr>
              <w:pStyle w:val="Prrafodelista"/>
              <w:numPr>
                <w:ilvl w:val="0"/>
                <w:numId w:val="17"/>
              </w:numPr>
              <w:spacing w:line="276" w:lineRule="auto"/>
              <w:jc w:val="both"/>
              <w:rPr>
                <w:rFonts w:ascii="Verdana" w:eastAsia="Arial MT" w:hAnsi="Verdana" w:cs="Arial"/>
                <w:lang w:val="es-CO" w:eastAsia="es-ES" w:bidi="es-ES"/>
              </w:rPr>
            </w:pPr>
            <w:r w:rsidRPr="00CB71FC">
              <w:rPr>
                <w:rFonts w:ascii="Verdana" w:eastAsia="Arial MT" w:hAnsi="Verdana" w:cs="Arial"/>
                <w:lang w:val="es-CO" w:eastAsia="es-ES" w:bidi="es-ES"/>
              </w:rPr>
              <w:t>Consejo de Estado. Sala de Consulta y Servicio Civil, Concepto de 8 de mayo de 2018. Radicación Número: 11001-03-06-000-2018-00095-00(2382). Consejero Ponente: Álvaro Namén Vargas.</w:t>
            </w:r>
          </w:p>
          <w:p w14:paraId="66CA1498" w14:textId="77777777" w:rsidR="00582C1A" w:rsidRDefault="00582C1A" w:rsidP="00211F61">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lastRenderedPageBreak/>
              <w:t xml:space="preserve">Consejo de Estado. Sala de Consulta y Servicio Civil. </w:t>
            </w:r>
            <w:r w:rsidRPr="00CB71FC">
              <w:rPr>
                <w:rFonts w:ascii="Verdana" w:eastAsia="Arial MT" w:hAnsi="Verdana" w:cs="Arial"/>
                <w:lang w:val="es-CO" w:eastAsia="es-ES" w:bidi="es-ES"/>
              </w:rPr>
              <w:t>Concepto del 24 de febrero de 2005. Radicado:1626, C.P. Gloria Duque Hernández.</w:t>
            </w:r>
          </w:p>
          <w:p w14:paraId="7184E940" w14:textId="77777777" w:rsidR="00582C1A" w:rsidRPr="00A877DF" w:rsidRDefault="00582C1A" w:rsidP="00211F61">
            <w:pPr>
              <w:pStyle w:val="Prrafodelista"/>
              <w:numPr>
                <w:ilvl w:val="0"/>
                <w:numId w:val="17"/>
              </w:numPr>
              <w:spacing w:line="276" w:lineRule="auto"/>
              <w:jc w:val="both"/>
              <w:rPr>
                <w:rFonts w:ascii="Verdana" w:eastAsia="Arial MT" w:hAnsi="Verdana" w:cs="Arial"/>
                <w:lang w:val="es-CO" w:eastAsia="es-ES" w:bidi="es-ES"/>
              </w:rPr>
            </w:pPr>
            <w:r w:rsidRPr="00FA68B6">
              <w:rPr>
                <w:rFonts w:ascii="Verdana" w:eastAsia="Arial MT" w:hAnsi="Verdana" w:cs="Arial"/>
                <w:lang w:val="es-CO" w:eastAsia="es-ES" w:bidi="es-ES"/>
              </w:rPr>
              <w:t>Corte Constitucional, Sentencia C- 1153 de 2005, M.P. Marco Gerardo Monroy Cabra.</w:t>
            </w:r>
          </w:p>
        </w:tc>
      </w:tr>
    </w:tbl>
    <w:p w14:paraId="64E0A2AD" w14:textId="77777777" w:rsidR="00582C1A" w:rsidRPr="0053265F" w:rsidRDefault="00582C1A" w:rsidP="0053265F">
      <w:pPr>
        <w:widowControl w:val="0"/>
        <w:autoSpaceDE w:val="0"/>
        <w:autoSpaceDN w:val="0"/>
        <w:spacing w:after="0" w:line="276" w:lineRule="auto"/>
        <w:jc w:val="both"/>
        <w:rPr>
          <w:rFonts w:ascii="Verdana" w:hAnsi="Verdana" w:cs="Arial"/>
        </w:rPr>
      </w:pPr>
    </w:p>
    <w:p w14:paraId="18CDB7FE" w14:textId="77777777" w:rsidR="00582C1A" w:rsidRPr="0053265F" w:rsidRDefault="00582C1A" w:rsidP="0053265F">
      <w:pPr>
        <w:tabs>
          <w:tab w:val="left" w:pos="142"/>
          <w:tab w:val="left" w:pos="284"/>
        </w:tabs>
        <w:spacing w:after="0" w:line="276" w:lineRule="auto"/>
        <w:jc w:val="both"/>
        <w:rPr>
          <w:rFonts w:ascii="Verdana" w:eastAsia="Century Gothic" w:hAnsi="Verdana" w:cs="Century Gothic"/>
          <w:b/>
          <w:bCs/>
        </w:rPr>
      </w:pPr>
      <w:r w:rsidRPr="0053265F">
        <w:rPr>
          <w:rFonts w:ascii="Verdana" w:eastAsia="Century Gothic" w:hAnsi="Verdana" w:cs="Century Gothic"/>
          <w:b/>
          <w:bCs/>
        </w:rPr>
        <w:t>5. Doctrina de la Agencia Nacional de Contratación Pública:</w:t>
      </w:r>
    </w:p>
    <w:p w14:paraId="27184964" w14:textId="77777777" w:rsidR="00582C1A" w:rsidRPr="0053265F" w:rsidRDefault="00582C1A" w:rsidP="00680412">
      <w:pPr>
        <w:widowControl w:val="0"/>
        <w:autoSpaceDE w:val="0"/>
        <w:autoSpaceDN w:val="0"/>
        <w:spacing w:after="0" w:line="276" w:lineRule="auto"/>
        <w:jc w:val="both"/>
        <w:rPr>
          <w:rStyle w:val="normaltextrun"/>
          <w:rFonts w:ascii="Verdana" w:hAnsi="Verdana" w:cs="Arial"/>
          <w:shd w:val="clear" w:color="auto" w:fill="FFFFFF"/>
        </w:rPr>
      </w:pPr>
    </w:p>
    <w:p w14:paraId="69C44B0E" w14:textId="4EA1E70C" w:rsidR="00582C1A" w:rsidRDefault="00582C1A" w:rsidP="0053265F">
      <w:pPr>
        <w:widowControl w:val="0"/>
        <w:autoSpaceDE w:val="0"/>
        <w:autoSpaceDN w:val="0"/>
        <w:spacing w:after="0" w:line="276" w:lineRule="auto"/>
        <w:jc w:val="both"/>
        <w:rPr>
          <w:rFonts w:ascii="Verdana" w:hAnsi="Verdana" w:cs="Arial"/>
          <w:color w:val="000000" w:themeColor="text1"/>
          <w:shd w:val="clear" w:color="auto" w:fill="FFFFFF"/>
        </w:rPr>
      </w:pPr>
      <w:r w:rsidRPr="0053265F">
        <w:rPr>
          <w:rFonts w:ascii="Verdana" w:hAnsi="Verdana" w:cs="Arial"/>
          <w:shd w:val="clear" w:color="auto" w:fill="FFFFFF"/>
          <w:lang w:val="es-ES"/>
        </w:rPr>
        <w:t xml:space="preserve">Sobre la aplicación de la Ley de garantías en el marco de la celebración de contratos del artículo 355 de la Constitución Política y los convenios de asociación del Decreto 092 de 2017, la Subdirección se ha pronunciado en los conceptos C-584 del 24 de junio de 2025, C-986 del 23 de agosto de 2025, C-1015 del 4 de septiembre de 2025, C-1186 del 19 de septiembre de 2025, entre otros entre otros. </w:t>
      </w:r>
      <w:r w:rsidRPr="0053265F">
        <w:rPr>
          <w:rFonts w:ascii="Verdana" w:hAnsi="Verdana" w:cs="Arial"/>
        </w:rPr>
        <w:t xml:space="preserve">Estos </w:t>
      </w:r>
      <w:r w:rsidRPr="0053265F">
        <w:rPr>
          <w:rFonts w:ascii="Verdana" w:hAnsi="Verdana"/>
        </w:rPr>
        <w:t>conceptos se encuentran disponibles para consulta en el Sistema de relatoría de la Agencia, al cual se puede acceder a través del siguiente enlace:</w:t>
      </w:r>
      <w:r w:rsidRPr="0053265F">
        <w:rPr>
          <w:rFonts w:ascii="Verdana" w:hAnsi="Verdana" w:cs="Arial"/>
          <w:shd w:val="clear" w:color="auto" w:fill="FFFFFF"/>
        </w:rPr>
        <w:t xml:space="preserve"> </w:t>
      </w:r>
      <w:hyperlink r:id="rId12" w:history="1">
        <w:r w:rsidRPr="0053265F">
          <w:rPr>
            <w:rFonts w:ascii="Verdana" w:hAnsi="Verdana" w:cs="Arial"/>
            <w:color w:val="0563C1" w:themeColor="hyperlink"/>
            <w:u w:val="single"/>
            <w:shd w:val="clear" w:color="auto" w:fill="FFFFFF"/>
          </w:rPr>
          <w:t>https://relatoria.colombiacompra.gov.co/busqueda/conceptos</w:t>
        </w:r>
      </w:hyperlink>
      <w:r w:rsidRPr="0053265F">
        <w:rPr>
          <w:rFonts w:ascii="Verdana" w:hAnsi="Verdana" w:cs="Arial"/>
          <w:shd w:val="clear" w:color="auto" w:fill="FFFFFF"/>
        </w:rPr>
        <w:t>.</w:t>
      </w:r>
      <w:r w:rsidRPr="0053265F">
        <w:rPr>
          <w:rFonts w:ascii="Verdana" w:hAnsi="Verdana" w:cs="Arial"/>
          <w:color w:val="FF0000"/>
          <w:shd w:val="clear" w:color="auto" w:fill="FFFFFF"/>
        </w:rPr>
        <w:t xml:space="preserve"> </w:t>
      </w:r>
      <w:r w:rsidRPr="0053265F">
        <w:rPr>
          <w:rFonts w:ascii="Verdana" w:hAnsi="Verdana" w:cs="Arial"/>
          <w:color w:val="000000" w:themeColor="text1"/>
          <w:shd w:val="clear" w:color="auto" w:fill="FFFFFF"/>
        </w:rPr>
        <w:t> </w:t>
      </w:r>
    </w:p>
    <w:p w14:paraId="34299C4A" w14:textId="77777777" w:rsidR="0053265F" w:rsidRDefault="0053265F" w:rsidP="00680412">
      <w:pPr>
        <w:widowControl w:val="0"/>
        <w:autoSpaceDE w:val="0"/>
        <w:autoSpaceDN w:val="0"/>
        <w:spacing w:after="0" w:line="276" w:lineRule="auto"/>
        <w:jc w:val="both"/>
        <w:rPr>
          <w:rFonts w:ascii="Verdana" w:eastAsia="Calibri" w:hAnsi="Verdana" w:cs="Arial"/>
          <w:color w:val="000000" w:themeColor="text1"/>
          <w:lang w:eastAsia="es-ES_tradnl"/>
        </w:rPr>
      </w:pPr>
    </w:p>
    <w:p w14:paraId="2F7D4F9A" w14:textId="77777777" w:rsidR="0058505A" w:rsidRPr="009A385A" w:rsidRDefault="0058505A" w:rsidP="0058505A">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7563A61A" w14:textId="77777777" w:rsidR="0058505A" w:rsidRDefault="0058505A" w:rsidP="0058505A">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0AE82783" w14:textId="77777777" w:rsidR="0058505A" w:rsidRPr="009A385A" w:rsidRDefault="0058505A" w:rsidP="0058505A">
      <w:pPr>
        <w:jc w:val="both"/>
        <w:rPr>
          <w:rFonts w:ascii="Verdana" w:hAnsi="Verdana"/>
        </w:rPr>
      </w:pPr>
      <w:r>
        <w:rPr>
          <w:rFonts w:ascii="Verdana" w:hAnsi="Verdana"/>
        </w:rPr>
        <w:lastRenderedPageBreak/>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82A72A8" w14:textId="77777777" w:rsidR="0058505A" w:rsidRPr="0053265F" w:rsidRDefault="0058505A" w:rsidP="00680412">
      <w:pPr>
        <w:widowControl w:val="0"/>
        <w:autoSpaceDE w:val="0"/>
        <w:autoSpaceDN w:val="0"/>
        <w:spacing w:after="0" w:line="276" w:lineRule="auto"/>
        <w:jc w:val="both"/>
        <w:rPr>
          <w:rFonts w:ascii="Verdana" w:eastAsia="Calibri" w:hAnsi="Verdana" w:cs="Arial"/>
          <w:color w:val="000000" w:themeColor="text1"/>
          <w:lang w:eastAsia="es-ES_tradnl"/>
        </w:rPr>
      </w:pPr>
    </w:p>
    <w:p w14:paraId="2A804E1A" w14:textId="77777777" w:rsidR="00582C1A" w:rsidRPr="0053265F" w:rsidRDefault="00582C1A" w:rsidP="00680412">
      <w:pPr>
        <w:spacing w:after="0" w:line="276" w:lineRule="auto"/>
        <w:jc w:val="both"/>
        <w:rPr>
          <w:rFonts w:ascii="Verdana" w:hAnsi="Verdana"/>
        </w:rPr>
      </w:pPr>
      <w:bookmarkStart w:id="25" w:name="_Hlk197462763"/>
      <w:bookmarkStart w:id="26" w:name="_Hlk197529996"/>
      <w:r w:rsidRPr="0053265F">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740F225" w14:textId="77777777" w:rsidR="00582C1A" w:rsidRPr="0053265F" w:rsidRDefault="00582C1A" w:rsidP="0053265F">
      <w:pPr>
        <w:spacing w:after="0" w:line="276" w:lineRule="auto"/>
        <w:jc w:val="both"/>
        <w:rPr>
          <w:rFonts w:ascii="Verdana" w:eastAsia="Calibri" w:hAnsi="Verdana" w:cs="Times New Roman"/>
        </w:rPr>
      </w:pPr>
    </w:p>
    <w:p w14:paraId="6C1C2978" w14:textId="1611BA06" w:rsidR="00582C1A" w:rsidRDefault="00582C1A" w:rsidP="00680412">
      <w:pPr>
        <w:spacing w:after="0" w:line="276" w:lineRule="auto"/>
        <w:jc w:val="both"/>
        <w:rPr>
          <w:rFonts w:eastAsia="Times New Roman" w:cs="Arial"/>
          <w:sz w:val="24"/>
          <w:szCs w:val="24"/>
        </w:rPr>
      </w:pPr>
      <w:r w:rsidRPr="0053265F">
        <w:rPr>
          <w:rFonts w:ascii="Verdana" w:eastAsia="Calibri" w:hAnsi="Verdana" w:cs="Times New Roman"/>
        </w:rPr>
        <w:t>Atentamente,</w:t>
      </w:r>
    </w:p>
    <w:bookmarkEnd w:id="25"/>
    <w:bookmarkEnd w:id="26"/>
    <w:p w14:paraId="0F6FBEEF" w14:textId="3AC45033" w:rsidR="00582C1A" w:rsidRPr="00A27102" w:rsidRDefault="000E6777" w:rsidP="00582C1A">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1845902B" wp14:editId="3FB87AB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82C1A" w:rsidRPr="00A27102" w14:paraId="2CECF6AA" w14:textId="77777777" w:rsidTr="00582C1A">
        <w:trPr>
          <w:trHeight w:val="315"/>
        </w:trPr>
        <w:tc>
          <w:tcPr>
            <w:tcW w:w="893" w:type="dxa"/>
            <w:vAlign w:val="center"/>
            <w:hideMark/>
          </w:tcPr>
          <w:p w14:paraId="4CFC7E50" w14:textId="77777777" w:rsidR="00582C1A" w:rsidRPr="00A27102" w:rsidRDefault="00582C1A" w:rsidP="00211F61">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vAlign w:val="center"/>
            <w:hideMark/>
          </w:tcPr>
          <w:p w14:paraId="0D869257" w14:textId="77777777" w:rsidR="00582C1A" w:rsidRPr="00A27102" w:rsidRDefault="00582C1A" w:rsidP="00211F61">
            <w:pPr>
              <w:contextualSpacing/>
              <w:rPr>
                <w:rFonts w:ascii="Verdana" w:hAnsi="Verdana"/>
                <w:sz w:val="16"/>
                <w:szCs w:val="16"/>
              </w:rPr>
            </w:pPr>
            <w:r>
              <w:rPr>
                <w:rFonts w:ascii="Verdana" w:hAnsi="Verdana"/>
                <w:sz w:val="16"/>
                <w:szCs w:val="16"/>
              </w:rPr>
              <w:t>Richard Andrés Montenegro Siefken</w:t>
            </w:r>
          </w:p>
          <w:p w14:paraId="7EA8CDD2" w14:textId="77777777" w:rsidR="00582C1A" w:rsidRPr="00A27102" w:rsidRDefault="00582C1A" w:rsidP="00211F61">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582C1A" w:rsidRPr="00A27102" w14:paraId="2B093507" w14:textId="77777777" w:rsidTr="00582C1A">
        <w:trPr>
          <w:trHeight w:val="330"/>
        </w:trPr>
        <w:tc>
          <w:tcPr>
            <w:tcW w:w="893" w:type="dxa"/>
            <w:vAlign w:val="center"/>
            <w:hideMark/>
          </w:tcPr>
          <w:p w14:paraId="19BF9786" w14:textId="77777777" w:rsidR="00582C1A" w:rsidRPr="00A27102" w:rsidRDefault="00582C1A" w:rsidP="00211F61">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vAlign w:val="center"/>
            <w:hideMark/>
          </w:tcPr>
          <w:p w14:paraId="6624B942" w14:textId="77777777" w:rsidR="00582C1A" w:rsidRPr="00A27102" w:rsidRDefault="00582C1A" w:rsidP="00211F61">
            <w:pPr>
              <w:spacing w:before="100" w:beforeAutospacing="1" w:afterAutospacing="1"/>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Diana Lucia Saavedra Castañeda</w:t>
            </w:r>
          </w:p>
          <w:p w14:paraId="29E4010E" w14:textId="77777777" w:rsidR="00582C1A" w:rsidRPr="00A27102" w:rsidRDefault="00582C1A" w:rsidP="00211F61">
            <w:pPr>
              <w:contextualSpacing/>
              <w:textAlignment w:val="baseline"/>
              <w:rPr>
                <w:rFonts w:ascii="Verdana" w:eastAsia="Times New Roman" w:hAnsi="Verdana" w:cs="Segoe UI"/>
                <w:sz w:val="16"/>
                <w:szCs w:val="16"/>
                <w:lang w:eastAsia="es-ES_tradnl"/>
              </w:rPr>
            </w:pPr>
            <w:r>
              <w:rPr>
                <w:rFonts w:ascii="Verdana" w:eastAsia="Times New Roman" w:hAnsi="Verdana" w:cs="Arial"/>
                <w:sz w:val="16"/>
                <w:szCs w:val="16"/>
                <w:lang w:val="es-ES" w:eastAsia="es-ES_tradnl"/>
              </w:rPr>
              <w:t>Contratista</w:t>
            </w:r>
            <w:r w:rsidRPr="00A27102">
              <w:rPr>
                <w:rFonts w:ascii="Verdana" w:eastAsia="Times New Roman" w:hAnsi="Verdana" w:cs="Arial"/>
                <w:sz w:val="16"/>
                <w:szCs w:val="16"/>
                <w:lang w:val="es-ES" w:eastAsia="es-ES_tradnl"/>
              </w:rPr>
              <w:t xml:space="preserve"> de la Subdirección de Gestión Contractual</w:t>
            </w:r>
            <w:r w:rsidRPr="00A27102">
              <w:rPr>
                <w:rFonts w:ascii="Verdana" w:eastAsia="Times New Roman" w:hAnsi="Verdana" w:cs="Arial"/>
                <w:sz w:val="16"/>
                <w:szCs w:val="16"/>
                <w:lang w:eastAsia="es-ES_tradnl"/>
              </w:rPr>
              <w:t> </w:t>
            </w:r>
          </w:p>
        </w:tc>
      </w:tr>
      <w:tr w:rsidR="00582C1A" w:rsidRPr="00A27102" w14:paraId="62A8E4B7" w14:textId="77777777" w:rsidTr="00582C1A">
        <w:trPr>
          <w:trHeight w:val="300"/>
        </w:trPr>
        <w:tc>
          <w:tcPr>
            <w:tcW w:w="893" w:type="dxa"/>
            <w:vAlign w:val="center"/>
          </w:tcPr>
          <w:p w14:paraId="1B441733" w14:textId="77777777" w:rsidR="00582C1A" w:rsidRPr="00A27102" w:rsidRDefault="00582C1A" w:rsidP="00211F61">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vAlign w:val="center"/>
          </w:tcPr>
          <w:p w14:paraId="1E3AC836" w14:textId="77777777" w:rsidR="00582C1A" w:rsidRPr="00A27102" w:rsidRDefault="00582C1A" w:rsidP="00211F61">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501F7A6F" w14:textId="77777777" w:rsidR="00582C1A" w:rsidRPr="00A27102" w:rsidRDefault="00582C1A" w:rsidP="00211F61">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bookmarkEnd w:id="0"/>
      <w:bookmarkEnd w:id="1"/>
      <w:bookmarkEnd w:id="2"/>
      <w:bookmarkEnd w:id="3"/>
      <w:bookmarkEnd w:id="4"/>
      <w:bookmarkEnd w:id="5"/>
    </w:tbl>
    <w:p w14:paraId="15D254BB" w14:textId="77777777" w:rsidR="00582C1A" w:rsidRDefault="00582C1A" w:rsidP="00364C1C">
      <w:pPr>
        <w:spacing w:after="0" w:line="240" w:lineRule="auto"/>
        <w:rPr>
          <w:rFonts w:ascii="Verdana" w:hAnsi="Verdana"/>
        </w:rPr>
      </w:pPr>
    </w:p>
    <w:p w14:paraId="0F293BF4" w14:textId="6730E7E1" w:rsidR="00127233" w:rsidRPr="0010293F" w:rsidRDefault="00127233" w:rsidP="0010293F"/>
    <w:sectPr w:rsidR="00127233" w:rsidRPr="0010293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E3B7D7" w14:textId="77777777" w:rsidR="000169D1" w:rsidRDefault="000169D1" w:rsidP="004A1847">
      <w:pPr>
        <w:spacing w:after="0" w:line="240" w:lineRule="auto"/>
      </w:pPr>
      <w:r>
        <w:separator/>
      </w:r>
    </w:p>
  </w:endnote>
  <w:endnote w:type="continuationSeparator" w:id="0">
    <w:p w14:paraId="44F583CE" w14:textId="77777777" w:rsidR="000169D1" w:rsidRDefault="000169D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10293F"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10293F">
      <w:rPr>
        <w:rFonts w:ascii="Verdana" w:eastAsia="Verdana" w:hAnsi="Verdana" w:cs="Verdana"/>
        <w:b/>
        <w:bCs/>
        <w:color w:val="000000" w:themeColor="text1"/>
        <w:sz w:val="18"/>
        <w:szCs w:val="18"/>
        <w:lang w:val="pt-PT" w:eastAsia="es-CO"/>
      </w:rPr>
      <w:t xml:space="preserve">Código: </w:t>
    </w:r>
    <w:r w:rsidRPr="0010293F">
      <w:rPr>
        <w:rFonts w:ascii="Verdana" w:eastAsia="Verdana" w:hAnsi="Verdana" w:cs="Verdana"/>
        <w:color w:val="000000" w:themeColor="text1"/>
        <w:sz w:val="18"/>
        <w:szCs w:val="18"/>
        <w:lang w:val="pt-PT" w:eastAsia="es-CO"/>
      </w:rPr>
      <w:t xml:space="preserve">CCE-REC-FM-17 </w:t>
    </w:r>
    <w:r w:rsidRPr="0010293F">
      <w:rPr>
        <w:rFonts w:ascii="Verdana" w:eastAsia="Verdana" w:hAnsi="Verdana" w:cs="Verdana"/>
        <w:b/>
        <w:bCs/>
        <w:color w:val="000000" w:themeColor="text1"/>
        <w:sz w:val="18"/>
        <w:szCs w:val="18"/>
        <w:lang w:val="pt-PT" w:eastAsia="es-CO"/>
      </w:rPr>
      <w:t xml:space="preserve">V: </w:t>
    </w:r>
    <w:r w:rsidRPr="0010293F">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B481DD" w14:textId="77777777" w:rsidR="000169D1" w:rsidRDefault="000169D1" w:rsidP="004A1847">
      <w:pPr>
        <w:spacing w:after="0" w:line="240" w:lineRule="auto"/>
      </w:pPr>
      <w:r>
        <w:separator/>
      </w:r>
    </w:p>
  </w:footnote>
  <w:footnote w:type="continuationSeparator" w:id="0">
    <w:p w14:paraId="2DCD46D5" w14:textId="77777777" w:rsidR="000169D1" w:rsidRDefault="000169D1" w:rsidP="004A1847">
      <w:pPr>
        <w:spacing w:after="0" w:line="240" w:lineRule="auto"/>
      </w:pPr>
      <w:r>
        <w:continuationSeparator/>
      </w:r>
    </w:p>
  </w:footnote>
  <w:footnote w:id="1">
    <w:p w14:paraId="4FFC0DFC" w14:textId="77777777" w:rsidR="00582C1A" w:rsidRPr="00D42A84" w:rsidRDefault="00582C1A" w:rsidP="00582C1A">
      <w:pPr>
        <w:pStyle w:val="Textonotapie"/>
        <w:ind w:firstLine="709"/>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Gaceta del Congreso de la República No. 71 del 2005.</w:t>
      </w:r>
    </w:p>
    <w:p w14:paraId="13B15A49" w14:textId="77777777" w:rsidR="00582C1A" w:rsidRPr="00D42A84" w:rsidRDefault="00582C1A" w:rsidP="00582C1A">
      <w:pPr>
        <w:pStyle w:val="Textonotapie"/>
        <w:ind w:firstLine="709"/>
        <w:rPr>
          <w:rFonts w:ascii="Verdana" w:hAnsi="Verdana" w:cs="Arial"/>
          <w:sz w:val="16"/>
          <w:szCs w:val="16"/>
        </w:rPr>
      </w:pPr>
    </w:p>
  </w:footnote>
  <w:footnote w:id="2">
    <w:p w14:paraId="15E15EEA" w14:textId="77777777" w:rsidR="00582C1A" w:rsidRPr="00FE4399" w:rsidRDefault="00582C1A" w:rsidP="00582C1A">
      <w:pPr>
        <w:pStyle w:val="Textonotapie"/>
        <w:ind w:firstLine="709"/>
        <w:rPr>
          <w:rFonts w:ascii="Verdana" w:hAnsi="Verdana" w:cs="Arial"/>
          <w:sz w:val="16"/>
          <w:szCs w:val="16"/>
          <w:lang w:val="pt-PT"/>
        </w:rPr>
      </w:pPr>
      <w:r w:rsidRPr="00D42A84">
        <w:rPr>
          <w:rStyle w:val="Refdenotaalpie"/>
          <w:rFonts w:ascii="Verdana" w:hAnsi="Verdana" w:cs="Arial"/>
          <w:sz w:val="16"/>
          <w:szCs w:val="16"/>
        </w:rPr>
        <w:footnoteRef/>
      </w:r>
      <w:r w:rsidRPr="00FE4399">
        <w:rPr>
          <w:rFonts w:ascii="Verdana" w:hAnsi="Verdana" w:cs="Arial"/>
          <w:sz w:val="16"/>
          <w:szCs w:val="16"/>
          <w:lang w:val="pt-PT"/>
        </w:rPr>
        <w:t xml:space="preserve"> Corte Constitucional, Sentencia C- 1153 de 2005, M.P. Marco Gerardo Monroy Cabra.</w:t>
      </w:r>
    </w:p>
    <w:p w14:paraId="0202F9EC" w14:textId="77777777" w:rsidR="00582C1A" w:rsidRPr="00FE4399" w:rsidRDefault="00582C1A" w:rsidP="00582C1A">
      <w:pPr>
        <w:pStyle w:val="Textonotapie"/>
        <w:ind w:firstLine="709"/>
        <w:rPr>
          <w:rFonts w:ascii="Verdana" w:hAnsi="Verdana" w:cs="Arial"/>
          <w:sz w:val="16"/>
          <w:szCs w:val="16"/>
          <w:lang w:val="pt-PT"/>
        </w:rPr>
      </w:pPr>
    </w:p>
  </w:footnote>
  <w:footnote w:id="3">
    <w:p w14:paraId="473A8E14" w14:textId="77777777" w:rsidR="00582C1A" w:rsidRPr="00FE4399" w:rsidRDefault="00582C1A" w:rsidP="00582C1A">
      <w:pPr>
        <w:pStyle w:val="Textonotapie"/>
        <w:ind w:firstLine="709"/>
        <w:jc w:val="both"/>
        <w:rPr>
          <w:rFonts w:ascii="Verdana" w:hAnsi="Verdana" w:cs="Arial"/>
          <w:sz w:val="16"/>
          <w:szCs w:val="16"/>
          <w:lang w:val="pt-PT"/>
        </w:rPr>
      </w:pPr>
      <w:r w:rsidRPr="00D42A84">
        <w:rPr>
          <w:rStyle w:val="Refdenotaalpie"/>
          <w:rFonts w:ascii="Verdana" w:hAnsi="Verdana" w:cs="Arial"/>
          <w:sz w:val="16"/>
          <w:szCs w:val="16"/>
        </w:rPr>
        <w:footnoteRef/>
      </w:r>
      <w:r w:rsidRPr="00FE4399">
        <w:rPr>
          <w:rFonts w:ascii="Verdana" w:hAnsi="Verdana" w:cs="Arial"/>
          <w:sz w:val="16"/>
          <w:szCs w:val="16"/>
          <w:lang w:val="pt-PT"/>
        </w:rPr>
        <w:t xml:space="preserve"> 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2C6969B7" w14:textId="77777777" w:rsidR="00582C1A" w:rsidRPr="00FE4399" w:rsidRDefault="00582C1A" w:rsidP="00582C1A">
      <w:pPr>
        <w:pStyle w:val="Textonotapie"/>
        <w:ind w:firstLine="709"/>
        <w:jc w:val="both"/>
        <w:rPr>
          <w:rFonts w:ascii="Verdana" w:hAnsi="Verdana" w:cs="Arial"/>
          <w:sz w:val="16"/>
          <w:szCs w:val="16"/>
          <w:lang w:val="pt-PT"/>
        </w:rPr>
      </w:pPr>
    </w:p>
  </w:footnote>
  <w:footnote w:id="4">
    <w:p w14:paraId="630950CB" w14:textId="77777777" w:rsidR="00582C1A" w:rsidRPr="00D42A84" w:rsidRDefault="00582C1A" w:rsidP="00582C1A">
      <w:pPr>
        <w:pStyle w:val="Textonotapie"/>
        <w:ind w:firstLine="709"/>
        <w:jc w:val="both"/>
        <w:rPr>
          <w:rFonts w:ascii="Verdana" w:hAnsi="Verdana" w:cs="Arial"/>
          <w:sz w:val="16"/>
          <w:szCs w:val="16"/>
          <w:lang w:val="es-CO"/>
        </w:rPr>
      </w:pPr>
      <w:r w:rsidRPr="00D42A84">
        <w:rPr>
          <w:rStyle w:val="Refdenotaalpie"/>
          <w:rFonts w:ascii="Verdana" w:hAnsi="Verdana" w:cs="Arial"/>
          <w:sz w:val="16"/>
          <w:szCs w:val="16"/>
        </w:rPr>
        <w:footnoteRef/>
      </w:r>
      <w:r w:rsidRPr="00FE4399">
        <w:rPr>
          <w:rFonts w:ascii="Verdana" w:hAnsi="Verdana" w:cs="Arial"/>
          <w:sz w:val="16"/>
          <w:szCs w:val="16"/>
          <w:lang w:val="pt-PT"/>
        </w:rPr>
        <w:t xml:space="preserve"> Consejo de Estado. Sala de lo Contencioso Administrativo. Sección Primera. Sentencia de 3 de marzo de 2005. Radicado: 25001-23-15-000-2004-00823-01 (PI). C.P: Camilo Arciniegas Andrade. Ver también, Consejo de Estado. </w:t>
      </w:r>
      <w:r w:rsidRPr="00D42A84">
        <w:rPr>
          <w:rFonts w:ascii="Verdana" w:hAnsi="Verdana" w:cs="Arial"/>
          <w:sz w:val="16"/>
          <w:szCs w:val="16"/>
          <w:lang w:val="es-CO"/>
        </w:rPr>
        <w:t>Sala de lo Contencioso Administrativo. Sección Tercera. Sentencia de 22 de enero de 2002. Radicado: 2001-0148-01 y, Consejo de Estado. Sala de lo Contencioso Administrativo. Sección Tercera. Sentencia de 20 de noviembre de 2001. Radicado: 2001-0130-01(PI), entre otras.</w:t>
      </w:r>
    </w:p>
    <w:p w14:paraId="776D683D" w14:textId="77777777" w:rsidR="00582C1A" w:rsidRPr="00D42A84" w:rsidRDefault="00582C1A" w:rsidP="00582C1A">
      <w:pPr>
        <w:pStyle w:val="Textonotapie"/>
        <w:ind w:firstLine="709"/>
        <w:jc w:val="both"/>
        <w:rPr>
          <w:rFonts w:ascii="Verdana" w:hAnsi="Verdana" w:cs="Arial"/>
          <w:sz w:val="16"/>
          <w:szCs w:val="16"/>
          <w:lang w:val="es-CO"/>
        </w:rPr>
      </w:pPr>
    </w:p>
  </w:footnote>
  <w:footnote w:id="5">
    <w:p w14:paraId="3B44ECF6" w14:textId="77777777" w:rsidR="00582C1A" w:rsidRPr="002817AD" w:rsidRDefault="00582C1A" w:rsidP="00582C1A">
      <w:pPr>
        <w:pStyle w:val="Textonotapie"/>
        <w:ind w:firstLine="709"/>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Consejo de Estado, Sala de Consulta y Servicio Civil de fecha 24 de julio de 2013, radicado 2166, Consejero Ponente: Álvaro Namén Vargas</w:t>
      </w:r>
      <w:r w:rsidRPr="002817AD">
        <w:rPr>
          <w:rFonts w:ascii="Verdana" w:hAnsi="Verdana" w:cs="Arial"/>
          <w:sz w:val="16"/>
          <w:szCs w:val="16"/>
        </w:rPr>
        <w:t xml:space="preserve">.  </w:t>
      </w:r>
    </w:p>
    <w:p w14:paraId="5E437C7F" w14:textId="77777777" w:rsidR="00582C1A" w:rsidRPr="002817AD" w:rsidRDefault="00582C1A" w:rsidP="00582C1A">
      <w:pPr>
        <w:pStyle w:val="Textonotapie"/>
        <w:ind w:firstLine="709"/>
        <w:jc w:val="both"/>
        <w:rPr>
          <w:rFonts w:ascii="Verdana" w:hAnsi="Verdana" w:cs="Arial"/>
          <w:sz w:val="16"/>
          <w:szCs w:val="16"/>
        </w:rPr>
      </w:pPr>
    </w:p>
  </w:footnote>
  <w:footnote w:id="6">
    <w:p w14:paraId="5E0BF9E3" w14:textId="77777777" w:rsidR="00582C1A" w:rsidRPr="00D42A84" w:rsidRDefault="00582C1A" w:rsidP="00582C1A">
      <w:pPr>
        <w:spacing w:after="0" w:line="240" w:lineRule="auto"/>
        <w:ind w:firstLine="709"/>
        <w:jc w:val="both"/>
        <w:rPr>
          <w:rFonts w:ascii="Verdana" w:eastAsia="Times New Roman"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bookmarkStart w:id="8" w:name="33"/>
      <w:r w:rsidRPr="00D42A84">
        <w:rPr>
          <w:rFonts w:ascii="Verdana" w:eastAsia="Times New Roman" w:hAnsi="Verdana" w:cs="Arial"/>
          <w:sz w:val="16"/>
          <w:szCs w:val="16"/>
        </w:rPr>
        <w:t>Artículo 33. Restricciones a la contratación pública.</w:t>
      </w:r>
      <w:bookmarkEnd w:id="8"/>
      <w:r w:rsidRPr="00D42A84">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C7E6CEF" w14:textId="77777777" w:rsidR="00582C1A" w:rsidRPr="00D42A84" w:rsidRDefault="00582C1A" w:rsidP="00582C1A">
      <w:pPr>
        <w:spacing w:after="0" w:line="240" w:lineRule="auto"/>
        <w:ind w:firstLine="709"/>
        <w:jc w:val="both"/>
        <w:rPr>
          <w:rFonts w:ascii="Verdana" w:eastAsia="Times New Roman" w:hAnsi="Verdana" w:cs="Arial"/>
          <w:sz w:val="16"/>
          <w:szCs w:val="16"/>
        </w:rPr>
      </w:pPr>
    </w:p>
    <w:p w14:paraId="6925BCC7" w14:textId="77777777" w:rsidR="00582C1A" w:rsidRPr="00D42A84" w:rsidRDefault="00582C1A" w:rsidP="00582C1A">
      <w:pPr>
        <w:spacing w:after="0" w:line="240" w:lineRule="auto"/>
        <w:ind w:firstLine="709"/>
        <w:jc w:val="both"/>
        <w:rPr>
          <w:rFonts w:ascii="Verdana" w:eastAsia="Times New Roman" w:hAnsi="Verdana" w:cs="Arial"/>
          <w:sz w:val="16"/>
          <w:szCs w:val="16"/>
        </w:rPr>
      </w:pPr>
      <w:r w:rsidRPr="00D42A84">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7C801B9" w14:textId="77777777" w:rsidR="00582C1A" w:rsidRPr="00D42A84" w:rsidRDefault="00582C1A" w:rsidP="00582C1A">
      <w:pPr>
        <w:spacing w:after="0" w:line="240" w:lineRule="auto"/>
        <w:ind w:firstLine="709"/>
        <w:jc w:val="both"/>
        <w:rPr>
          <w:rFonts w:ascii="Verdana" w:eastAsia="Times New Roman" w:hAnsi="Verdana" w:cs="Arial"/>
          <w:sz w:val="16"/>
          <w:szCs w:val="16"/>
        </w:rPr>
      </w:pPr>
    </w:p>
  </w:footnote>
  <w:footnote w:id="7">
    <w:p w14:paraId="7EF6F177" w14:textId="77777777" w:rsidR="00582C1A" w:rsidRDefault="00582C1A" w:rsidP="00582C1A">
      <w:pPr>
        <w:pStyle w:val="Textonotapie"/>
        <w:ind w:right="51" w:firstLine="709"/>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r w:rsidRPr="00D42A84">
        <w:rPr>
          <w:rFonts w:ascii="Verdana" w:hAnsi="Verdana" w:cs="Arial"/>
          <w:sz w:val="16"/>
          <w:szCs w:val="16"/>
          <w:lang w:val="es-ES"/>
        </w:rPr>
        <w:t xml:space="preserve">[25] </w:t>
      </w:r>
      <w:r w:rsidRPr="00D42A84">
        <w:rPr>
          <w:rFonts w:ascii="Verdana" w:hAnsi="Verdana" w:cs="Arial"/>
          <w:sz w:val="16"/>
          <w:szCs w:val="16"/>
        </w:rPr>
        <w:t>Cfr. Consejo de Estado. Sección Tercera. Sentencia de 3 de diciembre de 2007. Radicados: 24.715, 25.206, 25.409, 24.524, 27.834, 25.410, 26.105, 28.244, 31.447 -acumulados-”.</w:t>
      </w:r>
    </w:p>
    <w:p w14:paraId="629A6B92" w14:textId="77777777" w:rsidR="00582C1A" w:rsidRPr="00D42A84" w:rsidRDefault="00582C1A" w:rsidP="00582C1A">
      <w:pPr>
        <w:pStyle w:val="Textonotapie"/>
        <w:ind w:right="51" w:firstLine="709"/>
        <w:jc w:val="both"/>
        <w:rPr>
          <w:rFonts w:ascii="Verdana" w:hAnsi="Verdana" w:cs="Arial"/>
          <w:sz w:val="16"/>
          <w:szCs w:val="16"/>
        </w:rPr>
      </w:pPr>
    </w:p>
  </w:footnote>
  <w:footnote w:id="8">
    <w:p w14:paraId="591DBE4B" w14:textId="77777777" w:rsidR="00582C1A" w:rsidRPr="00D42A84" w:rsidRDefault="00582C1A" w:rsidP="00582C1A">
      <w:pPr>
        <w:pStyle w:val="Textonotapie"/>
        <w:ind w:right="51" w:firstLine="709"/>
        <w:jc w:val="both"/>
        <w:rPr>
          <w:rFonts w:ascii="Verdana" w:hAnsi="Verdana" w:cs="Arial"/>
          <w:sz w:val="16"/>
          <w:szCs w:val="16"/>
        </w:rPr>
      </w:pPr>
      <w:r w:rsidRPr="00D42A84">
        <w:rPr>
          <w:rStyle w:val="Refdenotaalpie"/>
          <w:rFonts w:ascii="Verdana" w:hAnsi="Verdana" w:cs="Arial"/>
          <w:sz w:val="16"/>
          <w:szCs w:val="16"/>
        </w:rPr>
        <w:footnoteRef/>
      </w:r>
      <w:r w:rsidRPr="00D42A84">
        <w:rPr>
          <w:rFonts w:ascii="Verdana" w:hAnsi="Verdana" w:cs="Arial"/>
          <w:sz w:val="16"/>
          <w:szCs w:val="16"/>
        </w:rPr>
        <w:t xml:space="preserve"> </w:t>
      </w:r>
      <w:bookmarkStart w:id="11" w:name="_Hlk74294506"/>
      <w:r w:rsidRPr="00D42A84">
        <w:rPr>
          <w:rFonts w:ascii="Verdana" w:hAnsi="Verdana" w:cs="Arial"/>
          <w:sz w:val="16"/>
          <w:szCs w:val="16"/>
        </w:rPr>
        <w:t>“</w:t>
      </w:r>
      <w:r>
        <w:rPr>
          <w:rFonts w:ascii="Verdana" w:hAnsi="Verdana" w:cs="Arial"/>
          <w:sz w:val="16"/>
          <w:szCs w:val="16"/>
        </w:rPr>
        <w:t>(</w:t>
      </w:r>
      <w:r w:rsidRPr="00D42A84">
        <w:rPr>
          <w:rFonts w:ascii="Verdana" w:hAnsi="Verdana" w:cs="Arial"/>
          <w:sz w:val="16"/>
          <w:szCs w:val="16"/>
          <w:lang w:val="es-ES"/>
        </w:rPr>
        <w:t>26</w:t>
      </w:r>
      <w:r>
        <w:rPr>
          <w:rFonts w:ascii="Verdana" w:hAnsi="Verdana" w:cs="Arial"/>
          <w:sz w:val="16"/>
          <w:szCs w:val="16"/>
          <w:lang w:val="es-ES"/>
        </w:rPr>
        <w:t>)</w:t>
      </w:r>
      <w:r w:rsidRPr="00D42A84">
        <w:rPr>
          <w:rFonts w:ascii="Verdana" w:hAnsi="Verdana" w:cs="Arial"/>
          <w:sz w:val="16"/>
          <w:szCs w:val="16"/>
          <w:lang w:val="es-ES"/>
        </w:rPr>
        <w:t xml:space="preserve"> </w:t>
      </w:r>
      <w:bookmarkEnd w:id="11"/>
      <w:r w:rsidRPr="00D42A84">
        <w:rPr>
          <w:rFonts w:ascii="Verdana" w:hAnsi="Verdana" w:cs="Arial"/>
          <w:sz w:val="16"/>
          <w:szCs w:val="16"/>
        </w:rPr>
        <w:t>Al respecto ver el concepto 1712 de 2 de febrero de 2006. Consejo de Estado Sala de Consulta y Servicio Civil”.</w:t>
      </w:r>
    </w:p>
    <w:p w14:paraId="651A1F8E" w14:textId="77777777" w:rsidR="00582C1A" w:rsidRPr="00B93D47" w:rsidRDefault="00582C1A" w:rsidP="00582C1A">
      <w:pPr>
        <w:pStyle w:val="Textonotapie"/>
        <w:ind w:right="51" w:firstLine="709"/>
        <w:jc w:val="both"/>
        <w:rPr>
          <w:rFonts w:ascii="Verdana" w:hAnsi="Verdana" w:cs="Arial"/>
          <w:sz w:val="16"/>
          <w:szCs w:val="16"/>
        </w:rPr>
      </w:pPr>
    </w:p>
  </w:footnote>
  <w:footnote w:id="9">
    <w:p w14:paraId="36398266" w14:textId="77777777" w:rsidR="00582C1A" w:rsidRPr="00B93D47" w:rsidRDefault="00582C1A" w:rsidP="00582C1A">
      <w:pPr>
        <w:pStyle w:val="Textonotapie"/>
        <w:ind w:firstLine="709"/>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574C478A" w14:textId="77777777" w:rsidR="00582C1A" w:rsidRPr="00B93D47" w:rsidRDefault="00582C1A" w:rsidP="00582C1A">
      <w:pPr>
        <w:pStyle w:val="Textonotapie"/>
        <w:ind w:firstLine="709"/>
        <w:jc w:val="both"/>
        <w:rPr>
          <w:rFonts w:ascii="Verdana" w:hAnsi="Verdana" w:cs="Arial"/>
          <w:sz w:val="16"/>
          <w:szCs w:val="16"/>
        </w:rPr>
      </w:pPr>
    </w:p>
  </w:footnote>
  <w:footnote w:id="10">
    <w:p w14:paraId="246153B9" w14:textId="77777777" w:rsidR="00582C1A" w:rsidRPr="00B93D47" w:rsidRDefault="00582C1A" w:rsidP="00582C1A">
      <w:pPr>
        <w:pStyle w:val="Textonotapie"/>
        <w:ind w:firstLine="709"/>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Artículo 2. </w:t>
      </w:r>
    </w:p>
  </w:footnote>
  <w:footnote w:id="11">
    <w:p w14:paraId="44D5AAD6" w14:textId="77777777" w:rsidR="00582C1A" w:rsidRPr="00B93D47" w:rsidRDefault="00582C1A" w:rsidP="00582C1A">
      <w:pPr>
        <w:pStyle w:val="Textonotapie"/>
        <w:ind w:firstLine="709"/>
        <w:jc w:val="both"/>
        <w:rPr>
          <w:rFonts w:ascii="Verdana" w:hAnsi="Verdana" w:cs="Arial"/>
          <w:sz w:val="16"/>
          <w:szCs w:val="16"/>
        </w:rPr>
      </w:pPr>
    </w:p>
    <w:p w14:paraId="5407AA49" w14:textId="77777777" w:rsidR="00582C1A" w:rsidRDefault="00582C1A" w:rsidP="00582C1A">
      <w:pPr>
        <w:pStyle w:val="Textonotapie"/>
        <w:ind w:firstLine="709"/>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i/>
          <w:sz w:val="16"/>
          <w:szCs w:val="16"/>
          <w:lang w:val="es-ES"/>
        </w:rPr>
        <w:t>Ídem</w:t>
      </w:r>
      <w:r w:rsidRPr="00B93D47">
        <w:rPr>
          <w:rFonts w:ascii="Verdana" w:hAnsi="Verdana" w:cs="Arial"/>
          <w:sz w:val="16"/>
          <w:szCs w:val="16"/>
          <w:lang w:val="es-ES"/>
        </w:rPr>
        <w:t>.</w:t>
      </w:r>
    </w:p>
    <w:p w14:paraId="451C847E" w14:textId="77777777" w:rsidR="00582C1A" w:rsidRPr="00B93D47" w:rsidRDefault="00582C1A" w:rsidP="00582C1A">
      <w:pPr>
        <w:pStyle w:val="Textonotapie"/>
        <w:ind w:firstLine="709"/>
        <w:jc w:val="both"/>
        <w:rPr>
          <w:rFonts w:ascii="Verdana" w:hAnsi="Verdana" w:cs="Arial"/>
          <w:sz w:val="16"/>
          <w:szCs w:val="16"/>
          <w:lang w:val="es-ES"/>
        </w:rPr>
      </w:pPr>
    </w:p>
  </w:footnote>
  <w:footnote w:id="12">
    <w:p w14:paraId="7213A4AC" w14:textId="77777777" w:rsidR="00582C1A" w:rsidRDefault="00582C1A" w:rsidP="00582C1A">
      <w:pPr>
        <w:pStyle w:val="Textonotapie"/>
        <w:ind w:firstLine="709"/>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w:t>
      </w:r>
      <w:r>
        <w:rPr>
          <w:rFonts w:ascii="Verdana" w:hAnsi="Verdana" w:cs="Arial"/>
          <w:sz w:val="16"/>
          <w:szCs w:val="16"/>
          <w:lang w:val="es-ES"/>
        </w:rPr>
        <w:t xml:space="preserve">(…) </w:t>
      </w:r>
      <w:r w:rsidRPr="00B93D47">
        <w:rPr>
          <w:rFonts w:ascii="Verdana" w:hAnsi="Verdana" w:cs="Arial"/>
          <w:sz w:val="16"/>
          <w:szCs w:val="16"/>
          <w:lang w:val="es-ES"/>
        </w:rPr>
        <w:t xml:space="preserve">A este respecto, cabe recordar que el artículo 860 del Código de Comercio regula la licitación en el derecho privado”. </w:t>
      </w:r>
    </w:p>
    <w:p w14:paraId="76A13E96" w14:textId="77777777" w:rsidR="00582C1A" w:rsidRPr="00B93D47" w:rsidRDefault="00582C1A" w:rsidP="00582C1A">
      <w:pPr>
        <w:pStyle w:val="Textonotapie"/>
        <w:ind w:firstLine="709"/>
        <w:jc w:val="both"/>
        <w:rPr>
          <w:rFonts w:ascii="Verdana" w:hAnsi="Verdana" w:cs="Arial"/>
          <w:sz w:val="16"/>
          <w:szCs w:val="16"/>
          <w:lang w:val="es-ES"/>
        </w:rPr>
      </w:pPr>
    </w:p>
  </w:footnote>
  <w:footnote w:id="13">
    <w:p w14:paraId="22EAF41C" w14:textId="77777777" w:rsidR="00582C1A" w:rsidRPr="00B93D47" w:rsidRDefault="00582C1A" w:rsidP="00582C1A">
      <w:pPr>
        <w:shd w:val="clear" w:color="auto" w:fill="FFFFFF"/>
        <w:spacing w:after="0" w:line="240" w:lineRule="auto"/>
        <w:ind w:firstLine="709"/>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4">
    <w:p w14:paraId="2AA39424" w14:textId="77777777" w:rsidR="00582C1A" w:rsidRDefault="00582C1A" w:rsidP="00582C1A">
      <w:pPr>
        <w:pStyle w:val="Textonotapie"/>
        <w:jc w:val="both"/>
        <w:rPr>
          <w:rFonts w:ascii="Verdana" w:hAnsi="Verdana" w:cs="Arial"/>
          <w:sz w:val="16"/>
          <w:szCs w:val="16"/>
        </w:rPr>
      </w:pPr>
    </w:p>
    <w:p w14:paraId="6076E4DF" w14:textId="77777777" w:rsidR="00582C1A" w:rsidRDefault="00582C1A" w:rsidP="00582C1A">
      <w:pPr>
        <w:pStyle w:val="Textonotapie"/>
        <w:ind w:firstLine="709"/>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Pr>
          <w:rFonts w:ascii="Verdana" w:hAnsi="Verdana" w:cs="Arial"/>
          <w:sz w:val="16"/>
          <w:szCs w:val="16"/>
        </w:rPr>
        <w:t xml:space="preserve">Ibidem </w:t>
      </w:r>
    </w:p>
    <w:p w14:paraId="4C3716E7" w14:textId="77777777" w:rsidR="00582C1A" w:rsidRPr="00B93D47" w:rsidRDefault="00582C1A" w:rsidP="00582C1A">
      <w:pPr>
        <w:pStyle w:val="Textonotapie"/>
        <w:ind w:firstLine="709"/>
        <w:jc w:val="both"/>
        <w:rPr>
          <w:rFonts w:ascii="Verdana" w:hAnsi="Verdana" w:cs="Arial"/>
          <w:sz w:val="16"/>
          <w:szCs w:val="16"/>
        </w:rPr>
      </w:pPr>
    </w:p>
  </w:footnote>
  <w:footnote w:id="15">
    <w:p w14:paraId="7876783A" w14:textId="60A605B7" w:rsidR="00582C1A" w:rsidRDefault="00582C1A" w:rsidP="00582C1A">
      <w:pPr>
        <w:pStyle w:val="Textonotapie"/>
        <w:ind w:firstLine="709"/>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5C361B70" w14:textId="77777777" w:rsidR="00934C8B" w:rsidRPr="00B93D47" w:rsidRDefault="00934C8B" w:rsidP="00582C1A">
      <w:pPr>
        <w:pStyle w:val="Textonotapie"/>
        <w:ind w:firstLine="709"/>
        <w:jc w:val="both"/>
        <w:rPr>
          <w:rFonts w:ascii="Verdana" w:hAnsi="Verdana" w:cs="Arial"/>
          <w:sz w:val="16"/>
          <w:szCs w:val="16"/>
        </w:rPr>
      </w:pPr>
    </w:p>
  </w:footnote>
  <w:footnote w:id="16">
    <w:p w14:paraId="73EF40E1" w14:textId="77777777" w:rsidR="00582C1A" w:rsidRPr="00B47839" w:rsidRDefault="00582C1A" w:rsidP="00582C1A">
      <w:pPr>
        <w:pStyle w:val="Textonotapie"/>
        <w:ind w:firstLine="708"/>
        <w:jc w:val="both"/>
        <w:rPr>
          <w:rFonts w:ascii="Verdana" w:hAnsi="Verdana" w:cs="Arial"/>
          <w:sz w:val="16"/>
          <w:szCs w:val="16"/>
        </w:rPr>
      </w:pPr>
      <w:r w:rsidRPr="00B47839">
        <w:rPr>
          <w:rStyle w:val="Refdenotaalpie"/>
          <w:rFonts w:ascii="Verdana" w:hAnsi="Verdana" w:cs="Arial"/>
          <w:sz w:val="16"/>
          <w:szCs w:val="16"/>
        </w:rPr>
        <w:footnoteRef/>
      </w:r>
      <w:r w:rsidRPr="00B47839">
        <w:rPr>
          <w:rFonts w:ascii="Verdana" w:hAnsi="Verdana" w:cs="Arial"/>
          <w:sz w:val="16"/>
          <w:szCs w:val="16"/>
        </w:rPr>
        <w:t xml:space="preserve"> Concepto del 3 de septiembre de 2019, con radicado No. 2201913000006512.</w:t>
      </w:r>
    </w:p>
    <w:p w14:paraId="3C98E2A9" w14:textId="77777777" w:rsidR="00582C1A" w:rsidRPr="00B47839" w:rsidRDefault="00582C1A" w:rsidP="00582C1A">
      <w:pPr>
        <w:pStyle w:val="Textonotapie"/>
        <w:ind w:firstLine="708"/>
        <w:jc w:val="both"/>
        <w:rPr>
          <w:rFonts w:ascii="Verdana" w:hAnsi="Verdana" w:cs="Arial"/>
          <w:sz w:val="16"/>
          <w:szCs w:val="16"/>
        </w:rPr>
      </w:pPr>
    </w:p>
  </w:footnote>
  <w:footnote w:id="17">
    <w:p w14:paraId="503C4F07" w14:textId="22C78F5A" w:rsidR="00582C1A" w:rsidRDefault="00582C1A" w:rsidP="00582C1A">
      <w:pPr>
        <w:pStyle w:val="Textonotapie"/>
        <w:ind w:firstLine="708"/>
        <w:jc w:val="both"/>
        <w:rPr>
          <w:rFonts w:ascii="Verdana" w:hAnsi="Verdana" w:cs="Arial"/>
          <w:sz w:val="16"/>
          <w:szCs w:val="16"/>
        </w:rPr>
      </w:pPr>
      <w:r w:rsidRPr="00B47839">
        <w:rPr>
          <w:rStyle w:val="Refdenotaalpie"/>
          <w:rFonts w:ascii="Verdana" w:hAnsi="Verdana" w:cs="Arial"/>
          <w:sz w:val="16"/>
          <w:szCs w:val="16"/>
        </w:rPr>
        <w:footnoteRef/>
      </w:r>
      <w:r w:rsidRPr="00B47839">
        <w:rPr>
          <w:rFonts w:ascii="Verdana" w:hAnsi="Verdana" w:cs="Arial"/>
          <w:sz w:val="16"/>
          <w:szCs w:val="16"/>
        </w:rPr>
        <w:t xml:space="preserve"> Sobre la naturaleza de los convenios de asociación, se reitera lo expuesto en el concepto del 19 de noviembre de 2019, con radicado No. 2201913000008611.</w:t>
      </w:r>
    </w:p>
    <w:p w14:paraId="5CD3263E" w14:textId="77777777" w:rsidR="00934C8B" w:rsidRPr="00B47839" w:rsidRDefault="00934C8B" w:rsidP="00582C1A">
      <w:pPr>
        <w:pStyle w:val="Textonotapie"/>
        <w:ind w:firstLine="708"/>
        <w:jc w:val="both"/>
        <w:rPr>
          <w:rFonts w:ascii="Verdana" w:hAnsi="Verdana" w:cs="Arial"/>
          <w:sz w:val="16"/>
          <w:szCs w:val="16"/>
        </w:rPr>
      </w:pPr>
    </w:p>
  </w:footnote>
  <w:footnote w:id="18">
    <w:p w14:paraId="34B08D05" w14:textId="77777777" w:rsidR="00582C1A" w:rsidRPr="00B47839" w:rsidRDefault="00582C1A" w:rsidP="00582C1A">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Cfr. Concepto del 21 de agosto de 2019, dictado dentro del radicado No. 2201913000006047.</w:t>
      </w:r>
    </w:p>
    <w:p w14:paraId="741ECB9C" w14:textId="77777777" w:rsidR="00582C1A" w:rsidRPr="00B47839" w:rsidRDefault="00582C1A" w:rsidP="00582C1A">
      <w:pPr>
        <w:pStyle w:val="Textonotapie"/>
        <w:ind w:firstLine="708"/>
        <w:jc w:val="both"/>
        <w:rPr>
          <w:rFonts w:ascii="Verdana" w:hAnsi="Verdana" w:cs="Arial"/>
          <w:color w:val="000000" w:themeColor="text1"/>
          <w:sz w:val="16"/>
          <w:szCs w:val="16"/>
        </w:rPr>
      </w:pPr>
    </w:p>
  </w:footnote>
  <w:footnote w:id="19">
    <w:p w14:paraId="5C7614DC" w14:textId="2B6EFB5B" w:rsidR="00582C1A" w:rsidRDefault="00582C1A" w:rsidP="00582C1A">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Concepto del 24 de febrero de 2005. Radicado:1626, C.P. Gloria Duque Hernández.</w:t>
      </w:r>
    </w:p>
    <w:p w14:paraId="5BAD9BF0" w14:textId="77777777" w:rsidR="00934C8B" w:rsidRPr="00B47839" w:rsidRDefault="00934C8B" w:rsidP="00582C1A">
      <w:pPr>
        <w:pStyle w:val="Textonotapie"/>
        <w:ind w:firstLine="708"/>
        <w:jc w:val="both"/>
        <w:rPr>
          <w:rFonts w:ascii="Verdana" w:hAnsi="Verdana" w:cs="Arial"/>
          <w:color w:val="000000" w:themeColor="text1"/>
          <w:sz w:val="16"/>
          <w:szCs w:val="16"/>
          <w:lang w:val="es-ES"/>
        </w:rPr>
      </w:pPr>
    </w:p>
  </w:footnote>
  <w:footnote w:id="20">
    <w:p w14:paraId="390B190F" w14:textId="2E4423C6" w:rsidR="00582C1A" w:rsidRDefault="00582C1A" w:rsidP="00582C1A">
      <w:pPr>
        <w:pStyle w:val="Textonotapie"/>
        <w:ind w:firstLine="708"/>
        <w:jc w:val="both"/>
        <w:rPr>
          <w:rFonts w:ascii="Verdana" w:hAnsi="Verdana" w:cs="Arial"/>
          <w:color w:val="000000" w:themeColor="text1"/>
          <w:sz w:val="16"/>
          <w:szCs w:val="16"/>
        </w:rPr>
      </w:pPr>
      <w:r w:rsidRPr="00B47839">
        <w:rPr>
          <w:rStyle w:val="Refdenotaalpie"/>
          <w:rFonts w:ascii="Verdana" w:hAnsi="Verdana" w:cs="Arial"/>
          <w:color w:val="000000" w:themeColor="text1"/>
          <w:sz w:val="16"/>
          <w:szCs w:val="16"/>
        </w:rPr>
        <w:footnoteRef/>
      </w:r>
      <w:r w:rsidRPr="00B47839">
        <w:rPr>
          <w:rFonts w:ascii="Verdana" w:hAnsi="Verdana" w:cs="Arial"/>
          <w:color w:val="000000" w:themeColor="text1"/>
          <w:sz w:val="16"/>
          <w:szCs w:val="16"/>
        </w:rPr>
        <w:t xml:space="preserve"> Decreto 092 de 2017,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p w14:paraId="071D37C1" w14:textId="77777777" w:rsidR="00934C8B" w:rsidRPr="00B47839" w:rsidRDefault="00934C8B" w:rsidP="00582C1A">
      <w:pPr>
        <w:pStyle w:val="Textonotapie"/>
        <w:ind w:firstLine="708"/>
        <w:jc w:val="both"/>
        <w:rPr>
          <w:rFonts w:ascii="Verdana" w:hAnsi="Verdana" w:cs="Arial"/>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75597099">
    <w:abstractNumId w:val="6"/>
  </w:num>
  <w:num w:numId="2" w16cid:durableId="2029286392">
    <w:abstractNumId w:val="2"/>
  </w:num>
  <w:num w:numId="3" w16cid:durableId="974793214">
    <w:abstractNumId w:val="4"/>
  </w:num>
  <w:num w:numId="4" w16cid:durableId="90448709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32175063">
    <w:abstractNumId w:val="2"/>
  </w:num>
  <w:num w:numId="6" w16cid:durableId="722876542">
    <w:abstractNumId w:val="13"/>
  </w:num>
  <w:num w:numId="7" w16cid:durableId="1292830784">
    <w:abstractNumId w:val="5"/>
  </w:num>
  <w:num w:numId="8" w16cid:durableId="1883636559">
    <w:abstractNumId w:val="12"/>
  </w:num>
  <w:num w:numId="9" w16cid:durableId="1475951067">
    <w:abstractNumId w:val="7"/>
  </w:num>
  <w:num w:numId="10" w16cid:durableId="2052875935">
    <w:abstractNumId w:val="11"/>
  </w:num>
  <w:num w:numId="11" w16cid:durableId="1979920194">
    <w:abstractNumId w:val="8"/>
  </w:num>
  <w:num w:numId="12" w16cid:durableId="614336316">
    <w:abstractNumId w:val="1"/>
  </w:num>
  <w:num w:numId="13" w16cid:durableId="1019431990">
    <w:abstractNumId w:val="3"/>
  </w:num>
  <w:num w:numId="14" w16cid:durableId="522597272">
    <w:abstractNumId w:val="14"/>
  </w:num>
  <w:num w:numId="15" w16cid:durableId="449592795">
    <w:abstractNumId w:val="10"/>
  </w:num>
  <w:num w:numId="16" w16cid:durableId="473328550">
    <w:abstractNumId w:val="0"/>
  </w:num>
  <w:num w:numId="17" w16cid:durableId="18254674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9D1"/>
    <w:rsid w:val="00016F78"/>
    <w:rsid w:val="00046945"/>
    <w:rsid w:val="00061B2A"/>
    <w:rsid w:val="00082362"/>
    <w:rsid w:val="000A683E"/>
    <w:rsid w:val="000B19B9"/>
    <w:rsid w:val="000D0334"/>
    <w:rsid w:val="000D5DA7"/>
    <w:rsid w:val="000E6777"/>
    <w:rsid w:val="000F6486"/>
    <w:rsid w:val="0010293F"/>
    <w:rsid w:val="00116940"/>
    <w:rsid w:val="00125105"/>
    <w:rsid w:val="00127233"/>
    <w:rsid w:val="0015699B"/>
    <w:rsid w:val="00194545"/>
    <w:rsid w:val="001A33BF"/>
    <w:rsid w:val="001E4177"/>
    <w:rsid w:val="001F0B24"/>
    <w:rsid w:val="001F7DC6"/>
    <w:rsid w:val="0022400B"/>
    <w:rsid w:val="002421BB"/>
    <w:rsid w:val="0025796E"/>
    <w:rsid w:val="00260DA6"/>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4C1C"/>
    <w:rsid w:val="00365084"/>
    <w:rsid w:val="00374F5E"/>
    <w:rsid w:val="00377E3E"/>
    <w:rsid w:val="003A779E"/>
    <w:rsid w:val="003D0F4D"/>
    <w:rsid w:val="003D5B0D"/>
    <w:rsid w:val="003E0499"/>
    <w:rsid w:val="003E4F80"/>
    <w:rsid w:val="003E6439"/>
    <w:rsid w:val="003F3941"/>
    <w:rsid w:val="003F3FF5"/>
    <w:rsid w:val="00406575"/>
    <w:rsid w:val="00414C74"/>
    <w:rsid w:val="0042722E"/>
    <w:rsid w:val="0044528D"/>
    <w:rsid w:val="00466E39"/>
    <w:rsid w:val="004A1847"/>
    <w:rsid w:val="004A305D"/>
    <w:rsid w:val="004F21C4"/>
    <w:rsid w:val="004F685F"/>
    <w:rsid w:val="005176EB"/>
    <w:rsid w:val="0053265F"/>
    <w:rsid w:val="005566E8"/>
    <w:rsid w:val="00574867"/>
    <w:rsid w:val="00582C1A"/>
    <w:rsid w:val="0058505A"/>
    <w:rsid w:val="00591460"/>
    <w:rsid w:val="005A65E0"/>
    <w:rsid w:val="005C3777"/>
    <w:rsid w:val="005C5CDC"/>
    <w:rsid w:val="005D476C"/>
    <w:rsid w:val="006200BF"/>
    <w:rsid w:val="006219F8"/>
    <w:rsid w:val="006302F7"/>
    <w:rsid w:val="00646B9F"/>
    <w:rsid w:val="00665D70"/>
    <w:rsid w:val="00680412"/>
    <w:rsid w:val="006900D9"/>
    <w:rsid w:val="00706C16"/>
    <w:rsid w:val="00732F59"/>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515A"/>
    <w:rsid w:val="008843B6"/>
    <w:rsid w:val="00891928"/>
    <w:rsid w:val="008A446D"/>
    <w:rsid w:val="008B25F1"/>
    <w:rsid w:val="008C68D8"/>
    <w:rsid w:val="008D180B"/>
    <w:rsid w:val="008F0EA7"/>
    <w:rsid w:val="00923EEF"/>
    <w:rsid w:val="00934C8B"/>
    <w:rsid w:val="009419F9"/>
    <w:rsid w:val="0095685E"/>
    <w:rsid w:val="00961B09"/>
    <w:rsid w:val="00965334"/>
    <w:rsid w:val="0097093E"/>
    <w:rsid w:val="00992843"/>
    <w:rsid w:val="009A0DFA"/>
    <w:rsid w:val="009A1C6F"/>
    <w:rsid w:val="009B2D26"/>
    <w:rsid w:val="009B6D22"/>
    <w:rsid w:val="009C71FA"/>
    <w:rsid w:val="009C72E7"/>
    <w:rsid w:val="009C7F7E"/>
    <w:rsid w:val="009D3058"/>
    <w:rsid w:val="009F3A13"/>
    <w:rsid w:val="00A122D3"/>
    <w:rsid w:val="00A12B46"/>
    <w:rsid w:val="00A14468"/>
    <w:rsid w:val="00A14B22"/>
    <w:rsid w:val="00A17F13"/>
    <w:rsid w:val="00A20739"/>
    <w:rsid w:val="00A23AF9"/>
    <w:rsid w:val="00A33C78"/>
    <w:rsid w:val="00AB0ADB"/>
    <w:rsid w:val="00B00C0E"/>
    <w:rsid w:val="00B01B1A"/>
    <w:rsid w:val="00B0381D"/>
    <w:rsid w:val="00B2774B"/>
    <w:rsid w:val="00B44A47"/>
    <w:rsid w:val="00B72CD3"/>
    <w:rsid w:val="00B72FFF"/>
    <w:rsid w:val="00BC3D36"/>
    <w:rsid w:val="00BD54A6"/>
    <w:rsid w:val="00BD7F72"/>
    <w:rsid w:val="00BF7425"/>
    <w:rsid w:val="00C04FB3"/>
    <w:rsid w:val="00C11D8B"/>
    <w:rsid w:val="00C15139"/>
    <w:rsid w:val="00C330EB"/>
    <w:rsid w:val="00C50D69"/>
    <w:rsid w:val="00C5365C"/>
    <w:rsid w:val="00C719AC"/>
    <w:rsid w:val="00C754BE"/>
    <w:rsid w:val="00C76B1C"/>
    <w:rsid w:val="00C925AC"/>
    <w:rsid w:val="00CB6357"/>
    <w:rsid w:val="00CC1B26"/>
    <w:rsid w:val="00D039EB"/>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6133"/>
    <w:rsid w:val="00E50AFE"/>
    <w:rsid w:val="00E75C92"/>
    <w:rsid w:val="00E771DC"/>
    <w:rsid w:val="00E8772A"/>
    <w:rsid w:val="00E90F6B"/>
    <w:rsid w:val="00E92C27"/>
    <w:rsid w:val="00EA0E3D"/>
    <w:rsid w:val="00EC38A7"/>
    <w:rsid w:val="00EE1AA8"/>
    <w:rsid w:val="00F23FEA"/>
    <w:rsid w:val="00F31EDC"/>
    <w:rsid w:val="00F462B3"/>
    <w:rsid w:val="00F51A89"/>
    <w:rsid w:val="00F5664F"/>
    <w:rsid w:val="00F666C4"/>
    <w:rsid w:val="00F76AFC"/>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82C1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82C1A"/>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ogadojairoortega@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BB4B5D-EC6F-4938-B214-FB0E13F024EA}"/>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45</TotalTime>
  <Pages>20</Pages>
  <Words>7160</Words>
  <Characters>38527</Characters>
  <Application>Microsoft Office Word</Application>
  <DocSecurity>0</DocSecurity>
  <Lines>700</Lines>
  <Paragraphs>130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4</cp:revision>
  <cp:lastPrinted>2023-01-10T21:18:00Z</cp:lastPrinted>
  <dcterms:created xsi:type="dcterms:W3CDTF">2026-03-13T14:29:00Z</dcterms:created>
  <dcterms:modified xsi:type="dcterms:W3CDTF">2026-03-19T15:41:00Z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