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08264" w14:textId="1C381433" w:rsidR="001A1334" w:rsidRDefault="001A1334" w:rsidP="00E914B3">
      <w:pPr>
        <w:spacing w:after="0" w:line="240" w:lineRule="auto"/>
        <w:jc w:val="both"/>
        <w:rPr>
          <w:rFonts w:ascii="Verdana" w:hAnsi="Verdana" w:cs="Arial"/>
          <w:b/>
          <w:bCs/>
          <w:lang w:val="es-ES"/>
        </w:rPr>
      </w:pPr>
      <w:bookmarkStart w:id="0" w:name="_Hlk143780582"/>
      <w:r w:rsidRPr="001A1334">
        <w:rPr>
          <w:rFonts w:ascii="Verdana" w:hAnsi="Verdana" w:cs="Arial"/>
          <w:b/>
          <w:bCs/>
          <w:lang w:val="es-ES"/>
        </w:rPr>
        <w:t>REGISTRO NACIONAL DE OBRAS CIVILES INCONCLUSAS – Concepto – Ley 2020 de 2020</w:t>
      </w:r>
    </w:p>
    <w:p w14:paraId="2E6BB6FB" w14:textId="52943061" w:rsidR="001A1334" w:rsidRDefault="001A1334" w:rsidP="00E914B3">
      <w:pPr>
        <w:spacing w:after="0" w:line="240" w:lineRule="auto"/>
        <w:jc w:val="both"/>
        <w:rPr>
          <w:rFonts w:ascii="Verdana" w:hAnsi="Verdana" w:cs="Arial"/>
          <w:b/>
          <w:bCs/>
          <w:lang w:val="es-ES"/>
        </w:rPr>
      </w:pPr>
    </w:p>
    <w:p w14:paraId="0C0353C2" w14:textId="3F27C8EA" w:rsidR="001A1334" w:rsidRDefault="001A1334" w:rsidP="00E914B3">
      <w:pPr>
        <w:spacing w:after="0" w:line="240" w:lineRule="auto"/>
        <w:jc w:val="both"/>
        <w:rPr>
          <w:rFonts w:ascii="Verdana" w:hAnsi="Verdana" w:cs="Arial"/>
          <w:bCs/>
          <w:sz w:val="20"/>
          <w:lang w:val="es-ES"/>
        </w:rPr>
      </w:pPr>
      <w:r w:rsidRPr="001A1334">
        <w:rPr>
          <w:rFonts w:ascii="Verdana" w:hAnsi="Verdana" w:cs="Arial"/>
          <w:bCs/>
          <w:sz w:val="20"/>
          <w:lang w:val="es-ES"/>
        </w:rPr>
        <w:t xml:space="preserve">La Ley 2020 de 2020 creó el 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1A1334">
        <w:rPr>
          <w:rFonts w:ascii="Verdana" w:hAnsi="Verdana" w:cs="Arial"/>
          <w:bCs/>
          <w:i/>
          <w:iCs/>
          <w:sz w:val="20"/>
          <w:lang w:val="es-ES"/>
        </w:rPr>
        <w:t>obra civil inconclusa</w:t>
      </w:r>
      <w:r w:rsidRPr="001A1334">
        <w:rPr>
          <w:rFonts w:ascii="Verdana" w:hAnsi="Verdana" w:cs="Arial"/>
          <w:bCs/>
          <w:sz w:val="20"/>
          <w:lang w:val="es-ES"/>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74539850" w14:textId="77777777" w:rsidR="001A1334" w:rsidRPr="001A1334" w:rsidRDefault="001A1334" w:rsidP="00E914B3">
      <w:pPr>
        <w:spacing w:after="0" w:line="240" w:lineRule="auto"/>
        <w:jc w:val="both"/>
        <w:rPr>
          <w:rFonts w:ascii="Verdana" w:hAnsi="Verdana" w:cs="Arial"/>
          <w:bCs/>
          <w:sz w:val="20"/>
          <w:lang w:val="es-ES"/>
        </w:rPr>
      </w:pPr>
    </w:p>
    <w:p w14:paraId="76B0DE7D" w14:textId="77777777" w:rsidR="001A1334" w:rsidRPr="001A1334" w:rsidRDefault="001A1334" w:rsidP="00E914B3">
      <w:pPr>
        <w:spacing w:after="0" w:line="240" w:lineRule="auto"/>
        <w:jc w:val="both"/>
        <w:rPr>
          <w:rFonts w:ascii="Verdana" w:hAnsi="Verdana" w:cs="Arial"/>
          <w:bCs/>
          <w:sz w:val="20"/>
          <w:lang w:val="es-ES"/>
        </w:rPr>
      </w:pPr>
      <w:r w:rsidRPr="001A1334">
        <w:rPr>
          <w:rFonts w:ascii="Verdana" w:hAnsi="Verdana" w:cs="Arial"/>
          <w:bCs/>
          <w:sz w:val="20"/>
          <w:lang w:val="es-ES"/>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puede constatarse en el registro creado por el artículo 3 de la Ley 2020 de 2020.</w:t>
      </w:r>
    </w:p>
    <w:p w14:paraId="2657067B" w14:textId="127DB2B6" w:rsidR="001A1334" w:rsidRPr="001A1334" w:rsidRDefault="001A1334" w:rsidP="00E914B3">
      <w:pPr>
        <w:spacing w:after="0" w:line="240" w:lineRule="auto"/>
        <w:jc w:val="both"/>
        <w:rPr>
          <w:rFonts w:ascii="Verdana" w:hAnsi="Verdana" w:cs="Arial"/>
          <w:b/>
          <w:bCs/>
          <w:lang w:val="es-ES"/>
        </w:rPr>
      </w:pPr>
    </w:p>
    <w:p w14:paraId="7250F30F" w14:textId="77777777" w:rsidR="001A1334" w:rsidRPr="001A1334" w:rsidRDefault="001A1334" w:rsidP="00E914B3">
      <w:pPr>
        <w:spacing w:after="0" w:line="240" w:lineRule="auto"/>
        <w:jc w:val="both"/>
        <w:rPr>
          <w:rFonts w:ascii="Verdana" w:hAnsi="Verdana" w:cs="Arial"/>
          <w:b/>
          <w:bCs/>
          <w:lang w:val="es-ES"/>
        </w:rPr>
      </w:pPr>
      <w:r w:rsidRPr="001A1334">
        <w:rPr>
          <w:rFonts w:ascii="Verdana" w:hAnsi="Verdana" w:cs="Arial"/>
          <w:b/>
          <w:bCs/>
          <w:lang w:val="es-ES"/>
        </w:rPr>
        <w:t xml:space="preserve">OBRAS CIVILES INCONCLUSAS – Liquidación contractual – Alcance </w:t>
      </w:r>
    </w:p>
    <w:p w14:paraId="7A149718" w14:textId="3E7CF7D1" w:rsidR="001A1334" w:rsidRDefault="001A1334" w:rsidP="00E914B3">
      <w:pPr>
        <w:spacing w:after="0" w:line="240" w:lineRule="auto"/>
        <w:jc w:val="both"/>
        <w:rPr>
          <w:rFonts w:ascii="Verdana" w:hAnsi="Verdana" w:cs="Arial"/>
          <w:b/>
          <w:bCs/>
          <w:lang w:val="es-ES"/>
        </w:rPr>
      </w:pPr>
    </w:p>
    <w:p w14:paraId="10DC1CE7" w14:textId="594F4A68" w:rsidR="00E914B3" w:rsidRDefault="00E914B3" w:rsidP="00E914B3">
      <w:pPr>
        <w:spacing w:after="0" w:line="240" w:lineRule="auto"/>
        <w:jc w:val="both"/>
        <w:rPr>
          <w:rFonts w:ascii="Verdana" w:hAnsi="Verdana" w:cs="Arial"/>
          <w:bCs/>
          <w:sz w:val="20"/>
          <w:lang w:val="es-ES"/>
        </w:rPr>
      </w:pPr>
      <w:r w:rsidRPr="00E914B3">
        <w:rPr>
          <w:rFonts w:ascii="Verdana" w:hAnsi="Verdana" w:cs="Arial"/>
          <w:bCs/>
          <w:sz w:val="20"/>
          <w:lang w:val="es-ES"/>
        </w:rPr>
        <w:t xml:space="preserve">En efecto, la interpretación sistemática-finalística busca que prevalezca el sentido razonable de la disposición dentro del contexto del ordenamiento jurídico, tomando la finalidad que busca cumplir. Bajo esta perspectiva, el término de un año para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51E65E48" w14:textId="77777777" w:rsidR="00E914B3" w:rsidRPr="00E914B3" w:rsidRDefault="00E914B3" w:rsidP="00E914B3">
      <w:pPr>
        <w:spacing w:after="0" w:line="240" w:lineRule="auto"/>
        <w:jc w:val="both"/>
        <w:rPr>
          <w:rFonts w:ascii="Verdana" w:hAnsi="Verdana" w:cs="Arial"/>
          <w:bCs/>
          <w:sz w:val="20"/>
          <w:lang w:val="es-ES"/>
        </w:rPr>
      </w:pPr>
    </w:p>
    <w:p w14:paraId="5B3BED0F" w14:textId="674D9179" w:rsidR="001A1334" w:rsidRPr="00E914B3" w:rsidRDefault="00E914B3" w:rsidP="00E914B3">
      <w:pPr>
        <w:spacing w:after="0" w:line="240" w:lineRule="auto"/>
        <w:jc w:val="both"/>
        <w:rPr>
          <w:rFonts w:ascii="Verdana" w:hAnsi="Verdana" w:cs="Arial"/>
          <w:bCs/>
          <w:sz w:val="20"/>
          <w:lang w:val="es-ES"/>
        </w:rPr>
      </w:pPr>
      <w:r w:rsidRPr="00E914B3">
        <w:rPr>
          <w:rFonts w:ascii="Verdana" w:hAnsi="Verdana" w:cs="Arial"/>
          <w:bCs/>
          <w:sz w:val="20"/>
          <w:lang w:val="es-ES"/>
        </w:rPr>
        <w:t>En consecuencia, cuando el literal a) del artículo 2 de la Ley 2020 de 2020 se refiere al “</w:t>
      </w:r>
      <w:r w:rsidRPr="00E914B3">
        <w:rPr>
          <w:rFonts w:ascii="Verdana" w:hAnsi="Verdana" w:cs="Arial"/>
          <w:bCs/>
          <w:i/>
          <w:iCs/>
          <w:sz w:val="20"/>
          <w:lang w:val="es-ES"/>
        </w:rPr>
        <w:t>vencimiento del término de liquidación contractual”</w:t>
      </w:r>
      <w:r w:rsidRPr="00E914B3">
        <w:rPr>
          <w:rFonts w:ascii="Verdana" w:hAnsi="Verdana" w:cs="Arial"/>
          <w:bCs/>
          <w:sz w:val="20"/>
          <w:lang w:val="es-ES"/>
        </w:rPr>
        <w:t xml:space="preserve"> es necesario interpretar que incluye únicamente el término pactado para la liquidación, o el término de la liquidación bilateral o unilateral. De esta forma, si el contrato es liquidado de común acuerdo, la entidad podrá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w:t>
      </w:r>
      <w:r w:rsidRPr="00E914B3">
        <w:rPr>
          <w:rFonts w:ascii="Verdana" w:hAnsi="Verdana" w:cs="Arial"/>
          <w:bCs/>
          <w:sz w:val="20"/>
          <w:lang w:val="es-ES"/>
        </w:rPr>
        <w:lastRenderedPageBreak/>
        <w:t>inconclusa transcurrido un año a partir de la fecha en que debió realizarse la liquidación unilateral, sin que sea necesario que transcurra el término de caducidad de la acción contractual</w:t>
      </w:r>
    </w:p>
    <w:p w14:paraId="3AEE7828" w14:textId="77777777" w:rsidR="001A1334" w:rsidRPr="001A1334" w:rsidRDefault="001A1334" w:rsidP="00E914B3">
      <w:pPr>
        <w:spacing w:after="0" w:line="240" w:lineRule="auto"/>
        <w:jc w:val="both"/>
        <w:rPr>
          <w:rFonts w:ascii="Verdana" w:hAnsi="Verdana" w:cs="Arial"/>
          <w:b/>
          <w:bCs/>
          <w:lang w:val="es-ES"/>
        </w:rPr>
      </w:pPr>
    </w:p>
    <w:p w14:paraId="1DFF5877" w14:textId="52861DBF" w:rsidR="001A1334" w:rsidRPr="001A1334" w:rsidRDefault="001A1334" w:rsidP="00E914B3">
      <w:pPr>
        <w:spacing w:after="0" w:line="240" w:lineRule="auto"/>
        <w:jc w:val="both"/>
        <w:rPr>
          <w:rFonts w:ascii="Verdana" w:hAnsi="Verdana" w:cs="Arial"/>
          <w:b/>
          <w:lang w:val="es-ES" w:eastAsia="es-ES"/>
        </w:rPr>
      </w:pPr>
      <w:r w:rsidRPr="001A1334">
        <w:rPr>
          <w:rFonts w:ascii="Verdana" w:hAnsi="Verdana" w:cs="Arial"/>
          <w:b/>
          <w:bCs/>
          <w:lang w:val="es-ES"/>
        </w:rPr>
        <w:t xml:space="preserve">OBRAS CIVILES INCONCLUSAS </w:t>
      </w:r>
      <w:r w:rsidR="00AE631B" w:rsidRPr="00AE631B">
        <w:rPr>
          <w:rFonts w:ascii="Verdana" w:hAnsi="Verdana" w:cs="Arial"/>
          <w:b/>
          <w:bCs/>
        </w:rPr>
        <w:t>–</w:t>
      </w:r>
      <w:r w:rsidRPr="001A1334">
        <w:rPr>
          <w:rFonts w:ascii="Verdana" w:hAnsi="Verdana" w:cs="Arial"/>
          <w:b/>
          <w:bCs/>
          <w:lang w:val="es-ES"/>
        </w:rPr>
        <w:t xml:space="preserve"> Contrato – Suspensión – Término – Liquidación Contractual</w:t>
      </w:r>
    </w:p>
    <w:p w14:paraId="5ABE2CFA" w14:textId="77777777" w:rsidR="001A1334" w:rsidRPr="001A1334" w:rsidRDefault="001A1334" w:rsidP="00E914B3">
      <w:pPr>
        <w:spacing w:after="0" w:line="240" w:lineRule="auto"/>
        <w:rPr>
          <w:rFonts w:ascii="Verdana" w:eastAsia="Verdana" w:hAnsi="Verdana" w:cs="Verdana"/>
          <w:lang w:val="es-ES"/>
        </w:rPr>
      </w:pPr>
    </w:p>
    <w:p w14:paraId="514740E3" w14:textId="77777777" w:rsidR="00E914B3" w:rsidRPr="00E914B3" w:rsidRDefault="00E914B3" w:rsidP="00E914B3">
      <w:pPr>
        <w:spacing w:after="0" w:line="240" w:lineRule="auto"/>
        <w:jc w:val="both"/>
        <w:rPr>
          <w:rFonts w:ascii="Verdana" w:eastAsia="Verdana" w:hAnsi="Verdana" w:cs="Verdana"/>
          <w:sz w:val="20"/>
          <w:lang w:val="es-ES_tradnl"/>
        </w:rPr>
      </w:pPr>
      <w:r w:rsidRPr="00E914B3">
        <w:rPr>
          <w:rFonts w:ascii="Verdana" w:eastAsia="Verdana" w:hAnsi="Verdana" w:cs="Verdana"/>
          <w:sz w:val="20"/>
          <w:lang w:val="es-ES"/>
        </w:rPr>
        <w:t xml:space="preserve">Ahora bien, en el caso que el contrato esté suspendido, ello </w:t>
      </w:r>
      <w:r w:rsidRPr="00E914B3">
        <w:rPr>
          <w:rFonts w:ascii="Verdana" w:eastAsia="Verdana" w:hAnsi="Verdana" w:cs="Verdana"/>
          <w:sz w:val="20"/>
          <w:lang w:val="es-ES_tradnl"/>
        </w:rPr>
        <w:t>no implica su terminación, toda vez que dicho supuesto no se encuentra previsto dentro de las causales de extinción de las obligaciones contempladas en el artículo 1625 del Código Civil. Por consiguiente, la suspensión constituye únicamente una pausa temporal en la ejecución del contrato, sin que ello extinga las obligaciones asumidas por las partes ni elimine la posibilidad de exigir su cumplimiento o de adelantar las actuaciones administrativas correspondientes. En este sentido, se precisa que una cosa es la suspensión del contrato estatal y otra la liquidación.</w:t>
      </w:r>
    </w:p>
    <w:p w14:paraId="2EA1A5A6" w14:textId="39BE36C0" w:rsidR="00E914B3" w:rsidRPr="00E914B3" w:rsidRDefault="00E914B3" w:rsidP="00E914B3">
      <w:pPr>
        <w:spacing w:after="0" w:line="240" w:lineRule="auto"/>
        <w:jc w:val="both"/>
        <w:rPr>
          <w:rFonts w:ascii="Verdana" w:eastAsia="Verdana" w:hAnsi="Verdana" w:cs="Verdana"/>
          <w:sz w:val="20"/>
          <w:lang w:val="es-ES_tradnl"/>
        </w:rPr>
      </w:pPr>
      <w:r w:rsidRPr="00E914B3">
        <w:rPr>
          <w:rFonts w:ascii="Verdana" w:eastAsia="Verdana" w:hAnsi="Verdana" w:cs="Verdana"/>
          <w:sz w:val="20"/>
          <w:lang w:val="es-ES_tradnl"/>
        </w:rPr>
        <w:t xml:space="preserve"> </w:t>
      </w:r>
    </w:p>
    <w:p w14:paraId="0A5C8EC0" w14:textId="77777777" w:rsidR="00E914B3" w:rsidRPr="00E914B3" w:rsidRDefault="00E914B3" w:rsidP="00E914B3">
      <w:pPr>
        <w:spacing w:after="0" w:line="240" w:lineRule="auto"/>
        <w:jc w:val="both"/>
        <w:rPr>
          <w:rFonts w:ascii="Verdana" w:eastAsia="Verdana" w:hAnsi="Verdana" w:cs="Verdana"/>
          <w:sz w:val="20"/>
          <w:lang w:val="es-ES"/>
        </w:rPr>
      </w:pPr>
      <w:r w:rsidRPr="00E914B3">
        <w:rPr>
          <w:rFonts w:ascii="Verdana" w:eastAsia="Verdana" w:hAnsi="Verdana" w:cs="Verdana"/>
          <w:sz w:val="20"/>
          <w:lang w:val="es-ES"/>
        </w:rPr>
        <w:t xml:space="preserve">De tal modo, no es posible configurar como obra civil inconclusa un contrato que se encuentra suspendido, pues aún conserva vigencia, en el entendido de que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deberá tenerse en cuenta el término de un (1) año a partir de la liquidación contractual –Liquidación bilateral o unilateral-, como se expuso previamente. </w:t>
      </w:r>
    </w:p>
    <w:p w14:paraId="6627A01D" w14:textId="77777777" w:rsidR="001A1334" w:rsidRPr="00E914B3" w:rsidRDefault="001A1334" w:rsidP="00E914B3">
      <w:pPr>
        <w:spacing w:after="0" w:line="240" w:lineRule="auto"/>
        <w:jc w:val="both"/>
        <w:rPr>
          <w:rFonts w:ascii="Verdana" w:eastAsia="Verdana" w:hAnsi="Verdana" w:cs="Verdana"/>
          <w:lang w:val="es-ES"/>
        </w:rPr>
      </w:pPr>
    </w:p>
    <w:p w14:paraId="39FCFAA9" w14:textId="32BDC533" w:rsidR="001A1334" w:rsidRDefault="001A1334" w:rsidP="00F62ED8">
      <w:pPr>
        <w:spacing w:after="0"/>
        <w:rPr>
          <w:rFonts w:ascii="Verdana" w:eastAsia="Verdana" w:hAnsi="Verdana" w:cs="Verdana"/>
        </w:rPr>
      </w:pPr>
    </w:p>
    <w:p w14:paraId="3542FC30" w14:textId="78BBF6AA" w:rsidR="00E914B3" w:rsidRDefault="00E914B3" w:rsidP="00F62ED8">
      <w:pPr>
        <w:spacing w:after="0"/>
        <w:rPr>
          <w:rFonts w:ascii="Verdana" w:eastAsia="Verdana" w:hAnsi="Verdana" w:cs="Verdana"/>
        </w:rPr>
      </w:pPr>
    </w:p>
    <w:p w14:paraId="5DF2DFD3" w14:textId="24C40C81" w:rsidR="00E914B3" w:rsidRDefault="00E914B3" w:rsidP="00F62ED8">
      <w:pPr>
        <w:spacing w:after="0"/>
        <w:rPr>
          <w:rFonts w:ascii="Verdana" w:eastAsia="Verdana" w:hAnsi="Verdana" w:cs="Verdana"/>
        </w:rPr>
      </w:pPr>
    </w:p>
    <w:p w14:paraId="102085C3" w14:textId="3E94B7EA" w:rsidR="00E914B3" w:rsidRDefault="00E914B3" w:rsidP="00F62ED8">
      <w:pPr>
        <w:spacing w:after="0"/>
        <w:rPr>
          <w:rFonts w:ascii="Verdana" w:eastAsia="Verdana" w:hAnsi="Verdana" w:cs="Verdana"/>
        </w:rPr>
      </w:pPr>
    </w:p>
    <w:p w14:paraId="6A605429" w14:textId="611B676F" w:rsidR="00E914B3" w:rsidRDefault="00E914B3" w:rsidP="00F62ED8">
      <w:pPr>
        <w:spacing w:after="0"/>
        <w:rPr>
          <w:rFonts w:ascii="Verdana" w:eastAsia="Verdana" w:hAnsi="Verdana" w:cs="Verdana"/>
        </w:rPr>
      </w:pPr>
    </w:p>
    <w:p w14:paraId="735BFE63" w14:textId="072D50DF" w:rsidR="00E914B3" w:rsidRDefault="00E914B3" w:rsidP="00F62ED8">
      <w:pPr>
        <w:spacing w:after="0"/>
        <w:rPr>
          <w:rFonts w:ascii="Verdana" w:eastAsia="Verdana" w:hAnsi="Verdana" w:cs="Verdana"/>
        </w:rPr>
      </w:pPr>
    </w:p>
    <w:p w14:paraId="70843F0B" w14:textId="44F9B3E5" w:rsidR="00E914B3" w:rsidRDefault="00E914B3" w:rsidP="00F62ED8">
      <w:pPr>
        <w:spacing w:after="0"/>
        <w:rPr>
          <w:rFonts w:ascii="Verdana" w:eastAsia="Verdana" w:hAnsi="Verdana" w:cs="Verdana"/>
        </w:rPr>
      </w:pPr>
    </w:p>
    <w:p w14:paraId="3A77443D" w14:textId="24F6B361" w:rsidR="00E914B3" w:rsidRDefault="00E914B3" w:rsidP="00F62ED8">
      <w:pPr>
        <w:spacing w:after="0"/>
        <w:rPr>
          <w:rFonts w:ascii="Verdana" w:eastAsia="Verdana" w:hAnsi="Verdana" w:cs="Verdana"/>
        </w:rPr>
      </w:pPr>
    </w:p>
    <w:p w14:paraId="274C4DE8" w14:textId="5B8EF0B7" w:rsidR="00E914B3" w:rsidRDefault="00E914B3" w:rsidP="00F62ED8">
      <w:pPr>
        <w:spacing w:after="0"/>
        <w:rPr>
          <w:rFonts w:ascii="Verdana" w:eastAsia="Verdana" w:hAnsi="Verdana" w:cs="Verdana"/>
        </w:rPr>
      </w:pPr>
    </w:p>
    <w:p w14:paraId="15B5830F" w14:textId="632420CD" w:rsidR="00E914B3" w:rsidRDefault="00E914B3" w:rsidP="00F62ED8">
      <w:pPr>
        <w:spacing w:after="0"/>
        <w:rPr>
          <w:rFonts w:ascii="Verdana" w:eastAsia="Verdana" w:hAnsi="Verdana" w:cs="Verdana"/>
        </w:rPr>
      </w:pPr>
    </w:p>
    <w:p w14:paraId="7C0B433E" w14:textId="476EAE61" w:rsidR="00E914B3" w:rsidRDefault="00E914B3" w:rsidP="00F62ED8">
      <w:pPr>
        <w:spacing w:after="0"/>
        <w:rPr>
          <w:rFonts w:ascii="Verdana" w:eastAsia="Verdana" w:hAnsi="Verdana" w:cs="Verdana"/>
        </w:rPr>
      </w:pPr>
    </w:p>
    <w:p w14:paraId="7C24921B" w14:textId="053E01E2" w:rsidR="00E914B3" w:rsidRDefault="00E914B3" w:rsidP="00F62ED8">
      <w:pPr>
        <w:spacing w:after="0"/>
        <w:rPr>
          <w:rFonts w:ascii="Verdana" w:eastAsia="Verdana" w:hAnsi="Verdana" w:cs="Verdana"/>
        </w:rPr>
      </w:pPr>
    </w:p>
    <w:p w14:paraId="36DAF22D" w14:textId="62E0EEB8" w:rsidR="00E914B3" w:rsidRDefault="00E914B3" w:rsidP="00F62ED8">
      <w:pPr>
        <w:spacing w:after="0"/>
        <w:rPr>
          <w:rFonts w:ascii="Verdana" w:eastAsia="Verdana" w:hAnsi="Verdana" w:cs="Verdana"/>
        </w:rPr>
      </w:pPr>
    </w:p>
    <w:p w14:paraId="6A32E647" w14:textId="77777777" w:rsidR="00E914B3" w:rsidRDefault="00E914B3" w:rsidP="00F62ED8">
      <w:pPr>
        <w:spacing w:after="0"/>
        <w:rPr>
          <w:rFonts w:ascii="Verdana" w:eastAsia="Verdana" w:hAnsi="Verdana" w:cs="Verdana"/>
        </w:rPr>
      </w:pPr>
    </w:p>
    <w:p w14:paraId="6E3D25F7" w14:textId="11D52BC6" w:rsidR="00F62ED8" w:rsidRDefault="001A1334" w:rsidP="00F62ED8">
      <w:pPr>
        <w:spacing w:after="0"/>
        <w:rPr>
          <w:rFonts w:ascii="Verdana" w:hAnsi="Verdana"/>
        </w:rPr>
      </w:pPr>
      <w:r w:rsidRPr="001A1334">
        <w:rPr>
          <w:rFonts w:ascii="Verdana" w:hAnsi="Verdana"/>
          <w:noProof/>
          <w:lang w:val="en-US"/>
        </w:rPr>
        <w:lastRenderedPageBreak/>
        <w:drawing>
          <wp:anchor distT="0" distB="0" distL="114300" distR="114300" simplePos="0" relativeHeight="251658240" behindDoc="0" locked="0" layoutInCell="1" allowOverlap="1" wp14:anchorId="02391394" wp14:editId="1A85E5C2">
            <wp:simplePos x="0" y="0"/>
            <wp:positionH relativeFrom="margin">
              <wp:align>right</wp:align>
            </wp:positionH>
            <wp:positionV relativeFrom="paragraph">
              <wp:posOffset>182245</wp:posOffset>
            </wp:positionV>
            <wp:extent cx="2637790" cy="72834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7790" cy="728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0DAE">
        <w:rPr>
          <w:rFonts w:ascii="Verdana" w:eastAsia="Verdana" w:hAnsi="Verdana" w:cs="Verdana"/>
        </w:rPr>
        <w:t>Bogotá D.C., 12 de marzo de 2026</w:t>
      </w:r>
      <w:r w:rsidR="00F62ED8">
        <w:tab/>
      </w:r>
      <w:r w:rsidR="00F62ED8">
        <w:br/>
      </w:r>
    </w:p>
    <w:p w14:paraId="3AE66067" w14:textId="72622F9C" w:rsidR="00F62ED8" w:rsidRPr="002B4BE9" w:rsidRDefault="00F62ED8" w:rsidP="00F62ED8">
      <w:pPr>
        <w:spacing w:after="0" w:line="240" w:lineRule="auto"/>
        <w:rPr>
          <w:rFonts w:ascii="Verdana" w:hAnsi="Verdana"/>
        </w:rPr>
      </w:pPr>
    </w:p>
    <w:p w14:paraId="330D2A02" w14:textId="77777777" w:rsidR="00F62ED8" w:rsidRPr="0061345A" w:rsidRDefault="00F62ED8" w:rsidP="00F62ED8">
      <w:pPr>
        <w:spacing w:after="0" w:line="240" w:lineRule="auto"/>
        <w:rPr>
          <w:rFonts w:ascii="Verdana" w:eastAsia="Calibri" w:hAnsi="Verdana" w:cs="Times New Roman"/>
          <w:lang w:val="es-MX"/>
        </w:rPr>
      </w:pPr>
      <w:r w:rsidRPr="0061345A">
        <w:rPr>
          <w:rFonts w:ascii="Verdana" w:eastAsia="Calibri" w:hAnsi="Verdana" w:cs="Times New Roman"/>
          <w:lang w:val="es-MX"/>
        </w:rPr>
        <w:t>Señor</w:t>
      </w:r>
    </w:p>
    <w:p w14:paraId="1B11595C" w14:textId="77777777" w:rsidR="00F62ED8" w:rsidRPr="0061345A" w:rsidRDefault="00F62ED8" w:rsidP="00F62ED8">
      <w:pPr>
        <w:spacing w:after="0" w:line="240" w:lineRule="auto"/>
        <w:rPr>
          <w:rFonts w:ascii="Verdana" w:eastAsia="Calibri" w:hAnsi="Verdana" w:cs="Times New Roman"/>
          <w:b/>
        </w:rPr>
      </w:pPr>
      <w:r w:rsidRPr="0061345A">
        <w:rPr>
          <w:rFonts w:ascii="Verdana" w:eastAsia="Calibri" w:hAnsi="Verdana" w:cs="Times New Roman"/>
          <w:b/>
        </w:rPr>
        <w:t>Alexander López Quiroz</w:t>
      </w:r>
    </w:p>
    <w:p w14:paraId="039DCE9B" w14:textId="77777777" w:rsidR="00F62ED8" w:rsidRPr="0061345A" w:rsidRDefault="00F62ED8" w:rsidP="00F62ED8">
      <w:pPr>
        <w:spacing w:after="0" w:line="240" w:lineRule="auto"/>
        <w:rPr>
          <w:rFonts w:ascii="Verdana" w:hAnsi="Verdana"/>
        </w:rPr>
      </w:pPr>
      <w:hyperlink r:id="rId12" w:history="1">
        <w:r w:rsidRPr="00873236">
          <w:rPr>
            <w:rStyle w:val="Hipervnculo"/>
            <w:rFonts w:ascii="Verdana" w:hAnsi="Verdana"/>
          </w:rPr>
          <w:t>alexanderlopezquiroz@yahoo.es</w:t>
        </w:r>
      </w:hyperlink>
      <w:r>
        <w:rPr>
          <w:rFonts w:ascii="Verdana" w:hAnsi="Verdana"/>
        </w:rPr>
        <w:t xml:space="preserve"> </w:t>
      </w:r>
    </w:p>
    <w:p w14:paraId="580BBBEA" w14:textId="77777777" w:rsidR="00F62ED8" w:rsidRPr="0061345A" w:rsidRDefault="00F62ED8" w:rsidP="00F62ED8">
      <w:pPr>
        <w:spacing w:after="0" w:line="240" w:lineRule="auto"/>
        <w:rPr>
          <w:rFonts w:ascii="Verdana" w:eastAsia="Calibri" w:hAnsi="Verdana" w:cs="Times New Roman"/>
          <w:bCs/>
        </w:rPr>
      </w:pPr>
      <w:r w:rsidRPr="0061345A">
        <w:rPr>
          <w:rFonts w:ascii="Verdana" w:eastAsia="Calibri" w:hAnsi="Verdana" w:cs="Times New Roman"/>
          <w:bCs/>
        </w:rPr>
        <w:t>Bogotá D.C.</w:t>
      </w:r>
    </w:p>
    <w:p w14:paraId="5534F545" w14:textId="77777777" w:rsidR="00F62ED8" w:rsidRPr="002B4BE9" w:rsidRDefault="00F62ED8" w:rsidP="00F62ED8">
      <w:pPr>
        <w:spacing w:after="0" w:line="240" w:lineRule="auto"/>
        <w:rPr>
          <w:rFonts w:ascii="Verdana" w:eastAsia="Calibri" w:hAnsi="Verdana" w:cs="Times New Roman"/>
        </w:rPr>
      </w:pPr>
    </w:p>
    <w:p w14:paraId="6BB23C2B" w14:textId="77777777" w:rsidR="00F62ED8" w:rsidRPr="002B4BE9" w:rsidRDefault="00F62ED8" w:rsidP="00F62ED8">
      <w:pPr>
        <w:spacing w:after="0" w:line="240" w:lineRule="auto"/>
        <w:rPr>
          <w:rFonts w:ascii="Verdana" w:eastAsia="Calibri" w:hAnsi="Verdana" w:cs="Times New Roman"/>
        </w:rPr>
      </w:pPr>
    </w:p>
    <w:p w14:paraId="2FBB313D" w14:textId="77777777" w:rsidR="00F62ED8" w:rsidRPr="002B4BE9" w:rsidRDefault="00F62ED8" w:rsidP="00F62ED8">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C–161 de 2026</w:t>
      </w:r>
    </w:p>
    <w:p w14:paraId="3B5CAF20" w14:textId="77777777" w:rsidR="00F62ED8" w:rsidRPr="002B4BE9" w:rsidRDefault="00F62ED8" w:rsidP="00F62ED8">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62ED8" w:rsidRPr="002B4BE9" w14:paraId="2B0514B3" w14:textId="77777777" w:rsidTr="00556212">
        <w:trPr>
          <w:trHeight w:val="645"/>
        </w:trPr>
        <w:tc>
          <w:tcPr>
            <w:tcW w:w="2685" w:type="dxa"/>
            <w:hideMark/>
          </w:tcPr>
          <w:p w14:paraId="6DB740C7" w14:textId="77777777" w:rsidR="00F62ED8" w:rsidRPr="002B4BE9" w:rsidRDefault="00F62ED8" w:rsidP="00556212">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2A3D108C" w14:textId="2845BF6E" w:rsidR="00F62ED8" w:rsidRPr="00A0389A" w:rsidRDefault="00F62ED8" w:rsidP="00556212">
            <w:pPr>
              <w:spacing w:line="276" w:lineRule="auto"/>
              <w:jc w:val="both"/>
              <w:rPr>
                <w:rFonts w:ascii="Verdana" w:hAnsi="Verdana" w:cs="Arial"/>
                <w:lang w:val="es-ES" w:eastAsia="es-ES"/>
              </w:rPr>
            </w:pPr>
            <w:r w:rsidRPr="00E46C82">
              <w:rPr>
                <w:rFonts w:ascii="Verdana" w:hAnsi="Verdana" w:cs="Arial"/>
                <w:bCs/>
                <w:lang w:val="es-ES"/>
              </w:rPr>
              <w:t>REGISTRO NACIONAL DE OBRAS CIVILES INCONCLUSAS – Concepto – Ley 2020 de 2020 / OBRAS CIVILES INCONCLUSAS</w:t>
            </w:r>
            <w:r>
              <w:rPr>
                <w:rFonts w:ascii="Verdana" w:hAnsi="Verdana" w:cs="Arial"/>
                <w:bCs/>
                <w:lang w:val="es-ES"/>
              </w:rPr>
              <w:t xml:space="preserve"> </w:t>
            </w:r>
            <w:r w:rsidRPr="00E46C82">
              <w:rPr>
                <w:rFonts w:ascii="Verdana" w:hAnsi="Verdana" w:cs="Arial"/>
                <w:bCs/>
                <w:lang w:val="es-ES"/>
              </w:rPr>
              <w:t>–</w:t>
            </w:r>
            <w:r>
              <w:rPr>
                <w:rFonts w:ascii="Verdana" w:hAnsi="Verdana" w:cs="Arial"/>
                <w:bCs/>
                <w:lang w:val="es-ES"/>
              </w:rPr>
              <w:t xml:space="preserve"> Liquidación contractual </w:t>
            </w:r>
            <w:r w:rsidRPr="00E46C82">
              <w:rPr>
                <w:rFonts w:ascii="Verdana" w:hAnsi="Verdana" w:cs="Arial"/>
                <w:bCs/>
                <w:lang w:val="es-ES"/>
              </w:rPr>
              <w:t>–</w:t>
            </w:r>
            <w:r>
              <w:rPr>
                <w:rFonts w:ascii="Verdana" w:hAnsi="Verdana" w:cs="Arial"/>
                <w:bCs/>
                <w:lang w:val="es-ES"/>
              </w:rPr>
              <w:t xml:space="preserve"> Alcance / OBRAS CIVILES INCONCLUSAS - Contrato – Suspensión – Término – Liquidación Contractual </w:t>
            </w:r>
          </w:p>
          <w:p w14:paraId="03B0A740" w14:textId="77777777" w:rsidR="00F62ED8" w:rsidRPr="002B4BE9" w:rsidRDefault="00F62ED8" w:rsidP="00556212">
            <w:pPr>
              <w:snapToGrid w:val="0"/>
              <w:spacing w:line="276" w:lineRule="auto"/>
              <w:jc w:val="both"/>
              <w:rPr>
                <w:rFonts w:ascii="Verdana" w:hAnsi="Verdana" w:cs="Arial"/>
                <w:bCs/>
                <w:lang w:val="es-ES" w:eastAsia="es-ES"/>
              </w:rPr>
            </w:pPr>
          </w:p>
        </w:tc>
        <w:tc>
          <w:tcPr>
            <w:tcW w:w="6237" w:type="dxa"/>
          </w:tcPr>
          <w:p w14:paraId="2B0CF44E" w14:textId="77777777" w:rsidR="00F62ED8" w:rsidRPr="002B4BE9" w:rsidRDefault="00F62ED8" w:rsidP="00556212">
            <w:pPr>
              <w:rPr>
                <w:rFonts w:ascii="Verdana" w:hAnsi="Verdana"/>
                <w:lang w:val="es-ES"/>
              </w:rPr>
            </w:pPr>
          </w:p>
        </w:tc>
      </w:tr>
      <w:tr w:rsidR="00F62ED8" w:rsidRPr="002B4BE9" w14:paraId="075DD2CF" w14:textId="77777777" w:rsidTr="00556212">
        <w:tc>
          <w:tcPr>
            <w:tcW w:w="2685" w:type="dxa"/>
          </w:tcPr>
          <w:p w14:paraId="7CF7F1FD" w14:textId="77777777" w:rsidR="00F62ED8" w:rsidRPr="002B4BE9" w:rsidRDefault="00F62ED8" w:rsidP="00556212">
            <w:pPr>
              <w:rPr>
                <w:rFonts w:ascii="Verdana" w:hAnsi="Verdana"/>
                <w:b/>
                <w:bCs/>
                <w:lang w:val="es-ES_tradnl"/>
              </w:rPr>
            </w:pPr>
          </w:p>
          <w:p w14:paraId="4F0B6461" w14:textId="77777777" w:rsidR="00F62ED8" w:rsidRPr="00995618" w:rsidRDefault="00F62ED8" w:rsidP="00556212">
            <w:pPr>
              <w:rPr>
                <w:rFonts w:ascii="Verdana" w:hAnsi="Verdana"/>
                <w:b/>
                <w:bCs/>
                <w:lang w:val="es-ES_tradnl"/>
              </w:rPr>
            </w:pPr>
            <w:r w:rsidRPr="002B4BE9">
              <w:rPr>
                <w:rFonts w:ascii="Verdana" w:hAnsi="Verdana"/>
                <w:b/>
                <w:bCs/>
                <w:lang w:val="es-ES_tradnl"/>
              </w:rPr>
              <w:t xml:space="preserve">Radicación:               </w:t>
            </w:r>
          </w:p>
        </w:tc>
        <w:tc>
          <w:tcPr>
            <w:tcW w:w="6241" w:type="dxa"/>
          </w:tcPr>
          <w:p w14:paraId="0316C59E" w14:textId="77777777" w:rsidR="00F62ED8" w:rsidRPr="002B4BE9" w:rsidRDefault="00F62ED8" w:rsidP="00556212">
            <w:pPr>
              <w:spacing w:line="276" w:lineRule="auto"/>
              <w:jc w:val="both"/>
              <w:rPr>
                <w:rFonts w:ascii="Verdana" w:hAnsi="Verdana"/>
                <w:lang w:val="es-ES_tradnl"/>
              </w:rPr>
            </w:pPr>
          </w:p>
          <w:p w14:paraId="1BA7F2DA" w14:textId="77777777" w:rsidR="00F62ED8" w:rsidRPr="002B4BE9" w:rsidRDefault="00F62ED8" w:rsidP="00556212">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560663">
              <w:rPr>
                <w:rFonts w:ascii="Verdana" w:hAnsi="Verdana"/>
              </w:rPr>
              <w:t>1_2026_02_05_001434</w:t>
            </w:r>
            <w:r>
              <w:rPr>
                <w:rFonts w:ascii="Verdana" w:hAnsi="Verdana"/>
              </w:rPr>
              <w:t xml:space="preserve">, </w:t>
            </w:r>
            <w:r w:rsidRPr="00560663">
              <w:rPr>
                <w:rFonts w:ascii="Verdana" w:hAnsi="Verdana"/>
              </w:rPr>
              <w:t>1_2026_02_05_001467</w:t>
            </w:r>
            <w:r>
              <w:rPr>
                <w:rFonts w:ascii="Verdana" w:hAnsi="Verdana"/>
              </w:rPr>
              <w:t xml:space="preserve">, </w:t>
            </w:r>
            <w:r w:rsidRPr="00560663">
              <w:rPr>
                <w:rFonts w:ascii="Verdana" w:hAnsi="Verdana"/>
              </w:rPr>
              <w:t>1_2026_02_06_001492</w:t>
            </w:r>
            <w:r>
              <w:rPr>
                <w:rFonts w:ascii="Verdana" w:hAnsi="Verdana"/>
              </w:rPr>
              <w:t xml:space="preserve"> y </w:t>
            </w:r>
            <w:r w:rsidRPr="00560663">
              <w:rPr>
                <w:rFonts w:ascii="Verdana" w:hAnsi="Verdana"/>
              </w:rPr>
              <w:t>1_2026_02_06_001494</w:t>
            </w:r>
            <w:r>
              <w:rPr>
                <w:rFonts w:ascii="Verdana" w:hAnsi="Verdana"/>
              </w:rPr>
              <w:t xml:space="preserve"> (acumulados)</w:t>
            </w:r>
          </w:p>
          <w:p w14:paraId="151C4E5F" w14:textId="77777777" w:rsidR="00F62ED8" w:rsidRPr="002B4BE9" w:rsidRDefault="00F62ED8" w:rsidP="00556212">
            <w:pPr>
              <w:spacing w:line="276" w:lineRule="auto"/>
              <w:jc w:val="both"/>
              <w:rPr>
                <w:rFonts w:ascii="Verdana" w:hAnsi="Verdana"/>
              </w:rPr>
            </w:pPr>
          </w:p>
          <w:p w14:paraId="79F74D54" w14:textId="77777777" w:rsidR="00F62ED8" w:rsidRPr="002B4BE9" w:rsidRDefault="00F62ED8" w:rsidP="00556212">
            <w:pPr>
              <w:spacing w:line="276" w:lineRule="auto"/>
              <w:jc w:val="both"/>
              <w:rPr>
                <w:rFonts w:ascii="Verdana" w:hAnsi="Verdana"/>
              </w:rPr>
            </w:pPr>
          </w:p>
        </w:tc>
        <w:tc>
          <w:tcPr>
            <w:tcW w:w="6237" w:type="dxa"/>
          </w:tcPr>
          <w:p w14:paraId="1F5E7FE9" w14:textId="77777777" w:rsidR="00F62ED8" w:rsidRPr="002B4BE9" w:rsidRDefault="00F62ED8" w:rsidP="00556212">
            <w:pPr>
              <w:rPr>
                <w:rFonts w:ascii="Verdana" w:hAnsi="Verdana"/>
              </w:rPr>
            </w:pPr>
          </w:p>
        </w:tc>
      </w:tr>
    </w:tbl>
    <w:p w14:paraId="356CF56A" w14:textId="77777777" w:rsidR="00F62ED8" w:rsidRPr="009037F6" w:rsidRDefault="00F62ED8" w:rsidP="00F62ED8">
      <w:pPr>
        <w:spacing w:after="0" w:line="256" w:lineRule="auto"/>
        <w:rPr>
          <w:rFonts w:ascii="Verdana" w:eastAsia="Calibri" w:hAnsi="Verdana" w:cs="Times New Roman"/>
          <w:lang w:val="es-ES"/>
        </w:rPr>
      </w:pPr>
      <w:r>
        <w:rPr>
          <w:rFonts w:ascii="Verdana" w:eastAsia="Calibri" w:hAnsi="Verdana" w:cs="Times New Roman"/>
          <w:lang w:val="es-ES"/>
        </w:rPr>
        <w:t>Estimada Señora Camila</w:t>
      </w:r>
      <w:r w:rsidRPr="009037F6">
        <w:rPr>
          <w:rFonts w:ascii="Verdana" w:eastAsia="Calibri" w:hAnsi="Verdana" w:cs="Times New Roman"/>
          <w:lang w:val="es-ES"/>
        </w:rPr>
        <w:t xml:space="preserve">: </w:t>
      </w:r>
    </w:p>
    <w:p w14:paraId="300FAF69" w14:textId="77777777" w:rsidR="00F62ED8" w:rsidRPr="009037F6" w:rsidRDefault="00F62ED8" w:rsidP="00F62ED8">
      <w:pPr>
        <w:spacing w:after="0" w:line="276" w:lineRule="auto"/>
        <w:rPr>
          <w:rFonts w:ascii="Verdana" w:eastAsia="Calibri" w:hAnsi="Verdana" w:cs="Times New Roman"/>
          <w:lang w:val="es-ES"/>
        </w:rPr>
      </w:pPr>
    </w:p>
    <w:p w14:paraId="64C9290E" w14:textId="77777777" w:rsidR="00F62ED8" w:rsidRDefault="00F62ED8" w:rsidP="00F62ED8">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las solicitudes de consulta del 5 y 6 de febrero de 2026, en la cual manifiesta:</w:t>
      </w:r>
    </w:p>
    <w:p w14:paraId="1438FD18" w14:textId="77777777" w:rsidR="00F62ED8" w:rsidRDefault="00F62ED8" w:rsidP="00F62ED8">
      <w:pPr>
        <w:spacing w:after="0" w:line="276" w:lineRule="auto"/>
        <w:ind w:left="709" w:right="709"/>
        <w:jc w:val="both"/>
        <w:rPr>
          <w:rFonts w:ascii="Verdana" w:eastAsia="Calibri" w:hAnsi="Verdana" w:cs="Times New Roman"/>
          <w:bCs/>
          <w:lang w:val="es-ES" w:bidi="es-ES"/>
        </w:rPr>
      </w:pPr>
    </w:p>
    <w:p w14:paraId="6952309F" w14:textId="77777777" w:rsidR="00F62ED8" w:rsidRPr="00F62ED8" w:rsidRDefault="00F62ED8" w:rsidP="00F62ED8">
      <w:pPr>
        <w:spacing w:after="0" w:line="240" w:lineRule="auto"/>
        <w:ind w:left="709" w:right="709"/>
        <w:jc w:val="both"/>
        <w:rPr>
          <w:rFonts w:ascii="Verdana" w:eastAsia="Calibri" w:hAnsi="Verdana" w:cs="Times New Roman"/>
          <w:bCs/>
          <w:i/>
          <w:iCs/>
          <w:sz w:val="20"/>
          <w:szCs w:val="20"/>
          <w:lang w:bidi="es-ES"/>
        </w:rPr>
      </w:pPr>
      <w:r w:rsidRPr="00560663">
        <w:rPr>
          <w:rFonts w:ascii="Verdana" w:eastAsia="Calibri" w:hAnsi="Verdana" w:cs="Times New Roman"/>
          <w:bCs/>
          <w:lang w:bidi="es-ES"/>
        </w:rPr>
        <w:t xml:space="preserve"> </w:t>
      </w:r>
      <w:r w:rsidRPr="00560663">
        <w:rPr>
          <w:rFonts w:ascii="Verdana" w:eastAsia="Calibri" w:hAnsi="Verdana" w:cs="Times New Roman"/>
          <w:bCs/>
          <w:i/>
          <w:iCs/>
          <w:sz w:val="20"/>
          <w:szCs w:val="20"/>
          <w:lang w:bidi="es-ES"/>
        </w:rPr>
        <w:t xml:space="preserve">“la ley 2020/20, como obra civil inconclusa así: Construcción, mantenimiento, instalación ... sobre bienes inmuebles, cualquiera que sea la modalidad de ejecución y pago, que un (1) año después de vencido el término de liquidación contractual, no haya concluido de manera satisfactoria El plazo que habla es de 4 meses, después de vencido el plazo del contrato? Si el contrato está suspendido, como se contabiliza este </w:t>
      </w:r>
      <w:r w:rsidRPr="00560663">
        <w:rPr>
          <w:rFonts w:ascii="Verdana" w:eastAsia="Calibri" w:hAnsi="Verdana" w:cs="Times New Roman"/>
          <w:bCs/>
          <w:i/>
          <w:iCs/>
          <w:sz w:val="20"/>
          <w:szCs w:val="20"/>
          <w:lang w:bidi="es-ES"/>
        </w:rPr>
        <w:lastRenderedPageBreak/>
        <w:t xml:space="preserve">plazo? La pérdida de competencia presupuestal, se cuenta como condición de esta?” </w:t>
      </w:r>
      <w:r w:rsidRPr="00F62ED8">
        <w:rPr>
          <w:rFonts w:ascii="Verdana" w:eastAsia="Calibri" w:hAnsi="Verdana" w:cs="Times New Roman"/>
          <w:bCs/>
          <w:i/>
          <w:iCs/>
          <w:sz w:val="20"/>
          <w:szCs w:val="20"/>
          <w:lang w:bidi="es-ES"/>
        </w:rPr>
        <w:t>(sic)</w:t>
      </w:r>
    </w:p>
    <w:p w14:paraId="112038BA" w14:textId="77777777" w:rsidR="00F62ED8" w:rsidRPr="00560663" w:rsidRDefault="00F62ED8" w:rsidP="00F62ED8">
      <w:pPr>
        <w:spacing w:after="0" w:line="240" w:lineRule="auto"/>
        <w:ind w:left="709" w:right="709"/>
        <w:jc w:val="both"/>
        <w:rPr>
          <w:rFonts w:ascii="Verdana" w:eastAsia="Calibri" w:hAnsi="Verdana" w:cs="Times New Roman"/>
          <w:bCs/>
          <w:sz w:val="20"/>
          <w:szCs w:val="20"/>
          <w:lang w:bidi="es-ES"/>
        </w:rPr>
      </w:pPr>
    </w:p>
    <w:p w14:paraId="1C2CFFCE" w14:textId="77777777" w:rsidR="00F62ED8" w:rsidRPr="009037F6" w:rsidRDefault="00F62ED8" w:rsidP="00F62ED8">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55E3936" w14:textId="77777777" w:rsidR="00F62ED8" w:rsidRPr="009037F6" w:rsidRDefault="00F62ED8" w:rsidP="00F62ED8">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0AC58903" w14:textId="77777777" w:rsidR="00F62ED8" w:rsidRPr="009037F6" w:rsidRDefault="00F62ED8" w:rsidP="00F62ED8">
      <w:pPr>
        <w:spacing w:after="0" w:line="276" w:lineRule="auto"/>
        <w:rPr>
          <w:rFonts w:ascii="Verdana" w:eastAsia="Calibri" w:hAnsi="Verdana" w:cs="Times New Roman"/>
          <w:lang w:val="es-ES"/>
        </w:rPr>
      </w:pPr>
    </w:p>
    <w:p w14:paraId="5725FB00" w14:textId="77777777" w:rsidR="00F62ED8" w:rsidRPr="009037F6" w:rsidRDefault="00F62ED8" w:rsidP="00F62ED8">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671B10B4" w14:textId="77777777" w:rsidR="00F62ED8" w:rsidRDefault="00F62ED8" w:rsidP="00F62ED8">
      <w:pPr>
        <w:tabs>
          <w:tab w:val="left" w:pos="0"/>
          <w:tab w:val="left" w:pos="284"/>
        </w:tabs>
        <w:spacing w:after="0" w:line="276" w:lineRule="auto"/>
        <w:jc w:val="both"/>
        <w:rPr>
          <w:rFonts w:ascii="Verdana" w:eastAsia="Calibri" w:hAnsi="Verdana" w:cs="Arial"/>
          <w:b/>
          <w:color w:val="000000" w:themeColor="text1"/>
          <w:lang w:val="es-ES"/>
        </w:rPr>
      </w:pPr>
    </w:p>
    <w:p w14:paraId="145CC433" w14:textId="77777777" w:rsidR="00F62ED8" w:rsidRPr="00E46C82" w:rsidRDefault="00F62ED8" w:rsidP="00F62ED8">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acuerdo con el contenido de su solicitud, esta Agencia resolverá</w:t>
      </w:r>
      <w:r>
        <w:rPr>
          <w:rFonts w:ascii="Verdana" w:eastAsia="Calibri" w:hAnsi="Verdana" w:cs="Arial"/>
          <w:color w:val="000000" w:themeColor="text1"/>
          <w:lang w:val="es-ES" w:eastAsia="es-ES"/>
        </w:rPr>
        <w:t xml:space="preserve"> el siguiente problema jurídico</w:t>
      </w:r>
      <w:r w:rsidRPr="00E46C82">
        <w:rPr>
          <w:rFonts w:ascii="Verdana" w:eastAsia="Calibri" w:hAnsi="Verdana" w:cs="Arial"/>
          <w:color w:val="000000" w:themeColor="text1"/>
          <w:lang w:val="es-ES" w:eastAsia="es-ES"/>
        </w:rPr>
        <w:t xml:space="preserve">: </w:t>
      </w:r>
      <w:r w:rsidRPr="0071269D">
        <w:rPr>
          <w:rFonts w:ascii="Verdana" w:eastAsia="Calibri" w:hAnsi="Verdana" w:cs="Arial"/>
          <w:color w:val="000000" w:themeColor="text1"/>
          <w:lang w:val="es-ES" w:eastAsia="es-ES"/>
        </w:rPr>
        <w:t xml:space="preserve">¿Cómo debe interpretarse el cómputo del plazo de un </w:t>
      </w:r>
      <w:r>
        <w:rPr>
          <w:rFonts w:ascii="Verdana" w:eastAsia="Calibri" w:hAnsi="Verdana" w:cs="Arial"/>
          <w:color w:val="000000" w:themeColor="text1"/>
          <w:lang w:val="es-ES" w:eastAsia="es-ES"/>
        </w:rPr>
        <w:t>(1) año previsto en la Ley 2020 de 20</w:t>
      </w:r>
      <w:r w:rsidRPr="0071269D">
        <w:rPr>
          <w:rFonts w:ascii="Verdana" w:eastAsia="Calibri" w:hAnsi="Verdana" w:cs="Arial"/>
          <w:color w:val="000000" w:themeColor="text1"/>
          <w:lang w:val="es-ES" w:eastAsia="es-ES"/>
        </w:rPr>
        <w:t>20 para considerar una obra civil inconclusa, cuando e</w:t>
      </w:r>
      <w:r>
        <w:rPr>
          <w:rFonts w:ascii="Verdana" w:eastAsia="Calibri" w:hAnsi="Verdana" w:cs="Arial"/>
          <w:color w:val="000000" w:themeColor="text1"/>
          <w:lang w:val="es-ES" w:eastAsia="es-ES"/>
        </w:rPr>
        <w:t>l contrato ha estado suspendido</w:t>
      </w:r>
      <w:r w:rsidRPr="0071269D">
        <w:rPr>
          <w:rFonts w:ascii="Verdana" w:eastAsia="Calibri" w:hAnsi="Verdana" w:cs="Arial"/>
          <w:color w:val="000000" w:themeColor="text1"/>
          <w:lang w:val="es-ES" w:eastAsia="es-ES"/>
        </w:rPr>
        <w:t>?</w:t>
      </w:r>
    </w:p>
    <w:p w14:paraId="45DFA734" w14:textId="77777777" w:rsidR="00F62ED8" w:rsidRPr="00E46C82" w:rsidRDefault="00F62ED8" w:rsidP="00F62ED8">
      <w:pPr>
        <w:spacing w:after="0" w:line="276" w:lineRule="auto"/>
        <w:jc w:val="both"/>
        <w:rPr>
          <w:rFonts w:ascii="Verdana" w:eastAsia="Calibri" w:hAnsi="Verdana" w:cs="Arial"/>
          <w:color w:val="7030A0"/>
          <w:u w:val="single"/>
          <w:lang w:val="es-ES" w:eastAsia="es-ES_tradnl"/>
        </w:rPr>
      </w:pPr>
    </w:p>
    <w:p w14:paraId="301E4517" w14:textId="77777777" w:rsidR="00F62ED8" w:rsidRPr="00E46C82" w:rsidRDefault="00F62ED8" w:rsidP="00F62ED8">
      <w:pPr>
        <w:widowControl w:val="0"/>
        <w:tabs>
          <w:tab w:val="left" w:pos="382"/>
        </w:tabs>
        <w:autoSpaceDE w:val="0"/>
        <w:autoSpaceDN w:val="0"/>
        <w:spacing w:after="0" w:line="276" w:lineRule="auto"/>
        <w:outlineLvl w:val="0"/>
        <w:rPr>
          <w:rFonts w:ascii="Verdana" w:eastAsia="Verdana" w:hAnsi="Verdana" w:cs="Verdana"/>
          <w:b/>
          <w:bCs/>
          <w:lang w:val="es-ES"/>
        </w:rPr>
      </w:pPr>
      <w:r>
        <w:rPr>
          <w:rFonts w:ascii="Verdana" w:eastAsia="Verdana" w:hAnsi="Verdana" w:cs="Verdana"/>
          <w:b/>
          <w:bCs/>
          <w:spacing w:val="-2"/>
          <w:lang w:val="es-ES"/>
        </w:rPr>
        <w:t>II</w:t>
      </w:r>
      <w:r w:rsidRPr="00E46C82">
        <w:rPr>
          <w:rFonts w:ascii="Verdana" w:eastAsia="Verdana" w:hAnsi="Verdana" w:cs="Verdana"/>
          <w:b/>
          <w:bCs/>
          <w:spacing w:val="-2"/>
          <w:lang w:val="es-ES"/>
        </w:rPr>
        <w:t>. Respuesta:</w:t>
      </w:r>
    </w:p>
    <w:p w14:paraId="144D5CF9" w14:textId="77777777" w:rsidR="00F62ED8" w:rsidRPr="00E46C82" w:rsidRDefault="00F62ED8" w:rsidP="00F62ED8">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2ED8" w:rsidRPr="00E46C82" w14:paraId="5B6E2212" w14:textId="77777777" w:rsidTr="00556212">
        <w:tc>
          <w:tcPr>
            <w:tcW w:w="8828" w:type="dxa"/>
          </w:tcPr>
          <w:p w14:paraId="76F47939" w14:textId="77777777" w:rsidR="00F62ED8" w:rsidRPr="00E46C82" w:rsidRDefault="00F62ED8" w:rsidP="00556212">
            <w:pPr>
              <w:spacing w:before="120" w:line="276" w:lineRule="auto"/>
              <w:jc w:val="both"/>
              <w:rPr>
                <w:rFonts w:ascii="Verdana" w:eastAsia="Calibri" w:hAnsi="Verdana" w:cs="Arial"/>
                <w:lang w:val="es-ES" w:eastAsia="es-ES_tradnl"/>
              </w:rPr>
            </w:pPr>
            <w:r>
              <w:rPr>
                <w:rFonts w:ascii="Verdana" w:hAnsi="Verdana" w:cs="Arial"/>
                <w:lang w:val="es-ES"/>
              </w:rPr>
              <w:t xml:space="preserve">De acuerdo al problema jurídico, se precisa que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w:t>
            </w:r>
            <w:r w:rsidRPr="00E46C82">
              <w:rPr>
                <w:rFonts w:ascii="Verdana" w:eastAsia="Calibri" w:hAnsi="Verdana" w:cs="Arial"/>
                <w:lang w:val="es-ES" w:eastAsia="es-ES_tradnl"/>
              </w:rPr>
              <w:lastRenderedPageBreak/>
              <w:t>pactado para la liquidación, o el término de la liquidación bilateral o unilateral. De esta forma, si el contrato es</w:t>
            </w:r>
            <w:r>
              <w:rPr>
                <w:rFonts w:ascii="Verdana" w:eastAsia="Calibri" w:hAnsi="Verdana" w:cs="Arial"/>
                <w:lang w:val="es-ES" w:eastAsia="es-ES_tradnl"/>
              </w:rPr>
              <w:t xml:space="preserve"> liquidado de común acuerdo, la</w:t>
            </w:r>
            <w:r w:rsidRPr="00E46C82">
              <w:rPr>
                <w:rFonts w:ascii="Verdana" w:eastAsia="Calibri" w:hAnsi="Verdana" w:cs="Arial"/>
                <w:lang w:val="es-ES" w:eastAsia="es-ES_tradnl"/>
              </w:rPr>
              <w:t xml:space="preserve"> entidad podrá calificar la obra como inconclusa una vez transcurrido un año a partir de esa fecha.</w:t>
            </w:r>
            <w:r w:rsidRPr="00E46C82">
              <w:rPr>
                <w:rFonts w:ascii="Verdana" w:hAnsi="Verdana" w:cs="Arial"/>
                <w:color w:val="000000" w:themeColor="text1"/>
                <w:lang w:val="es-ES"/>
              </w:rPr>
              <w:t xml:space="preserve"> Bajo esta perspe</w:t>
            </w:r>
            <w:r>
              <w:rPr>
                <w:rFonts w:ascii="Verdana" w:hAnsi="Verdana" w:cs="Arial"/>
                <w:color w:val="000000" w:themeColor="text1"/>
                <w:lang w:val="es-ES"/>
              </w:rPr>
              <w:t>ctiva, el término de un año</w:t>
            </w:r>
            <w:r w:rsidRPr="00E46C82">
              <w:rPr>
                <w:rFonts w:ascii="Verdana" w:hAnsi="Verdana" w:cs="Arial"/>
                <w:color w:val="000000" w:themeColor="text1"/>
                <w:lang w:val="es-ES"/>
              </w:rPr>
              <w:t xml:space="preserve"> para determinar una obra como inconclusa deberá contarse una vez vencido el plazo pactado por las partes en el contrato para la liquidación o, cuando este no haya sido estipulado, dentro de</w:t>
            </w:r>
            <w:r>
              <w:rPr>
                <w:rFonts w:ascii="Verdana" w:hAnsi="Verdana" w:cs="Arial"/>
                <w:color w:val="000000" w:themeColor="text1"/>
                <w:lang w:val="es-ES"/>
              </w:rPr>
              <w:t xml:space="preserve"> los cuatro meses siguientes al vencimiento del </w:t>
            </w:r>
            <w:r w:rsidRPr="00E46C82">
              <w:rPr>
                <w:rFonts w:ascii="Verdana" w:hAnsi="Verdana" w:cs="Arial"/>
                <w:color w:val="000000" w:themeColor="text1"/>
                <w:lang w:val="es-ES"/>
              </w:rPr>
              <w:t xml:space="preserve">plazo </w:t>
            </w:r>
            <w:r>
              <w:rPr>
                <w:rFonts w:ascii="Verdana" w:hAnsi="Verdana" w:cs="Arial"/>
                <w:color w:val="000000" w:themeColor="text1"/>
                <w:lang w:val="es-ES"/>
              </w:rPr>
              <w:t>de la ejecución de la obra</w:t>
            </w:r>
            <w:r w:rsidRPr="00E46C82">
              <w:rPr>
                <w:rFonts w:ascii="Verdana" w:hAnsi="Verdana" w:cs="Arial"/>
                <w:color w:val="000000" w:themeColor="text1"/>
                <w:lang w:val="es-ES"/>
              </w:rPr>
              <w:t>.</w:t>
            </w:r>
            <w:r w:rsidRPr="00E46C82">
              <w:rPr>
                <w:rFonts w:ascii="Verdana" w:eastAsia="Calibri" w:hAnsi="Verdana" w:cs="Arial"/>
                <w:lang w:val="es-ES" w:eastAsia="es-ES_tradnl"/>
              </w:rPr>
              <w:t xml:space="preserve">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1BDB6576" w14:textId="77777777" w:rsidR="00F62ED8" w:rsidRDefault="00F62ED8" w:rsidP="00556212">
            <w:pPr>
              <w:spacing w:before="120" w:line="276" w:lineRule="auto"/>
              <w:ind w:firstLine="708"/>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4AD02D1E" w14:textId="77777777" w:rsidR="00F62ED8" w:rsidRDefault="00F62ED8" w:rsidP="00556212">
            <w:pPr>
              <w:spacing w:before="120" w:after="120" w:line="276" w:lineRule="auto"/>
              <w:ind w:firstLine="708"/>
              <w:jc w:val="both"/>
              <w:rPr>
                <w:rFonts w:ascii="Verdana" w:eastAsia="Times New Roman" w:hAnsi="Verdana" w:cs="Arial"/>
                <w:color w:val="000000"/>
                <w:lang w:val="es-ES_tradnl" w:eastAsia="es-ES_tradnl"/>
              </w:rPr>
            </w:pPr>
            <w:r>
              <w:rPr>
                <w:rFonts w:ascii="Verdana" w:eastAsia="Calibri" w:hAnsi="Verdana" w:cs="Arial"/>
                <w:lang w:val="es-ES" w:eastAsia="es-ES_tradnl"/>
              </w:rPr>
              <w:t xml:space="preserve">Ahora bien, en el caso que el contrato esté suspendido, ello </w:t>
            </w:r>
            <w:r w:rsidRPr="0042048E">
              <w:rPr>
                <w:rFonts w:ascii="Verdana" w:eastAsia="Times New Roman" w:hAnsi="Verdana" w:cs="Arial"/>
                <w:color w:val="000000"/>
                <w:lang w:val="es-ES_tradnl" w:eastAsia="es-ES_tradnl"/>
              </w:rPr>
              <w:t xml:space="preserve">no implica su terminación, toda vez que dicho supuesto no se encuentra previsto dentro de las causales de extinción de las obligaciones contempladas en el artículo 1625 del Código Civil. Por consiguiente, la suspensión constituye únicamente una pausa temporal en la ejecución del contrato, sin que ello extinga las obligaciones asumidas por las partes ni elimine la posibilidad de exigir su cumplimiento o de adelantar las actuaciones administrativas correspondientes. </w:t>
            </w:r>
            <w:r>
              <w:rPr>
                <w:rFonts w:ascii="Verdana" w:eastAsia="Times New Roman" w:hAnsi="Verdana" w:cs="Arial"/>
                <w:color w:val="000000"/>
                <w:lang w:val="es-ES_tradnl" w:eastAsia="es-ES_tradnl"/>
              </w:rPr>
              <w:t xml:space="preserve">En este sentido, se precisa </w:t>
            </w:r>
            <w:r w:rsidRPr="0042048E">
              <w:rPr>
                <w:rFonts w:ascii="Verdana" w:eastAsia="Times New Roman" w:hAnsi="Verdana" w:cs="Arial"/>
                <w:color w:val="000000"/>
                <w:lang w:val="es-ES_tradnl" w:eastAsia="es-ES_tradnl"/>
              </w:rPr>
              <w:t>que una cosa es la suspensió</w:t>
            </w:r>
            <w:r>
              <w:rPr>
                <w:rFonts w:ascii="Verdana" w:eastAsia="Times New Roman" w:hAnsi="Verdana" w:cs="Arial"/>
                <w:color w:val="000000"/>
                <w:lang w:val="es-ES_tradnl" w:eastAsia="es-ES_tradnl"/>
              </w:rPr>
              <w:t>n del contrato estatal y otra la liquidación</w:t>
            </w:r>
            <w:r w:rsidRPr="0042048E">
              <w:rPr>
                <w:rFonts w:ascii="Verdana" w:eastAsia="Times New Roman" w:hAnsi="Verdana" w:cs="Arial"/>
                <w:color w:val="000000"/>
                <w:lang w:val="es-ES_tradnl" w:eastAsia="es-ES_tradnl"/>
              </w:rPr>
              <w:t xml:space="preserve">. </w:t>
            </w:r>
          </w:p>
          <w:p w14:paraId="2F5FBC27" w14:textId="77777777" w:rsidR="00F62ED8" w:rsidRDefault="00F62ED8" w:rsidP="00556212">
            <w:pPr>
              <w:spacing w:before="120" w:after="120" w:line="276" w:lineRule="auto"/>
              <w:ind w:firstLine="708"/>
              <w:jc w:val="both"/>
              <w:rPr>
                <w:rFonts w:ascii="Verdana" w:eastAsia="Times New Roman" w:hAnsi="Verdana" w:cs="Arial"/>
                <w:color w:val="000000"/>
                <w:lang w:val="es-ES" w:eastAsia="es-ES"/>
              </w:rPr>
            </w:pPr>
            <w:r w:rsidRPr="2A740510">
              <w:rPr>
                <w:rFonts w:ascii="Verdana" w:eastAsia="Times New Roman" w:hAnsi="Verdana" w:cs="Arial"/>
                <w:color w:val="000000" w:themeColor="text1"/>
                <w:lang w:val="es-ES" w:eastAsia="es-ES"/>
              </w:rPr>
              <w:t xml:space="preserve">De tal modo, no es posible configurar como obra civil inconclusa un contrato que se encuentra suspendido, pues aún conserva vigencia, en el </w:t>
            </w:r>
            <w:r w:rsidRPr="2A740510">
              <w:rPr>
                <w:rFonts w:ascii="Verdana" w:eastAsia="Times New Roman" w:hAnsi="Verdana" w:cs="Arial"/>
                <w:color w:val="000000" w:themeColor="text1"/>
                <w:lang w:val="es-ES" w:eastAsia="es-ES"/>
              </w:rPr>
              <w:lastRenderedPageBreak/>
              <w:t xml:space="preserve">entendido de que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deberá tenerse en cuenta el término de un (1) año a partir de la liquidación contractual –Liquidación bilateral o unilateral-, como se expuso en las razones de la respuesta. </w:t>
            </w:r>
          </w:p>
          <w:p w14:paraId="06C1FF5C" w14:textId="77777777" w:rsidR="00F62ED8" w:rsidRPr="00042C93" w:rsidRDefault="00F62ED8" w:rsidP="00556212">
            <w:pPr>
              <w:spacing w:line="276" w:lineRule="auto"/>
              <w:ind w:firstLine="708"/>
              <w:jc w:val="both"/>
              <w:rPr>
                <w:rFonts w:ascii="Verdana" w:hAnsi="Verdana" w:cs="Arial"/>
                <w:color w:val="000000" w:themeColor="text1"/>
              </w:rPr>
            </w:pPr>
            <w:r w:rsidRPr="00042C93">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B1DE87A" w14:textId="77777777" w:rsidR="00F62ED8" w:rsidRPr="00E46C82" w:rsidRDefault="00F62ED8" w:rsidP="00F62ED8">
      <w:pPr>
        <w:spacing w:after="0" w:line="276" w:lineRule="auto"/>
        <w:jc w:val="both"/>
        <w:rPr>
          <w:rFonts w:ascii="Verdana" w:eastAsia="Times New Roman" w:hAnsi="Verdana" w:cs="Arial"/>
          <w:color w:val="7030A0"/>
          <w:lang w:val="es-ES" w:eastAsia="es-ES_tradnl"/>
        </w:rPr>
      </w:pPr>
    </w:p>
    <w:p w14:paraId="356C654A" w14:textId="77777777" w:rsidR="00F62ED8" w:rsidRPr="00E46C82" w:rsidRDefault="00F62ED8" w:rsidP="00F62ED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Pr>
          <w:rFonts w:ascii="Verdana" w:eastAsia="Century Gothic" w:hAnsi="Verdana" w:cs="Century Gothic"/>
          <w:b/>
          <w:bCs/>
        </w:rPr>
        <w:t>III</w:t>
      </w:r>
      <w:r w:rsidRPr="00E46C82">
        <w:rPr>
          <w:rFonts w:ascii="Verdana" w:eastAsia="Century Gothic" w:hAnsi="Verdana" w:cs="Century Gothic"/>
          <w:b/>
          <w:bCs/>
        </w:rPr>
        <w:t>. Razones de la respuesta:</w:t>
      </w:r>
    </w:p>
    <w:p w14:paraId="1A76A0FA" w14:textId="77777777" w:rsidR="00F62ED8" w:rsidRPr="00E46C82" w:rsidRDefault="00F62ED8" w:rsidP="00F62ED8">
      <w:pPr>
        <w:pStyle w:val="Prrafodelista"/>
        <w:tabs>
          <w:tab w:val="left" w:pos="142"/>
          <w:tab w:val="left" w:pos="284"/>
        </w:tabs>
        <w:spacing w:after="0" w:line="276" w:lineRule="auto"/>
        <w:ind w:left="0"/>
        <w:contextualSpacing w:val="0"/>
        <w:jc w:val="both"/>
        <w:rPr>
          <w:rFonts w:ascii="Verdana" w:eastAsia="Calibri" w:hAnsi="Verdana" w:cs="Arial"/>
        </w:rPr>
      </w:pPr>
    </w:p>
    <w:p w14:paraId="540A492C" w14:textId="77777777" w:rsidR="00F62ED8" w:rsidRPr="00E46C82" w:rsidRDefault="00F62ED8" w:rsidP="00F62ED8">
      <w:pPr>
        <w:pStyle w:val="Prrafodelista"/>
        <w:tabs>
          <w:tab w:val="left" w:pos="142"/>
          <w:tab w:val="left" w:pos="284"/>
        </w:tabs>
        <w:spacing w:after="0" w:line="276" w:lineRule="auto"/>
        <w:ind w:left="0"/>
        <w:contextualSpacing w:val="0"/>
        <w:jc w:val="both"/>
        <w:rPr>
          <w:rFonts w:ascii="Verdana" w:eastAsia="Calibri" w:hAnsi="Verdana" w:cs="Arial"/>
        </w:rPr>
      </w:pPr>
      <w:r w:rsidRPr="00E46C82">
        <w:rPr>
          <w:rFonts w:ascii="Verdana" w:eastAsia="Calibri" w:hAnsi="Verdana" w:cs="Arial"/>
        </w:rPr>
        <w:t xml:space="preserve">Lo anterior se sustenta en las siguientes consideraciones: </w:t>
      </w:r>
    </w:p>
    <w:p w14:paraId="29A5F939" w14:textId="77777777" w:rsidR="00F62ED8" w:rsidRPr="00E46C82" w:rsidRDefault="00F62ED8" w:rsidP="00F62ED8">
      <w:pPr>
        <w:pStyle w:val="Prrafodelista"/>
        <w:tabs>
          <w:tab w:val="left" w:pos="142"/>
          <w:tab w:val="left" w:pos="284"/>
        </w:tabs>
        <w:spacing w:after="0" w:line="276" w:lineRule="auto"/>
        <w:ind w:left="0"/>
        <w:contextualSpacing w:val="0"/>
        <w:jc w:val="both"/>
        <w:rPr>
          <w:rFonts w:ascii="Verdana" w:eastAsia="Calibri" w:hAnsi="Verdana" w:cs="Arial"/>
        </w:rPr>
      </w:pPr>
    </w:p>
    <w:p w14:paraId="5F56CA2F" w14:textId="77777777" w:rsidR="00F62ED8" w:rsidRPr="00E46C82" w:rsidRDefault="00F62ED8" w:rsidP="00F62ED8">
      <w:pPr>
        <w:tabs>
          <w:tab w:val="left" w:pos="0"/>
        </w:tabs>
        <w:spacing w:after="0" w:line="276" w:lineRule="auto"/>
        <w:jc w:val="both"/>
        <w:rPr>
          <w:rFonts w:ascii="Verdana" w:eastAsia="Calibri" w:hAnsi="Verdana" w:cs="Arial"/>
          <w:color w:val="000000"/>
          <w:lang w:val="es-ES" w:eastAsia="en-GB"/>
        </w:rPr>
      </w:pPr>
      <w:r>
        <w:rPr>
          <w:rFonts w:ascii="Verdana" w:eastAsia="Calibri" w:hAnsi="Verdana" w:cs="Arial"/>
          <w:bCs/>
          <w:color w:val="000000"/>
          <w:lang w:val="es-ES" w:eastAsia="es-ES_tradnl"/>
        </w:rPr>
        <w:t xml:space="preserve">i. </w:t>
      </w: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F975C0C"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En otras palabras, el concepto de obra civil inconclusa es armónico con la definición del contrato de obra, prevista en el artículo 32 de la Ley 80 de 1993, </w:t>
      </w:r>
      <w:r w:rsidRPr="00E46C82">
        <w:rPr>
          <w:rFonts w:ascii="Verdana" w:eastAsia="Calibri" w:hAnsi="Verdana" w:cs="Arial"/>
          <w:color w:val="000000"/>
          <w:lang w:val="es-ES" w:eastAsia="en-GB"/>
        </w:rPr>
        <w:lastRenderedPageBreak/>
        <w:t>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w:t>
      </w:r>
      <w:r>
        <w:rPr>
          <w:rFonts w:ascii="Verdana" w:eastAsia="Calibri" w:hAnsi="Verdana" w:cs="Arial"/>
          <w:color w:val="000000"/>
          <w:lang w:val="es-ES" w:eastAsia="en-GB"/>
        </w:rPr>
        <w:t xml:space="preserve">l fue contratada la obra, esto </w:t>
      </w:r>
      <w:r w:rsidRPr="00E46C82">
        <w:rPr>
          <w:rFonts w:ascii="Verdana" w:eastAsia="Calibri" w:hAnsi="Verdana" w:cs="Arial"/>
          <w:color w:val="000000"/>
          <w:lang w:val="es-ES" w:eastAsia="en-GB"/>
        </w:rPr>
        <w:t>puede constatar</w:t>
      </w:r>
      <w:r>
        <w:rPr>
          <w:rFonts w:ascii="Verdana" w:eastAsia="Calibri" w:hAnsi="Verdana" w:cs="Arial"/>
          <w:color w:val="000000"/>
          <w:lang w:val="es-ES" w:eastAsia="en-GB"/>
        </w:rPr>
        <w:t>se</w:t>
      </w:r>
      <w:r w:rsidRPr="00E46C82">
        <w:rPr>
          <w:rFonts w:ascii="Verdana" w:eastAsia="Calibri" w:hAnsi="Verdana" w:cs="Arial"/>
          <w:color w:val="000000"/>
          <w:lang w:val="es-ES" w:eastAsia="en-GB"/>
        </w:rPr>
        <w:t xml:space="preserve"> en el registro creado por el artículo 3 de la Ley 2020 de 2020.</w:t>
      </w:r>
    </w:p>
    <w:p w14:paraId="0CB2EC37"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471CA1C4"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de un comité técnico designado por el representante legal de la entidad contratante. </w:t>
      </w:r>
    </w:p>
    <w:p w14:paraId="3076C75A"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w:t>
      </w:r>
      <w:r w:rsidRPr="00E46C82">
        <w:rPr>
          <w:rFonts w:ascii="Verdana" w:eastAsia="Calibri" w:hAnsi="Verdana" w:cs="Arial"/>
          <w:color w:val="000000"/>
          <w:lang w:val="es-ES" w:eastAsia="en-GB"/>
        </w:rPr>
        <w:lastRenderedPageBreak/>
        <w:t>estado incompleto</w:t>
      </w:r>
      <w:r w:rsidRPr="00E46C82">
        <w:rPr>
          <w:rFonts w:ascii="Verdana" w:eastAsia="Calibri" w:hAnsi="Verdana" w:cs="Arial"/>
          <w:color w:val="000000"/>
          <w:vertAlign w:val="superscript"/>
          <w:lang w:val="es-ES" w:eastAsia="en-GB"/>
        </w:rPr>
        <w:footnoteReference w:id="1"/>
      </w:r>
      <w:r w:rsidRPr="00E46C82">
        <w:rPr>
          <w:rFonts w:ascii="Verdana" w:eastAsia="Calibri" w:hAnsi="Verdana" w:cs="Arial"/>
          <w:color w:val="000000"/>
          <w:lang w:val="es-ES"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57CA97CB"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2"/>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bookmarkEnd w:id="1"/>
    <w:p w14:paraId="122E2742"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Por ello los artículos 5 y 13 </w:t>
      </w:r>
      <w:r w:rsidRPr="00E46C82">
        <w:rPr>
          <w:rFonts w:ascii="Verdana" w:eastAsia="Calibri" w:hAnsi="Verdana" w:cs="Arial"/>
          <w:i/>
          <w:color w:val="000000"/>
          <w:lang w:val="es-ES" w:eastAsia="en-GB"/>
        </w:rPr>
        <w:t>ibídem</w:t>
      </w:r>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3"/>
      </w:r>
      <w:r w:rsidRPr="00E46C82">
        <w:rPr>
          <w:rFonts w:ascii="Verdana" w:eastAsia="Calibri" w:hAnsi="Verdana" w:cs="Arial"/>
          <w:color w:val="000000"/>
          <w:lang w:val="es-ES" w:eastAsia="en-GB"/>
        </w:rPr>
        <w:t xml:space="preserve">. </w:t>
      </w:r>
    </w:p>
    <w:p w14:paraId="0FA4C0A8"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lastRenderedPageBreak/>
        <w:t xml:space="preserve">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 </w:t>
      </w:r>
    </w:p>
    <w:p w14:paraId="3E7FB0EB"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datos sobre obras inconclusas en todo el territorio nacional. El inventario de obras civiles inconclusas reportado por las entidades estatales hará parte integral del banco de proyectos de la respectiva entidad”. </w:t>
      </w:r>
    </w:p>
    <w:p w14:paraId="43B2F093" w14:textId="77777777" w:rsidR="00F62ED8" w:rsidRPr="00E46C82" w:rsidRDefault="00F62ED8" w:rsidP="00F62ED8">
      <w:pPr>
        <w:tabs>
          <w:tab w:val="left" w:pos="0"/>
        </w:tabs>
        <w:spacing w:before="120" w:after="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w:t>
      </w:r>
      <w:r w:rsidRPr="00E46C82">
        <w:rPr>
          <w:rFonts w:ascii="Verdana" w:eastAsia="Times New Roman" w:hAnsi="Verdana" w:cs="Arial"/>
          <w:color w:val="000000"/>
          <w:lang w:val="es-ES" w:eastAsia="es-ES_tradnl"/>
        </w:rPr>
        <w:lastRenderedPageBreak/>
        <w:t>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6"/>
      </w:r>
      <w:r w:rsidRPr="00E46C82">
        <w:rPr>
          <w:rFonts w:ascii="Verdana" w:eastAsia="Times New Roman" w:hAnsi="Verdana" w:cs="Arial"/>
          <w:color w:val="000000"/>
          <w:lang w:val="es-ES" w:eastAsia="es-ES_tradnl"/>
        </w:rPr>
        <w:t>.</w:t>
      </w:r>
    </w:p>
    <w:p w14:paraId="42C42300"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797F8A8B"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Igualmente, conforme al artículo 15 </w:t>
      </w:r>
      <w:r w:rsidRPr="00E46C82">
        <w:rPr>
          <w:rFonts w:ascii="Verdana" w:eastAsia="Calibri" w:hAnsi="Verdana" w:cs="Arial"/>
          <w:i/>
          <w:iCs/>
          <w:color w:val="000000"/>
          <w:lang w:val="es-ES" w:eastAsia="en-GB"/>
        </w:rPr>
        <w:t>ibídem</w:t>
      </w:r>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w:t>
      </w:r>
      <w:r w:rsidRPr="00E46C82">
        <w:rPr>
          <w:rFonts w:ascii="Verdana" w:eastAsia="Calibri" w:hAnsi="Verdana" w:cs="Arial"/>
          <w:color w:val="000000"/>
          <w:lang w:val="es-ES" w:eastAsia="en-GB"/>
        </w:rPr>
        <w:lastRenderedPageBreak/>
        <w:t xml:space="preserve">funcionamiento. Para tales efectos, la Contraloría General de la República establecerá los criterios y el término para su incorporación. </w:t>
      </w:r>
    </w:p>
    <w:p w14:paraId="2CF2E4A4" w14:textId="77777777" w:rsidR="00F62ED8" w:rsidRPr="00E46C82" w:rsidRDefault="00F62ED8" w:rsidP="00F62ED8">
      <w:pPr>
        <w:spacing w:before="120" w:after="0" w:line="276" w:lineRule="auto"/>
        <w:ind w:firstLine="567"/>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D3A4203" w14:textId="77777777" w:rsidR="00F62ED8" w:rsidRPr="00E46C82" w:rsidRDefault="00F62ED8" w:rsidP="00F62ED8">
      <w:pPr>
        <w:spacing w:before="120" w:after="0" w:line="276" w:lineRule="auto"/>
        <w:ind w:firstLine="567"/>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3F037682"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normativa vigente</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w:t>
      </w:r>
      <w:r w:rsidRPr="00E46C82">
        <w:rPr>
          <w:rFonts w:ascii="Verdana" w:eastAsia="Calibri" w:hAnsi="Verdana" w:cs="Arial"/>
          <w:color w:val="000000"/>
          <w:lang w:val="es-ES" w:eastAsia="en-GB"/>
        </w:rPr>
        <w:lastRenderedPageBreak/>
        <w:t xml:space="preserve">caducidad y/o terminación unilateral del contrato de obra, tendrá en cuenta en la parte motiva, la documentación que repose en el registro. </w:t>
      </w:r>
    </w:p>
    <w:p w14:paraId="02E6382A" w14:textId="77777777" w:rsidR="00F62ED8" w:rsidRPr="00E46C82" w:rsidRDefault="00F62ED8" w:rsidP="00F62ED8">
      <w:pPr>
        <w:tabs>
          <w:tab w:val="left" w:pos="0"/>
        </w:tabs>
        <w:spacing w:before="120" w:after="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anotación de la obra en el Registro Nacional de Obras Civiles Inconclusas solo operará a solicitud de la entidad estatal una vez haya sido demolida o finalizada exitosamente.</w:t>
      </w:r>
    </w:p>
    <w:p w14:paraId="55055C0D" w14:textId="77777777" w:rsidR="00F62ED8" w:rsidRPr="00E46C82" w:rsidRDefault="00F62ED8" w:rsidP="00F62ED8">
      <w:pPr>
        <w:spacing w:before="120" w:after="0" w:line="276" w:lineRule="auto"/>
        <w:ind w:firstLine="709"/>
        <w:jc w:val="both"/>
        <w:rPr>
          <w:rFonts w:ascii="Verdana" w:eastAsia="Calibri" w:hAnsi="Verdana" w:cs="Arial"/>
          <w:lang w:val="es-ES" w:eastAsia="es-ES_tradnl"/>
        </w:rPr>
      </w:pPr>
      <w:r w:rsidRPr="00E46C82">
        <w:rPr>
          <w:rFonts w:ascii="Verdana" w:eastAsia="Calibri" w:hAnsi="Verdana" w:cs="Arial"/>
          <w:color w:val="000000"/>
          <w:lang w:val="es-ES" w:eastAsia="en-GB"/>
        </w:rPr>
        <w:t xml:space="preserve">En relación con el </w:t>
      </w:r>
      <w:r>
        <w:rPr>
          <w:rFonts w:ascii="Verdana" w:eastAsia="Calibri" w:hAnsi="Verdana" w:cs="Arial"/>
          <w:color w:val="000000"/>
          <w:lang w:val="es-ES" w:eastAsia="en-GB"/>
        </w:rPr>
        <w:t xml:space="preserve">problema </w:t>
      </w:r>
      <w:r w:rsidRPr="00E46C82">
        <w:rPr>
          <w:rFonts w:ascii="Verdana" w:eastAsia="Calibri" w:hAnsi="Verdana" w:cs="Arial"/>
          <w:color w:val="000000"/>
          <w:lang w:val="es-ES" w:eastAsia="en-GB"/>
        </w:rPr>
        <w:t xml:space="preserve">jurídico planteado es importante precisar que el literal a) del artículo 2 de la Ley 2020 de 2020 definió la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como aquella </w:t>
      </w:r>
      <w:r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Pr="00E46C82">
        <w:rPr>
          <w:rFonts w:ascii="Verdana" w:eastAsia="Calibri" w:hAnsi="Verdana" w:cs="Arial"/>
          <w:lang w:val="es-ES" w:eastAsia="es-ES_tradnl"/>
        </w:rPr>
        <w:t>.</w:t>
      </w:r>
    </w:p>
    <w:p w14:paraId="49A952CA" w14:textId="77777777" w:rsidR="00F62ED8" w:rsidRPr="00E46C82" w:rsidRDefault="00F62ED8" w:rsidP="00F62ED8">
      <w:pPr>
        <w:spacing w:before="120" w:after="0" w:line="276" w:lineRule="auto"/>
        <w:ind w:firstLine="709"/>
        <w:jc w:val="both"/>
        <w:rPr>
          <w:rFonts w:ascii="Verdana" w:hAnsi="Verdana"/>
          <w:lang w:val="es-ES" w:eastAsia="es-ES_tradnl"/>
        </w:rPr>
      </w:pPr>
      <w:r w:rsidRPr="00E46C82">
        <w:rPr>
          <w:rFonts w:ascii="Verdana" w:eastAsia="Calibri" w:hAnsi="Verdana" w:cs="Arial"/>
          <w:lang w:val="es-ES" w:eastAsia="es-ES_tradnl"/>
        </w:rPr>
        <w:t>P</w:t>
      </w:r>
      <w:r>
        <w:rPr>
          <w:rFonts w:ascii="Verdana" w:eastAsia="Calibri" w:hAnsi="Verdana" w:cs="Arial"/>
          <w:lang w:val="es-ES" w:eastAsia="es-ES_tradnl"/>
        </w:rPr>
        <w:t xml:space="preserve">or tanto, de esta definición </w:t>
      </w:r>
      <w:r w:rsidRPr="00E46C82">
        <w:rPr>
          <w:rFonts w:ascii="Verdana" w:eastAsia="Calibri" w:hAnsi="Verdana" w:cs="Arial"/>
          <w:lang w:val="es-ES" w:eastAsia="es-ES_tradnl"/>
        </w:rPr>
        <w:t>puede establecer</w:t>
      </w:r>
      <w:r>
        <w:rPr>
          <w:rFonts w:ascii="Verdana" w:eastAsia="Calibri" w:hAnsi="Verdana" w:cs="Arial"/>
          <w:lang w:val="es-ES" w:eastAsia="es-ES_tradnl"/>
        </w:rPr>
        <w:t>se</w:t>
      </w:r>
      <w:r w:rsidRPr="00E46C82">
        <w:rPr>
          <w:rFonts w:ascii="Verdana" w:eastAsia="Calibri" w:hAnsi="Verdana" w:cs="Arial"/>
          <w:lang w:val="es-ES" w:eastAsia="es-ES_tradnl"/>
        </w:rPr>
        <w:t xml:space="preserve">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7FD9E7B8" w14:textId="77777777" w:rsidR="00F62ED8" w:rsidRPr="00E46C82" w:rsidRDefault="00F62ED8" w:rsidP="00F62ED8">
      <w:pPr>
        <w:pStyle w:val="Sinespaciado"/>
        <w:spacing w:before="120"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lastRenderedPageBreak/>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9"/>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lugar, que, en 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 </w:t>
      </w:r>
    </w:p>
    <w:p w14:paraId="659B83F7" w14:textId="77777777" w:rsidR="00F62ED8" w:rsidRPr="00E46C82" w:rsidRDefault="00F62ED8" w:rsidP="00F62ED8">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segundo lugar, el artículo 11 de la Ley 1150 de 2007 establece que,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1A2279F8" w14:textId="77777777" w:rsidR="00F62ED8" w:rsidRPr="00E46C82" w:rsidRDefault="00F62ED8" w:rsidP="00F62ED8">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0"/>
      </w:r>
      <w:r w:rsidRPr="00E46C82">
        <w:rPr>
          <w:rFonts w:ascii="Verdana" w:hAnsi="Verdana" w:cs="Arial"/>
          <w:color w:val="000000" w:themeColor="text1"/>
          <w:lang w:val="es-ES"/>
        </w:rPr>
        <w:t xml:space="preserve">, la liquidación podrá </w:t>
      </w:r>
      <w:r>
        <w:rPr>
          <w:rFonts w:ascii="Verdana" w:hAnsi="Verdana" w:cs="Arial"/>
          <w:color w:val="000000" w:themeColor="text1"/>
          <w:lang w:val="es-ES"/>
        </w:rPr>
        <w:t xml:space="preserve">realizarse </w:t>
      </w:r>
      <w:r w:rsidRPr="00E46C82">
        <w:rPr>
          <w:rFonts w:ascii="Verdana" w:hAnsi="Verdana" w:cs="Arial"/>
          <w:color w:val="000000" w:themeColor="text1"/>
          <w:lang w:val="es-ES"/>
        </w:rPr>
        <w:t xml:space="preserve">en cualquier tiempo </w:t>
      </w:r>
      <w:r w:rsidRPr="00E46C82">
        <w:rPr>
          <w:rFonts w:ascii="Verdana" w:hAnsi="Verdana" w:cs="Arial"/>
          <w:color w:val="000000" w:themeColor="text1"/>
          <w:lang w:val="es-ES"/>
        </w:rPr>
        <w:lastRenderedPageBreak/>
        <w:t xml:space="preserve">dentro de los dos años siguientes al vencimiento del término referido. Durante estos dos años la liquidación podrá hacerse de mutuo acuerdo, unilateralmente por la entidad, o podrá ser solicitada judicialmente. </w:t>
      </w:r>
    </w:p>
    <w:p w14:paraId="37ADCD66" w14:textId="77777777" w:rsidR="00F62ED8" w:rsidRPr="00E46C82" w:rsidRDefault="00F62ED8" w:rsidP="00F62ED8">
      <w:pPr>
        <w:spacing w:before="120" w:after="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21ADA5A3" w14:textId="77777777" w:rsidR="00F62ED8" w:rsidRPr="00E46C82" w:rsidRDefault="00F62ED8" w:rsidP="00F62ED8">
      <w:pPr>
        <w:spacing w:before="120" w:after="0" w:line="276" w:lineRule="auto"/>
        <w:ind w:firstLine="708"/>
        <w:jc w:val="both"/>
        <w:rPr>
          <w:rFonts w:ascii="Verdana" w:hAnsi="Verdana" w:cs="Arial"/>
          <w:color w:val="000000" w:themeColor="text1"/>
          <w:lang w:val="es-ES"/>
        </w:rPr>
      </w:pPr>
      <w:r w:rsidRPr="00E46C82">
        <w:rPr>
          <w:rFonts w:ascii="Verdana" w:hAnsi="Verdana" w:cs="Arial"/>
          <w:color w:val="000000" w:themeColor="text1"/>
          <w:lang w:val="es-ES"/>
        </w:rPr>
        <w:t>En efecto, la interpretación sistemática-finalística busca que prevalezca el sentido razonable de la disposición dentro del contexto del ordenamiento jurídico, tomando la finalidad que busca cumplir. Bajo esta perspe</w:t>
      </w:r>
      <w:r>
        <w:rPr>
          <w:rFonts w:ascii="Verdana" w:hAnsi="Verdana" w:cs="Arial"/>
          <w:color w:val="000000" w:themeColor="text1"/>
          <w:lang w:val="es-ES"/>
        </w:rPr>
        <w:t>ctiva, el término de un año</w:t>
      </w:r>
      <w:r w:rsidRPr="00E46C82">
        <w:rPr>
          <w:rFonts w:ascii="Verdana" w:hAnsi="Verdana" w:cs="Arial"/>
          <w:color w:val="000000" w:themeColor="text1"/>
          <w:lang w:val="es-ES"/>
        </w:rPr>
        <w:t xml:space="preserve"> para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1DB8210E" w14:textId="77777777" w:rsidR="00F62ED8" w:rsidRPr="00E46C82" w:rsidRDefault="00F62ED8" w:rsidP="00F62ED8">
      <w:pPr>
        <w:spacing w:before="120" w:after="0" w:line="276" w:lineRule="auto"/>
        <w:ind w:firstLine="708"/>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w:t>
      </w:r>
      <w:r>
        <w:rPr>
          <w:rFonts w:ascii="Verdana" w:eastAsia="Calibri" w:hAnsi="Verdana" w:cs="Arial"/>
          <w:lang w:val="es-ES" w:eastAsia="es-ES_tradnl"/>
        </w:rPr>
        <w:t xml:space="preserve"> liquidado de común acuerdo, la</w:t>
      </w:r>
      <w:r w:rsidRPr="00E46C82">
        <w:rPr>
          <w:rFonts w:ascii="Verdana" w:eastAsia="Calibri" w:hAnsi="Verdana" w:cs="Arial"/>
          <w:lang w:val="es-ES" w:eastAsia="es-ES_tradnl"/>
        </w:rPr>
        <w:t xml:space="preserve"> entidad podrá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w:t>
      </w:r>
      <w:r w:rsidRPr="00E46C82">
        <w:rPr>
          <w:rFonts w:ascii="Verdana" w:eastAsia="Calibri" w:hAnsi="Verdana" w:cs="Arial"/>
          <w:lang w:val="es-ES" w:eastAsia="es-ES_tradnl"/>
        </w:rPr>
        <w:lastRenderedPageBreak/>
        <w:t>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1"/>
      </w:r>
      <w:r w:rsidRPr="00E46C82">
        <w:rPr>
          <w:rFonts w:ascii="Verdana" w:eastAsia="Calibri" w:hAnsi="Verdana" w:cs="Arial"/>
          <w:lang w:val="es-ES" w:eastAsia="es-ES_tradnl"/>
        </w:rPr>
        <w:t>.</w:t>
      </w:r>
    </w:p>
    <w:p w14:paraId="3BD8CA76" w14:textId="77777777" w:rsidR="00F62ED8" w:rsidRDefault="00F62ED8" w:rsidP="00F62ED8">
      <w:pPr>
        <w:spacing w:before="120" w:after="0" w:line="276" w:lineRule="auto"/>
        <w:ind w:firstLine="708"/>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06DBE970" w14:textId="77777777" w:rsidR="00F62ED8" w:rsidRDefault="00F62ED8" w:rsidP="00F62ED8">
      <w:pPr>
        <w:spacing w:before="120" w:after="120" w:line="276" w:lineRule="auto"/>
        <w:ind w:firstLine="708"/>
        <w:jc w:val="both"/>
        <w:rPr>
          <w:rFonts w:ascii="Verdana" w:eastAsia="Times New Roman" w:hAnsi="Verdana" w:cs="Arial"/>
          <w:color w:val="000000"/>
          <w:lang w:val="es-ES_tradnl" w:eastAsia="es-ES_tradnl"/>
        </w:rPr>
      </w:pPr>
      <w:r>
        <w:rPr>
          <w:rFonts w:ascii="Verdana" w:eastAsia="Calibri" w:hAnsi="Verdana" w:cs="Arial"/>
          <w:lang w:val="es-ES" w:eastAsia="es-ES_tradnl"/>
        </w:rPr>
        <w:t xml:space="preserve">Ahora bien, en el caso que el contrato esté suspendido, ello </w:t>
      </w:r>
      <w:r w:rsidRPr="0042048E">
        <w:rPr>
          <w:rFonts w:ascii="Verdana" w:eastAsia="Times New Roman" w:hAnsi="Verdana" w:cs="Arial"/>
          <w:color w:val="000000"/>
          <w:lang w:val="es-ES_tradnl" w:eastAsia="es-ES_tradnl"/>
        </w:rPr>
        <w:t>no implica su terminación, toda vez que dicho supuesto no se encuentra previsto dentro de las causales de extinción de las obligaciones contempladas en el artículo 1625 del Código Civil</w:t>
      </w:r>
      <w:r w:rsidRPr="0042048E">
        <w:rPr>
          <w:rFonts w:ascii="Verdana" w:eastAsia="Times New Roman" w:hAnsi="Verdana" w:cs="Arial"/>
          <w:color w:val="000000"/>
          <w:vertAlign w:val="superscript"/>
          <w:lang w:val="es-ES_tradnl" w:eastAsia="es-ES_tradnl"/>
        </w:rPr>
        <w:footnoteReference w:id="12"/>
      </w:r>
      <w:r w:rsidRPr="0042048E">
        <w:rPr>
          <w:rFonts w:ascii="Verdana" w:eastAsia="Times New Roman" w:hAnsi="Verdana" w:cs="Arial"/>
          <w:color w:val="000000"/>
          <w:lang w:val="es-ES_tradnl" w:eastAsia="es-ES_tradnl"/>
        </w:rPr>
        <w:t>. Por consiguiente, la suspensión constituye únicamente una pausa temporal en la ejecución del contrato, sin que ello extinga las obligaciones asumidas por las partes ni elimine la posibilidad de exigir su cumplimiento o de adelantar las actuaciones administrativas correspondientes</w:t>
      </w:r>
      <w:r>
        <w:rPr>
          <w:rStyle w:val="Refdenotaalpie"/>
          <w:rFonts w:ascii="Verdana" w:eastAsia="Times New Roman" w:hAnsi="Verdana" w:cs="Arial"/>
          <w:color w:val="000000"/>
          <w:lang w:val="es-ES_tradnl" w:eastAsia="es-ES_tradnl"/>
        </w:rPr>
        <w:footnoteReference w:id="13"/>
      </w:r>
      <w:r w:rsidRPr="0042048E">
        <w:rPr>
          <w:rFonts w:ascii="Verdana" w:eastAsia="Times New Roman" w:hAnsi="Verdana" w:cs="Arial"/>
          <w:color w:val="000000"/>
          <w:lang w:val="es-ES_tradnl" w:eastAsia="es-ES_tradnl"/>
        </w:rPr>
        <w:t xml:space="preserve">. </w:t>
      </w:r>
      <w:r>
        <w:rPr>
          <w:rFonts w:ascii="Verdana" w:eastAsia="Times New Roman" w:hAnsi="Verdana" w:cs="Arial"/>
          <w:color w:val="000000"/>
          <w:lang w:val="es-ES_tradnl" w:eastAsia="es-ES_tradnl"/>
        </w:rPr>
        <w:t xml:space="preserve">En este sentido, se precisa </w:t>
      </w:r>
      <w:r w:rsidRPr="0042048E">
        <w:rPr>
          <w:rFonts w:ascii="Verdana" w:eastAsia="Times New Roman" w:hAnsi="Verdana" w:cs="Arial"/>
          <w:color w:val="000000"/>
          <w:lang w:val="es-ES_tradnl" w:eastAsia="es-ES_tradnl"/>
        </w:rPr>
        <w:t>que una cosa es la suspensió</w:t>
      </w:r>
      <w:r>
        <w:rPr>
          <w:rFonts w:ascii="Verdana" w:eastAsia="Times New Roman" w:hAnsi="Verdana" w:cs="Arial"/>
          <w:color w:val="000000"/>
          <w:lang w:val="es-ES_tradnl" w:eastAsia="es-ES_tradnl"/>
        </w:rPr>
        <w:t>n del contrato estatal y otra la liquidación</w:t>
      </w:r>
      <w:r w:rsidRPr="0042048E">
        <w:rPr>
          <w:rFonts w:ascii="Verdana" w:eastAsia="Times New Roman" w:hAnsi="Verdana" w:cs="Arial"/>
          <w:color w:val="000000"/>
          <w:lang w:val="es-ES_tradnl" w:eastAsia="es-ES_tradnl"/>
        </w:rPr>
        <w:t xml:space="preserve">. </w:t>
      </w:r>
    </w:p>
    <w:p w14:paraId="3D9715A0" w14:textId="77777777" w:rsidR="00F62ED8" w:rsidRPr="0042048E" w:rsidRDefault="00F62ED8" w:rsidP="00F62ED8">
      <w:pPr>
        <w:spacing w:before="120" w:after="120" w:line="276" w:lineRule="auto"/>
        <w:ind w:firstLine="708"/>
        <w:jc w:val="both"/>
        <w:rPr>
          <w:rFonts w:ascii="Verdana" w:eastAsia="Calibri" w:hAnsi="Verdana" w:cs="Arial"/>
          <w:lang w:val="es-ES" w:eastAsia="es-ES"/>
        </w:rPr>
      </w:pPr>
      <w:r w:rsidRPr="2A740510">
        <w:rPr>
          <w:rFonts w:ascii="Verdana" w:eastAsia="Times New Roman" w:hAnsi="Verdana" w:cs="Arial"/>
          <w:color w:val="000000" w:themeColor="text1"/>
          <w:lang w:val="es-ES" w:eastAsia="es-ES"/>
        </w:rPr>
        <w:lastRenderedPageBreak/>
        <w:t xml:space="preserve">De tal modo, no es posible configurar como obra civil inconclusa un contrato que se encuentra suspendido, pues aún conserva vigencia, en el entendido de que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deberá tenerse en cuenta el término de un (1) año a partir de la liquidación contractual –Liquidación bilateral o unilateral-, como se expuso previamente. </w:t>
      </w:r>
    </w:p>
    <w:p w14:paraId="68256DD8" w14:textId="77777777" w:rsidR="00F62ED8" w:rsidRDefault="00F62ED8" w:rsidP="00F62ED8">
      <w:pPr>
        <w:spacing w:after="0" w:line="276" w:lineRule="auto"/>
        <w:ind w:firstLine="709"/>
        <w:jc w:val="both"/>
        <w:rPr>
          <w:rFonts w:ascii="Verdana" w:eastAsia="Calibri" w:hAnsi="Verdana" w:cs="Arial"/>
          <w:lang w:val="es-ES" w:eastAsia="es-ES_tradnl"/>
        </w:rPr>
      </w:pPr>
      <w:r w:rsidRPr="00F0711A">
        <w:rPr>
          <w:rFonts w:ascii="Verdana" w:hAnsi="Verdana" w:cs="Arial"/>
          <w:lang w:val="es-ES"/>
        </w:rPr>
        <w:t>En conclusión, la interpretación del literal a) del artículo 2 de la Ley 2020 de 2020 debe entenderse en el sentido de que el “vencimiento del término de liquidación contractual” se refiere exclusivamente al plazo fijado para la liquidación bilateral o unilateral del contrato. De esta manera, la calificación de una obra como inconclusa solo procede una vez transcurrido un año desde la fecha de liquidación —sea de común acuerdo o unilateral—, o desde el momento en que debió efectuarse la liquidación unilateral si esta no se realizó. En contraste, la suspensión del contrato no constituye causal de terminación ni de liquidación, sino una pausa temporal en la ejecución, razón por la cual no es posible calificar como inconclusa una obra vinculada a un contrato suspendido. Esta interpretación asegura coherencia con los principios constitucionales en materia presupuestal y con la finalidad de optimizar el uso de los recursos públicos, evitando que las obras permanezcan indefinidamente paralizadas sin que la entidad pueda adoptar decisiones oportunas sobre su conclusión o demolición.</w:t>
      </w:r>
      <w:r w:rsidRPr="00E46C82">
        <w:rPr>
          <w:rFonts w:ascii="Verdana" w:eastAsia="Calibri" w:hAnsi="Verdana" w:cs="Arial"/>
          <w:lang w:val="es-ES" w:eastAsia="es-ES_tradnl"/>
        </w:rPr>
        <w:t xml:space="preserve"> </w:t>
      </w:r>
    </w:p>
    <w:p w14:paraId="7EF3E5AF" w14:textId="77777777" w:rsidR="00F62ED8" w:rsidRDefault="00F62ED8" w:rsidP="00F62ED8">
      <w:pPr>
        <w:spacing w:after="0" w:line="276" w:lineRule="auto"/>
        <w:jc w:val="both"/>
        <w:rPr>
          <w:rFonts w:ascii="Verdana" w:eastAsia="Times New Roman" w:hAnsi="Verdana" w:cs="Arial"/>
          <w:lang w:val="es-ES" w:eastAsia="es-ES_tradnl"/>
        </w:rPr>
      </w:pPr>
    </w:p>
    <w:p w14:paraId="6DBF7231" w14:textId="77777777" w:rsidR="00F62ED8" w:rsidRPr="00042C93" w:rsidRDefault="00F62ED8" w:rsidP="00F62ED8">
      <w:pPr>
        <w:spacing w:after="120" w:line="276" w:lineRule="auto"/>
        <w:jc w:val="both"/>
        <w:rPr>
          <w:rFonts w:ascii="Verdana" w:eastAsia="Calibri" w:hAnsi="Verdana" w:cs="Arial"/>
          <w:bCs/>
          <w:color w:val="000000" w:themeColor="text1"/>
        </w:rPr>
      </w:pPr>
      <w:r>
        <w:rPr>
          <w:rFonts w:ascii="Verdana" w:eastAsia="Times New Roman" w:hAnsi="Verdana" w:cs="Arial"/>
          <w:lang w:val="es-ES" w:eastAsia="es-ES_tradnl"/>
        </w:rPr>
        <w:t xml:space="preserve">ii. </w:t>
      </w:r>
      <w:r w:rsidRPr="00042C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042C93">
        <w:rPr>
          <w:rFonts w:ascii="Verdana" w:eastAsia="Calibri" w:hAnsi="Verdana" w:cs="Arial"/>
          <w:bCs/>
          <w:color w:val="000000" w:themeColor="text1"/>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8CB94F" w14:textId="77777777" w:rsidR="00F62ED8" w:rsidRPr="00042C93" w:rsidRDefault="00F62ED8" w:rsidP="00F62ED8">
      <w:pPr>
        <w:spacing w:after="0" w:line="276" w:lineRule="auto"/>
        <w:ind w:firstLine="708"/>
        <w:jc w:val="both"/>
        <w:rPr>
          <w:rFonts w:ascii="Verdana" w:hAnsi="Verdana" w:cs="Arial"/>
          <w:color w:val="000000" w:themeColor="text1"/>
        </w:rPr>
      </w:pPr>
      <w:r w:rsidRPr="00042C93">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5AE011E" w14:textId="77777777" w:rsidR="00F62ED8" w:rsidRPr="00042C93" w:rsidRDefault="00F62ED8" w:rsidP="00F62ED8">
      <w:pPr>
        <w:spacing w:before="120" w:after="0" w:line="276" w:lineRule="auto"/>
        <w:jc w:val="both"/>
        <w:rPr>
          <w:rFonts w:ascii="Verdana" w:eastAsia="Times New Roman" w:hAnsi="Verdana" w:cs="Arial"/>
          <w:lang w:eastAsia="es-ES_tradnl"/>
        </w:rPr>
      </w:pPr>
    </w:p>
    <w:p w14:paraId="7F6D8136" w14:textId="77777777" w:rsidR="00F62ED8" w:rsidRPr="00E46C82" w:rsidRDefault="00F62ED8" w:rsidP="00F62ED8">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IV</w:t>
      </w:r>
      <w:r w:rsidRPr="00E46C82">
        <w:rPr>
          <w:rFonts w:ascii="Verdana" w:eastAsia="Century Gothic" w:hAnsi="Verdana" w:cs="Century Gothic"/>
          <w:b/>
          <w:bCs/>
          <w:lang w:val="es-ES"/>
        </w:rPr>
        <w:t>. Referencias normativas, jurisprudenciales y otras fuentes:</w:t>
      </w:r>
    </w:p>
    <w:p w14:paraId="2702DFFE" w14:textId="77777777" w:rsidR="00F62ED8" w:rsidRPr="00E46C82" w:rsidRDefault="00F62ED8" w:rsidP="00F62ED8">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2ED8" w:rsidRPr="00E46C82" w14:paraId="56A80D9F" w14:textId="77777777" w:rsidTr="00556212">
        <w:trPr>
          <w:trHeight w:val="870"/>
        </w:trPr>
        <w:tc>
          <w:tcPr>
            <w:tcW w:w="8647" w:type="dxa"/>
          </w:tcPr>
          <w:p w14:paraId="3457D1FD" w14:textId="77777777" w:rsidR="00F62ED8" w:rsidRPr="00E46C82" w:rsidRDefault="00F62ED8" w:rsidP="00556212">
            <w:pPr>
              <w:pStyle w:val="Prrafodelista"/>
              <w:numPr>
                <w:ilvl w:val="0"/>
                <w:numId w:val="17"/>
              </w:numPr>
              <w:spacing w:after="120" w:line="276" w:lineRule="auto"/>
              <w:ind w:left="757"/>
              <w:contextualSpacing w:val="0"/>
              <w:rPr>
                <w:rFonts w:ascii="Verdana" w:hAnsi="Verdana" w:cs="Arial"/>
              </w:rPr>
            </w:pPr>
            <w:r w:rsidRPr="00E46C82">
              <w:rPr>
                <w:rFonts w:ascii="Verdana" w:hAnsi="Verdana" w:cs="Arial"/>
              </w:rPr>
              <w:t>Constitución Política de Colombia, artículo</w:t>
            </w:r>
            <w:r>
              <w:rPr>
                <w:rFonts w:ascii="Verdana" w:hAnsi="Verdana" w:cs="Arial"/>
              </w:rPr>
              <w:t>s</w:t>
            </w:r>
            <w:r w:rsidRPr="00E46C82">
              <w:rPr>
                <w:rFonts w:ascii="Verdana" w:hAnsi="Verdana" w:cs="Arial"/>
              </w:rPr>
              <w:t xml:space="preserve"> </w:t>
            </w:r>
            <w:r w:rsidRPr="00E46C82">
              <w:rPr>
                <w:rFonts w:ascii="Verdana" w:eastAsia="Calibri" w:hAnsi="Verdana" w:cs="Arial"/>
                <w:lang w:eastAsia="es-ES_tradnl"/>
              </w:rPr>
              <w:t>345 y 346</w:t>
            </w:r>
            <w:r w:rsidRPr="00E46C82">
              <w:rPr>
                <w:rFonts w:ascii="Verdana" w:hAnsi="Verdana" w:cs="Arial"/>
              </w:rPr>
              <w:t>.</w:t>
            </w:r>
          </w:p>
          <w:p w14:paraId="281FB206" w14:textId="77777777" w:rsidR="00F62ED8" w:rsidRPr="00E46C82" w:rsidRDefault="00F62ED8" w:rsidP="00556212">
            <w:pPr>
              <w:pStyle w:val="Prrafodelista"/>
              <w:numPr>
                <w:ilvl w:val="0"/>
                <w:numId w:val="17"/>
              </w:numPr>
              <w:spacing w:after="120" w:line="276" w:lineRule="auto"/>
              <w:ind w:left="757"/>
              <w:contextualSpacing w:val="0"/>
              <w:rPr>
                <w:rFonts w:ascii="Verdana" w:hAnsi="Verdana" w:cs="Arial"/>
              </w:rPr>
            </w:pPr>
            <w:r w:rsidRPr="00E46C82">
              <w:rPr>
                <w:rFonts w:ascii="Verdana" w:hAnsi="Verdana" w:cs="Arial"/>
              </w:rPr>
              <w:t>Ley 2020 de 2020, artículo 1,</w:t>
            </w:r>
            <w:r>
              <w:rPr>
                <w:rFonts w:ascii="Verdana" w:hAnsi="Verdana" w:cs="Arial"/>
              </w:rPr>
              <w:t xml:space="preserve"> </w:t>
            </w:r>
            <w:r w:rsidRPr="00E46C82">
              <w:rPr>
                <w:rFonts w:ascii="Verdana" w:hAnsi="Verdana" w:cs="Arial"/>
              </w:rPr>
              <w:t>2</w:t>
            </w:r>
            <w:r>
              <w:rPr>
                <w:rFonts w:ascii="Verdana" w:hAnsi="Verdana" w:cs="Arial"/>
              </w:rPr>
              <w:t>, 5</w:t>
            </w:r>
            <w:r w:rsidRPr="00E46C82">
              <w:rPr>
                <w:rFonts w:ascii="Verdana" w:hAnsi="Verdana" w:cs="Arial"/>
              </w:rPr>
              <w:t xml:space="preserve"> y </w:t>
            </w:r>
            <w:r>
              <w:rPr>
                <w:rFonts w:ascii="Verdana" w:hAnsi="Verdana" w:cs="Arial"/>
              </w:rPr>
              <w:t>13</w:t>
            </w:r>
            <w:r w:rsidRPr="00E46C82">
              <w:rPr>
                <w:rFonts w:ascii="Verdana" w:hAnsi="Verdana" w:cs="Arial"/>
              </w:rPr>
              <w:t>.</w:t>
            </w:r>
          </w:p>
          <w:p w14:paraId="62FD6539" w14:textId="77777777" w:rsidR="00F62ED8" w:rsidRPr="00E46C82" w:rsidRDefault="00F62ED8" w:rsidP="00556212">
            <w:pPr>
              <w:pStyle w:val="Prrafodelista"/>
              <w:numPr>
                <w:ilvl w:val="0"/>
                <w:numId w:val="17"/>
              </w:numPr>
              <w:spacing w:after="120" w:line="276" w:lineRule="auto"/>
              <w:ind w:left="757"/>
              <w:contextualSpacing w:val="0"/>
              <w:rPr>
                <w:rFonts w:ascii="Verdana" w:hAnsi="Verdana" w:cs="Arial"/>
              </w:rPr>
            </w:pPr>
            <w:r w:rsidRPr="00E46C82">
              <w:rPr>
                <w:rFonts w:ascii="Verdana" w:hAnsi="Verdana" w:cs="Arial"/>
              </w:rPr>
              <w:t xml:space="preserve">Ley 1150 de 2007, artículo </w:t>
            </w:r>
            <w:r>
              <w:rPr>
                <w:rFonts w:ascii="Verdana" w:hAnsi="Verdana" w:cs="Arial"/>
              </w:rPr>
              <w:t>11</w:t>
            </w:r>
            <w:r w:rsidRPr="00E46C82">
              <w:rPr>
                <w:rFonts w:ascii="Verdana" w:hAnsi="Verdana" w:cs="Arial"/>
              </w:rPr>
              <w:t>.</w:t>
            </w:r>
          </w:p>
          <w:p w14:paraId="2E211BC4" w14:textId="77777777" w:rsidR="00F62ED8" w:rsidRPr="00A212BE" w:rsidRDefault="00F62ED8" w:rsidP="00556212">
            <w:pPr>
              <w:pStyle w:val="Prrafodelista"/>
              <w:numPr>
                <w:ilvl w:val="0"/>
                <w:numId w:val="17"/>
              </w:numPr>
              <w:spacing w:after="120" w:line="276" w:lineRule="auto"/>
              <w:ind w:left="757"/>
              <w:contextualSpacing w:val="0"/>
              <w:rPr>
                <w:rFonts w:ascii="Verdana" w:hAnsi="Verdana" w:cs="Arial"/>
              </w:rPr>
            </w:pPr>
            <w:r w:rsidRPr="00E46C82">
              <w:rPr>
                <w:rFonts w:ascii="Verdana" w:hAnsi="Verdana" w:cs="Arial"/>
              </w:rPr>
              <w:t xml:space="preserve">Ley </w:t>
            </w:r>
            <w:r>
              <w:rPr>
                <w:rFonts w:ascii="Verdana" w:hAnsi="Verdana" w:cs="Arial"/>
              </w:rPr>
              <w:t xml:space="preserve">1437 de 2011, </w:t>
            </w:r>
            <w:r>
              <w:rPr>
                <w:rFonts w:ascii="Verdana" w:hAnsi="Verdana" w:cs="Arial"/>
                <w:color w:val="000000" w:themeColor="text1"/>
              </w:rPr>
              <w:t>artículo 164.</w:t>
            </w:r>
          </w:p>
          <w:p w14:paraId="473302CC" w14:textId="77777777" w:rsidR="00F62ED8" w:rsidRPr="00293ED1" w:rsidRDefault="00F62ED8" w:rsidP="00556212">
            <w:pPr>
              <w:pStyle w:val="Prrafodelista"/>
              <w:numPr>
                <w:ilvl w:val="0"/>
                <w:numId w:val="17"/>
              </w:numPr>
              <w:spacing w:after="120" w:line="276" w:lineRule="auto"/>
              <w:ind w:left="757"/>
              <w:contextualSpacing w:val="0"/>
              <w:rPr>
                <w:rFonts w:ascii="Verdana" w:hAnsi="Verdana" w:cs="Arial"/>
              </w:rPr>
            </w:pPr>
            <w:r>
              <w:rPr>
                <w:rFonts w:ascii="Verdana" w:hAnsi="Verdana" w:cs="Arial"/>
                <w:color w:val="000000" w:themeColor="text1"/>
              </w:rPr>
              <w:t xml:space="preserve">Código Civil, artículo 1624. </w:t>
            </w:r>
          </w:p>
          <w:p w14:paraId="0AFF28B9" w14:textId="77777777" w:rsidR="00F62ED8" w:rsidRDefault="00F62ED8" w:rsidP="00556212">
            <w:pPr>
              <w:pStyle w:val="Prrafodelista"/>
              <w:numPr>
                <w:ilvl w:val="0"/>
                <w:numId w:val="17"/>
              </w:numPr>
              <w:spacing w:after="120" w:line="276" w:lineRule="auto"/>
              <w:contextualSpacing w:val="0"/>
              <w:jc w:val="both"/>
              <w:rPr>
                <w:rFonts w:ascii="Verdana" w:hAnsi="Verdana" w:cs="Arial"/>
              </w:rPr>
            </w:pPr>
            <w:r w:rsidRPr="00293ED1">
              <w:rPr>
                <w:rFonts w:ascii="Verdana" w:hAnsi="Verdana" w:cs="Arial"/>
              </w:rPr>
              <w:t>Consejo de Estado. Sección Tercera, Subsección B. Sentencia del 16 de julio de 2015. C.P. Carlos Alberto Zambrano Barrera. Exp. 31.634</w:t>
            </w:r>
            <w:r>
              <w:rPr>
                <w:rFonts w:ascii="Verdana" w:hAnsi="Verdana" w:cs="Arial"/>
              </w:rPr>
              <w:t>.</w:t>
            </w:r>
          </w:p>
          <w:p w14:paraId="79CA0829" w14:textId="77777777" w:rsidR="00F62ED8" w:rsidRPr="00A212BE" w:rsidRDefault="00F62ED8" w:rsidP="00556212">
            <w:pPr>
              <w:pStyle w:val="Prrafodelista"/>
              <w:numPr>
                <w:ilvl w:val="0"/>
                <w:numId w:val="17"/>
              </w:numPr>
              <w:spacing w:after="120" w:line="276" w:lineRule="auto"/>
              <w:contextualSpacing w:val="0"/>
              <w:jc w:val="both"/>
              <w:rPr>
                <w:rFonts w:ascii="Verdana" w:hAnsi="Verdana" w:cs="Arial"/>
              </w:rPr>
            </w:pPr>
            <w:r>
              <w:rPr>
                <w:rFonts w:ascii="Verdana" w:hAnsi="Verdana" w:cs="Arial"/>
              </w:rPr>
              <w:t>Co</w:t>
            </w:r>
            <w:r w:rsidRPr="00293ED1">
              <w:rPr>
                <w:rFonts w:ascii="Verdana" w:hAnsi="Verdana" w:cs="Arial"/>
              </w:rPr>
              <w:t>ntraloría General de la República</w:t>
            </w:r>
            <w:r>
              <w:rPr>
                <w:rFonts w:ascii="Verdana" w:hAnsi="Verdana" w:cs="Arial"/>
              </w:rPr>
              <w:t>. Registro Nacional de Obras Civiles Inconclusas. Circular con Radicado</w:t>
            </w:r>
            <w:r w:rsidRPr="00293ED1">
              <w:rPr>
                <w:rFonts w:ascii="Verdana" w:hAnsi="Verdana" w:cs="Arial"/>
              </w:rPr>
              <w:t xml:space="preserve"> No. 2020EE0096013 del 28 de agosto de 2020</w:t>
            </w:r>
            <w:r>
              <w:rPr>
                <w:rFonts w:ascii="Verdana" w:hAnsi="Verdana" w:cs="Arial"/>
              </w:rPr>
              <w:t xml:space="preserve">. </w:t>
            </w:r>
          </w:p>
        </w:tc>
      </w:tr>
    </w:tbl>
    <w:p w14:paraId="081F6901" w14:textId="77777777" w:rsidR="00F62ED8" w:rsidRPr="00E46C82" w:rsidRDefault="00F62ED8" w:rsidP="00F62ED8">
      <w:pPr>
        <w:pStyle w:val="Prrafodelista"/>
        <w:tabs>
          <w:tab w:val="left" w:pos="142"/>
          <w:tab w:val="left" w:pos="284"/>
        </w:tabs>
        <w:spacing w:before="240" w:after="0" w:line="276" w:lineRule="auto"/>
        <w:ind w:left="0"/>
        <w:contextualSpacing w:val="0"/>
        <w:jc w:val="both"/>
        <w:rPr>
          <w:rStyle w:val="normaltextrun"/>
          <w:rFonts w:ascii="Verdana" w:eastAsia="Century Gothic" w:hAnsi="Verdana" w:cs="Century Gothic"/>
          <w:b/>
          <w:bCs/>
        </w:rPr>
      </w:pPr>
      <w:r>
        <w:rPr>
          <w:rFonts w:ascii="Verdana" w:eastAsia="Century Gothic" w:hAnsi="Verdana" w:cs="Century Gothic"/>
          <w:b/>
          <w:bCs/>
        </w:rPr>
        <w:t>V</w:t>
      </w:r>
      <w:r w:rsidRPr="00E46C82">
        <w:rPr>
          <w:rFonts w:ascii="Verdana" w:eastAsia="Century Gothic" w:hAnsi="Verdana" w:cs="Century Gothic"/>
          <w:b/>
          <w:bCs/>
        </w:rPr>
        <w:t>. Doctrina de la Agencia Nacional de Contratación Pública:</w:t>
      </w:r>
    </w:p>
    <w:p w14:paraId="380BEF7B" w14:textId="77777777" w:rsidR="00F62ED8" w:rsidRPr="0061345A" w:rsidRDefault="00F62ED8" w:rsidP="00F62ED8">
      <w:pPr>
        <w:widowControl w:val="0"/>
        <w:autoSpaceDE w:val="0"/>
        <w:autoSpaceDN w:val="0"/>
        <w:spacing w:before="120" w:after="0" w:line="276" w:lineRule="auto"/>
        <w:jc w:val="both"/>
        <w:rPr>
          <w:rFonts w:ascii="Verdana" w:hAnsi="Verdana" w:cs="Arial"/>
          <w:color w:val="000000" w:themeColor="text1"/>
          <w:shd w:val="clear" w:color="auto" w:fill="FFFFFF"/>
          <w:lang w:val="es-ES"/>
        </w:rPr>
      </w:pPr>
      <w:r w:rsidRPr="00E46C82">
        <w:rPr>
          <w:rStyle w:val="normaltextrun"/>
          <w:rFonts w:ascii="Verdana" w:hAnsi="Verdana" w:cs="Arial"/>
          <w:color w:val="000000" w:themeColor="text1"/>
          <w:shd w:val="clear" w:color="auto" w:fill="FFFFFF"/>
          <w:lang w:val="es-ES"/>
        </w:rPr>
        <w:t xml:space="preserve">Sobre el Registro Nacional de Obras Civiles Inconclusas, esta Subdirección se ha pronunciado en los conceptos Nro. C-088 del 17 de marzo de 2021, C-110 del </w:t>
      </w:r>
      <w:r w:rsidRPr="00E46C82">
        <w:rPr>
          <w:rStyle w:val="normaltextrun"/>
          <w:rFonts w:ascii="Verdana" w:hAnsi="Verdana" w:cs="Arial"/>
          <w:color w:val="000000" w:themeColor="text1"/>
          <w:shd w:val="clear" w:color="auto" w:fill="FFFFFF"/>
          <w:lang w:val="es-ES"/>
        </w:rPr>
        <w:lastRenderedPageBreak/>
        <w:t xml:space="preserve">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 y C-351 del 24 de </w:t>
      </w:r>
      <w:r>
        <w:rPr>
          <w:rStyle w:val="normaltextrun"/>
          <w:rFonts w:ascii="Verdana" w:hAnsi="Verdana" w:cs="Arial"/>
          <w:color w:val="000000" w:themeColor="text1"/>
          <w:shd w:val="clear" w:color="auto" w:fill="FFFFFF"/>
          <w:lang w:val="es-ES"/>
        </w:rPr>
        <w:t xml:space="preserve">abril de 2025, C-1249 del 14 de octubre de 2025,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CEF0A4A" w14:textId="77777777" w:rsidR="00F62ED8" w:rsidRPr="009037F6" w:rsidRDefault="00F62ED8" w:rsidP="00F62ED8">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396A9319" w14:textId="77777777" w:rsidR="00F62ED8" w:rsidRPr="009037F6" w:rsidRDefault="00F62ED8" w:rsidP="00F62ED8">
      <w:pPr>
        <w:spacing w:after="0"/>
        <w:jc w:val="both"/>
        <w:rPr>
          <w:rFonts w:ascii="Verdana" w:hAnsi="Verdana"/>
        </w:rPr>
      </w:pPr>
    </w:p>
    <w:p w14:paraId="4899F43B" w14:textId="77777777" w:rsidR="00F62ED8" w:rsidRDefault="00F62ED8" w:rsidP="00F62ED8">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553B6695" w14:textId="77777777" w:rsidR="00F62ED8" w:rsidRPr="009A385A" w:rsidRDefault="00F62ED8" w:rsidP="00F62ED8">
      <w:pPr>
        <w:spacing w:after="0"/>
        <w:jc w:val="both"/>
        <w:rPr>
          <w:rFonts w:ascii="Verdana" w:hAnsi="Verdana"/>
        </w:rPr>
      </w:pPr>
    </w:p>
    <w:p w14:paraId="62DB323A" w14:textId="77777777" w:rsidR="00F62ED8" w:rsidRDefault="00F62ED8" w:rsidP="00F62ED8">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0E22BB95" w14:textId="77777777" w:rsidR="00F62ED8" w:rsidRDefault="00F62ED8" w:rsidP="00F62ED8">
      <w:pPr>
        <w:spacing w:after="0"/>
        <w:jc w:val="both"/>
        <w:rPr>
          <w:rFonts w:ascii="Verdana" w:hAnsi="Verdana"/>
        </w:rPr>
      </w:pPr>
    </w:p>
    <w:p w14:paraId="6582F4CE" w14:textId="77777777" w:rsidR="00F62ED8" w:rsidRPr="008E1CD7" w:rsidRDefault="00F62ED8" w:rsidP="00F62ED8">
      <w:pPr>
        <w:spacing w:after="0"/>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BF66D15" w14:textId="77777777" w:rsidR="00F62ED8" w:rsidRDefault="00F62ED8" w:rsidP="00F62ED8">
      <w:pPr>
        <w:shd w:val="clear" w:color="auto" w:fill="FFFFFF"/>
        <w:spacing w:after="0" w:line="276" w:lineRule="auto"/>
        <w:jc w:val="both"/>
        <w:rPr>
          <w:rFonts w:ascii="Verdana" w:hAnsi="Verdana"/>
          <w:color w:val="000000"/>
          <w:u w:val="single"/>
        </w:rPr>
      </w:pPr>
    </w:p>
    <w:p w14:paraId="67C3AE32" w14:textId="77777777" w:rsidR="00F62ED8" w:rsidRPr="0038088D" w:rsidRDefault="00F62ED8" w:rsidP="00F62ED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8FE9FD6" w14:textId="77777777" w:rsidR="00F62ED8" w:rsidRPr="0038088D" w:rsidRDefault="00F62ED8" w:rsidP="00F62ED8">
      <w:pPr>
        <w:spacing w:after="0"/>
        <w:jc w:val="both"/>
        <w:rPr>
          <w:rFonts w:ascii="Verdana" w:hAnsi="Verdana"/>
        </w:rPr>
      </w:pPr>
    </w:p>
    <w:p w14:paraId="3B46AF42" w14:textId="77777777" w:rsidR="00F62ED8" w:rsidRPr="0038088D" w:rsidRDefault="00F62ED8" w:rsidP="00F62ED8">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1BE3AA4" w14:textId="77777777" w:rsidR="00F62ED8" w:rsidRPr="0038088D" w:rsidRDefault="00F62ED8" w:rsidP="00F62ED8">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19DC59E1" w14:textId="77777777" w:rsidR="00F62ED8" w:rsidRPr="0038088D" w:rsidRDefault="00F62ED8" w:rsidP="00F62ED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7">
        <w:r w:rsidRPr="0038088D">
          <w:rPr>
            <w:rStyle w:val="Hipervnculo"/>
            <w:rFonts w:ascii="Verdana" w:eastAsia="Verdana" w:hAnsi="Verdana" w:cs="Verdana"/>
          </w:rPr>
          <w:t>ventanilladeradicacion@colombiacompra.gov.co</w:t>
        </w:r>
      </w:hyperlink>
    </w:p>
    <w:p w14:paraId="3570DE56" w14:textId="77777777" w:rsidR="00F62ED8" w:rsidRPr="0038088D" w:rsidRDefault="00F62ED8" w:rsidP="00F62ED8">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8">
        <w:r w:rsidRPr="0038088D">
          <w:rPr>
            <w:rStyle w:val="Hipervnculo"/>
            <w:rFonts w:ascii="Verdana" w:eastAsia="Verdana" w:hAnsi="Verdana" w:cs="Verdana"/>
          </w:rPr>
          <w:t>https://www.colombiacompra.gov.co/pqrsd/informacion-importante-antes-de-formular-una-pqrsd</w:t>
        </w:r>
      </w:hyperlink>
    </w:p>
    <w:p w14:paraId="460E5BAA" w14:textId="77777777" w:rsidR="00F62ED8" w:rsidRPr="0038088D" w:rsidRDefault="00F62ED8" w:rsidP="00F62ED8">
      <w:pPr>
        <w:spacing w:after="0" w:line="240" w:lineRule="auto"/>
        <w:ind w:left="720"/>
        <w:jc w:val="both"/>
        <w:rPr>
          <w:rFonts w:ascii="Verdana" w:hAnsi="Verdana"/>
        </w:rPr>
      </w:pPr>
    </w:p>
    <w:p w14:paraId="2FDF5B1B" w14:textId="77777777" w:rsidR="00F62ED8" w:rsidRPr="0038088D" w:rsidRDefault="00F62ED8" w:rsidP="00F62ED8">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9"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6B6E630" w14:textId="77777777" w:rsidR="00F62ED8" w:rsidRPr="0038088D" w:rsidRDefault="00F62ED8" w:rsidP="00F62ED8">
      <w:pPr>
        <w:spacing w:after="0" w:line="240" w:lineRule="auto"/>
        <w:rPr>
          <w:rFonts w:ascii="Verdana" w:hAnsi="Verdana"/>
        </w:rPr>
      </w:pPr>
    </w:p>
    <w:p w14:paraId="51A98EF0" w14:textId="77777777" w:rsidR="00F62ED8" w:rsidRPr="0038088D" w:rsidRDefault="00F62ED8" w:rsidP="00F62ED8">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70DD5C4F" w14:textId="77777777" w:rsidR="00F62ED8" w:rsidRPr="00116940" w:rsidRDefault="00F62ED8" w:rsidP="00F62ED8">
      <w:pPr>
        <w:spacing w:after="0" w:line="240" w:lineRule="auto"/>
        <w:jc w:val="both"/>
        <w:rPr>
          <w:rFonts w:ascii="Verdana" w:hAnsi="Verdana"/>
        </w:rPr>
      </w:pPr>
    </w:p>
    <w:p w14:paraId="772B3BB5" w14:textId="77777777" w:rsidR="00F62ED8" w:rsidRPr="00116940" w:rsidRDefault="00F62ED8" w:rsidP="00F62ED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09E7614" w14:textId="77777777" w:rsidR="00F62ED8" w:rsidRPr="00116940" w:rsidRDefault="00F62ED8" w:rsidP="00F62ED8">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A24C9AF" w14:textId="77777777" w:rsidR="00F62ED8" w:rsidRPr="00E22E6E" w:rsidRDefault="00F62ED8" w:rsidP="00F62ED8">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05A3869" w14:textId="77777777" w:rsidR="00F62ED8" w:rsidRPr="009C4035" w:rsidRDefault="00F62ED8" w:rsidP="00F62ED8">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4032D4F5" w14:textId="77777777" w:rsidR="00F62ED8" w:rsidRPr="00593A5F" w:rsidRDefault="00F62ED8" w:rsidP="00F62ED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9209969" w14:textId="77777777" w:rsidR="00F62ED8" w:rsidRPr="00593A5F" w:rsidRDefault="00F62ED8" w:rsidP="00F62ED8">
      <w:pPr>
        <w:widowControl w:val="0"/>
        <w:autoSpaceDE w:val="0"/>
        <w:autoSpaceDN w:val="0"/>
        <w:spacing w:after="0" w:line="276" w:lineRule="auto"/>
        <w:jc w:val="both"/>
        <w:rPr>
          <w:rFonts w:ascii="Verdana" w:hAnsi="Verdana" w:cs="Arial"/>
        </w:rPr>
      </w:pPr>
    </w:p>
    <w:p w14:paraId="72AA4C40" w14:textId="7EC423C0" w:rsidR="00F62ED8" w:rsidRDefault="00F62ED8" w:rsidP="00F62ED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42D0D0A" w14:textId="77777777" w:rsidR="00E914B3" w:rsidRPr="00593A5F" w:rsidRDefault="00E914B3" w:rsidP="00F62ED8">
      <w:pPr>
        <w:spacing w:after="0" w:line="240" w:lineRule="auto"/>
        <w:rPr>
          <w:rFonts w:ascii="Verdana" w:hAnsi="Verdana" w:cs="Arial"/>
          <w:lang w:eastAsia="es-CO"/>
        </w:rPr>
      </w:pPr>
    </w:p>
    <w:p w14:paraId="3F52E022" w14:textId="3BB122D0" w:rsidR="00F62ED8" w:rsidRPr="00E914B3" w:rsidRDefault="00E914B3" w:rsidP="00E914B3">
      <w:pPr>
        <w:spacing w:line="276" w:lineRule="auto"/>
        <w:jc w:val="center"/>
        <w:rPr>
          <w:noProof/>
          <w:lang w:val="en-US"/>
        </w:rPr>
      </w:pPr>
      <w:r w:rsidRPr="002C3AD6">
        <w:rPr>
          <w:rFonts w:ascii="Century Gothic" w:hAnsi="Century Gothic"/>
          <w:noProof/>
          <w:lang w:val="en-US"/>
        </w:rPr>
        <w:drawing>
          <wp:inline distT="0" distB="0" distL="0" distR="0" wp14:anchorId="225CC950" wp14:editId="5CA3D947">
            <wp:extent cx="3279697" cy="1217463"/>
            <wp:effectExtent l="0" t="0" r="0" b="1905"/>
            <wp:docPr id="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2ED8" w:rsidRPr="00593A5F" w14:paraId="0D4E59B6" w14:textId="77777777" w:rsidTr="00556212">
        <w:trPr>
          <w:trHeight w:val="315"/>
        </w:trPr>
        <w:tc>
          <w:tcPr>
            <w:tcW w:w="893" w:type="dxa"/>
            <w:vAlign w:val="center"/>
            <w:hideMark/>
          </w:tcPr>
          <w:p w14:paraId="696D564F" w14:textId="77777777" w:rsidR="00F62ED8" w:rsidRPr="003751C7" w:rsidRDefault="00F62ED8" w:rsidP="0055621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2950C5D" w14:textId="6D2D357E" w:rsidR="00F62ED8" w:rsidRPr="00254A7A" w:rsidRDefault="00F62ED8" w:rsidP="00556212">
            <w:pPr>
              <w:contextualSpacing/>
              <w:rPr>
                <w:rStyle w:val="normaltextrun"/>
                <w:rFonts w:ascii="Verdana" w:hAnsi="Verdana"/>
                <w:sz w:val="16"/>
                <w:szCs w:val="16"/>
              </w:rPr>
            </w:pPr>
            <w:r>
              <w:rPr>
                <w:rStyle w:val="normaltextrun"/>
                <w:rFonts w:ascii="Verdana" w:hAnsi="Verdana"/>
                <w:sz w:val="16"/>
                <w:szCs w:val="16"/>
              </w:rPr>
              <w:t>José Luis Sánchez Cardona</w:t>
            </w:r>
          </w:p>
          <w:p w14:paraId="4B080255" w14:textId="77777777" w:rsidR="00F62ED8" w:rsidRPr="00254A7A" w:rsidRDefault="00F62ED8" w:rsidP="0055621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62ED8" w:rsidRPr="00593A5F" w14:paraId="4E233132" w14:textId="77777777" w:rsidTr="00556212">
        <w:trPr>
          <w:trHeight w:val="330"/>
        </w:trPr>
        <w:tc>
          <w:tcPr>
            <w:tcW w:w="893" w:type="dxa"/>
            <w:vAlign w:val="center"/>
            <w:hideMark/>
          </w:tcPr>
          <w:p w14:paraId="11D46500" w14:textId="77777777" w:rsidR="00F62ED8" w:rsidRPr="003751C7" w:rsidRDefault="00F62ED8" w:rsidP="0055621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33683A" w14:textId="77777777" w:rsidR="00F62ED8" w:rsidRPr="001B6B73" w:rsidRDefault="00F62ED8" w:rsidP="00556212">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w:t>
            </w:r>
            <w:r>
              <w:rPr>
                <w:rStyle w:val="normaltextrun"/>
                <w:rFonts w:ascii="Verdana" w:hAnsi="Verdana" w:cs="Arial"/>
                <w:sz w:val="16"/>
                <w:szCs w:val="16"/>
                <w:lang w:val="es-ES_tradnl"/>
              </w:rPr>
              <w:t xml:space="preserve"> R.</w:t>
            </w:r>
            <w:r w:rsidRPr="001B6B73">
              <w:rPr>
                <w:rStyle w:val="normaltextrun"/>
                <w:rFonts w:ascii="Verdana" w:hAnsi="Verdana" w:cs="Arial"/>
                <w:sz w:val="16"/>
                <w:szCs w:val="16"/>
                <w:lang w:val="es-ES_tradnl"/>
              </w:rPr>
              <w:t xml:space="preserve"> Sarmiento Cantillo</w:t>
            </w:r>
          </w:p>
          <w:p w14:paraId="7B322786" w14:textId="77777777" w:rsidR="00F62ED8" w:rsidRPr="00254A7A" w:rsidRDefault="00F62ED8" w:rsidP="00556212">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F62ED8" w:rsidRPr="00593A5F" w14:paraId="2736D016" w14:textId="77777777" w:rsidTr="00556212">
        <w:trPr>
          <w:trHeight w:val="300"/>
        </w:trPr>
        <w:tc>
          <w:tcPr>
            <w:tcW w:w="893" w:type="dxa"/>
            <w:vAlign w:val="center"/>
          </w:tcPr>
          <w:p w14:paraId="37232C32" w14:textId="77777777" w:rsidR="00F62ED8" w:rsidRPr="003751C7" w:rsidRDefault="00F62ED8" w:rsidP="0055621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635C9E" w14:textId="7288851F" w:rsidR="00F62ED8" w:rsidRPr="003751C7" w:rsidRDefault="00F62ED8" w:rsidP="0055621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0DE50D2B" w14:textId="77777777" w:rsidR="00F62ED8" w:rsidRPr="003751C7" w:rsidRDefault="00F62ED8" w:rsidP="0055621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7CD9AEEF" w14:textId="77777777" w:rsidR="00F62ED8" w:rsidRPr="000E2B93" w:rsidRDefault="00F62ED8" w:rsidP="00F62ED8">
      <w:pPr>
        <w:spacing w:after="0" w:line="240" w:lineRule="auto"/>
        <w:jc w:val="both"/>
        <w:textAlignment w:val="baseline"/>
        <w:rPr>
          <w:rFonts w:ascii="Verdana" w:eastAsia="Verdana" w:hAnsi="Verdana" w:cs="Verdana"/>
          <w:lang w:eastAsia="es-CO"/>
        </w:rPr>
      </w:pPr>
    </w:p>
    <w:p w14:paraId="461909F3" w14:textId="04DF7F67" w:rsidR="00F62ED8" w:rsidRPr="000E2B93" w:rsidRDefault="00F62ED8" w:rsidP="00F62ED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4D4A9997" w14:textId="0DE78DD6" w:rsidR="00662087" w:rsidRPr="000E2B93" w:rsidRDefault="00662087" w:rsidP="00662087">
      <w:pPr>
        <w:spacing w:after="0" w:line="240" w:lineRule="auto"/>
        <w:textAlignment w:val="baseline"/>
        <w:rPr>
          <w:rFonts w:ascii="Verdana" w:eastAsia="Verdana" w:hAnsi="Verdana" w:cs="Verdana"/>
          <w:lang w:eastAsia="es-CO"/>
        </w:rPr>
      </w:pPr>
    </w:p>
    <w:bookmarkEnd w:id="0"/>
    <w:p w14:paraId="73C61EC8" w14:textId="0108CDF2" w:rsidR="00EB224C" w:rsidRPr="00662087" w:rsidRDefault="00EB224C" w:rsidP="00662087"/>
    <w:sectPr w:rsidR="00EB224C" w:rsidRPr="00662087"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1C438" w14:textId="77777777" w:rsidR="00940FAB" w:rsidRDefault="00940FAB" w:rsidP="004A1847">
      <w:pPr>
        <w:spacing w:after="0" w:line="240" w:lineRule="auto"/>
      </w:pPr>
      <w:r>
        <w:separator/>
      </w:r>
    </w:p>
  </w:endnote>
  <w:endnote w:type="continuationSeparator" w:id="0">
    <w:p w14:paraId="4039B38D" w14:textId="77777777" w:rsidR="00940FAB" w:rsidRDefault="00940FA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76B8973E"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914B3" w:rsidRPr="00E914B3">
      <w:rPr>
        <w:rFonts w:ascii="Verdana" w:eastAsiaTheme="minorEastAsia" w:hAnsi="Verdana"/>
        <w:b/>
        <w:bCs/>
        <w:noProof/>
        <w:sz w:val="16"/>
        <w:szCs w:val="16"/>
      </w:rPr>
      <w:t>3</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D2218" w14:textId="77777777" w:rsidR="00940FAB" w:rsidRDefault="00940FAB" w:rsidP="004A1847">
      <w:pPr>
        <w:spacing w:after="0" w:line="240" w:lineRule="auto"/>
      </w:pPr>
      <w:r>
        <w:separator/>
      </w:r>
    </w:p>
  </w:footnote>
  <w:footnote w:type="continuationSeparator" w:id="0">
    <w:p w14:paraId="545B3A75" w14:textId="77777777" w:rsidR="00940FAB" w:rsidRDefault="00940FAB" w:rsidP="004A1847">
      <w:pPr>
        <w:spacing w:after="0" w:line="240" w:lineRule="auto"/>
      </w:pPr>
      <w:r>
        <w:continuationSeparator/>
      </w:r>
    </w:p>
  </w:footnote>
  <w:footnote w:id="1">
    <w:p w14:paraId="46487A93" w14:textId="77777777" w:rsidR="00F62ED8" w:rsidRPr="00E914B3" w:rsidRDefault="00F62ED8" w:rsidP="00F62ED8">
      <w:pPr>
        <w:pStyle w:val="Textonotapie"/>
        <w:tabs>
          <w:tab w:val="left" w:pos="1138"/>
        </w:tabs>
        <w:snapToGrid w:val="0"/>
        <w:ind w:firstLine="709"/>
        <w:contextualSpacing/>
        <w:jc w:val="both"/>
        <w:rPr>
          <w:rFonts w:ascii="Verdana" w:hAnsi="Verdana" w:cs="Arial"/>
          <w:sz w:val="16"/>
          <w:szCs w:val="16"/>
        </w:rPr>
      </w:pPr>
      <w:r w:rsidRPr="00E914B3">
        <w:rPr>
          <w:rFonts w:ascii="Verdana" w:hAnsi="Verdana" w:cs="Arial"/>
          <w:sz w:val="16"/>
          <w:szCs w:val="16"/>
        </w:rPr>
        <w:tab/>
      </w: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 xml:space="preserve">Sobre el particular, se puede consultar la Gaceta 158 del cuarto debate en el Senado. Disponible en: </w:t>
      </w:r>
      <w:hyperlink r:id="rId1" w:history="1">
        <w:r w:rsidRPr="00E914B3">
          <w:rPr>
            <w:rFonts w:ascii="Verdana" w:hAnsi="Verdana" w:cs="Arial"/>
            <w:sz w:val="16"/>
            <w:szCs w:val="16"/>
            <w:lang w:val="es-ES"/>
          </w:rPr>
          <w:t>http://svrpubindc.imprenta.gov.co/senado/index.xhtml;jsessionid=b3ba7213a248bacd37376ffcedca</w:t>
        </w:r>
      </w:hyperlink>
      <w:r w:rsidRPr="00E914B3">
        <w:rPr>
          <w:rFonts w:ascii="Verdana" w:hAnsi="Verdana" w:cs="Arial"/>
          <w:sz w:val="16"/>
          <w:szCs w:val="16"/>
          <w:lang w:val="es-ES"/>
        </w:rPr>
        <w:t xml:space="preserve">   </w:t>
      </w:r>
      <w:r w:rsidRPr="00E914B3">
        <w:rPr>
          <w:rFonts w:ascii="Verdana" w:hAnsi="Verdana" w:cs="Arial"/>
          <w:sz w:val="16"/>
          <w:szCs w:val="16"/>
        </w:rPr>
        <w:t xml:space="preserve"> </w:t>
      </w:r>
    </w:p>
  </w:footnote>
  <w:footnote w:id="2">
    <w:p w14:paraId="659333C4" w14:textId="77777777" w:rsidR="00F62ED8" w:rsidRPr="00E914B3" w:rsidRDefault="00F62ED8" w:rsidP="00F62ED8">
      <w:pPr>
        <w:pStyle w:val="Textonotapie"/>
        <w:snapToGrid w:val="0"/>
        <w:ind w:firstLine="709"/>
        <w:contextualSpacing/>
        <w:jc w:val="both"/>
        <w:rPr>
          <w:rFonts w:ascii="Verdana" w:hAnsi="Verdana" w:cs="Arial"/>
          <w:sz w:val="16"/>
          <w:szCs w:val="16"/>
          <w:lang w:val="es-ES"/>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 xml:space="preserve">Exposición de motivos del Proyecto de Ley No. 025 de 2018 Cámara. Disponible en: </w:t>
      </w:r>
      <w:hyperlink r:id="rId2" w:history="1">
        <w:r w:rsidRPr="00E914B3">
          <w:rPr>
            <w:rStyle w:val="Hipervnculo"/>
            <w:rFonts w:ascii="Verdana" w:hAnsi="Verdana" w:cs="Arial"/>
            <w:sz w:val="16"/>
            <w:szCs w:val="16"/>
            <w:lang w:val="es-ES"/>
          </w:rPr>
          <w:t>http://leyes.senado.gov.co/proyectos/images/documentos/Textos%20Radicados/Ponencias/2018/gaceta_563.pdf</w:t>
        </w:r>
      </w:hyperlink>
      <w:r w:rsidRPr="00E914B3">
        <w:rPr>
          <w:rFonts w:ascii="Verdana" w:hAnsi="Verdana" w:cs="Arial"/>
          <w:sz w:val="16"/>
          <w:szCs w:val="16"/>
          <w:lang w:val="es-ES"/>
        </w:rPr>
        <w:t xml:space="preserve"> </w:t>
      </w:r>
    </w:p>
  </w:footnote>
  <w:footnote w:id="3">
    <w:p w14:paraId="5B35D94B" w14:textId="77777777" w:rsidR="00F62ED8" w:rsidRPr="00E914B3" w:rsidRDefault="00F62ED8" w:rsidP="00F62ED8">
      <w:pPr>
        <w:pStyle w:val="Textonotapie"/>
        <w:snapToGrid w:val="0"/>
        <w:ind w:firstLine="709"/>
        <w:contextualSpacing/>
        <w:jc w:val="both"/>
        <w:rPr>
          <w:rFonts w:ascii="Verdana" w:hAnsi="Verdana" w:cs="Arial"/>
          <w:sz w:val="16"/>
          <w:szCs w:val="16"/>
          <w:lang w:val="es-ES"/>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4">
    <w:p w14:paraId="3BDDEC16" w14:textId="77777777" w:rsidR="00F62ED8" w:rsidRPr="00E914B3" w:rsidRDefault="00F62ED8" w:rsidP="00F62ED8">
      <w:pPr>
        <w:pStyle w:val="Textonotapie"/>
        <w:snapToGrid w:val="0"/>
        <w:ind w:firstLine="709"/>
        <w:contextualSpacing/>
        <w:jc w:val="both"/>
        <w:rPr>
          <w:rFonts w:ascii="Verdana" w:hAnsi="Verdana" w:cs="Arial"/>
          <w:sz w:val="16"/>
          <w:szCs w:val="16"/>
          <w:lang w:val="es-ES"/>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4BB6D9AA" w14:textId="77777777" w:rsidR="00F62ED8" w:rsidRPr="00E914B3" w:rsidRDefault="00F62ED8" w:rsidP="00F62ED8">
      <w:pPr>
        <w:pStyle w:val="Textonotapie"/>
        <w:snapToGrid w:val="0"/>
        <w:ind w:firstLine="709"/>
        <w:contextualSpacing/>
        <w:jc w:val="both"/>
        <w:rPr>
          <w:rFonts w:ascii="Verdana" w:hAnsi="Verdana" w:cs="Arial"/>
          <w:sz w:val="16"/>
          <w:szCs w:val="16"/>
          <w:lang w:val="es-ES"/>
        </w:rPr>
      </w:pPr>
      <w:r w:rsidRPr="00E914B3">
        <w:rPr>
          <w:rFonts w:ascii="Verdana" w:hAnsi="Verdana" w:cs="Arial"/>
          <w:sz w:val="16"/>
          <w:szCs w:val="16"/>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5">
    <w:p w14:paraId="40C92826" w14:textId="77777777" w:rsidR="00F62ED8" w:rsidRPr="00E914B3" w:rsidRDefault="00F62ED8" w:rsidP="00F62ED8">
      <w:pPr>
        <w:pStyle w:val="Textonotapie"/>
        <w:snapToGrid w:val="0"/>
        <w:ind w:firstLine="709"/>
        <w:contextualSpacing/>
        <w:jc w:val="both"/>
        <w:rPr>
          <w:rFonts w:ascii="Verdana" w:hAnsi="Verdana" w:cs="Arial"/>
          <w:color w:val="4472C4" w:themeColor="accent1"/>
          <w:sz w:val="16"/>
          <w:szCs w:val="16"/>
          <w:lang w:val="es-ES"/>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3" w:history="1">
        <w:r w:rsidRPr="00E914B3">
          <w:rPr>
            <w:rStyle w:val="Hipervnculo1"/>
            <w:rFonts w:ascii="Verdana" w:hAnsi="Verdana" w:cs="Arial"/>
            <w:color w:val="4472C4" w:themeColor="accent1"/>
            <w:sz w:val="16"/>
            <w:szCs w:val="16"/>
          </w:rPr>
          <w:t>https://www.contraloria.gov.co/documents/20181/1776254/CIRCULAR_2020EE0096013_REGISTRO_NACIONAL_OBRAS_INCONCLUSAS.PDF/785952d4-4b41-48cb-916b-4881c3b4a095</w:t>
        </w:r>
      </w:hyperlink>
    </w:p>
  </w:footnote>
  <w:footnote w:id="6">
    <w:p w14:paraId="00160809" w14:textId="77777777" w:rsidR="00F62ED8" w:rsidRPr="00E914B3" w:rsidRDefault="00F62ED8" w:rsidP="00F62ED8">
      <w:pPr>
        <w:pStyle w:val="Textonotapie"/>
        <w:snapToGrid w:val="0"/>
        <w:ind w:firstLine="709"/>
        <w:contextualSpacing/>
        <w:jc w:val="both"/>
        <w:rPr>
          <w:rFonts w:ascii="Verdana" w:eastAsia="Calibri" w:hAnsi="Verdana" w:cs="Arial"/>
          <w:sz w:val="16"/>
          <w:szCs w:val="16"/>
          <w:lang w:val="es-ES_tradnl" w:eastAsia="en-GB"/>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CO"/>
        </w:rPr>
        <w:t xml:space="preserve">Al respecto, el parágrafo 3 </w:t>
      </w:r>
      <w:r w:rsidRPr="00E914B3">
        <w:rPr>
          <w:rFonts w:ascii="Verdana" w:eastAsia="Calibri" w:hAnsi="Verdana" w:cs="Arial"/>
          <w:sz w:val="16"/>
          <w:szCs w:val="16"/>
          <w:lang w:val="es-ES_tradnl" w:eastAsia="en-GB"/>
        </w:rPr>
        <w:t xml:space="preserve">del artículo 3 de la Ley 2020 de 2020 establece lo siguiente: </w:t>
      </w:r>
      <w:r w:rsidRPr="00E914B3">
        <w:rPr>
          <w:rFonts w:ascii="Verdana" w:hAnsi="Verdana" w:cs="Arial"/>
          <w:sz w:val="16"/>
          <w:szCs w:val="16"/>
          <w:lang w:val="es-ES"/>
        </w:rPr>
        <w:t>“</w:t>
      </w:r>
      <w:r w:rsidRPr="00E914B3">
        <w:rPr>
          <w:rFonts w:ascii="Verdana" w:eastAsia="Calibri" w:hAnsi="Verdana" w:cs="Arial"/>
          <w:sz w:val="16"/>
          <w:szCs w:val="16"/>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683EE6A8" w14:textId="77777777" w:rsidR="00F62ED8" w:rsidRPr="00E914B3" w:rsidRDefault="00F62ED8" w:rsidP="00F62ED8">
      <w:pPr>
        <w:pStyle w:val="Textonotapie"/>
        <w:snapToGrid w:val="0"/>
        <w:ind w:firstLine="709"/>
        <w:contextualSpacing/>
        <w:jc w:val="both"/>
        <w:rPr>
          <w:rFonts w:ascii="Verdana" w:hAnsi="Verdana" w:cs="Arial"/>
          <w:sz w:val="16"/>
          <w:szCs w:val="16"/>
          <w:lang w:val="es-CO"/>
        </w:rPr>
      </w:pPr>
      <w:r w:rsidRPr="00E914B3">
        <w:rPr>
          <w:rFonts w:ascii="Verdana" w:hAnsi="Verdana" w:cs="Arial"/>
          <w:sz w:val="16"/>
          <w:szCs w:val="16"/>
          <w:lang w:val="es-ES"/>
        </w:rPr>
        <w:t>“</w:t>
      </w:r>
      <w:r w:rsidRPr="00E914B3">
        <w:rPr>
          <w:rFonts w:ascii="Verdana" w:eastAsia="Calibri" w:hAnsi="Verdana" w:cs="Arial"/>
          <w:sz w:val="16"/>
          <w:szCs w:val="16"/>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E914B3">
        <w:rPr>
          <w:rFonts w:ascii="Verdana" w:hAnsi="Verdana" w:cs="Arial"/>
          <w:sz w:val="16"/>
          <w:szCs w:val="16"/>
          <w:lang w:val="es-ES"/>
        </w:rPr>
        <w:t>”.</w:t>
      </w:r>
    </w:p>
  </w:footnote>
  <w:footnote w:id="7">
    <w:p w14:paraId="5023AD5F" w14:textId="77777777" w:rsidR="00F62ED8" w:rsidRPr="00E914B3" w:rsidRDefault="00F62ED8" w:rsidP="00F62ED8">
      <w:pPr>
        <w:pStyle w:val="Textonotapie"/>
        <w:snapToGrid w:val="0"/>
        <w:ind w:firstLine="708"/>
        <w:contextualSpacing/>
        <w:jc w:val="both"/>
        <w:rPr>
          <w:rFonts w:ascii="Verdana" w:hAnsi="Verdana" w:cs="Arial"/>
          <w:sz w:val="16"/>
          <w:szCs w:val="16"/>
          <w:lang w:val="es-CO"/>
        </w:rPr>
      </w:pPr>
      <w:r w:rsidRPr="00E914B3">
        <w:rPr>
          <w:rStyle w:val="Refdenotaalpie"/>
          <w:rFonts w:ascii="Verdana" w:hAnsi="Verdana" w:cs="Arial"/>
          <w:sz w:val="16"/>
          <w:szCs w:val="16"/>
        </w:rPr>
        <w:footnoteRef/>
      </w:r>
      <w:r w:rsidRPr="00E914B3">
        <w:rPr>
          <w:rFonts w:ascii="Verdana" w:hAnsi="Verdana" w:cs="Arial"/>
          <w:sz w:val="16"/>
          <w:szCs w:val="16"/>
        </w:rPr>
        <w:t xml:space="preserve"> Puede ser consultada en: </w:t>
      </w:r>
      <w:hyperlink r:id="rId4" w:history="1">
        <w:r w:rsidRPr="00E914B3">
          <w:rPr>
            <w:rStyle w:val="Hipervnculo1"/>
            <w:rFonts w:ascii="Verdana" w:hAnsi="Verdana" w:cs="Arial"/>
            <w:color w:val="4472C4" w:themeColor="accent1"/>
            <w:sz w:val="16"/>
            <w:szCs w:val="16"/>
          </w:rPr>
          <w:t>https://www.contraloria.gov.co/web/relatoria/normatividad-y-relatoria</w:t>
        </w:r>
      </w:hyperlink>
      <w:r w:rsidRPr="00E914B3">
        <w:rPr>
          <w:rStyle w:val="Hipervnculo1"/>
          <w:rFonts w:ascii="Verdana" w:hAnsi="Verdana" w:cs="Arial"/>
          <w:color w:val="4472C4" w:themeColor="accent1"/>
          <w:sz w:val="16"/>
          <w:szCs w:val="16"/>
        </w:rPr>
        <w:t xml:space="preserve"> </w:t>
      </w:r>
    </w:p>
  </w:footnote>
  <w:footnote w:id="8">
    <w:p w14:paraId="03BF0409" w14:textId="77777777" w:rsidR="00F62ED8" w:rsidRPr="00E914B3" w:rsidRDefault="00F62ED8" w:rsidP="00F62ED8">
      <w:pPr>
        <w:pStyle w:val="Textonotapie"/>
        <w:snapToGrid w:val="0"/>
        <w:ind w:firstLine="709"/>
        <w:contextualSpacing/>
        <w:jc w:val="both"/>
        <w:rPr>
          <w:rFonts w:ascii="Verdana" w:hAnsi="Verdana" w:cs="Arial"/>
          <w:sz w:val="16"/>
          <w:szCs w:val="16"/>
          <w:lang w:val="es-CO"/>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hAnsi="Verdana" w:cs="Arial"/>
          <w:sz w:val="16"/>
          <w:szCs w:val="16"/>
          <w:lang w:val="es-ES"/>
        </w:rPr>
        <w:t>“Artículo 9. Responsables. Los responsables de hacer el inventario de obras inconclusas,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9">
    <w:p w14:paraId="520A7DAC" w14:textId="77777777" w:rsidR="00F62ED8" w:rsidRPr="00E914B3" w:rsidRDefault="00F62ED8" w:rsidP="00F62ED8">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E914B3">
        <w:rPr>
          <w:rStyle w:val="Refdenotaalpie"/>
          <w:rFonts w:ascii="Verdana" w:hAnsi="Verdana" w:cs="Arial"/>
          <w:sz w:val="16"/>
          <w:szCs w:val="16"/>
        </w:rPr>
        <w:footnoteRef/>
      </w:r>
      <w:r w:rsidRPr="00E914B3">
        <w:rPr>
          <w:rFonts w:ascii="Verdana" w:hAnsi="Verdana" w:cs="Arial"/>
          <w:sz w:val="16"/>
          <w:szCs w:val="16"/>
        </w:rPr>
        <w:t xml:space="preserve"> “</w:t>
      </w:r>
      <w:r w:rsidRPr="00E914B3">
        <w:rPr>
          <w:rFonts w:ascii="Verdana" w:eastAsiaTheme="minorHAnsi" w:hAnsi="Verdana" w:cs="Arial"/>
          <w:sz w:val="16"/>
          <w:szCs w:val="16"/>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7784165C" w14:textId="77777777" w:rsidR="00F62ED8" w:rsidRPr="00E914B3" w:rsidRDefault="00F62ED8" w:rsidP="00F62ED8">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E914B3">
        <w:rPr>
          <w:rFonts w:ascii="Verdana" w:eastAsiaTheme="minorHAnsi" w:hAnsi="Verdana" w:cs="Arial"/>
          <w:sz w:val="16"/>
          <w:szCs w:val="16"/>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5" w:anchor="136" w:history="1">
        <w:r w:rsidRPr="00E914B3">
          <w:rPr>
            <w:rFonts w:ascii="Verdana" w:eastAsiaTheme="minorHAnsi" w:hAnsi="Verdana" w:cs="Arial"/>
            <w:sz w:val="16"/>
            <w:szCs w:val="16"/>
            <w:lang w:val="es-ES" w:eastAsia="en-US"/>
          </w:rPr>
          <w:t>136</w:t>
        </w:r>
      </w:hyperlink>
      <w:r w:rsidRPr="00E914B3">
        <w:rPr>
          <w:rFonts w:ascii="Verdana" w:eastAsiaTheme="minorHAnsi" w:hAnsi="Verdana" w:cs="Arial"/>
          <w:sz w:val="16"/>
          <w:szCs w:val="16"/>
          <w:lang w:val="es-ES" w:eastAsia="en-US"/>
        </w:rPr>
        <w:t> del C. C. A.</w:t>
      </w:r>
    </w:p>
    <w:p w14:paraId="215AB053" w14:textId="77777777" w:rsidR="00F62ED8" w:rsidRPr="00E914B3" w:rsidRDefault="00F62ED8" w:rsidP="00F62ED8">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E914B3">
        <w:rPr>
          <w:rFonts w:ascii="Verdana" w:eastAsiaTheme="minorHAnsi" w:hAnsi="Verdana" w:cs="Arial"/>
          <w:sz w:val="16"/>
          <w:szCs w:val="16"/>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6" w:anchor="136" w:history="1">
        <w:r w:rsidRPr="00E914B3">
          <w:rPr>
            <w:rFonts w:ascii="Verdana" w:eastAsiaTheme="minorHAnsi" w:hAnsi="Verdana" w:cs="Arial"/>
            <w:sz w:val="16"/>
            <w:szCs w:val="16"/>
            <w:lang w:val="es-ES" w:eastAsia="en-US"/>
          </w:rPr>
          <w:t>136</w:t>
        </w:r>
      </w:hyperlink>
      <w:r w:rsidRPr="00E914B3">
        <w:rPr>
          <w:rFonts w:ascii="Verdana" w:eastAsiaTheme="minorHAnsi" w:hAnsi="Verdana" w:cs="Arial"/>
          <w:sz w:val="16"/>
          <w:szCs w:val="16"/>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0">
    <w:p w14:paraId="2F2B1F05"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Style w:val="Refdenotaalpie"/>
          <w:rFonts w:ascii="Verdana" w:hAnsi="Verdana" w:cs="Arial"/>
          <w:sz w:val="16"/>
          <w:szCs w:val="16"/>
        </w:rPr>
        <w:footnoteRef/>
      </w:r>
      <w:r w:rsidRPr="00E914B3">
        <w:rPr>
          <w:rFonts w:ascii="Verdana" w:hAnsi="Verdana" w:cs="Arial"/>
          <w:sz w:val="16"/>
          <w:szCs w:val="16"/>
        </w:rPr>
        <w:t xml:space="preserve"> “Artículo 164. Oportunidad para presentar la demanda. La demanda deberá ser presentada: </w:t>
      </w:r>
    </w:p>
    <w:p w14:paraId="2451C581"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Fonts w:ascii="Verdana" w:hAnsi="Verdana" w:cs="Arial"/>
          <w:sz w:val="16"/>
          <w:szCs w:val="16"/>
        </w:rPr>
        <w:t>[…]</w:t>
      </w:r>
    </w:p>
    <w:p w14:paraId="7012B2AA"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Fonts w:ascii="Verdana" w:hAnsi="Verdana" w:cs="Arial"/>
          <w:sz w:val="16"/>
          <w:szCs w:val="16"/>
        </w:rPr>
        <w:t>2. En los siguientes términos, so pena de que opere la caducidad:</w:t>
      </w:r>
    </w:p>
    <w:p w14:paraId="185D0491"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Fonts w:ascii="Verdana" w:hAnsi="Verdana" w:cs="Arial"/>
          <w:sz w:val="16"/>
          <w:szCs w:val="16"/>
        </w:rPr>
        <w:t>j) En las relativas a contratos el término para demandar será de dos (2) años que se contarán a partir del día siguiente a la ocurrencia de los motivos de hecho o de derecho que les sirvan de fundamento.</w:t>
      </w:r>
    </w:p>
    <w:p w14:paraId="4384FC3A"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Fonts w:ascii="Verdana" w:hAnsi="Verdana" w:cs="Arial"/>
          <w:sz w:val="16"/>
          <w:szCs w:val="16"/>
        </w:rPr>
        <w:t>[…]</w:t>
      </w:r>
    </w:p>
    <w:p w14:paraId="5FCD16D5" w14:textId="77777777" w:rsidR="00F62ED8" w:rsidRPr="00E914B3" w:rsidRDefault="00F62ED8" w:rsidP="00F62ED8">
      <w:pPr>
        <w:pStyle w:val="Textonotapie"/>
        <w:snapToGrid w:val="0"/>
        <w:ind w:firstLine="709"/>
        <w:contextualSpacing/>
        <w:jc w:val="both"/>
        <w:rPr>
          <w:rFonts w:ascii="Verdana" w:hAnsi="Verdana" w:cs="Arial"/>
          <w:sz w:val="16"/>
          <w:szCs w:val="16"/>
        </w:rPr>
      </w:pPr>
      <w:r w:rsidRPr="00E914B3">
        <w:rPr>
          <w:rFonts w:ascii="Verdana" w:hAnsi="Verdana" w:cs="Arial"/>
          <w:sz w:val="16"/>
          <w:szCs w:val="16"/>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1">
    <w:p w14:paraId="59F1DA72" w14:textId="77777777" w:rsidR="00F62ED8" w:rsidRPr="00E914B3" w:rsidRDefault="00F62ED8" w:rsidP="00F62ED8">
      <w:pPr>
        <w:pStyle w:val="Textonotapie"/>
        <w:ind w:firstLine="708"/>
        <w:rPr>
          <w:rFonts w:ascii="Verdana" w:hAnsi="Verdana"/>
          <w:sz w:val="16"/>
          <w:szCs w:val="16"/>
          <w:lang w:val="es-ES"/>
        </w:rPr>
      </w:pPr>
      <w:r w:rsidRPr="00E914B3">
        <w:rPr>
          <w:rStyle w:val="Refdenotaalpie"/>
          <w:rFonts w:ascii="Verdana" w:hAnsi="Verdana"/>
          <w:sz w:val="16"/>
          <w:szCs w:val="16"/>
        </w:rPr>
        <w:footnoteRef/>
      </w:r>
      <w:r w:rsidRPr="00E914B3">
        <w:rPr>
          <w:rFonts w:ascii="Verdana" w:hAnsi="Verdana"/>
          <w:sz w:val="16"/>
          <w:szCs w:val="16"/>
        </w:rPr>
        <w:t xml:space="preserve"> </w:t>
      </w:r>
      <w:r w:rsidRPr="00E914B3">
        <w:rPr>
          <w:rFonts w:ascii="Verdana" w:hAnsi="Verdana"/>
          <w:sz w:val="16"/>
          <w:szCs w:val="16"/>
          <w:lang w:val="es-ES"/>
        </w:rPr>
        <w:t xml:space="preserve">Esta ha sido la interpretación sostenida en diversos conceptos por parte de la Contraloría General de la República: CGR-OJ-195-2020 y CGR-OJ-0004-2023, entre otros. </w:t>
      </w:r>
    </w:p>
  </w:footnote>
  <w:footnote w:id="12">
    <w:p w14:paraId="2E5624ED" w14:textId="77777777" w:rsidR="00F62ED8" w:rsidRPr="00E914B3" w:rsidRDefault="00F62ED8" w:rsidP="00F62ED8">
      <w:pPr>
        <w:pStyle w:val="Textonotapie"/>
        <w:ind w:firstLine="708"/>
        <w:jc w:val="both"/>
        <w:rPr>
          <w:rFonts w:ascii="Verdana" w:hAnsi="Verdana"/>
          <w:sz w:val="16"/>
          <w:szCs w:val="16"/>
          <w:lang w:val="es-CO"/>
        </w:rPr>
      </w:pPr>
      <w:r w:rsidRPr="00E914B3">
        <w:rPr>
          <w:rStyle w:val="Refdenotaalpie"/>
          <w:rFonts w:ascii="Verdana" w:hAnsi="Verdana"/>
          <w:sz w:val="16"/>
          <w:szCs w:val="16"/>
        </w:rPr>
        <w:footnoteRef/>
      </w:r>
      <w:r w:rsidRPr="00E914B3">
        <w:rPr>
          <w:rFonts w:ascii="Verdana" w:hAnsi="Verdana"/>
          <w:sz w:val="16"/>
          <w:szCs w:val="16"/>
        </w:rPr>
        <w:t xml:space="preserve"> </w:t>
      </w:r>
      <w:bookmarkStart w:id="3" w:name="1625"/>
      <w:r w:rsidRPr="00E914B3">
        <w:rPr>
          <w:rFonts w:ascii="Verdana" w:hAnsi="Verdana"/>
          <w:bCs/>
          <w:sz w:val="16"/>
          <w:szCs w:val="16"/>
          <w:lang w:val="es-CO"/>
        </w:rPr>
        <w:t>Artículo 1625. &lt;Modos de Extinción&gt;.</w:t>
      </w:r>
      <w:bookmarkEnd w:id="3"/>
      <w:r w:rsidRPr="00E914B3">
        <w:rPr>
          <w:rFonts w:ascii="Verdana" w:hAnsi="Verdana"/>
          <w:sz w:val="16"/>
          <w:szCs w:val="16"/>
          <w:lang w:val="es-CO"/>
        </w:rPr>
        <w:t> Toda obligación puede extinguirse por una convención en que las partes interesadas, siendo capaces de disponer libremente de lo suyo, consientan en darla por nula.</w:t>
      </w:r>
    </w:p>
    <w:p w14:paraId="39D365F3"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Las obligaciones se extinguen además en todo o en parte:</w:t>
      </w:r>
    </w:p>
    <w:p w14:paraId="7DFAEA8C"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1o.) Por la solución o pago efectivo.</w:t>
      </w:r>
    </w:p>
    <w:p w14:paraId="1E0503CF"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2o.) Por la novación.</w:t>
      </w:r>
    </w:p>
    <w:p w14:paraId="416FD4EC"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3o.) Por la transacción.</w:t>
      </w:r>
    </w:p>
    <w:p w14:paraId="7A482877"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4o.) Por la remisión.</w:t>
      </w:r>
    </w:p>
    <w:p w14:paraId="3D45490E"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5o.) Por la compensación.</w:t>
      </w:r>
    </w:p>
    <w:p w14:paraId="26106040"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6o.) Por la confusión.</w:t>
      </w:r>
    </w:p>
    <w:p w14:paraId="5D4939A3"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7o.) Por la pérdida de la cosa que se debe.</w:t>
      </w:r>
    </w:p>
    <w:p w14:paraId="5D34F981"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8o.) Por la declaración de nulidad o por la rescisión.</w:t>
      </w:r>
    </w:p>
    <w:p w14:paraId="5454BB27"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9o.) Por el evento de la condición resolutoria.</w:t>
      </w:r>
    </w:p>
    <w:p w14:paraId="519CB995"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10.) Por la prescripción.</w:t>
      </w:r>
    </w:p>
    <w:p w14:paraId="048870FC" w14:textId="77777777" w:rsidR="00F62ED8" w:rsidRPr="00E914B3" w:rsidRDefault="00F62ED8" w:rsidP="00F62ED8">
      <w:pPr>
        <w:pStyle w:val="Textonotapie"/>
        <w:ind w:firstLine="708"/>
        <w:jc w:val="both"/>
        <w:rPr>
          <w:rFonts w:ascii="Verdana" w:hAnsi="Verdana"/>
          <w:sz w:val="16"/>
          <w:szCs w:val="16"/>
          <w:lang w:val="es-CO"/>
        </w:rPr>
      </w:pPr>
      <w:r w:rsidRPr="00E914B3">
        <w:rPr>
          <w:rFonts w:ascii="Verdana" w:hAnsi="Verdana"/>
          <w:sz w:val="16"/>
          <w:szCs w:val="16"/>
          <w:lang w:val="es-CO"/>
        </w:rPr>
        <w:t>De la transacción y la prescripción se tratará al fin de este libro; de la condición resolutoria se ha tratado en el título De las obligaciones condicionales.</w:t>
      </w:r>
    </w:p>
  </w:footnote>
  <w:footnote w:id="13">
    <w:p w14:paraId="01631D96" w14:textId="77777777" w:rsidR="00F62ED8" w:rsidRPr="00E914B3" w:rsidRDefault="00F62ED8" w:rsidP="00F62ED8">
      <w:pPr>
        <w:pStyle w:val="Textonotapie"/>
        <w:ind w:firstLine="709"/>
        <w:jc w:val="both"/>
        <w:rPr>
          <w:rFonts w:ascii="Verdana" w:hAnsi="Verdana" w:cs="Arial"/>
          <w:sz w:val="16"/>
          <w:szCs w:val="16"/>
          <w:lang w:val="es-CO"/>
        </w:rPr>
      </w:pPr>
      <w:r w:rsidRPr="00E914B3">
        <w:rPr>
          <w:rStyle w:val="Refdenotaalpie"/>
          <w:rFonts w:ascii="Verdana" w:hAnsi="Verdana"/>
          <w:sz w:val="16"/>
          <w:szCs w:val="16"/>
        </w:rPr>
        <w:footnoteRef/>
      </w:r>
      <w:r w:rsidRPr="00E914B3">
        <w:rPr>
          <w:rFonts w:ascii="Verdana" w:hAnsi="Verdana"/>
          <w:sz w:val="16"/>
          <w:szCs w:val="16"/>
        </w:rPr>
        <w:t xml:space="preserve"> </w:t>
      </w:r>
      <w:r w:rsidRPr="00E914B3">
        <w:rPr>
          <w:rFonts w:ascii="Verdana" w:hAnsi="Verdana" w:cs="Arial"/>
          <w:sz w:val="16"/>
          <w:szCs w:val="16"/>
        </w:rPr>
        <w:t>“[…]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(Consejo de Estado. Sección Tercera, Subsección B. Sentencia del 16 de julio de 2015. C.P. Carlos Alberto Zambrano Barrera. Exp. 31.634).</w:t>
      </w:r>
    </w:p>
    <w:p w14:paraId="5272B325" w14:textId="77777777" w:rsidR="00F62ED8" w:rsidRPr="001135EA" w:rsidRDefault="00F62ED8" w:rsidP="00F62ED8">
      <w:pPr>
        <w:pStyle w:val="Textonotapie"/>
        <w:rPr>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53564655">
    <w:abstractNumId w:val="10"/>
  </w:num>
  <w:num w:numId="2" w16cid:durableId="624236345">
    <w:abstractNumId w:val="2"/>
  </w:num>
  <w:num w:numId="3" w16cid:durableId="628559972">
    <w:abstractNumId w:val="8"/>
  </w:num>
  <w:num w:numId="4" w16cid:durableId="7123903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31280344">
    <w:abstractNumId w:val="2"/>
  </w:num>
  <w:num w:numId="6" w16cid:durableId="1933777882">
    <w:abstractNumId w:val="17"/>
  </w:num>
  <w:num w:numId="7" w16cid:durableId="901211352">
    <w:abstractNumId w:val="9"/>
  </w:num>
  <w:num w:numId="8" w16cid:durableId="1133013485">
    <w:abstractNumId w:val="16"/>
  </w:num>
  <w:num w:numId="9" w16cid:durableId="597830678">
    <w:abstractNumId w:val="11"/>
  </w:num>
  <w:num w:numId="10" w16cid:durableId="750202593">
    <w:abstractNumId w:val="15"/>
  </w:num>
  <w:num w:numId="11" w16cid:durableId="1320621830">
    <w:abstractNumId w:val="12"/>
  </w:num>
  <w:num w:numId="12" w16cid:durableId="1844122397">
    <w:abstractNumId w:val="0"/>
  </w:num>
  <w:num w:numId="13" w16cid:durableId="1683973350">
    <w:abstractNumId w:val="5"/>
  </w:num>
  <w:num w:numId="14" w16cid:durableId="67659706">
    <w:abstractNumId w:val="18"/>
  </w:num>
  <w:num w:numId="15" w16cid:durableId="794565239">
    <w:abstractNumId w:val="14"/>
  </w:num>
  <w:num w:numId="16" w16cid:durableId="1253511600">
    <w:abstractNumId w:val="6"/>
  </w:num>
  <w:num w:numId="17" w16cid:durableId="2065642046">
    <w:abstractNumId w:val="13"/>
  </w:num>
  <w:num w:numId="18" w16cid:durableId="1508708957">
    <w:abstractNumId w:val="21"/>
  </w:num>
  <w:num w:numId="19" w16cid:durableId="1692536454">
    <w:abstractNumId w:val="20"/>
  </w:num>
  <w:num w:numId="20" w16cid:durableId="1324433118">
    <w:abstractNumId w:val="1"/>
  </w:num>
  <w:num w:numId="21" w16cid:durableId="883062967">
    <w:abstractNumId w:val="4"/>
  </w:num>
  <w:num w:numId="22" w16cid:durableId="869881484">
    <w:abstractNumId w:val="7"/>
  </w:num>
  <w:num w:numId="23" w16cid:durableId="357851321">
    <w:abstractNumId w:val="3"/>
  </w:num>
  <w:num w:numId="24" w16cid:durableId="207790077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660"/>
    <w:rsid w:val="000063E0"/>
    <w:rsid w:val="000134D5"/>
    <w:rsid w:val="00016F78"/>
    <w:rsid w:val="000353BD"/>
    <w:rsid w:val="000364AD"/>
    <w:rsid w:val="00042C93"/>
    <w:rsid w:val="00046945"/>
    <w:rsid w:val="00061B2A"/>
    <w:rsid w:val="000711CF"/>
    <w:rsid w:val="00076D52"/>
    <w:rsid w:val="00080B1D"/>
    <w:rsid w:val="00082362"/>
    <w:rsid w:val="0009079C"/>
    <w:rsid w:val="000A1514"/>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3E03"/>
    <w:rsid w:val="000F512E"/>
    <w:rsid w:val="000F6486"/>
    <w:rsid w:val="000F7FD4"/>
    <w:rsid w:val="00105C57"/>
    <w:rsid w:val="001161CA"/>
    <w:rsid w:val="001168F2"/>
    <w:rsid w:val="00116940"/>
    <w:rsid w:val="00125105"/>
    <w:rsid w:val="00127233"/>
    <w:rsid w:val="001328F3"/>
    <w:rsid w:val="001428DC"/>
    <w:rsid w:val="00147E91"/>
    <w:rsid w:val="001521B3"/>
    <w:rsid w:val="0015699B"/>
    <w:rsid w:val="00171640"/>
    <w:rsid w:val="00174D6E"/>
    <w:rsid w:val="0019787F"/>
    <w:rsid w:val="001A1334"/>
    <w:rsid w:val="001A33BF"/>
    <w:rsid w:val="001A5968"/>
    <w:rsid w:val="001B3721"/>
    <w:rsid w:val="001C5AE4"/>
    <w:rsid w:val="001C61B3"/>
    <w:rsid w:val="001D02CC"/>
    <w:rsid w:val="001D64AE"/>
    <w:rsid w:val="001E2E05"/>
    <w:rsid w:val="001E4177"/>
    <w:rsid w:val="001F0B24"/>
    <w:rsid w:val="001F5DD0"/>
    <w:rsid w:val="001F7DC6"/>
    <w:rsid w:val="00207466"/>
    <w:rsid w:val="00211E12"/>
    <w:rsid w:val="00212AD1"/>
    <w:rsid w:val="00217FCA"/>
    <w:rsid w:val="002209DE"/>
    <w:rsid w:val="0022400B"/>
    <w:rsid w:val="0023515D"/>
    <w:rsid w:val="002421BB"/>
    <w:rsid w:val="00253436"/>
    <w:rsid w:val="0025796E"/>
    <w:rsid w:val="0026579C"/>
    <w:rsid w:val="002707A2"/>
    <w:rsid w:val="00275482"/>
    <w:rsid w:val="00277C07"/>
    <w:rsid w:val="0028778F"/>
    <w:rsid w:val="00293ED1"/>
    <w:rsid w:val="002951A0"/>
    <w:rsid w:val="002962BC"/>
    <w:rsid w:val="002975A4"/>
    <w:rsid w:val="002A093D"/>
    <w:rsid w:val="002A0DD0"/>
    <w:rsid w:val="002A49AC"/>
    <w:rsid w:val="002A64FD"/>
    <w:rsid w:val="002B730F"/>
    <w:rsid w:val="002C7A84"/>
    <w:rsid w:val="002E05EF"/>
    <w:rsid w:val="002E2BF8"/>
    <w:rsid w:val="002E4FD9"/>
    <w:rsid w:val="002F0847"/>
    <w:rsid w:val="002F4267"/>
    <w:rsid w:val="002F720F"/>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C37"/>
    <w:rsid w:val="003E4F80"/>
    <w:rsid w:val="003E6439"/>
    <w:rsid w:val="003F18C5"/>
    <w:rsid w:val="003F1FD8"/>
    <w:rsid w:val="003F3941"/>
    <w:rsid w:val="00403EFA"/>
    <w:rsid w:val="00406575"/>
    <w:rsid w:val="004140B3"/>
    <w:rsid w:val="00414C74"/>
    <w:rsid w:val="0042048E"/>
    <w:rsid w:val="0042722E"/>
    <w:rsid w:val="0044528D"/>
    <w:rsid w:val="00451137"/>
    <w:rsid w:val="004555EA"/>
    <w:rsid w:val="00455AA7"/>
    <w:rsid w:val="0045785F"/>
    <w:rsid w:val="00466E39"/>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13BF7"/>
    <w:rsid w:val="00517955"/>
    <w:rsid w:val="005229DB"/>
    <w:rsid w:val="00524422"/>
    <w:rsid w:val="00534886"/>
    <w:rsid w:val="005365D9"/>
    <w:rsid w:val="00536A0E"/>
    <w:rsid w:val="0055262A"/>
    <w:rsid w:val="00553040"/>
    <w:rsid w:val="005566E8"/>
    <w:rsid w:val="00560663"/>
    <w:rsid w:val="00560892"/>
    <w:rsid w:val="00570B00"/>
    <w:rsid w:val="00572622"/>
    <w:rsid w:val="00573280"/>
    <w:rsid w:val="00574867"/>
    <w:rsid w:val="00591460"/>
    <w:rsid w:val="00592C94"/>
    <w:rsid w:val="005A2CAB"/>
    <w:rsid w:val="005A52A7"/>
    <w:rsid w:val="005A57A5"/>
    <w:rsid w:val="005A65E0"/>
    <w:rsid w:val="005C0881"/>
    <w:rsid w:val="005C3777"/>
    <w:rsid w:val="005C5CDC"/>
    <w:rsid w:val="005D2566"/>
    <w:rsid w:val="005D476C"/>
    <w:rsid w:val="005F20A4"/>
    <w:rsid w:val="00600D92"/>
    <w:rsid w:val="00603C5B"/>
    <w:rsid w:val="00611CE6"/>
    <w:rsid w:val="0061345A"/>
    <w:rsid w:val="006137E1"/>
    <w:rsid w:val="00617200"/>
    <w:rsid w:val="00617E91"/>
    <w:rsid w:val="006200BF"/>
    <w:rsid w:val="0062143E"/>
    <w:rsid w:val="006219F8"/>
    <w:rsid w:val="00624A89"/>
    <w:rsid w:val="00624EEC"/>
    <w:rsid w:val="006302F7"/>
    <w:rsid w:val="00635C5A"/>
    <w:rsid w:val="00646B9F"/>
    <w:rsid w:val="00646F24"/>
    <w:rsid w:val="006547C3"/>
    <w:rsid w:val="00660C46"/>
    <w:rsid w:val="00662087"/>
    <w:rsid w:val="00663A04"/>
    <w:rsid w:val="00665D70"/>
    <w:rsid w:val="00672499"/>
    <w:rsid w:val="00684F67"/>
    <w:rsid w:val="0068758B"/>
    <w:rsid w:val="006900D9"/>
    <w:rsid w:val="0069741A"/>
    <w:rsid w:val="006A2BE4"/>
    <w:rsid w:val="006B4707"/>
    <w:rsid w:val="006D13BA"/>
    <w:rsid w:val="006D1D21"/>
    <w:rsid w:val="006D591D"/>
    <w:rsid w:val="006D64EE"/>
    <w:rsid w:val="006F2238"/>
    <w:rsid w:val="006F4199"/>
    <w:rsid w:val="007009D7"/>
    <w:rsid w:val="007025D7"/>
    <w:rsid w:val="00706C16"/>
    <w:rsid w:val="0071269D"/>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3584"/>
    <w:rsid w:val="00806F5F"/>
    <w:rsid w:val="008103F6"/>
    <w:rsid w:val="00820278"/>
    <w:rsid w:val="0082071A"/>
    <w:rsid w:val="008258C9"/>
    <w:rsid w:val="00830893"/>
    <w:rsid w:val="00833286"/>
    <w:rsid w:val="00836232"/>
    <w:rsid w:val="00841E29"/>
    <w:rsid w:val="00844AE9"/>
    <w:rsid w:val="0085545E"/>
    <w:rsid w:val="00867F95"/>
    <w:rsid w:val="00871AAC"/>
    <w:rsid w:val="00875356"/>
    <w:rsid w:val="008843B6"/>
    <w:rsid w:val="00886410"/>
    <w:rsid w:val="00891928"/>
    <w:rsid w:val="00891A0E"/>
    <w:rsid w:val="008A446D"/>
    <w:rsid w:val="008B0D0F"/>
    <w:rsid w:val="008B25F1"/>
    <w:rsid w:val="008C11FD"/>
    <w:rsid w:val="008C4DD5"/>
    <w:rsid w:val="008C517A"/>
    <w:rsid w:val="008C6AE5"/>
    <w:rsid w:val="008D1660"/>
    <w:rsid w:val="008D180B"/>
    <w:rsid w:val="008F0EA7"/>
    <w:rsid w:val="008F17DC"/>
    <w:rsid w:val="008F4334"/>
    <w:rsid w:val="008F553F"/>
    <w:rsid w:val="008F6705"/>
    <w:rsid w:val="00901213"/>
    <w:rsid w:val="009037F6"/>
    <w:rsid w:val="00903D09"/>
    <w:rsid w:val="0091143C"/>
    <w:rsid w:val="00920817"/>
    <w:rsid w:val="00923EEF"/>
    <w:rsid w:val="00933E3F"/>
    <w:rsid w:val="00940FAB"/>
    <w:rsid w:val="009419F9"/>
    <w:rsid w:val="00944799"/>
    <w:rsid w:val="0095685E"/>
    <w:rsid w:val="00961B09"/>
    <w:rsid w:val="00963E12"/>
    <w:rsid w:val="00964321"/>
    <w:rsid w:val="00965334"/>
    <w:rsid w:val="0097093E"/>
    <w:rsid w:val="009722DE"/>
    <w:rsid w:val="00984DB3"/>
    <w:rsid w:val="00992E19"/>
    <w:rsid w:val="009A0486"/>
    <w:rsid w:val="009A0DFA"/>
    <w:rsid w:val="009B28B9"/>
    <w:rsid w:val="009B2D26"/>
    <w:rsid w:val="009B4B7C"/>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12BE"/>
    <w:rsid w:val="00A23AF9"/>
    <w:rsid w:val="00A31A76"/>
    <w:rsid w:val="00A33C78"/>
    <w:rsid w:val="00A422CD"/>
    <w:rsid w:val="00A53338"/>
    <w:rsid w:val="00A73F45"/>
    <w:rsid w:val="00A8776C"/>
    <w:rsid w:val="00AA1E47"/>
    <w:rsid w:val="00AB0ADB"/>
    <w:rsid w:val="00AB436E"/>
    <w:rsid w:val="00AD173A"/>
    <w:rsid w:val="00AD7D5F"/>
    <w:rsid w:val="00AE1F6E"/>
    <w:rsid w:val="00AE3513"/>
    <w:rsid w:val="00AE5DD2"/>
    <w:rsid w:val="00AE631B"/>
    <w:rsid w:val="00AF5A10"/>
    <w:rsid w:val="00B00C0E"/>
    <w:rsid w:val="00B01B1A"/>
    <w:rsid w:val="00B04DA1"/>
    <w:rsid w:val="00B11075"/>
    <w:rsid w:val="00B206B6"/>
    <w:rsid w:val="00B234CF"/>
    <w:rsid w:val="00B35656"/>
    <w:rsid w:val="00B37EB5"/>
    <w:rsid w:val="00B44A47"/>
    <w:rsid w:val="00B54271"/>
    <w:rsid w:val="00B5550F"/>
    <w:rsid w:val="00B6149C"/>
    <w:rsid w:val="00B64484"/>
    <w:rsid w:val="00B71FD5"/>
    <w:rsid w:val="00B72CD3"/>
    <w:rsid w:val="00B72FFF"/>
    <w:rsid w:val="00B74092"/>
    <w:rsid w:val="00B8158F"/>
    <w:rsid w:val="00B95DAC"/>
    <w:rsid w:val="00BA2EB9"/>
    <w:rsid w:val="00BA703D"/>
    <w:rsid w:val="00BB20DF"/>
    <w:rsid w:val="00BB53C9"/>
    <w:rsid w:val="00BC3D36"/>
    <w:rsid w:val="00BC5D42"/>
    <w:rsid w:val="00BC70CB"/>
    <w:rsid w:val="00BD13AC"/>
    <w:rsid w:val="00BD54A6"/>
    <w:rsid w:val="00BD7F72"/>
    <w:rsid w:val="00BF056C"/>
    <w:rsid w:val="00BF3B66"/>
    <w:rsid w:val="00BF5C08"/>
    <w:rsid w:val="00BF7425"/>
    <w:rsid w:val="00C04FB3"/>
    <w:rsid w:val="00C11D8B"/>
    <w:rsid w:val="00C1350D"/>
    <w:rsid w:val="00C2359C"/>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6146"/>
    <w:rsid w:val="00D0699E"/>
    <w:rsid w:val="00D1210B"/>
    <w:rsid w:val="00D222C0"/>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A3153"/>
    <w:rsid w:val="00DB13F4"/>
    <w:rsid w:val="00DB55DA"/>
    <w:rsid w:val="00DC39FC"/>
    <w:rsid w:val="00DC7CCB"/>
    <w:rsid w:val="00DE6EC3"/>
    <w:rsid w:val="00DF5254"/>
    <w:rsid w:val="00E00DAE"/>
    <w:rsid w:val="00E02524"/>
    <w:rsid w:val="00E1159D"/>
    <w:rsid w:val="00E1451E"/>
    <w:rsid w:val="00E16408"/>
    <w:rsid w:val="00E20894"/>
    <w:rsid w:val="00E245AB"/>
    <w:rsid w:val="00E268B4"/>
    <w:rsid w:val="00E27341"/>
    <w:rsid w:val="00E2764C"/>
    <w:rsid w:val="00E27F2E"/>
    <w:rsid w:val="00E31225"/>
    <w:rsid w:val="00E46483"/>
    <w:rsid w:val="00E501E7"/>
    <w:rsid w:val="00E50AFE"/>
    <w:rsid w:val="00E577E2"/>
    <w:rsid w:val="00E615C4"/>
    <w:rsid w:val="00E71E1B"/>
    <w:rsid w:val="00E75C92"/>
    <w:rsid w:val="00E771DC"/>
    <w:rsid w:val="00E8772A"/>
    <w:rsid w:val="00E90F6B"/>
    <w:rsid w:val="00E914B3"/>
    <w:rsid w:val="00E91AED"/>
    <w:rsid w:val="00E92C27"/>
    <w:rsid w:val="00E96B5C"/>
    <w:rsid w:val="00EA0E3D"/>
    <w:rsid w:val="00EA2DC0"/>
    <w:rsid w:val="00EA426C"/>
    <w:rsid w:val="00EB224C"/>
    <w:rsid w:val="00EC006D"/>
    <w:rsid w:val="00EC297F"/>
    <w:rsid w:val="00EC38A7"/>
    <w:rsid w:val="00ED4980"/>
    <w:rsid w:val="00EE1AA8"/>
    <w:rsid w:val="00EE265D"/>
    <w:rsid w:val="00EE3D99"/>
    <w:rsid w:val="00EF1D4F"/>
    <w:rsid w:val="00EF4E7D"/>
    <w:rsid w:val="00EF5E13"/>
    <w:rsid w:val="00EF647F"/>
    <w:rsid w:val="00F03314"/>
    <w:rsid w:val="00F0580C"/>
    <w:rsid w:val="00F0711A"/>
    <w:rsid w:val="00F23FEA"/>
    <w:rsid w:val="00F27B7B"/>
    <w:rsid w:val="00F31EDC"/>
    <w:rsid w:val="00F34294"/>
    <w:rsid w:val="00F462B3"/>
    <w:rsid w:val="00F5664F"/>
    <w:rsid w:val="00F62ED8"/>
    <w:rsid w:val="00F666C4"/>
    <w:rsid w:val="00F76AFC"/>
    <w:rsid w:val="00F81B1A"/>
    <w:rsid w:val="00F81BF0"/>
    <w:rsid w:val="00F82E88"/>
    <w:rsid w:val="00F86E11"/>
    <w:rsid w:val="00F86E3E"/>
    <w:rsid w:val="00F912DF"/>
    <w:rsid w:val="00F95C74"/>
    <w:rsid w:val="00FA47C0"/>
    <w:rsid w:val="00FA5FFD"/>
    <w:rsid w:val="00FB5DD1"/>
    <w:rsid w:val="00FC2B5D"/>
    <w:rsid w:val="00FD1DDC"/>
    <w:rsid w:val="00FD3AD2"/>
    <w:rsid w:val="00FD59D3"/>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568B41-9065-4DE9-BFEA-A2F36601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ED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customStyle="1" w:styleId="NormalWebCar">
    <w:name w:val="Normal (Web) Car"/>
    <w:link w:val="NormalWeb"/>
    <w:uiPriority w:val="99"/>
    <w:locked/>
    <w:rsid w:val="002F4267"/>
    <w:rPr>
      <w:rFonts w:ascii="Times New Roman" w:eastAsia="Times New Roman" w:hAnsi="Times New Roman" w:cs="Times New Roman"/>
      <w:sz w:val="24"/>
      <w:szCs w:val="24"/>
      <w:lang w:eastAsia="es-CO"/>
    </w:rPr>
  </w:style>
  <w:style w:type="character" w:customStyle="1" w:styleId="Hipervnculo1">
    <w:name w:val="Hipervínculo1"/>
    <w:basedOn w:val="Fuentedeprrafopredeter"/>
    <w:uiPriority w:val="99"/>
    <w:unhideWhenUsed/>
    <w:rsid w:val="002F4267"/>
    <w:rPr>
      <w:color w:val="F2F2F2"/>
      <w:u w:val="single"/>
    </w:rPr>
  </w:style>
  <w:style w:type="paragraph" w:styleId="Sinespaciado">
    <w:name w:val="No Spacing"/>
    <w:aliases w:val="No Indent"/>
    <w:uiPriority w:val="3"/>
    <w:qFormat/>
    <w:rsid w:val="002F42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40">
      <w:bodyDiv w:val="1"/>
      <w:marLeft w:val="0"/>
      <w:marRight w:val="0"/>
      <w:marTop w:val="0"/>
      <w:marBottom w:val="0"/>
      <w:divBdr>
        <w:top w:val="none" w:sz="0" w:space="0" w:color="auto"/>
        <w:left w:val="none" w:sz="0" w:space="0" w:color="auto"/>
        <w:bottom w:val="none" w:sz="0" w:space="0" w:color="auto"/>
        <w:right w:val="none" w:sz="0" w:space="0" w:color="auto"/>
      </w:divBdr>
      <w:divsChild>
        <w:div w:id="258880311">
          <w:marLeft w:val="0"/>
          <w:marRight w:val="0"/>
          <w:marTop w:val="0"/>
          <w:marBottom w:val="0"/>
          <w:divBdr>
            <w:top w:val="none" w:sz="0" w:space="0" w:color="auto"/>
            <w:left w:val="none" w:sz="0" w:space="0" w:color="auto"/>
            <w:bottom w:val="none" w:sz="0" w:space="0" w:color="auto"/>
            <w:right w:val="none" w:sz="0" w:space="0" w:color="auto"/>
          </w:divBdr>
          <w:divsChild>
            <w:div w:id="1294941058">
              <w:marLeft w:val="0"/>
              <w:marRight w:val="0"/>
              <w:marTop w:val="0"/>
              <w:marBottom w:val="0"/>
              <w:divBdr>
                <w:top w:val="none" w:sz="0" w:space="0" w:color="auto"/>
                <w:left w:val="none" w:sz="0" w:space="0" w:color="auto"/>
                <w:bottom w:val="none" w:sz="0" w:space="0" w:color="auto"/>
                <w:right w:val="none" w:sz="0" w:space="0" w:color="auto"/>
              </w:divBdr>
              <w:divsChild>
                <w:div w:id="337932334">
                  <w:marLeft w:val="0"/>
                  <w:marRight w:val="0"/>
                  <w:marTop w:val="0"/>
                  <w:marBottom w:val="0"/>
                  <w:divBdr>
                    <w:top w:val="none" w:sz="0" w:space="0" w:color="auto"/>
                    <w:left w:val="none" w:sz="0" w:space="0" w:color="auto"/>
                    <w:bottom w:val="none" w:sz="0" w:space="0" w:color="auto"/>
                    <w:right w:val="none" w:sz="0" w:space="0" w:color="auto"/>
                  </w:divBdr>
                  <w:divsChild>
                    <w:div w:id="9084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659191">
          <w:marLeft w:val="0"/>
          <w:marRight w:val="0"/>
          <w:marTop w:val="0"/>
          <w:marBottom w:val="0"/>
          <w:divBdr>
            <w:top w:val="none" w:sz="0" w:space="0" w:color="auto"/>
            <w:left w:val="none" w:sz="0" w:space="0" w:color="auto"/>
            <w:bottom w:val="none" w:sz="0" w:space="0" w:color="auto"/>
            <w:right w:val="none" w:sz="0" w:space="0" w:color="auto"/>
          </w:divBdr>
        </w:div>
      </w:divsChild>
    </w:div>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298808619">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42011055">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98738708">
      <w:bodyDiv w:val="1"/>
      <w:marLeft w:val="0"/>
      <w:marRight w:val="0"/>
      <w:marTop w:val="0"/>
      <w:marBottom w:val="0"/>
      <w:divBdr>
        <w:top w:val="none" w:sz="0" w:space="0" w:color="auto"/>
        <w:left w:val="none" w:sz="0" w:space="0" w:color="auto"/>
        <w:bottom w:val="none" w:sz="0" w:space="0" w:color="auto"/>
        <w:right w:val="none" w:sz="0" w:space="0" w:color="auto"/>
      </w:divBdr>
    </w:div>
    <w:div w:id="212796031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alexanderlopezquiroz@yahoo.es"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documents/20181/1776254/CIRCULAR_2020EE0096013_REGISTRO_NACIONAL_OBRAS_INCONCLUSAS.PDF/785952d4-4b41-48cb-916b-4881c3b4a095" TargetMode="External"/><Relationship Id="rId2" Type="http://schemas.openxmlformats.org/officeDocument/2006/relationships/hyperlink" Target="http://leyes.senado.gov.co/proyectos/images/documentos/Textos%20Radicados/Ponencias/2018/gaceta_563.pdf" TargetMode="External"/><Relationship Id="rId1" Type="http://schemas.openxmlformats.org/officeDocument/2006/relationships/hyperlink" Target="http://svrpubindc.imprenta.gov.co/senado/index.xhtml;jsessionid=b3ba7213a248bacd37376ffcedca" TargetMode="External"/><Relationship Id="rId6" Type="http://schemas.openxmlformats.org/officeDocument/2006/relationships/hyperlink" Target="http://www.secretariasenado.gov.co/senado/basedoc/codigo_contencioso_administrativo_pr003.html"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s://www.contraloria.gov.co/web/relatoria/normatividad-y-relatori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FF17D7C-870E-4ED1-B3B2-CF170C8ACAAD}">
  <ds:schemaRefs>
    <ds:schemaRef ds:uri="http://schemas.openxmlformats.org/officeDocument/2006/bibliography"/>
  </ds:schemaRefs>
</ds:datastoreItem>
</file>

<file path=customXml/itemProps4.xml><?xml version="1.0" encoding="utf-8"?>
<ds:datastoreItem xmlns:ds="http://schemas.openxmlformats.org/officeDocument/2006/customXml" ds:itemID="{D5699552-0D59-4C97-AA9E-61BD05B578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6316</Words>
  <Characters>34743</Characters>
  <Application>Microsoft Office Word</Application>
  <DocSecurity>0</DocSecurity>
  <Lines>289</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2026-03-13T01:11:00Z</dcterms:created>
  <dcterms:modified xsi:type="dcterms:W3CDTF">2026-03-13T15:29:00Z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