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89D2C" w14:textId="77777777" w:rsidR="00C06DC9" w:rsidRPr="008E5AB9" w:rsidRDefault="00C06DC9" w:rsidP="00C06DC9">
      <w:pPr>
        <w:spacing w:after="0" w:line="240" w:lineRule="auto"/>
        <w:jc w:val="both"/>
        <w:rPr>
          <w:rFonts w:ascii="Verdana" w:eastAsia="Calibri" w:hAnsi="Verdana" w:cs="Arial"/>
          <w:b/>
          <w:color w:val="000000"/>
          <w:lang w:val="es-ES"/>
        </w:rPr>
      </w:pPr>
      <w:bookmarkStart w:id="0" w:name="_Hlk143780582"/>
      <w:r w:rsidRPr="008E5AB9">
        <w:rPr>
          <w:rFonts w:ascii="Verdana" w:eastAsia="Calibri" w:hAnsi="Verdana" w:cs="Arial"/>
          <w:b/>
          <w:color w:val="000000"/>
          <w:lang w:val="es-ES"/>
        </w:rPr>
        <w:t>LEY DE GARANTÍAS ELECTORALES – Finalidad - Ley 996 de 2005 – Comicios aplicables</w:t>
      </w:r>
    </w:p>
    <w:p w14:paraId="25F27A60" w14:textId="77777777" w:rsidR="00C06DC9" w:rsidRPr="008E5AB9" w:rsidRDefault="00C06DC9" w:rsidP="00C06DC9">
      <w:pPr>
        <w:spacing w:after="0" w:line="240" w:lineRule="auto"/>
        <w:jc w:val="both"/>
        <w:rPr>
          <w:rFonts w:ascii="Verdana" w:eastAsia="Calibri" w:hAnsi="Verdana" w:cs="Arial"/>
          <w:bCs/>
          <w:color w:val="000000"/>
          <w:sz w:val="20"/>
          <w:szCs w:val="20"/>
          <w:lang w:val="es-ES"/>
        </w:rPr>
      </w:pPr>
    </w:p>
    <w:p w14:paraId="624D8319" w14:textId="77777777" w:rsidR="00C06DC9" w:rsidRPr="008E5AB9" w:rsidRDefault="00C06DC9" w:rsidP="00C06DC9">
      <w:pPr>
        <w:spacing w:after="0" w:line="240" w:lineRule="auto"/>
        <w:jc w:val="both"/>
        <w:rPr>
          <w:rFonts w:ascii="Verdana" w:eastAsia="Calibri" w:hAnsi="Verdana" w:cs="Arial"/>
          <w:color w:val="000000"/>
          <w:sz w:val="20"/>
          <w:szCs w:val="20"/>
          <w:lang w:val="es-ES_tradnl" w:eastAsia="es-ES_tradnl"/>
        </w:rPr>
      </w:pPr>
      <w:r w:rsidRPr="008E5AB9">
        <w:rPr>
          <w:rFonts w:ascii="Verdana" w:eastAsia="Calibri" w:hAnsi="Verdana" w:cs="Arial"/>
          <w:color w:val="000000"/>
          <w:sz w:val="20"/>
          <w:szCs w:val="20"/>
          <w:lang w:val="es-ES_tradnl" w:eastAsia="es-ES_tradnl"/>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la cita Ley introduce limitaciones para realizar nombramientos, postulaciones, contrataciones o cualquier otro tipo de actividad que implique destinación de recursos públicos bajo el devenir propio de las entidades estatales.</w:t>
      </w:r>
    </w:p>
    <w:p w14:paraId="52AB4832" w14:textId="77777777" w:rsidR="00C06DC9" w:rsidRPr="008E5AB9" w:rsidRDefault="00C06DC9" w:rsidP="00C06DC9">
      <w:pPr>
        <w:spacing w:after="0" w:line="240" w:lineRule="auto"/>
        <w:jc w:val="both"/>
        <w:rPr>
          <w:rFonts w:ascii="Verdana" w:eastAsia="Calibri" w:hAnsi="Verdana" w:cs="Arial"/>
          <w:color w:val="000000"/>
          <w:sz w:val="20"/>
          <w:szCs w:val="20"/>
          <w:lang w:val="es-ES_tradnl" w:eastAsia="es-ES_tradnl"/>
        </w:rPr>
      </w:pPr>
      <w:r w:rsidRPr="008E5AB9">
        <w:rPr>
          <w:rFonts w:ascii="Verdana" w:eastAsia="Calibri" w:hAnsi="Verdana" w:cs="Arial"/>
          <w:color w:val="000000"/>
          <w:sz w:val="20"/>
          <w:szCs w:val="20"/>
          <w:lang w:val="es-ES_tradnl" w:eastAsia="es-ES_tradnl"/>
        </w:rPr>
        <w:t>[…]</w:t>
      </w:r>
    </w:p>
    <w:p w14:paraId="0FFD9882" w14:textId="77777777" w:rsidR="00C06DC9" w:rsidRPr="008E5AB9" w:rsidRDefault="00C06DC9" w:rsidP="00C06DC9">
      <w:pPr>
        <w:spacing w:after="0" w:line="240" w:lineRule="auto"/>
        <w:jc w:val="both"/>
        <w:rPr>
          <w:rFonts w:ascii="Verdana" w:eastAsia="Calibri" w:hAnsi="Verdana" w:cs="Arial"/>
          <w:color w:val="000000"/>
          <w:sz w:val="20"/>
          <w:szCs w:val="20"/>
          <w:lang w:val="es-ES"/>
        </w:rPr>
      </w:pPr>
      <w:r w:rsidRPr="008E5AB9">
        <w:rPr>
          <w:rFonts w:ascii="Verdana" w:eastAsia="Calibri" w:hAnsi="Verdana" w:cs="Arial"/>
          <w:color w:val="000000"/>
          <w:sz w:val="20"/>
          <w:szCs w:val="20"/>
          <w:lang w:val="es-ES"/>
        </w:rPr>
        <w:t>[…]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0ED06DC0" w14:textId="77777777" w:rsidR="00C06DC9" w:rsidRPr="008E5AB9" w:rsidRDefault="00C06DC9" w:rsidP="00C06DC9">
      <w:pPr>
        <w:spacing w:after="0" w:line="240" w:lineRule="auto"/>
        <w:rPr>
          <w:rFonts w:ascii="Verdana" w:eastAsia="Geomanist Light" w:hAnsi="Verdana" w:cs="Arial"/>
          <w:color w:val="000000"/>
          <w:sz w:val="20"/>
          <w:szCs w:val="20"/>
          <w:lang w:val="es-ES_tradnl"/>
        </w:rPr>
      </w:pPr>
    </w:p>
    <w:p w14:paraId="6D0F0CE7" w14:textId="77777777" w:rsidR="00C06DC9" w:rsidRPr="008E5AB9" w:rsidRDefault="00C06DC9" w:rsidP="00C06DC9">
      <w:pPr>
        <w:spacing w:after="0" w:line="240" w:lineRule="auto"/>
        <w:jc w:val="both"/>
        <w:rPr>
          <w:rFonts w:ascii="Verdana" w:eastAsia="Calibri" w:hAnsi="Verdana" w:cs="Arial"/>
          <w:b/>
          <w:lang w:val="es-ES"/>
        </w:rPr>
      </w:pPr>
      <w:r w:rsidRPr="008E5AB9">
        <w:rPr>
          <w:rFonts w:ascii="Verdana" w:eastAsia="Calibri" w:hAnsi="Verdana" w:cs="Arial"/>
          <w:b/>
          <w:lang w:val="es-ES"/>
        </w:rPr>
        <w:t>LEY DE GARANTÍAS ELECTORALES – Restricciones contractuales – Comicios aplicables - Destinatarios</w:t>
      </w:r>
    </w:p>
    <w:p w14:paraId="756EF5EC" w14:textId="77777777" w:rsidR="00C06DC9" w:rsidRPr="008E5AB9" w:rsidRDefault="00C06DC9" w:rsidP="00C06DC9">
      <w:pPr>
        <w:spacing w:after="0" w:line="240" w:lineRule="auto"/>
        <w:jc w:val="both"/>
        <w:rPr>
          <w:rFonts w:ascii="Verdana" w:eastAsia="Calibri" w:hAnsi="Verdana" w:cs="Arial"/>
          <w:b/>
          <w:sz w:val="20"/>
          <w:szCs w:val="20"/>
          <w:lang w:val="es-ES"/>
        </w:rPr>
      </w:pPr>
    </w:p>
    <w:p w14:paraId="3CDD5040" w14:textId="77777777" w:rsidR="00C06DC9" w:rsidRPr="008E5AB9" w:rsidRDefault="00C06DC9" w:rsidP="00C06DC9">
      <w:pPr>
        <w:spacing w:after="0"/>
        <w:jc w:val="both"/>
        <w:rPr>
          <w:rFonts w:ascii="Verdana" w:eastAsia="Calibri" w:hAnsi="Verdana" w:cs="Arial"/>
          <w:bCs/>
          <w:sz w:val="20"/>
          <w:szCs w:val="20"/>
          <w:lang w:val="es-ES"/>
        </w:rPr>
      </w:pPr>
      <w:r w:rsidRPr="008E5AB9">
        <w:rPr>
          <w:rFonts w:ascii="Verdana" w:eastAsia="Calibri" w:hAnsi="Verdana" w:cs="Arial"/>
          <w:bCs/>
          <w:sz w:val="20"/>
          <w:szCs w:val="20"/>
          <w:lang w:val="es-ES"/>
        </w:rPr>
        <w:t>[…] el artículo 33 de la Ley 966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115C8849" w14:textId="77777777" w:rsidR="00C06DC9" w:rsidRPr="008E5AB9" w:rsidRDefault="00C06DC9" w:rsidP="00C06DC9">
      <w:pPr>
        <w:spacing w:after="0"/>
        <w:jc w:val="both"/>
        <w:rPr>
          <w:rFonts w:ascii="Verdana" w:eastAsia="Calibri" w:hAnsi="Verdana" w:cs="Arial"/>
          <w:bCs/>
          <w:sz w:val="20"/>
          <w:szCs w:val="20"/>
          <w:lang w:val="es-ES"/>
        </w:rPr>
      </w:pPr>
    </w:p>
    <w:p w14:paraId="25E5149D" w14:textId="77777777" w:rsidR="00C06DC9" w:rsidRPr="008E5AB9" w:rsidRDefault="00C06DC9" w:rsidP="00C06DC9">
      <w:pPr>
        <w:spacing w:after="0"/>
        <w:jc w:val="both"/>
        <w:rPr>
          <w:rFonts w:ascii="Aptos" w:eastAsia="Aptos" w:hAnsi="Aptos" w:cs="Arial"/>
        </w:rPr>
      </w:pPr>
      <w:r w:rsidRPr="008E5AB9">
        <w:rPr>
          <w:rFonts w:ascii="Verdana" w:eastAsia="Calibri" w:hAnsi="Verdana" w:cs="Arial"/>
          <w:bCs/>
          <w:sz w:val="20"/>
          <w:szCs w:val="20"/>
          <w:lang w:val="es-ES"/>
        </w:rPr>
        <w:t>[…], el parágrafo del artículo 38 de la precitada Ley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 de sus juntas directivas, en o para reuniones de carácter proselitista”.</w:t>
      </w:r>
    </w:p>
    <w:p w14:paraId="6054986F" w14:textId="77777777" w:rsidR="00C06DC9" w:rsidRPr="008E5AB9" w:rsidRDefault="00C06DC9" w:rsidP="00C06DC9">
      <w:pPr>
        <w:spacing w:after="0" w:line="276" w:lineRule="auto"/>
        <w:jc w:val="both"/>
        <w:rPr>
          <w:rFonts w:ascii="Aptos" w:eastAsia="Aptos" w:hAnsi="Aptos" w:cs="Arial"/>
        </w:rPr>
      </w:pPr>
    </w:p>
    <w:p w14:paraId="2868CC84" w14:textId="77777777" w:rsidR="00C06DC9" w:rsidRPr="008E5AB9" w:rsidRDefault="00C06DC9" w:rsidP="00C06DC9">
      <w:pPr>
        <w:spacing w:after="0" w:line="240" w:lineRule="auto"/>
        <w:rPr>
          <w:rFonts w:ascii="Verdana" w:eastAsia="Aptos" w:hAnsi="Verdana" w:cs="Times New Roman"/>
          <w:sz w:val="20"/>
          <w:szCs w:val="20"/>
        </w:rPr>
      </w:pPr>
    </w:p>
    <w:p w14:paraId="577AB6E6" w14:textId="65BC35FC" w:rsidR="00C06DC9" w:rsidRPr="008E5AB9" w:rsidRDefault="00C06DC9" w:rsidP="00C06DC9">
      <w:pPr>
        <w:spacing w:after="0" w:line="240" w:lineRule="auto"/>
        <w:rPr>
          <w:rFonts w:ascii="Verdana" w:eastAsia="Geomanist Light" w:hAnsi="Verdana" w:cs="Arial"/>
          <w:lang w:val="es-MX"/>
        </w:rPr>
      </w:pPr>
      <w:r w:rsidRPr="008E5AB9">
        <w:rPr>
          <w:rFonts w:ascii="Verdana" w:eastAsia="Geomanist Light" w:hAnsi="Verdana" w:cs="Arial"/>
          <w:lang w:val="es-MX"/>
        </w:rPr>
        <w:t>Bogotá D.C.</w:t>
      </w:r>
      <w:r>
        <w:rPr>
          <w:rFonts w:ascii="Verdana" w:eastAsia="Geomanist Light" w:hAnsi="Verdana" w:cs="Arial"/>
          <w:lang w:val="es-MX"/>
        </w:rPr>
        <w:t xml:space="preserve"> 16 de marzo de 2026</w:t>
      </w:r>
    </w:p>
    <w:p w14:paraId="19C77252" w14:textId="77777777" w:rsidR="00C06DC9" w:rsidRPr="008E5AB9" w:rsidRDefault="00C06DC9" w:rsidP="00C06DC9">
      <w:pPr>
        <w:spacing w:after="0" w:line="240" w:lineRule="auto"/>
        <w:jc w:val="both"/>
        <w:rPr>
          <w:rFonts w:ascii="Verdana" w:eastAsia="Calibri" w:hAnsi="Verdana" w:cs="Arial"/>
          <w:lang w:val="es-ES"/>
        </w:rPr>
      </w:pPr>
    </w:p>
    <w:p w14:paraId="13796253" w14:textId="10B74A8F" w:rsidR="00C06DC9" w:rsidRPr="008E5AB9" w:rsidRDefault="00C33F7C" w:rsidP="00C06DC9">
      <w:pPr>
        <w:spacing w:after="0" w:line="240" w:lineRule="auto"/>
        <w:jc w:val="right"/>
        <w:rPr>
          <w:rFonts w:ascii="Verdana" w:eastAsia="Calibri" w:hAnsi="Verdana" w:cs="Arial"/>
          <w:lang w:val="es-ES"/>
        </w:rPr>
      </w:pPr>
      <w:r w:rsidRPr="00C33F7C">
        <w:rPr>
          <w:rFonts w:ascii="Verdana" w:eastAsia="Calibri" w:hAnsi="Verdana" w:cs="Arial"/>
          <w:lang w:val="es-ES"/>
        </w:rPr>
        <w:drawing>
          <wp:inline distT="0" distB="0" distL="0" distR="0" wp14:anchorId="62B41A0D" wp14:editId="32585737">
            <wp:extent cx="2715004" cy="743054"/>
            <wp:effectExtent l="0" t="0" r="0" b="0"/>
            <wp:docPr id="2979677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967763" name=""/>
                    <pic:cNvPicPr/>
                  </pic:nvPicPr>
                  <pic:blipFill>
                    <a:blip r:embed="rId10"/>
                    <a:stretch>
                      <a:fillRect/>
                    </a:stretch>
                  </pic:blipFill>
                  <pic:spPr>
                    <a:xfrm>
                      <a:off x="0" y="0"/>
                      <a:ext cx="2715004" cy="743054"/>
                    </a:xfrm>
                    <a:prstGeom prst="rect">
                      <a:avLst/>
                    </a:prstGeom>
                  </pic:spPr>
                </pic:pic>
              </a:graphicData>
            </a:graphic>
          </wp:inline>
        </w:drawing>
      </w:r>
    </w:p>
    <w:p w14:paraId="32BDB5E9" w14:textId="77777777" w:rsidR="00C06DC9" w:rsidRPr="008E5AB9" w:rsidRDefault="00C06DC9" w:rsidP="00C06DC9">
      <w:pPr>
        <w:spacing w:after="0" w:line="240" w:lineRule="auto"/>
        <w:jc w:val="both"/>
        <w:rPr>
          <w:rFonts w:ascii="Verdana" w:eastAsia="Calibri" w:hAnsi="Verdana" w:cs="Arial"/>
          <w:lang w:val="es-ES" w:eastAsia="es-ES"/>
        </w:rPr>
      </w:pPr>
      <w:r w:rsidRPr="008E5AB9">
        <w:rPr>
          <w:rFonts w:ascii="Verdana" w:eastAsia="Calibri" w:hAnsi="Verdana" w:cs="Arial"/>
          <w:lang w:val="es-ES" w:eastAsia="es-ES"/>
        </w:rPr>
        <w:t>Señor</w:t>
      </w:r>
    </w:p>
    <w:p w14:paraId="32F8887B" w14:textId="77777777" w:rsidR="00C06DC9" w:rsidRPr="008E5AB9" w:rsidRDefault="00C06DC9" w:rsidP="00C06DC9">
      <w:pPr>
        <w:spacing w:after="0" w:line="240" w:lineRule="auto"/>
        <w:rPr>
          <w:rFonts w:ascii="Verdana" w:eastAsia="Calibri" w:hAnsi="Verdana" w:cs="Arial"/>
          <w:b/>
          <w:lang w:val="es-ES" w:eastAsia="es-ES"/>
        </w:rPr>
      </w:pPr>
      <w:r w:rsidRPr="008E5AB9">
        <w:rPr>
          <w:rFonts w:ascii="Verdana" w:eastAsia="Calibri" w:hAnsi="Verdana" w:cs="Arial"/>
          <w:b/>
          <w:lang w:val="es-ES" w:eastAsia="es-ES"/>
        </w:rPr>
        <w:t>Juan David Gonzáles Villamarin</w:t>
      </w:r>
    </w:p>
    <w:p w14:paraId="0398B28D" w14:textId="77777777" w:rsidR="00C06DC9" w:rsidRPr="008E5AB9" w:rsidRDefault="00C06DC9" w:rsidP="00C06DC9">
      <w:pPr>
        <w:spacing w:after="0" w:line="240" w:lineRule="auto"/>
        <w:rPr>
          <w:rFonts w:ascii="Verdana" w:eastAsia="Aptos" w:hAnsi="Verdana" w:cs="Times New Roman"/>
        </w:rPr>
      </w:pPr>
      <w:hyperlink r:id="rId11" w:history="1">
        <w:r w:rsidRPr="008E5AB9">
          <w:rPr>
            <w:rFonts w:ascii="Verdana" w:eastAsia="Aptos" w:hAnsi="Verdana" w:cs="Arial"/>
            <w:color w:val="467886"/>
            <w:u w:val="single"/>
          </w:rPr>
          <w:t>juango212@hotmail.com</w:t>
        </w:r>
      </w:hyperlink>
      <w:r w:rsidRPr="008E5AB9">
        <w:rPr>
          <w:rFonts w:ascii="Verdana" w:eastAsia="Aptos" w:hAnsi="Verdana" w:cs="Times New Roman"/>
        </w:rPr>
        <w:t xml:space="preserve"> </w:t>
      </w:r>
    </w:p>
    <w:p w14:paraId="140672DD" w14:textId="77777777" w:rsidR="00C06DC9" w:rsidRPr="008E5AB9" w:rsidRDefault="00C06DC9" w:rsidP="00C06DC9">
      <w:pPr>
        <w:spacing w:after="0" w:line="240" w:lineRule="auto"/>
        <w:rPr>
          <w:rFonts w:ascii="Verdana" w:eastAsia="Calibri" w:hAnsi="Verdana" w:cs="Arial"/>
          <w:b/>
          <w:bCs/>
          <w:lang w:val="es-ES" w:eastAsia="es-ES"/>
        </w:rPr>
      </w:pPr>
      <w:r w:rsidRPr="008E5AB9">
        <w:rPr>
          <w:rFonts w:ascii="Verdana" w:eastAsia="Calibri" w:hAnsi="Verdana" w:cs="Arial"/>
          <w:lang w:val="es-ES" w:eastAsia="es-ES"/>
        </w:rPr>
        <w:t>Popayán, Cauca</w:t>
      </w:r>
    </w:p>
    <w:p w14:paraId="56713F22" w14:textId="77777777" w:rsidR="00C06DC9" w:rsidRPr="008E5AB9" w:rsidRDefault="00C06DC9" w:rsidP="00C06DC9">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06DC9" w:rsidRPr="008E5AB9" w14:paraId="7736D788" w14:textId="77777777" w:rsidTr="00DC78A7">
        <w:trPr>
          <w:trHeight w:val="884"/>
        </w:trPr>
        <w:tc>
          <w:tcPr>
            <w:tcW w:w="2689" w:type="dxa"/>
          </w:tcPr>
          <w:p w14:paraId="518FD3B1" w14:textId="77777777" w:rsidR="00C06DC9" w:rsidRPr="008E5AB9" w:rsidRDefault="00C06DC9" w:rsidP="00DC78A7">
            <w:pPr>
              <w:jc w:val="both"/>
              <w:rPr>
                <w:rFonts w:ascii="Verdana" w:eastAsia="Calibri" w:hAnsi="Verdana" w:cs="Arial"/>
                <w:b/>
                <w:bCs/>
                <w:lang w:val="es-ES_tradnl" w:eastAsia="es-ES_tradnl"/>
              </w:rPr>
            </w:pPr>
          </w:p>
        </w:tc>
        <w:tc>
          <w:tcPr>
            <w:tcW w:w="6100" w:type="dxa"/>
          </w:tcPr>
          <w:p w14:paraId="15B90D10" w14:textId="77777777" w:rsidR="00C06DC9" w:rsidRPr="008E5AB9" w:rsidRDefault="00C06DC9" w:rsidP="00DC78A7">
            <w:pPr>
              <w:jc w:val="both"/>
              <w:rPr>
                <w:rFonts w:ascii="Verdana" w:eastAsia="Calibri" w:hAnsi="Verdana" w:cs="Arial"/>
                <w:b/>
                <w:bCs/>
                <w:lang w:val="es-ES" w:eastAsia="es-ES"/>
              </w:rPr>
            </w:pPr>
            <w:r w:rsidRPr="008E5AB9">
              <w:rPr>
                <w:rFonts w:ascii="Verdana" w:eastAsia="Calibri" w:hAnsi="Verdana" w:cs="Arial"/>
                <w:b/>
                <w:bCs/>
                <w:lang w:val="es-ES" w:eastAsia="es-ES"/>
              </w:rPr>
              <w:t>Concepto C-162 de 2026</w:t>
            </w:r>
          </w:p>
        </w:tc>
      </w:tr>
      <w:tr w:rsidR="00C06DC9" w:rsidRPr="008E5AB9" w14:paraId="30ECA6F1" w14:textId="77777777" w:rsidTr="00DC78A7">
        <w:trPr>
          <w:trHeight w:val="884"/>
        </w:trPr>
        <w:tc>
          <w:tcPr>
            <w:tcW w:w="2689" w:type="dxa"/>
          </w:tcPr>
          <w:p w14:paraId="0DF76981" w14:textId="77777777" w:rsidR="00C06DC9" w:rsidRPr="008E5AB9" w:rsidRDefault="00C06DC9" w:rsidP="00DC78A7">
            <w:pPr>
              <w:jc w:val="both"/>
              <w:rPr>
                <w:rFonts w:ascii="Verdana" w:eastAsia="Calibri" w:hAnsi="Verdana" w:cs="Arial"/>
                <w:lang w:val="es-ES_tradnl" w:eastAsia="es-ES_tradnl"/>
              </w:rPr>
            </w:pPr>
            <w:r w:rsidRPr="008E5AB9">
              <w:rPr>
                <w:rFonts w:ascii="Verdana" w:eastAsia="Calibri" w:hAnsi="Verdana" w:cs="Arial"/>
                <w:b/>
                <w:lang w:val="es-ES_tradnl" w:eastAsia="es-ES_tradnl"/>
              </w:rPr>
              <w:t>Temas:</w:t>
            </w:r>
            <w:r w:rsidRPr="008E5AB9">
              <w:rPr>
                <w:rFonts w:ascii="Verdana" w:eastAsia="Calibri" w:hAnsi="Verdana" w:cs="Arial"/>
                <w:lang w:val="es-ES_tradnl" w:eastAsia="es-ES_tradnl"/>
              </w:rPr>
              <w:t xml:space="preserve">                   </w:t>
            </w:r>
          </w:p>
        </w:tc>
        <w:tc>
          <w:tcPr>
            <w:tcW w:w="6100" w:type="dxa"/>
          </w:tcPr>
          <w:p w14:paraId="67973F52" w14:textId="77777777" w:rsidR="00C06DC9" w:rsidRPr="008E5AB9" w:rsidRDefault="00C06DC9" w:rsidP="00DC78A7">
            <w:pPr>
              <w:spacing w:line="276" w:lineRule="auto"/>
              <w:jc w:val="both"/>
              <w:rPr>
                <w:rFonts w:ascii="Verdana" w:eastAsia="Calibri" w:hAnsi="Verdana" w:cs="Arial"/>
                <w:lang w:val="es-ES" w:eastAsia="es-ES"/>
              </w:rPr>
            </w:pPr>
            <w:r w:rsidRPr="008E5AB9">
              <w:rPr>
                <w:rFonts w:ascii="Verdana" w:eastAsia="Calibri" w:hAnsi="Verdana" w:cs="Arial"/>
                <w:lang w:val="es-ES" w:eastAsia="es-ES"/>
              </w:rPr>
              <w:t>LEY DE GARANTÍAS ELECTORALES – Finalidad - Ley 996 de 2005 – Comicios aplicables / LEY DE GARANTÍAS ELECTORALES – Restricciones contractuales – Comicios aplicables - Destinatarios</w:t>
            </w:r>
          </w:p>
          <w:p w14:paraId="3065153E" w14:textId="77777777" w:rsidR="00C06DC9" w:rsidRPr="008E5AB9" w:rsidRDefault="00C06DC9" w:rsidP="00DC78A7">
            <w:pPr>
              <w:spacing w:line="276" w:lineRule="auto"/>
              <w:jc w:val="both"/>
              <w:rPr>
                <w:rFonts w:ascii="Verdana" w:eastAsia="Calibri" w:hAnsi="Verdana" w:cs="Arial"/>
                <w:lang w:val="es-ES" w:eastAsia="es-ES"/>
              </w:rPr>
            </w:pPr>
          </w:p>
        </w:tc>
      </w:tr>
    </w:tbl>
    <w:p w14:paraId="01CD46F8" w14:textId="77777777" w:rsidR="00C06DC9" w:rsidRPr="008E5AB9" w:rsidRDefault="00C06DC9" w:rsidP="00C06DC9">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06DC9" w:rsidRPr="008E5AB9" w14:paraId="641461D0" w14:textId="77777777" w:rsidTr="00DC78A7">
        <w:tc>
          <w:tcPr>
            <w:tcW w:w="2689" w:type="dxa"/>
          </w:tcPr>
          <w:p w14:paraId="3B283C49" w14:textId="77777777" w:rsidR="00C06DC9" w:rsidRPr="008E5AB9" w:rsidRDefault="00C06DC9" w:rsidP="00DC78A7">
            <w:pPr>
              <w:jc w:val="both"/>
              <w:rPr>
                <w:rFonts w:ascii="Verdana" w:eastAsia="Calibri" w:hAnsi="Verdana" w:cs="Arial"/>
                <w:b/>
                <w:lang w:val="es-ES_tradnl" w:eastAsia="es-ES_tradnl"/>
              </w:rPr>
            </w:pPr>
            <w:r w:rsidRPr="008E5AB9">
              <w:rPr>
                <w:rFonts w:ascii="Verdana" w:eastAsia="Calibri" w:hAnsi="Verdana" w:cs="Arial"/>
                <w:b/>
                <w:lang w:val="es-ES_tradnl" w:eastAsia="es-ES_tradnl"/>
              </w:rPr>
              <w:t>Radicación:</w:t>
            </w:r>
            <w:r w:rsidRPr="008E5AB9">
              <w:rPr>
                <w:rFonts w:ascii="Verdana" w:eastAsia="Calibri" w:hAnsi="Verdana" w:cs="Arial"/>
                <w:lang w:val="es-ES_tradnl" w:eastAsia="es-ES_tradnl"/>
              </w:rPr>
              <w:t xml:space="preserve">               </w:t>
            </w:r>
          </w:p>
        </w:tc>
        <w:tc>
          <w:tcPr>
            <w:tcW w:w="6100" w:type="dxa"/>
          </w:tcPr>
          <w:p w14:paraId="119D8C19" w14:textId="77777777" w:rsidR="00C06DC9" w:rsidRPr="008E5AB9" w:rsidRDefault="00C06DC9" w:rsidP="00DC78A7">
            <w:pPr>
              <w:jc w:val="both"/>
              <w:rPr>
                <w:rFonts w:ascii="Verdana" w:eastAsia="Calibri" w:hAnsi="Verdana" w:cs="Arial"/>
                <w:lang w:val="es-ES_tradnl" w:eastAsia="es-ES_tradnl"/>
              </w:rPr>
            </w:pPr>
            <w:r w:rsidRPr="008E5AB9">
              <w:rPr>
                <w:rFonts w:ascii="Verdana" w:eastAsia="Calibri" w:hAnsi="Verdana" w:cs="Arial"/>
                <w:lang w:val="es-ES_tradnl" w:eastAsia="es-ES_tradnl"/>
              </w:rPr>
              <w:t>Respuesta a consulta con radicado No. 1_2026_02_05_001443</w:t>
            </w:r>
          </w:p>
        </w:tc>
      </w:tr>
    </w:tbl>
    <w:p w14:paraId="7CF95462" w14:textId="77777777" w:rsidR="00C06DC9" w:rsidRPr="008E5AB9" w:rsidRDefault="00C06DC9" w:rsidP="00C06DC9">
      <w:pPr>
        <w:spacing w:after="0" w:line="240" w:lineRule="auto"/>
        <w:jc w:val="both"/>
        <w:rPr>
          <w:rFonts w:ascii="Verdana" w:eastAsia="Calibri" w:hAnsi="Verdana" w:cs="Arial"/>
          <w:lang w:val="es-ES_tradnl" w:eastAsia="es-ES_tradnl"/>
        </w:rPr>
      </w:pPr>
    </w:p>
    <w:p w14:paraId="04271C0E" w14:textId="77777777" w:rsidR="00C06DC9" w:rsidRPr="008E5AB9" w:rsidRDefault="00C06DC9" w:rsidP="00C06DC9">
      <w:pPr>
        <w:spacing w:after="0" w:line="240" w:lineRule="auto"/>
        <w:jc w:val="both"/>
        <w:rPr>
          <w:rFonts w:ascii="Verdana" w:eastAsia="Calibri" w:hAnsi="Verdana" w:cs="Arial"/>
          <w:lang w:val="es-ES_tradnl" w:eastAsia="es-ES_tradnl"/>
        </w:rPr>
      </w:pPr>
    </w:p>
    <w:p w14:paraId="6B6C00A7" w14:textId="77777777" w:rsidR="00C06DC9" w:rsidRPr="008E5AB9" w:rsidRDefault="00C06DC9" w:rsidP="00C06DC9">
      <w:pPr>
        <w:spacing w:after="0" w:line="276" w:lineRule="auto"/>
        <w:jc w:val="both"/>
        <w:rPr>
          <w:rFonts w:ascii="Verdana" w:eastAsia="Calibri" w:hAnsi="Verdana" w:cs="Arial"/>
          <w:lang w:val="es-ES" w:eastAsia="es-ES"/>
        </w:rPr>
      </w:pPr>
      <w:r w:rsidRPr="008E5AB9">
        <w:rPr>
          <w:rFonts w:ascii="Verdana" w:eastAsia="Calibri" w:hAnsi="Verdana" w:cs="Arial"/>
          <w:lang w:val="es-ES" w:eastAsia="es-ES"/>
        </w:rPr>
        <w:t xml:space="preserve">Estimando Señor Gonzáles: </w:t>
      </w:r>
    </w:p>
    <w:p w14:paraId="2961F005" w14:textId="77777777" w:rsidR="00C06DC9" w:rsidRPr="008E5AB9" w:rsidRDefault="00C06DC9" w:rsidP="00C06DC9">
      <w:pPr>
        <w:tabs>
          <w:tab w:val="left" w:pos="3768"/>
        </w:tabs>
        <w:spacing w:after="0" w:line="276" w:lineRule="auto"/>
        <w:jc w:val="both"/>
        <w:rPr>
          <w:rFonts w:ascii="Verdana" w:eastAsia="Calibri" w:hAnsi="Verdana" w:cs="Arial"/>
          <w:lang w:val="es-ES" w:eastAsia="es-ES"/>
        </w:rPr>
      </w:pPr>
    </w:p>
    <w:p w14:paraId="2D41B247" w14:textId="77777777" w:rsidR="00C06DC9" w:rsidRPr="008E5AB9" w:rsidRDefault="00C06DC9" w:rsidP="00C06DC9">
      <w:pPr>
        <w:spacing w:after="0" w:line="276" w:lineRule="auto"/>
        <w:jc w:val="both"/>
        <w:rPr>
          <w:rFonts w:ascii="Verdana" w:eastAsia="Calibri" w:hAnsi="Verdana" w:cs="Arial"/>
          <w:lang w:val="es-ES" w:eastAsia="es-ES"/>
        </w:rPr>
      </w:pPr>
      <w:r w:rsidRPr="008E5AB9">
        <w:rPr>
          <w:rFonts w:ascii="Verdana" w:eastAsia="Calibri" w:hAnsi="Verdana" w:cs="Arial"/>
          <w:lang w:val="es-ES" w:eastAsia="es-ES"/>
        </w:rPr>
        <w:t>En ejercicio de la competencia otorgada por los artículos 3, numeral 5º, y 11, numeral 8º, del Decreto Ley 4170 de 2011,</w:t>
      </w:r>
      <w:r w:rsidRPr="008E5AB9">
        <w:rPr>
          <w:rFonts w:ascii="Verdana" w:eastAsia="Arial MT" w:hAnsi="Verdana" w:cs="Arial MT"/>
          <w:lang w:val="es-ES" w:eastAsia="es-ES"/>
        </w:rPr>
        <w:t xml:space="preserve"> </w:t>
      </w:r>
      <w:r w:rsidRPr="008E5AB9">
        <w:rPr>
          <w:rFonts w:ascii="Verdana" w:eastAsia="Aptos" w:hAnsi="Verdana" w:cs="Arial"/>
        </w:rPr>
        <w:t xml:space="preserve">así como lo establecido en el artículo 4 de la Resolución 1707 de 2018 expedida por esta Entidad, </w:t>
      </w:r>
      <w:r w:rsidRPr="008E5AB9">
        <w:rPr>
          <w:rFonts w:ascii="Verdana" w:eastAsia="Calibri" w:hAnsi="Verdana" w:cs="Arial"/>
          <w:lang w:val="es-ES" w:eastAsia="es-ES"/>
        </w:rPr>
        <w:t xml:space="preserve">la Agencia Nacional de Contratación Pública – Colombia Compra Eficiente– responde su petición del 05 de febrero de 2026, en la que realiza la siguiente consulta: </w:t>
      </w:r>
    </w:p>
    <w:p w14:paraId="4C612C0D" w14:textId="77777777" w:rsidR="00C06DC9" w:rsidRPr="008E5AB9" w:rsidRDefault="00C06DC9" w:rsidP="00C06DC9">
      <w:pPr>
        <w:spacing w:after="0" w:line="276" w:lineRule="auto"/>
        <w:jc w:val="both"/>
        <w:rPr>
          <w:rFonts w:ascii="Verdana" w:eastAsia="Calibri" w:hAnsi="Verdana" w:cs="Arial"/>
          <w:lang w:val="es-ES" w:eastAsia="es-ES"/>
        </w:rPr>
      </w:pPr>
    </w:p>
    <w:p w14:paraId="46E3DBE5" w14:textId="77777777" w:rsidR="00C06DC9" w:rsidRPr="008E5AB9" w:rsidRDefault="00C06DC9" w:rsidP="00C06DC9">
      <w:pPr>
        <w:spacing w:after="0" w:line="240" w:lineRule="auto"/>
        <w:ind w:left="709" w:right="709"/>
        <w:jc w:val="both"/>
        <w:rPr>
          <w:rFonts w:ascii="Verdana" w:eastAsia="Calibri" w:hAnsi="Verdana" w:cs="Arial"/>
          <w:sz w:val="20"/>
          <w:szCs w:val="20"/>
          <w:lang w:val="es-MX"/>
        </w:rPr>
      </w:pPr>
      <w:r w:rsidRPr="008E5AB9">
        <w:rPr>
          <w:rFonts w:ascii="Verdana" w:eastAsia="Calibri" w:hAnsi="Verdana" w:cs="Arial"/>
          <w:sz w:val="20"/>
          <w:szCs w:val="20"/>
          <w:lang w:val="es-MX"/>
        </w:rPr>
        <w:t>“</w:t>
      </w:r>
      <w:r w:rsidRPr="008E5AB9">
        <w:rPr>
          <w:rFonts w:ascii="Verdana" w:eastAsia="Calibri" w:hAnsi="Verdana" w:cs="Arial"/>
          <w:b/>
          <w:bCs/>
          <w:sz w:val="20"/>
          <w:szCs w:val="20"/>
          <w:lang w:val="es-MX"/>
        </w:rPr>
        <w:t xml:space="preserve">1. ¿Es jurídicamente viable la celebración de convenios solidarios y convenios interadministrativos durante la vigencia de la Ley de Garantías? </w:t>
      </w:r>
      <w:r w:rsidRPr="008E5AB9">
        <w:rPr>
          <w:rFonts w:ascii="Verdana" w:eastAsia="Calibri" w:hAnsi="Verdana" w:cs="Arial"/>
          <w:sz w:val="20"/>
          <w:szCs w:val="20"/>
          <w:lang w:val="es-MX"/>
        </w:rPr>
        <w:t>En caso afirmativo, solicitamos precisar bajo qué consideraciones o supuestos excepcionales podrían celebrarse.</w:t>
      </w:r>
    </w:p>
    <w:p w14:paraId="2E77AC9F" w14:textId="77777777" w:rsidR="00C06DC9" w:rsidRPr="008E5AB9" w:rsidRDefault="00C06DC9" w:rsidP="00C06DC9">
      <w:pPr>
        <w:spacing w:before="120" w:after="0" w:line="240" w:lineRule="auto"/>
        <w:ind w:left="709" w:right="709"/>
        <w:jc w:val="both"/>
        <w:rPr>
          <w:rFonts w:ascii="Verdana" w:eastAsia="Calibri" w:hAnsi="Verdana" w:cs="Arial"/>
          <w:sz w:val="20"/>
          <w:szCs w:val="20"/>
          <w:lang w:val="es-MX"/>
        </w:rPr>
      </w:pPr>
      <w:r w:rsidRPr="008E5AB9">
        <w:rPr>
          <w:rFonts w:ascii="Verdana" w:eastAsia="Calibri" w:hAnsi="Verdana" w:cs="Arial"/>
          <w:b/>
          <w:bCs/>
          <w:sz w:val="20"/>
          <w:szCs w:val="20"/>
          <w:lang w:val="es-MX"/>
        </w:rPr>
        <w:lastRenderedPageBreak/>
        <w:t xml:space="preserve">2. ¿Cuáles serían los requisitos, limitaciones y criterios que deben observarse para la celebración de convenios solidarios o interadministrativos durante dicho periodo, </w:t>
      </w:r>
      <w:r w:rsidRPr="008E5AB9">
        <w:rPr>
          <w:rFonts w:ascii="Verdana" w:eastAsia="Calibri" w:hAnsi="Verdana" w:cs="Arial"/>
          <w:sz w:val="20"/>
          <w:szCs w:val="20"/>
          <w:lang w:val="es-MX"/>
        </w:rPr>
        <w:t>tales como:</w:t>
      </w:r>
    </w:p>
    <w:p w14:paraId="40260DBA" w14:textId="77777777" w:rsidR="00C06DC9" w:rsidRPr="008E5AB9" w:rsidRDefault="00C06DC9" w:rsidP="00C06DC9">
      <w:pPr>
        <w:numPr>
          <w:ilvl w:val="0"/>
          <w:numId w:val="2"/>
        </w:numPr>
        <w:spacing w:before="120" w:after="0" w:line="240" w:lineRule="auto"/>
        <w:ind w:right="709"/>
        <w:contextualSpacing/>
        <w:jc w:val="both"/>
        <w:rPr>
          <w:rFonts w:ascii="Verdana" w:eastAsia="Calibri" w:hAnsi="Verdana" w:cs="Arial"/>
          <w:sz w:val="20"/>
          <w:szCs w:val="20"/>
          <w:lang w:val="es-MX"/>
        </w:rPr>
      </w:pPr>
      <w:r w:rsidRPr="008E5AB9">
        <w:rPr>
          <w:rFonts w:ascii="Verdana" w:eastAsia="Calibri" w:hAnsi="Verdana" w:cs="Arial"/>
          <w:sz w:val="20"/>
          <w:szCs w:val="20"/>
          <w:lang w:val="es-MX"/>
        </w:rPr>
        <w:t>Requisitos de planeación y justificación.</w:t>
      </w:r>
    </w:p>
    <w:p w14:paraId="0EE97ABB" w14:textId="77777777" w:rsidR="00C06DC9" w:rsidRPr="008E5AB9" w:rsidRDefault="00C06DC9" w:rsidP="00C06DC9">
      <w:pPr>
        <w:numPr>
          <w:ilvl w:val="0"/>
          <w:numId w:val="2"/>
        </w:numPr>
        <w:spacing w:before="120" w:after="0" w:line="240" w:lineRule="auto"/>
        <w:ind w:right="709"/>
        <w:contextualSpacing/>
        <w:jc w:val="both"/>
        <w:rPr>
          <w:rFonts w:ascii="Verdana" w:eastAsia="Calibri" w:hAnsi="Verdana" w:cs="Arial"/>
          <w:sz w:val="20"/>
          <w:szCs w:val="20"/>
          <w:lang w:val="es-MX"/>
        </w:rPr>
      </w:pPr>
      <w:r w:rsidRPr="008E5AB9">
        <w:rPr>
          <w:rFonts w:ascii="Verdana" w:eastAsia="Calibri" w:hAnsi="Verdana" w:cs="Arial"/>
          <w:sz w:val="20"/>
          <w:szCs w:val="20"/>
          <w:lang w:val="es-MX"/>
        </w:rPr>
        <w:t>Restricciones frente a la ejecución de recursos públicos.</w:t>
      </w:r>
    </w:p>
    <w:p w14:paraId="2E160976" w14:textId="77777777" w:rsidR="00C06DC9" w:rsidRPr="008E5AB9" w:rsidRDefault="00C06DC9" w:rsidP="00C06DC9">
      <w:pPr>
        <w:numPr>
          <w:ilvl w:val="0"/>
          <w:numId w:val="2"/>
        </w:numPr>
        <w:spacing w:before="120" w:after="0" w:line="240" w:lineRule="auto"/>
        <w:ind w:right="709"/>
        <w:contextualSpacing/>
        <w:jc w:val="both"/>
        <w:rPr>
          <w:rFonts w:ascii="Verdana" w:eastAsia="Calibri" w:hAnsi="Verdana" w:cs="Arial"/>
          <w:sz w:val="20"/>
          <w:szCs w:val="20"/>
          <w:lang w:val="es-MX"/>
        </w:rPr>
      </w:pPr>
      <w:r w:rsidRPr="008E5AB9">
        <w:rPr>
          <w:rFonts w:ascii="Verdana" w:eastAsia="Calibri" w:hAnsi="Verdana" w:cs="Arial"/>
          <w:sz w:val="20"/>
          <w:szCs w:val="20"/>
          <w:lang w:val="es-MX"/>
        </w:rPr>
        <w:t>Autorizaciones previas o conceptos requeridos.</w:t>
      </w:r>
    </w:p>
    <w:p w14:paraId="1E75D02E" w14:textId="77777777" w:rsidR="00C06DC9" w:rsidRPr="008E5AB9" w:rsidRDefault="00C06DC9" w:rsidP="00C06DC9">
      <w:pPr>
        <w:numPr>
          <w:ilvl w:val="0"/>
          <w:numId w:val="2"/>
        </w:numPr>
        <w:spacing w:before="120" w:after="0" w:line="240" w:lineRule="auto"/>
        <w:ind w:right="709"/>
        <w:contextualSpacing/>
        <w:jc w:val="both"/>
        <w:rPr>
          <w:rFonts w:ascii="Verdana" w:eastAsia="Calibri" w:hAnsi="Verdana" w:cs="Arial"/>
          <w:sz w:val="20"/>
          <w:szCs w:val="20"/>
          <w:lang w:val="es-MX"/>
        </w:rPr>
      </w:pPr>
      <w:r w:rsidRPr="008E5AB9">
        <w:rPr>
          <w:rFonts w:ascii="Verdana" w:eastAsia="Calibri" w:hAnsi="Verdana" w:cs="Arial"/>
          <w:sz w:val="20"/>
          <w:szCs w:val="20"/>
          <w:lang w:val="es-MX"/>
        </w:rPr>
        <w:t>Obligaciones en materia de publicidad, transparencia y control.</w:t>
      </w:r>
    </w:p>
    <w:p w14:paraId="28C04629" w14:textId="77777777" w:rsidR="00C06DC9" w:rsidRPr="008E5AB9" w:rsidRDefault="00C06DC9" w:rsidP="00C06DC9">
      <w:pPr>
        <w:spacing w:before="120" w:after="0" w:line="240" w:lineRule="auto"/>
        <w:ind w:left="709" w:right="709"/>
        <w:jc w:val="both"/>
        <w:rPr>
          <w:rFonts w:ascii="Verdana" w:eastAsia="Calibri" w:hAnsi="Verdana" w:cs="Arial"/>
          <w:sz w:val="20"/>
          <w:szCs w:val="20"/>
          <w:lang w:val="es-MX"/>
        </w:rPr>
      </w:pPr>
      <w:r w:rsidRPr="008E5AB9">
        <w:rPr>
          <w:rFonts w:ascii="Verdana" w:eastAsia="Calibri" w:hAnsi="Verdana" w:cs="Arial"/>
          <w:b/>
          <w:bCs/>
          <w:sz w:val="20"/>
          <w:szCs w:val="20"/>
          <w:lang w:val="es-MX"/>
        </w:rPr>
        <w:t xml:space="preserve">3. ¿Existe una postura institucional unificada por parte de Colombia Compra Eficiente </w:t>
      </w:r>
      <w:r w:rsidRPr="008E5AB9">
        <w:rPr>
          <w:rFonts w:ascii="Verdana" w:eastAsia="Calibri" w:hAnsi="Verdana" w:cs="Arial"/>
          <w:sz w:val="20"/>
          <w:szCs w:val="20"/>
          <w:lang w:val="es-MX"/>
        </w:rPr>
        <w:t>frente a esta materia, o pronunciamientos que permitan armonizar los criterios divergentes identificados en distintos conceptos y orientaciones doctrinales?</w:t>
      </w:r>
    </w:p>
    <w:p w14:paraId="73505760" w14:textId="77777777" w:rsidR="00C06DC9" w:rsidRPr="008E5AB9" w:rsidRDefault="00C06DC9" w:rsidP="00C06DC9">
      <w:pPr>
        <w:spacing w:before="120" w:after="0" w:line="240" w:lineRule="auto"/>
        <w:ind w:left="709" w:right="709"/>
        <w:jc w:val="both"/>
        <w:rPr>
          <w:rFonts w:ascii="Verdana" w:eastAsia="Calibri" w:hAnsi="Verdana" w:cs="Arial"/>
          <w:sz w:val="20"/>
          <w:szCs w:val="20"/>
          <w:lang w:val="es-MX"/>
        </w:rPr>
      </w:pPr>
      <w:r w:rsidRPr="008E5AB9">
        <w:rPr>
          <w:rFonts w:ascii="Verdana" w:eastAsia="Calibri" w:hAnsi="Verdana" w:cs="Arial"/>
          <w:b/>
          <w:bCs/>
          <w:sz w:val="20"/>
          <w:szCs w:val="20"/>
          <w:lang w:val="es-MX"/>
        </w:rPr>
        <w:t xml:space="preserve">4. </w:t>
      </w:r>
      <w:r w:rsidRPr="008E5AB9">
        <w:rPr>
          <w:rFonts w:ascii="Verdana" w:eastAsia="Calibri" w:hAnsi="Verdana" w:cs="Arial"/>
          <w:sz w:val="20"/>
          <w:szCs w:val="20"/>
          <w:lang w:val="es-MX"/>
        </w:rPr>
        <w:t xml:space="preserve">Finalmente, agradecemos indicar </w:t>
      </w:r>
      <w:r w:rsidRPr="008E5AB9">
        <w:rPr>
          <w:rFonts w:ascii="Verdana" w:eastAsia="Calibri" w:hAnsi="Verdana" w:cs="Arial"/>
          <w:b/>
          <w:bCs/>
          <w:sz w:val="20"/>
          <w:szCs w:val="20"/>
          <w:lang w:val="es-MX"/>
        </w:rPr>
        <w:t xml:space="preserve">las normas, conceptos, guías o lineamientos vigentes </w:t>
      </w:r>
      <w:r w:rsidRPr="008E5AB9">
        <w:rPr>
          <w:rFonts w:ascii="Verdana" w:eastAsia="Calibri" w:hAnsi="Verdana" w:cs="Arial"/>
          <w:sz w:val="20"/>
          <w:szCs w:val="20"/>
          <w:lang w:val="es-MX"/>
        </w:rPr>
        <w:t>que deban ser observados por las entidades territoriales para garantizar la legalidad de la celebración de este tipo de convenios durante la Ley de Garantías.</w:t>
      </w:r>
    </w:p>
    <w:p w14:paraId="6C34FED3" w14:textId="77777777" w:rsidR="00C06DC9" w:rsidRPr="008E5AB9" w:rsidRDefault="00C06DC9" w:rsidP="00C06DC9">
      <w:pPr>
        <w:spacing w:before="120" w:after="0" w:line="240" w:lineRule="auto"/>
        <w:ind w:left="709" w:right="709"/>
        <w:jc w:val="both"/>
        <w:rPr>
          <w:rFonts w:ascii="Verdana" w:eastAsia="Calibri" w:hAnsi="Verdana" w:cs="Arial"/>
          <w:sz w:val="20"/>
          <w:szCs w:val="20"/>
          <w:lang w:val="es-MX"/>
        </w:rPr>
      </w:pPr>
      <w:r w:rsidRPr="008E5AB9">
        <w:rPr>
          <w:rFonts w:ascii="Verdana" w:eastAsia="Calibri" w:hAnsi="Verdana" w:cs="Arial"/>
          <w:sz w:val="20"/>
          <w:szCs w:val="20"/>
          <w:lang w:val="es-MX"/>
        </w:rPr>
        <w:t>[…]”. [sic] [Negrillas propias]</w:t>
      </w:r>
    </w:p>
    <w:p w14:paraId="4820D5B8" w14:textId="77777777" w:rsidR="00C06DC9" w:rsidRPr="008E5AB9" w:rsidRDefault="00C06DC9" w:rsidP="00C06DC9">
      <w:pPr>
        <w:spacing w:after="0" w:line="276" w:lineRule="auto"/>
        <w:jc w:val="both"/>
        <w:rPr>
          <w:rFonts w:ascii="Verdana" w:eastAsia="Calibri" w:hAnsi="Verdana" w:cs="Arial"/>
          <w:lang w:val="es-ES" w:eastAsia="es-ES"/>
        </w:rPr>
      </w:pPr>
    </w:p>
    <w:p w14:paraId="2EB3D16E" w14:textId="77777777" w:rsidR="00C06DC9" w:rsidRPr="008E5AB9" w:rsidRDefault="00C06DC9" w:rsidP="00C06DC9">
      <w:pPr>
        <w:spacing w:after="120" w:line="276" w:lineRule="auto"/>
        <w:jc w:val="both"/>
        <w:rPr>
          <w:rFonts w:ascii="Verdana" w:eastAsia="Calibri" w:hAnsi="Verdana" w:cs="Arial"/>
          <w:szCs w:val="24"/>
          <w:lang w:val="es-ES_tradnl" w:eastAsia="es-ES_tradnl"/>
        </w:rPr>
      </w:pPr>
      <w:r w:rsidRPr="008E5AB9">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3763DC8" w14:textId="77777777" w:rsidR="00C06DC9" w:rsidRPr="008E5AB9" w:rsidRDefault="00C06DC9" w:rsidP="00C06DC9">
      <w:pPr>
        <w:spacing w:after="0" w:line="276" w:lineRule="auto"/>
        <w:ind w:firstLine="709"/>
        <w:jc w:val="both"/>
        <w:rPr>
          <w:rFonts w:ascii="Verdana" w:eastAsia="Calibri" w:hAnsi="Verdana" w:cs="Arial"/>
          <w:lang w:val="es-ES" w:eastAsia="es-ES"/>
        </w:rPr>
      </w:pPr>
      <w:r w:rsidRPr="008E5AB9">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2A2CECD0" w14:textId="77777777" w:rsidR="00C06DC9" w:rsidRPr="008E5AB9" w:rsidRDefault="00C06DC9" w:rsidP="00C06DC9">
      <w:pPr>
        <w:spacing w:after="0" w:line="276" w:lineRule="auto"/>
        <w:ind w:firstLine="709"/>
        <w:jc w:val="both"/>
        <w:rPr>
          <w:rFonts w:ascii="Verdana" w:eastAsia="Calibri" w:hAnsi="Verdana" w:cs="Arial"/>
          <w:lang w:val="es-ES" w:eastAsia="es-ES"/>
        </w:rPr>
      </w:pPr>
    </w:p>
    <w:p w14:paraId="1885A229" w14:textId="77777777" w:rsidR="00C06DC9" w:rsidRPr="008E5AB9" w:rsidRDefault="00C06DC9" w:rsidP="00C06DC9">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8E5AB9">
        <w:rPr>
          <w:rFonts w:ascii="Verdana" w:eastAsia="Arial" w:hAnsi="Verdana" w:cs="Arial"/>
          <w:b/>
          <w:bCs/>
          <w:lang w:val="es-ES"/>
        </w:rPr>
        <w:t>1. Problema planteado:</w:t>
      </w:r>
    </w:p>
    <w:p w14:paraId="59AAB404" w14:textId="77777777" w:rsidR="00C06DC9" w:rsidRPr="008E5AB9" w:rsidRDefault="00C06DC9" w:rsidP="00C06DC9">
      <w:pPr>
        <w:tabs>
          <w:tab w:val="left" w:pos="426"/>
        </w:tabs>
        <w:spacing w:after="0" w:line="276" w:lineRule="auto"/>
        <w:jc w:val="both"/>
        <w:rPr>
          <w:rFonts w:ascii="Verdana" w:eastAsia="Century Gothic" w:hAnsi="Verdana" w:cs="Century Gothic"/>
          <w:lang w:val="es-ES"/>
        </w:rPr>
      </w:pPr>
    </w:p>
    <w:p w14:paraId="04C8F558" w14:textId="77777777" w:rsidR="00C06DC9" w:rsidRPr="008E5AB9" w:rsidRDefault="00C06DC9" w:rsidP="00C06DC9">
      <w:pPr>
        <w:spacing w:after="0" w:line="276" w:lineRule="auto"/>
        <w:jc w:val="both"/>
        <w:rPr>
          <w:rFonts w:ascii="Verdana" w:eastAsia="Century Gothic" w:hAnsi="Verdana" w:cs="Century Gothic"/>
        </w:rPr>
      </w:pPr>
      <w:r w:rsidRPr="008E5AB9">
        <w:rPr>
          <w:rFonts w:ascii="Verdana" w:eastAsia="Century Gothic" w:hAnsi="Verdana" w:cs="Century Gothic"/>
        </w:rPr>
        <w:lastRenderedPageBreak/>
        <w:t xml:space="preserve">De acuerdo con el contenido de su solicitud, le informamos que la misma se resolverá desde el siguiente </w:t>
      </w:r>
      <w:bookmarkStart w:id="1" w:name="_Hlk171070029"/>
      <w:r w:rsidRPr="008E5AB9">
        <w:rPr>
          <w:rFonts w:ascii="Verdana" w:eastAsia="Century Gothic" w:hAnsi="Verdana" w:cs="Century Gothic"/>
        </w:rPr>
        <w:t xml:space="preserve">interrogante: ¿Cuáles son las restricciones que en materia de contratación estatal establece la Ley de Garantías Electorales – Ley 996 de 2005? </w:t>
      </w:r>
    </w:p>
    <w:p w14:paraId="2C78D60F" w14:textId="77777777" w:rsidR="00C06DC9" w:rsidRPr="008E5AB9" w:rsidRDefault="00C06DC9" w:rsidP="00C06DC9">
      <w:pPr>
        <w:spacing w:after="0" w:line="276" w:lineRule="auto"/>
        <w:jc w:val="both"/>
        <w:rPr>
          <w:rFonts w:ascii="Verdana" w:eastAsia="Century Gothic" w:hAnsi="Verdana" w:cs="Century Gothic"/>
        </w:rPr>
      </w:pPr>
    </w:p>
    <w:p w14:paraId="32B8D3EB" w14:textId="77777777" w:rsidR="00C06DC9" w:rsidRPr="008E5AB9" w:rsidRDefault="00C06DC9" w:rsidP="00C06DC9">
      <w:pPr>
        <w:spacing w:after="0" w:line="276" w:lineRule="auto"/>
        <w:jc w:val="both"/>
        <w:rPr>
          <w:rFonts w:ascii="Verdana" w:eastAsia="Calibri" w:hAnsi="Verdana" w:cs="Arial"/>
          <w:lang w:val="es-ES"/>
        </w:rPr>
      </w:pPr>
    </w:p>
    <w:bookmarkEnd w:id="1"/>
    <w:p w14:paraId="77A6A95F" w14:textId="77777777" w:rsidR="00C06DC9" w:rsidRPr="008E5AB9" w:rsidRDefault="00C06DC9" w:rsidP="00C06DC9">
      <w:pPr>
        <w:widowControl w:val="0"/>
        <w:autoSpaceDE w:val="0"/>
        <w:autoSpaceDN w:val="0"/>
        <w:spacing w:before="1" w:after="0" w:line="240" w:lineRule="auto"/>
        <w:jc w:val="both"/>
        <w:outlineLvl w:val="0"/>
        <w:rPr>
          <w:rFonts w:ascii="Verdana" w:eastAsia="Arial" w:hAnsi="Verdana" w:cs="Arial"/>
          <w:b/>
          <w:bCs/>
          <w:lang w:val="es-ES"/>
        </w:rPr>
      </w:pPr>
      <w:r w:rsidRPr="008E5AB9">
        <w:rPr>
          <w:rFonts w:ascii="Verdana" w:eastAsia="Arial" w:hAnsi="Verdana" w:cs="Arial"/>
          <w:b/>
          <w:bCs/>
          <w:lang w:val="es-ES"/>
        </w:rPr>
        <w:t>2. Respuesta:</w:t>
      </w:r>
    </w:p>
    <w:p w14:paraId="4FBC9AE5" w14:textId="77777777" w:rsidR="00C06DC9" w:rsidRPr="008E5AB9" w:rsidRDefault="00C06DC9" w:rsidP="00C06DC9">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06DC9" w:rsidRPr="008E5AB9" w14:paraId="7D986785" w14:textId="77777777" w:rsidTr="00DC78A7">
        <w:tc>
          <w:tcPr>
            <w:tcW w:w="8828" w:type="dxa"/>
          </w:tcPr>
          <w:p w14:paraId="118F26ED" w14:textId="77777777" w:rsidR="00C06DC9" w:rsidRPr="008E5AB9" w:rsidRDefault="00C06DC9" w:rsidP="00DC78A7">
            <w:pPr>
              <w:spacing w:before="120" w:line="276" w:lineRule="auto"/>
              <w:jc w:val="both"/>
              <w:rPr>
                <w:rFonts w:ascii="Verdana" w:eastAsia="Arial" w:hAnsi="Verdana" w:cs="Arial"/>
                <w:lang w:val="es"/>
              </w:rPr>
            </w:pPr>
            <w:bookmarkStart w:id="2" w:name="_Hlk171067516"/>
            <w:r w:rsidRPr="008E5AB9">
              <w:rPr>
                <w:rFonts w:ascii="Verdana" w:eastAsia="Calibri" w:hAnsi="Verdana" w:cs="Arial"/>
                <w:lang w:val="es-ES"/>
              </w:rPr>
              <w:t>Sobre el particular debe precisarse que, l</w:t>
            </w:r>
            <w:r w:rsidRPr="008E5AB9">
              <w:rPr>
                <w:rFonts w:ascii="Verdana" w:eastAsia="Arial" w:hAnsi="Verdana" w:cs="Arial"/>
                <w:lang w:val="es"/>
              </w:rPr>
              <w:t>a Ley 996 de 2005 establece dos (2) tipos de restricciones en materia de contratación estatal, las cuales coinciden parcialmente. En primer lugar, en su artículo 33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Y en segundo lugar, el parágrafo del artículo 38 de la precitada ley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 de sus juntas directivas, en o para reuniones de carácter proselitista”.</w:t>
            </w:r>
          </w:p>
          <w:p w14:paraId="3BD4FC82" w14:textId="77777777" w:rsidR="00C06DC9" w:rsidRPr="008E5AB9" w:rsidRDefault="00C06DC9" w:rsidP="00DC78A7">
            <w:pPr>
              <w:spacing w:before="120" w:line="276" w:lineRule="auto"/>
              <w:ind w:firstLine="708"/>
              <w:jc w:val="both"/>
              <w:rPr>
                <w:rFonts w:ascii="Verdana" w:eastAsia="Arial" w:hAnsi="Verdana" w:cs="Arial"/>
                <w:lang w:val="es-ES"/>
              </w:rPr>
            </w:pPr>
            <w:r w:rsidRPr="008E5AB9">
              <w:rPr>
                <w:rFonts w:ascii="Verdana" w:eastAsia="Arial" w:hAnsi="Verdana" w:cs="Arial"/>
                <w:lang w:val="es-ES"/>
              </w:rPr>
              <w:t>Ambas restricciones no son excluyentes, lo que permite concluir que en el período preelectoral para elección de Presidente de la República, a todos los entes del Estado, incluidos los territoriales, aplican las restricciones del artículo 33 de la Ley 996 de 2005 con sus excepciones, así como las del parágrafo del artículo 38 ibidem. En cambio, tratándose de elecciones en general, excluyendo las correspondientes al Presidente de la República, las autoridades allí mencionadas sólo deben aplicar las restricciones contenidas en el referido parágrafo del artículo 38.</w:t>
            </w:r>
          </w:p>
          <w:p w14:paraId="74E7D9B8" w14:textId="77777777" w:rsidR="00C06DC9" w:rsidRPr="008E5AB9" w:rsidRDefault="00C06DC9" w:rsidP="00DC78A7">
            <w:pPr>
              <w:spacing w:before="120" w:line="276" w:lineRule="auto"/>
              <w:ind w:firstLine="708"/>
              <w:jc w:val="both"/>
              <w:rPr>
                <w:rFonts w:ascii="Verdana" w:eastAsia="Times New Roman" w:hAnsi="Verdana" w:cs="Arial"/>
                <w:color w:val="000000"/>
                <w:bdr w:val="none" w:sz="0" w:space="0" w:color="auto" w:frame="1"/>
                <w:shd w:val="clear" w:color="auto" w:fill="FFFFFF"/>
                <w:lang w:val="es-ES" w:eastAsia="es-ES_tradnl"/>
              </w:rPr>
            </w:pPr>
            <w:r w:rsidRPr="008E5AB9">
              <w:rPr>
                <w:rFonts w:ascii="Verdana" w:eastAsia="Calibri" w:hAnsi="Verdana" w:cs="Arial"/>
              </w:rPr>
              <w:lastRenderedPageBreak/>
              <w:t>Finalmente, debe advertirse que, el análisis requerido para resolver problemas específicos en torno a la aplicación de las restricciones contractuales contenidas en la Ley 996 de 2005,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bookmarkEnd w:id="2"/>
    </w:tbl>
    <w:p w14:paraId="5AC846EF" w14:textId="77777777" w:rsidR="00C06DC9" w:rsidRPr="008E5AB9" w:rsidRDefault="00C06DC9" w:rsidP="00C06DC9">
      <w:pPr>
        <w:widowControl w:val="0"/>
        <w:autoSpaceDE w:val="0"/>
        <w:autoSpaceDN w:val="0"/>
        <w:spacing w:before="1" w:after="0" w:line="240" w:lineRule="auto"/>
        <w:ind w:left="360" w:hanging="360"/>
        <w:outlineLvl w:val="0"/>
        <w:rPr>
          <w:rFonts w:ascii="Verdana" w:eastAsia="Arial" w:hAnsi="Verdana" w:cs="Arial"/>
          <w:b/>
        </w:rPr>
      </w:pPr>
    </w:p>
    <w:p w14:paraId="50563523" w14:textId="77777777" w:rsidR="00C06DC9" w:rsidRPr="008E5AB9" w:rsidRDefault="00C06DC9" w:rsidP="00C06DC9">
      <w:pPr>
        <w:widowControl w:val="0"/>
        <w:autoSpaceDE w:val="0"/>
        <w:autoSpaceDN w:val="0"/>
        <w:spacing w:before="1" w:after="0" w:line="240" w:lineRule="auto"/>
        <w:ind w:left="360" w:hanging="360"/>
        <w:outlineLvl w:val="0"/>
        <w:rPr>
          <w:rFonts w:ascii="Verdana" w:eastAsia="Arial" w:hAnsi="Verdana" w:cs="Arial"/>
          <w:b/>
          <w:bCs/>
          <w:lang w:val="es-ES"/>
        </w:rPr>
      </w:pPr>
      <w:r w:rsidRPr="008E5AB9">
        <w:rPr>
          <w:rFonts w:ascii="Verdana" w:eastAsia="Arial" w:hAnsi="Verdana" w:cs="Arial"/>
          <w:b/>
          <w:bCs/>
          <w:lang w:val="es-ES"/>
        </w:rPr>
        <w:t>3. Razones de la respuesta</w:t>
      </w:r>
    </w:p>
    <w:p w14:paraId="1641524A" w14:textId="77777777" w:rsidR="00C06DC9" w:rsidRPr="008E5AB9" w:rsidRDefault="00C06DC9" w:rsidP="00C06DC9">
      <w:pPr>
        <w:spacing w:after="0" w:line="276" w:lineRule="auto"/>
        <w:jc w:val="both"/>
        <w:rPr>
          <w:rFonts w:ascii="Verdana" w:eastAsia="Calibri" w:hAnsi="Verdana" w:cs="Arial"/>
          <w:lang w:val="es-ES"/>
        </w:rPr>
      </w:pPr>
    </w:p>
    <w:p w14:paraId="62FE9ACD" w14:textId="77777777" w:rsidR="00C06DC9" w:rsidRPr="008E5AB9" w:rsidRDefault="00C06DC9" w:rsidP="00C06DC9">
      <w:pPr>
        <w:spacing w:after="0" w:line="276" w:lineRule="auto"/>
        <w:jc w:val="both"/>
        <w:rPr>
          <w:rFonts w:ascii="Verdana" w:eastAsia="Calibri" w:hAnsi="Verdana" w:cs="Arial"/>
          <w:lang w:val="es-ES"/>
        </w:rPr>
      </w:pPr>
      <w:r w:rsidRPr="008E5AB9">
        <w:rPr>
          <w:rFonts w:ascii="Verdana" w:eastAsia="Calibri" w:hAnsi="Verdana" w:cs="Arial"/>
          <w:lang w:val="es-ES"/>
        </w:rPr>
        <w:t xml:space="preserve">Las respuestas anteriores se sustentan en las siguientes consideraciones: </w:t>
      </w:r>
    </w:p>
    <w:p w14:paraId="5C8593F8" w14:textId="77777777" w:rsidR="00C06DC9" w:rsidRPr="008E5AB9" w:rsidRDefault="00C06DC9" w:rsidP="00C06DC9">
      <w:pPr>
        <w:spacing w:after="0" w:line="276" w:lineRule="auto"/>
        <w:jc w:val="both"/>
        <w:rPr>
          <w:rFonts w:ascii="Verdana" w:eastAsia="Calibri" w:hAnsi="Verdana" w:cs="Arial"/>
          <w:lang w:val="es-ES"/>
        </w:rPr>
      </w:pPr>
    </w:p>
    <w:p w14:paraId="0B8A87B5" w14:textId="77777777" w:rsidR="00C06DC9" w:rsidRPr="008E5AB9" w:rsidRDefault="00C06DC9" w:rsidP="00C06DC9">
      <w:pPr>
        <w:spacing w:after="0" w:line="276" w:lineRule="auto"/>
        <w:jc w:val="both"/>
        <w:rPr>
          <w:rFonts w:ascii="Verdana" w:eastAsia="Calibri" w:hAnsi="Verdana" w:cs="Arial"/>
          <w:lang w:val="es-ES"/>
        </w:rPr>
      </w:pPr>
      <w:r w:rsidRPr="008E5AB9">
        <w:rPr>
          <w:rFonts w:ascii="Verdana" w:eastAsia="Calibri" w:hAnsi="Verdana" w:cs="Arial"/>
          <w:lang w:val="es-ES"/>
        </w:rPr>
        <w:t>De manera preliminar, debe precisarse que el ordenamiento jurídico colombiano contempló previsiones claras para evitar la obtención de beneficios personales en asuntos propios de la administración pública. Por ejemplo, el artículo 17 de la Constitución Política establece una prohibición contractual para los servidores públicos y, en cuanto a aspectos políticos, consagra restricciones a ciertos empleados del Estado, incluso en época no electoral</w:t>
      </w:r>
      <w:r w:rsidRPr="008E5AB9">
        <w:rPr>
          <w:rFonts w:ascii="Verdana" w:eastAsia="Calibri" w:hAnsi="Verdana" w:cs="Arial"/>
          <w:bCs/>
          <w:vertAlign w:val="superscript"/>
        </w:rPr>
        <w:footnoteReference w:id="1"/>
      </w:r>
      <w:r w:rsidRPr="008E5AB9">
        <w:rPr>
          <w:rFonts w:ascii="Verdana" w:eastAsia="Calibri" w:hAnsi="Verdana" w:cs="Arial"/>
          <w:bCs/>
        </w:rPr>
        <w:t>.</w:t>
      </w:r>
    </w:p>
    <w:p w14:paraId="5C84F2D5" w14:textId="77777777" w:rsidR="00C06DC9" w:rsidRPr="008E5AB9" w:rsidRDefault="00C06DC9" w:rsidP="00C06DC9">
      <w:pPr>
        <w:tabs>
          <w:tab w:val="left" w:pos="709"/>
        </w:tabs>
        <w:spacing w:before="120" w:after="120" w:line="276" w:lineRule="auto"/>
        <w:jc w:val="both"/>
        <w:rPr>
          <w:rFonts w:ascii="Verdana" w:eastAsia="Calibri" w:hAnsi="Verdana" w:cs="Arial"/>
          <w:lang w:val="es-ES"/>
        </w:rPr>
      </w:pPr>
      <w:r w:rsidRPr="008E5AB9">
        <w:rPr>
          <w:rFonts w:ascii="Verdana" w:eastAsia="Calibri" w:hAnsi="Verdana" w:cs="Arial"/>
          <w:lang w:val="es-ES"/>
        </w:rPr>
        <w:tab/>
        <w:t>En el mismo sentido</w:t>
      </w:r>
      <w:r w:rsidRPr="008E5AB9">
        <w:rPr>
          <w:rFonts w:ascii="Verdana" w:eastAsia="Calibri" w:hAnsi="Verdana" w:cs="Arial"/>
          <w:color w:val="000000"/>
          <w:lang w:val="es-ES"/>
        </w:rPr>
        <w:t xml:space="preserve">, la Ley 996 de 2005 conocida como “Ley de Garantías Electorales”, </w:t>
      </w:r>
      <w:r w:rsidRPr="008E5AB9">
        <w:rPr>
          <w:rFonts w:ascii="Verdana" w:eastAsia="Calibri" w:hAnsi="Verdana" w:cs="Arial"/>
          <w:lang w:val="es-ES"/>
        </w:rPr>
        <w:t xml:space="preserve">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w:t>
      </w:r>
      <w:r w:rsidRPr="008E5AB9">
        <w:rPr>
          <w:rFonts w:ascii="Verdana" w:eastAsia="Calibri" w:hAnsi="Verdana" w:cs="Arial"/>
          <w:lang w:val="es-ES"/>
        </w:rPr>
        <w:lastRenderedPageBreak/>
        <w:t>Estado en las campañas o falta de garantías en la elección presidencial</w:t>
      </w:r>
      <w:r w:rsidRPr="008E5AB9">
        <w:rPr>
          <w:rFonts w:ascii="Verdana" w:eastAsia="Times New Roman" w:hAnsi="Verdana" w:cs="Arial"/>
          <w:bCs/>
          <w:vertAlign w:val="superscript"/>
          <w:lang w:val="es-MX" w:eastAsia="es-CO"/>
        </w:rPr>
        <w:footnoteReference w:id="2"/>
      </w:r>
      <w:r w:rsidRPr="008E5AB9">
        <w:rPr>
          <w:rFonts w:ascii="Verdana" w:eastAsia="Calibri" w:hAnsi="Verdana" w:cs="Arial"/>
          <w:lang w:val="es-ES"/>
        </w:rPr>
        <w:t>. En esta medida, la cita ley introduce limitaciones para realizar nombramientos, postulaciones, contrataciones o cualquier otro tipo de actividad que implique destinación de recursos públicos bajo el devenir propio de las Entidades Estatales.</w:t>
      </w:r>
    </w:p>
    <w:p w14:paraId="7364CB8A" w14:textId="77777777" w:rsidR="00C06DC9" w:rsidRPr="008E5AB9" w:rsidRDefault="00C06DC9" w:rsidP="00C06DC9">
      <w:pPr>
        <w:tabs>
          <w:tab w:val="left" w:pos="709"/>
        </w:tabs>
        <w:spacing w:after="0" w:line="276" w:lineRule="auto"/>
        <w:jc w:val="both"/>
        <w:rPr>
          <w:rFonts w:ascii="Verdana" w:eastAsia="Calibri" w:hAnsi="Verdana" w:cs="Arial"/>
          <w:sz w:val="23"/>
          <w:szCs w:val="23"/>
          <w:lang w:val="es-ES"/>
        </w:rPr>
      </w:pPr>
      <w:r w:rsidRPr="008E5AB9">
        <w:rPr>
          <w:rFonts w:ascii="Verdana" w:eastAsia="Calibri" w:hAnsi="Verdana" w:cs="Arial"/>
          <w:lang w:val="es-ES"/>
        </w:rPr>
        <w:t xml:space="preserve">En armonía con lo anterior, la Corte Constitucional ha abordado la definición de la Ley de Garantías Electorales y ha explicado que esta tiene como propósito: </w:t>
      </w:r>
    </w:p>
    <w:p w14:paraId="7CE15821" w14:textId="77777777" w:rsidR="00C06DC9" w:rsidRPr="008E5AB9" w:rsidRDefault="00C06DC9" w:rsidP="00C06DC9">
      <w:pPr>
        <w:spacing w:after="0" w:line="240" w:lineRule="auto"/>
        <w:ind w:left="709" w:right="709"/>
        <w:jc w:val="both"/>
        <w:rPr>
          <w:rFonts w:ascii="Verdana" w:eastAsia="Times New Roman" w:hAnsi="Verdana" w:cs="Arial"/>
          <w:sz w:val="21"/>
          <w:szCs w:val="21"/>
          <w:lang w:val="es-ES" w:eastAsia="es-CO"/>
        </w:rPr>
      </w:pPr>
    </w:p>
    <w:p w14:paraId="6BFED283" w14:textId="77777777" w:rsidR="00C06DC9" w:rsidRPr="008E5AB9" w:rsidRDefault="00C06DC9" w:rsidP="00C06DC9">
      <w:pPr>
        <w:spacing w:after="0" w:line="240" w:lineRule="auto"/>
        <w:ind w:left="709" w:right="709"/>
        <w:jc w:val="both"/>
        <w:rPr>
          <w:rFonts w:ascii="Verdana" w:eastAsia="Times New Roman" w:hAnsi="Verdana" w:cs="Arial"/>
          <w:bCs/>
          <w:sz w:val="20"/>
          <w:szCs w:val="20"/>
          <w:lang w:val="es-MX" w:eastAsia="es-CO"/>
        </w:rPr>
      </w:pPr>
      <w:r w:rsidRPr="008E5AB9">
        <w:rPr>
          <w:rFonts w:ascii="Verdana" w:eastAsia="Times New Roman" w:hAnsi="Verdana" w:cs="Arial"/>
          <w:sz w:val="20"/>
          <w:szCs w:val="20"/>
          <w:lang w:val="es-ES" w:eastAsia="es-CO"/>
        </w:rPr>
        <w:t xml:space="preserve">“[…] </w:t>
      </w:r>
      <w:r w:rsidRPr="008E5AB9">
        <w:rPr>
          <w:rFonts w:ascii="Verdana" w:eastAsia="Times New Roman" w:hAnsi="Verdana" w:cs="Arial"/>
          <w:bCs/>
          <w:sz w:val="20"/>
          <w:szCs w:val="20"/>
          <w:lang w:val="es-MX" w:eastAsia="es-CO"/>
        </w:rPr>
        <w:t>la definición de reglas claras que permitan acceder a los canales de expresión democrática de manera efectiva e igualitaria. El objetivo de una ley de garantías es definir esas reglas.</w:t>
      </w:r>
    </w:p>
    <w:p w14:paraId="29DED46B" w14:textId="77777777" w:rsidR="00C06DC9" w:rsidRPr="008E5AB9" w:rsidRDefault="00C06DC9" w:rsidP="00C06DC9">
      <w:pPr>
        <w:spacing w:after="0" w:line="240" w:lineRule="auto"/>
        <w:ind w:left="709" w:right="709"/>
        <w:jc w:val="both"/>
        <w:rPr>
          <w:rFonts w:ascii="Verdana" w:eastAsia="Times New Roman" w:hAnsi="Verdana" w:cs="Arial"/>
          <w:bCs/>
          <w:sz w:val="20"/>
          <w:szCs w:val="20"/>
          <w:lang w:val="es-MX" w:eastAsia="es-CO"/>
        </w:rPr>
      </w:pPr>
      <w:r w:rsidRPr="008E5AB9">
        <w:rPr>
          <w:rFonts w:ascii="Verdana" w:eastAsia="Times New Roman" w:hAnsi="Verdana" w:cs="Arial"/>
          <w:bCs/>
          <w:sz w:val="20"/>
          <w:szCs w:val="20"/>
          <w:lang w:val="es-MX" w:eastAsia="es-CO"/>
        </w:rPr>
        <w:t xml:space="preserve">[…] </w:t>
      </w:r>
    </w:p>
    <w:p w14:paraId="6487C4D7" w14:textId="77777777" w:rsidR="00C06DC9" w:rsidRPr="008E5AB9" w:rsidRDefault="00C06DC9" w:rsidP="00C06DC9">
      <w:pPr>
        <w:spacing w:after="0" w:line="240" w:lineRule="auto"/>
        <w:ind w:left="709" w:right="709"/>
        <w:jc w:val="both"/>
        <w:rPr>
          <w:rFonts w:ascii="Verdana" w:eastAsia="Times New Roman" w:hAnsi="Verdana" w:cs="Arial"/>
          <w:bCs/>
          <w:sz w:val="20"/>
          <w:szCs w:val="20"/>
          <w:lang w:val="es-MX" w:eastAsia="es-CO"/>
        </w:rPr>
      </w:pPr>
      <w:r w:rsidRPr="008E5AB9">
        <w:rPr>
          <w:rFonts w:ascii="Verdana" w:eastAsia="Times New Roman" w:hAnsi="Verdana" w:cs="Arial"/>
          <w:bCs/>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8E5AB9">
        <w:rPr>
          <w:rFonts w:ascii="Verdana" w:eastAsia="Calibri" w:hAnsi="Verdana" w:cs="Arial"/>
          <w:sz w:val="20"/>
          <w:szCs w:val="20"/>
          <w:vertAlign w:val="superscript"/>
          <w:lang w:val="es-MX"/>
        </w:rPr>
        <w:footnoteReference w:id="3"/>
      </w:r>
      <w:r w:rsidRPr="008E5AB9">
        <w:rPr>
          <w:rFonts w:ascii="Verdana" w:eastAsia="Times New Roman" w:hAnsi="Verdana" w:cs="Arial"/>
          <w:bCs/>
          <w:sz w:val="20"/>
          <w:szCs w:val="20"/>
          <w:lang w:val="es-MX" w:eastAsia="es-CO"/>
        </w:rPr>
        <w:t>”.</w:t>
      </w:r>
    </w:p>
    <w:p w14:paraId="4797603F" w14:textId="77777777" w:rsidR="00C06DC9" w:rsidRPr="008E5AB9" w:rsidRDefault="00C06DC9" w:rsidP="00C06DC9">
      <w:pPr>
        <w:spacing w:after="0" w:line="276" w:lineRule="auto"/>
        <w:jc w:val="both"/>
        <w:rPr>
          <w:rFonts w:ascii="Verdana" w:eastAsia="Calibri" w:hAnsi="Verdana" w:cs="Arial"/>
          <w:color w:val="000000"/>
          <w:lang w:val="es-ES"/>
        </w:rPr>
      </w:pPr>
    </w:p>
    <w:p w14:paraId="15541932" w14:textId="77777777" w:rsidR="00C06DC9" w:rsidRPr="008E5AB9" w:rsidRDefault="00C06DC9" w:rsidP="00C06DC9">
      <w:pPr>
        <w:spacing w:after="0" w:line="276" w:lineRule="auto"/>
        <w:jc w:val="both"/>
        <w:rPr>
          <w:rFonts w:ascii="Verdana" w:eastAsia="Times New Roman" w:hAnsi="Verdana" w:cs="Arial"/>
          <w:lang w:val="es-MX" w:eastAsia="es-CO"/>
        </w:rPr>
      </w:pPr>
      <w:r w:rsidRPr="008E5AB9">
        <w:rPr>
          <w:rFonts w:ascii="Verdana" w:eastAsia="Calibri" w:hAnsi="Verdana" w:cs="Arial"/>
          <w:color w:val="000000"/>
          <w:lang w:val="es-ES"/>
        </w:rPr>
        <w:t xml:space="preserve">En ese contexto, la Ley de Garantías Electorales establece el marco jurídico para el desarrollo de las elecciones, procurando condiciones de igualdad y transparencia para los aspirantes y, paralelamente, incluyendo restricciones en el actuar de los servidores públicos, con los cuales se procura evitar </w:t>
      </w:r>
      <w:r w:rsidRPr="008E5AB9">
        <w:rPr>
          <w:rFonts w:ascii="Verdana" w:eastAsia="Calibri" w:hAnsi="Verdana" w:cs="Arial"/>
          <w:color w:val="000000"/>
          <w:lang w:val="es-ES"/>
        </w:rPr>
        <w:lastRenderedPageBreak/>
        <w:t xml:space="preserve">interferencias en la contiende electoral, así como la posible desviación de recursos públicos en aspiraciones electorales. Por ello, varias de las disposiciones de la Ley 996 de 2005, al contener normas prohibitivas, no admiten una interpretación amplia, sino que deben analizarse de forma restrictiva. En </w:t>
      </w:r>
      <w:r w:rsidRPr="008E5AB9">
        <w:rPr>
          <w:rFonts w:ascii="Verdana" w:eastAsia="Times New Roman" w:hAnsi="Verdana" w:cs="Arial"/>
          <w:lang w:val="es-MX" w:eastAsia="es-CO"/>
        </w:rPr>
        <w:t>efecto, la Sala de Consulta y Servicio Civil del Consejo de Estado, precisó:</w:t>
      </w:r>
    </w:p>
    <w:p w14:paraId="56575181" w14:textId="77777777" w:rsidR="00C06DC9" w:rsidRPr="008E5AB9" w:rsidRDefault="00C06DC9" w:rsidP="00C06DC9">
      <w:pPr>
        <w:spacing w:after="0" w:line="276" w:lineRule="auto"/>
        <w:ind w:firstLine="709"/>
        <w:jc w:val="both"/>
        <w:rPr>
          <w:rFonts w:ascii="Verdana" w:eastAsia="Times New Roman" w:hAnsi="Verdana" w:cs="Arial"/>
          <w:lang w:val="es-MX" w:eastAsia="es-CO"/>
        </w:rPr>
      </w:pPr>
    </w:p>
    <w:p w14:paraId="6EDEA07F" w14:textId="77777777" w:rsidR="00C06DC9" w:rsidRPr="008E5AB9" w:rsidRDefault="00C06DC9" w:rsidP="00C06DC9">
      <w:pPr>
        <w:spacing w:after="0" w:line="240" w:lineRule="auto"/>
        <w:ind w:left="709" w:right="709"/>
        <w:contextualSpacing/>
        <w:jc w:val="both"/>
        <w:rPr>
          <w:rFonts w:ascii="Verdana" w:eastAsia="Times New Roman" w:hAnsi="Verdana" w:cs="Arial"/>
          <w:sz w:val="20"/>
          <w:szCs w:val="20"/>
          <w:lang w:val="es-MX" w:eastAsia="es-CO"/>
        </w:rPr>
      </w:pPr>
      <w:r w:rsidRPr="008E5AB9">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DC011C8" w14:textId="77777777" w:rsidR="00C06DC9" w:rsidRPr="008E5AB9" w:rsidRDefault="00C06DC9" w:rsidP="00C06DC9">
      <w:pPr>
        <w:spacing w:after="0" w:line="240" w:lineRule="auto"/>
        <w:ind w:right="709"/>
        <w:contextualSpacing/>
        <w:jc w:val="both"/>
        <w:rPr>
          <w:rFonts w:ascii="Verdana" w:eastAsia="Times New Roman" w:hAnsi="Verdana" w:cs="Arial"/>
          <w:sz w:val="12"/>
          <w:szCs w:val="12"/>
          <w:lang w:val="es-MX" w:eastAsia="es-CO"/>
        </w:rPr>
      </w:pPr>
    </w:p>
    <w:p w14:paraId="7C772A5A" w14:textId="77777777" w:rsidR="00C06DC9" w:rsidRPr="008E5AB9" w:rsidRDefault="00C06DC9" w:rsidP="00C06DC9">
      <w:pPr>
        <w:spacing w:after="0" w:line="240" w:lineRule="auto"/>
        <w:ind w:left="709" w:right="709"/>
        <w:contextualSpacing/>
        <w:jc w:val="both"/>
        <w:rPr>
          <w:rFonts w:ascii="Verdana" w:eastAsia="Times New Roman" w:hAnsi="Verdana" w:cs="Arial"/>
          <w:sz w:val="20"/>
          <w:szCs w:val="20"/>
          <w:lang w:val="es-MX" w:eastAsia="es-CO"/>
        </w:rPr>
      </w:pPr>
      <w:r w:rsidRPr="008E5AB9">
        <w:rPr>
          <w:rFonts w:ascii="Verdana" w:eastAsia="Times New Roman" w:hAnsi="Verdana" w:cs="Arial"/>
          <w:sz w:val="20"/>
          <w:szCs w:val="20"/>
          <w:lang w:val="es-MX" w:eastAsia="es-CO"/>
        </w:rPr>
        <w:t>La jurisprudencia de la Corte Constitucional</w:t>
      </w:r>
      <w:r w:rsidRPr="008E5AB9">
        <w:rPr>
          <w:rFonts w:ascii="Verdana" w:eastAsia="Times New Roman" w:hAnsi="Verdana" w:cs="Arial"/>
          <w:sz w:val="20"/>
          <w:szCs w:val="20"/>
          <w:vertAlign w:val="superscript"/>
          <w:lang w:val="es-MX" w:eastAsia="es-CO"/>
        </w:rPr>
        <w:footnoteReference w:id="4"/>
      </w:r>
      <w:r w:rsidRPr="008E5AB9">
        <w:rPr>
          <w:rFonts w:ascii="Verdana" w:eastAsia="Times New Roman" w:hAnsi="Verdana" w:cs="Arial"/>
          <w:sz w:val="20"/>
          <w:szCs w:val="20"/>
          <w:lang w:val="es-MX" w:eastAsia="es-CO"/>
        </w:rPr>
        <w:t> y del Consejo de Estado</w:t>
      </w:r>
      <w:r w:rsidRPr="008E5AB9">
        <w:rPr>
          <w:rFonts w:ascii="Verdana" w:eastAsia="Times New Roman" w:hAnsi="Verdana" w:cs="Arial"/>
          <w:sz w:val="20"/>
          <w:szCs w:val="20"/>
          <w:vertAlign w:val="superscript"/>
          <w:lang w:val="es-MX" w:eastAsia="es-CO"/>
        </w:rPr>
        <w:footnoteReference w:id="5"/>
      </w:r>
      <w:r w:rsidRPr="008E5AB9">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8E5AB9">
        <w:rPr>
          <w:rFonts w:ascii="Verdana" w:eastAsia="Times New Roman" w:hAnsi="Verdana" w:cs="Arial"/>
          <w:sz w:val="20"/>
          <w:szCs w:val="20"/>
          <w:vertAlign w:val="superscript"/>
          <w:lang w:val="es-MX" w:eastAsia="es-CO"/>
        </w:rPr>
        <w:footnoteReference w:id="6"/>
      </w:r>
      <w:r w:rsidRPr="008E5AB9">
        <w:rPr>
          <w:rFonts w:ascii="Verdana" w:eastAsia="Times New Roman" w:hAnsi="Verdana" w:cs="Arial"/>
          <w:sz w:val="20"/>
          <w:szCs w:val="20"/>
          <w:lang w:val="es-MX" w:eastAsia="es-CO"/>
        </w:rPr>
        <w:t>.</w:t>
      </w:r>
    </w:p>
    <w:p w14:paraId="02A0B2EA" w14:textId="77777777" w:rsidR="00C06DC9" w:rsidRPr="008E5AB9" w:rsidRDefault="00C06DC9" w:rsidP="00C06DC9">
      <w:pPr>
        <w:spacing w:after="0" w:line="276" w:lineRule="auto"/>
        <w:jc w:val="both"/>
        <w:rPr>
          <w:rFonts w:ascii="Verdana" w:eastAsia="Calibri" w:hAnsi="Verdana" w:cs="Arial"/>
          <w:bCs/>
          <w:lang w:val="es-ES_tradnl"/>
        </w:rPr>
      </w:pPr>
    </w:p>
    <w:p w14:paraId="69FC63FE" w14:textId="77777777" w:rsidR="00C06DC9" w:rsidRPr="008E5AB9" w:rsidRDefault="00C06DC9" w:rsidP="00C06DC9">
      <w:pPr>
        <w:spacing w:after="0" w:line="276" w:lineRule="auto"/>
        <w:jc w:val="both"/>
        <w:rPr>
          <w:rFonts w:ascii="Verdana" w:eastAsia="Calibri" w:hAnsi="Verdana" w:cs="Arial"/>
          <w:bCs/>
          <w:lang w:val="es-ES_tradnl"/>
        </w:rPr>
      </w:pPr>
      <w:r w:rsidRPr="008E5AB9">
        <w:rPr>
          <w:rFonts w:ascii="Verdana" w:eastAsia="Calibri" w:hAnsi="Verdana" w:cs="Arial"/>
          <w:bCs/>
          <w:lang w:val="es-ES_tradnl"/>
        </w:rPr>
        <w:t xml:space="preserve">De conformidad con lo anterior,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r w:rsidRPr="008E5AB9">
        <w:rPr>
          <w:rFonts w:ascii="Verdana" w:eastAsia="Calibri" w:hAnsi="Verdana" w:cs="Arial"/>
          <w:lang w:val="es-ES"/>
        </w:rPr>
        <w:lastRenderedPageBreak/>
        <w:t>Específicamente, las restricciones consagradas en la citada ley se dirigen a dos (2) tipos de campañas electorales claramente diferenciadas: i) las presidenciales y, ii) las demás que se adelanten para la elección de los demás cargos de elección popular, tanto a nivel nacional como territorial.</w:t>
      </w:r>
    </w:p>
    <w:p w14:paraId="1294EED4" w14:textId="77777777" w:rsidR="00C06DC9" w:rsidRPr="008E5AB9" w:rsidRDefault="00C06DC9" w:rsidP="00C06DC9">
      <w:pPr>
        <w:tabs>
          <w:tab w:val="left" w:pos="709"/>
        </w:tabs>
        <w:spacing w:before="120" w:after="120" w:line="276" w:lineRule="auto"/>
        <w:jc w:val="both"/>
        <w:rPr>
          <w:rFonts w:ascii="Verdana" w:eastAsia="Calibri" w:hAnsi="Verdana" w:cs="Arial"/>
          <w:bCs/>
        </w:rPr>
      </w:pPr>
      <w:r w:rsidRPr="008E5AB9">
        <w:rPr>
          <w:rFonts w:ascii="Verdana" w:eastAsia="Calibri" w:hAnsi="Verdana" w:cs="Arial"/>
          <w:color w:val="000000"/>
          <w:lang w:val="es-ES"/>
        </w:rPr>
        <w:tab/>
        <w:t xml:space="preserve">En lo concerniente a las elecciones presidenciales, el artículo 33 de la Ley 996 de 2005, prohíbe </w:t>
      </w:r>
      <w:r w:rsidRPr="008E5AB9">
        <w:rPr>
          <w:rFonts w:ascii="Verdana" w:eastAsia="Calibri" w:hAnsi="Verdana" w:cs="Arial"/>
          <w:lang w:val="es-ES"/>
        </w:rPr>
        <w:t>“[…]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8E5AB9">
        <w:rPr>
          <w:rFonts w:ascii="Verdana" w:eastAsia="Calibri" w:hAnsi="Verdana" w:cs="Arial"/>
          <w:bCs/>
          <w:vertAlign w:val="superscript"/>
        </w:rPr>
        <w:t xml:space="preserve"> </w:t>
      </w:r>
      <w:r w:rsidRPr="008E5AB9">
        <w:rPr>
          <w:rFonts w:ascii="Verdana" w:eastAsia="Calibri" w:hAnsi="Verdana" w:cs="Arial"/>
          <w:bCs/>
          <w:vertAlign w:val="superscript"/>
        </w:rPr>
        <w:footnoteReference w:id="7"/>
      </w:r>
      <w:r w:rsidRPr="008E5AB9">
        <w:rPr>
          <w:rFonts w:ascii="Verdana" w:eastAsia="Calibri" w:hAnsi="Verdana" w:cs="Arial"/>
          <w:bCs/>
        </w:rPr>
        <w:t>.</w:t>
      </w:r>
    </w:p>
    <w:p w14:paraId="769B068A" w14:textId="77777777" w:rsidR="00C06DC9" w:rsidRPr="008E5AB9" w:rsidRDefault="00C06DC9" w:rsidP="00C06DC9">
      <w:pPr>
        <w:spacing w:after="0" w:line="276" w:lineRule="auto"/>
        <w:jc w:val="both"/>
        <w:rPr>
          <w:rFonts w:ascii="Verdana" w:eastAsia="Times New Roman" w:hAnsi="Verdana" w:cs="Arial"/>
          <w:bCs/>
          <w:lang w:val="es-MX" w:eastAsia="es-CO"/>
        </w:rPr>
      </w:pPr>
      <w:r w:rsidRPr="008E5AB9">
        <w:rPr>
          <w:rFonts w:ascii="Verdana" w:eastAsia="Calibri" w:hAnsi="Verdana" w:cs="Arial"/>
          <w:bCs/>
        </w:rPr>
        <w:tab/>
        <w:t xml:space="preserve">El ámbito material de la prohibición contenida </w:t>
      </w:r>
      <w:r w:rsidRPr="008E5AB9">
        <w:rPr>
          <w:rFonts w:ascii="Verdana" w:eastAsia="Times New Roman" w:hAnsi="Verdana" w:cs="Arial"/>
          <w:bCs/>
          <w:lang w:val="es-MX" w:eastAsia="x-none"/>
        </w:rPr>
        <w:t xml:space="preserve">en el artículo 33 de la Ley 996 de 2005 está delimitado por la expresión </w:t>
      </w:r>
      <w:r w:rsidRPr="008E5AB9">
        <w:rPr>
          <w:rFonts w:ascii="Verdana" w:eastAsia="Calibri" w:hAnsi="Verdana" w:cs="Arial"/>
          <w:bCs/>
          <w:sz w:val="20"/>
          <w:szCs w:val="20"/>
          <w:lang w:val="es-MX"/>
        </w:rPr>
        <w:t>“</w:t>
      </w:r>
      <w:r w:rsidRPr="008E5AB9">
        <w:rPr>
          <w:rFonts w:ascii="Verdana" w:eastAsia="Times New Roman" w:hAnsi="Verdana" w:cs="Arial"/>
          <w:bCs/>
          <w:lang w:val="es-MX" w:eastAsia="x-none"/>
        </w:rPr>
        <w:t>queda prohibida la contratación directa</w:t>
      </w:r>
      <w:r w:rsidRPr="008E5AB9">
        <w:rPr>
          <w:rFonts w:ascii="Verdana" w:eastAsia="Calibri" w:hAnsi="Verdana" w:cs="Arial"/>
          <w:sz w:val="20"/>
          <w:szCs w:val="20"/>
          <w:lang w:val="es-MX"/>
        </w:rPr>
        <w:t>”</w:t>
      </w:r>
      <w:r w:rsidRPr="008E5AB9">
        <w:rPr>
          <w:rFonts w:ascii="Verdana" w:eastAsia="Times New Roman" w:hAnsi="Verdana" w:cs="Arial"/>
          <w:bCs/>
          <w:lang w:val="es-MX" w:eastAsia="x-none"/>
        </w:rPr>
        <w:t>.</w:t>
      </w:r>
      <w:r w:rsidRPr="008E5AB9">
        <w:rPr>
          <w:rFonts w:ascii="Verdana" w:eastAsia="Times New Roman" w:hAnsi="Verdana" w:cs="Arial"/>
          <w:lang w:val="es-MX" w:eastAsia="es-CO"/>
        </w:rPr>
        <w:t xml:space="preserve"> A propósito de </w:t>
      </w:r>
      <w:r w:rsidRPr="008E5AB9">
        <w:rPr>
          <w:rFonts w:ascii="Verdana" w:eastAsia="Times New Roman" w:hAnsi="Verdana" w:cs="Arial"/>
          <w:lang w:eastAsia="es-CO"/>
        </w:rPr>
        <w:t>esta restricción de la Ley de Garantías Electorales, la Sala de Consulta y Servicio Civil del Consejo de Estado ha considerado que:</w:t>
      </w:r>
    </w:p>
    <w:p w14:paraId="3456DFEF" w14:textId="77777777" w:rsidR="00C06DC9" w:rsidRPr="008E5AB9" w:rsidRDefault="00C06DC9" w:rsidP="00C06DC9">
      <w:pPr>
        <w:spacing w:after="0" w:line="276" w:lineRule="auto"/>
        <w:ind w:left="708" w:right="709"/>
        <w:jc w:val="both"/>
        <w:rPr>
          <w:rFonts w:ascii="Verdana" w:eastAsia="Calibri" w:hAnsi="Verdana" w:cs="Arial"/>
          <w:lang w:val="es-MX"/>
        </w:rPr>
      </w:pPr>
    </w:p>
    <w:p w14:paraId="03D99AC9" w14:textId="77777777" w:rsidR="00C06DC9" w:rsidRPr="008E5AB9" w:rsidRDefault="00C06DC9" w:rsidP="00C06DC9">
      <w:pPr>
        <w:spacing w:after="120" w:line="240" w:lineRule="auto"/>
        <w:ind w:left="709" w:right="709"/>
        <w:jc w:val="both"/>
        <w:rPr>
          <w:rFonts w:ascii="Verdana" w:eastAsia="Calibri" w:hAnsi="Verdana" w:cs="Arial"/>
          <w:sz w:val="20"/>
          <w:szCs w:val="20"/>
          <w:lang w:val="es-MX"/>
        </w:rPr>
      </w:pPr>
      <w:r w:rsidRPr="008E5AB9">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8E5AB9">
        <w:rPr>
          <w:rFonts w:ascii="Verdana" w:eastAsia="Times New Roman" w:hAnsi="Verdana" w:cs="Arial"/>
          <w:sz w:val="20"/>
          <w:szCs w:val="20"/>
          <w:vertAlign w:val="superscript"/>
          <w:lang w:eastAsia="es-CO"/>
        </w:rPr>
        <w:footnoteReference w:id="8"/>
      </w:r>
      <w:r w:rsidRPr="008E5AB9">
        <w:rPr>
          <w:rFonts w:ascii="Verdana" w:eastAsia="Calibri" w:hAnsi="Verdana" w:cs="Arial"/>
          <w:sz w:val="20"/>
          <w:szCs w:val="20"/>
          <w:lang w:val="es-MX"/>
        </w:rPr>
        <w:t>.</w:t>
      </w:r>
    </w:p>
    <w:p w14:paraId="4E13C505" w14:textId="77777777" w:rsidR="00C06DC9" w:rsidRPr="008E5AB9" w:rsidRDefault="00C06DC9" w:rsidP="00C06DC9">
      <w:pPr>
        <w:spacing w:after="0" w:line="240" w:lineRule="auto"/>
        <w:ind w:left="708" w:right="709"/>
        <w:jc w:val="both"/>
        <w:rPr>
          <w:rFonts w:ascii="Verdana" w:eastAsia="Calibri" w:hAnsi="Verdana" w:cs="Arial"/>
          <w:sz w:val="20"/>
          <w:szCs w:val="20"/>
          <w:lang w:val="es-MX"/>
        </w:rPr>
      </w:pPr>
      <w:r w:rsidRPr="008E5AB9">
        <w:rPr>
          <w:rFonts w:ascii="Verdana" w:eastAsia="Calibri" w:hAnsi="Verdana" w:cs="Arial"/>
          <w:sz w:val="20"/>
          <w:szCs w:val="20"/>
          <w:lang w:val="es-MX"/>
        </w:rPr>
        <w:t xml:space="preserve">Esta Sala ha entendido que para los efectos de la ley de garantías, y dada su finalidad, el enunciado ´contratación directa´ es sinónimo de cualquier </w:t>
      </w:r>
      <w:r w:rsidRPr="008E5AB9">
        <w:rPr>
          <w:rFonts w:ascii="Verdana" w:eastAsia="Calibri" w:hAnsi="Verdana" w:cs="Arial"/>
          <w:sz w:val="20"/>
          <w:szCs w:val="20"/>
          <w:lang w:val="es-MX"/>
        </w:rPr>
        <w:lastRenderedPageBreak/>
        <w:t>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8E5AB9">
        <w:rPr>
          <w:rFonts w:ascii="Verdana" w:eastAsia="Times New Roman" w:hAnsi="Verdana" w:cs="Arial"/>
          <w:sz w:val="20"/>
          <w:szCs w:val="20"/>
          <w:vertAlign w:val="superscript"/>
          <w:lang w:val="es-MX"/>
        </w:rPr>
        <w:footnoteReference w:id="9"/>
      </w:r>
      <w:r w:rsidRPr="008E5AB9">
        <w:rPr>
          <w:rFonts w:ascii="Verdana" w:eastAsia="Times New Roman" w:hAnsi="Verdana" w:cs="Arial"/>
          <w:sz w:val="20"/>
          <w:szCs w:val="20"/>
          <w:vertAlign w:val="superscript"/>
          <w:lang w:val="es-MX"/>
        </w:rPr>
        <w:t>.</w:t>
      </w:r>
      <w:r w:rsidRPr="008E5AB9">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8E5AB9">
        <w:rPr>
          <w:rFonts w:ascii="Verdana" w:eastAsia="Times New Roman" w:hAnsi="Verdana" w:cs="Arial"/>
          <w:sz w:val="20"/>
          <w:szCs w:val="20"/>
          <w:vertAlign w:val="superscript"/>
          <w:lang w:eastAsia="es-CO"/>
        </w:rPr>
        <w:footnoteReference w:id="10"/>
      </w:r>
      <w:r w:rsidRPr="008E5AB9">
        <w:rPr>
          <w:rFonts w:ascii="Verdana" w:eastAsia="Calibri" w:hAnsi="Verdana" w:cs="Arial"/>
          <w:sz w:val="20"/>
          <w:szCs w:val="20"/>
          <w:lang w:val="es-MX"/>
        </w:rPr>
        <w:t>.</w:t>
      </w:r>
    </w:p>
    <w:p w14:paraId="677A2CE7" w14:textId="77777777" w:rsidR="00C06DC9" w:rsidRPr="008E5AB9" w:rsidRDefault="00C06DC9" w:rsidP="00C06DC9">
      <w:pPr>
        <w:shd w:val="clear" w:color="auto" w:fill="FFFFFF"/>
        <w:spacing w:after="0" w:line="276" w:lineRule="auto"/>
        <w:ind w:firstLine="709"/>
        <w:jc w:val="both"/>
        <w:rPr>
          <w:rFonts w:ascii="Verdana" w:eastAsia="Times New Roman" w:hAnsi="Verdana" w:cs="Arial"/>
          <w:lang w:eastAsia="x-none"/>
        </w:rPr>
      </w:pPr>
    </w:p>
    <w:p w14:paraId="55197CD3" w14:textId="77777777" w:rsidR="00C06DC9" w:rsidRPr="008E5AB9" w:rsidRDefault="00C06DC9" w:rsidP="00C06DC9">
      <w:pPr>
        <w:spacing w:after="120" w:line="276" w:lineRule="auto"/>
        <w:ind w:firstLine="708"/>
        <w:jc w:val="both"/>
        <w:rPr>
          <w:rFonts w:ascii="Verdana" w:eastAsia="Times New Roman" w:hAnsi="Verdana" w:cs="Arial"/>
          <w:bCs/>
          <w:lang w:eastAsia="x-none"/>
        </w:rPr>
      </w:pPr>
      <w:r w:rsidRPr="008E5AB9">
        <w:rPr>
          <w:rFonts w:ascii="Verdana" w:eastAsia="Times New Roman" w:hAnsi="Verdana" w:cs="Arial"/>
          <w:lang w:eastAsia="x-none"/>
        </w:rPr>
        <w:t xml:space="preserve">De acuerdo con el citado concepto, la prohibición del artículo 33 de la Ley de Garantías Electorales se refiere a </w:t>
      </w:r>
      <w:r w:rsidRPr="008E5AB9">
        <w:rPr>
          <w:rFonts w:ascii="Verdana" w:eastAsia="Times New Roman" w:hAnsi="Verdana" w:cs="Arial"/>
          <w:sz w:val="19"/>
          <w:szCs w:val="19"/>
          <w:lang w:eastAsia="en-GB"/>
        </w:rPr>
        <w:t>“</w:t>
      </w:r>
      <w:r w:rsidRPr="008E5AB9">
        <w:rPr>
          <w:rFonts w:ascii="Verdana" w:eastAsia="Times New Roman" w:hAnsi="Verdana" w:cs="Arial"/>
          <w:lang w:eastAsia="x-none"/>
        </w:rPr>
        <w:t>cualquier sistema que no implique convocatoria pública y posibilidad de pluralidad de oferentes</w:t>
      </w:r>
      <w:r w:rsidRPr="008E5AB9">
        <w:rPr>
          <w:rFonts w:ascii="Verdana" w:eastAsia="Times New Roman" w:hAnsi="Verdana" w:cs="Arial"/>
          <w:lang w:eastAsia="en-GB"/>
        </w:rPr>
        <w:t>”</w:t>
      </w:r>
      <w:r w:rsidRPr="008E5AB9">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8E5AB9">
        <w:rPr>
          <w:rFonts w:ascii="Verdana" w:eastAsia="Times New Roman" w:hAnsi="Verdana" w:cs="Arial"/>
          <w:lang w:val="es-ES_tradnl" w:eastAsia="x-none"/>
        </w:rPr>
        <w:t>y la mínima cuantía</w:t>
      </w:r>
      <w:r w:rsidRPr="008E5AB9" w:rsidDel="00A85D9F">
        <w:rPr>
          <w:rFonts w:ascii="Verdana" w:eastAsia="Times New Roman" w:hAnsi="Verdana" w:cs="Arial"/>
          <w:lang w:eastAsia="x-none"/>
        </w:rPr>
        <w:t xml:space="preserve"> </w:t>
      </w:r>
      <w:r w:rsidRPr="008E5AB9">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8E5AB9">
        <w:rPr>
          <w:rFonts w:ascii="Verdana" w:eastAsia="Times New Roman" w:hAnsi="Verdana" w:cs="Arial"/>
          <w:vertAlign w:val="superscript"/>
          <w:lang w:val="en-GB" w:eastAsia="x-none"/>
        </w:rPr>
        <w:footnoteReference w:id="11"/>
      </w:r>
      <w:r w:rsidRPr="008E5AB9">
        <w:rPr>
          <w:rFonts w:ascii="Verdana" w:eastAsia="Times New Roman" w:hAnsi="Verdana" w:cs="Arial"/>
          <w:lang w:eastAsia="x-none"/>
        </w:rPr>
        <w:t xml:space="preserve"> y sistematizó las causales de contratación directa</w:t>
      </w:r>
      <w:r w:rsidRPr="008E5AB9">
        <w:rPr>
          <w:rFonts w:ascii="Verdana" w:eastAsia="Times New Roman" w:hAnsi="Verdana" w:cs="Arial"/>
          <w:vertAlign w:val="superscript"/>
          <w:lang w:val="en-GB" w:eastAsia="x-none"/>
        </w:rPr>
        <w:footnoteReference w:id="12"/>
      </w:r>
      <w:r w:rsidRPr="008E5AB9">
        <w:rPr>
          <w:rFonts w:ascii="Verdana" w:eastAsia="Times New Roman" w:hAnsi="Verdana" w:cs="Arial"/>
          <w:lang w:eastAsia="x-none"/>
        </w:rPr>
        <w:t xml:space="preserve">, </w:t>
      </w:r>
      <w:r w:rsidRPr="008E5AB9">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4DD67B80" w14:textId="77777777" w:rsidR="00C06DC9" w:rsidRPr="008E5AB9" w:rsidRDefault="00C06DC9" w:rsidP="00C06DC9">
      <w:pPr>
        <w:spacing w:after="120" w:line="276" w:lineRule="auto"/>
        <w:ind w:firstLine="708"/>
        <w:jc w:val="both"/>
        <w:rPr>
          <w:rFonts w:ascii="Verdana" w:eastAsia="Times New Roman" w:hAnsi="Verdana" w:cs="Arial"/>
          <w:lang w:val="es-MX" w:eastAsia="x-none"/>
        </w:rPr>
      </w:pPr>
      <w:r w:rsidRPr="008E5AB9">
        <w:rPr>
          <w:rFonts w:ascii="Verdana" w:eastAsia="Times New Roman" w:hAnsi="Verdana" w:cs="Arial"/>
          <w:lang w:eastAsia="x-none"/>
        </w:rPr>
        <w:t xml:space="preserve">De esta forma, con fundamento en la evolución de la normativa sobre la contratación pública, se ha depurado la noción de </w:t>
      </w:r>
      <w:r w:rsidRPr="008E5AB9">
        <w:rPr>
          <w:rFonts w:ascii="Verdana" w:eastAsia="Times New Roman" w:hAnsi="Verdana" w:cs="Arial"/>
          <w:sz w:val="19"/>
          <w:szCs w:val="19"/>
          <w:lang w:eastAsia="en-GB"/>
        </w:rPr>
        <w:t>“</w:t>
      </w:r>
      <w:r w:rsidRPr="008E5AB9">
        <w:rPr>
          <w:rFonts w:ascii="Verdana" w:eastAsia="Times New Roman" w:hAnsi="Verdana" w:cs="Arial"/>
          <w:lang w:eastAsia="x-none"/>
        </w:rPr>
        <w:t>contratación directa</w:t>
      </w:r>
      <w:r w:rsidRPr="008E5AB9">
        <w:rPr>
          <w:rFonts w:ascii="Verdana" w:eastAsia="Times New Roman" w:hAnsi="Verdana" w:cs="Arial"/>
          <w:lang w:eastAsia="en-GB"/>
        </w:rPr>
        <w:t>”</w:t>
      </w:r>
      <w:r w:rsidRPr="008E5AB9">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8E5AB9">
        <w:rPr>
          <w:rFonts w:ascii="Verdana" w:eastAsia="Times New Roman" w:hAnsi="Verdana" w:cs="Arial"/>
          <w:vertAlign w:val="superscript"/>
          <w:lang w:val="en-GB" w:eastAsia="x-none"/>
        </w:rPr>
        <w:footnoteReference w:id="13"/>
      </w:r>
      <w:r w:rsidRPr="008E5AB9">
        <w:rPr>
          <w:rFonts w:ascii="Verdana" w:eastAsia="Times New Roman" w:hAnsi="Verdana" w:cs="Arial"/>
          <w:lang w:eastAsia="x-none"/>
        </w:rPr>
        <w:t xml:space="preserve">, han establecido sistemas de </w:t>
      </w:r>
      <w:r w:rsidRPr="008E5AB9">
        <w:rPr>
          <w:rFonts w:ascii="Verdana" w:eastAsia="Times New Roman" w:hAnsi="Verdana" w:cs="Arial"/>
          <w:lang w:eastAsia="x-none"/>
        </w:rPr>
        <w:lastRenderedPageBreak/>
        <w:t>contratación que implican convocatoria pública y participación de varios oferentes</w:t>
      </w:r>
      <w:r w:rsidRPr="008E5AB9">
        <w:rPr>
          <w:rFonts w:ascii="Verdana" w:eastAsia="Times New Roman" w:hAnsi="Verdana" w:cs="Arial"/>
          <w:lang w:eastAsia="en-GB"/>
        </w:rPr>
        <w:t>”</w:t>
      </w:r>
      <w:r w:rsidRPr="008E5AB9">
        <w:rPr>
          <w:rFonts w:ascii="Verdana" w:eastAsia="Times New Roman" w:hAnsi="Verdana" w:cs="Arial"/>
          <w:lang w:eastAsia="x-none"/>
        </w:rPr>
        <w:t xml:space="preserve">. </w:t>
      </w:r>
    </w:p>
    <w:p w14:paraId="384CB6F7" w14:textId="77777777" w:rsidR="00C06DC9" w:rsidRPr="008E5AB9" w:rsidRDefault="00C06DC9" w:rsidP="00C06DC9">
      <w:pPr>
        <w:spacing w:after="120" w:line="276" w:lineRule="auto"/>
        <w:ind w:firstLine="708"/>
        <w:jc w:val="both"/>
        <w:rPr>
          <w:rFonts w:ascii="Verdana" w:eastAsia="Times New Roman" w:hAnsi="Verdana" w:cs="Arial"/>
          <w:bCs/>
          <w:lang w:val="es-MX" w:eastAsia="x-none"/>
        </w:rPr>
      </w:pPr>
      <w:r w:rsidRPr="008E5AB9">
        <w:rPr>
          <w:rFonts w:ascii="Verdana" w:eastAsia="Times New Roman" w:hAnsi="Verdana" w:cs="Arial"/>
          <w:bCs/>
          <w:lang w:val="es-MX" w:eastAsia="x-none"/>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8E5AB9">
        <w:rPr>
          <w:rFonts w:ascii="Verdana" w:eastAsia="Times New Roman" w:hAnsi="Verdana" w:cs="Arial"/>
          <w:vertAlign w:val="superscript"/>
          <w:lang w:eastAsia="x-none"/>
        </w:rPr>
        <w:footnoteReference w:id="14"/>
      </w:r>
      <w:r w:rsidRPr="008E5AB9">
        <w:rPr>
          <w:rFonts w:ascii="Verdana" w:eastAsia="Times New Roman" w:hAnsi="Verdana" w:cs="Arial"/>
          <w:bCs/>
          <w:lang w:val="es-MX" w:eastAsia="x-none"/>
        </w:rPr>
        <w:t>.</w:t>
      </w:r>
      <w:r w:rsidRPr="008E5AB9">
        <w:rPr>
          <w:rFonts w:ascii="Verdana" w:eastAsia="Times New Roman" w:hAnsi="Verdana" w:cs="Arial"/>
          <w:vertAlign w:val="superscript"/>
          <w:lang w:eastAsia="x-none"/>
        </w:rPr>
        <w:t xml:space="preserve"> </w:t>
      </w:r>
    </w:p>
    <w:p w14:paraId="7213F6EC" w14:textId="77777777" w:rsidR="00C06DC9" w:rsidRPr="008E5AB9" w:rsidRDefault="00C06DC9" w:rsidP="00C06DC9">
      <w:pPr>
        <w:spacing w:after="120" w:line="276" w:lineRule="auto"/>
        <w:ind w:firstLine="708"/>
        <w:jc w:val="both"/>
        <w:rPr>
          <w:rFonts w:ascii="Verdana" w:eastAsia="Times New Roman" w:hAnsi="Verdana" w:cs="Arial"/>
          <w:lang w:eastAsia="x-none"/>
        </w:rPr>
      </w:pPr>
      <w:r w:rsidRPr="008E5AB9">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8E5AB9">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02F4A9BC" w14:textId="77777777" w:rsidR="00C06DC9" w:rsidRPr="008E5AB9" w:rsidRDefault="00C06DC9" w:rsidP="00C06DC9">
      <w:pPr>
        <w:tabs>
          <w:tab w:val="left" w:pos="709"/>
        </w:tabs>
        <w:spacing w:after="0" w:line="276" w:lineRule="auto"/>
        <w:jc w:val="both"/>
        <w:rPr>
          <w:rFonts w:ascii="Verdana" w:eastAsia="Calibri" w:hAnsi="Verdana" w:cs="Arial"/>
          <w:lang w:val="es-ES"/>
        </w:rPr>
      </w:pPr>
      <w:r w:rsidRPr="008E5AB9">
        <w:rPr>
          <w:rFonts w:ascii="Verdana" w:eastAsia="Calibri" w:hAnsi="Verdana" w:cs="Arial"/>
          <w:color w:val="000000"/>
          <w:lang w:val="es-ES"/>
        </w:rPr>
        <w:tab/>
        <w:t xml:space="preserve">Por otro lado, </w:t>
      </w:r>
      <w:r w:rsidRPr="008E5AB9">
        <w:rPr>
          <w:rFonts w:ascii="Verdana" w:eastAsia="Arial" w:hAnsi="Verdana" w:cs="Arial"/>
          <w:lang w:val="es-ES" w:eastAsia="es-ES" w:bidi="es-ES"/>
        </w:rPr>
        <w:t xml:space="preserve">respecto de los demás comicios, se tiene que a estos le son aplicables las prohibiciones dispuestas en el parágrafo del artículo 38 de la Ley 996 de 2005, disposición que prevé una restricción aplicable respecto de cualquier tipo de contienda electoral, que impide a </w:t>
      </w:r>
      <w:r w:rsidRPr="008E5AB9">
        <w:rPr>
          <w:rFonts w:ascii="Verdana" w:eastAsia="Calibri" w:hAnsi="Verdana" w:cs="Arial"/>
          <w:lang w:val="es-ES"/>
        </w:rPr>
        <w:t>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 de sus juntas directivas, en o para reuniones de carácter proselitista”</w:t>
      </w:r>
      <w:r w:rsidRPr="008E5AB9">
        <w:rPr>
          <w:rFonts w:ascii="Verdana" w:eastAsia="Calibri" w:hAnsi="Verdana" w:cs="Arial"/>
          <w:bCs/>
          <w:vertAlign w:val="superscript"/>
        </w:rPr>
        <w:footnoteReference w:id="15"/>
      </w:r>
      <w:r w:rsidRPr="008E5AB9">
        <w:rPr>
          <w:rFonts w:ascii="Verdana" w:eastAsia="Calibri" w:hAnsi="Verdana" w:cs="Arial"/>
          <w:lang w:val="es-MX"/>
        </w:rPr>
        <w:t xml:space="preserve">. La Sala de Consulta y Servicio Civil </w:t>
      </w:r>
      <w:r w:rsidRPr="008E5AB9">
        <w:rPr>
          <w:rFonts w:ascii="Verdana" w:eastAsia="Calibri" w:hAnsi="Verdana" w:cs="Arial"/>
          <w:lang w:val="es-MX"/>
        </w:rPr>
        <w:lastRenderedPageBreak/>
        <w:t>del Consejo de Estado ha aclarado la distinción en la aplicación de las prohibiciones de la Ley 996 de 2005, dependiendo del tipo de elección que se trate. Al respecto, considera que:</w:t>
      </w:r>
    </w:p>
    <w:p w14:paraId="7F203748" w14:textId="77777777" w:rsidR="00C06DC9" w:rsidRPr="008E5AB9" w:rsidRDefault="00C06DC9" w:rsidP="00C06DC9">
      <w:pPr>
        <w:tabs>
          <w:tab w:val="left" w:pos="709"/>
        </w:tabs>
        <w:spacing w:after="0" w:line="276" w:lineRule="auto"/>
        <w:jc w:val="both"/>
        <w:rPr>
          <w:rFonts w:ascii="Verdana" w:eastAsia="Calibri" w:hAnsi="Verdana" w:cs="Arial"/>
          <w:sz w:val="20"/>
          <w:szCs w:val="20"/>
          <w:lang w:val="es-ES"/>
        </w:rPr>
      </w:pPr>
    </w:p>
    <w:p w14:paraId="11F5C8E3" w14:textId="77777777" w:rsidR="00C06DC9" w:rsidRPr="008E5AB9" w:rsidRDefault="00C06DC9" w:rsidP="00C06DC9">
      <w:pPr>
        <w:tabs>
          <w:tab w:val="left" w:pos="709"/>
        </w:tabs>
        <w:spacing w:after="0" w:line="240" w:lineRule="auto"/>
        <w:ind w:left="709" w:right="709"/>
        <w:jc w:val="both"/>
        <w:rPr>
          <w:rFonts w:ascii="Verdana" w:eastAsia="Calibri" w:hAnsi="Verdana" w:cs="Arial"/>
          <w:sz w:val="20"/>
          <w:szCs w:val="20"/>
          <w:lang w:val="es-ES"/>
        </w:rPr>
      </w:pPr>
      <w:r w:rsidRPr="008E5AB9">
        <w:rPr>
          <w:rFonts w:ascii="Verdana" w:eastAsia="Calibri" w:hAnsi="Verdana" w:cs="Arial"/>
          <w:sz w:val="20"/>
          <w:szCs w:val="20"/>
          <w:lang w:val="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de cualquier cargo de elección popular a que se refiere la ley -incluido el de Presidente de la República-; de manera que dichas restricciones no se excluyen sino que se integran parcialmente, lo que permite concluir que </w:t>
      </w:r>
      <w:r w:rsidRPr="008E5AB9">
        <w:rPr>
          <w:rFonts w:ascii="Verdana" w:eastAsia="Calibri" w:hAnsi="Verdana" w:cs="Arial"/>
          <w:i/>
          <w:iCs/>
          <w:sz w:val="20"/>
          <w:szCs w:val="20"/>
          <w:u w:val="single"/>
          <w:lang w:val="es-ES"/>
        </w:rPr>
        <w:t>en periodo preelectoral para elección de Presidente de la República, a todos los entes del Estado, incluidos los territoriales, se aplican las restricciones de los artículos 32 y 33 con sus excepciones, así como las del parágrafo del artículo 38</w:t>
      </w:r>
      <w:r w:rsidRPr="008E5AB9">
        <w:rPr>
          <w:rFonts w:ascii="Verdana" w:eastAsia="Calibri" w:hAnsi="Verdana" w:cs="Arial"/>
          <w:sz w:val="20"/>
          <w:szCs w:val="20"/>
          <w:lang w:val="es-ES"/>
        </w:rPr>
        <w:t xml:space="preserve">. En cambio, </w:t>
      </w:r>
      <w:r w:rsidRPr="008E5AB9">
        <w:rPr>
          <w:rFonts w:ascii="Verdana" w:eastAsia="Calibri" w:hAnsi="Verdana" w:cs="Arial"/>
          <w:i/>
          <w:iCs/>
          <w:sz w:val="20"/>
          <w:szCs w:val="20"/>
          <w:u w:val="single"/>
          <w:lang w:val="es-ES"/>
        </w:rPr>
        <w:t>para las elecciones en general, excluyendo las correspondientes a Presidente de la República, a las autoridades territoriales allí mencionadas sólo se aplican las restricciones contenidas en el parágrafo del artículo 38</w:t>
      </w:r>
      <w:r w:rsidRPr="008E5AB9">
        <w:rPr>
          <w:rFonts w:ascii="Verdana" w:eastAsia="Calibri" w:hAnsi="Verdana" w:cs="Arial"/>
          <w:sz w:val="20"/>
          <w:szCs w:val="20"/>
          <w:lang w:val="es-ES"/>
        </w:rPr>
        <w:t>”</w:t>
      </w:r>
      <w:r w:rsidRPr="008E5AB9">
        <w:rPr>
          <w:rFonts w:ascii="Verdana" w:eastAsia="Arial" w:hAnsi="Verdana" w:cs="Arial"/>
          <w:sz w:val="20"/>
          <w:szCs w:val="20"/>
          <w:vertAlign w:val="superscript"/>
          <w:lang w:val="es-ES" w:eastAsia="es-ES" w:bidi="es-ES"/>
        </w:rPr>
        <w:footnoteReference w:id="16"/>
      </w:r>
      <w:r w:rsidRPr="008E5AB9">
        <w:rPr>
          <w:rFonts w:ascii="Verdana" w:eastAsia="Calibri" w:hAnsi="Verdana" w:cs="Arial"/>
          <w:sz w:val="20"/>
          <w:szCs w:val="20"/>
          <w:lang w:val="es-ES"/>
        </w:rPr>
        <w:t xml:space="preserve"> [Énfasis fuera de texto]</w:t>
      </w:r>
    </w:p>
    <w:p w14:paraId="1D285D19" w14:textId="77777777" w:rsidR="00C06DC9" w:rsidRPr="008E5AB9" w:rsidRDefault="00C06DC9" w:rsidP="00C06DC9">
      <w:pPr>
        <w:spacing w:after="0" w:line="276" w:lineRule="auto"/>
        <w:jc w:val="both"/>
        <w:rPr>
          <w:rFonts w:ascii="Verdana" w:eastAsia="Arial" w:hAnsi="Verdana" w:cs="Arial"/>
          <w:lang w:val="es"/>
        </w:rPr>
      </w:pPr>
    </w:p>
    <w:p w14:paraId="30883723" w14:textId="77777777" w:rsidR="00C06DC9" w:rsidRPr="008E5AB9" w:rsidRDefault="00C06DC9" w:rsidP="00C06DC9">
      <w:pPr>
        <w:spacing w:after="120" w:line="276" w:lineRule="auto"/>
        <w:ind w:firstLine="709"/>
        <w:jc w:val="both"/>
        <w:rPr>
          <w:rFonts w:ascii="Verdana" w:eastAsia="Arial" w:hAnsi="Verdana" w:cs="Arial"/>
          <w:lang w:val="es-ES"/>
        </w:rPr>
      </w:pPr>
      <w:r w:rsidRPr="008E5AB9">
        <w:rPr>
          <w:rFonts w:ascii="Verdana" w:eastAsia="Arial" w:hAnsi="Verdana" w:cs="Arial"/>
          <w:lang w:val="es-ES"/>
        </w:rPr>
        <w:t>Ambas restricciones no son excluyentes, lo que permite concluir que en el período preelectoral para elección de Presidente de la República, a todos los entes del Estado, incluidos los territoriales, aplican las restricciones del artículo 33 de la Ley 996 de 2005 con sus excepciones, así como las del parágrafo del artículo 38 ibidem. En cambio, tratándose de elecciones en general, excluyendo las correspondientes al Presidente de la República, las autoridades allí mencionadas sólo deben aplicar las restricciones contenidas en el referido parágrafo del artículo 38.</w:t>
      </w:r>
    </w:p>
    <w:p w14:paraId="74B81640" w14:textId="77777777" w:rsidR="00C06DC9" w:rsidRPr="008E5AB9" w:rsidRDefault="00C06DC9" w:rsidP="00C06DC9">
      <w:pPr>
        <w:spacing w:after="0" w:line="276" w:lineRule="auto"/>
        <w:ind w:firstLine="708"/>
        <w:jc w:val="both"/>
        <w:rPr>
          <w:rFonts w:ascii="Verdana" w:eastAsia="Arial" w:hAnsi="Verdana" w:cs="Arial"/>
          <w:lang w:val="es"/>
        </w:rPr>
      </w:pPr>
      <w:r w:rsidRPr="008E5AB9">
        <w:rPr>
          <w:rFonts w:ascii="Verdana" w:eastAsia="Arial" w:hAnsi="Verdana" w:cs="Arial"/>
          <w:lang w:val="es-ES"/>
        </w:rPr>
        <w:t xml:space="preserve">Para efectos de esta última prohibición, </w:t>
      </w:r>
      <w:r w:rsidRPr="008E5AB9">
        <w:rPr>
          <w:rFonts w:ascii="Verdana" w:eastAsia="Arial" w:hAnsi="Verdana" w:cs="Arial"/>
          <w:lang w:val="es"/>
        </w:rPr>
        <w:t xml:space="preserve">el Decreto 1082 de 2015 califica a los convenios o contratos interadministrativos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w:t>
      </w:r>
      <w:r w:rsidRPr="008E5AB9">
        <w:rPr>
          <w:rFonts w:ascii="Verdana" w:eastAsia="Arial" w:hAnsi="Verdana" w:cs="Arial"/>
          <w:lang w:val="es"/>
        </w:rPr>
        <w:lastRenderedPageBreak/>
        <w:t>criterio orgánico, pues es necesario que los extremos de la relación contractual sean Entidades Estatales.</w:t>
      </w:r>
    </w:p>
    <w:p w14:paraId="553A7B9A" w14:textId="77777777" w:rsidR="00C06DC9" w:rsidRPr="008E5AB9" w:rsidRDefault="00C06DC9" w:rsidP="00C06DC9">
      <w:pPr>
        <w:spacing w:before="120" w:after="0" w:line="276" w:lineRule="auto"/>
        <w:ind w:firstLine="709"/>
        <w:jc w:val="both"/>
        <w:rPr>
          <w:rFonts w:ascii="Verdana" w:eastAsia="Arial" w:hAnsi="Verdana" w:cs="Arial"/>
          <w:lang w:val="es"/>
        </w:rPr>
      </w:pPr>
      <w:r w:rsidRPr="008E5AB9">
        <w:rPr>
          <w:rFonts w:ascii="Verdana" w:eastAsia="Arial" w:hAnsi="Verdana" w:cs="Arial"/>
          <w:lang w:val="es"/>
        </w:rPr>
        <w:t>Si bien los contratos o convenios interadministrativos están previstos en la Ley 80 de 1993, en la Ley 1150 de 2007 y en el Decreto en el 1082 de 2015, ello no quiere decir que solo puedan celebrarse entre Entidades Estatales que apliquen el régimen de contratación allí previsto. Puede una entidad estatal sometida a la Ley 80 de 1993 celebrar esta clase de convenios con una Entidad Estatal de régimen especial y no por ello dejará de ser un contrato o convenio interadministrativo. De esta manera, sin perjuicio de lo dispuesto en el artículo 56 de la Ley 2195 de 2022, el literal c) del artículo 2.4 de la Ley 1150 de 2007 dispone que “[e]n aquellos eventos en que el régimen aplicable a la contratación de la entidad ejecutora no sea el de la Ley 80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w:t>
      </w:r>
    </w:p>
    <w:p w14:paraId="3FA4A195" w14:textId="77777777" w:rsidR="00C06DC9" w:rsidRPr="008E5AB9" w:rsidRDefault="00C06DC9" w:rsidP="00C06DC9">
      <w:pPr>
        <w:widowControl w:val="0"/>
        <w:autoSpaceDE w:val="0"/>
        <w:autoSpaceDN w:val="0"/>
        <w:spacing w:before="120" w:after="120" w:line="276" w:lineRule="auto"/>
        <w:ind w:firstLine="709"/>
        <w:jc w:val="both"/>
        <w:rPr>
          <w:rFonts w:ascii="Verdana" w:eastAsia="Arial" w:hAnsi="Verdana" w:cs="Arial"/>
          <w:lang w:val="es-ES" w:eastAsia="es-ES" w:bidi="es-ES"/>
        </w:rPr>
      </w:pPr>
      <w:bookmarkStart w:id="3" w:name="_Hlk99578261"/>
      <w:r w:rsidRPr="008E5AB9">
        <w:rPr>
          <w:rFonts w:ascii="Verdana" w:eastAsia="Arial" w:hAnsi="Verdana" w:cs="Arial"/>
          <w:lang w:val="es-ES" w:eastAsia="es-ES" w:bidi="es-ES"/>
        </w:rPr>
        <w:t>Adicionalmente, la naturaleza de 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8E5AB9">
        <w:rPr>
          <w:rFonts w:ascii="Verdana" w:eastAsia="Arial" w:hAnsi="Verdana" w:cs="Arial"/>
          <w:vertAlign w:val="superscript"/>
          <w:lang w:val="es-ES" w:eastAsia="es-ES" w:bidi="es-ES"/>
        </w:rPr>
        <w:footnoteReference w:id="17"/>
      </w:r>
      <w:r w:rsidRPr="008E5AB9">
        <w:rPr>
          <w:rFonts w:ascii="Verdana" w:eastAsia="Arial" w:hAnsi="Verdana" w:cs="Arial"/>
          <w:lang w:val="es-ES" w:eastAsia="es-ES" w:bidi="es-ES"/>
        </w:rPr>
        <w:t>. Nótese que, en este caso, lo que cambia es la modalidad de selección, no la naturaleza jurídica de contrato</w:t>
      </w:r>
      <w:r w:rsidRPr="008E5AB9">
        <w:rPr>
          <w:rFonts w:ascii="Verdana" w:eastAsia="Arial" w:hAnsi="Verdana" w:cs="Arial"/>
          <w:spacing w:val="-18"/>
          <w:lang w:val="es-ES" w:eastAsia="es-ES" w:bidi="es-ES"/>
        </w:rPr>
        <w:t xml:space="preserve"> </w:t>
      </w:r>
      <w:r w:rsidRPr="008E5AB9">
        <w:rPr>
          <w:rFonts w:ascii="Verdana" w:eastAsia="Arial" w:hAnsi="Verdana" w:cs="Arial"/>
          <w:lang w:val="es-ES" w:eastAsia="es-ES" w:bidi="es-ES"/>
        </w:rPr>
        <w:t>interadministrativo.</w:t>
      </w:r>
    </w:p>
    <w:bookmarkEnd w:id="3"/>
    <w:p w14:paraId="29D7946B" w14:textId="77777777" w:rsidR="00C06DC9" w:rsidRPr="008E5AB9" w:rsidRDefault="00C06DC9" w:rsidP="00C06DC9">
      <w:pPr>
        <w:tabs>
          <w:tab w:val="left" w:pos="426"/>
        </w:tabs>
        <w:spacing w:after="120" w:line="276" w:lineRule="auto"/>
        <w:ind w:firstLine="709"/>
        <w:jc w:val="both"/>
        <w:rPr>
          <w:rFonts w:ascii="Verdana" w:eastAsia="Times New Roman" w:hAnsi="Verdana" w:cs="Arial"/>
          <w:bCs/>
          <w:lang w:val="es-MX" w:eastAsia="es-CO"/>
        </w:rPr>
      </w:pPr>
      <w:r w:rsidRPr="008E5AB9">
        <w:rPr>
          <w:rFonts w:ascii="Verdana" w:eastAsia="Arial" w:hAnsi="Verdana" w:cs="Arial"/>
          <w:lang w:val="es"/>
        </w:rPr>
        <w:t xml:space="preserve">De lo anterior se observa entonces, </w:t>
      </w:r>
      <w:r w:rsidRPr="008E5AB9">
        <w:rPr>
          <w:rFonts w:ascii="Verdana" w:eastAsia="Times New Roman" w:hAnsi="Verdana" w:cs="Arial"/>
          <w:bCs/>
          <w:lang w:eastAsia="es-CO"/>
        </w:rPr>
        <w:t xml:space="preserve">que </w:t>
      </w:r>
      <w:r w:rsidRPr="008E5AB9">
        <w:rPr>
          <w:rFonts w:ascii="Verdana" w:eastAsia="Times New Roman" w:hAnsi="Verdana" w:cs="Arial"/>
          <w:bCs/>
          <w:lang w:val="es-MX" w:eastAsia="es-CO"/>
        </w:rPr>
        <w:t xml:space="preserve">el parágrafo del artículo 38 de la Ley 996 de 2005 prohíbe a los alcaldes, gobernadores, secretarios, gerentes y directores de las entidades del orden municipal, departamental o distrital </w:t>
      </w:r>
      <w:r w:rsidRPr="008E5AB9">
        <w:rPr>
          <w:rFonts w:ascii="Verdana" w:eastAsia="Times New Roman" w:hAnsi="Verdana" w:cs="Arial"/>
          <w:bCs/>
          <w:lang w:val="es-MX" w:eastAsia="es-CO"/>
        </w:rPr>
        <w:lastRenderedPageBreak/>
        <w:t>celebrar convenios y contratos interadministrativos para la ejecución de recursos públicos. En este sentido, si una o ambas partes de la relación contractual es una entidad de aquellas descritas en el parágrafo ibidem, no podrá celebrar tales convenios o contratos durante la aplicación de la Ley de Garantías Electorales, toda vez que la citada disposición hace referencia a dicha tipología contractual sin que el legislador hubiere contemplado excepción alguna frente a la modalidad de selección o naturaleza de su objeto</w:t>
      </w:r>
      <w:r w:rsidRPr="008E5AB9">
        <w:rPr>
          <w:rFonts w:ascii="Verdana" w:eastAsia="Calibri" w:hAnsi="Verdana" w:cs="Arial"/>
          <w:bCs/>
          <w:vertAlign w:val="superscript"/>
          <w:lang w:val="es-MX" w:eastAsia="es-CO"/>
        </w:rPr>
        <w:footnoteReference w:id="18"/>
      </w:r>
      <w:r w:rsidRPr="008E5AB9">
        <w:rPr>
          <w:rFonts w:ascii="Verdana" w:eastAsia="Times New Roman" w:hAnsi="Verdana" w:cs="Arial"/>
          <w:bCs/>
          <w:lang w:val="es-MX" w:eastAsia="es-CO"/>
        </w:rPr>
        <w:t xml:space="preserve">. </w:t>
      </w:r>
    </w:p>
    <w:p w14:paraId="4E6584B1" w14:textId="77777777" w:rsidR="00C06DC9" w:rsidRPr="008E5AB9" w:rsidRDefault="00C06DC9" w:rsidP="00C06DC9">
      <w:pPr>
        <w:widowControl w:val="0"/>
        <w:autoSpaceDE w:val="0"/>
        <w:autoSpaceDN w:val="0"/>
        <w:spacing w:after="120" w:line="276" w:lineRule="auto"/>
        <w:ind w:firstLine="709"/>
        <w:jc w:val="both"/>
        <w:rPr>
          <w:rFonts w:ascii="Verdana" w:eastAsia="Calibri" w:hAnsi="Verdana" w:cs="Arial"/>
          <w:lang w:eastAsia="es-ES" w:bidi="es-ES"/>
        </w:rPr>
      </w:pPr>
      <w:bookmarkStart w:id="4" w:name="_Hlk77154098"/>
      <w:r w:rsidRPr="008E5AB9">
        <w:rPr>
          <w:rFonts w:ascii="Verdana" w:eastAsia="Times New Roman" w:hAnsi="Verdana" w:cs="Arial"/>
          <w:bCs/>
          <w:lang w:val="es-ES" w:eastAsia="es-CO" w:bidi="es-ES"/>
        </w:rPr>
        <w:t>No obstante</w:t>
      </w:r>
      <w:r w:rsidRPr="008E5AB9">
        <w:rPr>
          <w:rFonts w:ascii="Verdana" w:eastAsia="Arial" w:hAnsi="Verdana" w:cs="Arial"/>
          <w:lang w:val="es-ES" w:eastAsia="es-ES" w:bidi="es-ES"/>
        </w:rPr>
        <w:t xml:space="preserve">, es importante resaltar que la Sala de Consulta y Servicio Civil del Consejo de Estado se ha pronunciado en el sentido de que </w:t>
      </w:r>
      <w:bookmarkStart w:id="5" w:name="_Hlk78820889"/>
      <w:r w:rsidRPr="008E5AB9">
        <w:rPr>
          <w:rFonts w:ascii="Verdana" w:eastAsia="Arial" w:hAnsi="Verdana" w:cs="Arial"/>
          <w:lang w:val="es-ES" w:eastAsia="es-ES" w:bidi="es-ES"/>
        </w:rPr>
        <w:t>no se les aplica la restricción contemplada en el artículo 38 de la Ley de Garantías a los convenios o contratos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5"/>
      <w:r w:rsidRPr="008E5AB9">
        <w:rPr>
          <w:rFonts w:ascii="Verdana" w:eastAsia="Arial" w:hAnsi="Verdana" w:cs="Arial"/>
          <w:vertAlign w:val="superscript"/>
          <w:lang w:val="es-ES" w:eastAsia="es-ES" w:bidi="es-ES"/>
        </w:rPr>
        <w:footnoteReference w:id="19"/>
      </w:r>
      <w:r w:rsidRPr="008E5AB9">
        <w:rPr>
          <w:rFonts w:ascii="Verdana" w:eastAsia="Calibri" w:hAnsi="Verdana" w:cs="Arial"/>
          <w:lang w:eastAsia="es-ES" w:bidi="es-ES"/>
        </w:rPr>
        <w:t>.</w:t>
      </w:r>
      <w:bookmarkEnd w:id="4"/>
    </w:p>
    <w:p w14:paraId="27A06081" w14:textId="77777777" w:rsidR="00C06DC9" w:rsidRPr="008E5AB9" w:rsidRDefault="00C06DC9" w:rsidP="00C06DC9">
      <w:pPr>
        <w:spacing w:after="120" w:line="276" w:lineRule="auto"/>
        <w:ind w:firstLine="709"/>
        <w:jc w:val="both"/>
        <w:rPr>
          <w:rFonts w:ascii="Verdana" w:eastAsia="Calibri" w:hAnsi="Verdana" w:cs="Arial"/>
          <w:lang w:bidi="es-ES"/>
        </w:rPr>
      </w:pPr>
      <w:r w:rsidRPr="008E5AB9">
        <w:rPr>
          <w:rFonts w:ascii="Verdana" w:eastAsia="Times New Roman" w:hAnsi="Verdana" w:cs="Arial"/>
          <w:lang w:val="es-MX" w:eastAsia="x-none"/>
        </w:rPr>
        <w:t xml:space="preserve">Igualmente, es necesario precisar que esta Subdirección, en los conceptos emitidos sobre la aplicación de la Ley de Garantías Electorales, ha defendido y mantenido la postura acerca de que la prohibición señalada en </w:t>
      </w:r>
      <w:r w:rsidRPr="008E5AB9">
        <w:rPr>
          <w:rFonts w:ascii="Verdana" w:eastAsia="Arial" w:hAnsi="Verdana" w:cs="Arial"/>
          <w:lang w:val="es-ES" w:eastAsia="es-ES" w:bidi="es-ES"/>
        </w:rPr>
        <w:t>e</w:t>
      </w:r>
      <w:r w:rsidRPr="008E5AB9">
        <w:rPr>
          <w:rFonts w:ascii="Verdana" w:eastAsia="Calibri" w:hAnsi="Verdana" w:cs="Arial"/>
        </w:rPr>
        <w:t xml:space="preserve">l parágrafo del artículo 38 cobija tanto a los convenios como a los contratos interadministrativos. Esta tesis se fundamenta en que </w:t>
      </w:r>
      <w:r w:rsidRPr="008E5AB9">
        <w:rPr>
          <w:rFonts w:ascii="Verdana" w:eastAsia="Calibri" w:hAnsi="Verdana" w:cs="Arial"/>
          <w:lang w:bidi="es-ES"/>
        </w:rPr>
        <w:t xml:space="preserve">si bien actualmente el Estatuto General de Contratación de la Administración Pública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4EA30569" w14:textId="77777777" w:rsidR="00C06DC9" w:rsidRPr="008E5AB9" w:rsidRDefault="00C06DC9" w:rsidP="00C06DC9">
      <w:pPr>
        <w:spacing w:after="120" w:line="276" w:lineRule="auto"/>
        <w:ind w:firstLine="709"/>
        <w:jc w:val="both"/>
        <w:rPr>
          <w:rFonts w:ascii="Verdana" w:eastAsia="Calibri" w:hAnsi="Verdana" w:cs="Arial"/>
          <w:lang w:bidi="es-ES"/>
        </w:rPr>
      </w:pPr>
      <w:r w:rsidRPr="008E5AB9">
        <w:rPr>
          <w:rFonts w:ascii="Verdana" w:eastAsia="Calibri" w:hAnsi="Verdana" w:cs="Arial"/>
          <w:lang w:bidi="es-ES"/>
        </w:rPr>
        <w:t xml:space="preserve">Por este motivo, se ha argumentado en dichos conceptos que cuando la Ley 80 de 1993 se refiere a contratos interadministrativos de la misma forma lo </w:t>
      </w:r>
      <w:r w:rsidRPr="008E5AB9">
        <w:rPr>
          <w:rFonts w:ascii="Verdana" w:eastAsia="Calibri" w:hAnsi="Verdana" w:cs="Arial"/>
          <w:lang w:bidi="es-ES"/>
        </w:rPr>
        <w:lastRenderedPageBreak/>
        <w:t xml:space="preserve">hace frente a los convenios, entre otras razones, porque este cuerpo normativo faculta a las entidades públicas a celebrar los demás acuerdos que permitan la autonomía de la voluntad y requieran el cumplimiento de los fines estatales. Además, se señala que </w:t>
      </w:r>
      <w:r w:rsidRPr="008E5AB9">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8E5AB9">
        <w:rPr>
          <w:rFonts w:ascii="Verdana" w:eastAsia="Arial" w:hAnsi="Verdana" w:cs="Arial"/>
          <w:vertAlign w:val="superscript"/>
          <w:lang w:val="es-ES" w:eastAsia="es-ES" w:bidi="es-ES"/>
        </w:rPr>
        <w:footnoteReference w:id="20"/>
      </w:r>
      <w:r w:rsidRPr="008E5AB9">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8E5AB9">
        <w:rPr>
          <w:rFonts w:ascii="Verdana" w:eastAsia="Arial" w:hAnsi="Verdana" w:cs="Arial"/>
          <w:vertAlign w:val="superscript"/>
          <w:lang w:val="es-ES" w:eastAsia="es-ES" w:bidi="es-ES"/>
        </w:rPr>
        <w:footnoteReference w:id="21"/>
      </w:r>
      <w:r w:rsidRPr="008E5AB9">
        <w:rPr>
          <w:rFonts w:ascii="Verdana" w:eastAsia="Arial" w:hAnsi="Verdana" w:cs="Arial"/>
          <w:lang w:val="es-ES" w:eastAsia="es-ES" w:bidi="es-ES"/>
        </w:rPr>
        <w:t>.</w:t>
      </w:r>
    </w:p>
    <w:p w14:paraId="5F137119" w14:textId="77777777" w:rsidR="00C06DC9" w:rsidRPr="008E5AB9" w:rsidRDefault="00C06DC9" w:rsidP="00C06DC9">
      <w:pPr>
        <w:spacing w:before="120" w:after="120" w:line="276" w:lineRule="auto"/>
        <w:ind w:firstLine="708"/>
        <w:jc w:val="both"/>
        <w:rPr>
          <w:rFonts w:ascii="Verdana" w:eastAsia="Times New Roman" w:hAnsi="Verdana" w:cs="Arial"/>
          <w:bCs/>
          <w:lang w:eastAsia="es-CO"/>
        </w:rPr>
      </w:pPr>
      <w:r w:rsidRPr="008E5AB9">
        <w:rPr>
          <w:rFonts w:ascii="Verdana" w:eastAsia="Times New Roman" w:hAnsi="Verdana" w:cs="Arial"/>
          <w:bCs/>
          <w:lang w:val="es-MX" w:eastAsia="es-CO"/>
        </w:rPr>
        <w:t>Ahora bien, para entender el momento de aplicación de estas restricciones, es preciso señalar que el vocablo “celebrar” es definido por el Diccionario Panhispánico del Español Jurídico como: “</w:t>
      </w:r>
      <w:r w:rsidRPr="008E5AB9">
        <w:rPr>
          <w:rFonts w:ascii="Verdana" w:eastAsia="Times New Roman" w:hAnsi="Verdana" w:cs="Arial"/>
          <w:bCs/>
          <w:lang w:eastAsia="es-CO"/>
        </w:rPr>
        <w:t>1. </w:t>
      </w:r>
      <w:r w:rsidRPr="008E5AB9">
        <w:rPr>
          <w:rFonts w:ascii="Verdana" w:eastAsia="Times New Roman" w:hAnsi="Verdana" w:cs="Arial"/>
          <w:bCs/>
          <w:i/>
          <w:iCs/>
          <w:lang w:eastAsia="es-CO"/>
        </w:rPr>
        <w:t>Gral.</w:t>
      </w:r>
      <w:r w:rsidRPr="008E5AB9">
        <w:rPr>
          <w:rFonts w:ascii="Verdana" w:eastAsia="Times New Roman" w:hAnsi="Verdana" w:cs="Arial"/>
          <w:bCs/>
          <w:lang w:eastAsia="es-CO"/>
        </w:rPr>
        <w:t xml:space="preserve"> Otorgar o firmar un contrato. 2. </w:t>
      </w:r>
      <w:r w:rsidRPr="008E5AB9">
        <w:rPr>
          <w:rFonts w:ascii="Verdana" w:eastAsia="Times New Roman" w:hAnsi="Verdana" w:cs="Arial"/>
          <w:bCs/>
          <w:i/>
          <w:iCs/>
          <w:lang w:eastAsia="es-CO"/>
        </w:rPr>
        <w:t>Proc.</w:t>
      </w:r>
      <w:r w:rsidRPr="008E5AB9">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07E6B1C3" w14:textId="77777777" w:rsidR="00C06DC9" w:rsidRPr="008E5AB9" w:rsidRDefault="00C06DC9" w:rsidP="00C06DC9">
      <w:pPr>
        <w:spacing w:before="120" w:after="120" w:line="276" w:lineRule="auto"/>
        <w:ind w:firstLine="708"/>
        <w:jc w:val="both"/>
        <w:rPr>
          <w:rFonts w:ascii="Verdana" w:eastAsia="Times New Roman" w:hAnsi="Verdana" w:cs="Arial"/>
          <w:bCs/>
          <w:lang w:eastAsia="es-CO"/>
        </w:rPr>
      </w:pPr>
      <w:r w:rsidRPr="008E5AB9">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para las entidades sometidas al Estatuto General de Contratación de la Administración Pública </w:t>
      </w:r>
      <w:r w:rsidRPr="008E5AB9">
        <w:rPr>
          <w:rFonts w:ascii="Verdana" w:eastAsia="Times New Roman" w:hAnsi="Verdana" w:cs="Arial"/>
          <w:bCs/>
          <w:lang w:val="es-ES" w:eastAsia="es-CO"/>
        </w:rPr>
        <w:t xml:space="preserve">la existencia de los contratos estatales, es decir, la producción de sus efectos jurídicos,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Y, </w:t>
      </w:r>
      <w:r w:rsidRPr="008E5AB9">
        <w:rPr>
          <w:rFonts w:ascii="Verdana" w:eastAsia="Times New Roman" w:hAnsi="Verdana" w:cs="Arial"/>
          <w:bCs/>
          <w:lang w:val="es-ES" w:eastAsia="es-CO"/>
        </w:rPr>
        <w:lastRenderedPageBreak/>
        <w:t xml:space="preserve">por otra parte, “[l]os contratos del Estado se perfeccionan cuando se logre acuerdo sobre el objeto y la contraprestación y éste se eleve a escrito”. </w:t>
      </w:r>
    </w:p>
    <w:p w14:paraId="383E4BF9" w14:textId="77777777" w:rsidR="00C06DC9" w:rsidRPr="008E5AB9" w:rsidRDefault="00C06DC9" w:rsidP="00C06DC9">
      <w:pPr>
        <w:spacing w:after="0" w:line="276" w:lineRule="auto"/>
        <w:ind w:firstLine="709"/>
        <w:jc w:val="both"/>
        <w:rPr>
          <w:rFonts w:ascii="Verdana" w:eastAsia="Times New Roman" w:hAnsi="Verdana" w:cs="Arial"/>
          <w:bCs/>
          <w:lang w:val="es-MX" w:eastAsia="es-CO"/>
        </w:rPr>
      </w:pPr>
      <w:r w:rsidRPr="008E5AB9">
        <w:rPr>
          <w:rFonts w:ascii="Verdana" w:eastAsia="Times New Roman" w:hAnsi="Verdana" w:cs="Arial"/>
          <w:bCs/>
          <w:lang w:val="es-ES" w:eastAsia="es-CO"/>
        </w:rPr>
        <w:t xml:space="preserve">Así mismo, </w:t>
      </w:r>
      <w:r w:rsidRPr="008E5AB9">
        <w:rPr>
          <w:rFonts w:ascii="Verdana" w:eastAsia="Times New Roman" w:hAnsi="Verdana" w:cs="Arial"/>
          <w:bCs/>
          <w:lang w:val="es-MX" w:eastAsia="es-CO"/>
        </w:rPr>
        <w:t>como en otras oportunidades lo ha manifestado esta Agencia, las prórrogas, modificaciones o adiciones de los contratos suscritos antes de la entrada en vigor de las prohibiciones previamente relacionados, así como la cesión de los mismos, pueden tener lugar en el período de aplicación de la Ley de Garantías Electorales, sin que ello haga nugatoria la restricción de la contratación directa y siempre que cumplan los principios de planeación, transparencia y responsabilidad</w:t>
      </w:r>
      <w:r w:rsidRPr="008E5AB9">
        <w:rPr>
          <w:rFonts w:ascii="Verdana" w:eastAsia="Times New Roman" w:hAnsi="Verdana" w:cs="Arial"/>
          <w:bCs/>
          <w:vertAlign w:val="superscript"/>
          <w:lang w:val="es-MX" w:eastAsia="es-CO"/>
        </w:rPr>
        <w:footnoteReference w:id="22"/>
      </w:r>
      <w:r w:rsidRPr="008E5AB9">
        <w:rPr>
          <w:rFonts w:ascii="Verdana" w:eastAsia="Times New Roman" w:hAnsi="Verdana" w:cs="Arial"/>
          <w:bCs/>
          <w:lang w:val="es-MX" w:eastAsia="es-CO"/>
        </w:rPr>
        <w:t>.</w:t>
      </w:r>
    </w:p>
    <w:p w14:paraId="48F569E5" w14:textId="77777777" w:rsidR="00C06DC9" w:rsidRPr="008E5AB9" w:rsidRDefault="00C06DC9" w:rsidP="00C06DC9">
      <w:pPr>
        <w:spacing w:before="120" w:after="0" w:line="276" w:lineRule="auto"/>
        <w:ind w:firstLine="708"/>
        <w:jc w:val="both"/>
        <w:rPr>
          <w:rFonts w:ascii="Verdana" w:eastAsia="Calibri" w:hAnsi="Verdana" w:cs="Arial"/>
        </w:rPr>
      </w:pPr>
      <w:r w:rsidRPr="008E5AB9">
        <w:rPr>
          <w:rFonts w:ascii="Verdana" w:eastAsia="Calibri" w:hAnsi="Verdana" w:cs="Arial"/>
        </w:rPr>
        <w:t xml:space="preserve">Finalmente, debe advertirse que el análisis requerido para resolver problemas específicos en torno a la aplicación de las restricciones contractuales contenidas en la Ley 996 de 2005,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09EC5940" w14:textId="77777777" w:rsidR="00C06DC9" w:rsidRPr="008E5AB9" w:rsidRDefault="00C06DC9" w:rsidP="00C06DC9">
      <w:pPr>
        <w:spacing w:before="120" w:after="0" w:line="276" w:lineRule="auto"/>
        <w:ind w:firstLine="709"/>
        <w:jc w:val="both"/>
        <w:rPr>
          <w:rFonts w:ascii="Verdana" w:eastAsia="Calibri" w:hAnsi="Verdana" w:cs="Arial"/>
        </w:rPr>
      </w:pPr>
      <w:r w:rsidRPr="008E5AB9">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4B28A4AC" w14:textId="77777777" w:rsidR="00C06DC9" w:rsidRPr="008E5AB9" w:rsidRDefault="00C06DC9" w:rsidP="00C06DC9">
      <w:pPr>
        <w:spacing w:before="120" w:after="0" w:line="276" w:lineRule="auto"/>
        <w:ind w:firstLine="709"/>
        <w:jc w:val="both"/>
        <w:rPr>
          <w:rFonts w:ascii="Verdana" w:eastAsia="Calibri" w:hAnsi="Verdana" w:cs="Arial"/>
        </w:rPr>
      </w:pPr>
    </w:p>
    <w:p w14:paraId="71422BB4" w14:textId="77777777" w:rsidR="00C06DC9" w:rsidRPr="008E5AB9" w:rsidRDefault="00C06DC9" w:rsidP="00C06DC9">
      <w:pPr>
        <w:widowControl w:val="0"/>
        <w:autoSpaceDE w:val="0"/>
        <w:autoSpaceDN w:val="0"/>
        <w:spacing w:before="1" w:after="0" w:line="240" w:lineRule="auto"/>
        <w:outlineLvl w:val="0"/>
        <w:rPr>
          <w:rFonts w:ascii="Verdana" w:eastAsia="Arial" w:hAnsi="Verdana" w:cs="Arial"/>
          <w:b/>
          <w:bCs/>
          <w:lang w:val="es-ES"/>
        </w:rPr>
      </w:pPr>
      <w:r w:rsidRPr="008E5AB9">
        <w:rPr>
          <w:rFonts w:ascii="Verdana" w:eastAsia="Arial" w:hAnsi="Verdana" w:cs="Arial"/>
          <w:b/>
          <w:bCs/>
          <w:lang w:val="es-ES"/>
        </w:rPr>
        <w:t>4.Referencias normativas, jurisprudenciales y otras fuentes:</w:t>
      </w:r>
    </w:p>
    <w:p w14:paraId="129394B3" w14:textId="77777777" w:rsidR="00C06DC9" w:rsidRPr="008E5AB9" w:rsidRDefault="00C06DC9" w:rsidP="00C06DC9">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06DC9" w:rsidRPr="008E5AB9" w14:paraId="0B53B8B5" w14:textId="77777777" w:rsidTr="00DC78A7">
        <w:trPr>
          <w:trHeight w:val="870"/>
        </w:trPr>
        <w:tc>
          <w:tcPr>
            <w:tcW w:w="8647" w:type="dxa"/>
          </w:tcPr>
          <w:p w14:paraId="42BC57B1" w14:textId="77777777" w:rsidR="00C06DC9" w:rsidRPr="008E5AB9" w:rsidRDefault="00C06DC9" w:rsidP="00C06DC9">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8E5AB9">
              <w:rPr>
                <w:rFonts w:ascii="Verdana" w:eastAsia="Calibri" w:hAnsi="Verdana" w:cs="Arial"/>
                <w:lang w:val="es-ES"/>
              </w:rPr>
              <w:t>Constitución Política: Artículo 127.</w:t>
            </w:r>
          </w:p>
          <w:p w14:paraId="4E7CF1C6" w14:textId="77777777" w:rsidR="00C06DC9" w:rsidRPr="008E5AB9" w:rsidRDefault="00C06DC9" w:rsidP="00C06DC9">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8E5AB9">
              <w:rPr>
                <w:rFonts w:ascii="Verdana" w:eastAsia="Calibri" w:hAnsi="Verdana" w:cs="Arial"/>
                <w:lang w:val="es-ES"/>
              </w:rPr>
              <w:t xml:space="preserve">Ley 80 de 1993, artículos 39, 41. </w:t>
            </w:r>
          </w:p>
          <w:p w14:paraId="2A5415EB" w14:textId="77777777" w:rsidR="00C06DC9" w:rsidRPr="008E5AB9" w:rsidRDefault="00C06DC9" w:rsidP="00C06DC9">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8E5AB9">
              <w:rPr>
                <w:rFonts w:ascii="Verdana" w:eastAsia="Calibri" w:hAnsi="Verdana" w:cs="Arial"/>
                <w:lang w:val="es-ES"/>
              </w:rPr>
              <w:t>Ley 996 de 2005: artículos 33 y 38 parágrafo.</w:t>
            </w:r>
          </w:p>
          <w:p w14:paraId="76D99BCE" w14:textId="77777777" w:rsidR="00C06DC9" w:rsidRPr="008E5AB9" w:rsidRDefault="00C06DC9" w:rsidP="00C06DC9">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8E5AB9">
              <w:rPr>
                <w:rFonts w:ascii="Verdana" w:eastAsia="Calibri" w:hAnsi="Verdana" w:cs="Arial"/>
                <w:lang w:val="es-ES"/>
              </w:rPr>
              <w:lastRenderedPageBreak/>
              <w:t xml:space="preserve">Ley 1150 de 2007, Artículo 2, numeral 4. </w:t>
            </w:r>
          </w:p>
          <w:p w14:paraId="153B19F6" w14:textId="77777777" w:rsidR="00C06DC9" w:rsidRPr="008E5AB9" w:rsidRDefault="00C06DC9" w:rsidP="00C06DC9">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8E5AB9">
              <w:rPr>
                <w:rFonts w:ascii="Verdana" w:eastAsia="Calibri" w:hAnsi="Verdana" w:cs="Arial"/>
                <w:lang w:val="es-ES"/>
              </w:rPr>
              <w:t xml:space="preserve">Consejo de Estado, Sección Primera. Sentencia de 3 de marzo de 2005, Exp. 2004-00823-01(PI). </w:t>
            </w:r>
          </w:p>
          <w:p w14:paraId="175FAA0B" w14:textId="77777777" w:rsidR="00C06DC9" w:rsidRPr="008E5AB9" w:rsidRDefault="00C06DC9" w:rsidP="00C06DC9">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8E5AB9">
              <w:rPr>
                <w:rFonts w:ascii="Verdana" w:eastAsia="Calibri" w:hAnsi="Verdana" w:cs="Arial"/>
                <w:lang w:val="es-ES"/>
              </w:rPr>
              <w:t xml:space="preserve">Consejo de Estado, Sala de Consulta y Servicio Civil de fecha 24 de julio de 2013, Rad. 2166, C. P. Álvaro Namén Vargas. </w:t>
            </w:r>
          </w:p>
          <w:p w14:paraId="4C0B19E6" w14:textId="77777777" w:rsidR="00C06DC9" w:rsidRPr="008E5AB9" w:rsidRDefault="00C06DC9" w:rsidP="00C06DC9">
            <w:pPr>
              <w:widowControl w:val="0"/>
              <w:numPr>
                <w:ilvl w:val="0"/>
                <w:numId w:val="1"/>
              </w:numPr>
              <w:autoSpaceDE w:val="0"/>
              <w:autoSpaceDN w:val="0"/>
              <w:spacing w:line="276" w:lineRule="auto"/>
              <w:contextualSpacing/>
              <w:jc w:val="both"/>
              <w:rPr>
                <w:rFonts w:ascii="Verdana" w:eastAsia="Calibri" w:hAnsi="Verdana" w:cs="Arial"/>
                <w:lang w:val="es-ES"/>
              </w:rPr>
            </w:pPr>
            <w:r w:rsidRPr="008E5AB9">
              <w:rPr>
                <w:rFonts w:ascii="Verdana" w:eastAsia="Calibri" w:hAnsi="Verdana" w:cs="Arial"/>
                <w:lang w:val="es-ES"/>
              </w:rPr>
              <w:t>Consejo de Estado. Sala de Consulta y Servicio Civil. Concepto del 17 de febrero de 2015. C.P. William Zambrano Cetina. Radicación No. 11001-03-06-000-2015-00164-00(2269).</w:t>
            </w:r>
          </w:p>
          <w:p w14:paraId="60ED6558" w14:textId="77777777" w:rsidR="00C06DC9" w:rsidRPr="008E5AB9" w:rsidRDefault="00C06DC9" w:rsidP="00C06DC9">
            <w:pPr>
              <w:widowControl w:val="0"/>
              <w:numPr>
                <w:ilvl w:val="0"/>
                <w:numId w:val="1"/>
              </w:numPr>
              <w:autoSpaceDE w:val="0"/>
              <w:autoSpaceDN w:val="0"/>
              <w:spacing w:line="276" w:lineRule="auto"/>
              <w:contextualSpacing/>
              <w:jc w:val="both"/>
              <w:rPr>
                <w:rFonts w:ascii="Verdana" w:eastAsia="Calibri" w:hAnsi="Verdana" w:cs="Arial"/>
                <w:lang w:val="es-ES"/>
              </w:rPr>
            </w:pPr>
            <w:r w:rsidRPr="008E5AB9">
              <w:rPr>
                <w:rFonts w:ascii="Verdana" w:eastAsia="Calibri" w:hAnsi="Verdana" w:cs="Arial"/>
                <w:lang w:val="es-ES"/>
              </w:rPr>
              <w:t>Corte Constitucional, Sentencia C- 1153 de 2005, M.P. Marco Gerardo Monroy Cabra</w:t>
            </w:r>
          </w:p>
          <w:p w14:paraId="0E55C42D" w14:textId="77777777" w:rsidR="00C06DC9" w:rsidRPr="008E5AB9" w:rsidRDefault="00C06DC9" w:rsidP="00C06DC9">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8E5AB9">
              <w:rPr>
                <w:rFonts w:ascii="Verdana" w:eastAsia="Calibri" w:hAnsi="Verdana" w:cs="Arial"/>
                <w:lang w:val="es-ES"/>
              </w:rPr>
              <w:t>Consejo de Estado, Sala de lo Contencioso Administrativo, Sección Tercera. Auto del 4 de octubre de 2024. Radicado No. 70.313. MP: Fredy Ibarra Martínez</w:t>
            </w:r>
          </w:p>
        </w:tc>
      </w:tr>
    </w:tbl>
    <w:p w14:paraId="25E1C0BC" w14:textId="77777777" w:rsidR="00C06DC9" w:rsidRPr="008E5AB9" w:rsidRDefault="00C06DC9" w:rsidP="00C06DC9">
      <w:pPr>
        <w:widowControl w:val="0"/>
        <w:autoSpaceDE w:val="0"/>
        <w:autoSpaceDN w:val="0"/>
        <w:spacing w:after="0" w:line="276" w:lineRule="auto"/>
        <w:jc w:val="both"/>
        <w:rPr>
          <w:rFonts w:ascii="Verdana" w:eastAsia="Aptos" w:hAnsi="Verdana" w:cs="Arial"/>
        </w:rPr>
      </w:pPr>
    </w:p>
    <w:p w14:paraId="60ABC2FD" w14:textId="77777777" w:rsidR="00C06DC9" w:rsidRPr="008E5AB9" w:rsidRDefault="00C06DC9" w:rsidP="00C06DC9">
      <w:pPr>
        <w:widowControl w:val="0"/>
        <w:autoSpaceDE w:val="0"/>
        <w:autoSpaceDN w:val="0"/>
        <w:spacing w:before="1" w:after="0" w:line="240" w:lineRule="auto"/>
        <w:outlineLvl w:val="0"/>
        <w:rPr>
          <w:rFonts w:ascii="Verdana" w:eastAsia="Arial" w:hAnsi="Verdana" w:cs="Arial"/>
          <w:b/>
          <w:bCs/>
          <w:lang w:val="es-ES"/>
        </w:rPr>
      </w:pPr>
      <w:r w:rsidRPr="008E5AB9">
        <w:rPr>
          <w:rFonts w:ascii="Verdana" w:eastAsia="Arial" w:hAnsi="Verdana" w:cs="Arial"/>
          <w:b/>
          <w:bCs/>
          <w:lang w:val="es-ES"/>
        </w:rPr>
        <w:t>5. Doctrina de la Agencia Nacional de Contratación Pública:</w:t>
      </w:r>
    </w:p>
    <w:p w14:paraId="386443D2" w14:textId="77777777" w:rsidR="00C06DC9" w:rsidRPr="008E5AB9" w:rsidRDefault="00C06DC9" w:rsidP="00C06DC9">
      <w:pPr>
        <w:widowControl w:val="0"/>
        <w:autoSpaceDE w:val="0"/>
        <w:autoSpaceDN w:val="0"/>
        <w:spacing w:after="0" w:line="276" w:lineRule="auto"/>
        <w:jc w:val="both"/>
        <w:rPr>
          <w:rFonts w:ascii="Verdana" w:eastAsia="Aptos" w:hAnsi="Verdana" w:cs="Arial"/>
        </w:rPr>
      </w:pPr>
    </w:p>
    <w:p w14:paraId="798A95F1" w14:textId="77777777" w:rsidR="00C06DC9" w:rsidRPr="008E5AB9" w:rsidRDefault="00C06DC9" w:rsidP="00C06DC9">
      <w:pPr>
        <w:widowControl w:val="0"/>
        <w:autoSpaceDE w:val="0"/>
        <w:autoSpaceDN w:val="0"/>
        <w:spacing w:after="0" w:line="276" w:lineRule="auto"/>
        <w:jc w:val="both"/>
        <w:rPr>
          <w:rFonts w:ascii="Verdana" w:eastAsia="Aptos" w:hAnsi="Verdana" w:cs="Arial"/>
          <w:shd w:val="clear" w:color="auto" w:fill="FFFFFF"/>
          <w:lang w:val="es-ES"/>
        </w:rPr>
      </w:pPr>
      <w:r w:rsidRPr="008E5AB9">
        <w:rPr>
          <w:rFonts w:ascii="Verdana" w:eastAsia="Calibri" w:hAnsi="Verdana" w:cs="Arial"/>
          <w:bCs/>
          <w:shd w:val="clear" w:color="auto" w:fill="FFFFFF"/>
        </w:rPr>
        <w:t>La Agencia Nacional de Contratación Pública – Colombia Compra Eficiente estudió la finalidad y propósito de la Ley de Garantías Electorales -Ley 996 de 2005-, en los conceptos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octubre de 2025, C-1488 del 30 de octubre de 2025, C-1596 del 6 de noviembre de 2025, entre otros. Asimismo, se ha pronunciado sobre el régimen jurídico de los contratos de arrendamiento en los Conceptos C-646 del 22 de noviembre de 2021, C-214 del 22 de abril de 2022, C-830 del 16 de diciembre de 2024, C-159 del 20 de marzo de 2025, C-1648 del 14 de noviembre de 2025</w:t>
      </w:r>
      <w:r w:rsidRPr="008E5AB9">
        <w:rPr>
          <w:rFonts w:ascii="Verdana" w:eastAsia="Calibri" w:hAnsi="Verdana" w:cs="Arial"/>
          <w:bCs/>
          <w:shd w:val="clear" w:color="auto" w:fill="FFFFFF"/>
          <w:lang w:val="es-ES"/>
        </w:rPr>
        <w:t xml:space="preserve">. En tal sentido, recoge los conceptos expuestos, sin perjuicio de otras consideraciones. </w:t>
      </w:r>
      <w:r w:rsidRPr="008E5AB9">
        <w:rPr>
          <w:rFonts w:ascii="Verdana" w:eastAsia="Aptos" w:hAnsi="Verdana" w:cs="Arial"/>
          <w:shd w:val="clear" w:color="auto" w:fill="FFFFFF"/>
          <w:lang w:val="es-ES"/>
        </w:rPr>
        <w:t xml:space="preserve">Estos y </w:t>
      </w:r>
      <w:r w:rsidRPr="008E5AB9">
        <w:rPr>
          <w:rFonts w:ascii="Verdana" w:eastAsia="Aptos" w:hAnsi="Verdana" w:cs="Arial"/>
          <w:shd w:val="clear" w:color="auto" w:fill="FFFFFF"/>
          <w:lang w:val="es-ES"/>
        </w:rPr>
        <w:lastRenderedPageBreak/>
        <w:t xml:space="preserve">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8E5AB9">
          <w:rPr>
            <w:rFonts w:ascii="Verdana" w:eastAsia="Aptos" w:hAnsi="Verdana" w:cs="Arial"/>
            <w:color w:val="0000FF"/>
            <w:u w:val="single"/>
            <w:shd w:val="clear" w:color="auto" w:fill="FFFFFF"/>
            <w:lang w:val="es-ES"/>
          </w:rPr>
          <w:t>https://relatoria.colombiacompra.gov.co/</w:t>
        </w:r>
      </w:hyperlink>
      <w:r w:rsidRPr="008E5AB9">
        <w:rPr>
          <w:rFonts w:ascii="Verdana" w:eastAsia="Aptos" w:hAnsi="Verdana" w:cs="Arial"/>
          <w:shd w:val="clear" w:color="auto" w:fill="FFFFFF"/>
          <w:lang w:val="es-ES"/>
        </w:rPr>
        <w:t xml:space="preserve">. </w:t>
      </w:r>
    </w:p>
    <w:p w14:paraId="54A749C4" w14:textId="77777777" w:rsidR="00C06DC9" w:rsidRPr="0095712C" w:rsidRDefault="00C06DC9" w:rsidP="00C06DC9">
      <w:pPr>
        <w:spacing w:before="120" w:after="120"/>
        <w:ind w:firstLine="709"/>
        <w:jc w:val="both"/>
        <w:rPr>
          <w:rFonts w:ascii="Verdana" w:eastAsia="Aptos" w:hAnsi="Verdana" w:cs="Times New Roman"/>
        </w:rPr>
      </w:pPr>
      <w:r w:rsidRPr="0095712C">
        <w:rPr>
          <w:rFonts w:ascii="Verdana" w:eastAsia="Aptos" w:hAnsi="Verdana" w:cs="Times New Roman"/>
        </w:rPr>
        <w:t xml:space="preserve">La sostenibilidad no es una opción, es una obligación. Por ello, la Agencia Nacional de Contratación Pública –Colombia Compra Eficiente– te invita a realizar el </w:t>
      </w:r>
      <w:r w:rsidRPr="0095712C">
        <w:rPr>
          <w:rFonts w:ascii="Verdana" w:eastAsia="Aptos" w:hAnsi="Verdana" w:cs="Times New Roman"/>
          <w:b/>
          <w:bCs/>
        </w:rPr>
        <w:t>Curso de Contratación Pública Sostenible y Socialmente Responsable</w:t>
      </w:r>
      <w:r w:rsidRPr="0095712C">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95712C">
        <w:rPr>
          <w:rFonts w:ascii="Verdana" w:eastAsia="Aptos" w:hAnsi="Verdana" w:cs="Times New Roman"/>
        </w:rPr>
        <w:br/>
      </w:r>
      <w:hyperlink r:id="rId13" w:tgtFrame="_new" w:history="1">
        <w:r w:rsidRPr="0095712C">
          <w:rPr>
            <w:rFonts w:ascii="Verdana" w:eastAsia="Aptos" w:hAnsi="Verdana" w:cs="Times New Roman"/>
            <w:color w:val="0000FF"/>
            <w:u w:val="single"/>
          </w:rPr>
          <w:t>https://formacionvirtual.colombiacompra.gov.co/mod/page/view.php?id=3718</w:t>
        </w:r>
      </w:hyperlink>
    </w:p>
    <w:p w14:paraId="30C5D0ED" w14:textId="77777777" w:rsidR="00C06DC9" w:rsidRPr="0095712C" w:rsidRDefault="00C06DC9" w:rsidP="00C06DC9">
      <w:pPr>
        <w:ind w:firstLine="708"/>
        <w:jc w:val="both"/>
        <w:rPr>
          <w:rFonts w:ascii="Verdana" w:eastAsia="Aptos" w:hAnsi="Verdana" w:cs="Times New Roman"/>
        </w:rPr>
      </w:pPr>
      <w:r w:rsidRPr="0095712C">
        <w:rPr>
          <w:rFonts w:ascii="Verdana" w:eastAsia="Aptos" w:hAnsi="Verdana" w:cs="Times New Roman"/>
        </w:rPr>
        <w:t xml:space="preserve">De otro lado, te contamos que esta Agencia ha da un paso decisivo en la estandarización y modernización del </w:t>
      </w:r>
      <w:r w:rsidRPr="0095712C">
        <w:rPr>
          <w:rFonts w:ascii="Verdana" w:eastAsia="Aptos" w:hAnsi="Verdana" w:cs="Times New Roman"/>
          <w:b/>
          <w:bCs/>
        </w:rPr>
        <w:t>sector  social</w:t>
      </w:r>
      <w:r w:rsidRPr="0095712C">
        <w:rPr>
          <w:rFonts w:ascii="Verdana" w:eastAsia="Aptos" w:hAnsi="Verdana" w:cs="Times New Roman"/>
        </w:rPr>
        <w:t xml:space="preserve"> con la expedición de las </w:t>
      </w:r>
      <w:r w:rsidRPr="0095712C">
        <w:rPr>
          <w:rFonts w:ascii="Verdana" w:eastAsia="Aptos" w:hAnsi="Verdana" w:cs="Times New Roman"/>
          <w:b/>
          <w:bCs/>
        </w:rPr>
        <w:t>Resoluciones 539, 540, 541, 952 y 953 de 2025</w:t>
      </w:r>
      <w:r w:rsidRPr="0095712C">
        <w:rPr>
          <w:rFonts w:ascii="Verdana" w:eastAsia="Aptos" w:hAnsi="Verdana" w:cs="Times New Roman"/>
        </w:rPr>
        <w:t xml:space="preserve">, </w:t>
      </w:r>
      <w:r w:rsidRPr="0095712C">
        <w:rPr>
          <w:rFonts w:ascii="Verdana" w:eastAsia="Aptos" w:hAnsi="Verdana" w:cs="Times New Roman"/>
          <w:b/>
          <w:bCs/>
        </w:rPr>
        <w:t>mediante las cuales adoptó Documentos Tipo</w:t>
      </w:r>
      <w:r w:rsidRPr="0095712C">
        <w:rPr>
          <w:rFonts w:ascii="Verdana" w:eastAsia="Aptos" w:hAnsi="Verdana" w:cs="Times New Roman"/>
        </w:rPr>
        <w:t xml:space="preserve"> para las modalidades de selección de</w:t>
      </w:r>
      <w:r w:rsidRPr="0095712C">
        <w:rPr>
          <w:rFonts w:ascii="Verdana" w:eastAsia="Aptos" w:hAnsi="Verdana" w:cs="Times New Roman"/>
          <w:b/>
          <w:bCs/>
        </w:rPr>
        <w:t xml:space="preserve"> licitación pública (versión 2), selección abreviada de menor cuantía, mínima cuantía, consultoría e interventoría</w:t>
      </w:r>
      <w:r w:rsidRPr="0095712C">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95712C">
          <w:rPr>
            <w:rFonts w:ascii="Verdana" w:eastAsia="Aptos" w:hAnsi="Verdana" w:cs="Times New Roman"/>
            <w:color w:val="0000FF"/>
            <w:u w:val="single"/>
          </w:rPr>
          <w:t>https://www.colombiacompra.gov.co/normativa-y-relatoria/documentos-tipo</w:t>
        </w:r>
      </w:hyperlink>
    </w:p>
    <w:p w14:paraId="2FECDD14" w14:textId="77777777" w:rsidR="00C06DC9" w:rsidRPr="0095712C" w:rsidRDefault="00C06DC9" w:rsidP="00C06DC9">
      <w:pPr>
        <w:spacing w:after="0"/>
        <w:ind w:firstLine="708"/>
        <w:jc w:val="both"/>
        <w:rPr>
          <w:rFonts w:ascii="Verdana" w:eastAsia="Aptos" w:hAnsi="Verdana" w:cs="Times New Roman"/>
        </w:rPr>
      </w:pPr>
      <w:r w:rsidRPr="0095712C">
        <w:rPr>
          <w:rFonts w:ascii="Verdana" w:eastAsia="Aptos" w:hAnsi="Verdana" w:cs="Times New Roman"/>
        </w:rPr>
        <w:t xml:space="preserve">Si quieres conocer más sobre la aplicación de Documentos Tipo puedes consultar la última versión de la </w:t>
      </w:r>
      <w:r w:rsidRPr="0095712C">
        <w:rPr>
          <w:rFonts w:ascii="Verdana" w:eastAsia="Aptos" w:hAnsi="Verdana" w:cs="Times New Roman"/>
          <w:b/>
          <w:bCs/>
        </w:rPr>
        <w:t>Guía para la comprensión e implementación de los Documentos Tipo de obra pública de infraestructura de transporte</w:t>
      </w:r>
      <w:r w:rsidRPr="0095712C">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95712C">
        <w:rPr>
          <w:rFonts w:ascii="Verdana" w:eastAsia="Aptos" w:hAnsi="Verdana" w:cs="Times New Roman"/>
        </w:rPr>
        <w:br/>
      </w:r>
      <w:hyperlink r:id="rId15" w:tgtFrame="_new" w:history="1">
        <w:r w:rsidRPr="0095712C">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2CEA1EF6" w14:textId="77777777" w:rsidR="00C06DC9" w:rsidRPr="008E5AB9" w:rsidRDefault="00C06DC9" w:rsidP="00C06DC9">
      <w:pPr>
        <w:spacing w:after="0" w:line="240" w:lineRule="auto"/>
        <w:jc w:val="both"/>
        <w:rPr>
          <w:rFonts w:ascii="Verdana" w:eastAsia="Aptos" w:hAnsi="Verdana" w:cs="Times New Roman"/>
        </w:rPr>
      </w:pPr>
      <w:r w:rsidRPr="008E5AB9">
        <w:rPr>
          <w:rFonts w:ascii="Verdana" w:eastAsia="Aptos" w:hAnsi="Verdana" w:cs="Times New Roman"/>
        </w:rPr>
        <w:lastRenderedPageBreak/>
        <w:t xml:space="preserve">Por último, lo invitamos a seguirnos en las redes sociales en las cuales se difunde información institucional: </w:t>
      </w:r>
    </w:p>
    <w:p w14:paraId="2CB27CEA" w14:textId="77777777" w:rsidR="00C06DC9" w:rsidRPr="008E5AB9" w:rsidRDefault="00C06DC9" w:rsidP="00C06DC9">
      <w:pPr>
        <w:spacing w:after="0" w:line="240" w:lineRule="auto"/>
        <w:jc w:val="both"/>
        <w:rPr>
          <w:rFonts w:ascii="Verdana" w:eastAsia="Aptos" w:hAnsi="Verdana" w:cs="Times New Roman"/>
        </w:rPr>
      </w:pPr>
    </w:p>
    <w:p w14:paraId="566EE3AA" w14:textId="77777777" w:rsidR="00C06DC9" w:rsidRPr="008E5AB9" w:rsidRDefault="00C06DC9" w:rsidP="00C06DC9">
      <w:pPr>
        <w:spacing w:after="0" w:line="240" w:lineRule="auto"/>
        <w:jc w:val="both"/>
        <w:rPr>
          <w:rFonts w:ascii="Verdana" w:eastAsia="Aptos" w:hAnsi="Verdana" w:cs="Times New Roman"/>
        </w:rPr>
      </w:pPr>
      <w:r w:rsidRPr="008E5AB9">
        <w:rPr>
          <w:rFonts w:ascii="Verdana" w:eastAsia="Aptos" w:hAnsi="Verdana" w:cs="Times New Roman"/>
        </w:rPr>
        <w:t xml:space="preserve">Twitter: </w:t>
      </w:r>
      <w:r w:rsidRPr="008E5AB9">
        <w:rPr>
          <w:rFonts w:ascii="Verdana" w:eastAsia="Aptos" w:hAnsi="Verdana" w:cs="Arial"/>
          <w:color w:val="0000FF"/>
          <w:u w:val="single"/>
          <w:shd w:val="clear" w:color="auto" w:fill="FFFFFF"/>
          <w:lang w:val="es-ES"/>
        </w:rPr>
        <w:t>@colombiacompra</w:t>
      </w:r>
      <w:r w:rsidRPr="008E5AB9">
        <w:rPr>
          <w:rFonts w:ascii="Verdana" w:eastAsia="Aptos" w:hAnsi="Verdana" w:cs="Times New Roman"/>
          <w:color w:val="156082"/>
        </w:rPr>
        <w:t xml:space="preserve"> </w:t>
      </w:r>
    </w:p>
    <w:p w14:paraId="7720D59C" w14:textId="77777777" w:rsidR="00C06DC9" w:rsidRPr="008E5AB9" w:rsidRDefault="00C06DC9" w:rsidP="00C06DC9">
      <w:pPr>
        <w:spacing w:after="0" w:line="240" w:lineRule="auto"/>
        <w:jc w:val="both"/>
        <w:rPr>
          <w:rFonts w:ascii="Verdana" w:eastAsia="Aptos" w:hAnsi="Verdana" w:cs="Times New Roman"/>
        </w:rPr>
      </w:pPr>
      <w:r w:rsidRPr="008E5AB9">
        <w:rPr>
          <w:rFonts w:ascii="Verdana" w:eastAsia="Aptos" w:hAnsi="Verdana" w:cs="Times New Roman"/>
        </w:rPr>
        <w:t xml:space="preserve">Facebook: </w:t>
      </w:r>
      <w:r w:rsidRPr="008E5AB9">
        <w:rPr>
          <w:rFonts w:ascii="Verdana" w:eastAsia="Aptos" w:hAnsi="Verdana" w:cs="Arial"/>
          <w:color w:val="0000FF"/>
          <w:u w:val="single"/>
          <w:shd w:val="clear" w:color="auto" w:fill="FFFFFF"/>
          <w:lang w:val="es-ES"/>
        </w:rPr>
        <w:t>ColombiaCompraEficiente</w:t>
      </w:r>
    </w:p>
    <w:p w14:paraId="41AFAE3E" w14:textId="77777777" w:rsidR="00C06DC9" w:rsidRPr="008E5AB9" w:rsidRDefault="00C06DC9" w:rsidP="00C06DC9">
      <w:pPr>
        <w:spacing w:after="0" w:line="240" w:lineRule="auto"/>
        <w:jc w:val="both"/>
        <w:rPr>
          <w:rFonts w:ascii="Verdana" w:eastAsia="Aptos" w:hAnsi="Verdana" w:cs="Times New Roman"/>
        </w:rPr>
      </w:pPr>
      <w:r w:rsidRPr="008E5AB9">
        <w:rPr>
          <w:rFonts w:ascii="Verdana" w:eastAsia="Aptos" w:hAnsi="Verdana" w:cs="Times New Roman"/>
        </w:rPr>
        <w:t xml:space="preserve">LinkedIn: </w:t>
      </w:r>
      <w:r w:rsidRPr="008E5AB9">
        <w:rPr>
          <w:rFonts w:ascii="Verdana" w:eastAsia="Aptos" w:hAnsi="Verdana" w:cs="Arial"/>
          <w:color w:val="0000FF"/>
          <w:u w:val="single"/>
          <w:shd w:val="clear" w:color="auto" w:fill="FFFFFF"/>
          <w:lang w:val="es-ES"/>
        </w:rPr>
        <w:t>Agencia Nacional de Contratación Pública - Colombia Compra Eficiente</w:t>
      </w:r>
      <w:r w:rsidRPr="008E5AB9">
        <w:rPr>
          <w:rFonts w:ascii="Verdana" w:eastAsia="Aptos" w:hAnsi="Verdana" w:cs="Times New Roman"/>
          <w:color w:val="156082"/>
        </w:rPr>
        <w:t xml:space="preserve"> </w:t>
      </w:r>
      <w:r w:rsidRPr="008E5AB9">
        <w:rPr>
          <w:rFonts w:ascii="Verdana" w:eastAsia="Aptos" w:hAnsi="Verdana" w:cs="Times New Roman"/>
        </w:rPr>
        <w:t xml:space="preserve">Instagram: </w:t>
      </w:r>
      <w:r w:rsidRPr="008E5AB9">
        <w:rPr>
          <w:rFonts w:ascii="Verdana" w:eastAsia="Aptos" w:hAnsi="Verdana" w:cs="Arial"/>
          <w:color w:val="0000FF"/>
          <w:u w:val="single"/>
          <w:shd w:val="clear" w:color="auto" w:fill="FFFFFF"/>
          <w:lang w:val="es-ES"/>
        </w:rPr>
        <w:t>@colombiacompraeficiente_cce</w:t>
      </w:r>
    </w:p>
    <w:p w14:paraId="0BBC6202" w14:textId="77777777" w:rsidR="00C06DC9" w:rsidRPr="008E5AB9" w:rsidRDefault="00C06DC9" w:rsidP="00C06DC9">
      <w:pPr>
        <w:widowControl w:val="0"/>
        <w:autoSpaceDE w:val="0"/>
        <w:autoSpaceDN w:val="0"/>
        <w:spacing w:after="0" w:line="276" w:lineRule="auto"/>
        <w:jc w:val="both"/>
        <w:rPr>
          <w:rFonts w:ascii="Verdana" w:eastAsia="Aptos" w:hAnsi="Verdana" w:cs="Arial"/>
        </w:rPr>
      </w:pPr>
    </w:p>
    <w:p w14:paraId="5508A644" w14:textId="77777777" w:rsidR="00C06DC9" w:rsidRPr="008E5AB9" w:rsidRDefault="00C06DC9" w:rsidP="00C06DC9">
      <w:pPr>
        <w:widowControl w:val="0"/>
        <w:autoSpaceDE w:val="0"/>
        <w:autoSpaceDN w:val="0"/>
        <w:spacing w:after="0" w:line="276" w:lineRule="auto"/>
        <w:jc w:val="both"/>
        <w:rPr>
          <w:rFonts w:ascii="Verdana" w:eastAsia="Aptos" w:hAnsi="Verdana" w:cs="Arial"/>
          <w:lang w:val="es-ES_tradnl"/>
        </w:rPr>
      </w:pPr>
      <w:r w:rsidRPr="008E5AB9">
        <w:rPr>
          <w:rFonts w:ascii="Verdana" w:eastAsia="Aptos" w:hAnsi="Verdana" w:cs="Arial"/>
        </w:rPr>
        <w:t xml:space="preserve">Este concepto tiene el alcance previsto en el artículo 28 del Código de Procedimiento Administrativo y de lo Contencioso Administrativo </w:t>
      </w:r>
      <w:r w:rsidRPr="008E5AB9">
        <w:rPr>
          <w:rFonts w:ascii="Verdana" w:eastAsia="Aptos" w:hAnsi="Verdana" w:cs="Arial"/>
          <w:lang w:val="es-ES_tradnl"/>
        </w:rPr>
        <w:t>y las expresiones aquí utilizadas con mayúscula inicial deben ser entendidas con el significado que les otorga el artículo 2.2.1.1.1.3.1. del Decreto 1082 de 2015.</w:t>
      </w:r>
    </w:p>
    <w:p w14:paraId="47DF59BE" w14:textId="77777777" w:rsidR="00C06DC9" w:rsidRPr="008E5AB9" w:rsidRDefault="00C06DC9" w:rsidP="00C06DC9">
      <w:pPr>
        <w:widowControl w:val="0"/>
        <w:autoSpaceDE w:val="0"/>
        <w:autoSpaceDN w:val="0"/>
        <w:spacing w:after="0" w:line="276" w:lineRule="auto"/>
        <w:jc w:val="both"/>
        <w:rPr>
          <w:rFonts w:ascii="Verdana" w:eastAsia="Aptos" w:hAnsi="Verdana" w:cs="Arial"/>
        </w:rPr>
      </w:pPr>
    </w:p>
    <w:p w14:paraId="5E829C19" w14:textId="77777777" w:rsidR="00C06DC9" w:rsidRPr="008E5AB9" w:rsidRDefault="00C06DC9" w:rsidP="00C06DC9">
      <w:pPr>
        <w:spacing w:after="0" w:line="240" w:lineRule="auto"/>
        <w:rPr>
          <w:rFonts w:ascii="Verdana" w:eastAsia="Aptos" w:hAnsi="Verdana" w:cs="Arial"/>
          <w:lang w:eastAsia="es-CO"/>
        </w:rPr>
      </w:pPr>
      <w:r w:rsidRPr="008E5AB9">
        <w:rPr>
          <w:rFonts w:ascii="Verdana" w:eastAsia="Times New Roman" w:hAnsi="Verdana" w:cs="Arial"/>
          <w:lang w:eastAsia="es-CO"/>
        </w:rPr>
        <w:t>Atentamente,</w:t>
      </w:r>
      <w:r w:rsidRPr="008E5AB9">
        <w:rPr>
          <w:rFonts w:ascii="Verdana" w:eastAsia="Aptos" w:hAnsi="Verdana" w:cs="Arial"/>
          <w:lang w:eastAsia="es-CO"/>
        </w:rPr>
        <w:t xml:space="preserve"> </w:t>
      </w:r>
    </w:p>
    <w:p w14:paraId="53AB4F43" w14:textId="77777777" w:rsidR="00C06DC9" w:rsidRPr="008E5AB9" w:rsidRDefault="00C06DC9" w:rsidP="00C06DC9">
      <w:pPr>
        <w:spacing w:after="0" w:line="276" w:lineRule="auto"/>
        <w:jc w:val="center"/>
        <w:rPr>
          <w:rFonts w:ascii="Verdana" w:eastAsia="Aptos" w:hAnsi="Verdana" w:cs="Arial"/>
          <w:lang w:val="es-ES_tradnl" w:eastAsia="es-CO"/>
        </w:rPr>
      </w:pPr>
    </w:p>
    <w:p w14:paraId="6E0C918F" w14:textId="6897CEC8" w:rsidR="00C06DC9" w:rsidRPr="008E5AB9" w:rsidRDefault="00C06DC9" w:rsidP="00C06DC9">
      <w:pPr>
        <w:spacing w:after="0" w:line="276" w:lineRule="auto"/>
        <w:jc w:val="center"/>
        <w:rPr>
          <w:rFonts w:ascii="Verdana" w:eastAsia="Aptos" w:hAnsi="Verdana" w:cs="Arial"/>
          <w:lang w:val="es-ES_tradnl" w:eastAsia="es-CO"/>
        </w:rPr>
      </w:pPr>
      <w:r w:rsidRPr="002C3AD6">
        <w:rPr>
          <w:rFonts w:ascii="Century Gothic" w:hAnsi="Century Gothic"/>
          <w:noProof/>
        </w:rPr>
        <w:drawing>
          <wp:inline distT="0" distB="0" distL="0" distR="0" wp14:anchorId="22E4BAA1" wp14:editId="3BD8828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C06DC9" w:rsidRPr="008E5AB9" w14:paraId="53596E6A" w14:textId="77777777" w:rsidTr="00DC78A7">
        <w:trPr>
          <w:trHeight w:val="286"/>
        </w:trPr>
        <w:tc>
          <w:tcPr>
            <w:tcW w:w="901" w:type="dxa"/>
            <w:vAlign w:val="center"/>
            <w:hideMark/>
          </w:tcPr>
          <w:p w14:paraId="7338FB14" w14:textId="77777777" w:rsidR="00C06DC9" w:rsidRPr="008E5AB9" w:rsidRDefault="00C06DC9" w:rsidP="00DC78A7">
            <w:pPr>
              <w:rPr>
                <w:rFonts w:ascii="Verdana" w:eastAsia="Aptos" w:hAnsi="Verdana" w:cs="Arial"/>
                <w:sz w:val="14"/>
                <w:szCs w:val="14"/>
                <w:lang w:eastAsia="es-ES"/>
              </w:rPr>
            </w:pPr>
            <w:r w:rsidRPr="008E5AB9">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6C053044" w14:textId="77777777" w:rsidR="00C06DC9" w:rsidRPr="008E5AB9" w:rsidRDefault="00C06DC9" w:rsidP="00DC78A7">
            <w:pPr>
              <w:rPr>
                <w:rFonts w:ascii="Verdana" w:eastAsia="Aptos" w:hAnsi="Verdana" w:cs="Arial"/>
                <w:sz w:val="14"/>
                <w:szCs w:val="14"/>
                <w:lang w:eastAsia="es-ES"/>
              </w:rPr>
            </w:pPr>
            <w:r w:rsidRPr="008E5AB9">
              <w:rPr>
                <w:rFonts w:ascii="Verdana" w:eastAsia="Aptos" w:hAnsi="Verdana" w:cs="Arial"/>
                <w:sz w:val="14"/>
                <w:szCs w:val="14"/>
                <w:lang w:eastAsia="es-ES"/>
              </w:rPr>
              <w:t>Nasly Yeana Mosquera Rivas</w:t>
            </w:r>
          </w:p>
          <w:p w14:paraId="1E19803D" w14:textId="77777777" w:rsidR="00C06DC9" w:rsidRPr="008E5AB9" w:rsidRDefault="00C06DC9" w:rsidP="00DC78A7">
            <w:pPr>
              <w:rPr>
                <w:rFonts w:ascii="Verdana" w:eastAsia="Aptos" w:hAnsi="Verdana" w:cs="Arial"/>
                <w:sz w:val="14"/>
                <w:szCs w:val="14"/>
                <w:lang w:eastAsia="es-ES"/>
              </w:rPr>
            </w:pPr>
            <w:r w:rsidRPr="008E5AB9">
              <w:rPr>
                <w:rFonts w:ascii="Verdana" w:eastAsia="Aptos" w:hAnsi="Verdana" w:cs="Arial"/>
                <w:sz w:val="14"/>
                <w:szCs w:val="14"/>
                <w:lang w:eastAsia="es-ES"/>
              </w:rPr>
              <w:t>Analista T2–06 de la Subdirección de Gestión Contractual</w:t>
            </w:r>
          </w:p>
        </w:tc>
      </w:tr>
      <w:tr w:rsidR="00C06DC9" w:rsidRPr="008E5AB9" w14:paraId="0B672FF3" w14:textId="77777777" w:rsidTr="00DC78A7">
        <w:trPr>
          <w:trHeight w:val="299"/>
        </w:trPr>
        <w:tc>
          <w:tcPr>
            <w:tcW w:w="901" w:type="dxa"/>
            <w:vAlign w:val="center"/>
          </w:tcPr>
          <w:p w14:paraId="28EDB293" w14:textId="77777777" w:rsidR="00C06DC9" w:rsidRPr="008E5AB9" w:rsidRDefault="00C06DC9" w:rsidP="00DC78A7">
            <w:pPr>
              <w:rPr>
                <w:rFonts w:ascii="Verdana" w:eastAsia="Aptos" w:hAnsi="Verdana" w:cs="Arial"/>
                <w:sz w:val="14"/>
                <w:szCs w:val="14"/>
                <w:lang w:eastAsia="es-ES"/>
              </w:rPr>
            </w:pPr>
            <w:r w:rsidRPr="008E5AB9">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41E8719E" w14:textId="77777777" w:rsidR="00C06DC9" w:rsidRPr="008E5AB9" w:rsidRDefault="00C06DC9" w:rsidP="00DC78A7">
            <w:pPr>
              <w:rPr>
                <w:rFonts w:ascii="Verdana" w:eastAsia="Aptos" w:hAnsi="Verdana" w:cs="Arial"/>
                <w:sz w:val="14"/>
                <w:szCs w:val="14"/>
                <w:lang w:eastAsia="es-ES"/>
              </w:rPr>
            </w:pPr>
            <w:r w:rsidRPr="008E5AB9">
              <w:rPr>
                <w:rFonts w:ascii="Verdana" w:eastAsia="Aptos" w:hAnsi="Verdana" w:cs="Arial"/>
                <w:sz w:val="14"/>
                <w:szCs w:val="14"/>
                <w:lang w:eastAsia="es-ES"/>
              </w:rPr>
              <w:t xml:space="preserve">Adriana Katherine López Rodríguez </w:t>
            </w:r>
          </w:p>
          <w:p w14:paraId="0D5B876E" w14:textId="77777777" w:rsidR="00C06DC9" w:rsidRPr="008E5AB9" w:rsidRDefault="00C06DC9" w:rsidP="00DC78A7">
            <w:pPr>
              <w:rPr>
                <w:rFonts w:ascii="Verdana" w:eastAsia="Aptos" w:hAnsi="Verdana" w:cs="Arial"/>
                <w:sz w:val="14"/>
                <w:szCs w:val="14"/>
                <w:lang w:eastAsia="es-ES"/>
              </w:rPr>
            </w:pPr>
            <w:r w:rsidRPr="008E5AB9">
              <w:rPr>
                <w:rFonts w:ascii="Verdana" w:eastAsia="Aptos" w:hAnsi="Verdana" w:cs="Arial"/>
                <w:sz w:val="14"/>
                <w:szCs w:val="14"/>
                <w:lang w:eastAsia="es-ES"/>
              </w:rPr>
              <w:t>Contratista de la Subdirección de Gestión Contractual</w:t>
            </w:r>
          </w:p>
        </w:tc>
      </w:tr>
      <w:tr w:rsidR="00C06DC9" w:rsidRPr="008E5AB9" w14:paraId="5E284C79" w14:textId="77777777" w:rsidTr="00DC78A7">
        <w:trPr>
          <w:trHeight w:val="272"/>
        </w:trPr>
        <w:tc>
          <w:tcPr>
            <w:tcW w:w="901" w:type="dxa"/>
            <w:vAlign w:val="center"/>
            <w:hideMark/>
          </w:tcPr>
          <w:p w14:paraId="10A73E78" w14:textId="77777777" w:rsidR="00C06DC9" w:rsidRPr="008E5AB9" w:rsidRDefault="00C06DC9" w:rsidP="00DC78A7">
            <w:pPr>
              <w:rPr>
                <w:rFonts w:ascii="Verdana" w:eastAsia="Aptos" w:hAnsi="Verdana" w:cs="Arial"/>
                <w:sz w:val="14"/>
                <w:szCs w:val="14"/>
                <w:lang w:eastAsia="es-ES"/>
              </w:rPr>
            </w:pPr>
            <w:r w:rsidRPr="008E5AB9">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7B14361D" w14:textId="77777777" w:rsidR="00C06DC9" w:rsidRPr="008E5AB9" w:rsidRDefault="00C06DC9" w:rsidP="00DC78A7">
            <w:pPr>
              <w:rPr>
                <w:rFonts w:ascii="Verdana" w:eastAsia="Aptos" w:hAnsi="Verdana" w:cs="Arial"/>
                <w:sz w:val="14"/>
                <w:szCs w:val="14"/>
                <w:lang w:eastAsia="es-ES"/>
              </w:rPr>
            </w:pPr>
            <w:r w:rsidRPr="008E5AB9">
              <w:rPr>
                <w:rFonts w:ascii="Verdana" w:eastAsia="Aptos" w:hAnsi="Verdana" w:cs="Arial"/>
                <w:sz w:val="14"/>
                <w:szCs w:val="14"/>
                <w:lang w:eastAsia="es-ES"/>
              </w:rPr>
              <w:t>Carolina Quintero Gacharná</w:t>
            </w:r>
          </w:p>
          <w:p w14:paraId="516D0366" w14:textId="77777777" w:rsidR="00C06DC9" w:rsidRPr="008E5AB9" w:rsidRDefault="00C06DC9" w:rsidP="00DC78A7">
            <w:pPr>
              <w:rPr>
                <w:rFonts w:ascii="Verdana" w:eastAsia="Aptos" w:hAnsi="Verdana" w:cs="Arial"/>
                <w:sz w:val="14"/>
                <w:szCs w:val="14"/>
                <w:lang w:eastAsia="es-ES"/>
              </w:rPr>
            </w:pPr>
            <w:r w:rsidRPr="008E5AB9">
              <w:rPr>
                <w:rFonts w:ascii="Verdana" w:eastAsia="Aptos" w:hAnsi="Verdana" w:cs="Arial"/>
                <w:sz w:val="14"/>
                <w:szCs w:val="14"/>
                <w:lang w:eastAsia="es-ES"/>
              </w:rPr>
              <w:t>Subdirectora de Gestión Contractual ANCP – CCE</w:t>
            </w:r>
          </w:p>
        </w:tc>
      </w:tr>
    </w:tbl>
    <w:p w14:paraId="4B0AB7CA" w14:textId="77777777" w:rsidR="00C06DC9" w:rsidRPr="008E5AB9" w:rsidRDefault="00C06DC9" w:rsidP="00C06DC9">
      <w:pPr>
        <w:spacing w:after="0" w:line="240" w:lineRule="auto"/>
        <w:rPr>
          <w:rFonts w:ascii="Verdana" w:eastAsia="Times New Roman" w:hAnsi="Verdana" w:cs="Arial"/>
          <w:sz w:val="24"/>
          <w:szCs w:val="24"/>
          <w:lang w:eastAsia="es-ES"/>
        </w:rPr>
      </w:pPr>
    </w:p>
    <w:p w14:paraId="7539A78E" w14:textId="77777777" w:rsidR="00C06DC9" w:rsidRPr="008E5AB9" w:rsidRDefault="00C06DC9" w:rsidP="00C06DC9">
      <w:pPr>
        <w:rPr>
          <w:rFonts w:ascii="Verdana" w:eastAsia="Aptos" w:hAnsi="Verdana" w:cs="Times New Roman"/>
        </w:rPr>
      </w:pPr>
    </w:p>
    <w:p w14:paraId="3FDDF75C" w14:textId="77777777" w:rsidR="00C06DC9" w:rsidRPr="008E5AB9" w:rsidRDefault="00C06DC9" w:rsidP="00C06DC9">
      <w:pPr>
        <w:rPr>
          <w:rFonts w:ascii="Verdana" w:eastAsia="Aptos" w:hAnsi="Verdana" w:cs="Times New Roman"/>
        </w:rPr>
      </w:pPr>
    </w:p>
    <w:p w14:paraId="4167592A" w14:textId="77777777" w:rsidR="00C06DC9" w:rsidRPr="000E2B93" w:rsidRDefault="00C06DC9" w:rsidP="00C06DC9">
      <w:pPr>
        <w:spacing w:after="0" w:line="240" w:lineRule="auto"/>
        <w:jc w:val="both"/>
        <w:textAlignment w:val="baseline"/>
        <w:rPr>
          <w:rFonts w:ascii="Verdana" w:eastAsia="Verdana" w:hAnsi="Verdana" w:cs="Verdana"/>
          <w:lang w:eastAsia="es-CO"/>
        </w:rPr>
      </w:pPr>
    </w:p>
    <w:p w14:paraId="34D48ACF" w14:textId="42C38E6C" w:rsidR="00C06DC9" w:rsidRPr="000E2B93" w:rsidRDefault="00C06DC9" w:rsidP="00C06DC9">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0883086C" w14:textId="77777777" w:rsidR="00C06DC9" w:rsidRDefault="00C06DC9"/>
    <w:sectPr w:rsidR="00C06DC9" w:rsidSect="00C06DC9">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DDE6F" w14:textId="77777777" w:rsidR="00DA6214" w:rsidRDefault="00DA6214" w:rsidP="00C06DC9">
      <w:pPr>
        <w:spacing w:after="0" w:line="240" w:lineRule="auto"/>
      </w:pPr>
      <w:r>
        <w:separator/>
      </w:r>
    </w:p>
  </w:endnote>
  <w:endnote w:type="continuationSeparator" w:id="0">
    <w:p w14:paraId="4042347D" w14:textId="77777777" w:rsidR="00DA6214" w:rsidRDefault="00DA6214" w:rsidP="00C06D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panose1 w:val="02000503000000020004"/>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AC19A" w14:textId="77777777" w:rsidR="00C06DC9" w:rsidRDefault="00C06DC9">
    <w:pPr>
      <w:pStyle w:val="Piedepgina"/>
    </w:pPr>
  </w:p>
  <w:p w14:paraId="7CF1E9BD" w14:textId="77777777" w:rsidR="00C06DC9" w:rsidRPr="00174B77" w:rsidRDefault="00C06DC9"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67A0EBB9" w14:textId="77777777" w:rsidR="00C06DC9" w:rsidRDefault="00C06DC9"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237FFFFC" w14:textId="77777777" w:rsidR="00C06DC9" w:rsidRPr="00E41027" w:rsidRDefault="00C06DC9"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008C2FFB" w14:textId="77777777" w:rsidR="00C06DC9" w:rsidRDefault="00C06DC9"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8E5AB9">
      <w:rPr>
        <w:rFonts w:ascii="Verdana" w:eastAsia="Verdana" w:hAnsi="Verdana" w:cs="Verdana"/>
        <w:b/>
        <w:bCs/>
        <w:color w:val="000000"/>
        <w:sz w:val="18"/>
        <w:szCs w:val="18"/>
        <w:lang w:eastAsia="es-CO"/>
      </w:rPr>
      <w:t xml:space="preserve">Código: </w:t>
    </w:r>
    <w:r w:rsidRPr="008E5AB9">
      <w:rPr>
        <w:rFonts w:ascii="Verdana" w:eastAsia="Verdana" w:hAnsi="Verdana" w:cs="Verdana"/>
        <w:color w:val="000000"/>
        <w:sz w:val="18"/>
        <w:szCs w:val="18"/>
        <w:lang w:eastAsia="es-CO"/>
      </w:rPr>
      <w:t xml:space="preserve">CCE-REC-FM-17 </w:t>
    </w:r>
    <w:r w:rsidRPr="008E5AB9">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BE9905" w14:textId="77777777" w:rsidR="00DA6214" w:rsidRDefault="00DA6214" w:rsidP="00C06DC9">
      <w:pPr>
        <w:spacing w:after="0" w:line="240" w:lineRule="auto"/>
      </w:pPr>
      <w:r>
        <w:separator/>
      </w:r>
    </w:p>
  </w:footnote>
  <w:footnote w:type="continuationSeparator" w:id="0">
    <w:p w14:paraId="5CD1E468" w14:textId="77777777" w:rsidR="00DA6214" w:rsidRDefault="00DA6214" w:rsidP="00C06DC9">
      <w:pPr>
        <w:spacing w:after="0" w:line="240" w:lineRule="auto"/>
      </w:pPr>
      <w:r>
        <w:continuationSeparator/>
      </w:r>
    </w:p>
  </w:footnote>
  <w:footnote w:id="1">
    <w:p w14:paraId="36CDA249" w14:textId="77777777" w:rsidR="00C06DC9" w:rsidRPr="00FE755D" w:rsidRDefault="00C06DC9" w:rsidP="00C06DC9">
      <w:pPr>
        <w:pStyle w:val="Textonotapie"/>
        <w:ind w:firstLine="709"/>
        <w:jc w:val="both"/>
        <w:rPr>
          <w:rFonts w:ascii="Verdana" w:hAnsi="Verdana" w:cs="Arial"/>
          <w:sz w:val="18"/>
          <w:szCs w:val="18"/>
        </w:rPr>
      </w:pPr>
      <w:r w:rsidRPr="00FE755D">
        <w:rPr>
          <w:rStyle w:val="Refdenotaalpie"/>
          <w:rFonts w:ascii="Verdana" w:hAnsi="Verdana" w:cs="Arial"/>
          <w:sz w:val="18"/>
          <w:szCs w:val="18"/>
        </w:rPr>
        <w:footnoteRef/>
      </w:r>
      <w:r w:rsidRPr="00FE755D">
        <w:rPr>
          <w:rFonts w:ascii="Verdana" w:hAnsi="Verdana" w:cs="Arial"/>
          <w:sz w:val="18"/>
          <w:szCs w:val="18"/>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9D7A722" w14:textId="77777777" w:rsidR="00C06DC9" w:rsidRPr="00FE755D" w:rsidRDefault="00C06DC9" w:rsidP="00C06DC9">
      <w:pPr>
        <w:pStyle w:val="Textonotapie"/>
        <w:spacing w:before="120"/>
        <w:ind w:firstLine="709"/>
        <w:jc w:val="both"/>
        <w:rPr>
          <w:rFonts w:ascii="Verdana" w:hAnsi="Verdana" w:cs="Arial"/>
          <w:sz w:val="18"/>
          <w:szCs w:val="18"/>
        </w:rPr>
      </w:pPr>
      <w:r w:rsidRPr="00FE755D">
        <w:rPr>
          <w:rFonts w:ascii="Verdana" w:hAnsi="Verdana" w:cs="Arial"/>
          <w:sz w:val="18"/>
          <w:szCs w:val="18"/>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31338A4F" w14:textId="77777777" w:rsidR="00C06DC9" w:rsidRPr="00FE755D" w:rsidRDefault="00C06DC9" w:rsidP="00C06DC9">
      <w:pPr>
        <w:pStyle w:val="Textonotapie"/>
        <w:ind w:firstLine="709"/>
        <w:jc w:val="both"/>
        <w:rPr>
          <w:rFonts w:ascii="Verdana" w:hAnsi="Verdana" w:cs="Arial"/>
          <w:sz w:val="18"/>
          <w:szCs w:val="18"/>
        </w:rPr>
      </w:pPr>
    </w:p>
  </w:footnote>
  <w:footnote w:id="2">
    <w:p w14:paraId="214DD311" w14:textId="77777777" w:rsidR="00C06DC9" w:rsidRPr="00FE755D" w:rsidRDefault="00C06DC9" w:rsidP="00C06DC9">
      <w:pPr>
        <w:pStyle w:val="Textonotapie"/>
        <w:ind w:firstLine="709"/>
        <w:jc w:val="both"/>
        <w:rPr>
          <w:rFonts w:ascii="Verdana" w:hAnsi="Verdana" w:cs="Arial"/>
          <w:sz w:val="18"/>
          <w:szCs w:val="18"/>
        </w:rPr>
      </w:pPr>
      <w:r w:rsidRPr="00FE755D">
        <w:rPr>
          <w:rStyle w:val="Refdenotaalpie"/>
          <w:rFonts w:ascii="Verdana" w:hAnsi="Verdana" w:cs="Arial"/>
          <w:sz w:val="18"/>
          <w:szCs w:val="18"/>
        </w:rPr>
        <w:footnoteRef/>
      </w:r>
      <w:r w:rsidRPr="00FE755D">
        <w:rPr>
          <w:rFonts w:ascii="Verdana" w:hAnsi="Verdana" w:cs="Arial"/>
          <w:sz w:val="18"/>
          <w:szCs w:val="18"/>
        </w:rPr>
        <w:t xml:space="preserve"> Gaceta del Congreso de la República No. 71 del 2005.</w:t>
      </w:r>
    </w:p>
    <w:p w14:paraId="41A6E8E6" w14:textId="77777777" w:rsidR="00C06DC9" w:rsidRPr="00FE755D" w:rsidRDefault="00C06DC9" w:rsidP="00C06DC9">
      <w:pPr>
        <w:pStyle w:val="Textonotapie"/>
        <w:ind w:firstLine="709"/>
        <w:jc w:val="both"/>
        <w:rPr>
          <w:rFonts w:ascii="Verdana" w:hAnsi="Verdana" w:cs="Arial"/>
          <w:sz w:val="18"/>
          <w:szCs w:val="18"/>
        </w:rPr>
      </w:pPr>
    </w:p>
  </w:footnote>
  <w:footnote w:id="3">
    <w:p w14:paraId="3B41A276" w14:textId="77777777" w:rsidR="00C06DC9" w:rsidRPr="006470DE" w:rsidRDefault="00C06DC9" w:rsidP="00C06DC9">
      <w:pPr>
        <w:pStyle w:val="Textonotapie"/>
        <w:ind w:firstLine="708"/>
        <w:jc w:val="both"/>
        <w:rPr>
          <w:rFonts w:ascii="Verdana" w:hAnsi="Verdana" w:cs="Arial"/>
          <w:sz w:val="18"/>
          <w:szCs w:val="18"/>
          <w:lang w:val="es-CO"/>
        </w:rPr>
      </w:pPr>
      <w:r w:rsidRPr="00FE755D">
        <w:rPr>
          <w:rStyle w:val="Refdenotaalpie"/>
          <w:rFonts w:ascii="Verdana" w:hAnsi="Verdana" w:cs="Arial"/>
          <w:sz w:val="18"/>
          <w:szCs w:val="18"/>
        </w:rPr>
        <w:footnoteRef/>
      </w:r>
      <w:r w:rsidRPr="00FE755D">
        <w:rPr>
          <w:rFonts w:ascii="Verdana" w:hAnsi="Verdana" w:cs="Arial"/>
          <w:sz w:val="18"/>
          <w:szCs w:val="18"/>
        </w:rPr>
        <w:t xml:space="preserve"> Corte Constitucional, Sentencia C- 1153 de 2005, M.P. Marco Gerardo Monroy Cabra. </w:t>
      </w:r>
      <w:r w:rsidRPr="00FE755D">
        <w:rPr>
          <w:rFonts w:ascii="Verdana" w:eastAsia="Times New Roman" w:hAnsi="Verdana" w:cs="Arial"/>
          <w:bCs/>
          <w:sz w:val="18"/>
          <w:szCs w:val="18"/>
          <w:lang w:eastAsia="es-CO"/>
        </w:rPr>
        <w:t xml:space="preserve">Así mismo, la Sala de Consulta y del Servicio Civil del Consejo de Estado, al referirse a los propósitos de la Ley de Garantías señaló lo siguiente: Los propósitos de la ley 996 de 2005 están encaminados a reducir los espacios de discrecionalidad, impedir la utilización de la burocracia para obtener respaldo de causas o campañas políticas, evitar la inversión de los recursos del erario para estos efectos, impedir que el Presidente en ejercicio, que aspire a ser reelegido, pueda ejercer ventajas frente a los demás candidatos, como también fortalecer la legitimidad y credibilidad del sistema político con garantía del ejercicio de las libertades públicas. El artículo 1º de la ley 996 delimita con claridad la finalidad de la misma y la centra en el establecimiento del marco legal destinado a asegurar, de manera terminante, la transparencia del debate electoral a la Presidencia de la República, mediante la garantía de la igualdad de condiciones para los candidatos. </w:t>
      </w:r>
      <w:r w:rsidRPr="006470DE">
        <w:rPr>
          <w:rFonts w:ascii="Verdana" w:eastAsia="Times New Roman" w:hAnsi="Verdana" w:cs="Arial"/>
          <w:bCs/>
          <w:sz w:val="18"/>
          <w:szCs w:val="18"/>
          <w:lang w:eastAsia="es-CO"/>
        </w:rPr>
        <w:t>(</w:t>
      </w:r>
      <w:r w:rsidRPr="006470DE">
        <w:rPr>
          <w:rStyle w:val="Refdenotaalpie"/>
          <w:rFonts w:ascii="Verdana" w:hAnsi="Verdana" w:cs="Arial"/>
          <w:sz w:val="18"/>
          <w:szCs w:val="18"/>
        </w:rPr>
        <w:t>Consejo de Estado. Sala de Consulta y del Servicio Civil, de fecha 20 de febrero de 2006. Radicado 1724. Concepto del. Magistrado Ponente: Flavio Augusto Rodríguez Arce</w:t>
      </w:r>
      <w:r w:rsidRPr="006470DE">
        <w:rPr>
          <w:rFonts w:ascii="Verdana" w:hAnsi="Verdana" w:cs="Arial"/>
          <w:sz w:val="18"/>
          <w:szCs w:val="18"/>
        </w:rPr>
        <w:t>)</w:t>
      </w:r>
      <w:r w:rsidRPr="006470DE">
        <w:rPr>
          <w:rStyle w:val="Refdenotaalpie"/>
          <w:rFonts w:ascii="Verdana" w:hAnsi="Verdana" w:cs="Arial"/>
          <w:sz w:val="18"/>
          <w:szCs w:val="18"/>
        </w:rPr>
        <w:t>.</w:t>
      </w:r>
    </w:p>
    <w:p w14:paraId="600259B7" w14:textId="77777777" w:rsidR="00C06DC9" w:rsidRPr="00FE755D" w:rsidRDefault="00C06DC9" w:rsidP="00C06DC9">
      <w:pPr>
        <w:pStyle w:val="Textonotapie"/>
        <w:ind w:firstLine="709"/>
        <w:jc w:val="both"/>
        <w:rPr>
          <w:rFonts w:ascii="Verdana" w:hAnsi="Verdana" w:cs="Arial"/>
          <w:sz w:val="18"/>
          <w:szCs w:val="18"/>
        </w:rPr>
      </w:pPr>
    </w:p>
  </w:footnote>
  <w:footnote w:id="4">
    <w:p w14:paraId="55389AF2" w14:textId="77777777" w:rsidR="00C06DC9" w:rsidRPr="004B35AC" w:rsidRDefault="00C06DC9" w:rsidP="00C06DC9">
      <w:pPr>
        <w:pStyle w:val="Textonotapie"/>
        <w:ind w:firstLine="709"/>
        <w:jc w:val="both"/>
        <w:rPr>
          <w:rFonts w:ascii="Verdana" w:hAnsi="Verdana" w:cs="Arial"/>
          <w:sz w:val="16"/>
          <w:szCs w:val="16"/>
          <w:lang w:val="pt-BR"/>
        </w:rPr>
      </w:pPr>
      <w:r w:rsidRPr="004B35AC">
        <w:rPr>
          <w:rStyle w:val="Refdenotaalpie"/>
          <w:rFonts w:ascii="Verdana" w:hAnsi="Verdana" w:cs="Arial"/>
          <w:sz w:val="16"/>
          <w:szCs w:val="16"/>
        </w:rPr>
        <w:footnoteRef/>
      </w:r>
      <w:r w:rsidRPr="004B35A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779D0B1B" w14:textId="77777777" w:rsidR="00C06DC9" w:rsidRPr="004B35AC" w:rsidRDefault="00C06DC9" w:rsidP="00C06DC9">
      <w:pPr>
        <w:pStyle w:val="Textonotapie"/>
        <w:ind w:firstLine="709"/>
        <w:jc w:val="both"/>
        <w:rPr>
          <w:rFonts w:ascii="Verdana" w:hAnsi="Verdana" w:cs="Arial"/>
          <w:sz w:val="16"/>
          <w:szCs w:val="16"/>
          <w:lang w:val="es-CO"/>
        </w:rPr>
      </w:pPr>
      <w:r w:rsidRPr="004B35AC">
        <w:rPr>
          <w:rStyle w:val="Refdenotaalpie"/>
          <w:rFonts w:ascii="Verdana" w:hAnsi="Verdana" w:cs="Arial"/>
          <w:sz w:val="16"/>
          <w:szCs w:val="16"/>
        </w:rPr>
        <w:footnoteRef/>
      </w:r>
      <w:r w:rsidRPr="004B35A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5EBFF8CD" w14:textId="77777777" w:rsidR="00C06DC9" w:rsidRPr="004B35AC" w:rsidRDefault="00C06DC9" w:rsidP="00C06DC9">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de fecha 24 de julio de 2013, radicado 2166, C. P. Álvaro Namén Vargas.  </w:t>
      </w:r>
    </w:p>
  </w:footnote>
  <w:footnote w:id="7">
    <w:p w14:paraId="05B8C331" w14:textId="77777777" w:rsidR="00C06DC9" w:rsidRPr="00FE755D" w:rsidRDefault="00C06DC9" w:rsidP="00C06DC9">
      <w:pPr>
        <w:spacing w:after="0" w:line="240" w:lineRule="auto"/>
        <w:ind w:firstLine="709"/>
        <w:jc w:val="both"/>
        <w:rPr>
          <w:rFonts w:ascii="Verdana" w:eastAsia="Times New Roman" w:hAnsi="Verdana" w:cs="Arial"/>
          <w:sz w:val="18"/>
          <w:szCs w:val="18"/>
        </w:rPr>
      </w:pPr>
      <w:r w:rsidRPr="00FE755D">
        <w:rPr>
          <w:rStyle w:val="Refdenotaalpie"/>
          <w:rFonts w:ascii="Verdana" w:hAnsi="Verdana" w:cs="Arial"/>
          <w:sz w:val="18"/>
          <w:szCs w:val="18"/>
        </w:rPr>
        <w:footnoteRef/>
      </w:r>
      <w:r w:rsidRPr="00FE755D">
        <w:rPr>
          <w:rFonts w:ascii="Verdana" w:hAnsi="Verdana" w:cs="Arial"/>
          <w:sz w:val="18"/>
          <w:szCs w:val="18"/>
        </w:rPr>
        <w:t xml:space="preserve"> </w:t>
      </w:r>
      <w:r w:rsidRPr="00FE755D">
        <w:rPr>
          <w:rFonts w:ascii="Verdana" w:eastAsia="Calibri" w:hAnsi="Verdana" w:cs="Arial"/>
          <w:bCs/>
          <w:color w:val="000000"/>
          <w:sz w:val="18"/>
          <w:szCs w:val="18"/>
        </w:rPr>
        <w:t>“</w:t>
      </w:r>
      <w:r w:rsidRPr="00FE755D">
        <w:rPr>
          <w:rFonts w:ascii="Verdana" w:eastAsia="Times New Roman" w:hAnsi="Verdana" w:cs="Arial"/>
          <w:sz w:val="18"/>
          <w:szCs w:val="18"/>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1C24E5CD" w14:textId="77777777" w:rsidR="00C06DC9" w:rsidRPr="00FE755D" w:rsidRDefault="00C06DC9" w:rsidP="00C06DC9">
      <w:pPr>
        <w:spacing w:before="120" w:after="0" w:line="240" w:lineRule="auto"/>
        <w:ind w:firstLine="709"/>
        <w:jc w:val="both"/>
        <w:rPr>
          <w:rFonts w:ascii="Verdana" w:eastAsia="Times New Roman" w:hAnsi="Verdana" w:cs="Arial"/>
          <w:sz w:val="18"/>
          <w:szCs w:val="18"/>
        </w:rPr>
      </w:pPr>
      <w:r w:rsidRPr="00FE755D">
        <w:rPr>
          <w:rFonts w:ascii="Verdana" w:eastAsia="Times New Roman" w:hAnsi="Verdana" w:cs="Arial"/>
          <w:sz w:val="18"/>
          <w:szCs w:val="18"/>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E755D">
        <w:rPr>
          <w:rFonts w:ascii="Verdana" w:eastAsia="Calibri" w:hAnsi="Verdana" w:cs="Arial"/>
          <w:bCs/>
          <w:color w:val="000000"/>
          <w:sz w:val="18"/>
          <w:szCs w:val="18"/>
        </w:rPr>
        <w:t>”</w:t>
      </w:r>
      <w:r w:rsidRPr="00FE755D">
        <w:rPr>
          <w:rFonts w:ascii="Verdana" w:eastAsia="Times New Roman" w:hAnsi="Verdana" w:cs="Arial"/>
          <w:sz w:val="18"/>
          <w:szCs w:val="18"/>
        </w:rPr>
        <w:t>.</w:t>
      </w:r>
    </w:p>
  </w:footnote>
  <w:footnote w:id="8">
    <w:p w14:paraId="4E90A963" w14:textId="77777777" w:rsidR="00C06DC9" w:rsidRPr="004B35AC" w:rsidRDefault="00C06DC9" w:rsidP="00C06DC9">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[25] </w:t>
      </w:r>
      <w:r w:rsidRPr="004B35AC">
        <w:rPr>
          <w:rFonts w:ascii="Verdana" w:hAnsi="Verdana" w:cs="Arial"/>
          <w:sz w:val="16"/>
          <w:szCs w:val="16"/>
        </w:rPr>
        <w:t>Cfr. Consejo de Estado. Sección Tercera. Sentencia de 3 de diciembre de 2007. Radicados: 24.715, 25.206, 25.409, 24.524, 27.834, 25.410, 26.105, 28.244, 31.447 -acumulados-“.</w:t>
      </w:r>
    </w:p>
  </w:footnote>
  <w:footnote w:id="9">
    <w:p w14:paraId="1EBF127C" w14:textId="77777777" w:rsidR="00C06DC9" w:rsidRPr="004B35AC" w:rsidRDefault="00C06DC9" w:rsidP="00C06DC9">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[26] </w:t>
      </w:r>
      <w:r w:rsidRPr="004B35AC">
        <w:rPr>
          <w:rFonts w:ascii="Verdana" w:hAnsi="Verdana" w:cs="Arial"/>
          <w:sz w:val="16"/>
          <w:szCs w:val="16"/>
        </w:rPr>
        <w:t>Al respecto ver el concepto 1712 de 2 de febrero de 2006. Consejo de Estado Sala de Consulta y Servicio Civil”.</w:t>
      </w:r>
    </w:p>
  </w:footnote>
  <w:footnote w:id="10">
    <w:p w14:paraId="2334D885" w14:textId="77777777" w:rsidR="00C06DC9" w:rsidRPr="004B35AC" w:rsidRDefault="00C06DC9" w:rsidP="00C06DC9">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1">
    <w:p w14:paraId="3D632602" w14:textId="77777777" w:rsidR="00C06DC9" w:rsidRPr="004B35AC" w:rsidRDefault="00C06DC9" w:rsidP="00C06DC9">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Artículo 2. </w:t>
      </w:r>
    </w:p>
  </w:footnote>
  <w:footnote w:id="12">
    <w:p w14:paraId="1FB5DD57" w14:textId="77777777" w:rsidR="00C06DC9" w:rsidRPr="004B35AC" w:rsidRDefault="00C06DC9" w:rsidP="00C06DC9">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i/>
          <w:sz w:val="16"/>
          <w:szCs w:val="16"/>
          <w:lang w:val="es-ES"/>
        </w:rPr>
        <w:t>Ídem</w:t>
      </w:r>
      <w:r w:rsidRPr="004B35AC">
        <w:rPr>
          <w:rFonts w:ascii="Verdana" w:hAnsi="Verdana" w:cs="Arial"/>
          <w:sz w:val="16"/>
          <w:szCs w:val="16"/>
          <w:lang w:val="es-ES"/>
        </w:rPr>
        <w:t>.</w:t>
      </w:r>
    </w:p>
  </w:footnote>
  <w:footnote w:id="13">
    <w:p w14:paraId="1EF91871" w14:textId="77777777" w:rsidR="00C06DC9" w:rsidRPr="004B35AC" w:rsidRDefault="00C06DC9" w:rsidP="00C06DC9">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Style w:val="Refdenotaalpie"/>
          <w:rFonts w:ascii="Verdana" w:hAnsi="Verdana" w:cs="Arial"/>
          <w:sz w:val="16"/>
          <w:szCs w:val="16"/>
        </w:rPr>
        <w:t xml:space="preserve"> </w:t>
      </w:r>
      <w:r w:rsidRPr="004B35AC">
        <w:rPr>
          <w:rFonts w:ascii="Verdana" w:hAnsi="Verdana" w:cs="Arial"/>
          <w:sz w:val="16"/>
          <w:szCs w:val="16"/>
          <w:lang w:val="es-ES"/>
        </w:rPr>
        <w:t xml:space="preserve">“[…] A este respecto, cabe recordar que el artículo 860 del Código de Comercio regula la licitación en el derecho privado”. </w:t>
      </w:r>
    </w:p>
  </w:footnote>
  <w:footnote w:id="14">
    <w:p w14:paraId="552B659D" w14:textId="77777777" w:rsidR="00C06DC9" w:rsidRPr="004B35AC" w:rsidRDefault="00C06DC9" w:rsidP="00C06DC9">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08 de mayo de 2018. Exp. 2.382. C.P. Álvaro Namén Vargas.</w:t>
      </w:r>
    </w:p>
  </w:footnote>
  <w:footnote w:id="15">
    <w:p w14:paraId="7CE62B92" w14:textId="77777777" w:rsidR="00C06DC9" w:rsidRPr="00FE755D" w:rsidRDefault="00C06DC9" w:rsidP="00C06DC9">
      <w:pPr>
        <w:pStyle w:val="NormalWeb"/>
        <w:spacing w:before="0" w:beforeAutospacing="0" w:after="0" w:afterAutospacing="0"/>
        <w:ind w:firstLine="709"/>
        <w:rPr>
          <w:rFonts w:ascii="Verdana" w:hAnsi="Verdana" w:cs="Arial"/>
          <w:sz w:val="18"/>
          <w:szCs w:val="18"/>
        </w:rPr>
      </w:pPr>
    </w:p>
    <w:p w14:paraId="252283B1" w14:textId="77777777" w:rsidR="00C06DC9" w:rsidRPr="00FE755D" w:rsidRDefault="00C06DC9" w:rsidP="00C06DC9">
      <w:pPr>
        <w:pStyle w:val="NormalWeb"/>
        <w:spacing w:before="0" w:beforeAutospacing="0" w:after="0" w:afterAutospacing="0"/>
        <w:ind w:firstLine="709"/>
        <w:rPr>
          <w:rFonts w:ascii="Verdana" w:hAnsi="Verdana" w:cs="Arial"/>
          <w:sz w:val="18"/>
          <w:szCs w:val="18"/>
          <w:lang w:val="es-MX"/>
        </w:rPr>
      </w:pPr>
      <w:r w:rsidRPr="00534E55">
        <w:rPr>
          <w:rStyle w:val="Refdenotaalpie"/>
          <w:rFonts w:ascii="Verdana" w:eastAsiaTheme="majorEastAsia" w:hAnsi="Verdana" w:cs="Arial"/>
          <w:sz w:val="18"/>
          <w:szCs w:val="18"/>
        </w:rPr>
        <w:footnoteRef/>
      </w:r>
      <w:r w:rsidRPr="00FE755D">
        <w:rPr>
          <w:rFonts w:ascii="Verdana" w:hAnsi="Verdana" w:cs="Arial"/>
          <w:sz w:val="18"/>
          <w:szCs w:val="18"/>
        </w:rPr>
        <w:t xml:space="preserve"> </w:t>
      </w:r>
      <w:r w:rsidRPr="00FE755D">
        <w:rPr>
          <w:rFonts w:ascii="Verdana" w:eastAsia="Calibri" w:hAnsi="Verdana" w:cs="Arial"/>
          <w:bCs/>
          <w:color w:val="000000"/>
          <w:sz w:val="18"/>
          <w:szCs w:val="18"/>
        </w:rPr>
        <w:t>“</w:t>
      </w:r>
      <w:r w:rsidRPr="00FE755D">
        <w:rPr>
          <w:rFonts w:ascii="Verdana" w:hAnsi="Verdana" w:cs="Arial"/>
          <w:sz w:val="18"/>
          <w:szCs w:val="18"/>
          <w:lang w:val="es-MX"/>
        </w:rPr>
        <w:t>Artículo 38. Prohibiciones para los servidores públicos. A los empleados del Estado les está prohibido:</w:t>
      </w:r>
    </w:p>
    <w:p w14:paraId="3822D652" w14:textId="77777777" w:rsidR="00C06DC9" w:rsidRPr="00FE755D" w:rsidRDefault="00C06DC9" w:rsidP="00C06DC9">
      <w:pPr>
        <w:pStyle w:val="NormalWeb"/>
        <w:spacing w:before="0" w:beforeAutospacing="0" w:after="0" w:afterAutospacing="0"/>
        <w:ind w:firstLine="709"/>
        <w:rPr>
          <w:rFonts w:ascii="Verdana" w:hAnsi="Verdana" w:cs="Arial"/>
          <w:sz w:val="18"/>
          <w:szCs w:val="18"/>
          <w:lang w:val="es-MX"/>
        </w:rPr>
      </w:pPr>
      <w:r w:rsidRPr="00FE755D">
        <w:rPr>
          <w:rFonts w:ascii="Verdana" w:hAnsi="Verdana" w:cs="Arial"/>
          <w:sz w:val="18"/>
          <w:szCs w:val="18"/>
          <w:lang w:val="es-MX"/>
        </w:rPr>
        <w:t>[…]</w:t>
      </w:r>
    </w:p>
    <w:p w14:paraId="2B84EA65" w14:textId="77777777" w:rsidR="00C06DC9" w:rsidRPr="00FE755D" w:rsidRDefault="00C06DC9" w:rsidP="00C06DC9">
      <w:pPr>
        <w:pStyle w:val="NormalWeb"/>
        <w:spacing w:before="0" w:beforeAutospacing="0" w:after="0" w:afterAutospacing="0"/>
        <w:ind w:firstLine="709"/>
        <w:rPr>
          <w:rFonts w:ascii="Verdana" w:hAnsi="Verdana" w:cs="Arial"/>
          <w:sz w:val="18"/>
          <w:szCs w:val="18"/>
          <w:lang w:val="es-MX"/>
        </w:rPr>
      </w:pPr>
      <w:r w:rsidRPr="00FE755D">
        <w:rPr>
          <w:rStyle w:val="baj"/>
          <w:rFonts w:ascii="Verdana" w:hAnsi="Verdana" w:cs="Arial"/>
          <w:sz w:val="18"/>
          <w:szCs w:val="18"/>
          <w:lang w:val="es-MX"/>
        </w:rPr>
        <w:t>Parágrafo.</w:t>
      </w:r>
      <w:r w:rsidRPr="00FE755D">
        <w:rPr>
          <w:rFonts w:ascii="Verdana" w:hAnsi="Verdana" w:cs="Arial"/>
          <w:sz w:val="18"/>
          <w:szCs w:val="18"/>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E755D">
        <w:rPr>
          <w:rFonts w:ascii="Verdana" w:eastAsia="Calibri" w:hAnsi="Verdana" w:cs="Arial"/>
          <w:bCs/>
          <w:color w:val="000000"/>
          <w:sz w:val="18"/>
          <w:szCs w:val="18"/>
        </w:rPr>
        <w:t>”</w:t>
      </w:r>
      <w:r w:rsidRPr="00FE755D">
        <w:rPr>
          <w:rFonts w:ascii="Verdana" w:hAnsi="Verdana" w:cs="Arial"/>
          <w:sz w:val="18"/>
          <w:szCs w:val="18"/>
          <w:lang w:val="es-MX"/>
        </w:rPr>
        <w:t>.</w:t>
      </w:r>
    </w:p>
  </w:footnote>
  <w:footnote w:id="16">
    <w:p w14:paraId="25210008" w14:textId="77777777" w:rsidR="00C06DC9" w:rsidRPr="00FE755D" w:rsidRDefault="00C06DC9" w:rsidP="00C06DC9">
      <w:pPr>
        <w:spacing w:after="0" w:line="240" w:lineRule="auto"/>
        <w:ind w:firstLine="709"/>
        <w:jc w:val="both"/>
        <w:rPr>
          <w:rFonts w:ascii="Verdana" w:hAnsi="Verdana" w:cs="Arial"/>
          <w:sz w:val="18"/>
          <w:szCs w:val="18"/>
        </w:rPr>
      </w:pPr>
    </w:p>
    <w:p w14:paraId="7E0AF67D" w14:textId="77777777" w:rsidR="00C06DC9" w:rsidRPr="00FE755D" w:rsidRDefault="00C06DC9" w:rsidP="00C06DC9">
      <w:pPr>
        <w:spacing w:after="0" w:line="240" w:lineRule="auto"/>
        <w:ind w:firstLine="709"/>
        <w:jc w:val="both"/>
        <w:rPr>
          <w:rFonts w:ascii="Verdana" w:hAnsi="Verdana" w:cs="Arial"/>
          <w:sz w:val="18"/>
          <w:szCs w:val="18"/>
          <w:lang w:val="es-ES"/>
        </w:rPr>
      </w:pPr>
      <w:r w:rsidRPr="00FE755D">
        <w:rPr>
          <w:rStyle w:val="Refdenotaalpie"/>
          <w:rFonts w:ascii="Verdana" w:hAnsi="Verdana" w:cs="Arial"/>
          <w:sz w:val="18"/>
          <w:szCs w:val="18"/>
        </w:rPr>
        <w:footnoteRef/>
      </w:r>
      <w:r w:rsidRPr="00FE755D">
        <w:rPr>
          <w:rFonts w:ascii="Verdana" w:hAnsi="Verdana" w:cs="Arial"/>
          <w:sz w:val="18"/>
          <w:szCs w:val="18"/>
        </w:rPr>
        <w:t xml:space="preserve"> Consejo de Estado. Sala de Consulta y Servicio Civil. Concepto del 17 de febrero de 2015. C.P. William Zambrano Cetina. Radicación No. 11001-03-06-000-2015-00164-00(2269).</w:t>
      </w:r>
    </w:p>
  </w:footnote>
  <w:footnote w:id="17">
    <w:p w14:paraId="059F1379" w14:textId="77777777" w:rsidR="00C06DC9" w:rsidRPr="00FE755D" w:rsidRDefault="00C06DC9" w:rsidP="00C06DC9">
      <w:pPr>
        <w:spacing w:after="0" w:line="240" w:lineRule="auto"/>
        <w:ind w:firstLine="709"/>
        <w:contextualSpacing/>
        <w:jc w:val="both"/>
        <w:rPr>
          <w:rFonts w:ascii="Verdana" w:hAnsi="Verdana" w:cs="Arial"/>
          <w:sz w:val="18"/>
          <w:szCs w:val="18"/>
        </w:rPr>
      </w:pPr>
      <w:r w:rsidRPr="00FE755D">
        <w:rPr>
          <w:rStyle w:val="Refdenotaalpie"/>
          <w:rFonts w:ascii="Verdana" w:hAnsi="Verdana" w:cs="Arial"/>
          <w:sz w:val="18"/>
          <w:szCs w:val="18"/>
        </w:rPr>
        <w:footnoteRef/>
      </w:r>
      <w:r w:rsidRPr="00FE755D">
        <w:rPr>
          <w:rFonts w:ascii="Verdana" w:hAnsi="Verdana" w:cs="Arial"/>
          <w:sz w:val="18"/>
          <w:szCs w:val="18"/>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FE755D">
        <w:rPr>
          <w:rFonts w:ascii="Verdana" w:hAnsi="Verdana" w:cs="Arial"/>
          <w:spacing w:val="-6"/>
          <w:sz w:val="18"/>
          <w:szCs w:val="18"/>
        </w:rPr>
        <w:t xml:space="preserve"> </w:t>
      </w:r>
      <w:r w:rsidRPr="00FE755D">
        <w:rPr>
          <w:rFonts w:ascii="Verdana" w:hAnsi="Verdana" w:cs="Arial"/>
          <w:sz w:val="18"/>
          <w:szCs w:val="18"/>
        </w:rPr>
        <w:t>artículo”.</w:t>
      </w:r>
    </w:p>
  </w:footnote>
  <w:footnote w:id="18">
    <w:p w14:paraId="42BAB863" w14:textId="77777777" w:rsidR="00C06DC9" w:rsidRPr="00FE755D" w:rsidRDefault="00C06DC9" w:rsidP="00C06DC9">
      <w:pPr>
        <w:pStyle w:val="Textonotapie"/>
        <w:ind w:firstLine="708"/>
        <w:contextualSpacing/>
        <w:jc w:val="both"/>
        <w:rPr>
          <w:rFonts w:ascii="Verdana" w:hAnsi="Verdana" w:cs="Arial"/>
          <w:sz w:val="18"/>
          <w:szCs w:val="18"/>
        </w:rPr>
      </w:pPr>
      <w:r w:rsidRPr="00FE755D">
        <w:rPr>
          <w:rStyle w:val="Refdenotaalpie"/>
          <w:rFonts w:ascii="Verdana" w:hAnsi="Verdana" w:cs="Arial"/>
          <w:sz w:val="18"/>
          <w:szCs w:val="18"/>
        </w:rPr>
        <w:footnoteRef/>
      </w:r>
      <w:r w:rsidRPr="00FE755D">
        <w:rPr>
          <w:rFonts w:ascii="Verdana" w:hAnsi="Verdana" w:cs="Arial"/>
          <w:sz w:val="18"/>
          <w:szCs w:val="18"/>
        </w:rPr>
        <w:t xml:space="preserve"> Lo anterior, salvo que se traten de organismos internacionales que se rijan por normas internacionales y se financien con cargo a recursos de esos organismos (Cfr. Colombia Compra Eficiente. Concepto C-559 del 31 de agosto de 2021). </w:t>
      </w:r>
    </w:p>
  </w:footnote>
  <w:footnote w:id="19">
    <w:p w14:paraId="104086FC" w14:textId="77777777" w:rsidR="00C06DC9" w:rsidRPr="00FE755D" w:rsidRDefault="00C06DC9" w:rsidP="00C06DC9">
      <w:pPr>
        <w:pStyle w:val="Textonotapie"/>
        <w:ind w:firstLine="708"/>
        <w:contextualSpacing/>
        <w:jc w:val="both"/>
        <w:rPr>
          <w:rFonts w:ascii="Verdana" w:hAnsi="Verdana" w:cs="Arial"/>
          <w:sz w:val="18"/>
          <w:szCs w:val="18"/>
        </w:rPr>
      </w:pPr>
      <w:r w:rsidRPr="00FE755D">
        <w:rPr>
          <w:rStyle w:val="Refdenotaalpie"/>
          <w:rFonts w:ascii="Verdana" w:hAnsi="Verdana" w:cs="Arial"/>
          <w:sz w:val="18"/>
          <w:szCs w:val="18"/>
        </w:rPr>
        <w:footnoteRef/>
      </w:r>
      <w:r w:rsidRPr="00FE755D">
        <w:rPr>
          <w:rFonts w:ascii="Verdana" w:hAnsi="Verdana" w:cs="Arial"/>
          <w:sz w:val="18"/>
          <w:szCs w:val="18"/>
        </w:rPr>
        <w:t xml:space="preserve"> Consejo de Estado. Sala de Consulta y Servicio Civil. Concepto del 15 de noviembre de 2007. Expediente número 1863. Consejero Ponente: Luis Fernando Álvarez Jaramillo.</w:t>
      </w:r>
    </w:p>
    <w:p w14:paraId="16871CEF" w14:textId="77777777" w:rsidR="00C06DC9" w:rsidRPr="00FE755D" w:rsidRDefault="00C06DC9" w:rsidP="00C06DC9">
      <w:pPr>
        <w:pStyle w:val="Textonotapie"/>
        <w:ind w:firstLine="709"/>
        <w:contextualSpacing/>
        <w:jc w:val="both"/>
        <w:rPr>
          <w:rFonts w:ascii="Verdana" w:hAnsi="Verdana" w:cs="Arial"/>
          <w:sz w:val="18"/>
          <w:szCs w:val="18"/>
        </w:rPr>
      </w:pPr>
    </w:p>
  </w:footnote>
  <w:footnote w:id="20">
    <w:p w14:paraId="586DB6D1" w14:textId="77777777" w:rsidR="00C06DC9" w:rsidRDefault="00C06DC9" w:rsidP="00C06DC9">
      <w:pPr>
        <w:pStyle w:val="Textonotapie"/>
        <w:ind w:firstLine="708"/>
        <w:contextualSpacing/>
        <w:jc w:val="both"/>
        <w:rPr>
          <w:rFonts w:ascii="Verdana" w:hAnsi="Verdana" w:cs="Arial"/>
          <w:sz w:val="18"/>
          <w:szCs w:val="18"/>
        </w:rPr>
      </w:pPr>
      <w:r w:rsidRPr="00FE755D">
        <w:rPr>
          <w:rStyle w:val="Refdenotaalpie"/>
          <w:rFonts w:ascii="Verdana" w:hAnsi="Verdana" w:cs="Arial"/>
          <w:sz w:val="18"/>
          <w:szCs w:val="18"/>
        </w:rPr>
        <w:footnoteRef/>
      </w:r>
      <w:r w:rsidRPr="00FE755D">
        <w:rPr>
          <w:rFonts w:ascii="Verdana" w:hAnsi="Verdana" w:cs="Arial"/>
          <w:sz w:val="18"/>
          <w:szCs w:val="18"/>
        </w:rPr>
        <w:t xml:space="preserve"> Es lo que sucede, por ejemplo, con el Decreto 092 de 2017, que en su desarrollo hace referencia tanto a los “contratos” como a los “convenios”.</w:t>
      </w:r>
    </w:p>
    <w:p w14:paraId="040B6066" w14:textId="77777777" w:rsidR="00C06DC9" w:rsidRPr="00FE755D" w:rsidRDefault="00C06DC9" w:rsidP="00C06DC9">
      <w:pPr>
        <w:pStyle w:val="Textonotapie"/>
        <w:ind w:firstLine="708"/>
        <w:contextualSpacing/>
        <w:jc w:val="both"/>
        <w:rPr>
          <w:rFonts w:ascii="Verdana" w:hAnsi="Verdana" w:cs="Arial"/>
          <w:sz w:val="18"/>
          <w:szCs w:val="18"/>
        </w:rPr>
      </w:pPr>
    </w:p>
  </w:footnote>
  <w:footnote w:id="21">
    <w:p w14:paraId="437DCED2" w14:textId="77777777" w:rsidR="00C06DC9" w:rsidRPr="00FE755D" w:rsidRDefault="00C06DC9" w:rsidP="00C06DC9">
      <w:pPr>
        <w:pStyle w:val="Textonotapie"/>
        <w:ind w:firstLine="708"/>
        <w:contextualSpacing/>
        <w:jc w:val="both"/>
        <w:rPr>
          <w:rFonts w:ascii="Verdana" w:hAnsi="Verdana" w:cs="Arial"/>
          <w:sz w:val="18"/>
          <w:szCs w:val="18"/>
          <w:lang w:val="pt-BR"/>
        </w:rPr>
      </w:pPr>
      <w:r w:rsidRPr="00FE755D">
        <w:rPr>
          <w:rStyle w:val="Refdenotaalpie"/>
          <w:rFonts w:ascii="Verdana" w:hAnsi="Verdana" w:cs="Arial"/>
          <w:sz w:val="18"/>
          <w:szCs w:val="18"/>
        </w:rPr>
        <w:footnoteRef/>
      </w:r>
      <w:r w:rsidRPr="00FE755D">
        <w:rPr>
          <w:rFonts w:ascii="Verdana" w:hAnsi="Verdana" w:cs="Arial"/>
          <w:sz w:val="18"/>
          <w:szCs w:val="18"/>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FE755D">
        <w:rPr>
          <w:rFonts w:ascii="Verdana" w:hAnsi="Verdana" w:cs="Arial"/>
          <w:sz w:val="18"/>
          <w:szCs w:val="18"/>
          <w:lang w:val="pt-BR"/>
        </w:rPr>
        <w:t>(Corte Constitucional. Sentencia C-671 de 2015. M.P. Alberto Rojas Ríos).</w:t>
      </w:r>
    </w:p>
  </w:footnote>
  <w:footnote w:id="22">
    <w:p w14:paraId="4C7416BF" w14:textId="77777777" w:rsidR="00C06DC9" w:rsidRPr="00FE755D" w:rsidRDefault="00C06DC9" w:rsidP="00C06DC9">
      <w:pPr>
        <w:pStyle w:val="Textonotapie"/>
        <w:ind w:firstLine="708"/>
        <w:jc w:val="both"/>
        <w:rPr>
          <w:rFonts w:ascii="Verdana" w:hAnsi="Verdana" w:cs="Arial"/>
          <w:sz w:val="18"/>
          <w:szCs w:val="18"/>
        </w:rPr>
      </w:pPr>
      <w:r w:rsidRPr="00FE755D">
        <w:rPr>
          <w:rStyle w:val="Refdenotaalpie"/>
          <w:rFonts w:ascii="Verdana" w:hAnsi="Verdana" w:cs="Arial"/>
          <w:sz w:val="18"/>
          <w:szCs w:val="18"/>
        </w:rPr>
        <w:footnoteRef/>
      </w:r>
      <w:r w:rsidRPr="00FE755D">
        <w:rPr>
          <w:rFonts w:ascii="Verdana" w:hAnsi="Verdana" w:cs="Arial"/>
          <w:sz w:val="18"/>
          <w:szCs w:val="18"/>
        </w:rPr>
        <w:t xml:space="preserve"> Colombia Compra Eficiente. Circular Externa Única. Numeral 16.5.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969AB" w14:textId="77777777" w:rsidR="00C06DC9" w:rsidRDefault="00C06DC9"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3FCC4BBC" wp14:editId="1B8240CB">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EFC68E3" wp14:editId="6450AEB2">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4777526" w14:textId="77777777" w:rsidR="00C06DC9" w:rsidRDefault="00C06DC9">
    <w:pPr>
      <w:pStyle w:val="Encabezado"/>
    </w:pPr>
  </w:p>
  <w:p w14:paraId="35D61D34" w14:textId="77777777" w:rsidR="00C06DC9" w:rsidRPr="004A305D" w:rsidRDefault="00C06DC9" w:rsidP="00B01B1A">
    <w:pPr>
      <w:spacing w:after="0" w:line="120" w:lineRule="auto"/>
      <w:rPr>
        <w:rFonts w:ascii="Century Gothic" w:eastAsia="Geo" w:hAnsi="Century Gothic" w:cs="Geo"/>
        <w:sz w:val="16"/>
        <w:szCs w:val="16"/>
        <w:lang w:eastAsia="es-CO"/>
      </w:rPr>
    </w:pPr>
  </w:p>
  <w:p w14:paraId="722B2B08" w14:textId="77777777" w:rsidR="00C06DC9" w:rsidRDefault="00C06DC9" w:rsidP="00844AE9">
    <w:pPr>
      <w:spacing w:after="0" w:line="240" w:lineRule="auto"/>
      <w:rPr>
        <w:rFonts w:ascii="Verdana" w:hAnsi="Verdana"/>
        <w:sz w:val="24"/>
        <w:szCs w:val="24"/>
      </w:rPr>
    </w:pPr>
  </w:p>
  <w:p w14:paraId="7D1EB542" w14:textId="77777777" w:rsidR="00C06DC9" w:rsidRPr="00C925AC" w:rsidRDefault="00C06DC9" w:rsidP="00844AE9">
    <w:pPr>
      <w:spacing w:after="0" w:line="240" w:lineRule="auto"/>
      <w:rPr>
        <w:rFonts w:ascii="Verdana" w:hAnsi="Verdana"/>
        <w:sz w:val="24"/>
        <w:szCs w:val="24"/>
      </w:rPr>
    </w:pPr>
  </w:p>
  <w:p w14:paraId="1E1C9FC9" w14:textId="77777777" w:rsidR="00C06DC9" w:rsidRPr="00C925AC" w:rsidRDefault="00C06DC9"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368C0"/>
    <w:multiLevelType w:val="hybridMultilevel"/>
    <w:tmpl w:val="A8A09D48"/>
    <w:lvl w:ilvl="0" w:tplc="240A0003">
      <w:start w:val="1"/>
      <w:numFmt w:val="bullet"/>
      <w:lvlText w:val="o"/>
      <w:lvlJc w:val="left"/>
      <w:pPr>
        <w:ind w:left="1503" w:hanging="360"/>
      </w:pPr>
      <w:rPr>
        <w:rFonts w:ascii="Courier New" w:hAnsi="Courier New" w:cs="Courier New" w:hint="default"/>
      </w:rPr>
    </w:lvl>
    <w:lvl w:ilvl="1" w:tplc="240A0003" w:tentative="1">
      <w:start w:val="1"/>
      <w:numFmt w:val="bullet"/>
      <w:lvlText w:val="o"/>
      <w:lvlJc w:val="left"/>
      <w:pPr>
        <w:ind w:left="2223" w:hanging="360"/>
      </w:pPr>
      <w:rPr>
        <w:rFonts w:ascii="Courier New" w:hAnsi="Courier New" w:cs="Courier New" w:hint="default"/>
      </w:rPr>
    </w:lvl>
    <w:lvl w:ilvl="2" w:tplc="240A0005" w:tentative="1">
      <w:start w:val="1"/>
      <w:numFmt w:val="bullet"/>
      <w:lvlText w:val=""/>
      <w:lvlJc w:val="left"/>
      <w:pPr>
        <w:ind w:left="2943" w:hanging="360"/>
      </w:pPr>
      <w:rPr>
        <w:rFonts w:ascii="Wingdings" w:hAnsi="Wingdings" w:hint="default"/>
      </w:rPr>
    </w:lvl>
    <w:lvl w:ilvl="3" w:tplc="240A0001" w:tentative="1">
      <w:start w:val="1"/>
      <w:numFmt w:val="bullet"/>
      <w:lvlText w:val=""/>
      <w:lvlJc w:val="left"/>
      <w:pPr>
        <w:ind w:left="3663" w:hanging="360"/>
      </w:pPr>
      <w:rPr>
        <w:rFonts w:ascii="Symbol" w:hAnsi="Symbol" w:hint="default"/>
      </w:rPr>
    </w:lvl>
    <w:lvl w:ilvl="4" w:tplc="240A0003" w:tentative="1">
      <w:start w:val="1"/>
      <w:numFmt w:val="bullet"/>
      <w:lvlText w:val="o"/>
      <w:lvlJc w:val="left"/>
      <w:pPr>
        <w:ind w:left="4383" w:hanging="360"/>
      </w:pPr>
      <w:rPr>
        <w:rFonts w:ascii="Courier New" w:hAnsi="Courier New" w:cs="Courier New" w:hint="default"/>
      </w:rPr>
    </w:lvl>
    <w:lvl w:ilvl="5" w:tplc="240A0005" w:tentative="1">
      <w:start w:val="1"/>
      <w:numFmt w:val="bullet"/>
      <w:lvlText w:val=""/>
      <w:lvlJc w:val="left"/>
      <w:pPr>
        <w:ind w:left="5103" w:hanging="360"/>
      </w:pPr>
      <w:rPr>
        <w:rFonts w:ascii="Wingdings" w:hAnsi="Wingdings" w:hint="default"/>
      </w:rPr>
    </w:lvl>
    <w:lvl w:ilvl="6" w:tplc="240A0001" w:tentative="1">
      <w:start w:val="1"/>
      <w:numFmt w:val="bullet"/>
      <w:lvlText w:val=""/>
      <w:lvlJc w:val="left"/>
      <w:pPr>
        <w:ind w:left="5823" w:hanging="360"/>
      </w:pPr>
      <w:rPr>
        <w:rFonts w:ascii="Symbol" w:hAnsi="Symbol" w:hint="default"/>
      </w:rPr>
    </w:lvl>
    <w:lvl w:ilvl="7" w:tplc="240A0003" w:tentative="1">
      <w:start w:val="1"/>
      <w:numFmt w:val="bullet"/>
      <w:lvlText w:val="o"/>
      <w:lvlJc w:val="left"/>
      <w:pPr>
        <w:ind w:left="6543" w:hanging="360"/>
      </w:pPr>
      <w:rPr>
        <w:rFonts w:ascii="Courier New" w:hAnsi="Courier New" w:cs="Courier New" w:hint="default"/>
      </w:rPr>
    </w:lvl>
    <w:lvl w:ilvl="8" w:tplc="240A0005" w:tentative="1">
      <w:start w:val="1"/>
      <w:numFmt w:val="bullet"/>
      <w:lvlText w:val=""/>
      <w:lvlJc w:val="left"/>
      <w:pPr>
        <w:ind w:left="7263" w:hanging="360"/>
      </w:pPr>
      <w:rPr>
        <w:rFonts w:ascii="Wingdings" w:hAnsi="Wingdings" w:hint="default"/>
      </w:r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1"/>
  </w:num>
  <w:num w:numId="2" w16cid:durableId="20963972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DC9"/>
    <w:rsid w:val="00311B20"/>
    <w:rsid w:val="0033261D"/>
    <w:rsid w:val="00720BDC"/>
    <w:rsid w:val="00C06DC9"/>
    <w:rsid w:val="00C33F7C"/>
    <w:rsid w:val="00DA621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2C269"/>
  <w15:chartTrackingRefBased/>
  <w15:docId w15:val="{59495D05-F3A8-4109-907D-9D21D7E8A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6DC9"/>
    <w:pPr>
      <w:spacing w:line="259" w:lineRule="auto"/>
    </w:pPr>
    <w:rPr>
      <w:kern w:val="0"/>
      <w:sz w:val="22"/>
      <w:szCs w:val="22"/>
      <w14:ligatures w14:val="none"/>
    </w:rPr>
  </w:style>
  <w:style w:type="paragraph" w:styleId="Ttulo1">
    <w:name w:val="heading 1"/>
    <w:basedOn w:val="Normal"/>
    <w:next w:val="Normal"/>
    <w:link w:val="Ttulo1Car"/>
    <w:uiPriority w:val="9"/>
    <w:qFormat/>
    <w:rsid w:val="00C06D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C06D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06DC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06DC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06DC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06DC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06DC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06DC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06DC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06DC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C06DC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C06DC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06DC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06DC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06DC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06DC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06DC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06DC9"/>
    <w:rPr>
      <w:rFonts w:eastAsiaTheme="majorEastAsia" w:cstheme="majorBidi"/>
      <w:color w:val="272727" w:themeColor="text1" w:themeTint="D8"/>
    </w:rPr>
  </w:style>
  <w:style w:type="paragraph" w:styleId="Ttulo">
    <w:name w:val="Title"/>
    <w:basedOn w:val="Normal"/>
    <w:next w:val="Normal"/>
    <w:link w:val="TtuloCar"/>
    <w:uiPriority w:val="10"/>
    <w:qFormat/>
    <w:rsid w:val="00C06D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06DC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06DC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06DC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06DC9"/>
    <w:pPr>
      <w:spacing w:before="160"/>
      <w:jc w:val="center"/>
    </w:pPr>
    <w:rPr>
      <w:i/>
      <w:iCs/>
      <w:color w:val="404040" w:themeColor="text1" w:themeTint="BF"/>
    </w:rPr>
  </w:style>
  <w:style w:type="character" w:customStyle="1" w:styleId="CitaCar">
    <w:name w:val="Cita Car"/>
    <w:basedOn w:val="Fuentedeprrafopredeter"/>
    <w:link w:val="Cita"/>
    <w:uiPriority w:val="29"/>
    <w:rsid w:val="00C06DC9"/>
    <w:rPr>
      <w:i/>
      <w:iCs/>
      <w:color w:val="404040" w:themeColor="text1" w:themeTint="BF"/>
    </w:rPr>
  </w:style>
  <w:style w:type="paragraph" w:styleId="Prrafodelista">
    <w:name w:val="List Paragraph"/>
    <w:basedOn w:val="Normal"/>
    <w:uiPriority w:val="34"/>
    <w:qFormat/>
    <w:rsid w:val="00C06DC9"/>
    <w:pPr>
      <w:ind w:left="720"/>
      <w:contextualSpacing/>
    </w:pPr>
  </w:style>
  <w:style w:type="character" w:styleId="nfasisintenso">
    <w:name w:val="Intense Emphasis"/>
    <w:basedOn w:val="Fuentedeprrafopredeter"/>
    <w:uiPriority w:val="21"/>
    <w:qFormat/>
    <w:rsid w:val="00C06DC9"/>
    <w:rPr>
      <w:i/>
      <w:iCs/>
      <w:color w:val="0F4761" w:themeColor="accent1" w:themeShade="BF"/>
    </w:rPr>
  </w:style>
  <w:style w:type="paragraph" w:styleId="Citadestacada">
    <w:name w:val="Intense Quote"/>
    <w:basedOn w:val="Normal"/>
    <w:next w:val="Normal"/>
    <w:link w:val="CitadestacadaCar"/>
    <w:uiPriority w:val="30"/>
    <w:qFormat/>
    <w:rsid w:val="00C06D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06DC9"/>
    <w:rPr>
      <w:i/>
      <w:iCs/>
      <w:color w:val="0F4761" w:themeColor="accent1" w:themeShade="BF"/>
    </w:rPr>
  </w:style>
  <w:style w:type="character" w:styleId="Referenciaintensa">
    <w:name w:val="Intense Reference"/>
    <w:basedOn w:val="Fuentedeprrafopredeter"/>
    <w:uiPriority w:val="32"/>
    <w:qFormat/>
    <w:rsid w:val="00C06DC9"/>
    <w:rPr>
      <w:b/>
      <w:bCs/>
      <w:smallCaps/>
      <w:color w:val="0F4761" w:themeColor="accent1" w:themeShade="BF"/>
      <w:spacing w:val="5"/>
    </w:rPr>
  </w:style>
  <w:style w:type="paragraph" w:styleId="Encabezado">
    <w:name w:val="header"/>
    <w:basedOn w:val="Normal"/>
    <w:link w:val="EncabezadoCar"/>
    <w:uiPriority w:val="99"/>
    <w:unhideWhenUsed/>
    <w:rsid w:val="00C06DC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6DC9"/>
    <w:rPr>
      <w:kern w:val="0"/>
      <w:sz w:val="22"/>
      <w:szCs w:val="22"/>
      <w14:ligatures w14:val="none"/>
    </w:rPr>
  </w:style>
  <w:style w:type="paragraph" w:styleId="Piedepgina">
    <w:name w:val="footer"/>
    <w:basedOn w:val="Normal"/>
    <w:link w:val="PiedepginaCar"/>
    <w:uiPriority w:val="99"/>
    <w:unhideWhenUsed/>
    <w:rsid w:val="00C06DC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6DC9"/>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C06DC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C06DC9"/>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C06DC9"/>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C06DC9"/>
    <w:rPr>
      <w:vertAlign w:val="superscript"/>
    </w:rPr>
  </w:style>
  <w:style w:type="table" w:styleId="Tablaconcuadrcula">
    <w:name w:val="Table Grid"/>
    <w:basedOn w:val="Tablanormal"/>
    <w:uiPriority w:val="39"/>
    <w:qFormat/>
    <w:rsid w:val="00C06DC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ar"/>
    <w:uiPriority w:val="99"/>
    <w:unhideWhenUsed/>
    <w:rsid w:val="00C06DC9"/>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C06DC9"/>
    <w:pPr>
      <w:spacing w:line="240" w:lineRule="exact"/>
    </w:pPr>
    <w:rPr>
      <w:kern w:val="2"/>
      <w:sz w:val="24"/>
      <w:szCs w:val="24"/>
      <w:vertAlign w:val="superscript"/>
      <w14:ligatures w14:val="standardContextual"/>
    </w:rPr>
  </w:style>
  <w:style w:type="table" w:customStyle="1" w:styleId="Tablaconcuadrcula11">
    <w:name w:val="Tabla con cuadrícula11"/>
    <w:basedOn w:val="Tablanormal"/>
    <w:next w:val="Tablaconcuadrcula"/>
    <w:uiPriority w:val="59"/>
    <w:qFormat/>
    <w:rsid w:val="00C06DC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link w:val="NormalWeb"/>
    <w:uiPriority w:val="99"/>
    <w:locked/>
    <w:rsid w:val="00C06DC9"/>
    <w:rPr>
      <w:rFonts w:ascii="Times New Roman" w:eastAsia="Times New Roman" w:hAnsi="Times New Roman" w:cs="Times New Roman"/>
      <w:kern w:val="0"/>
      <w:lang w:eastAsia="es-CO"/>
      <w14:ligatures w14:val="none"/>
    </w:rPr>
  </w:style>
  <w:style w:type="character" w:customStyle="1" w:styleId="baj">
    <w:name w:val="b_aj"/>
    <w:basedOn w:val="Fuentedeprrafopredeter"/>
    <w:rsid w:val="00C06D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ango212@hot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C12DCEF-FFCB-40BE-A0B7-AE26C2C774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BFA48F-805A-4E81-9ABD-576DCA787747}">
  <ds:schemaRefs>
    <ds:schemaRef ds:uri="http://schemas.microsoft.com/sharepoint/v3/contenttype/forms"/>
  </ds:schemaRefs>
</ds:datastoreItem>
</file>

<file path=customXml/itemProps3.xml><?xml version="1.0" encoding="utf-8"?>
<ds:datastoreItem xmlns:ds="http://schemas.openxmlformats.org/officeDocument/2006/customXml" ds:itemID="{9099F7AE-45EA-46DF-A5C4-1383FF59B2C4}">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18</Pages>
  <Words>5744</Words>
  <Characters>31367</Characters>
  <Application>Microsoft Office Word</Application>
  <DocSecurity>0</DocSecurity>
  <Lines>603</Lines>
  <Paragraphs>124</Paragraphs>
  <ScaleCrop>false</ScaleCrop>
  <Company/>
  <LinksUpToDate>false</LinksUpToDate>
  <CharactersWithSpaces>36987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3</cp:revision>
  <dcterms:created xsi:type="dcterms:W3CDTF">2026-03-16T19:16:00Z</dcterms:created>
  <dcterms:modified xsi:type="dcterms:W3CDTF">2026-03-16T19:17:00Z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