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BED34" w14:textId="1B134FFE" w:rsidR="00830F57" w:rsidRPr="009D1A3E" w:rsidRDefault="00830F57" w:rsidP="009D1A3E">
      <w:pPr>
        <w:snapToGrid w:val="0"/>
        <w:spacing w:after="0" w:line="240" w:lineRule="auto"/>
        <w:contextualSpacing/>
        <w:jc w:val="both"/>
        <w:rPr>
          <w:rFonts w:ascii="Verdana" w:eastAsia="Calibri" w:hAnsi="Verdana" w:cs="Arial"/>
          <w:b/>
          <w:bCs/>
          <w:lang w:val="es-ES"/>
        </w:rPr>
      </w:pPr>
      <w:r w:rsidRPr="009D1A3E">
        <w:rPr>
          <w:rFonts w:ascii="Verdana" w:eastAsia="Calibri" w:hAnsi="Verdana" w:cs="Arial"/>
          <w:b/>
          <w:bCs/>
          <w:lang w:val="es-ES"/>
        </w:rPr>
        <w:t>CONTRATO DE PRESTACIÓN DE SERVICIOS – Definición</w:t>
      </w:r>
    </w:p>
    <w:p w14:paraId="0737B2B8" w14:textId="77777777" w:rsidR="00830F57" w:rsidRPr="009D1A3E" w:rsidRDefault="00830F57" w:rsidP="009D1A3E">
      <w:pPr>
        <w:snapToGrid w:val="0"/>
        <w:spacing w:after="0" w:line="240" w:lineRule="auto"/>
        <w:contextualSpacing/>
        <w:jc w:val="both"/>
        <w:rPr>
          <w:rFonts w:ascii="Verdana" w:eastAsia="Calibri" w:hAnsi="Verdana" w:cs="Arial"/>
          <w:sz w:val="20"/>
          <w:szCs w:val="20"/>
          <w:lang w:val="es-ES"/>
        </w:rPr>
      </w:pPr>
    </w:p>
    <w:p w14:paraId="78A07924" w14:textId="77777777" w:rsidR="00830F57" w:rsidRPr="009D1A3E" w:rsidRDefault="00830F57" w:rsidP="009D1A3E">
      <w:pPr>
        <w:widowControl w:val="0"/>
        <w:autoSpaceDE w:val="0"/>
        <w:autoSpaceDN w:val="0"/>
        <w:snapToGrid w:val="0"/>
        <w:spacing w:after="0" w:line="240" w:lineRule="auto"/>
        <w:contextualSpacing/>
        <w:jc w:val="both"/>
        <w:rPr>
          <w:rFonts w:ascii="Verdana" w:hAnsi="Verdana" w:cs="Arial"/>
          <w:sz w:val="20"/>
          <w:szCs w:val="20"/>
        </w:rPr>
      </w:pPr>
      <w:r w:rsidRPr="009D1A3E">
        <w:rPr>
          <w:rFonts w:ascii="Verdana" w:eastAsia="Century Gothic" w:hAnsi="Verdana" w:cs="Century Gothic"/>
          <w:color w:val="000000" w:themeColor="text1"/>
          <w:sz w:val="20"/>
          <w:szCs w:val="20"/>
          <w:lang w:val="es-ES"/>
        </w:rPr>
        <w:t xml:space="preserve">“[…] </w:t>
      </w:r>
      <w:r w:rsidRPr="009D1A3E">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3F5443A7" w14:textId="77777777" w:rsidR="00830F57" w:rsidRPr="009D1A3E" w:rsidRDefault="00830F57" w:rsidP="009D1A3E">
      <w:pPr>
        <w:widowControl w:val="0"/>
        <w:autoSpaceDE w:val="0"/>
        <w:autoSpaceDN w:val="0"/>
        <w:snapToGrid w:val="0"/>
        <w:spacing w:after="0" w:line="240" w:lineRule="auto"/>
        <w:contextualSpacing/>
        <w:jc w:val="both"/>
        <w:rPr>
          <w:rFonts w:ascii="Verdana" w:hAnsi="Verdana" w:cs="Arial"/>
          <w:sz w:val="20"/>
          <w:szCs w:val="20"/>
        </w:rPr>
      </w:pPr>
    </w:p>
    <w:p w14:paraId="1EB434F6" w14:textId="77777777" w:rsidR="00830F57" w:rsidRPr="009D1A3E" w:rsidRDefault="00830F57" w:rsidP="009D1A3E">
      <w:pPr>
        <w:widowControl w:val="0"/>
        <w:autoSpaceDE w:val="0"/>
        <w:autoSpaceDN w:val="0"/>
        <w:snapToGrid w:val="0"/>
        <w:spacing w:after="0" w:line="240" w:lineRule="auto"/>
        <w:contextualSpacing/>
        <w:jc w:val="both"/>
        <w:rPr>
          <w:rFonts w:ascii="Verdana" w:eastAsia="Century Gothic" w:hAnsi="Verdana" w:cs="Century Gothic"/>
          <w:color w:val="000000" w:themeColor="text1"/>
          <w:sz w:val="20"/>
          <w:szCs w:val="20"/>
        </w:rPr>
      </w:pPr>
      <w:r w:rsidRPr="009D1A3E">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9D1A3E">
        <w:rPr>
          <w:rFonts w:ascii="Verdana" w:eastAsia="Century Gothic" w:hAnsi="Verdana" w:cs="Century Gothic"/>
          <w:color w:val="000000" w:themeColor="text1"/>
          <w:sz w:val="20"/>
          <w:szCs w:val="20"/>
          <w:lang w:val="es-ES"/>
        </w:rPr>
        <w:t xml:space="preserve">[…]” </w:t>
      </w:r>
    </w:p>
    <w:p w14:paraId="2CF80D88" w14:textId="77777777" w:rsidR="00830F57" w:rsidRPr="009D1A3E" w:rsidRDefault="00830F57" w:rsidP="009D1A3E">
      <w:pPr>
        <w:snapToGrid w:val="0"/>
        <w:spacing w:after="0" w:line="240" w:lineRule="auto"/>
        <w:contextualSpacing/>
        <w:jc w:val="both"/>
        <w:rPr>
          <w:rFonts w:ascii="Verdana" w:eastAsia="Calibri" w:hAnsi="Verdana" w:cs="Arial"/>
          <w:sz w:val="20"/>
          <w:szCs w:val="20"/>
          <w:lang w:val="es-ES" w:eastAsia="es-ES"/>
        </w:rPr>
      </w:pPr>
    </w:p>
    <w:p w14:paraId="57F41DED" w14:textId="77777777" w:rsidR="00830F57" w:rsidRPr="009D1A3E" w:rsidRDefault="00830F57" w:rsidP="009D1A3E">
      <w:pPr>
        <w:snapToGrid w:val="0"/>
        <w:contextualSpacing/>
        <w:jc w:val="both"/>
        <w:rPr>
          <w:rFonts w:ascii="Verdana" w:hAnsi="Verdana" w:cs="Arial"/>
          <w:b/>
          <w:bCs/>
          <w:lang w:val="es-ES"/>
        </w:rPr>
      </w:pPr>
      <w:r w:rsidRPr="009D1A3E">
        <w:rPr>
          <w:rFonts w:ascii="Verdana" w:hAnsi="Verdana" w:cs="Arial"/>
          <w:b/>
          <w:bCs/>
          <w:lang w:val="es-ES"/>
        </w:rPr>
        <w:t>CONTRATO DE PRESTACIÓN DE SERVICIOS – Características</w:t>
      </w:r>
    </w:p>
    <w:p w14:paraId="27D7CCCD" w14:textId="77777777" w:rsidR="009D1A3E" w:rsidRPr="009D1A3E" w:rsidRDefault="009D1A3E" w:rsidP="009D1A3E">
      <w:pPr>
        <w:snapToGrid w:val="0"/>
        <w:spacing w:after="0" w:line="240" w:lineRule="auto"/>
        <w:contextualSpacing/>
        <w:jc w:val="both"/>
        <w:rPr>
          <w:rFonts w:ascii="Verdana" w:hAnsi="Verdana" w:cs="Arial"/>
          <w:sz w:val="20"/>
          <w:szCs w:val="20"/>
          <w:lang w:val="es-ES"/>
        </w:rPr>
      </w:pPr>
    </w:p>
    <w:p w14:paraId="0E5F3F96" w14:textId="77777777"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7172126" w14:textId="77777777"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1) Solo puede celebrarse para realizar “actividades relacionadas con la administración o funcionamiento de la entidad”, es decir, que hagan parte de su giro ordinario o quehacer cotidiano.</w:t>
      </w:r>
    </w:p>
    <w:p w14:paraId="4D5FAFD5" w14:textId="0E4712CC"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 xml:space="preserve">2)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 </w:t>
      </w:r>
    </w:p>
    <w:p w14:paraId="6FA0C3B7" w14:textId="0DE66BB0"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w:t>
      </w:r>
    </w:p>
    <w:p w14:paraId="6AE95020" w14:textId="0D6CC255"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 xml:space="preserve">3)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9D1A3E">
        <w:rPr>
          <w:rFonts w:ascii="Verdana" w:hAnsi="Verdana" w:cs="Arial"/>
          <w:i/>
          <w:iCs/>
          <w:sz w:val="20"/>
          <w:szCs w:val="20"/>
          <w:lang w:val="es-ES"/>
        </w:rPr>
        <w:t>subordinación y dependencia</w:t>
      </w:r>
      <w:r w:rsidRPr="009D1A3E">
        <w:rPr>
          <w:rFonts w:ascii="Verdana" w:hAnsi="Verdana" w:cs="Arial"/>
          <w:sz w:val="20"/>
          <w:szCs w:val="20"/>
          <w:lang w:val="es-ES"/>
        </w:rPr>
        <w:t xml:space="preserve">, que es uno de los elementos constitutivos del vínculo laboral. </w:t>
      </w:r>
    </w:p>
    <w:p w14:paraId="2BA39E8A" w14:textId="2303876C"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4) Deben ser temporales.</w:t>
      </w:r>
    </w:p>
    <w:p w14:paraId="266F978E" w14:textId="57A8C71E"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w:t>
      </w:r>
    </w:p>
    <w:p w14:paraId="1745CB7A" w14:textId="63E3C1F4"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 xml:space="preserve">5) Los contratos de prestación de servicios constituyen un </w:t>
      </w:r>
      <w:r w:rsidRPr="009D1A3E">
        <w:rPr>
          <w:rFonts w:ascii="Verdana" w:hAnsi="Verdana" w:cs="Arial"/>
          <w:i/>
          <w:iCs/>
          <w:sz w:val="20"/>
          <w:szCs w:val="20"/>
          <w:lang w:val="es-ES"/>
        </w:rPr>
        <w:t>género</w:t>
      </w:r>
      <w:r w:rsidRPr="009D1A3E">
        <w:rPr>
          <w:rFonts w:ascii="Verdana" w:hAnsi="Verdana" w:cs="Arial"/>
          <w:sz w:val="20"/>
          <w:szCs w:val="20"/>
          <w:lang w:val="es-ES"/>
        </w:rPr>
        <w:t xml:space="preserve"> que incluye, como </w:t>
      </w:r>
      <w:r w:rsidRPr="009D1A3E">
        <w:rPr>
          <w:rFonts w:ascii="Verdana" w:hAnsi="Verdana" w:cs="Arial"/>
          <w:i/>
          <w:iCs/>
          <w:sz w:val="20"/>
          <w:szCs w:val="20"/>
          <w:lang w:val="es-ES"/>
        </w:rPr>
        <w:t>especies</w:t>
      </w:r>
      <w:r w:rsidRPr="009D1A3E">
        <w:rPr>
          <w:rFonts w:ascii="Verdana" w:hAnsi="Verdana" w:cs="Arial"/>
          <w:sz w:val="20"/>
          <w:szCs w:val="20"/>
          <w:lang w:val="es-ES"/>
        </w:rPr>
        <w:t>,</w:t>
      </w:r>
      <w:r w:rsidRPr="009D1A3E">
        <w:rPr>
          <w:rFonts w:ascii="Verdana" w:eastAsia="Calibri" w:hAnsi="Verdana" w:cs="Arial"/>
          <w:sz w:val="20"/>
          <w:szCs w:val="20"/>
          <w:lang w:val="es-ES"/>
        </w:rPr>
        <w:t xml:space="preserve"> sus tres tipologías, esto es: a) profesionales; b) de apoyo a la gestión; y c) para la ejecución de trabajos artísticos que sólo puedan encomendarse a determinadas personas naturales, de acuerdo con lo establecido en el artículo 2.2.1.2.1.4.9. del Decreto 1082 de 2015</w:t>
      </w:r>
    </w:p>
    <w:p w14:paraId="6B9BD219" w14:textId="7B6A46A0" w:rsidR="005D6BF3" w:rsidRPr="009D1A3E" w:rsidRDefault="00966990"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w:t>
      </w:r>
    </w:p>
    <w:p w14:paraId="53D7ED8F" w14:textId="79C82C04"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 xml:space="preserve">6) Su celebración debe realizarse a través de la modalidad de contratación directa, </w:t>
      </w:r>
      <w:r w:rsidRPr="009D1A3E">
        <w:rPr>
          <w:rFonts w:ascii="Verdana" w:hAnsi="Verdana" w:cs="Arial"/>
          <w:sz w:val="20"/>
          <w:szCs w:val="20"/>
          <w:lang w:val="es-ES"/>
        </w:rPr>
        <w:lastRenderedPageBreak/>
        <w:t xml:space="preserve">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w:t>
      </w:r>
      <w:proofErr w:type="gramStart"/>
      <w:r w:rsidRPr="009D1A3E">
        <w:rPr>
          <w:rFonts w:ascii="Verdana" w:hAnsi="Verdana" w:cs="Arial"/>
          <w:sz w:val="20"/>
          <w:szCs w:val="20"/>
          <w:lang w:val="es-ES"/>
        </w:rPr>
        <w:t>se enmarcan dentro de</w:t>
      </w:r>
      <w:proofErr w:type="gramEnd"/>
      <w:r w:rsidRPr="009D1A3E">
        <w:rPr>
          <w:rFonts w:ascii="Verdana" w:hAnsi="Verdana" w:cs="Arial"/>
          <w:sz w:val="20"/>
          <w:szCs w:val="20"/>
          <w:lang w:val="es-ES"/>
        </w:rPr>
        <w:t xml:space="preserve"> los otros contratos tipificados en el artículo 32 de la Ley 80 de 1993, como, por ejemplo, para que el contratista de prestación de servicios construya una obra.</w:t>
      </w:r>
    </w:p>
    <w:p w14:paraId="1DC1771F" w14:textId="65DAA88D"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7) Para su celebración no se requiere en algunos casos la expedición del acto administrativo de justificación de la contratación directa.</w:t>
      </w:r>
    </w:p>
    <w:p w14:paraId="22039085" w14:textId="7AC166DE" w:rsidR="005D6BF3" w:rsidRPr="009D1A3E" w:rsidRDefault="005D6BF3" w:rsidP="009D1A3E">
      <w:pPr>
        <w:widowControl w:val="0"/>
        <w:tabs>
          <w:tab w:val="left" w:pos="5387"/>
        </w:tabs>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8) Admiten el pacto de cláusulas excepcionales</w:t>
      </w:r>
      <w:r w:rsidR="00966990" w:rsidRPr="009D1A3E">
        <w:rPr>
          <w:rFonts w:ascii="Verdana" w:hAnsi="Verdana" w:cs="Arial"/>
          <w:sz w:val="20"/>
          <w:szCs w:val="20"/>
          <w:lang w:val="es-ES"/>
        </w:rPr>
        <w:t xml:space="preserve"> […]</w:t>
      </w:r>
    </w:p>
    <w:p w14:paraId="7DCBF0E4" w14:textId="5BD0DA77"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9) En algunos casos no es obligatoria la liquidación, pues así lo estableció el artículo 217 del Decreto 019 de 2012, que modificó el artículo 60 de la Ley 80 de 1993, refiriéndose a los contratos de prestación de servicios profesionales y de apoyo a la gestión.</w:t>
      </w:r>
    </w:p>
    <w:p w14:paraId="13E54BF9" w14:textId="10811BB7"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10) Para su celebración no se requiere inscripción en el Registro Único de Proponentes (RUP), según lo prevé el artículo 6 de la Ley 1150 de 2007.</w:t>
      </w:r>
    </w:p>
    <w:p w14:paraId="5EA04DB9" w14:textId="441103F0" w:rsidR="005D6BF3" w:rsidRPr="009D1A3E" w:rsidRDefault="005D6BF3" w:rsidP="009D1A3E">
      <w:pPr>
        <w:widowControl w:val="0"/>
        <w:autoSpaceDE w:val="0"/>
        <w:autoSpaceDN w:val="0"/>
        <w:snapToGrid w:val="0"/>
        <w:spacing w:after="0" w:line="240" w:lineRule="auto"/>
        <w:contextualSpacing/>
        <w:jc w:val="both"/>
        <w:rPr>
          <w:rFonts w:ascii="Verdana" w:hAnsi="Verdana" w:cs="Arial"/>
          <w:sz w:val="20"/>
          <w:szCs w:val="20"/>
          <w:lang w:val="es-ES"/>
        </w:rPr>
      </w:pPr>
      <w:r w:rsidRPr="009D1A3E">
        <w:rPr>
          <w:rFonts w:ascii="Verdana" w:hAnsi="Verdana" w:cs="Arial"/>
          <w:sz w:val="20"/>
          <w:szCs w:val="20"/>
          <w:lang w:val="es-ES"/>
        </w:rPr>
        <w:t>11) En ellos no son necesarias las garantías.</w:t>
      </w:r>
    </w:p>
    <w:p w14:paraId="29ED443A" w14:textId="77777777" w:rsidR="005D6BF3" w:rsidRPr="009D1A3E" w:rsidRDefault="005D6BF3" w:rsidP="009D1A3E">
      <w:pPr>
        <w:snapToGrid w:val="0"/>
        <w:spacing w:after="0" w:line="240" w:lineRule="auto"/>
        <w:contextualSpacing/>
        <w:jc w:val="both"/>
        <w:rPr>
          <w:rFonts w:ascii="Verdana" w:eastAsia="Calibri" w:hAnsi="Verdana" w:cs="Arial"/>
          <w:bCs/>
          <w:sz w:val="20"/>
          <w:szCs w:val="20"/>
          <w:lang w:val="es-ES"/>
        </w:rPr>
      </w:pPr>
    </w:p>
    <w:p w14:paraId="78461191" w14:textId="77777777" w:rsidR="00830F57" w:rsidRPr="009D1A3E" w:rsidRDefault="00830F57" w:rsidP="009D1A3E">
      <w:pPr>
        <w:snapToGrid w:val="0"/>
        <w:spacing w:after="0" w:line="240" w:lineRule="auto"/>
        <w:contextualSpacing/>
        <w:jc w:val="both"/>
        <w:rPr>
          <w:rFonts w:ascii="Verdana" w:eastAsia="Calibri" w:hAnsi="Verdana" w:cs="Arial"/>
          <w:b/>
          <w:bCs/>
          <w:lang w:val="es-ES" w:eastAsia="es-ES"/>
        </w:rPr>
      </w:pPr>
      <w:r w:rsidRPr="009D1A3E">
        <w:rPr>
          <w:rFonts w:ascii="Verdana" w:eastAsia="Calibri" w:hAnsi="Verdana" w:cs="Arial"/>
          <w:b/>
          <w:bCs/>
          <w:lang w:val="es-ES" w:eastAsia="es-ES"/>
        </w:rPr>
        <w:t>PRECIOS UNITARIOS – Estructuración del precio – Cantidades de obra</w:t>
      </w:r>
    </w:p>
    <w:p w14:paraId="2EBDDC6B" w14:textId="77777777" w:rsidR="009D1A3E" w:rsidRDefault="009D1A3E" w:rsidP="009D1A3E">
      <w:pPr>
        <w:snapToGrid w:val="0"/>
        <w:spacing w:after="0" w:line="240" w:lineRule="auto"/>
        <w:contextualSpacing/>
        <w:jc w:val="both"/>
        <w:rPr>
          <w:rFonts w:ascii="Verdana" w:hAnsi="Verdana"/>
          <w:sz w:val="20"/>
          <w:szCs w:val="20"/>
          <w:lang w:val="es-ES"/>
        </w:rPr>
      </w:pPr>
    </w:p>
    <w:p w14:paraId="1BD5D528" w14:textId="7DA065C2" w:rsidR="009D1A3E" w:rsidRPr="009D1A3E" w:rsidRDefault="009D1A3E" w:rsidP="009D1A3E">
      <w:pPr>
        <w:snapToGrid w:val="0"/>
        <w:spacing w:after="0" w:line="240" w:lineRule="auto"/>
        <w:contextualSpacing/>
        <w:jc w:val="both"/>
        <w:rPr>
          <w:rFonts w:ascii="Verdana" w:hAnsi="Verdana" w:cs="Arial"/>
          <w:sz w:val="20"/>
          <w:szCs w:val="20"/>
          <w:lang w:val="es-ES" w:eastAsia="es-ES"/>
        </w:rPr>
      </w:pPr>
      <w:r w:rsidRPr="009D1A3E">
        <w:rPr>
          <w:rFonts w:ascii="Verdana" w:hAnsi="Verdana"/>
          <w:sz w:val="20"/>
          <w:szCs w:val="20"/>
          <w:lang w:val="es-ES"/>
        </w:rPr>
        <w:t>El precio pactado a precios unitarios, al cual se refiere su consulta, implica individualizar el valor de cada uno de los ítems requeridos para llevar a cabo la obra o el proyecto. Así mismo, el precio se deriva de apreciar todos los componentes necesarios para la ejecución de la unidad de medida del ítem correspondiente. Por lo mismo, el precio será el resultado de multiplicar la cantidad finalmente ejecutada por el valor unitario respectivo.</w:t>
      </w:r>
    </w:p>
    <w:p w14:paraId="1FE447B4" w14:textId="77777777" w:rsidR="009D1A3E" w:rsidRDefault="009D1A3E" w:rsidP="009D1A3E">
      <w:pPr>
        <w:snapToGrid w:val="0"/>
        <w:spacing w:after="0" w:line="240" w:lineRule="auto"/>
        <w:contextualSpacing/>
        <w:jc w:val="both"/>
        <w:rPr>
          <w:rFonts w:ascii="Verdana" w:hAnsi="Verdana" w:cs="Arial"/>
          <w:bCs/>
          <w:sz w:val="20"/>
          <w:szCs w:val="20"/>
          <w:lang w:val="es-ES" w:eastAsia="es-ES_tradnl"/>
        </w:rPr>
      </w:pPr>
    </w:p>
    <w:p w14:paraId="755F267C" w14:textId="139F794B" w:rsidR="009D1A3E" w:rsidRPr="009D1A3E" w:rsidRDefault="009D1A3E" w:rsidP="009D1A3E">
      <w:pPr>
        <w:snapToGrid w:val="0"/>
        <w:spacing w:after="0" w:line="240" w:lineRule="auto"/>
        <w:contextualSpacing/>
        <w:jc w:val="both"/>
        <w:rPr>
          <w:rFonts w:ascii="Verdana" w:hAnsi="Verdana"/>
          <w:sz w:val="20"/>
          <w:szCs w:val="20"/>
          <w:lang w:val="es-ES"/>
        </w:rPr>
      </w:pPr>
      <w:r w:rsidRPr="009D1A3E">
        <w:rPr>
          <w:rFonts w:ascii="Verdana" w:hAnsi="Verdana" w:cs="Arial"/>
          <w:bCs/>
          <w:sz w:val="20"/>
          <w:szCs w:val="20"/>
          <w:lang w:val="es-ES" w:eastAsia="es-ES_tradnl"/>
        </w:rPr>
        <w:t xml:space="preserve">En esta modalidad se establecen unas estimaciones de cantidades de obra, según los estudios y diseños, los estudios previos y unos precios unitarios de los respectivos ítems de obra. </w:t>
      </w:r>
      <w:r w:rsidRPr="009D1A3E">
        <w:rPr>
          <w:rFonts w:ascii="Verdana" w:hAnsi="Verdana"/>
          <w:sz w:val="20"/>
          <w:szCs w:val="20"/>
          <w:lang w:val="es-ES"/>
        </w:rPr>
        <w:t xml:space="preserve">Al respecto, la jurisprudencia de la Sección Tercera del Consejo de Estado ha explicado </w:t>
      </w:r>
      <w:proofErr w:type="gramStart"/>
      <w:r w:rsidRPr="009D1A3E">
        <w:rPr>
          <w:rFonts w:ascii="Verdana" w:hAnsi="Verdana"/>
          <w:sz w:val="20"/>
          <w:szCs w:val="20"/>
          <w:lang w:val="es-ES"/>
        </w:rPr>
        <w:t>que</w:t>
      </w:r>
      <w:proofErr w:type="gramEnd"/>
      <w:r w:rsidRPr="009D1A3E">
        <w:rPr>
          <w:rFonts w:ascii="Verdana" w:hAnsi="Verdana"/>
          <w:sz w:val="20"/>
          <w:szCs w:val="20"/>
          <w:lang w:val="es-ES"/>
        </w:rPr>
        <w:t xml:space="preserve"> en los contratos pactados mediante precios unitarios, ante la imposibilidad de establecer con exactitud los montos totales que resultarán de realizar la obra contratada, la entidad aproxima un cálculo estimado de la cantidad o unidades de obra que se requerirá ejecutar previo a la ejecución del negocio jurídico, es decir, en los pliegos de condiciones o documento equivalente y en el contrato. Esto, con el propósito de que el proponente establezca en su propuesta unos valores unitarios respecto de cada unidad de obra prevista por la entidad contratante.</w:t>
      </w:r>
    </w:p>
    <w:p w14:paraId="4210DC07" w14:textId="77777777" w:rsidR="009D1A3E" w:rsidRPr="009D1A3E" w:rsidRDefault="009D1A3E" w:rsidP="009D1A3E">
      <w:pPr>
        <w:snapToGrid w:val="0"/>
        <w:spacing w:after="0" w:line="240" w:lineRule="auto"/>
        <w:contextualSpacing/>
        <w:jc w:val="both"/>
        <w:rPr>
          <w:rFonts w:ascii="Verdana" w:eastAsia="Calibri" w:hAnsi="Verdana" w:cs="Arial"/>
          <w:sz w:val="20"/>
          <w:szCs w:val="20"/>
          <w:lang w:val="es-ES" w:eastAsia="es-ES"/>
        </w:rPr>
      </w:pPr>
    </w:p>
    <w:p w14:paraId="3DE76162" w14:textId="77777777" w:rsidR="00830F57" w:rsidRPr="009D1A3E" w:rsidRDefault="00830F57" w:rsidP="009D1A3E">
      <w:pPr>
        <w:snapToGrid w:val="0"/>
        <w:spacing w:after="0" w:line="240" w:lineRule="auto"/>
        <w:contextualSpacing/>
        <w:jc w:val="both"/>
        <w:rPr>
          <w:rFonts w:ascii="Verdana" w:eastAsia="Calibri" w:hAnsi="Verdana" w:cs="Arial"/>
          <w:b/>
          <w:bCs/>
          <w:lang w:val="es-ES" w:eastAsia="es-ES"/>
        </w:rPr>
      </w:pPr>
      <w:r w:rsidRPr="009D1A3E">
        <w:rPr>
          <w:rFonts w:ascii="Verdana" w:eastAsia="Calibri" w:hAnsi="Verdana" w:cs="Arial"/>
          <w:b/>
          <w:bCs/>
          <w:lang w:val="es-ES" w:eastAsia="es-ES"/>
        </w:rPr>
        <w:t xml:space="preserve">AIU – Costos indirectos – Finalidad – Ejecución del contrato </w:t>
      </w:r>
    </w:p>
    <w:p w14:paraId="50931454" w14:textId="77777777" w:rsidR="009D1A3E" w:rsidRDefault="009D1A3E" w:rsidP="009D1A3E">
      <w:pPr>
        <w:snapToGrid w:val="0"/>
        <w:spacing w:after="0" w:line="240" w:lineRule="auto"/>
        <w:contextualSpacing/>
        <w:jc w:val="both"/>
        <w:rPr>
          <w:rFonts w:ascii="Verdana" w:hAnsi="Verdana" w:cs="Arial"/>
          <w:bCs/>
          <w:sz w:val="20"/>
          <w:szCs w:val="20"/>
          <w:lang w:val="es-ES" w:eastAsia="es-ES_tradnl"/>
        </w:rPr>
      </w:pPr>
    </w:p>
    <w:p w14:paraId="79929E96" w14:textId="2067FE4A" w:rsidR="009D1A3E" w:rsidRPr="009D1A3E" w:rsidRDefault="009D1A3E" w:rsidP="009D1A3E">
      <w:pPr>
        <w:snapToGrid w:val="0"/>
        <w:spacing w:after="0" w:line="240" w:lineRule="auto"/>
        <w:contextualSpacing/>
        <w:jc w:val="both"/>
        <w:rPr>
          <w:rFonts w:ascii="Verdana" w:eastAsia="Times New Roman" w:hAnsi="Verdana" w:cs="Arial"/>
          <w:color w:val="000000" w:themeColor="text1"/>
          <w:sz w:val="20"/>
          <w:szCs w:val="20"/>
          <w:lang w:val="es-ES" w:eastAsia="es-ES"/>
        </w:rPr>
      </w:pPr>
      <w:r w:rsidRPr="009D1A3E">
        <w:rPr>
          <w:rFonts w:ascii="Verdana" w:hAnsi="Verdana" w:cs="Arial"/>
          <w:bCs/>
          <w:sz w:val="20"/>
          <w:szCs w:val="20"/>
          <w:lang w:val="es-ES" w:eastAsia="es-ES_tradnl"/>
        </w:rPr>
        <w:t xml:space="preserve">En tal sentido, mientras que los costos directos se evidencian en el análisis de precios unitarios –APU–, como la sumatoria de los valores de los </w:t>
      </w:r>
      <w:r w:rsidRPr="009D1A3E">
        <w:rPr>
          <w:rFonts w:ascii="Verdana" w:hAnsi="Verdana" w:cs="Arial"/>
          <w:bCs/>
          <w:i/>
          <w:iCs/>
          <w:sz w:val="20"/>
          <w:szCs w:val="20"/>
          <w:lang w:val="es-ES" w:eastAsia="es-ES_tradnl"/>
        </w:rPr>
        <w:t>ítems</w:t>
      </w:r>
      <w:r w:rsidRPr="009D1A3E">
        <w:rPr>
          <w:rFonts w:ascii="Verdana" w:hAnsi="Verdana" w:cs="Arial"/>
          <w:bCs/>
          <w:sz w:val="20"/>
          <w:szCs w:val="20"/>
          <w:lang w:val="es-ES" w:eastAsia="es-ES_tradnl"/>
        </w:rPr>
        <w:t xml:space="preserve"> según su unidad de medida, los costos indirectos se suelen abreviar en las variables que integran el acrónimo AIU –Administración, Imprevistos y Utilidad–, que se calcula como un porcentaje aplicado a los costos indirectos</w:t>
      </w:r>
      <w:r w:rsidRPr="009D1A3E">
        <w:rPr>
          <w:rFonts w:ascii="Verdana" w:hAnsi="Verdana" w:cs="Arial"/>
          <w:sz w:val="20"/>
          <w:szCs w:val="20"/>
          <w:lang w:val="es-ES" w:eastAsia="es-ES_tradnl"/>
        </w:rPr>
        <w:t>.</w:t>
      </w:r>
    </w:p>
    <w:p w14:paraId="1B035CF1" w14:textId="77777777" w:rsidR="009D1A3E" w:rsidRDefault="009D1A3E" w:rsidP="009D1A3E">
      <w:pPr>
        <w:snapToGrid w:val="0"/>
        <w:spacing w:after="0" w:line="240" w:lineRule="auto"/>
        <w:contextualSpacing/>
        <w:jc w:val="both"/>
        <w:rPr>
          <w:rFonts w:ascii="Verdana" w:hAnsi="Verdana" w:cs="Arial"/>
          <w:bCs/>
          <w:sz w:val="20"/>
          <w:szCs w:val="20"/>
          <w:lang w:val="es-ES" w:eastAsia="es-ES_tradnl"/>
        </w:rPr>
      </w:pPr>
    </w:p>
    <w:p w14:paraId="08DAE665" w14:textId="26336496" w:rsidR="009D1A3E" w:rsidRPr="009D1A3E" w:rsidRDefault="009D1A3E" w:rsidP="009D1A3E">
      <w:pPr>
        <w:snapToGrid w:val="0"/>
        <w:spacing w:after="0" w:line="240" w:lineRule="auto"/>
        <w:contextualSpacing/>
        <w:jc w:val="both"/>
        <w:rPr>
          <w:rFonts w:ascii="Verdana" w:hAnsi="Verdana" w:cs="Arial"/>
          <w:bCs/>
          <w:sz w:val="20"/>
          <w:szCs w:val="20"/>
          <w:lang w:val="es-ES" w:eastAsia="es-ES_tradnl"/>
        </w:rPr>
      </w:pPr>
      <w:r w:rsidRPr="009D1A3E">
        <w:rPr>
          <w:rFonts w:ascii="Verdana" w:hAnsi="Verdana" w:cs="Arial"/>
          <w:bCs/>
          <w:sz w:val="20"/>
          <w:szCs w:val="20"/>
          <w:lang w:val="es-ES" w:eastAsia="es-ES_tradnl"/>
        </w:rPr>
        <w:t xml:space="preserve">La jurisprudencia ha señalado que “[…] en la conformación de dichos precios unitarios, se tienen en cuenta todos los gastos que se requieren para realizar la unidad de medida respectiva. Y lo que comúnmente se denomina análisis de precios unitarios, corresponde a la descomposición de </w:t>
      </w:r>
      <w:proofErr w:type="gramStart"/>
      <w:r w:rsidRPr="009D1A3E">
        <w:rPr>
          <w:rFonts w:ascii="Verdana" w:hAnsi="Verdana" w:cs="Arial"/>
          <w:bCs/>
          <w:sz w:val="20"/>
          <w:szCs w:val="20"/>
          <w:lang w:val="es-ES" w:eastAsia="es-ES_tradnl"/>
        </w:rPr>
        <w:t>los mismos</w:t>
      </w:r>
      <w:proofErr w:type="gramEnd"/>
      <w:r w:rsidRPr="009D1A3E">
        <w:rPr>
          <w:rFonts w:ascii="Verdana" w:hAnsi="Verdana" w:cs="Arial"/>
          <w:bCs/>
          <w:sz w:val="20"/>
          <w:szCs w:val="20"/>
          <w:lang w:val="es-ES"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 </w:t>
      </w:r>
    </w:p>
    <w:p w14:paraId="06EE2874" w14:textId="77777777" w:rsidR="009D1A3E" w:rsidRPr="009D1A3E" w:rsidRDefault="009D1A3E" w:rsidP="009D1A3E">
      <w:pPr>
        <w:snapToGrid w:val="0"/>
        <w:spacing w:after="0" w:line="240" w:lineRule="auto"/>
        <w:contextualSpacing/>
        <w:jc w:val="both"/>
        <w:rPr>
          <w:rFonts w:ascii="Verdana" w:eastAsia="Calibri" w:hAnsi="Verdana" w:cs="Arial"/>
          <w:sz w:val="20"/>
          <w:szCs w:val="20"/>
          <w:lang w:val="es-ES" w:eastAsia="es-ES"/>
        </w:rPr>
      </w:pPr>
    </w:p>
    <w:p w14:paraId="16E9DB12" w14:textId="4ABC892D" w:rsidR="00830F57" w:rsidRPr="009D1A3E" w:rsidRDefault="00830F57" w:rsidP="009D1A3E">
      <w:pPr>
        <w:snapToGrid w:val="0"/>
        <w:spacing w:after="0" w:line="240" w:lineRule="auto"/>
        <w:contextualSpacing/>
        <w:jc w:val="both"/>
        <w:rPr>
          <w:rFonts w:ascii="Verdana" w:eastAsia="Calibri" w:hAnsi="Verdana" w:cs="Arial"/>
          <w:b/>
          <w:bCs/>
          <w:lang w:val="es-ES" w:eastAsia="es-ES"/>
        </w:rPr>
      </w:pPr>
      <w:r w:rsidRPr="009D1A3E">
        <w:rPr>
          <w:rFonts w:ascii="Verdana" w:eastAsia="Calibri" w:hAnsi="Verdana" w:cs="Arial"/>
          <w:b/>
          <w:bCs/>
          <w:lang w:val="es-ES" w:eastAsia="es-ES"/>
        </w:rPr>
        <w:t xml:space="preserve">AIU – Discrecionalidad </w:t>
      </w:r>
    </w:p>
    <w:p w14:paraId="01983D51" w14:textId="77777777" w:rsidR="009D1A3E" w:rsidRDefault="009D1A3E" w:rsidP="009D1A3E">
      <w:pPr>
        <w:snapToGrid w:val="0"/>
        <w:spacing w:after="0" w:line="240" w:lineRule="auto"/>
        <w:contextualSpacing/>
        <w:jc w:val="both"/>
        <w:rPr>
          <w:rFonts w:ascii="Verdana" w:hAnsi="Verdana" w:cs="Arial"/>
          <w:bCs/>
          <w:sz w:val="20"/>
          <w:szCs w:val="20"/>
          <w:lang w:val="es-ES" w:eastAsia="es-ES_tradnl"/>
        </w:rPr>
      </w:pPr>
    </w:p>
    <w:p w14:paraId="729FFC8B" w14:textId="1CA68B7C" w:rsidR="009D1A3E" w:rsidRPr="009D1A3E" w:rsidRDefault="009D1A3E" w:rsidP="009D1A3E">
      <w:pPr>
        <w:snapToGrid w:val="0"/>
        <w:spacing w:after="0" w:line="240" w:lineRule="auto"/>
        <w:contextualSpacing/>
        <w:jc w:val="both"/>
        <w:rPr>
          <w:rFonts w:ascii="Verdana" w:hAnsi="Verdana" w:cs="Arial"/>
          <w:bCs/>
          <w:sz w:val="20"/>
          <w:szCs w:val="20"/>
          <w:lang w:val="es-ES" w:eastAsia="es-ES_tradnl"/>
        </w:rPr>
      </w:pPr>
      <w:r w:rsidRPr="009D1A3E">
        <w:rPr>
          <w:rFonts w:ascii="Verdana" w:hAnsi="Verdana" w:cs="Arial"/>
          <w:bCs/>
          <w:sz w:val="20"/>
          <w:szCs w:val="20"/>
          <w:lang w:val="es-ES" w:eastAsia="es-ES_tradnl"/>
        </w:rPr>
        <w:t xml:space="preserve">Ahora bien, en ejercicio de la autonomía de la voluntad, las partes pueden decidir pactar o no el AIU. En los casos en que opten por requerirlo, las entidades pueden solicitar, por ejemplo, que los proponentes establezcan de forma independiente al valor total de los costos directos, un porcentaje fijo que, según con sus conocimientos, experiencia, y la naturaleza del negocio jurídico, represente el valor por concepto de administración, imprevistos y utilidad.  Bajo este modelo, el valor total de los costos directos, obtenido como resultado de la sumatoria de todos los ítems multiplicados por su valor unitario, se multiplica por el porcentaje de AIU fijado por el contratista en su oferta, el cual representa los </w:t>
      </w:r>
      <w:r w:rsidRPr="009D1A3E">
        <w:rPr>
          <w:rFonts w:ascii="Verdana" w:hAnsi="Verdana" w:cs="Arial"/>
          <w:bCs/>
          <w:i/>
          <w:iCs/>
          <w:sz w:val="20"/>
          <w:szCs w:val="20"/>
          <w:lang w:val="es-ES" w:eastAsia="es-ES_tradnl"/>
        </w:rPr>
        <w:t>costos indirectos</w:t>
      </w:r>
      <w:r w:rsidRPr="009D1A3E">
        <w:rPr>
          <w:rFonts w:ascii="Verdana" w:hAnsi="Verdana" w:cs="Arial"/>
          <w:bCs/>
          <w:sz w:val="20"/>
          <w:szCs w:val="20"/>
          <w:lang w:val="es-ES" w:eastAsia="es-ES_tradnl"/>
        </w:rPr>
        <w:t xml:space="preserve"> en los que incurrirá durante la ejecución del contrato. De cualquier modo, las partes pueden fijar la metodología y las exigencias relacionadas con el cálculo del AIU en otra forma que convengan, “entendiendo que los elementos que lo componen se encuentran incorporados en los precios y en el valor del contrato”.</w:t>
      </w:r>
    </w:p>
    <w:p w14:paraId="0EE497CB" w14:textId="77777777" w:rsidR="009D1A3E" w:rsidRPr="00CC103B" w:rsidRDefault="009D1A3E" w:rsidP="00830F57">
      <w:pPr>
        <w:spacing w:line="276" w:lineRule="auto"/>
        <w:jc w:val="both"/>
        <w:rPr>
          <w:rFonts w:ascii="Verdana" w:eastAsia="Calibri" w:hAnsi="Verdana" w:cs="Arial"/>
          <w:lang w:val="es-ES" w:eastAsia="es-ES"/>
        </w:rPr>
      </w:pPr>
    </w:p>
    <w:p w14:paraId="28426A04" w14:textId="77777777" w:rsidR="00830F57" w:rsidRDefault="00830F57" w:rsidP="00675E64">
      <w:pPr>
        <w:spacing w:after="0"/>
        <w:rPr>
          <w:rFonts w:ascii="Verdana" w:hAnsi="Verdana"/>
          <w:lang w:val="es-ES"/>
        </w:rPr>
      </w:pPr>
    </w:p>
    <w:p w14:paraId="0905C518" w14:textId="77777777" w:rsidR="009D1A3E" w:rsidRDefault="009D1A3E" w:rsidP="00675E64">
      <w:pPr>
        <w:spacing w:after="0"/>
        <w:rPr>
          <w:rFonts w:ascii="Verdana" w:hAnsi="Verdana"/>
          <w:lang w:val="es-ES"/>
        </w:rPr>
      </w:pPr>
    </w:p>
    <w:p w14:paraId="2C5ACEB2" w14:textId="77777777" w:rsidR="009D1A3E" w:rsidRDefault="009D1A3E" w:rsidP="00675E64">
      <w:pPr>
        <w:spacing w:after="0"/>
        <w:rPr>
          <w:rFonts w:ascii="Verdana" w:hAnsi="Verdana"/>
          <w:lang w:val="es-ES"/>
        </w:rPr>
      </w:pPr>
    </w:p>
    <w:p w14:paraId="60D3AB4F" w14:textId="77777777" w:rsidR="009D1A3E" w:rsidRDefault="009D1A3E" w:rsidP="00675E64">
      <w:pPr>
        <w:spacing w:after="0"/>
        <w:rPr>
          <w:rFonts w:ascii="Verdana" w:hAnsi="Verdana"/>
          <w:lang w:val="es-ES"/>
        </w:rPr>
      </w:pPr>
    </w:p>
    <w:p w14:paraId="7E81491A" w14:textId="77777777" w:rsidR="009D1A3E" w:rsidRDefault="009D1A3E" w:rsidP="00675E64">
      <w:pPr>
        <w:spacing w:after="0"/>
        <w:rPr>
          <w:rFonts w:ascii="Verdana" w:hAnsi="Verdana"/>
          <w:lang w:val="es-ES"/>
        </w:rPr>
      </w:pPr>
    </w:p>
    <w:p w14:paraId="2F499881" w14:textId="77777777" w:rsidR="009D1A3E" w:rsidRDefault="009D1A3E" w:rsidP="00675E64">
      <w:pPr>
        <w:spacing w:after="0"/>
        <w:rPr>
          <w:rFonts w:ascii="Verdana" w:hAnsi="Verdana"/>
          <w:lang w:val="es-ES"/>
        </w:rPr>
      </w:pPr>
    </w:p>
    <w:p w14:paraId="193A09C0" w14:textId="77777777" w:rsidR="009D1A3E" w:rsidRDefault="009D1A3E" w:rsidP="00675E64">
      <w:pPr>
        <w:spacing w:after="0"/>
        <w:rPr>
          <w:rFonts w:ascii="Verdana" w:hAnsi="Verdana"/>
          <w:lang w:val="es-ES"/>
        </w:rPr>
      </w:pPr>
    </w:p>
    <w:p w14:paraId="7E6F72F5" w14:textId="77777777" w:rsidR="009D1A3E" w:rsidRDefault="009D1A3E" w:rsidP="00675E64">
      <w:pPr>
        <w:spacing w:after="0"/>
        <w:rPr>
          <w:rFonts w:ascii="Verdana" w:hAnsi="Verdana"/>
          <w:lang w:val="es-ES"/>
        </w:rPr>
      </w:pPr>
    </w:p>
    <w:p w14:paraId="74F382DD" w14:textId="77777777" w:rsidR="009D1A3E" w:rsidRDefault="009D1A3E" w:rsidP="00675E64">
      <w:pPr>
        <w:spacing w:after="0"/>
        <w:rPr>
          <w:rFonts w:ascii="Verdana" w:hAnsi="Verdana"/>
          <w:lang w:val="es-ES"/>
        </w:rPr>
      </w:pPr>
    </w:p>
    <w:p w14:paraId="672CD705" w14:textId="77777777" w:rsidR="009D1A3E" w:rsidRDefault="009D1A3E" w:rsidP="00675E64">
      <w:pPr>
        <w:spacing w:after="0"/>
        <w:rPr>
          <w:rFonts w:ascii="Verdana" w:hAnsi="Verdana"/>
          <w:lang w:val="es-ES"/>
        </w:rPr>
      </w:pPr>
    </w:p>
    <w:p w14:paraId="7DCFD3C1" w14:textId="77777777" w:rsidR="009D1A3E" w:rsidRDefault="009D1A3E" w:rsidP="00675E64">
      <w:pPr>
        <w:spacing w:after="0"/>
        <w:rPr>
          <w:rFonts w:ascii="Verdana" w:hAnsi="Verdana"/>
          <w:lang w:val="es-ES"/>
        </w:rPr>
      </w:pPr>
    </w:p>
    <w:p w14:paraId="5646BC7C" w14:textId="77777777" w:rsidR="009D1A3E" w:rsidRDefault="009D1A3E" w:rsidP="00675E64">
      <w:pPr>
        <w:spacing w:after="0"/>
        <w:rPr>
          <w:rFonts w:ascii="Verdana" w:hAnsi="Verdana"/>
          <w:lang w:val="es-ES"/>
        </w:rPr>
      </w:pPr>
    </w:p>
    <w:p w14:paraId="5C0C7393" w14:textId="77777777" w:rsidR="009D1A3E" w:rsidRDefault="009D1A3E" w:rsidP="00675E64">
      <w:pPr>
        <w:spacing w:after="0"/>
        <w:rPr>
          <w:rFonts w:ascii="Verdana" w:hAnsi="Verdana"/>
          <w:lang w:val="es-ES"/>
        </w:rPr>
      </w:pPr>
    </w:p>
    <w:p w14:paraId="6750EA24" w14:textId="77777777" w:rsidR="009D1A3E" w:rsidRDefault="009D1A3E" w:rsidP="00675E64">
      <w:pPr>
        <w:spacing w:after="0"/>
        <w:rPr>
          <w:rFonts w:ascii="Verdana" w:hAnsi="Verdana"/>
          <w:lang w:val="es-ES"/>
        </w:rPr>
      </w:pPr>
    </w:p>
    <w:p w14:paraId="477B38B5" w14:textId="77777777" w:rsidR="009D1A3E" w:rsidRDefault="009D1A3E" w:rsidP="00675E64">
      <w:pPr>
        <w:spacing w:after="0"/>
        <w:rPr>
          <w:rFonts w:ascii="Verdana" w:hAnsi="Verdana"/>
          <w:lang w:val="es-ES"/>
        </w:rPr>
      </w:pPr>
    </w:p>
    <w:p w14:paraId="475A0A07" w14:textId="77777777" w:rsidR="009D1A3E" w:rsidRDefault="009D1A3E" w:rsidP="00675E64">
      <w:pPr>
        <w:spacing w:after="0"/>
        <w:rPr>
          <w:rFonts w:ascii="Verdana" w:hAnsi="Verdana"/>
          <w:lang w:val="es-ES"/>
        </w:rPr>
      </w:pPr>
    </w:p>
    <w:p w14:paraId="76D28D14" w14:textId="77777777" w:rsidR="009D1A3E" w:rsidRDefault="009D1A3E" w:rsidP="00675E64">
      <w:pPr>
        <w:spacing w:after="0"/>
        <w:rPr>
          <w:rFonts w:ascii="Verdana" w:hAnsi="Verdana"/>
          <w:lang w:val="es-ES"/>
        </w:rPr>
      </w:pPr>
    </w:p>
    <w:p w14:paraId="3DB9C1CB" w14:textId="77777777" w:rsidR="009D1A3E" w:rsidRDefault="009D1A3E" w:rsidP="00675E64">
      <w:pPr>
        <w:spacing w:after="0"/>
        <w:rPr>
          <w:rFonts w:ascii="Verdana" w:hAnsi="Verdana"/>
          <w:lang w:val="es-ES"/>
        </w:rPr>
      </w:pPr>
    </w:p>
    <w:p w14:paraId="6F3DA38A" w14:textId="067B27FD" w:rsidR="00675E64" w:rsidRPr="00CC103B" w:rsidRDefault="00675E64" w:rsidP="00675E64">
      <w:pPr>
        <w:spacing w:after="0"/>
        <w:rPr>
          <w:rFonts w:ascii="Verdana" w:hAnsi="Verdana"/>
          <w:lang w:val="es-ES"/>
        </w:rPr>
      </w:pPr>
      <w:r w:rsidRPr="00CC103B">
        <w:rPr>
          <w:rFonts w:ascii="Verdana" w:hAnsi="Verdana"/>
          <w:lang w:val="es-ES"/>
        </w:rPr>
        <w:lastRenderedPageBreak/>
        <w:t xml:space="preserve">Bogotá D.C., </w:t>
      </w:r>
      <w:r w:rsidR="00796E2A">
        <w:rPr>
          <w:rFonts w:ascii="Verdana" w:hAnsi="Verdana"/>
          <w:lang w:val="es-ES"/>
        </w:rPr>
        <w:t xml:space="preserve">16 de </w:t>
      </w:r>
      <w:proofErr w:type="gramStart"/>
      <w:r w:rsidR="00796E2A">
        <w:rPr>
          <w:rFonts w:ascii="Verdana" w:hAnsi="Verdana"/>
          <w:lang w:val="es-ES"/>
        </w:rPr>
        <w:t>Marzo</w:t>
      </w:r>
      <w:proofErr w:type="gramEnd"/>
      <w:r w:rsidR="00796E2A">
        <w:rPr>
          <w:rFonts w:ascii="Verdana" w:hAnsi="Verdana"/>
          <w:lang w:val="es-ES"/>
        </w:rPr>
        <w:t xml:space="preserve"> de 2026 </w:t>
      </w:r>
    </w:p>
    <w:p w14:paraId="2AB7E4AA" w14:textId="470281A3" w:rsidR="00675E64" w:rsidRPr="00CC103B" w:rsidRDefault="00796E2A" w:rsidP="00675E64">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594472DD" wp14:editId="713B3F3E">
            <wp:simplePos x="0" y="0"/>
            <wp:positionH relativeFrom="column">
              <wp:posOffset>2798445</wp:posOffset>
            </wp:positionH>
            <wp:positionV relativeFrom="paragraph">
              <wp:posOffset>22225</wp:posOffset>
            </wp:positionV>
            <wp:extent cx="2412365" cy="708660"/>
            <wp:effectExtent l="0" t="0" r="6985" b="0"/>
            <wp:wrapSquare wrapText="bothSides"/>
            <wp:docPr id="378753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53094" name="Picture 378753094"/>
                    <pic:cNvPicPr/>
                  </pic:nvPicPr>
                  <pic:blipFill>
                    <a:blip r:embed="rId11">
                      <a:extLst>
                        <a:ext uri="{28A0092B-C50C-407E-A947-70E740481C1C}">
                          <a14:useLocalDpi xmlns:a14="http://schemas.microsoft.com/office/drawing/2010/main" val="0"/>
                        </a:ext>
                      </a:extLst>
                    </a:blip>
                    <a:stretch>
                      <a:fillRect/>
                    </a:stretch>
                  </pic:blipFill>
                  <pic:spPr>
                    <a:xfrm>
                      <a:off x="0" y="0"/>
                      <a:ext cx="2412365" cy="708660"/>
                    </a:xfrm>
                    <a:prstGeom prst="rect">
                      <a:avLst/>
                    </a:prstGeom>
                  </pic:spPr>
                </pic:pic>
              </a:graphicData>
            </a:graphic>
            <wp14:sizeRelH relativeFrom="page">
              <wp14:pctWidth>0</wp14:pctWidth>
            </wp14:sizeRelH>
            <wp14:sizeRelV relativeFrom="page">
              <wp14:pctHeight>0</wp14:pctHeight>
            </wp14:sizeRelV>
          </wp:anchor>
        </w:drawing>
      </w:r>
    </w:p>
    <w:p w14:paraId="6BCC073A" w14:textId="3EDA47B7" w:rsidR="00675E64" w:rsidRPr="00CC103B" w:rsidRDefault="00675E64" w:rsidP="00675E64">
      <w:pPr>
        <w:spacing w:after="0" w:line="240" w:lineRule="auto"/>
        <w:rPr>
          <w:rFonts w:ascii="Verdana" w:hAnsi="Verdana"/>
          <w:lang w:val="es-ES"/>
        </w:rPr>
      </w:pPr>
      <w:bookmarkStart w:id="0" w:name="_Hlk143780582"/>
      <w:r w:rsidRPr="00CC103B">
        <w:rPr>
          <w:rFonts w:ascii="Verdana" w:eastAsia="Calibri" w:hAnsi="Verdana" w:cs="Arial"/>
          <w:color w:val="000000" w:themeColor="text1"/>
          <w:lang w:val="es-ES" w:eastAsia="es-ES"/>
        </w:rPr>
        <w:t>Señor</w:t>
      </w:r>
    </w:p>
    <w:p w14:paraId="0D3E2220" w14:textId="77777777" w:rsidR="00675E64" w:rsidRPr="00CC103B" w:rsidRDefault="00675E64" w:rsidP="00675E64">
      <w:pPr>
        <w:spacing w:after="0" w:line="240" w:lineRule="auto"/>
        <w:rPr>
          <w:rFonts w:ascii="Verdana" w:eastAsia="Calibri" w:hAnsi="Verdana" w:cs="Arial"/>
          <w:b/>
          <w:color w:val="000000" w:themeColor="text1"/>
          <w:lang w:val="es-ES" w:eastAsia="es-ES"/>
        </w:rPr>
      </w:pPr>
      <w:r w:rsidRPr="00CC103B">
        <w:rPr>
          <w:rFonts w:ascii="Verdana" w:eastAsia="Calibri" w:hAnsi="Verdana" w:cs="Arial"/>
          <w:b/>
          <w:color w:val="000000" w:themeColor="text1"/>
          <w:lang w:val="es-ES" w:eastAsia="es-ES"/>
        </w:rPr>
        <w:t>Ciudadano Anónimo</w:t>
      </w:r>
    </w:p>
    <w:p w14:paraId="23AFE863" w14:textId="77777777" w:rsidR="00675E64" w:rsidRPr="00CC103B" w:rsidRDefault="00675E64" w:rsidP="00675E64">
      <w:pPr>
        <w:spacing w:after="0" w:line="240" w:lineRule="auto"/>
        <w:rPr>
          <w:rFonts w:ascii="Verdana" w:eastAsia="Calibri" w:hAnsi="Verdana" w:cs="Arial"/>
          <w:b/>
          <w:bCs/>
          <w:color w:val="000000" w:themeColor="text1"/>
          <w:lang w:val="es-ES" w:eastAsia="es-ES"/>
        </w:rPr>
      </w:pPr>
      <w:r w:rsidRPr="00CC103B">
        <w:rPr>
          <w:rFonts w:ascii="Verdana" w:hAnsi="Verdana"/>
          <w:lang w:val="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75E64" w:rsidRPr="00CC103B" w14:paraId="65C05AFD" w14:textId="77777777" w:rsidTr="00764B31">
        <w:trPr>
          <w:trHeight w:val="300"/>
        </w:trPr>
        <w:tc>
          <w:tcPr>
            <w:tcW w:w="2410" w:type="dxa"/>
          </w:tcPr>
          <w:p w14:paraId="2E72F1BC" w14:textId="77777777" w:rsidR="00675E64" w:rsidRPr="00CC103B" w:rsidRDefault="00675E64" w:rsidP="00764B31">
            <w:pPr>
              <w:ind w:left="-142"/>
              <w:jc w:val="both"/>
              <w:rPr>
                <w:rFonts w:ascii="Verdana" w:eastAsia="Calibri" w:hAnsi="Verdana" w:cs="Arial"/>
                <w:b/>
                <w:bCs/>
                <w:color w:val="000000" w:themeColor="text1"/>
                <w:lang w:val="es-ES" w:eastAsia="es-ES_tradnl"/>
              </w:rPr>
            </w:pPr>
          </w:p>
        </w:tc>
        <w:tc>
          <w:tcPr>
            <w:tcW w:w="6100" w:type="dxa"/>
          </w:tcPr>
          <w:p w14:paraId="0AB095FD" w14:textId="77777777" w:rsidR="00675E64" w:rsidRPr="00CC103B" w:rsidRDefault="00675E64" w:rsidP="00764B31">
            <w:pPr>
              <w:ind w:left="3"/>
              <w:jc w:val="both"/>
              <w:rPr>
                <w:rFonts w:ascii="Verdana" w:eastAsia="Calibri" w:hAnsi="Verdana" w:cs="Arial"/>
                <w:b/>
                <w:bCs/>
                <w:color w:val="000000" w:themeColor="text1"/>
                <w:lang w:val="es-ES" w:eastAsia="es-ES"/>
              </w:rPr>
            </w:pPr>
          </w:p>
          <w:p w14:paraId="3376B279" w14:textId="6A758283" w:rsidR="00675E64" w:rsidRPr="00CC103B" w:rsidRDefault="00675E64" w:rsidP="00764B31">
            <w:pPr>
              <w:ind w:left="3"/>
              <w:jc w:val="both"/>
              <w:rPr>
                <w:rFonts w:ascii="Verdana" w:eastAsia="Calibri" w:hAnsi="Verdana" w:cs="Arial"/>
                <w:b/>
                <w:bCs/>
                <w:color w:val="000000" w:themeColor="text1"/>
                <w:lang w:val="es-ES" w:eastAsia="es-ES"/>
              </w:rPr>
            </w:pPr>
            <w:r w:rsidRPr="00CC103B">
              <w:rPr>
                <w:rFonts w:ascii="Verdana" w:eastAsia="Calibri" w:hAnsi="Verdana" w:cs="Arial"/>
                <w:b/>
                <w:bCs/>
                <w:color w:val="000000" w:themeColor="text1"/>
                <w:lang w:val="es-ES" w:eastAsia="es-ES"/>
              </w:rPr>
              <w:t>Concepto C-</w:t>
            </w:r>
            <w:r w:rsidR="000A4CF5">
              <w:rPr>
                <w:rFonts w:ascii="Verdana" w:eastAsia="Calibri" w:hAnsi="Verdana" w:cs="Arial"/>
                <w:b/>
                <w:bCs/>
                <w:color w:val="000000" w:themeColor="text1"/>
                <w:lang w:val="es-ES" w:eastAsia="es-ES"/>
              </w:rPr>
              <w:t>164</w:t>
            </w:r>
            <w:r w:rsidRPr="00CC103B">
              <w:rPr>
                <w:rFonts w:ascii="Verdana" w:eastAsia="Calibri" w:hAnsi="Verdana" w:cs="Arial"/>
                <w:b/>
                <w:bCs/>
                <w:color w:val="000000" w:themeColor="text1"/>
                <w:lang w:val="es-ES" w:eastAsia="es-ES"/>
              </w:rPr>
              <w:t xml:space="preserve"> de 2026</w:t>
            </w:r>
          </w:p>
          <w:p w14:paraId="6BA9A232" w14:textId="77777777" w:rsidR="00675E64" w:rsidRPr="00CC103B" w:rsidRDefault="00675E64" w:rsidP="00764B31">
            <w:pPr>
              <w:ind w:left="3"/>
              <w:jc w:val="both"/>
              <w:rPr>
                <w:rFonts w:ascii="Verdana" w:eastAsia="Calibri" w:hAnsi="Verdana" w:cs="Arial"/>
                <w:b/>
                <w:bCs/>
                <w:color w:val="000000" w:themeColor="text1"/>
                <w:lang w:val="es-ES" w:eastAsia="es-ES"/>
              </w:rPr>
            </w:pPr>
          </w:p>
        </w:tc>
      </w:tr>
      <w:tr w:rsidR="00675E64" w:rsidRPr="00CC103B" w14:paraId="256E3051" w14:textId="77777777" w:rsidTr="00764B31">
        <w:trPr>
          <w:trHeight w:val="300"/>
        </w:trPr>
        <w:tc>
          <w:tcPr>
            <w:tcW w:w="2410" w:type="dxa"/>
          </w:tcPr>
          <w:p w14:paraId="1F6F7B72" w14:textId="77777777" w:rsidR="00675E64" w:rsidRPr="00CC103B" w:rsidRDefault="00675E64" w:rsidP="00764B31">
            <w:pPr>
              <w:ind w:left="424" w:firstLine="142"/>
              <w:jc w:val="both"/>
              <w:rPr>
                <w:rFonts w:ascii="Verdana" w:eastAsia="Calibri" w:hAnsi="Verdana" w:cs="Arial"/>
                <w:color w:val="000000" w:themeColor="text1"/>
                <w:lang w:val="es-ES" w:eastAsia="es-ES_tradnl"/>
              </w:rPr>
            </w:pPr>
            <w:r w:rsidRPr="00CC103B">
              <w:rPr>
                <w:rFonts w:ascii="Verdana" w:eastAsia="Calibri" w:hAnsi="Verdana" w:cs="Arial"/>
                <w:b/>
                <w:color w:val="000000" w:themeColor="text1"/>
                <w:lang w:val="es-ES" w:eastAsia="es-ES_tradnl"/>
              </w:rPr>
              <w:t>Temas:</w:t>
            </w:r>
            <w:r w:rsidRPr="00CC103B">
              <w:rPr>
                <w:rFonts w:ascii="Verdana" w:eastAsia="Calibri" w:hAnsi="Verdana" w:cs="Arial"/>
                <w:color w:val="000000" w:themeColor="text1"/>
                <w:lang w:val="es-ES" w:eastAsia="es-ES_tradnl"/>
              </w:rPr>
              <w:t xml:space="preserve">                  </w:t>
            </w:r>
          </w:p>
        </w:tc>
        <w:tc>
          <w:tcPr>
            <w:tcW w:w="6100" w:type="dxa"/>
          </w:tcPr>
          <w:p w14:paraId="2CD9277E" w14:textId="6063246F" w:rsidR="00675E64" w:rsidRPr="00CC103B" w:rsidRDefault="00675E64" w:rsidP="00764B31">
            <w:pPr>
              <w:spacing w:line="276" w:lineRule="auto"/>
              <w:jc w:val="both"/>
              <w:rPr>
                <w:rFonts w:ascii="Verdana" w:eastAsia="Calibri" w:hAnsi="Verdana" w:cs="Arial"/>
                <w:lang w:val="es-ES" w:eastAsia="es-ES"/>
              </w:rPr>
            </w:pPr>
            <w:r w:rsidRPr="00CC103B">
              <w:rPr>
                <w:rFonts w:ascii="Verdana" w:eastAsia="Calibri" w:hAnsi="Verdana" w:cs="Arial"/>
                <w:lang w:val="es-ES" w:eastAsia="es-ES"/>
              </w:rPr>
              <w:t xml:space="preserve">CONTRATO DE PRESTACIÓN DE SERVICIOS – Definición / </w:t>
            </w:r>
            <w:r w:rsidRPr="00CC103B">
              <w:rPr>
                <w:rFonts w:ascii="Verdana" w:hAnsi="Verdana" w:cs="Arial"/>
                <w:lang w:val="es-ES"/>
              </w:rPr>
              <w:t>CONTRATO DE PRESTACIÓN DE SERVICIOS – Características</w:t>
            </w:r>
            <w:r w:rsidRPr="00CC103B">
              <w:rPr>
                <w:rFonts w:ascii="Verdana" w:eastAsia="Calibri" w:hAnsi="Verdana" w:cs="Arial"/>
                <w:bCs/>
                <w:lang w:val="es-ES"/>
              </w:rPr>
              <w:t xml:space="preserve"> </w:t>
            </w:r>
            <w:r w:rsidRPr="00CC103B">
              <w:rPr>
                <w:rFonts w:ascii="Verdana" w:eastAsia="Calibri" w:hAnsi="Verdana" w:cs="Arial"/>
                <w:lang w:val="es-ES" w:eastAsia="es-ES"/>
              </w:rPr>
              <w:t xml:space="preserve">/ PRECIOS UNITARIOS – Estructuración del precio – Cantidades de obra / AIU – Costos indirectos – Finalidad – Ejecución del contrato / AIU – Discrecionalidad </w:t>
            </w:r>
          </w:p>
          <w:p w14:paraId="12DF8E99" w14:textId="77777777" w:rsidR="0031622A" w:rsidRPr="00CC103B" w:rsidRDefault="0031622A" w:rsidP="00764B31">
            <w:pPr>
              <w:spacing w:line="276" w:lineRule="auto"/>
              <w:jc w:val="both"/>
              <w:rPr>
                <w:rFonts w:ascii="Verdana" w:eastAsia="Calibri" w:hAnsi="Verdana" w:cs="Arial"/>
                <w:color w:val="000000" w:themeColor="text1"/>
                <w:lang w:val="es-ES" w:eastAsia="es-ES"/>
              </w:rPr>
            </w:pPr>
          </w:p>
        </w:tc>
      </w:tr>
      <w:tr w:rsidR="00675E64" w:rsidRPr="00CC103B" w14:paraId="18E0D4A6" w14:textId="77777777" w:rsidTr="00764B31">
        <w:tc>
          <w:tcPr>
            <w:tcW w:w="2410" w:type="dxa"/>
          </w:tcPr>
          <w:p w14:paraId="0F4057C4" w14:textId="77777777" w:rsidR="00675E64" w:rsidRPr="00CC103B" w:rsidRDefault="00675E64" w:rsidP="00764B31">
            <w:pPr>
              <w:ind w:left="561"/>
              <w:jc w:val="both"/>
              <w:rPr>
                <w:rFonts w:ascii="Verdana" w:eastAsia="Calibri" w:hAnsi="Verdana" w:cs="Arial"/>
                <w:b/>
                <w:color w:val="000000" w:themeColor="text1"/>
                <w:lang w:val="es-ES" w:eastAsia="es-ES_tradnl"/>
              </w:rPr>
            </w:pPr>
            <w:r w:rsidRPr="00CC103B">
              <w:rPr>
                <w:rFonts w:ascii="Verdana" w:eastAsia="Calibri" w:hAnsi="Verdana" w:cs="Arial"/>
                <w:b/>
                <w:color w:val="000000" w:themeColor="text1"/>
                <w:lang w:val="es-ES" w:eastAsia="es-ES_tradnl"/>
              </w:rPr>
              <w:t>Radicación:</w:t>
            </w:r>
            <w:r w:rsidRPr="00CC103B">
              <w:rPr>
                <w:rFonts w:ascii="Verdana" w:eastAsia="Calibri" w:hAnsi="Verdana" w:cs="Arial"/>
                <w:color w:val="000000" w:themeColor="text1"/>
                <w:lang w:val="es-ES" w:eastAsia="es-ES_tradnl"/>
              </w:rPr>
              <w:t xml:space="preserve">              </w:t>
            </w:r>
          </w:p>
        </w:tc>
        <w:tc>
          <w:tcPr>
            <w:tcW w:w="6100" w:type="dxa"/>
          </w:tcPr>
          <w:p w14:paraId="3273A07E" w14:textId="1FC9D88B" w:rsidR="00675E64" w:rsidRPr="00CC103B" w:rsidRDefault="00675E64" w:rsidP="00764B31">
            <w:pPr>
              <w:ind w:left="3"/>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 xml:space="preserve">Respuesta a consulta con radicado No. </w:t>
            </w:r>
            <w:r w:rsidR="0031622A" w:rsidRPr="00CC103B">
              <w:rPr>
                <w:rFonts w:ascii="Verdana" w:eastAsia="Calibri" w:hAnsi="Verdana" w:cs="Arial"/>
                <w:color w:val="000000" w:themeColor="text1"/>
                <w:lang w:val="es-ES" w:eastAsia="es-ES"/>
              </w:rPr>
              <w:t>1_2026_02_05_001483</w:t>
            </w:r>
          </w:p>
        </w:tc>
      </w:tr>
    </w:tbl>
    <w:p w14:paraId="044A93BD" w14:textId="77777777" w:rsidR="00675E64" w:rsidRPr="00CC103B" w:rsidRDefault="00675E64" w:rsidP="00675E64">
      <w:pPr>
        <w:spacing w:after="0" w:line="276" w:lineRule="auto"/>
        <w:jc w:val="both"/>
        <w:rPr>
          <w:rFonts w:ascii="Verdana" w:eastAsia="Calibri" w:hAnsi="Verdana" w:cs="Arial"/>
          <w:color w:val="000000" w:themeColor="text1"/>
          <w:lang w:val="es-ES" w:eastAsia="es-ES"/>
        </w:rPr>
      </w:pPr>
    </w:p>
    <w:p w14:paraId="3C126C50" w14:textId="77777777" w:rsidR="00675E64" w:rsidRPr="00CC103B" w:rsidRDefault="00675E64" w:rsidP="00675E64">
      <w:pPr>
        <w:spacing w:after="0" w:line="276" w:lineRule="auto"/>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 xml:space="preserve">Estimado ciudadano anónimo: </w:t>
      </w:r>
    </w:p>
    <w:p w14:paraId="29D20AD0" w14:textId="77777777" w:rsidR="00675E64" w:rsidRPr="00CC103B" w:rsidRDefault="00675E64" w:rsidP="00675E64">
      <w:pPr>
        <w:tabs>
          <w:tab w:val="left" w:pos="3768"/>
        </w:tabs>
        <w:spacing w:after="0" w:line="276" w:lineRule="auto"/>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ab/>
      </w:r>
    </w:p>
    <w:p w14:paraId="79F5878E" w14:textId="77777777" w:rsidR="00675E64" w:rsidRPr="00CC103B" w:rsidRDefault="00675E64" w:rsidP="00675E64">
      <w:pPr>
        <w:spacing w:after="0" w:line="276" w:lineRule="auto"/>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En ejercicio de la competencia otorgada por los artículos 3, numeral 5º, y 11, numeral 8º, del Decreto Ley 4170 de 2011,</w:t>
      </w:r>
      <w:r w:rsidRPr="00CC103B">
        <w:rPr>
          <w:rFonts w:ascii="Verdana" w:eastAsia="Arial MT" w:hAnsi="Verdana" w:cs="Arial MT"/>
          <w:color w:val="000000" w:themeColor="text1"/>
          <w:lang w:val="es-ES" w:eastAsia="es-ES"/>
        </w:rPr>
        <w:t xml:space="preserve"> </w:t>
      </w:r>
      <w:r w:rsidRPr="00CC103B">
        <w:rPr>
          <w:rFonts w:ascii="Verdana" w:hAnsi="Verdana" w:cs="Arial"/>
          <w:color w:val="000000" w:themeColor="text1"/>
          <w:lang w:val="es-ES"/>
        </w:rPr>
        <w:t xml:space="preserve">así como lo establecido en el artículo 4 de la Resolución 1707 de 2018 expedida por esta Entidad, </w:t>
      </w:r>
      <w:r w:rsidRPr="00CC103B">
        <w:rPr>
          <w:rFonts w:ascii="Verdana" w:eastAsia="Calibri" w:hAnsi="Verdana" w:cs="Arial"/>
          <w:color w:val="000000" w:themeColor="text1"/>
          <w:lang w:val="es-ES" w:eastAsia="es-ES"/>
        </w:rPr>
        <w:t xml:space="preserve">la Agencia Nacional de Contratación Pública – Colombia Compra Eficiente– responde su solicitud de consulta de fecha 05 de febrero de 2026, en la cual manifiesta lo siguiente: </w:t>
      </w:r>
    </w:p>
    <w:p w14:paraId="5B5E430D" w14:textId="77777777" w:rsidR="00675E64" w:rsidRPr="00CC103B" w:rsidRDefault="00675E64" w:rsidP="00675E64">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A3F3C4A" w14:textId="77777777" w:rsidR="00675E64" w:rsidRPr="00CC103B" w:rsidRDefault="00675E64" w:rsidP="00675E64">
      <w:pPr>
        <w:spacing w:after="0"/>
        <w:ind w:left="709" w:right="709"/>
        <w:jc w:val="both"/>
        <w:rPr>
          <w:rFonts w:ascii="Verdana" w:eastAsia="Century Gothic" w:hAnsi="Verdana" w:cs="Century Gothic"/>
          <w:i/>
          <w:color w:val="000000" w:themeColor="text1"/>
          <w:sz w:val="20"/>
          <w:szCs w:val="20"/>
          <w:lang w:val="es-ES"/>
        </w:rPr>
      </w:pPr>
      <w:r w:rsidRPr="00CC103B">
        <w:rPr>
          <w:rFonts w:ascii="Verdana" w:eastAsia="Century Gothic" w:hAnsi="Verdana" w:cs="Century Gothic"/>
          <w:i/>
          <w:color w:val="000000" w:themeColor="text1"/>
          <w:sz w:val="20"/>
          <w:szCs w:val="20"/>
          <w:lang w:val="es-ES"/>
        </w:rPr>
        <w:t xml:space="preserve">“Teniendo en cuenta el principio de planeación dentro de la contratación estatal y en el marco de un contrato de </w:t>
      </w:r>
      <w:proofErr w:type="spellStart"/>
      <w:r w:rsidRPr="00CC103B">
        <w:rPr>
          <w:rFonts w:ascii="Verdana" w:eastAsia="Century Gothic" w:hAnsi="Verdana" w:cs="Century Gothic"/>
          <w:i/>
          <w:color w:val="000000" w:themeColor="text1"/>
          <w:sz w:val="20"/>
          <w:szCs w:val="20"/>
          <w:lang w:val="es-ES"/>
        </w:rPr>
        <w:t>prestación</w:t>
      </w:r>
      <w:proofErr w:type="spellEnd"/>
      <w:r w:rsidRPr="00CC103B">
        <w:rPr>
          <w:rFonts w:ascii="Verdana" w:eastAsia="Century Gothic" w:hAnsi="Verdana" w:cs="Century Gothic"/>
          <w:i/>
          <w:color w:val="000000" w:themeColor="text1"/>
          <w:sz w:val="20"/>
          <w:szCs w:val="20"/>
          <w:lang w:val="es-ES"/>
        </w:rPr>
        <w:t xml:space="preserve"> de servicios pactado bajo el sistema de precios unitarios ¿</w:t>
      </w:r>
      <w:proofErr w:type="spellStart"/>
      <w:r w:rsidRPr="00CC103B">
        <w:rPr>
          <w:rFonts w:ascii="Verdana" w:eastAsia="Century Gothic" w:hAnsi="Verdana" w:cs="Century Gothic"/>
          <w:i/>
          <w:color w:val="000000" w:themeColor="text1"/>
          <w:sz w:val="20"/>
          <w:szCs w:val="20"/>
          <w:lang w:val="es-ES"/>
        </w:rPr>
        <w:t>cuál</w:t>
      </w:r>
      <w:proofErr w:type="spellEnd"/>
      <w:r w:rsidRPr="00CC103B">
        <w:rPr>
          <w:rFonts w:ascii="Verdana" w:eastAsia="Century Gothic" w:hAnsi="Verdana" w:cs="Century Gothic"/>
          <w:i/>
          <w:color w:val="000000" w:themeColor="text1"/>
          <w:sz w:val="20"/>
          <w:szCs w:val="20"/>
          <w:lang w:val="es-ES"/>
        </w:rPr>
        <w:t xml:space="preserve"> es el alcance de la responsabilidad en la </w:t>
      </w:r>
      <w:proofErr w:type="spellStart"/>
      <w:r w:rsidRPr="00CC103B">
        <w:rPr>
          <w:rFonts w:ascii="Verdana" w:eastAsia="Century Gothic" w:hAnsi="Verdana" w:cs="Century Gothic"/>
          <w:i/>
          <w:color w:val="000000" w:themeColor="text1"/>
          <w:sz w:val="20"/>
          <w:szCs w:val="20"/>
          <w:lang w:val="es-ES"/>
        </w:rPr>
        <w:t>determinación</w:t>
      </w:r>
      <w:proofErr w:type="spellEnd"/>
      <w:r w:rsidRPr="00CC103B">
        <w:rPr>
          <w:rFonts w:ascii="Verdana" w:eastAsia="Century Gothic" w:hAnsi="Verdana" w:cs="Century Gothic"/>
          <w:i/>
          <w:color w:val="000000" w:themeColor="text1"/>
          <w:sz w:val="20"/>
          <w:szCs w:val="20"/>
          <w:lang w:val="es-ES"/>
        </w:rPr>
        <w:t xml:space="preserve"> de las cantidades del servicio en el pliego de condiciones del proceso de selección?</w:t>
      </w:r>
      <w:r w:rsidRPr="00CC103B">
        <w:rPr>
          <w:rFonts w:ascii="Verdana" w:hAnsi="Verdana"/>
          <w:sz w:val="20"/>
          <w:szCs w:val="20"/>
          <w:lang w:val="es-ES"/>
        </w:rPr>
        <w:t>”</w:t>
      </w:r>
    </w:p>
    <w:p w14:paraId="76F8B24E" w14:textId="77777777" w:rsidR="00675E64" w:rsidRPr="00CC103B" w:rsidRDefault="00675E64" w:rsidP="00675E64">
      <w:pPr>
        <w:spacing w:after="0" w:line="276" w:lineRule="auto"/>
        <w:ind w:right="709"/>
        <w:jc w:val="both"/>
        <w:rPr>
          <w:rFonts w:ascii="Verdana" w:eastAsia="Calibri" w:hAnsi="Verdana" w:cs="Arial"/>
          <w:lang w:val="es-ES"/>
        </w:rPr>
      </w:pPr>
    </w:p>
    <w:p w14:paraId="3DDD48DB" w14:textId="77777777" w:rsidR="00675E64" w:rsidRPr="00CC103B" w:rsidRDefault="00675E64" w:rsidP="00675E64">
      <w:pPr>
        <w:spacing w:after="120" w:line="276" w:lineRule="auto"/>
        <w:ind w:firstLine="708"/>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CC103B">
        <w:rPr>
          <w:rFonts w:ascii="Verdana" w:eastAsia="Calibri" w:hAnsi="Verdana" w:cs="Arial"/>
          <w:color w:val="000000" w:themeColor="text1"/>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103B">
        <w:rPr>
          <w:lang w:val="es-ES"/>
        </w:rPr>
        <w:tab/>
      </w:r>
    </w:p>
    <w:p w14:paraId="6D40D066" w14:textId="77777777" w:rsidR="00675E64" w:rsidRPr="00CC103B" w:rsidRDefault="00675E64" w:rsidP="00675E64">
      <w:pPr>
        <w:spacing w:after="0" w:line="276" w:lineRule="auto"/>
        <w:ind w:firstLine="709"/>
        <w:jc w:val="both"/>
        <w:rPr>
          <w:rFonts w:ascii="Verdana" w:eastAsia="Calibri" w:hAnsi="Verdana" w:cs="Arial"/>
          <w:color w:val="000000" w:themeColor="text1"/>
          <w:lang w:val="es-ES" w:eastAsia="es-ES"/>
        </w:rPr>
      </w:pPr>
      <w:r w:rsidRPr="00CC103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A87C6E6" w14:textId="77777777" w:rsidR="00675E64" w:rsidRPr="00CC103B" w:rsidRDefault="00675E64" w:rsidP="00675E64">
      <w:pPr>
        <w:spacing w:after="0" w:line="276" w:lineRule="auto"/>
        <w:jc w:val="both"/>
        <w:rPr>
          <w:rFonts w:ascii="Verdana" w:eastAsia="Calibri" w:hAnsi="Verdana" w:cs="Arial"/>
          <w:color w:val="000000" w:themeColor="text1"/>
          <w:lang w:val="es-ES" w:eastAsia="es-ES"/>
        </w:rPr>
      </w:pPr>
    </w:p>
    <w:p w14:paraId="75E64A7B" w14:textId="77777777" w:rsidR="00675E64" w:rsidRPr="00CC103B" w:rsidRDefault="00675E64" w:rsidP="00675E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C103B">
        <w:rPr>
          <w:rFonts w:ascii="Verdana" w:eastAsia="Century Gothic" w:hAnsi="Verdana" w:cs="Century Gothic"/>
          <w:b/>
          <w:color w:val="000000" w:themeColor="text1"/>
        </w:rPr>
        <w:t>Problema planteado:</w:t>
      </w:r>
    </w:p>
    <w:p w14:paraId="1EC4443A" w14:textId="77777777" w:rsidR="00675E64" w:rsidRPr="00CC103B" w:rsidRDefault="00675E64" w:rsidP="00675E64">
      <w:pPr>
        <w:tabs>
          <w:tab w:val="left" w:pos="426"/>
        </w:tabs>
        <w:spacing w:after="0" w:line="276" w:lineRule="auto"/>
        <w:jc w:val="both"/>
        <w:rPr>
          <w:rFonts w:ascii="Verdana" w:eastAsia="Century Gothic" w:hAnsi="Verdana" w:cs="Century Gothic"/>
          <w:color w:val="000000" w:themeColor="text1"/>
          <w:lang w:val="es-ES"/>
        </w:rPr>
      </w:pPr>
    </w:p>
    <w:p w14:paraId="6A7A1C24" w14:textId="77777777" w:rsidR="00675E64" w:rsidRPr="00CC103B" w:rsidRDefault="00675E64" w:rsidP="00675E64">
      <w:pPr>
        <w:spacing w:after="0" w:line="276" w:lineRule="auto"/>
        <w:jc w:val="both"/>
        <w:rPr>
          <w:rFonts w:ascii="Verdana" w:eastAsia="Century Gothic" w:hAnsi="Verdana" w:cs="Century Gothic"/>
          <w:color w:val="000000" w:themeColor="text1"/>
          <w:lang w:val="es-ES"/>
        </w:rPr>
      </w:pPr>
      <w:r w:rsidRPr="00CC103B">
        <w:rPr>
          <w:rFonts w:ascii="Verdana" w:eastAsia="Century Gothic" w:hAnsi="Verdana" w:cs="Century Gothic"/>
          <w:color w:val="000000" w:themeColor="text1"/>
          <w:lang w:val="es-ES"/>
        </w:rPr>
        <w:t xml:space="preserve">De acuerdo con el contenido de su solicitud, esta Agencia resolverá el siguiente problema jurídico: </w:t>
      </w:r>
      <w:r w:rsidRPr="00CC103B">
        <w:rPr>
          <w:rFonts w:ascii="Verdana" w:eastAsia="Century Gothic" w:hAnsi="Verdana" w:cs="Century Gothic"/>
          <w:lang w:val="es-ES"/>
        </w:rPr>
        <w:t>¿Cuál es el marco jurídico para la determinación de precios unitarios en los contratos de prestación de servicios?</w:t>
      </w:r>
    </w:p>
    <w:p w14:paraId="69967E52" w14:textId="77777777" w:rsidR="00675E64" w:rsidRPr="00CC103B" w:rsidRDefault="00675E64" w:rsidP="00675E64">
      <w:pPr>
        <w:spacing w:after="0" w:line="276" w:lineRule="auto"/>
        <w:jc w:val="both"/>
        <w:rPr>
          <w:rFonts w:ascii="Verdana" w:eastAsia="Calibri" w:hAnsi="Verdana" w:cs="Arial"/>
          <w:color w:val="000000" w:themeColor="text1"/>
          <w:lang w:val="es-ES"/>
        </w:rPr>
      </w:pPr>
    </w:p>
    <w:p w14:paraId="4D79098C" w14:textId="77777777" w:rsidR="00675E64" w:rsidRPr="00CC103B" w:rsidRDefault="00675E64" w:rsidP="00675E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C103B">
        <w:rPr>
          <w:rFonts w:ascii="Verdana" w:eastAsia="Century Gothic" w:hAnsi="Verdana" w:cs="Century Gothic"/>
          <w:b/>
          <w:color w:val="000000" w:themeColor="text1"/>
        </w:rPr>
        <w:t>Respuesta:</w:t>
      </w:r>
    </w:p>
    <w:p w14:paraId="37702011" w14:textId="77777777" w:rsidR="00675E64" w:rsidRPr="00CC103B" w:rsidRDefault="00675E64" w:rsidP="00675E6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75E64" w:rsidRPr="00CC103B" w14:paraId="1453028F" w14:textId="77777777" w:rsidTr="00764B31">
        <w:tc>
          <w:tcPr>
            <w:tcW w:w="8828" w:type="dxa"/>
          </w:tcPr>
          <w:p w14:paraId="638B0EB4" w14:textId="77777777" w:rsidR="00675E64" w:rsidRPr="00CC103B" w:rsidRDefault="00675E64" w:rsidP="00583448">
            <w:pPr>
              <w:spacing w:before="120" w:after="120" w:line="276" w:lineRule="auto"/>
              <w:jc w:val="both"/>
              <w:rPr>
                <w:rFonts w:ascii="Verdana" w:hAnsi="Verdana"/>
                <w:lang w:val="es-ES"/>
              </w:rPr>
            </w:pPr>
            <w:r w:rsidRPr="00CC103B">
              <w:rPr>
                <w:rFonts w:ascii="Verdana" w:hAnsi="Verdana"/>
                <w:lang w:val="es-ES"/>
              </w:rPr>
              <w:t xml:space="preserve">El Estatuto General de Contratación de la Administración Pública establece que las entidades estatales deben determinar el precio del contrato durante la etapa de planeación, para lo cual deben calcular el presupuesto oficial mediante el análisis del sector y el estudio de mercado, así como definir la metodología de estructuración del precio en los estudios previos. Dicha metodología depende de la naturaleza del contrato y de las condiciones del negocio jurídico, por lo que el ordenamiento no establece un único mecanismo para pactar el precio. Entre los esquemas posibles se encuentra el sistema de precios unitarios, que consiste en individualizar el valor de cada ítem o unidad que compone el objeto contractual y determinar el precio final mediante la multiplicación de las cantidades efectivamente ejecutadas por los valores unitarios previamente pactados. Por lo anterior, en este sistema las cantidades incluidas en los documentos del proceso tienen </w:t>
            </w:r>
            <w:r w:rsidRPr="00CC103B">
              <w:rPr>
                <w:rFonts w:ascii="Verdana" w:hAnsi="Verdana"/>
                <w:i/>
                <w:iCs/>
                <w:lang w:val="es-ES"/>
              </w:rPr>
              <w:t>carácter estimativo</w:t>
            </w:r>
            <w:r w:rsidRPr="00CC103B">
              <w:rPr>
                <w:rFonts w:ascii="Verdana" w:hAnsi="Verdana"/>
                <w:lang w:val="es-ES"/>
              </w:rPr>
              <w:t>.</w:t>
            </w:r>
          </w:p>
          <w:p w14:paraId="68C00A1F" w14:textId="77777777" w:rsidR="00675E64" w:rsidRPr="00CC103B" w:rsidRDefault="00675E64" w:rsidP="00764B31">
            <w:pPr>
              <w:spacing w:before="120" w:after="120" w:line="276" w:lineRule="auto"/>
              <w:ind w:firstLine="709"/>
              <w:jc w:val="both"/>
              <w:rPr>
                <w:rFonts w:ascii="Verdana" w:hAnsi="Verdana" w:cs="Arial"/>
                <w:lang w:val="es-ES" w:eastAsia="es-ES"/>
              </w:rPr>
            </w:pPr>
            <w:r w:rsidRPr="00CC103B">
              <w:rPr>
                <w:rFonts w:ascii="Verdana" w:hAnsi="Verdana" w:cs="Arial"/>
                <w:lang w:val="es-ES" w:eastAsia="es-ES"/>
              </w:rPr>
              <w:t xml:space="preserve">Aunque el sistema de precios unitarios es usual en contratos de obra pública, la normativa no limita su utilización a un tipo contractual específico, </w:t>
            </w:r>
            <w:r w:rsidRPr="00CC103B">
              <w:rPr>
                <w:rFonts w:ascii="Verdana" w:hAnsi="Verdana" w:cs="Arial"/>
                <w:lang w:val="es-ES" w:eastAsia="es-ES"/>
              </w:rPr>
              <w:lastRenderedPageBreak/>
              <w:t>por lo que también puede emplearse en contratos de prestación de servicios cuando el objeto contractual pueda desagregarse en unidades verificables de ejecución. En estos contratos, la fijación de honorarios y la forma de pago se rigen principalmente por la autonomía de la voluntad de las partes, quienes pueden pactar el sistema de remuneración más adecuado para cumplir los fines de la contratación, dentro de los límites constitucionales y legales.</w:t>
            </w:r>
          </w:p>
          <w:p w14:paraId="2A513555" w14:textId="77777777" w:rsidR="00675E64" w:rsidRPr="00CC103B" w:rsidRDefault="00675E64" w:rsidP="00764B31">
            <w:pPr>
              <w:spacing w:before="120" w:after="120" w:line="276" w:lineRule="auto"/>
              <w:ind w:firstLine="709"/>
              <w:jc w:val="both"/>
              <w:rPr>
                <w:rFonts w:ascii="Verdana" w:hAnsi="Verdana" w:cs="Arial"/>
                <w:lang w:val="es-ES"/>
              </w:rPr>
            </w:pPr>
            <w:r w:rsidRPr="00CC103B">
              <w:rPr>
                <w:rFonts w:ascii="Verdana" w:hAnsi="Verdana" w:cs="Arial"/>
                <w:lang w:val="es-ES" w:eastAsia="es-ES"/>
              </w:rPr>
              <w:t xml:space="preserve">Por ende, la decisión de pactar este tipo de mecanismo o de incluir el AIU en los contratos de prestación de servicios,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 </w:t>
            </w:r>
          </w:p>
          <w:p w14:paraId="0877D134" w14:textId="77777777" w:rsidR="00675E64" w:rsidRPr="00CC103B" w:rsidRDefault="00675E64" w:rsidP="00764B31">
            <w:pPr>
              <w:spacing w:before="120" w:after="120" w:line="276" w:lineRule="auto"/>
              <w:ind w:firstLine="709"/>
              <w:jc w:val="both"/>
              <w:rPr>
                <w:rFonts w:ascii="Verdana" w:eastAsia="Times New Roman" w:hAnsi="Verdana" w:cs="Arial"/>
                <w:color w:val="000000" w:themeColor="text1"/>
                <w:lang w:val="es-ES" w:eastAsia="es-ES"/>
              </w:rPr>
            </w:pPr>
            <w:r w:rsidRPr="00CC103B">
              <w:rPr>
                <w:rFonts w:ascii="Verdana" w:eastAsia="Times New Roman" w:hAnsi="Verdana" w:cs="Arial"/>
                <w:color w:val="000000" w:themeColor="text1"/>
                <w:lang w:val="es-ES" w:eastAsia="es-ES"/>
              </w:rPr>
              <w:t xml:space="preserve">Así, durante la etapa de planeación las entidades públicas son responsables de estimar y determinar las prestaciones que demanda la satisfacción del interés colectivo, conforme al análisis de los estudios y diseños previos. No obstante, teniendo en cuenta que en la modalidad de precios unitarios las cantidades son estimativas, es factible </w:t>
            </w:r>
            <w:proofErr w:type="gramStart"/>
            <w:r w:rsidRPr="00CC103B">
              <w:rPr>
                <w:rFonts w:ascii="Verdana" w:eastAsia="Times New Roman" w:hAnsi="Verdana" w:cs="Arial"/>
                <w:color w:val="000000" w:themeColor="text1"/>
                <w:lang w:val="es-ES" w:eastAsia="es-ES"/>
              </w:rPr>
              <w:t>que</w:t>
            </w:r>
            <w:proofErr w:type="gramEnd"/>
            <w:r w:rsidRPr="00CC103B">
              <w:rPr>
                <w:rFonts w:ascii="Verdana" w:eastAsia="Times New Roman" w:hAnsi="Verdana" w:cs="Arial"/>
                <w:color w:val="000000" w:themeColor="text1"/>
                <w:lang w:val="es-ES" w:eastAsia="es-ES"/>
              </w:rPr>
              <w:t xml:space="preserve"> durante la ejecución del contrato, las partes puedan identificar situaciones en las que se genera la necesidad de mayores cantidades de bienes o actividades inicialmente previstas, a lo que se le conoce como mayores cantidades o adición de ítems contractuales. De esta forma, si bien la responsabilidad inicial en la definición de las cantidades recae en la entidad estatal en la fase de planeación, durante la ejecución del contrato tanto la entidad contratante como el contratista están obligados a identificar, advertir y gestionar oportunamente las situaciones que puedan afectar la adecuada ejecución del contrato. </w:t>
            </w:r>
          </w:p>
          <w:p w14:paraId="77A16AC4" w14:textId="77777777" w:rsidR="00675E64" w:rsidRPr="00CC103B" w:rsidRDefault="00675E64" w:rsidP="00764B31">
            <w:pPr>
              <w:spacing w:before="120" w:after="120" w:line="276" w:lineRule="auto"/>
              <w:ind w:firstLine="709"/>
              <w:jc w:val="both"/>
              <w:rPr>
                <w:rFonts w:ascii="Verdana" w:eastAsia="Calibri" w:hAnsi="Verdana" w:cs="Arial"/>
                <w:color w:val="000000"/>
                <w:lang w:val="es-ES"/>
              </w:rPr>
            </w:pPr>
            <w:r w:rsidRPr="00CC103B">
              <w:rPr>
                <w:rFonts w:ascii="Verdana" w:eastAsia="Calibri" w:hAnsi="Verdana" w:cs="Arial"/>
                <w:color w:val="000000"/>
                <w:lang w:val="es-ES"/>
              </w:rPr>
              <w:t xml:space="preserve">Corresponde a la Entidad Estatal, en ejercicio del principio de planeación y de la autonomía para estructurar sus procesos contractuales, determinar en cada caso la forma en que establecerá el precio del contrato y, en particular, si resulta procedente adoptar el sistema de precios unitarios en contratos de prestación de servicios, así como la determinación de las unidades o ítems aplicables. De acuerdo con la jurisprudencia del Consejo de Estado el deber de planeación exige que la administración realice previamente los estudios técnicos, económicos y de mercado necesarios para identificar la necesidad </w:t>
            </w:r>
            <w:r w:rsidRPr="00CC103B">
              <w:rPr>
                <w:rFonts w:ascii="Verdana" w:eastAsia="Calibri" w:hAnsi="Verdana" w:cs="Arial"/>
                <w:color w:val="000000"/>
                <w:lang w:val="es-ES"/>
              </w:rPr>
              <w:lastRenderedPageBreak/>
              <w:t>pública, definir el alcance del objeto contractual y establecer la metodología adecuada para la estructuración del precio. En este contexto, la decisión de desagregar el servicio en unidades de medida y fijar precios unitarios forma parte de la estructuración del contrato que corresponde a la entidad durante la etapa precontractual, con el fin de garantizar la adecuada ejecución del contrato.</w:t>
            </w:r>
          </w:p>
          <w:p w14:paraId="0689C7DC" w14:textId="66247633" w:rsidR="00675E64" w:rsidRPr="00CC103B" w:rsidRDefault="00675E64" w:rsidP="00764B31">
            <w:pPr>
              <w:spacing w:before="120" w:after="120" w:line="276" w:lineRule="auto"/>
              <w:ind w:firstLine="709"/>
              <w:jc w:val="both"/>
              <w:rPr>
                <w:rFonts w:ascii="Verdana" w:eastAsia="Calibri" w:hAnsi="Verdana" w:cs="Arial"/>
                <w:color w:val="000000"/>
                <w:lang w:val="es-ES"/>
              </w:rPr>
            </w:pPr>
            <w:r w:rsidRPr="00CC103B">
              <w:rPr>
                <w:rFonts w:ascii="Verdana" w:eastAsia="Calibri" w:hAnsi="Verdana" w:cs="Arial"/>
                <w:color w:val="000000"/>
                <w:lang w:val="es-ES"/>
              </w:rPr>
              <w:t xml:space="preserve">En consecuencia, los contratos de prestación de servicios pueden emplear el sistema de fijación de precios unitarios, caso en el cual la entidad es </w:t>
            </w:r>
            <w:r w:rsidR="003D789E" w:rsidRPr="00CC103B">
              <w:rPr>
                <w:rFonts w:ascii="Verdana" w:eastAsia="Calibri" w:hAnsi="Verdana" w:cs="Arial"/>
                <w:color w:val="000000"/>
                <w:lang w:val="es-ES"/>
              </w:rPr>
              <w:t>responsable</w:t>
            </w:r>
            <w:r w:rsidRPr="00CC103B">
              <w:rPr>
                <w:rFonts w:ascii="Verdana" w:eastAsia="Calibri" w:hAnsi="Verdana" w:cs="Arial"/>
                <w:color w:val="000000"/>
                <w:lang w:val="es-ES"/>
              </w:rPr>
              <w:t xml:space="preserve"> de determinar la forma en que el objeto contractual podrá ser desagregado en unidades verificables de ejecución, de modo que la remuneración del contratista se determine a partir de las actividades efectivamente realizadas. En todo caso, la adopción de este esquema implica que la entidad realice una estimación técnica y razonable de las cantidades del servicio en la etapa de planeación, las cuales tienen carácter estimativo y pueden variar durante la ejecución según las necesidades del servicio, sin que dicha variación implique por sí misma una irregularidad contractual.</w:t>
            </w:r>
          </w:p>
          <w:p w14:paraId="6EC4F0B3" w14:textId="77777777" w:rsidR="00675E64" w:rsidRPr="00CC103B" w:rsidRDefault="00675E64" w:rsidP="00764B31">
            <w:pPr>
              <w:widowControl w:val="0"/>
              <w:autoSpaceDE w:val="0"/>
              <w:autoSpaceDN w:val="0"/>
              <w:spacing w:line="276" w:lineRule="auto"/>
              <w:ind w:firstLine="708"/>
              <w:jc w:val="both"/>
              <w:rPr>
                <w:rFonts w:ascii="Verdana" w:hAnsi="Verdana"/>
                <w:lang w:val="es-ES"/>
              </w:rPr>
            </w:pPr>
            <w:r w:rsidRPr="00CC103B">
              <w:rPr>
                <w:rFonts w:ascii="Verdana" w:hAnsi="Verdana" w:cs="Arial"/>
                <w:lang w:val="es-ES" w:eastAsia="es-ES"/>
              </w:rPr>
              <w:t xml:space="preserve">Al margen de la explicación precedente debe advertirse que el análisis requerido para resolver problemas específicos en torno a la responsabilidad derivada de la determinación del precio en los contratos </w:t>
            </w:r>
            <w:proofErr w:type="gramStart"/>
            <w:r w:rsidRPr="00CC103B">
              <w:rPr>
                <w:rFonts w:ascii="Verdana" w:hAnsi="Verdana" w:cs="Arial"/>
                <w:lang w:val="es-ES" w:eastAsia="es-ES"/>
              </w:rPr>
              <w:t>estatales,</w:t>
            </w:r>
            <w:proofErr w:type="gramEnd"/>
            <w:r w:rsidRPr="00CC103B">
              <w:rPr>
                <w:rFonts w:ascii="Verdana" w:hAnsi="Verdana" w:cs="Arial"/>
                <w:lang w:val="es-ES" w:eastAsia="es-ES"/>
              </w:rPr>
              <w:t xml:space="preserve"> corresponde a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F95E16B" w14:textId="77777777" w:rsidR="00675E64" w:rsidRPr="00CC103B" w:rsidRDefault="00675E64" w:rsidP="00675E6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3F5ABEC" w14:textId="77777777" w:rsidR="00675E64" w:rsidRPr="00CC103B" w:rsidRDefault="00675E64" w:rsidP="00675E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C103B">
        <w:rPr>
          <w:rFonts w:ascii="Verdana" w:eastAsia="Century Gothic" w:hAnsi="Verdana" w:cs="Century Gothic"/>
          <w:b/>
          <w:color w:val="000000" w:themeColor="text1"/>
        </w:rPr>
        <w:t>Razones de la respuesta:</w:t>
      </w:r>
    </w:p>
    <w:p w14:paraId="42D165B6" w14:textId="77777777" w:rsidR="00675E64" w:rsidRPr="00CC103B" w:rsidRDefault="00675E64" w:rsidP="00675E64">
      <w:pPr>
        <w:spacing w:after="0" w:line="276" w:lineRule="auto"/>
        <w:jc w:val="both"/>
        <w:rPr>
          <w:rFonts w:ascii="Verdana" w:eastAsia="Calibri" w:hAnsi="Verdana" w:cs="Arial"/>
          <w:color w:val="000000" w:themeColor="text1"/>
          <w:lang w:val="es-ES"/>
        </w:rPr>
      </w:pPr>
      <w:bookmarkStart w:id="1" w:name="_Hlk102983874"/>
      <w:bookmarkStart w:id="2" w:name="_Hlk102388095"/>
    </w:p>
    <w:p w14:paraId="7637BCF3" w14:textId="77777777" w:rsidR="00675E64" w:rsidRPr="00CC103B" w:rsidRDefault="00675E64" w:rsidP="00675E64">
      <w:pPr>
        <w:spacing w:after="0" w:line="276" w:lineRule="auto"/>
        <w:jc w:val="both"/>
        <w:rPr>
          <w:rFonts w:ascii="Verdana" w:eastAsia="Calibri" w:hAnsi="Verdana" w:cs="Arial"/>
          <w:lang w:val="es-ES"/>
        </w:rPr>
      </w:pPr>
      <w:r w:rsidRPr="00CC103B">
        <w:rPr>
          <w:rFonts w:ascii="Verdana" w:eastAsia="Calibri" w:hAnsi="Verdana" w:cs="Arial"/>
          <w:lang w:val="es-ES"/>
        </w:rPr>
        <w:lastRenderedPageBreak/>
        <w:t xml:space="preserve">Las respuestas anteriores se sustentan en las siguientes consideraciones: </w:t>
      </w:r>
    </w:p>
    <w:p w14:paraId="53589B34" w14:textId="77777777" w:rsidR="00675E64" w:rsidRPr="00CC103B" w:rsidRDefault="00675E64" w:rsidP="00675E64">
      <w:pPr>
        <w:spacing w:after="0" w:line="276" w:lineRule="auto"/>
        <w:jc w:val="both"/>
        <w:rPr>
          <w:rFonts w:ascii="Verdana" w:eastAsia="Calibri" w:hAnsi="Verdana" w:cs="Arial"/>
          <w:lang w:val="es-ES"/>
        </w:rPr>
      </w:pPr>
    </w:p>
    <w:p w14:paraId="09470D82" w14:textId="2C950E9B" w:rsidR="00675E64" w:rsidRPr="00CC103B" w:rsidRDefault="00675E64" w:rsidP="00675E64">
      <w:pPr>
        <w:tabs>
          <w:tab w:val="left" w:pos="0"/>
        </w:tabs>
        <w:spacing w:after="240" w:line="276" w:lineRule="auto"/>
        <w:jc w:val="both"/>
        <w:rPr>
          <w:rFonts w:ascii="Verdana" w:eastAsia="Calibri" w:hAnsi="Verdana" w:cs="Arial"/>
          <w:color w:val="000000" w:themeColor="text1"/>
          <w:lang w:val="es-ES"/>
        </w:rPr>
      </w:pPr>
      <w:r w:rsidRPr="00CC103B">
        <w:rPr>
          <w:rFonts w:ascii="Verdana" w:eastAsia="Calibri" w:hAnsi="Verdana" w:cs="Arial"/>
          <w:color w:val="000000"/>
          <w:lang w:val="es-ES"/>
        </w:rPr>
        <w:t xml:space="preserve">i) </w:t>
      </w:r>
      <w:r w:rsidRPr="00CC103B">
        <w:rPr>
          <w:rFonts w:ascii="Verdana" w:hAnsi="Verdana" w:cs="Arial"/>
          <w:color w:val="000000" w:themeColor="text1"/>
          <w:lang w:val="es-ES"/>
        </w:rPr>
        <w:t>El contrato de prestación de servicios es un contrato estatal típico, regulado en el numeral 3 del artículo 32 de la Ley 80 de 1993. Es definido como aquel que “</w:t>
      </w:r>
      <w:r w:rsidRPr="004C1816">
        <w:rPr>
          <w:rFonts w:ascii="Verdana" w:hAnsi="Verdana" w:cs="Arial"/>
          <w:color w:val="000000" w:themeColor="text1"/>
          <w:lang w:val="es-ES"/>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CC103B">
        <w:rPr>
          <w:rFonts w:ascii="Verdana" w:hAnsi="Verdana" w:cs="Arial"/>
          <w:color w:val="000000" w:themeColor="text1"/>
          <w:lang w:val="es-ES"/>
        </w:rPr>
        <w:t>.</w:t>
      </w:r>
      <w:r w:rsidRPr="00CC103B">
        <w:rPr>
          <w:rFonts w:ascii="Verdana" w:eastAsia="Calibri" w:hAnsi="Verdana" w:cs="Arial"/>
          <w:color w:val="000000" w:themeColor="text1"/>
          <w:lang w:val="es-ES"/>
        </w:rPr>
        <w:t xml:space="preserve"> </w:t>
      </w:r>
    </w:p>
    <w:p w14:paraId="05DDF21F" w14:textId="77777777" w:rsidR="00675E64" w:rsidRPr="00CC103B" w:rsidRDefault="00675E64" w:rsidP="00675E64">
      <w:pPr>
        <w:tabs>
          <w:tab w:val="left" w:pos="0"/>
        </w:tabs>
        <w:spacing w:after="0" w:line="276" w:lineRule="auto"/>
        <w:ind w:firstLine="708"/>
        <w:jc w:val="both"/>
        <w:rPr>
          <w:rFonts w:ascii="Verdana" w:eastAsia="Calibri" w:hAnsi="Verdana" w:cs="Arial"/>
          <w:color w:val="000000" w:themeColor="text1"/>
          <w:lang w:val="es-ES"/>
        </w:rPr>
      </w:pPr>
      <w:r w:rsidRPr="00CC103B">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2E9E4416" w14:textId="77777777" w:rsidR="00675E64" w:rsidRPr="00CC103B" w:rsidRDefault="00675E64" w:rsidP="00675E64">
      <w:pPr>
        <w:spacing w:after="0" w:line="240" w:lineRule="auto"/>
        <w:ind w:right="709"/>
        <w:jc w:val="both"/>
        <w:rPr>
          <w:rFonts w:ascii="Verdana" w:eastAsia="Calibri" w:hAnsi="Verdana" w:cs="Arial"/>
          <w:color w:val="000000" w:themeColor="text1"/>
          <w:lang w:val="es-ES"/>
        </w:rPr>
      </w:pPr>
    </w:p>
    <w:p w14:paraId="08A6DC02" w14:textId="77777777" w:rsidR="00675E64" w:rsidRPr="00CC103B" w:rsidRDefault="00675E64" w:rsidP="00675E64">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“La escogencia del contratista se efectuará con arreglo a las modalidades de selección de licitación pública, selección abreviada, concurso de méritos y contratación directa, con base en las siguientes reglas:</w:t>
      </w:r>
    </w:p>
    <w:p w14:paraId="0452EE4E" w14:textId="77777777" w:rsidR="00675E64" w:rsidRPr="00CC103B" w:rsidRDefault="00675E64" w:rsidP="00675E64">
      <w:pPr>
        <w:spacing w:after="120" w:line="240" w:lineRule="auto"/>
        <w:ind w:left="709" w:right="760"/>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w:t>
      </w:r>
    </w:p>
    <w:p w14:paraId="7C8CD4F0" w14:textId="77777777" w:rsidR="00675E64" w:rsidRPr="00CC103B" w:rsidRDefault="00675E64" w:rsidP="00675E64">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 xml:space="preserve">4. Contratación directa. La modalidad de selección de contratación </w:t>
      </w:r>
      <w:proofErr w:type="gramStart"/>
      <w:r w:rsidRPr="00CC103B">
        <w:rPr>
          <w:rFonts w:ascii="Verdana" w:eastAsia="Calibri" w:hAnsi="Verdana" w:cs="Arial"/>
          <w:color w:val="000000" w:themeColor="text1"/>
          <w:sz w:val="20"/>
          <w:szCs w:val="20"/>
          <w:lang w:val="es-ES"/>
        </w:rPr>
        <w:t>directa,</w:t>
      </w:r>
      <w:proofErr w:type="gramEnd"/>
      <w:r w:rsidRPr="00CC103B">
        <w:rPr>
          <w:rFonts w:ascii="Verdana" w:eastAsia="Calibri" w:hAnsi="Verdana" w:cs="Arial"/>
          <w:color w:val="000000" w:themeColor="text1"/>
          <w:sz w:val="20"/>
          <w:szCs w:val="20"/>
          <w:lang w:val="es-ES"/>
        </w:rPr>
        <w:t xml:space="preserve"> solamente procederá en los siguientes casos:</w:t>
      </w:r>
    </w:p>
    <w:p w14:paraId="41D1FAA4" w14:textId="77777777" w:rsidR="00675E64" w:rsidRPr="00CC103B" w:rsidRDefault="00675E64" w:rsidP="00675E64">
      <w:pPr>
        <w:spacing w:after="120" w:line="240" w:lineRule="auto"/>
        <w:ind w:left="709" w:right="760"/>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w:t>
      </w:r>
    </w:p>
    <w:p w14:paraId="2F893E5F" w14:textId="77777777" w:rsidR="00675E64" w:rsidRPr="00CC103B" w:rsidRDefault="00675E64" w:rsidP="00675E64">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h) Para la prestación de servicios profesionales y de apoyo a la gestión, o para la ejecución de trabajos artísticos que sólo puedan encomendarse a determinadas personas naturales”.</w:t>
      </w:r>
    </w:p>
    <w:p w14:paraId="3F2A7F5B" w14:textId="77777777" w:rsidR="00675E64" w:rsidRPr="00CC103B" w:rsidRDefault="00675E64" w:rsidP="00675E64">
      <w:pPr>
        <w:autoSpaceDE w:val="0"/>
        <w:autoSpaceDN w:val="0"/>
        <w:adjustRightInd w:val="0"/>
        <w:spacing w:after="0" w:line="276" w:lineRule="auto"/>
        <w:jc w:val="both"/>
        <w:rPr>
          <w:rFonts w:ascii="Verdana" w:eastAsia="Calibri" w:hAnsi="Verdana" w:cs="Arial"/>
          <w:lang w:val="es-ES"/>
        </w:rPr>
      </w:pPr>
    </w:p>
    <w:p w14:paraId="5C648C6A"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186BADDB"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1) Solo puede celebrarse para realizar “actividades relacionadas con la administración o funcionamiento de la entidad”, es decir, que hagan parte de su giro ordinario o quehacer cotidiano.</w:t>
      </w:r>
    </w:p>
    <w:p w14:paraId="75F95AE2"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 xml:space="preserve">2) Admite que se suscriba tanto con personas naturales como con personas jurídicas. Y requiere que la Entidad Estatal justifique en los Estudios Previos que las actividades que buscan encomendarse a aquella “no puedan </w:t>
      </w:r>
      <w:r w:rsidRPr="00CC103B">
        <w:rPr>
          <w:rFonts w:ascii="Verdana" w:hAnsi="Verdana" w:cs="Arial"/>
          <w:lang w:val="es-ES"/>
        </w:rPr>
        <w:lastRenderedPageBreak/>
        <w:t>realizarse con personal de planta o requieran conocimientos especializados”</w:t>
      </w:r>
      <w:r w:rsidRPr="00CC103B">
        <w:rPr>
          <w:rStyle w:val="Refdenotaalpie"/>
          <w:rFonts w:ascii="Verdana" w:hAnsi="Verdana" w:cs="Arial"/>
          <w:lang w:val="es-ES"/>
        </w:rPr>
        <w:footnoteReference w:id="2"/>
      </w:r>
      <w:r w:rsidRPr="00CC103B">
        <w:rPr>
          <w:rFonts w:ascii="Verdana" w:hAnsi="Verdana" w:cs="Arial"/>
          <w:lang w:val="es-ES"/>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7A20965F"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3) Si bien se celebran para obtener la prestación personal de un servicio, se diferencian del contrato de trabajo</w:t>
      </w:r>
      <w:r w:rsidRPr="00CC103B">
        <w:rPr>
          <w:rStyle w:val="Refdenotaalpie"/>
          <w:rFonts w:ascii="Verdana" w:hAnsi="Verdana" w:cs="Arial"/>
          <w:lang w:val="es-ES"/>
        </w:rPr>
        <w:footnoteReference w:id="3"/>
      </w:r>
      <w:r w:rsidRPr="00CC103B">
        <w:rPr>
          <w:rFonts w:ascii="Verdana" w:hAnsi="Verdana" w:cs="Arial"/>
          <w:lang w:val="es-ES"/>
        </w:rPr>
        <w:t xml:space="preserve"> en que quien celebra el contrato de prestación de servicios debe mantener autonomía e independencia en la ejecución de la labor, lo que significa que no puede existir la </w:t>
      </w:r>
      <w:r w:rsidRPr="00CC103B">
        <w:rPr>
          <w:rFonts w:ascii="Verdana" w:hAnsi="Verdana" w:cs="Arial"/>
          <w:i/>
          <w:iCs/>
          <w:lang w:val="es-ES"/>
        </w:rPr>
        <w:t>subordinación y dependencia</w:t>
      </w:r>
      <w:r w:rsidRPr="00CC103B">
        <w:rPr>
          <w:rFonts w:ascii="Verdana" w:hAnsi="Verdana" w:cs="Arial"/>
          <w:lang w:val="es-ES"/>
        </w:rPr>
        <w:t xml:space="preserve">, que es uno de los elementos constitutivos del vínculo laboral. </w:t>
      </w:r>
    </w:p>
    <w:p w14:paraId="4F35A788"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5868F155"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lastRenderedPageBreak/>
        <w:t xml:space="preserve">Pero es posible que, a pesar de este mandato deontológico, en la práctica surja la relación laboral, pues, como se sabe, el contrato de trabajo es un </w:t>
      </w:r>
      <w:r w:rsidRPr="00CC103B">
        <w:rPr>
          <w:rFonts w:ascii="Verdana" w:hAnsi="Verdana" w:cs="Arial"/>
          <w:i/>
          <w:iCs/>
          <w:lang w:val="es-ES"/>
        </w:rPr>
        <w:t>contrato realidad</w:t>
      </w:r>
      <w:r w:rsidRPr="00CC103B">
        <w:rPr>
          <w:rFonts w:ascii="Verdana" w:hAnsi="Verdana" w:cs="Arial"/>
          <w:lang w:val="es-ES"/>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CC103B">
        <w:rPr>
          <w:rStyle w:val="Refdenotaalpie"/>
          <w:rFonts w:ascii="Verdana" w:hAnsi="Verdana" w:cs="Arial"/>
          <w:lang w:val="es-ES"/>
        </w:rPr>
        <w:footnoteReference w:id="4"/>
      </w:r>
      <w:r w:rsidRPr="00CC103B">
        <w:rPr>
          <w:rFonts w:ascii="Verdana" w:hAnsi="Verdana" w:cs="Arial"/>
          <w:lang w:val="es-ES"/>
        </w:rPr>
        <w:t>.</w:t>
      </w:r>
    </w:p>
    <w:p w14:paraId="4CFF3D6B" w14:textId="77777777" w:rsidR="00675E64" w:rsidRPr="00CC103B" w:rsidRDefault="00675E64" w:rsidP="00675E64">
      <w:pPr>
        <w:widowControl w:val="0"/>
        <w:autoSpaceDE w:val="0"/>
        <w:autoSpaceDN w:val="0"/>
        <w:spacing w:after="0" w:line="276" w:lineRule="auto"/>
        <w:ind w:firstLine="709"/>
        <w:jc w:val="both"/>
        <w:rPr>
          <w:rFonts w:ascii="Verdana" w:hAnsi="Verdana" w:cs="Arial"/>
          <w:lang w:val="es-ES"/>
        </w:rPr>
      </w:pPr>
      <w:r w:rsidRPr="00CC103B">
        <w:rPr>
          <w:rFonts w:ascii="Verdana" w:hAnsi="Verdana" w:cs="Arial"/>
          <w:lang w:val="es-ES"/>
        </w:rPr>
        <w:t>4) Deben ser temporales. Así lo señaló la Corte Constitucional en la misma providencia a la que se aludió previamente, expresando que:</w:t>
      </w:r>
    </w:p>
    <w:p w14:paraId="76E40F27" w14:textId="77777777" w:rsidR="00675E64" w:rsidRPr="00CC103B" w:rsidRDefault="00675E64" w:rsidP="00675E64">
      <w:pPr>
        <w:widowControl w:val="0"/>
        <w:autoSpaceDE w:val="0"/>
        <w:autoSpaceDN w:val="0"/>
        <w:spacing w:after="0" w:line="276" w:lineRule="auto"/>
        <w:ind w:firstLine="709"/>
        <w:jc w:val="both"/>
        <w:rPr>
          <w:rFonts w:ascii="Verdana" w:hAnsi="Verdana" w:cs="Arial"/>
          <w:lang w:val="es-ES"/>
        </w:rPr>
      </w:pPr>
    </w:p>
    <w:p w14:paraId="262650D8" w14:textId="77777777" w:rsidR="00675E64" w:rsidRPr="00CC103B" w:rsidRDefault="00675E64" w:rsidP="00675E64">
      <w:pPr>
        <w:widowControl w:val="0"/>
        <w:autoSpaceDE w:val="0"/>
        <w:autoSpaceDN w:val="0"/>
        <w:spacing w:after="0" w:line="240" w:lineRule="auto"/>
        <w:ind w:left="709" w:right="709"/>
        <w:jc w:val="both"/>
        <w:rPr>
          <w:rFonts w:ascii="Verdana" w:hAnsi="Verdana" w:cs="Arial"/>
          <w:sz w:val="20"/>
          <w:szCs w:val="20"/>
          <w:lang w:val="es-ES"/>
        </w:rPr>
      </w:pPr>
      <w:r w:rsidRPr="00CC103B">
        <w:rPr>
          <w:rFonts w:ascii="Verdana" w:hAnsi="Verdana" w:cs="Arial"/>
          <w:sz w:val="20"/>
          <w:szCs w:val="20"/>
          <w:lang w:val="es-ES"/>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CC103B">
        <w:rPr>
          <w:rStyle w:val="Refdenotaalpie"/>
          <w:rFonts w:ascii="Verdana" w:hAnsi="Verdana" w:cs="Arial"/>
          <w:sz w:val="20"/>
          <w:szCs w:val="20"/>
          <w:lang w:val="es-ES"/>
        </w:rPr>
        <w:footnoteReference w:id="5"/>
      </w:r>
      <w:r w:rsidRPr="00CC103B">
        <w:rPr>
          <w:rFonts w:ascii="Verdana" w:hAnsi="Verdana" w:cs="Arial"/>
          <w:sz w:val="20"/>
          <w:szCs w:val="20"/>
          <w:lang w:val="es-ES"/>
        </w:rPr>
        <w:t>.</w:t>
      </w:r>
    </w:p>
    <w:p w14:paraId="26F823BF" w14:textId="77777777" w:rsidR="00675E64" w:rsidRPr="00CC103B" w:rsidRDefault="00675E64" w:rsidP="00675E64">
      <w:pPr>
        <w:widowControl w:val="0"/>
        <w:autoSpaceDE w:val="0"/>
        <w:autoSpaceDN w:val="0"/>
        <w:spacing w:after="0" w:line="240" w:lineRule="auto"/>
        <w:ind w:left="709" w:right="709"/>
        <w:jc w:val="both"/>
        <w:rPr>
          <w:rFonts w:ascii="Verdana" w:hAnsi="Verdana" w:cs="Arial"/>
          <w:sz w:val="20"/>
          <w:szCs w:val="20"/>
          <w:lang w:val="es-ES"/>
        </w:rPr>
      </w:pPr>
    </w:p>
    <w:p w14:paraId="18800F7C" w14:textId="77777777" w:rsidR="00675E64" w:rsidRPr="00CC103B" w:rsidRDefault="00675E64" w:rsidP="00675E64">
      <w:pPr>
        <w:widowControl w:val="0"/>
        <w:autoSpaceDE w:val="0"/>
        <w:autoSpaceDN w:val="0"/>
        <w:spacing w:after="0" w:line="276" w:lineRule="auto"/>
        <w:ind w:firstLine="709"/>
        <w:jc w:val="both"/>
        <w:rPr>
          <w:rFonts w:ascii="Verdana" w:hAnsi="Verdana" w:cs="Arial"/>
          <w:lang w:val="es-ES"/>
        </w:rPr>
      </w:pPr>
      <w:r w:rsidRPr="00CC103B">
        <w:rPr>
          <w:rFonts w:ascii="Verdana" w:hAnsi="Verdana" w:cs="Arial"/>
          <w:lang w:val="es-ES"/>
        </w:rPr>
        <w:t xml:space="preserve">5) Los contratos de prestación de servicios constituyen un </w:t>
      </w:r>
      <w:r w:rsidRPr="00CC103B">
        <w:rPr>
          <w:rFonts w:ascii="Verdana" w:hAnsi="Verdana" w:cs="Arial"/>
          <w:i/>
          <w:iCs/>
          <w:lang w:val="es-ES"/>
        </w:rPr>
        <w:t>género</w:t>
      </w:r>
      <w:r w:rsidRPr="00CC103B">
        <w:rPr>
          <w:rFonts w:ascii="Verdana" w:hAnsi="Verdana" w:cs="Arial"/>
          <w:lang w:val="es-ES"/>
        </w:rPr>
        <w:t xml:space="preserve"> que incluye, como </w:t>
      </w:r>
      <w:r w:rsidRPr="00CC103B">
        <w:rPr>
          <w:rFonts w:ascii="Verdana" w:hAnsi="Verdana" w:cs="Arial"/>
          <w:i/>
          <w:iCs/>
          <w:lang w:val="es-ES"/>
        </w:rPr>
        <w:t>especies</w:t>
      </w:r>
      <w:r w:rsidRPr="00CC103B">
        <w:rPr>
          <w:rFonts w:ascii="Verdana" w:hAnsi="Verdana" w:cs="Arial"/>
          <w:lang w:val="es-ES"/>
        </w:rPr>
        <w:t>,</w:t>
      </w:r>
      <w:r w:rsidRPr="00CC103B">
        <w:rPr>
          <w:rFonts w:ascii="Verdana" w:eastAsia="Calibri" w:hAnsi="Verdana" w:cs="Arial"/>
          <w:lang w:val="es-ES"/>
        </w:rPr>
        <w:t xml:space="preserve"> sus tres tipologías, esto es: a) profesionales; b) de apoyo a la gestión; y c) para la ejecución de trabajos artísticos que sólo puedan encomendarse a determinadas personas naturales</w:t>
      </w:r>
      <w:r w:rsidRPr="00CC103B">
        <w:rPr>
          <w:rStyle w:val="Refdenotaalpie"/>
          <w:rFonts w:ascii="Verdana" w:hAnsi="Verdana" w:cs="Arial"/>
          <w:lang w:val="es-ES"/>
        </w:rPr>
        <w:footnoteReference w:id="6"/>
      </w:r>
      <w:r w:rsidRPr="00CC103B">
        <w:rPr>
          <w:rFonts w:ascii="Verdana" w:eastAsia="Calibri" w:hAnsi="Verdana" w:cs="Arial"/>
          <w:lang w:val="es-ES"/>
        </w:rPr>
        <w:t>, de acuerdo con lo establecido en el artículo 2.2.1.2.1.4.9. del Decreto 1082 de 2015</w:t>
      </w:r>
      <w:r w:rsidRPr="00CC103B">
        <w:rPr>
          <w:rFonts w:ascii="Verdana" w:hAnsi="Verdana" w:cs="Arial"/>
          <w:lang w:val="es-ES"/>
        </w:rPr>
        <w:t xml:space="preserve">. La diferencia entre el contrato de prestación de servicios </w:t>
      </w:r>
      <w:r w:rsidRPr="00CC103B">
        <w:rPr>
          <w:rFonts w:ascii="Verdana" w:hAnsi="Verdana" w:cs="Arial"/>
          <w:i/>
          <w:iCs/>
          <w:lang w:val="es-ES"/>
        </w:rPr>
        <w:t>profesionales</w:t>
      </w:r>
      <w:r w:rsidRPr="00CC103B">
        <w:rPr>
          <w:rFonts w:ascii="Verdana" w:hAnsi="Verdana" w:cs="Arial"/>
          <w:lang w:val="es-ES"/>
        </w:rPr>
        <w:t xml:space="preserve"> con las otras dos </w:t>
      </w:r>
      <w:r w:rsidRPr="00CC103B">
        <w:rPr>
          <w:rFonts w:ascii="Verdana" w:hAnsi="Verdana" w:cs="Arial"/>
          <w:lang w:val="es-ES"/>
        </w:rPr>
        <w:lastRenderedPageBreak/>
        <w:t>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03DECB43" w14:textId="77777777" w:rsidR="00675E64" w:rsidRPr="00CC103B" w:rsidRDefault="00675E64" w:rsidP="00675E64">
      <w:pPr>
        <w:widowControl w:val="0"/>
        <w:autoSpaceDE w:val="0"/>
        <w:autoSpaceDN w:val="0"/>
        <w:spacing w:after="0" w:line="276" w:lineRule="auto"/>
        <w:ind w:firstLine="709"/>
        <w:jc w:val="both"/>
        <w:rPr>
          <w:rFonts w:ascii="Verdana" w:hAnsi="Verdana" w:cs="Arial"/>
          <w:lang w:val="es-ES"/>
        </w:rPr>
      </w:pPr>
    </w:p>
    <w:p w14:paraId="15287A32"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CC103B">
        <w:rPr>
          <w:rStyle w:val="Refdenotaalpie"/>
          <w:rFonts w:ascii="Verdana" w:hAnsi="Verdana" w:cs="Arial"/>
          <w:sz w:val="20"/>
          <w:szCs w:val="20"/>
          <w:lang w:val="es-ES"/>
        </w:rPr>
        <w:footnoteReference w:id="7"/>
      </w:r>
      <w:r w:rsidRPr="00CC103B">
        <w:rPr>
          <w:rFonts w:ascii="Verdana" w:hAnsi="Verdana" w:cs="Arial"/>
          <w:sz w:val="20"/>
          <w:szCs w:val="20"/>
          <w:lang w:val="es-ES"/>
        </w:rPr>
        <w:t>.</w:t>
      </w:r>
    </w:p>
    <w:p w14:paraId="4CE49420"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Objeto que, según la sentencia que se cita, se diferencia del objeto del contrato de prestación de servicios de apoyo a la gestión, porque en este:</w:t>
      </w:r>
    </w:p>
    <w:p w14:paraId="78135FCC"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A4EFC97"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 xml:space="preserve">Aunque también se caracteriza por el desempeño de actividad intelectiva, ésta </w:t>
      </w:r>
      <w:proofErr w:type="gramStart"/>
      <w:r w:rsidRPr="00CC103B">
        <w:rPr>
          <w:rFonts w:ascii="Verdana" w:hAnsi="Verdana" w:cs="Arial"/>
          <w:sz w:val="20"/>
          <w:szCs w:val="20"/>
          <w:lang w:val="es-ES"/>
        </w:rPr>
        <w:t>se enmarca dentro de</w:t>
      </w:r>
      <w:proofErr w:type="gramEnd"/>
      <w:r w:rsidRPr="00CC103B">
        <w:rPr>
          <w:rFonts w:ascii="Verdana" w:hAnsi="Verdana" w:cs="Arial"/>
          <w:sz w:val="20"/>
          <w:szCs w:val="20"/>
          <w:lang w:val="es-ES"/>
        </w:rPr>
        <w:t xml:space="preserve"> un saber propiamente técnico; igualmente involucra actividades en donde prima el esfuerzo físico o mecánico, en donde no se requiere de personal profesional.</w:t>
      </w:r>
    </w:p>
    <w:p w14:paraId="633CDA7C"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Dentro de su objeto contractual pueden tener lugar actividades operativas, logísticas o asistenciales, siempre que satisfaga los requisitos antes mencionados y sea acorde con las necesidades de la Administración y el principio de planeación”</w:t>
      </w:r>
      <w:r w:rsidRPr="00CC103B">
        <w:rPr>
          <w:rStyle w:val="Refdenotaalpie"/>
          <w:rFonts w:ascii="Verdana" w:hAnsi="Verdana" w:cs="Arial"/>
          <w:sz w:val="20"/>
          <w:szCs w:val="20"/>
          <w:lang w:val="es-ES"/>
        </w:rPr>
        <w:footnoteReference w:id="8"/>
      </w:r>
      <w:r w:rsidRPr="00CC103B">
        <w:rPr>
          <w:rFonts w:ascii="Verdana" w:hAnsi="Verdana" w:cs="Arial"/>
          <w:sz w:val="20"/>
          <w:szCs w:val="20"/>
          <w:lang w:val="es-ES"/>
        </w:rPr>
        <w:t>.</w:t>
      </w:r>
    </w:p>
    <w:p w14:paraId="3096B8A4" w14:textId="77777777" w:rsidR="00675E64" w:rsidRPr="00CC103B" w:rsidRDefault="00675E64" w:rsidP="00675E64">
      <w:pPr>
        <w:widowControl w:val="0"/>
        <w:autoSpaceDE w:val="0"/>
        <w:autoSpaceDN w:val="0"/>
        <w:spacing w:after="0" w:line="276" w:lineRule="auto"/>
        <w:ind w:left="709" w:right="709"/>
        <w:jc w:val="both"/>
        <w:rPr>
          <w:rFonts w:ascii="Verdana" w:hAnsi="Verdana" w:cs="Arial"/>
          <w:sz w:val="21"/>
          <w:szCs w:val="21"/>
          <w:lang w:val="es-ES"/>
        </w:rPr>
      </w:pPr>
    </w:p>
    <w:p w14:paraId="21362D25" w14:textId="77777777" w:rsidR="00675E64" w:rsidRPr="00CC103B" w:rsidRDefault="00675E64" w:rsidP="00675E64">
      <w:pPr>
        <w:widowControl w:val="0"/>
        <w:autoSpaceDE w:val="0"/>
        <w:autoSpaceDN w:val="0"/>
        <w:spacing w:after="0" w:line="276" w:lineRule="auto"/>
        <w:ind w:firstLine="709"/>
        <w:jc w:val="both"/>
        <w:rPr>
          <w:rFonts w:ascii="Verdana" w:hAnsi="Verdana" w:cs="Arial"/>
          <w:lang w:val="es-ES"/>
        </w:rPr>
      </w:pPr>
      <w:r w:rsidRPr="00CC103B">
        <w:rPr>
          <w:rFonts w:ascii="Verdana" w:hAnsi="Verdana" w:cs="Arial"/>
          <w:lang w:val="es-ES"/>
        </w:rPr>
        <w:t>En relación con el contrato de prestación de servicios artísticos que solo pueden encomendarse a determinadas personas naturales, señala el mencionado fallo que:</w:t>
      </w:r>
    </w:p>
    <w:p w14:paraId="366E9572" w14:textId="77777777" w:rsidR="00675E64" w:rsidRPr="00CC103B" w:rsidRDefault="00675E64" w:rsidP="00675E64">
      <w:pPr>
        <w:widowControl w:val="0"/>
        <w:autoSpaceDE w:val="0"/>
        <w:autoSpaceDN w:val="0"/>
        <w:spacing w:after="0" w:line="276" w:lineRule="auto"/>
        <w:ind w:firstLine="709"/>
        <w:jc w:val="both"/>
        <w:rPr>
          <w:rFonts w:ascii="Verdana" w:hAnsi="Verdana" w:cs="Arial"/>
          <w:sz w:val="20"/>
          <w:szCs w:val="20"/>
          <w:lang w:val="es-ES"/>
        </w:rPr>
      </w:pPr>
    </w:p>
    <w:p w14:paraId="4B68084F" w14:textId="77777777" w:rsidR="00675E64" w:rsidRPr="00CC103B" w:rsidRDefault="00675E64" w:rsidP="00675E64">
      <w:pPr>
        <w:widowControl w:val="0"/>
        <w:autoSpaceDE w:val="0"/>
        <w:autoSpaceDN w:val="0"/>
        <w:spacing w:after="120" w:line="240" w:lineRule="auto"/>
        <w:ind w:left="709" w:right="709"/>
        <w:jc w:val="both"/>
        <w:rPr>
          <w:rFonts w:ascii="Verdana" w:hAnsi="Verdana" w:cs="Arial"/>
          <w:sz w:val="20"/>
          <w:szCs w:val="20"/>
          <w:lang w:val="es-ES"/>
        </w:rPr>
      </w:pPr>
      <w:r w:rsidRPr="00CC103B">
        <w:rPr>
          <w:rFonts w:ascii="Verdana" w:hAnsi="Verdana" w:cs="Arial"/>
          <w:sz w:val="20"/>
          <w:szCs w:val="20"/>
          <w:lang w:val="es-ES"/>
        </w:rPr>
        <w:t xml:space="preserve">“Tienen lugar dentro de esta categoría los contratos de prestación de servicios que tengan por objeto la ejecución de trabajos artísticos, esto es, trabajos que corresponden al conjunto de creaciones humanas que </w:t>
      </w:r>
      <w:r w:rsidRPr="00CC103B">
        <w:rPr>
          <w:rFonts w:ascii="Verdana" w:hAnsi="Verdana" w:cs="Arial"/>
          <w:sz w:val="20"/>
          <w:szCs w:val="20"/>
          <w:lang w:val="es-ES"/>
        </w:rPr>
        <w:lastRenderedPageBreak/>
        <w:t>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CC103B">
        <w:rPr>
          <w:rStyle w:val="Refdenotaalpie"/>
          <w:rFonts w:ascii="Verdana" w:hAnsi="Verdana" w:cs="Arial"/>
          <w:sz w:val="20"/>
          <w:szCs w:val="20"/>
          <w:lang w:val="es-ES"/>
        </w:rPr>
        <w:footnoteReference w:id="9"/>
      </w:r>
      <w:r w:rsidRPr="00CC103B">
        <w:rPr>
          <w:rFonts w:ascii="Verdana" w:hAnsi="Verdana" w:cs="Arial"/>
          <w:sz w:val="20"/>
          <w:szCs w:val="20"/>
          <w:lang w:val="es-ES"/>
        </w:rPr>
        <w:t>.</w:t>
      </w:r>
    </w:p>
    <w:p w14:paraId="7113ACFE" w14:textId="77777777" w:rsidR="00675E64" w:rsidRPr="00CC103B" w:rsidRDefault="00675E64" w:rsidP="00675E64">
      <w:pPr>
        <w:widowControl w:val="0"/>
        <w:autoSpaceDE w:val="0"/>
        <w:autoSpaceDN w:val="0"/>
        <w:spacing w:after="0" w:line="240" w:lineRule="auto"/>
        <w:ind w:left="709" w:right="709" w:firstLine="709"/>
        <w:jc w:val="both"/>
        <w:rPr>
          <w:rFonts w:ascii="Verdana" w:hAnsi="Verdana" w:cs="Arial"/>
          <w:lang w:val="es-ES"/>
        </w:rPr>
      </w:pPr>
    </w:p>
    <w:p w14:paraId="1AE07480"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6)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CC103B">
        <w:rPr>
          <w:rStyle w:val="Refdenotaalpie"/>
          <w:rFonts w:ascii="Verdana" w:hAnsi="Verdana" w:cs="Arial"/>
          <w:lang w:val="es-ES"/>
        </w:rPr>
        <w:footnoteReference w:id="10"/>
      </w:r>
      <w:r w:rsidRPr="00CC103B">
        <w:rPr>
          <w:rFonts w:ascii="Verdana" w:hAnsi="Verdana" w:cs="Arial"/>
          <w:lang w:val="es-ES"/>
        </w:rPr>
        <w:t xml:space="preserve">. Pero, tampoco puede suscribirse un contrato de prestación de servicios profesionales para que el contratista ejecute labores que </w:t>
      </w:r>
      <w:proofErr w:type="gramStart"/>
      <w:r w:rsidRPr="00CC103B">
        <w:rPr>
          <w:rFonts w:ascii="Verdana" w:hAnsi="Verdana" w:cs="Arial"/>
          <w:lang w:val="es-ES"/>
        </w:rPr>
        <w:t>se enmarcan dentro de</w:t>
      </w:r>
      <w:proofErr w:type="gramEnd"/>
      <w:r w:rsidRPr="00CC103B">
        <w:rPr>
          <w:rFonts w:ascii="Verdana" w:hAnsi="Verdana" w:cs="Arial"/>
          <w:lang w:val="es-ES"/>
        </w:rPr>
        <w:t xml:space="preserve"> los otros contratos tipificados en el artículo 32 de la Ley 80 de 1993, como, por ejemplo, para que el contratista de prestación de servicios construya una obra.</w:t>
      </w:r>
    </w:p>
    <w:p w14:paraId="2FE21F74"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7) Para su celebración no se requiere en algunos casos la expedición del acto administrativo de justificación de la contratación directa</w:t>
      </w:r>
      <w:r w:rsidRPr="00CC103B">
        <w:rPr>
          <w:rStyle w:val="Refdenotaalpie"/>
          <w:rFonts w:ascii="Verdana" w:hAnsi="Verdana" w:cs="Arial"/>
          <w:lang w:val="es-ES"/>
        </w:rPr>
        <w:footnoteReference w:id="11"/>
      </w:r>
      <w:r w:rsidRPr="00CC103B">
        <w:rPr>
          <w:rFonts w:ascii="Verdana" w:hAnsi="Verdana" w:cs="Arial"/>
          <w:lang w:val="es-ES"/>
        </w:rPr>
        <w:t>.</w:t>
      </w:r>
    </w:p>
    <w:p w14:paraId="10DD6D86"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 xml:space="preserve">8) Admiten el pacto de cláusulas excepcionales. Es decir, en los 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w:t>
      </w:r>
      <w:r w:rsidRPr="00CC103B">
        <w:rPr>
          <w:rFonts w:ascii="Verdana" w:hAnsi="Verdana" w:cs="Arial"/>
          <w:lang w:val="es-ES"/>
        </w:rPr>
        <w:lastRenderedPageBreak/>
        <w:t>2º, de la Ley 80 de 1993</w:t>
      </w:r>
      <w:r w:rsidRPr="00CC103B">
        <w:rPr>
          <w:rStyle w:val="Refdenotaalpie"/>
          <w:rFonts w:ascii="Verdana" w:hAnsi="Verdana" w:cs="Arial"/>
          <w:lang w:val="es-ES"/>
        </w:rPr>
        <w:footnoteReference w:id="12"/>
      </w:r>
      <w:r w:rsidRPr="00CC103B">
        <w:rPr>
          <w:rFonts w:ascii="Verdana" w:hAnsi="Verdana" w:cs="Arial"/>
          <w:lang w:val="es-ES"/>
        </w:rPr>
        <w:t>.</w:t>
      </w:r>
    </w:p>
    <w:p w14:paraId="19BF72FE"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9) En algunos casos no es obligatoria la liquidación, pues así lo estableció el artículo 217 del Decreto 019 de 2012, que modificó el artículo 60 de la Ley 80 de 1993</w:t>
      </w:r>
      <w:r w:rsidRPr="00CC103B">
        <w:rPr>
          <w:rStyle w:val="Refdenotaalpie"/>
          <w:rFonts w:ascii="Verdana" w:hAnsi="Verdana" w:cs="Arial"/>
          <w:lang w:val="es-ES"/>
        </w:rPr>
        <w:footnoteReference w:id="13"/>
      </w:r>
      <w:r w:rsidRPr="00CC103B">
        <w:rPr>
          <w:rFonts w:ascii="Verdana" w:hAnsi="Verdana" w:cs="Arial"/>
          <w:lang w:val="es-ES"/>
        </w:rPr>
        <w:t>, refiriéndose a los contratos de prestación de servicios profesionales y de apoyo a la gestión.</w:t>
      </w:r>
    </w:p>
    <w:p w14:paraId="60AB2E6C"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10) Para su celebración no se requiere inscripción en el Registro Único de Proponentes (RUP), según lo prevé el artículo 6 de la Ley 1150 de 2007</w:t>
      </w:r>
      <w:r w:rsidRPr="00CC103B">
        <w:rPr>
          <w:rStyle w:val="Refdenotaalpie"/>
          <w:rFonts w:ascii="Verdana" w:hAnsi="Verdana" w:cs="Arial"/>
          <w:lang w:val="es-ES"/>
        </w:rPr>
        <w:footnoteReference w:id="14"/>
      </w:r>
      <w:r w:rsidRPr="00CC103B">
        <w:rPr>
          <w:rFonts w:ascii="Verdana" w:hAnsi="Verdana" w:cs="Arial"/>
          <w:lang w:val="es-ES"/>
        </w:rPr>
        <w:t>.</w:t>
      </w:r>
    </w:p>
    <w:p w14:paraId="2220CF43" w14:textId="77777777" w:rsidR="00675E64" w:rsidRPr="00CC103B" w:rsidRDefault="00675E64" w:rsidP="00675E64">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11) En ellos no son necesarias las garantías</w:t>
      </w:r>
      <w:r w:rsidRPr="00CC103B">
        <w:rPr>
          <w:rStyle w:val="Refdenotaalpie"/>
          <w:rFonts w:ascii="Verdana" w:hAnsi="Verdana" w:cs="Arial"/>
          <w:lang w:val="es-ES"/>
        </w:rPr>
        <w:footnoteReference w:id="15"/>
      </w:r>
      <w:r w:rsidRPr="00CC103B">
        <w:rPr>
          <w:rFonts w:ascii="Verdana" w:hAnsi="Verdana" w:cs="Arial"/>
          <w:lang w:val="es-ES"/>
        </w:rPr>
        <w:t>.</w:t>
      </w:r>
    </w:p>
    <w:p w14:paraId="5FBBF1A3" w14:textId="77777777" w:rsidR="00675E64" w:rsidRPr="00CC103B" w:rsidRDefault="00675E64" w:rsidP="00675E64">
      <w:pPr>
        <w:autoSpaceDE w:val="0"/>
        <w:autoSpaceDN w:val="0"/>
        <w:adjustRightInd w:val="0"/>
        <w:spacing w:after="0" w:line="276" w:lineRule="auto"/>
        <w:jc w:val="both"/>
        <w:rPr>
          <w:rFonts w:ascii="Verdana" w:eastAsia="Arial" w:hAnsi="Verdana" w:cs="Arial"/>
          <w:lang w:val="es-ES" w:eastAsia="es-ES" w:bidi="es-ES"/>
        </w:rPr>
      </w:pPr>
    </w:p>
    <w:p w14:paraId="4831F22D" w14:textId="77777777" w:rsidR="00675E64" w:rsidRPr="00CC103B" w:rsidRDefault="00675E64" w:rsidP="00675E64">
      <w:pPr>
        <w:autoSpaceDE w:val="0"/>
        <w:autoSpaceDN w:val="0"/>
        <w:adjustRightInd w:val="0"/>
        <w:spacing w:after="120" w:line="276" w:lineRule="auto"/>
        <w:ind w:firstLine="709"/>
        <w:jc w:val="both"/>
        <w:rPr>
          <w:rFonts w:ascii="Verdana" w:eastAsia="Calibri" w:hAnsi="Verdana" w:cs="Arial"/>
          <w:lang w:val="es-ES"/>
        </w:rPr>
      </w:pPr>
      <w:r w:rsidRPr="00CC103B">
        <w:rPr>
          <w:rFonts w:ascii="Verdana" w:eastAsia="Aptos" w:hAnsi="Verdana" w:cs="Arial"/>
          <w:color w:val="000000"/>
          <w:lang w:val="es-ES"/>
        </w:rPr>
        <w:t>En cualquier caso, la Entidad Estatal deberá justificar en los estudios previos, que las actividades a desarrollar “no puedan realizarse con personal de planta o requieran conocimientos especializados”</w:t>
      </w:r>
      <w:r w:rsidRPr="00CC103B">
        <w:rPr>
          <w:rFonts w:ascii="Verdana" w:eastAsia="Aptos" w:hAnsi="Verdana" w:cs="Arial"/>
          <w:vertAlign w:val="superscript"/>
          <w:lang w:val="es-ES"/>
        </w:rPr>
        <w:t xml:space="preserve"> </w:t>
      </w:r>
      <w:r w:rsidRPr="00CC103B">
        <w:rPr>
          <w:rFonts w:ascii="Verdana" w:eastAsia="Aptos" w:hAnsi="Verdana" w:cs="Arial"/>
          <w:vertAlign w:val="superscript"/>
          <w:lang w:val="es-ES"/>
        </w:rPr>
        <w:footnoteReference w:id="16"/>
      </w:r>
      <w:r w:rsidRPr="00CC103B">
        <w:rPr>
          <w:rFonts w:ascii="Verdana" w:eastAsia="Calibri" w:hAnsi="Verdana" w:cs="Arial"/>
          <w:lang w:val="es-ES"/>
        </w:rPr>
        <w:t xml:space="preserve">. Sobre lo anterior,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3F247AC5" w14:textId="77777777" w:rsidR="00675E64" w:rsidRPr="00CC103B" w:rsidRDefault="00675E64" w:rsidP="00675E64">
      <w:pPr>
        <w:spacing w:after="120" w:line="276" w:lineRule="auto"/>
        <w:ind w:firstLine="709"/>
        <w:jc w:val="both"/>
        <w:rPr>
          <w:rFonts w:ascii="Verdana" w:eastAsia="Aptos" w:hAnsi="Verdana" w:cs="Arial"/>
          <w:lang w:val="es-ES"/>
        </w:rPr>
      </w:pPr>
      <w:r w:rsidRPr="00CC103B">
        <w:rPr>
          <w:rFonts w:ascii="Verdana" w:eastAsia="Calibri" w:hAnsi="Verdana" w:cs="Arial"/>
          <w:color w:val="000000"/>
          <w:lang w:val="es-ES"/>
        </w:rPr>
        <w:lastRenderedPageBreak/>
        <w:t>Sin embargo, la referida disposición normativa no exime a la Entidad Estatal de certificar la insuficiencia de su planta de personal, de manera que, en todo caso se podrá celebrar el contrato de prestación de servicios para desarrollar actividades relacionadas con la administración o funcionamiento de la entidad, siempre que estas no puedan realizarse con personal de planta o requieran de conocimientos especializados</w:t>
      </w:r>
      <w:r w:rsidRPr="00CC103B">
        <w:rPr>
          <w:rFonts w:ascii="Verdana" w:eastAsia="Aptos" w:hAnsi="Verdana" w:cs="Arial"/>
          <w:vertAlign w:val="superscript"/>
          <w:lang w:val="es-ES"/>
        </w:rPr>
        <w:footnoteReference w:id="17"/>
      </w:r>
      <w:r w:rsidRPr="00CC103B">
        <w:rPr>
          <w:rFonts w:ascii="Verdana" w:eastAsia="Aptos" w:hAnsi="Verdana" w:cs="Arial"/>
          <w:lang w:val="es-ES"/>
        </w:rPr>
        <w:t xml:space="preserve">. </w:t>
      </w:r>
    </w:p>
    <w:p w14:paraId="7586A9E9" w14:textId="77777777" w:rsidR="00675E64" w:rsidRPr="00CC103B" w:rsidRDefault="00675E64" w:rsidP="00675E64">
      <w:pPr>
        <w:spacing w:after="0" w:line="276" w:lineRule="auto"/>
        <w:ind w:firstLine="708"/>
        <w:jc w:val="both"/>
        <w:rPr>
          <w:rFonts w:ascii="Verdana" w:eastAsia="Calibri" w:hAnsi="Verdana" w:cs="Arial"/>
          <w:lang w:val="es-ES"/>
        </w:rPr>
      </w:pPr>
      <w:r w:rsidRPr="00CC103B">
        <w:rPr>
          <w:rFonts w:ascii="Verdana" w:eastAsia="Calibri" w:hAnsi="Verdana" w:cs="Arial"/>
          <w:lang w:val="es-ES"/>
        </w:rPr>
        <w:t>Por su parte, la Corte Constitucional, en la Sentencia C-614 de 2009, ha señalado que el contrato de prestación de servicios constituye una modalidad de vinculación con el Estado de tipo excepcional, que solo se justifica constitucionalmente si es concebida como un instrumento para atender funciones ocasionales, es decir, aquellas que no hacen parte del giro ordinario de las labores encomendadas a la Entidad Estatal, o que, siendo parte de ellas, no pueden ejecutarse con empleados de planta o que requieran de conocimientos especializados.</w:t>
      </w:r>
    </w:p>
    <w:p w14:paraId="4A314163" w14:textId="77777777" w:rsidR="00675E64" w:rsidRPr="00CC103B" w:rsidRDefault="00675E64" w:rsidP="00675E64">
      <w:pPr>
        <w:spacing w:after="0" w:line="276" w:lineRule="auto"/>
        <w:ind w:firstLine="708"/>
        <w:jc w:val="both"/>
        <w:rPr>
          <w:rFonts w:ascii="Verdana" w:eastAsia="Calibri" w:hAnsi="Verdana" w:cs="Arial"/>
          <w:lang w:val="es-ES"/>
        </w:rPr>
      </w:pPr>
    </w:p>
    <w:p w14:paraId="5EA6429D" w14:textId="77777777" w:rsidR="00675E64" w:rsidRPr="00CC103B" w:rsidRDefault="00675E64" w:rsidP="00675E64">
      <w:pPr>
        <w:spacing w:after="120" w:line="276" w:lineRule="auto"/>
        <w:jc w:val="both"/>
        <w:rPr>
          <w:rFonts w:ascii="Verdana" w:hAnsi="Verdana" w:cs="Arial"/>
          <w:lang w:val="es-ES" w:eastAsia="es-ES"/>
        </w:rPr>
      </w:pPr>
      <w:proofErr w:type="spellStart"/>
      <w:r w:rsidRPr="00CC103B">
        <w:rPr>
          <w:rFonts w:ascii="Verdana" w:eastAsia="Verdana" w:hAnsi="Verdana" w:cs="Verdana"/>
          <w:lang w:val="es-ES"/>
        </w:rPr>
        <w:t>ii</w:t>
      </w:r>
      <w:proofErr w:type="spellEnd"/>
      <w:r w:rsidRPr="00CC103B">
        <w:rPr>
          <w:rFonts w:ascii="Verdana" w:eastAsia="Verdana" w:hAnsi="Verdana" w:cs="Verdana"/>
          <w:lang w:val="es-ES"/>
        </w:rPr>
        <w:t xml:space="preserve">) Sobre la forma en que las Entidades Estatales pueden pactar el precio en sus contratos, </w:t>
      </w:r>
      <w:r w:rsidRPr="00CC103B">
        <w:rPr>
          <w:rFonts w:ascii="Verdana" w:hAnsi="Verdana" w:cs="Arial"/>
          <w:lang w:val="es-ES" w:eastAsia="es-ES"/>
        </w:rPr>
        <w:t xml:space="preserve">el Estatuto General de Contratación de la Administración Pública señala que deben calcular el presupuesto oficial mediante el análisis del sector –que incluye el estudio del mercado– y definir la metodología con la cual estructurarán el precio del contrato durante la etapa de planeación. De este modo, los estudios previos deberán incluir el esquema que la Administración usará para estipular el precio o el valor del contrato. </w:t>
      </w:r>
    </w:p>
    <w:p w14:paraId="2B565E19" w14:textId="77777777" w:rsidR="00675E64" w:rsidRPr="00CC103B" w:rsidRDefault="00675E64" w:rsidP="00675E64">
      <w:pPr>
        <w:spacing w:after="120" w:line="276" w:lineRule="auto"/>
        <w:ind w:firstLine="708"/>
        <w:jc w:val="both"/>
        <w:rPr>
          <w:rFonts w:ascii="Verdana" w:hAnsi="Verdana" w:cs="Arial"/>
          <w:lang w:val="es-ES" w:eastAsia="es-ES"/>
        </w:rPr>
      </w:pPr>
      <w:r w:rsidRPr="00CC103B">
        <w:rPr>
          <w:rFonts w:ascii="Verdana" w:hAnsi="Verdana" w:cs="Arial"/>
          <w:lang w:val="es-ES" w:eastAsia="es-ES"/>
        </w:rPr>
        <w:t>La metodología generalmente dependerá del tipo de contrato, por lo que puede variar dependiendo si se trata de un contrato de obra pública, prestación de servicios o de concesión</w:t>
      </w:r>
      <w:r w:rsidRPr="00CC103B">
        <w:rPr>
          <w:vertAlign w:val="superscript"/>
          <w:lang w:val="es-ES"/>
        </w:rPr>
        <w:footnoteReference w:id="18"/>
      </w:r>
      <w:r w:rsidRPr="00CC103B">
        <w:rPr>
          <w:rFonts w:ascii="Verdana" w:hAnsi="Verdana" w:cs="Arial"/>
          <w:lang w:val="es-ES" w:eastAsia="es-ES"/>
        </w:rPr>
        <w:t xml:space="preserve">. En cualquier caso, no existe una sola metodología </w:t>
      </w:r>
      <w:r w:rsidRPr="00CC103B">
        <w:rPr>
          <w:rFonts w:ascii="Verdana" w:hAnsi="Verdana" w:cs="Arial"/>
          <w:lang w:val="es-ES" w:eastAsia="es-ES"/>
        </w:rPr>
        <w:lastRenderedPageBreak/>
        <w:t xml:space="preserve">para pactar el precio y la manera de hacerlo puede ser resultado de la costumbre mercantil y la influencia de disciplinas técnicas, como la ingeniería o la administración de empresas en la contratación estatal. Dentro los esquemas para determinar el precio se encuentran, entre otros: i) los precios unitarios –calculados de acuerdo con las unidades que componen el objeto del contrato–, </w:t>
      </w:r>
      <w:proofErr w:type="spellStart"/>
      <w:r w:rsidRPr="00CC103B">
        <w:rPr>
          <w:rFonts w:ascii="Verdana" w:hAnsi="Verdana" w:cs="Arial"/>
          <w:lang w:val="es-ES" w:eastAsia="es-ES"/>
        </w:rPr>
        <w:t>ii</w:t>
      </w:r>
      <w:proofErr w:type="spellEnd"/>
      <w:r w:rsidRPr="00CC103B">
        <w:rPr>
          <w:rFonts w:ascii="Verdana" w:hAnsi="Verdana" w:cs="Arial"/>
          <w:lang w:val="es-ES" w:eastAsia="es-ES"/>
        </w:rPr>
        <w:t xml:space="preserve">) el precio global –que equivale al monto total, sin discriminar unidades–, y </w:t>
      </w:r>
      <w:proofErr w:type="spellStart"/>
      <w:r w:rsidRPr="00CC103B">
        <w:rPr>
          <w:rFonts w:ascii="Verdana" w:hAnsi="Verdana" w:cs="Arial"/>
          <w:lang w:val="es-ES" w:eastAsia="es-ES"/>
        </w:rPr>
        <w:t>iii</w:t>
      </w:r>
      <w:proofErr w:type="spellEnd"/>
      <w:r w:rsidRPr="00CC103B">
        <w:rPr>
          <w:rFonts w:ascii="Verdana" w:hAnsi="Verdana" w:cs="Arial"/>
          <w:lang w:val="es-ES" w:eastAsia="es-ES"/>
        </w:rPr>
        <w:t xml:space="preserve">) la administración delegada de recursos –en la que se distinguen los costos de inversión de los honorarios del administrador–. </w:t>
      </w:r>
    </w:p>
    <w:p w14:paraId="2B64AF7D" w14:textId="77777777" w:rsidR="00675E64" w:rsidRPr="00CC103B" w:rsidRDefault="00675E64" w:rsidP="00675E64">
      <w:pPr>
        <w:spacing w:after="120" w:line="276" w:lineRule="auto"/>
        <w:ind w:firstLine="708"/>
        <w:jc w:val="both"/>
        <w:rPr>
          <w:rFonts w:ascii="Verdana" w:hAnsi="Verdana" w:cs="Arial"/>
          <w:lang w:val="es-ES" w:eastAsia="es-ES"/>
        </w:rPr>
      </w:pPr>
      <w:r w:rsidRPr="00CC103B">
        <w:rPr>
          <w:rFonts w:ascii="Verdana" w:hAnsi="Verdana" w:cs="Arial"/>
          <w:lang w:val="es-ES" w:eastAsia="es-ES"/>
        </w:rPr>
        <w:t xml:space="preserve">De esta forma, aunque la metodología de precios unitarios es usual en contratos como los de obra pública, la normativa no determina los esquemas o mecanismos para fijar el precio que deben pactar las entidades en una modalidad específica de selección, pues esta decisión depende los resultados del análisis del sector y de la etapa de planeación. </w:t>
      </w:r>
    </w:p>
    <w:p w14:paraId="50AD100C" w14:textId="77777777" w:rsidR="00675E64" w:rsidRPr="00CC103B" w:rsidRDefault="00675E64" w:rsidP="00675E64">
      <w:pPr>
        <w:spacing w:after="120" w:line="276" w:lineRule="auto"/>
        <w:ind w:firstLine="708"/>
        <w:jc w:val="both"/>
        <w:rPr>
          <w:rFonts w:ascii="Verdana" w:hAnsi="Verdana" w:cs="Arial"/>
          <w:lang w:val="es-ES" w:eastAsia="es-ES"/>
        </w:rPr>
      </w:pPr>
      <w:r w:rsidRPr="00CC103B">
        <w:rPr>
          <w:rFonts w:ascii="Verdana" w:hAnsi="Verdana"/>
          <w:lang w:val="es-ES"/>
        </w:rPr>
        <w:t xml:space="preserve">El precio pactado a precios unitarios, al cual se refiere su consulta, implica individualizar el valor de cada uno de los ítems requeridos para llevar a cabo la obra o el proyecto. Así mismo, el precio se deriva de apreciar todos los componentes necesarios para la ejecución de la unidad de medida del ítem </w:t>
      </w:r>
      <w:proofErr w:type="gramStart"/>
      <w:r w:rsidRPr="00CC103B">
        <w:rPr>
          <w:rFonts w:ascii="Verdana" w:hAnsi="Verdana"/>
          <w:lang w:val="es-ES"/>
        </w:rPr>
        <w:t>correspondiente .</w:t>
      </w:r>
      <w:proofErr w:type="gramEnd"/>
      <w:r w:rsidRPr="00CC103B">
        <w:rPr>
          <w:rFonts w:ascii="Verdana" w:hAnsi="Verdana"/>
          <w:lang w:val="es-ES"/>
        </w:rPr>
        <w:t xml:space="preserve"> Por lo mismo, el precio será el resultado de multiplicar la cantidad finalmente ejecutada por el valor unitario respectivo</w:t>
      </w:r>
      <w:r w:rsidRPr="00CC103B">
        <w:rPr>
          <w:rStyle w:val="Refdenotaalpie"/>
          <w:rFonts w:ascii="Verdana" w:hAnsi="Verdana"/>
          <w:lang w:val="es-ES"/>
        </w:rPr>
        <w:footnoteReference w:id="19"/>
      </w:r>
      <w:r w:rsidRPr="00CC103B">
        <w:rPr>
          <w:rFonts w:ascii="Verdana" w:hAnsi="Verdana"/>
          <w:lang w:val="es-ES"/>
        </w:rPr>
        <w:t>.</w:t>
      </w:r>
    </w:p>
    <w:p w14:paraId="1A4D7AB2" w14:textId="77777777" w:rsidR="00675E64" w:rsidRPr="00CC103B" w:rsidRDefault="00675E64" w:rsidP="00675E64">
      <w:pPr>
        <w:spacing w:after="120" w:line="276" w:lineRule="auto"/>
        <w:ind w:firstLine="709"/>
        <w:jc w:val="both"/>
        <w:rPr>
          <w:rFonts w:ascii="Verdana" w:hAnsi="Verdana"/>
          <w:lang w:val="es-ES"/>
        </w:rPr>
      </w:pPr>
      <w:r w:rsidRPr="00CC103B">
        <w:rPr>
          <w:rFonts w:ascii="Verdana" w:hAnsi="Verdana" w:cs="Arial"/>
          <w:bCs/>
          <w:szCs w:val="24"/>
          <w:lang w:val="es-ES" w:eastAsia="es-ES_tradnl"/>
        </w:rPr>
        <w:t>En esta modalidad se establecen unas estimaciones de cantidades de obra, según los estudios y diseños, los estudios previos y unos precios unitarios de los respectivos ítems de obra</w:t>
      </w:r>
      <w:r w:rsidRPr="00CC103B">
        <w:rPr>
          <w:rStyle w:val="Refdenotaalpie"/>
          <w:rFonts w:ascii="Verdana" w:hAnsi="Verdana" w:cs="Arial"/>
          <w:bCs/>
          <w:szCs w:val="24"/>
          <w:lang w:val="es-ES" w:eastAsia="es-ES_tradnl"/>
        </w:rPr>
        <w:footnoteReference w:id="20"/>
      </w:r>
      <w:r w:rsidRPr="00CC103B">
        <w:rPr>
          <w:rFonts w:ascii="Verdana" w:hAnsi="Verdana" w:cs="Arial"/>
          <w:bCs/>
          <w:szCs w:val="24"/>
          <w:lang w:val="es-ES" w:eastAsia="es-ES_tradnl"/>
        </w:rPr>
        <w:t xml:space="preserve">. </w:t>
      </w:r>
      <w:r w:rsidRPr="00CC103B">
        <w:rPr>
          <w:rFonts w:ascii="Verdana" w:hAnsi="Verdana"/>
          <w:lang w:val="es-ES"/>
        </w:rPr>
        <w:t xml:space="preserve">Al respecto, la jurisprudencia de la Sección Tercera del Consejo de Estado ha explicado </w:t>
      </w:r>
      <w:proofErr w:type="gramStart"/>
      <w:r w:rsidRPr="00CC103B">
        <w:rPr>
          <w:rFonts w:ascii="Verdana" w:hAnsi="Verdana"/>
          <w:lang w:val="es-ES"/>
        </w:rPr>
        <w:t>que</w:t>
      </w:r>
      <w:proofErr w:type="gramEnd"/>
      <w:r w:rsidRPr="00CC103B">
        <w:rPr>
          <w:rFonts w:ascii="Verdana" w:hAnsi="Verdana"/>
          <w:lang w:val="es-ES"/>
        </w:rPr>
        <w:t xml:space="preserve"> en los contratos pactados mediante precios unitarios, ante la imposibilidad de establecer con exactitud los montos totales que resultarán de realizar la obra contratada, la entidad aproxima un cálculo estimado de la cantidad o unidades de obra que se requerirá ejecutar previo a la ejecución del negocio jurídico, es decir, en los pliegos de condiciones o documento equivalente y en el contrato. Esto, con el propósito de que el proponente establezca en su propuesta unos valores unitarios respecto de cada unidad de obra prevista por la entidad contratante</w:t>
      </w:r>
      <w:r w:rsidRPr="00CC103B">
        <w:rPr>
          <w:rStyle w:val="Refdenotaalpie"/>
          <w:rFonts w:ascii="Verdana" w:hAnsi="Verdana"/>
          <w:lang w:val="es-ES"/>
        </w:rPr>
        <w:footnoteReference w:id="21"/>
      </w:r>
      <w:r w:rsidRPr="00CC103B">
        <w:rPr>
          <w:rFonts w:ascii="Verdana" w:hAnsi="Verdana"/>
          <w:lang w:val="es-ES"/>
        </w:rPr>
        <w:t>.</w:t>
      </w:r>
    </w:p>
    <w:p w14:paraId="2968CC71" w14:textId="77777777" w:rsidR="00675E64" w:rsidRPr="00CC103B" w:rsidRDefault="00675E64" w:rsidP="00675E64">
      <w:pPr>
        <w:spacing w:after="0" w:line="276" w:lineRule="auto"/>
        <w:ind w:firstLine="709"/>
        <w:jc w:val="both"/>
        <w:rPr>
          <w:rFonts w:ascii="Verdana" w:hAnsi="Verdana" w:cs="Arial"/>
          <w:bCs/>
          <w:szCs w:val="24"/>
          <w:lang w:val="es-ES" w:eastAsia="es-ES_tradnl"/>
        </w:rPr>
      </w:pPr>
      <w:r w:rsidRPr="00CC103B">
        <w:rPr>
          <w:rFonts w:ascii="Verdana" w:hAnsi="Verdana" w:cs="Arial"/>
          <w:szCs w:val="24"/>
          <w:lang w:val="es-ES" w:eastAsia="es-ES_tradnl"/>
        </w:rPr>
        <w:lastRenderedPageBreak/>
        <w:t>De esta forma, uno es el valor estimado del contrato y otro el valor real, según las mayores o menores cantidades que efectivamente ejecute el contratista para cumplir el objeto pactado.</w:t>
      </w:r>
      <w:r w:rsidRPr="00CC103B">
        <w:rPr>
          <w:rFonts w:ascii="Verdana" w:hAnsi="Verdana"/>
          <w:i/>
          <w:lang w:val="es-ES"/>
        </w:rPr>
        <w:t xml:space="preserve"> </w:t>
      </w:r>
      <w:r w:rsidRPr="00CC103B">
        <w:rPr>
          <w:rFonts w:ascii="Verdana" w:hAnsi="Verdana"/>
          <w:lang w:val="es-ES"/>
        </w:rPr>
        <w:t xml:space="preserve">De esta manera, </w:t>
      </w:r>
      <w:r w:rsidRPr="00CC103B">
        <w:rPr>
          <w:rFonts w:ascii="Verdana" w:hAnsi="Verdana" w:cs="Arial"/>
          <w:bCs/>
          <w:szCs w:val="24"/>
          <w:lang w:val="es-ES" w:eastAsia="es-ES_tradnl"/>
        </w:rPr>
        <w:t xml:space="preserve">en los contratos con pago pactado a precios unitarios, el valor del contrato es el que resulta de multiplicar las cantidades efectivamente ejecutadas por sus precios unitarios. No obstante, para la celebración de este tipo de contratos, el precio se expresa en un valor </w:t>
      </w:r>
      <w:r w:rsidRPr="00CC103B">
        <w:rPr>
          <w:rFonts w:ascii="Verdana" w:hAnsi="Verdana" w:cs="Arial"/>
          <w:bCs/>
          <w:i/>
          <w:iCs/>
          <w:szCs w:val="24"/>
          <w:lang w:val="es-ES" w:eastAsia="es-ES_tradnl"/>
        </w:rPr>
        <w:t>estimado</w:t>
      </w:r>
      <w:r w:rsidRPr="00CC103B">
        <w:rPr>
          <w:rFonts w:ascii="Verdana" w:hAnsi="Verdana" w:cs="Arial"/>
          <w:bCs/>
          <w:szCs w:val="24"/>
          <w:lang w:val="es-ES" w:eastAsia="es-ES_tradnl"/>
        </w:rPr>
        <w:t>, que corresponde a un valor inicial, y que está dado por las cantidades y los precios unitarios por los cuales se hizo la respectiva contratación.</w:t>
      </w:r>
    </w:p>
    <w:p w14:paraId="3477D35C" w14:textId="77777777" w:rsidR="00675E64" w:rsidRPr="00CC103B" w:rsidRDefault="00675E64" w:rsidP="00675E64">
      <w:pPr>
        <w:spacing w:after="0" w:line="276" w:lineRule="auto"/>
        <w:ind w:firstLine="709"/>
        <w:jc w:val="both"/>
        <w:rPr>
          <w:rFonts w:ascii="Verdana" w:hAnsi="Verdana" w:cs="Arial"/>
          <w:bCs/>
          <w:szCs w:val="24"/>
          <w:lang w:val="es-ES" w:eastAsia="es-ES_tradnl"/>
        </w:rPr>
      </w:pPr>
    </w:p>
    <w:p w14:paraId="73F42EC2" w14:textId="77777777" w:rsidR="00675E64" w:rsidRPr="00CC103B" w:rsidRDefault="00675E64" w:rsidP="00675E64">
      <w:pPr>
        <w:spacing w:after="120" w:line="276" w:lineRule="auto"/>
        <w:jc w:val="both"/>
        <w:rPr>
          <w:rFonts w:ascii="Verdana" w:eastAsia="Times New Roman" w:hAnsi="Verdana" w:cs="Arial"/>
          <w:color w:val="000000" w:themeColor="text1"/>
          <w:lang w:val="es-ES" w:eastAsia="es-ES"/>
        </w:rPr>
      </w:pPr>
      <w:proofErr w:type="spellStart"/>
      <w:r w:rsidRPr="00CC103B">
        <w:rPr>
          <w:rFonts w:ascii="Verdana" w:eastAsia="Times New Roman" w:hAnsi="Verdana" w:cs="Arial"/>
          <w:color w:val="000000" w:themeColor="text1"/>
          <w:lang w:val="es-ES" w:eastAsia="es-ES"/>
        </w:rPr>
        <w:t>iii</w:t>
      </w:r>
      <w:proofErr w:type="spellEnd"/>
      <w:r w:rsidRPr="00CC103B">
        <w:rPr>
          <w:rFonts w:ascii="Verdana" w:eastAsia="Times New Roman" w:hAnsi="Verdana" w:cs="Arial"/>
          <w:color w:val="000000" w:themeColor="text1"/>
          <w:lang w:val="es-ES" w:eastAsia="es-ES"/>
        </w:rPr>
        <w:t xml:space="preserve">) </w:t>
      </w:r>
      <w:r w:rsidRPr="00CC103B">
        <w:rPr>
          <w:rFonts w:ascii="Verdana" w:hAnsi="Verdana" w:cs="Arial"/>
          <w:bCs/>
          <w:szCs w:val="24"/>
          <w:lang w:val="es-ES" w:eastAsia="es-ES_tradnl"/>
        </w:rPr>
        <w:t xml:space="preserve">Otro aspecto importante a tener en cuenta respecto de los contratos cuyo precio se estructura a partir del sistema de precios unitarios es que, ha hecho parte de la práctica de los negocios que el contratante le solicite </w:t>
      </w:r>
      <w:r w:rsidRPr="00CC103B">
        <w:rPr>
          <w:rFonts w:ascii="Verdana" w:hAnsi="Verdana" w:cs="Arial"/>
          <w:lang w:val="es-ES" w:eastAsia="es-ES"/>
        </w:rPr>
        <w:t xml:space="preserve">al potencial contratista que separe en su propuesta los </w:t>
      </w:r>
      <w:r w:rsidRPr="00CC103B">
        <w:rPr>
          <w:rFonts w:ascii="Verdana" w:hAnsi="Verdana" w:cs="Arial"/>
          <w:i/>
          <w:iCs/>
          <w:lang w:val="es-ES" w:eastAsia="es-ES"/>
        </w:rPr>
        <w:t>costos directos</w:t>
      </w:r>
      <w:r w:rsidRPr="00CC103B">
        <w:rPr>
          <w:rFonts w:ascii="Verdana" w:hAnsi="Verdana" w:cs="Arial"/>
          <w:lang w:val="es-ES" w:eastAsia="es-ES"/>
        </w:rPr>
        <w:t xml:space="preserve"> –es decir, los que están directamente implicados en la ejecución del objeto–, de los </w:t>
      </w:r>
      <w:r w:rsidRPr="00CC103B">
        <w:rPr>
          <w:rFonts w:ascii="Verdana" w:hAnsi="Verdana" w:cs="Arial"/>
          <w:i/>
          <w:iCs/>
          <w:lang w:val="es-ES" w:eastAsia="es-ES"/>
        </w:rPr>
        <w:t>costos indirectos</w:t>
      </w:r>
      <w:r w:rsidRPr="00CC103B">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tal podría llegar a ser el caso de los gastos en los que se incurra por concepto de representación la estructura plural. </w:t>
      </w:r>
      <w:r w:rsidRPr="00CC103B">
        <w:rPr>
          <w:rFonts w:ascii="Verdana" w:hAnsi="Verdana" w:cs="Arial"/>
          <w:bCs/>
          <w:szCs w:val="24"/>
          <w:lang w:val="es-ES" w:eastAsia="es-ES_tradnl"/>
        </w:rPr>
        <w:t xml:space="preserve">En tal sentido, mientras que los costos directos se evidencian en el análisis de precios unitarios –APU–, como la sumatoria de los valores de los </w:t>
      </w:r>
      <w:r w:rsidRPr="00CC103B">
        <w:rPr>
          <w:rFonts w:ascii="Verdana" w:hAnsi="Verdana" w:cs="Arial"/>
          <w:bCs/>
          <w:i/>
          <w:iCs/>
          <w:szCs w:val="24"/>
          <w:lang w:val="es-ES" w:eastAsia="es-ES_tradnl"/>
        </w:rPr>
        <w:t>ítems</w:t>
      </w:r>
      <w:r w:rsidRPr="00CC103B">
        <w:rPr>
          <w:rFonts w:ascii="Verdana" w:hAnsi="Verdana" w:cs="Arial"/>
          <w:bCs/>
          <w:szCs w:val="24"/>
          <w:lang w:val="es-ES" w:eastAsia="es-ES_tradnl"/>
        </w:rPr>
        <w:t xml:space="preserve"> según su unidad de medida, los costos indirectos se suelen abreviar en las variables que integran el acrónimo AIU –Administración, Imprevistos y Utilidad–, que se calcula como un porcentaje aplicado a los costos indirectos</w:t>
      </w:r>
      <w:r w:rsidRPr="00CC103B">
        <w:rPr>
          <w:rFonts w:ascii="Verdana" w:hAnsi="Verdana" w:cs="Arial"/>
          <w:szCs w:val="24"/>
          <w:vertAlign w:val="superscript"/>
          <w:lang w:val="es-ES" w:eastAsia="es-ES_tradnl"/>
        </w:rPr>
        <w:footnoteReference w:id="22"/>
      </w:r>
      <w:r w:rsidRPr="00CC103B">
        <w:rPr>
          <w:rFonts w:ascii="Verdana" w:hAnsi="Verdana" w:cs="Arial"/>
          <w:szCs w:val="24"/>
          <w:lang w:val="es-ES" w:eastAsia="es-ES_tradnl"/>
        </w:rPr>
        <w:t>.</w:t>
      </w:r>
    </w:p>
    <w:p w14:paraId="79B2CD79" w14:textId="77777777" w:rsidR="00675E64" w:rsidRPr="00CC103B" w:rsidRDefault="00675E64" w:rsidP="00675E64">
      <w:pPr>
        <w:spacing w:after="120" w:line="276" w:lineRule="auto"/>
        <w:ind w:firstLine="709"/>
        <w:jc w:val="both"/>
        <w:rPr>
          <w:rFonts w:ascii="Verdana" w:hAnsi="Verdana" w:cs="Arial"/>
          <w:bCs/>
          <w:szCs w:val="24"/>
          <w:lang w:val="es-ES" w:eastAsia="es-ES_tradnl"/>
        </w:rPr>
      </w:pPr>
      <w:r w:rsidRPr="00CC103B">
        <w:rPr>
          <w:rFonts w:ascii="Verdana" w:hAnsi="Verdana" w:cs="Arial"/>
          <w:bCs/>
          <w:szCs w:val="24"/>
          <w:lang w:val="es-ES" w:eastAsia="es-ES_tradnl"/>
        </w:rPr>
        <w:t xml:space="preserve">La jurisprudencia ha señalado que “[…] en la conformación de dichos precios unitarios, se tienen en cuenta todos los gastos que se requieren para realizar la unidad de medida respectiva. Y lo que comúnmente se denomina análisis de precios unitarios, corresponde a la descomposición de </w:t>
      </w:r>
      <w:proofErr w:type="gramStart"/>
      <w:r w:rsidRPr="00CC103B">
        <w:rPr>
          <w:rFonts w:ascii="Verdana" w:hAnsi="Verdana" w:cs="Arial"/>
          <w:bCs/>
          <w:szCs w:val="24"/>
          <w:lang w:val="es-ES" w:eastAsia="es-ES_tradnl"/>
        </w:rPr>
        <w:t>los mismos</w:t>
      </w:r>
      <w:proofErr w:type="gramEnd"/>
      <w:r w:rsidRPr="00CC103B">
        <w:rPr>
          <w:rFonts w:ascii="Verdana" w:hAnsi="Verdana" w:cs="Arial"/>
          <w:bCs/>
          <w:szCs w:val="24"/>
          <w:lang w:val="es-ES" w:eastAsia="es-ES_tradnl"/>
        </w:rPr>
        <w:t xml:space="preserve"> para determinar los costos que los conforman: la maquinaria que se utilizará, calculando el valor por el tiempo que se requiera; la mano de obra, teniendo en </w:t>
      </w:r>
      <w:r w:rsidRPr="00CC103B">
        <w:rPr>
          <w:rFonts w:ascii="Verdana" w:hAnsi="Verdana" w:cs="Arial"/>
          <w:bCs/>
          <w:szCs w:val="24"/>
          <w:lang w:val="es-ES" w:eastAsia="es-ES_tradnl"/>
        </w:rPr>
        <w:lastRenderedPageBreak/>
        <w:t>cuenta el costo hora-hombre, y cuántas personas se requieren para la ejecución de esa unidad de medida; la cantidad de los materiales necesarios, etc.”</w:t>
      </w:r>
      <w:r w:rsidRPr="00CC103B">
        <w:rPr>
          <w:rStyle w:val="Refdenotaalpie"/>
          <w:rFonts w:ascii="Verdana" w:hAnsi="Verdana" w:cs="Arial"/>
          <w:bCs/>
          <w:szCs w:val="24"/>
          <w:lang w:val="es-ES" w:eastAsia="es-ES_tradnl"/>
        </w:rPr>
        <w:footnoteReference w:id="23"/>
      </w:r>
      <w:r w:rsidRPr="00CC103B">
        <w:rPr>
          <w:rFonts w:ascii="Verdana" w:hAnsi="Verdana" w:cs="Arial"/>
          <w:bCs/>
          <w:szCs w:val="24"/>
          <w:lang w:val="es-ES" w:eastAsia="es-ES_tradnl"/>
        </w:rPr>
        <w:t xml:space="preserve">. </w:t>
      </w:r>
    </w:p>
    <w:p w14:paraId="5B8184AE" w14:textId="77777777" w:rsidR="00675E64" w:rsidRPr="00CC103B" w:rsidRDefault="00675E64" w:rsidP="00675E64">
      <w:pPr>
        <w:spacing w:after="120" w:line="276" w:lineRule="auto"/>
        <w:ind w:firstLine="709"/>
        <w:jc w:val="both"/>
        <w:rPr>
          <w:rFonts w:ascii="Verdana" w:hAnsi="Verdana" w:cs="Arial"/>
          <w:bCs/>
          <w:szCs w:val="24"/>
          <w:lang w:val="es-ES" w:eastAsia="es-ES_tradnl"/>
        </w:rPr>
      </w:pPr>
      <w:r w:rsidRPr="00CC103B">
        <w:rPr>
          <w:rFonts w:ascii="Verdana" w:hAnsi="Verdana" w:cs="Arial"/>
          <w:bCs/>
          <w:szCs w:val="24"/>
          <w:lang w:val="es-ES" w:eastAsia="es-ES_tradnl"/>
        </w:rPr>
        <w:t>En efecto, la Sección Tercera del Consejo ha precisado en varias oportunidades que los contratos en los cuales el pago es pactado mediante precios unitarios se caracterizan porque las partes acuerdan el valor de las distintas unidades o cantidades de obra, de modo que el “costo directo total del contrato, será el resultado de multiplicar los precios unitarios por las cantidades de obra ejecutadas y de sumar todos los ítems necesarios para dicha ejecución"</w:t>
      </w:r>
      <w:r w:rsidRPr="00CC103B">
        <w:rPr>
          <w:rStyle w:val="Refdenotaalpie"/>
          <w:rFonts w:ascii="Verdana" w:hAnsi="Verdana" w:cs="Arial"/>
          <w:bCs/>
          <w:szCs w:val="24"/>
          <w:lang w:val="es-ES" w:eastAsia="es-ES_tradnl"/>
        </w:rPr>
        <w:footnoteReference w:id="24"/>
      </w:r>
      <w:r w:rsidRPr="00CC103B">
        <w:rPr>
          <w:rFonts w:ascii="Verdana" w:hAnsi="Verdana" w:cs="Arial"/>
          <w:bCs/>
          <w:szCs w:val="24"/>
          <w:lang w:val="es-ES" w:eastAsia="es-ES_tradnl"/>
        </w:rPr>
        <w:t>. En el análisis de los precios unitarios, se tienen en cuenta todos los gastos que se requieren para realizar cada unidad o ítem pactado, para lo cual el proponente descompone los mismos y determina los costos que los conforman</w:t>
      </w:r>
      <w:r w:rsidRPr="00CC103B">
        <w:rPr>
          <w:rStyle w:val="Refdenotaalpie"/>
          <w:rFonts w:ascii="Verdana" w:hAnsi="Verdana" w:cs="Arial"/>
          <w:bCs/>
          <w:szCs w:val="24"/>
          <w:lang w:val="es-ES" w:eastAsia="es-ES_tradnl"/>
        </w:rPr>
        <w:footnoteReference w:id="25"/>
      </w:r>
      <w:r w:rsidRPr="00CC103B">
        <w:rPr>
          <w:rFonts w:ascii="Verdana" w:hAnsi="Verdana" w:cs="Arial"/>
          <w:bCs/>
          <w:szCs w:val="24"/>
          <w:lang w:val="es-ES" w:eastAsia="es-ES_tradnl"/>
        </w:rPr>
        <w:t xml:space="preserve">. Con este fin, se elabora un listado de cada unidad técnica (ítems) de los elementos, la mano de obra, la maquinaria, equipos y actividades requeridas, especificando, por ejemplo, el número de elementos, metros cúbicos, metros cuadrados, metros lineales, hora-hombre u hora de equipo, para determinar cuánto cuesta cada una de las unidades, cuya sumatoria constituirá el valor total del </w:t>
      </w:r>
      <w:r w:rsidRPr="00CC103B">
        <w:rPr>
          <w:rFonts w:ascii="Verdana" w:hAnsi="Verdana" w:cs="Arial"/>
          <w:bCs/>
          <w:i/>
          <w:iCs/>
          <w:szCs w:val="24"/>
          <w:lang w:val="es-ES" w:eastAsia="es-ES_tradnl"/>
        </w:rPr>
        <w:t>costo directo</w:t>
      </w:r>
      <w:r w:rsidRPr="00CC103B">
        <w:rPr>
          <w:rFonts w:ascii="Verdana" w:hAnsi="Verdana" w:cs="Arial"/>
          <w:bCs/>
          <w:szCs w:val="24"/>
          <w:lang w:val="es-ES" w:eastAsia="es-ES_tradnl"/>
        </w:rPr>
        <w:t xml:space="preserve"> de la obra</w:t>
      </w:r>
      <w:r w:rsidRPr="00CC103B">
        <w:rPr>
          <w:rStyle w:val="Refdenotaalpie"/>
          <w:rFonts w:ascii="Verdana" w:hAnsi="Verdana" w:cs="Arial"/>
          <w:bCs/>
          <w:szCs w:val="24"/>
          <w:lang w:val="es-ES" w:eastAsia="es-ES_tradnl"/>
        </w:rPr>
        <w:footnoteReference w:id="26"/>
      </w:r>
      <w:r w:rsidRPr="00CC103B">
        <w:rPr>
          <w:rFonts w:ascii="Verdana" w:hAnsi="Verdana" w:cs="Arial"/>
          <w:bCs/>
          <w:szCs w:val="24"/>
          <w:lang w:val="es-ES" w:eastAsia="es-ES_tradnl"/>
        </w:rPr>
        <w:t xml:space="preserve">. </w:t>
      </w:r>
    </w:p>
    <w:p w14:paraId="12CBEC71" w14:textId="77777777" w:rsidR="00675E64" w:rsidRPr="00CC103B" w:rsidRDefault="00675E64" w:rsidP="00675E64">
      <w:pPr>
        <w:spacing w:after="120" w:line="276" w:lineRule="auto"/>
        <w:ind w:firstLine="709"/>
        <w:jc w:val="both"/>
        <w:rPr>
          <w:rFonts w:ascii="Verdana" w:hAnsi="Verdana" w:cs="Arial"/>
          <w:bCs/>
          <w:szCs w:val="24"/>
          <w:lang w:val="es-ES" w:eastAsia="es-ES_tradnl"/>
        </w:rPr>
      </w:pPr>
      <w:r w:rsidRPr="00CC103B">
        <w:rPr>
          <w:rFonts w:ascii="Verdana" w:hAnsi="Verdana" w:cs="Arial"/>
          <w:bCs/>
          <w:szCs w:val="24"/>
          <w:lang w:val="es-ES" w:eastAsia="es-ES_tradnl"/>
        </w:rPr>
        <w:t xml:space="preserve">Ahora bien, en ejercicio de la autonomía de la voluntad, las partes pueden decidir pactar o no el AIU. En los casos en que opten por requerirlo, las entidades pueden solicitar, por ejemplo, que los proponentes establezcan de forma independiente al valor total de los costos directos, un porcentaje fijo que, según con sus conocimientos, experiencia, y la naturaleza del negocio jurídico, represente el valor por concepto de administración, imprevistos y utilidad.  Bajo este modelo, el valor total de los costos directos, obtenido como resultado de la sumatoria de todos los ítems multiplicados por su valor unitario, se multiplica por el porcentaje de AIU fijado por el contratista en su oferta, el cual representa los </w:t>
      </w:r>
      <w:r w:rsidRPr="00CC103B">
        <w:rPr>
          <w:rFonts w:ascii="Verdana" w:hAnsi="Verdana" w:cs="Arial"/>
          <w:bCs/>
          <w:i/>
          <w:iCs/>
          <w:szCs w:val="24"/>
          <w:lang w:val="es-ES" w:eastAsia="es-ES_tradnl"/>
        </w:rPr>
        <w:t>costos indirectos</w:t>
      </w:r>
      <w:r w:rsidRPr="00CC103B">
        <w:rPr>
          <w:rFonts w:ascii="Verdana" w:hAnsi="Verdana" w:cs="Arial"/>
          <w:bCs/>
          <w:szCs w:val="24"/>
          <w:lang w:val="es-ES" w:eastAsia="es-ES_tradnl"/>
        </w:rPr>
        <w:t xml:space="preserve"> en los que incurrirá durante la ejecución del contrato. De cualquier modo, las partes pueden fijar la metodología y las exigencias relacionadas con el cálculo del AIU en otra forma que convengan, “entendiendo </w:t>
      </w:r>
      <w:r w:rsidRPr="00CC103B">
        <w:rPr>
          <w:rFonts w:ascii="Verdana" w:hAnsi="Verdana" w:cs="Arial"/>
          <w:bCs/>
          <w:szCs w:val="24"/>
          <w:lang w:val="es-ES" w:eastAsia="es-ES_tradnl"/>
        </w:rPr>
        <w:lastRenderedPageBreak/>
        <w:t>que los elementos que lo componen se encuentran incorporados en los precios y en el valor del contrato”</w:t>
      </w:r>
      <w:r w:rsidRPr="00CC103B">
        <w:rPr>
          <w:rStyle w:val="Refdenotaalpie"/>
          <w:rFonts w:ascii="Verdana" w:hAnsi="Verdana" w:cs="Arial"/>
          <w:bCs/>
          <w:szCs w:val="24"/>
          <w:lang w:val="es-ES" w:eastAsia="es-ES_tradnl"/>
        </w:rPr>
        <w:footnoteReference w:id="27"/>
      </w:r>
      <w:r w:rsidRPr="00CC103B">
        <w:rPr>
          <w:rFonts w:ascii="Verdana" w:hAnsi="Verdana" w:cs="Arial"/>
          <w:bCs/>
          <w:szCs w:val="24"/>
          <w:lang w:val="es-ES" w:eastAsia="es-ES_tradnl"/>
        </w:rPr>
        <w:t>.</w:t>
      </w:r>
    </w:p>
    <w:p w14:paraId="343A6DBD" w14:textId="77777777" w:rsidR="00675E64" w:rsidRPr="00CC103B" w:rsidRDefault="00675E64" w:rsidP="00675E64">
      <w:pPr>
        <w:spacing w:before="120" w:after="0" w:line="276" w:lineRule="auto"/>
        <w:ind w:firstLine="709"/>
        <w:jc w:val="both"/>
        <w:rPr>
          <w:rFonts w:ascii="Verdana" w:hAnsi="Verdana" w:cs="Arial"/>
          <w:bCs/>
          <w:szCs w:val="24"/>
          <w:lang w:val="es-ES" w:eastAsia="es-ES_tradnl"/>
        </w:rPr>
      </w:pPr>
      <w:r w:rsidRPr="00CC103B">
        <w:rPr>
          <w:rFonts w:ascii="Verdana" w:hAnsi="Verdana" w:cs="Arial"/>
          <w:bCs/>
          <w:szCs w:val="24"/>
          <w:lang w:val="es-ES" w:eastAsia="es-ES_tradnl"/>
        </w:rPr>
        <w:t>En concordancia, la doctrina explica que en la estructuración de los precios unitarios se tendrán en cuenta todos los costos directos necesarios para la ejecución del objeto contractual que, a su vez, se afectará por el valor del AIU:</w:t>
      </w:r>
    </w:p>
    <w:p w14:paraId="4090B876" w14:textId="77777777" w:rsidR="00675E64" w:rsidRPr="00CC103B" w:rsidRDefault="00675E64" w:rsidP="00675E64">
      <w:pPr>
        <w:spacing w:after="0" w:line="276" w:lineRule="auto"/>
        <w:ind w:firstLine="709"/>
        <w:jc w:val="both"/>
        <w:rPr>
          <w:rFonts w:ascii="Verdana" w:hAnsi="Verdana" w:cs="Arial"/>
          <w:bCs/>
          <w:szCs w:val="24"/>
          <w:lang w:val="es-ES" w:eastAsia="es-ES_tradnl"/>
        </w:rPr>
      </w:pPr>
    </w:p>
    <w:p w14:paraId="0B0167AE"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
        </w:rPr>
      </w:pPr>
      <w:r w:rsidRPr="00CC103B">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4FF32566"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
        </w:rPr>
      </w:pPr>
    </w:p>
    <w:p w14:paraId="3DEE93D2"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_tradnl"/>
        </w:rPr>
      </w:pPr>
      <w:r w:rsidRPr="00CC103B">
        <w:rPr>
          <w:rFonts w:ascii="Verdana" w:hAnsi="Verdana" w:cs="Arial"/>
          <w:sz w:val="20"/>
          <w:szCs w:val="20"/>
          <w:lang w:val="es-ES"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w:t>
      </w:r>
      <w:r w:rsidRPr="00CC103B">
        <w:rPr>
          <w:rFonts w:ascii="Verdana" w:hAnsi="Verdana" w:cs="Arial"/>
          <w:i/>
          <w:sz w:val="20"/>
          <w:szCs w:val="20"/>
          <w:lang w:val="es-ES" w:eastAsia="es-ES_tradnl"/>
        </w:rPr>
        <w:t>están incorporados la totalidad de los gastos en los que incurre el contratista y la utilidad que espera recibir</w:t>
      </w:r>
      <w:r w:rsidRPr="00CC103B">
        <w:rPr>
          <w:rFonts w:ascii="Verdana" w:hAnsi="Verdana" w:cs="Arial"/>
          <w:sz w:val="20"/>
          <w:szCs w:val="20"/>
          <w:lang w:val="es-ES" w:eastAsia="es-ES_tradnl"/>
        </w:rPr>
        <w:t>”</w:t>
      </w:r>
      <w:r w:rsidRPr="00CC103B">
        <w:rPr>
          <w:rStyle w:val="Refdenotaalpie"/>
          <w:rFonts w:ascii="Verdana" w:hAnsi="Verdana" w:cs="Arial"/>
          <w:sz w:val="20"/>
          <w:szCs w:val="20"/>
          <w:lang w:val="es-ES" w:eastAsia="es-ES_tradnl"/>
        </w:rPr>
        <w:footnoteReference w:id="28"/>
      </w:r>
      <w:r w:rsidRPr="00CC103B">
        <w:rPr>
          <w:rFonts w:ascii="Verdana" w:hAnsi="Verdana" w:cs="Arial"/>
          <w:sz w:val="20"/>
          <w:szCs w:val="20"/>
          <w:lang w:val="es-ES" w:eastAsia="es-ES_tradnl"/>
        </w:rPr>
        <w:t>. [Énfasis fuera de texto]</w:t>
      </w:r>
    </w:p>
    <w:p w14:paraId="04A9A9FF" w14:textId="77777777" w:rsidR="00675E64" w:rsidRPr="00CC103B" w:rsidRDefault="00675E64" w:rsidP="00675E64">
      <w:pPr>
        <w:tabs>
          <w:tab w:val="left" w:pos="709"/>
        </w:tabs>
        <w:spacing w:after="0" w:line="276" w:lineRule="auto"/>
        <w:ind w:left="709" w:right="760"/>
        <w:jc w:val="both"/>
        <w:rPr>
          <w:rFonts w:ascii="Verdana" w:hAnsi="Verdana" w:cs="Arial"/>
          <w:szCs w:val="24"/>
          <w:lang w:val="es-ES" w:eastAsia="es-ES_tradnl"/>
        </w:rPr>
      </w:pPr>
    </w:p>
    <w:p w14:paraId="7BEB52C8" w14:textId="77777777" w:rsidR="00675E64" w:rsidRPr="00CC103B" w:rsidRDefault="00675E64" w:rsidP="00675E64">
      <w:pPr>
        <w:spacing w:after="0" w:line="276" w:lineRule="auto"/>
        <w:ind w:firstLine="709"/>
        <w:jc w:val="both"/>
        <w:rPr>
          <w:rFonts w:ascii="Verdana" w:hAnsi="Verdana" w:cs="Arial"/>
          <w:szCs w:val="24"/>
          <w:lang w:val="es-ES" w:eastAsia="es-ES_tradnl"/>
        </w:rPr>
      </w:pPr>
      <w:r w:rsidRPr="00CC103B">
        <w:rPr>
          <w:rFonts w:ascii="Verdana" w:hAnsi="Verdana" w:cs="Arial"/>
          <w:szCs w:val="24"/>
          <w:lang w:val="es-ES" w:eastAsia="es-ES_tradnl"/>
        </w:rPr>
        <w:t xml:space="preserve">Por su parte, de acuerdo con la Sección Tercera del Consejo de Estado, el AIU, concepto de común utilización en los contratos de tracto sucesivo –entre ellos, los contratos de obra al que se refiere en su consulta– no cuenta con una definición normativa, pero hay elementos que permiten precisar su alcance, así: </w:t>
      </w:r>
    </w:p>
    <w:p w14:paraId="0DD3B6E0" w14:textId="77777777" w:rsidR="00675E64" w:rsidRPr="00CC103B" w:rsidRDefault="00675E64" w:rsidP="00675E64">
      <w:pPr>
        <w:spacing w:after="0" w:line="276" w:lineRule="auto"/>
        <w:ind w:firstLine="709"/>
        <w:jc w:val="both"/>
        <w:rPr>
          <w:rFonts w:ascii="Verdana" w:hAnsi="Verdana" w:cs="Arial"/>
          <w:szCs w:val="24"/>
          <w:lang w:val="es-ES" w:eastAsia="es-ES_tradnl"/>
        </w:rPr>
      </w:pPr>
    </w:p>
    <w:p w14:paraId="0E1B585D"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_tradnl"/>
        </w:rPr>
      </w:pPr>
      <w:r w:rsidRPr="00CC103B">
        <w:rPr>
          <w:rFonts w:ascii="Verdana" w:hAnsi="Verdana" w:cs="Arial"/>
          <w:sz w:val="20"/>
          <w:szCs w:val="20"/>
          <w:lang w:val="es-ES" w:eastAsia="es-ES_tradnl"/>
        </w:rPr>
        <w:t xml:space="preserve">“[…] el AIU propuesto para el contrato, corresponde a: </w:t>
      </w:r>
    </w:p>
    <w:p w14:paraId="4A19A8F9"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_tradnl"/>
        </w:rPr>
      </w:pPr>
      <w:r w:rsidRPr="00CC103B">
        <w:rPr>
          <w:rFonts w:ascii="Verdana" w:hAnsi="Verdana" w:cs="Arial"/>
          <w:sz w:val="20"/>
          <w:szCs w:val="20"/>
          <w:lang w:val="es-ES" w:eastAsia="es-ES_tradnl"/>
        </w:rPr>
        <w:t xml:space="preserve">i) los costos de administración o costos indirectos para la operación del contrato, tales como los gastos de disponibilidad de la organización del contratista, esto es: A; </w:t>
      </w:r>
    </w:p>
    <w:p w14:paraId="55743358"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
        </w:rPr>
      </w:pPr>
      <w:proofErr w:type="spellStart"/>
      <w:r w:rsidRPr="00CC103B">
        <w:rPr>
          <w:rFonts w:ascii="Verdana" w:hAnsi="Verdana" w:cs="Arial"/>
          <w:sz w:val="20"/>
          <w:szCs w:val="20"/>
          <w:lang w:val="es-ES" w:eastAsia="es-ES"/>
        </w:rPr>
        <w:t>ii</w:t>
      </w:r>
      <w:proofErr w:type="spellEnd"/>
      <w:r w:rsidRPr="00CC103B">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CC103B">
        <w:rPr>
          <w:rFonts w:ascii="Verdana" w:hAnsi="Verdana" w:cs="Arial"/>
          <w:sz w:val="20"/>
          <w:szCs w:val="20"/>
          <w:lang w:val="es-ES" w:eastAsia="es-ES"/>
        </w:rPr>
        <w:t>álea</w:t>
      </w:r>
      <w:proofErr w:type="spellEnd"/>
      <w:r w:rsidRPr="00CC103B">
        <w:rPr>
          <w:rFonts w:ascii="Verdana" w:hAnsi="Verdana" w:cs="Arial"/>
          <w:sz w:val="20"/>
          <w:szCs w:val="20"/>
          <w:lang w:val="es-ES" w:eastAsia="es-ES"/>
        </w:rPr>
        <w:t xml:space="preserve"> normal del contrato: I; </w:t>
      </w:r>
    </w:p>
    <w:p w14:paraId="65E29D78"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
        </w:rPr>
      </w:pPr>
      <w:proofErr w:type="spellStart"/>
      <w:r w:rsidRPr="00CC103B">
        <w:rPr>
          <w:rFonts w:ascii="Verdana" w:hAnsi="Verdana" w:cs="Arial"/>
          <w:sz w:val="20"/>
          <w:szCs w:val="20"/>
          <w:lang w:val="es-ES" w:eastAsia="es-ES"/>
        </w:rPr>
        <w:lastRenderedPageBreak/>
        <w:t>iii</w:t>
      </w:r>
      <w:proofErr w:type="spellEnd"/>
      <w:r w:rsidRPr="00CC103B">
        <w:rPr>
          <w:rFonts w:ascii="Verdana" w:hAnsi="Verdana" w:cs="Arial"/>
          <w:sz w:val="20"/>
          <w:szCs w:val="20"/>
          <w:lang w:val="es-ES" w:eastAsia="es-ES"/>
        </w:rPr>
        <w:t xml:space="preserve">) la utilidad o el beneficio económico que pretende percibir el contratista por la ejecución del contrato, esto es: U. </w:t>
      </w:r>
    </w:p>
    <w:p w14:paraId="41BFF104" w14:textId="77777777" w:rsidR="00675E64" w:rsidRPr="00CC103B" w:rsidRDefault="00675E64" w:rsidP="00675E64">
      <w:pPr>
        <w:tabs>
          <w:tab w:val="left" w:pos="709"/>
        </w:tabs>
        <w:spacing w:after="0" w:line="240" w:lineRule="auto"/>
        <w:ind w:left="709" w:right="709"/>
        <w:jc w:val="both"/>
        <w:rPr>
          <w:rFonts w:ascii="Verdana" w:hAnsi="Verdana" w:cs="Arial"/>
          <w:sz w:val="20"/>
          <w:szCs w:val="20"/>
          <w:lang w:val="es-ES" w:eastAsia="es-ES_tradnl"/>
        </w:rPr>
      </w:pPr>
      <w:r w:rsidRPr="00CC103B">
        <w:rPr>
          <w:rFonts w:ascii="Verdana" w:hAnsi="Verdana" w:cs="Arial"/>
          <w:sz w:val="20"/>
          <w:szCs w:val="20"/>
          <w:lang w:val="es-ES"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CC103B">
        <w:rPr>
          <w:vertAlign w:val="superscript"/>
          <w:lang w:val="es-ES"/>
        </w:rPr>
        <w:footnoteReference w:id="29"/>
      </w:r>
      <w:r w:rsidRPr="00CC103B">
        <w:rPr>
          <w:rFonts w:ascii="Verdana" w:hAnsi="Verdana" w:cs="Arial"/>
          <w:sz w:val="20"/>
          <w:szCs w:val="20"/>
          <w:lang w:val="es-ES" w:eastAsia="es-ES_tradnl"/>
        </w:rPr>
        <w:t>.</w:t>
      </w:r>
    </w:p>
    <w:p w14:paraId="7B8DF9EC" w14:textId="77777777" w:rsidR="00675E64" w:rsidRPr="00CC103B" w:rsidRDefault="00675E64" w:rsidP="00675E64">
      <w:pPr>
        <w:tabs>
          <w:tab w:val="left" w:pos="709"/>
        </w:tabs>
        <w:spacing w:after="0" w:line="276" w:lineRule="auto"/>
        <w:ind w:left="709" w:right="760"/>
        <w:jc w:val="both"/>
        <w:rPr>
          <w:rFonts w:ascii="Verdana" w:hAnsi="Verdana" w:cs="Arial"/>
          <w:szCs w:val="24"/>
          <w:lang w:val="es-ES" w:eastAsia="es-ES_tradnl"/>
        </w:rPr>
      </w:pPr>
    </w:p>
    <w:p w14:paraId="10B9B9EA" w14:textId="77777777" w:rsidR="00675E64" w:rsidRPr="00CC103B" w:rsidRDefault="00675E64" w:rsidP="00675E64">
      <w:pPr>
        <w:spacing w:after="120" w:line="276" w:lineRule="auto"/>
        <w:ind w:firstLine="709"/>
        <w:jc w:val="both"/>
        <w:rPr>
          <w:rFonts w:ascii="Verdana" w:hAnsi="Verdana" w:cs="Arial"/>
          <w:lang w:val="es-ES" w:eastAsia="es-ES"/>
        </w:rPr>
      </w:pPr>
      <w:r w:rsidRPr="00CC103B">
        <w:rPr>
          <w:rFonts w:ascii="Verdana" w:hAnsi="Verdana" w:cs="Arial"/>
          <w:lang w:val="es-ES" w:eastAsia="es-ES"/>
        </w:rPr>
        <w:t>A su turno, la Sala de Consulta y Servicio Civil del Consejo de Estado sostuvo en concepto del 5 de septiembre de 2018</w:t>
      </w:r>
      <w:r w:rsidRPr="00CC103B">
        <w:rPr>
          <w:vertAlign w:val="superscript"/>
          <w:lang w:val="es-ES"/>
        </w:rPr>
        <w:footnoteReference w:id="30"/>
      </w:r>
      <w:r w:rsidRPr="00CC103B">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CC103B">
        <w:rPr>
          <w:rFonts w:ascii="Verdana" w:hAnsi="Verdana" w:cs="Arial"/>
          <w:lang w:val="es-ES" w:eastAsia="es-ES"/>
        </w:rPr>
        <w:t>la misma</w:t>
      </w:r>
      <w:proofErr w:type="gramEnd"/>
      <w:r w:rsidRPr="00CC103B">
        <w:rPr>
          <w:vertAlign w:val="superscript"/>
          <w:lang w:val="es-ES"/>
        </w:rPr>
        <w:footnoteReference w:id="31"/>
      </w:r>
      <w:r w:rsidRPr="00CC103B">
        <w:rPr>
          <w:rFonts w:ascii="Verdana" w:hAnsi="Verdana" w:cs="Arial"/>
          <w:lang w:val="es-ES" w:eastAsia="es-ES"/>
        </w:rPr>
        <w:t>, sin perjuicio que en otros contratos este valor no aparezca discriminado y se incorpore en el valor de los precios unitarios”</w:t>
      </w:r>
      <w:r w:rsidRPr="00CC103B">
        <w:rPr>
          <w:vertAlign w:val="superscript"/>
          <w:lang w:val="es-ES"/>
        </w:rPr>
        <w:footnoteReference w:id="32"/>
      </w:r>
      <w:r w:rsidRPr="00CC103B">
        <w:rPr>
          <w:rFonts w:ascii="Verdana" w:hAnsi="Verdana" w:cs="Arial"/>
          <w:lang w:val="es-ES" w:eastAsia="es-ES"/>
        </w:rPr>
        <w:t xml:space="preserve">. </w:t>
      </w:r>
    </w:p>
    <w:p w14:paraId="401DFE21" w14:textId="77777777" w:rsidR="00675E64" w:rsidRPr="00CC103B" w:rsidRDefault="00675E64" w:rsidP="00675E64">
      <w:pPr>
        <w:spacing w:after="120" w:line="276" w:lineRule="auto"/>
        <w:ind w:firstLine="709"/>
        <w:jc w:val="both"/>
        <w:rPr>
          <w:rFonts w:ascii="Verdana" w:hAnsi="Verdana" w:cs="Arial"/>
          <w:bCs/>
          <w:szCs w:val="24"/>
          <w:lang w:val="es-ES" w:eastAsia="es-ES_tradnl"/>
        </w:rPr>
      </w:pPr>
      <w:r w:rsidRPr="00CC103B">
        <w:rPr>
          <w:rFonts w:ascii="Verdana" w:hAnsi="Verdana" w:cs="Arial"/>
          <w:bCs/>
          <w:szCs w:val="24"/>
          <w:lang w:val="es-ES" w:eastAsia="es-ES_tradnl"/>
        </w:rPr>
        <w:t>Así pues, ni el sistema de precios unitarios –como metodología de estipulación del valor contractual–, ni el concepto de AIU, ni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CC103B">
        <w:rPr>
          <w:vertAlign w:val="superscript"/>
          <w:lang w:val="es-ES"/>
        </w:rPr>
        <w:footnoteReference w:id="33"/>
      </w:r>
      <w:r w:rsidRPr="00CC103B">
        <w:rPr>
          <w:rFonts w:ascii="Verdana" w:hAnsi="Verdana" w:cs="Arial"/>
          <w:bCs/>
          <w:szCs w:val="24"/>
          <w:lang w:val="es-ES" w:eastAsia="es-ES_tradnl"/>
        </w:rPr>
        <w:t>. De otro lado, quien define el valor de cada componente del</w:t>
      </w:r>
      <w:r w:rsidRPr="00CC103B">
        <w:rPr>
          <w:rFonts w:ascii="Verdana" w:hAnsi="Verdana" w:cs="Arial"/>
          <w:bCs/>
          <w:i/>
          <w:iCs/>
          <w:szCs w:val="24"/>
          <w:lang w:val="es-ES" w:eastAsia="es-ES_tradnl"/>
        </w:rPr>
        <w:t xml:space="preserve"> </w:t>
      </w:r>
      <w:r w:rsidRPr="00CC103B">
        <w:rPr>
          <w:rFonts w:ascii="Verdana" w:hAnsi="Verdana" w:cs="Arial"/>
          <w:bCs/>
          <w:szCs w:val="24"/>
          <w:lang w:val="es-ES" w:eastAsia="es-ES_tradnl"/>
        </w:rPr>
        <w:lastRenderedPageBreak/>
        <w:t>AIU es el proponente, pues goza de libertad empresarial para hacerlo en la elaboración de su oferta</w:t>
      </w:r>
      <w:r w:rsidRPr="00CC103B">
        <w:rPr>
          <w:vertAlign w:val="superscript"/>
          <w:lang w:val="es-ES"/>
        </w:rPr>
        <w:footnoteReference w:id="34"/>
      </w:r>
      <w:r w:rsidRPr="00CC103B">
        <w:rPr>
          <w:rFonts w:ascii="Verdana" w:hAnsi="Verdana" w:cs="Arial"/>
          <w:bCs/>
          <w:szCs w:val="24"/>
          <w:lang w:val="es-ES" w:eastAsia="es-ES_tradnl"/>
        </w:rPr>
        <w:t>.</w:t>
      </w:r>
    </w:p>
    <w:p w14:paraId="59AB13B3" w14:textId="77777777" w:rsidR="00675E64" w:rsidRPr="00CC103B" w:rsidRDefault="00675E64" w:rsidP="00675E64">
      <w:pPr>
        <w:spacing w:after="120" w:line="276" w:lineRule="auto"/>
        <w:ind w:firstLine="709"/>
        <w:jc w:val="both"/>
        <w:rPr>
          <w:rFonts w:ascii="Verdana" w:hAnsi="Verdana" w:cs="Arial"/>
          <w:lang w:val="es-ES" w:eastAsia="es-ES"/>
        </w:rPr>
      </w:pPr>
      <w:r w:rsidRPr="00CC103B">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la cual se refieren los artículos 13, 32 y 40 del EGCAP. Lo usual, que se advierte en la práctica de las entidades estatales, es que acuden al AIU con la finalidad de establecer un precio más estable, de manera que el valor del contrato consistirá en lo que resulte de afectar los costos directos por el porcentaje, </w:t>
      </w:r>
      <w:r w:rsidRPr="00CC103B">
        <w:rPr>
          <w:rFonts w:ascii="Verdana" w:hAnsi="Verdana" w:cs="Arial"/>
          <w:i/>
          <w:iCs/>
          <w:lang w:val="es-ES" w:eastAsia="es-ES"/>
        </w:rPr>
        <w:t>en principio, invariable</w:t>
      </w:r>
      <w:r w:rsidRPr="00CC103B">
        <w:rPr>
          <w:rFonts w:ascii="Verdana" w:hAnsi="Verdana" w:cs="Arial"/>
          <w:lang w:val="es-ES" w:eastAsia="es-ES"/>
        </w:rPr>
        <w:t xml:space="preserve"> del AIU, de manera que al valor de los costos directos se le sume el AIU. </w:t>
      </w:r>
    </w:p>
    <w:p w14:paraId="131FA075" w14:textId="77777777" w:rsidR="00675E64" w:rsidRPr="00CC103B" w:rsidRDefault="00675E64" w:rsidP="00675E64">
      <w:pPr>
        <w:spacing w:after="120" w:line="276" w:lineRule="auto"/>
        <w:ind w:firstLine="708"/>
        <w:jc w:val="both"/>
        <w:rPr>
          <w:rFonts w:ascii="Verdana" w:hAnsi="Verdana" w:cs="Arial"/>
          <w:lang w:val="es-ES" w:eastAsia="es-ES"/>
        </w:rPr>
      </w:pPr>
      <w:r w:rsidRPr="00CC103B">
        <w:rPr>
          <w:rFonts w:ascii="Verdana" w:hAnsi="Verdana" w:cs="Arial"/>
          <w:lang w:val="es-ES"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CC103B">
        <w:rPr>
          <w:rFonts w:ascii="Verdana" w:hAnsi="Verdana" w:cs="Arial"/>
          <w:i/>
          <w:iCs/>
          <w:lang w:val="es-ES" w:eastAsia="es-ES"/>
        </w:rPr>
        <w:t>Administración</w:t>
      </w:r>
      <w:r w:rsidRPr="00CC103B">
        <w:rPr>
          <w:rFonts w:ascii="Verdana" w:hAnsi="Verdana" w:cs="Arial"/>
          <w:lang w:val="es-ES" w:eastAsia="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CC103B">
        <w:rPr>
          <w:rFonts w:ascii="Verdana" w:hAnsi="Verdana" w:cs="Arial"/>
          <w:i/>
          <w:iCs/>
          <w:lang w:val="es-ES" w:eastAsia="es-ES"/>
        </w:rPr>
        <w:t>Administración</w:t>
      </w:r>
      <w:r w:rsidRPr="00CC103B">
        <w:rPr>
          <w:rFonts w:ascii="Verdana" w:hAnsi="Verdana" w:cs="Arial"/>
          <w:lang w:val="es-ES" w:eastAsia="es-ES"/>
        </w:rPr>
        <w:t>, lo que generaría más gastos tanto para la entidad como para el contratista.</w:t>
      </w:r>
    </w:p>
    <w:p w14:paraId="3F5B6798" w14:textId="77777777" w:rsidR="00675E64" w:rsidRPr="00CC103B" w:rsidRDefault="00675E64" w:rsidP="00675E64">
      <w:pPr>
        <w:spacing w:after="120" w:line="276" w:lineRule="auto"/>
        <w:jc w:val="both"/>
        <w:rPr>
          <w:rFonts w:ascii="Verdana" w:hAnsi="Verdana" w:cs="Arial"/>
          <w:bCs/>
          <w:szCs w:val="24"/>
          <w:lang w:val="es-ES" w:eastAsia="es-ES_tradnl"/>
        </w:rPr>
      </w:pPr>
      <w:r w:rsidRPr="00CC103B">
        <w:rPr>
          <w:rFonts w:ascii="Verdana" w:hAnsi="Verdana" w:cs="Arial"/>
          <w:bCs/>
          <w:szCs w:val="24"/>
          <w:lang w:val="es-ES" w:eastAsia="es-ES_tradnl"/>
        </w:rPr>
        <w:tab/>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CC103B">
        <w:rPr>
          <w:rFonts w:ascii="Verdana" w:hAnsi="Verdana" w:cs="Arial"/>
          <w:bCs/>
          <w:i/>
          <w:iCs/>
          <w:szCs w:val="24"/>
          <w:lang w:val="es-ES" w:eastAsia="es-ES_tradnl"/>
        </w:rPr>
        <w:t xml:space="preserve">indirectos </w:t>
      </w:r>
      <w:r w:rsidRPr="00CC103B">
        <w:rPr>
          <w:rFonts w:ascii="Verdana" w:hAnsi="Verdana" w:cs="Arial"/>
          <w:bCs/>
          <w:szCs w:val="24"/>
          <w:lang w:val="es-ES" w:eastAsia="es-ES_tradnl"/>
        </w:rPr>
        <w:t xml:space="preserve">en que incurren los contratistas, entre ellos, los de la </w:t>
      </w:r>
      <w:r w:rsidRPr="00CC103B">
        <w:rPr>
          <w:rFonts w:ascii="Verdana" w:hAnsi="Verdana" w:cs="Arial"/>
          <w:bCs/>
          <w:i/>
          <w:iCs/>
          <w:szCs w:val="24"/>
          <w:lang w:val="es-ES" w:eastAsia="es-ES_tradnl"/>
        </w:rPr>
        <w:t>Administración</w:t>
      </w:r>
      <w:r w:rsidRPr="00CC103B">
        <w:rPr>
          <w:rFonts w:ascii="Verdana" w:hAnsi="Verdana" w:cs="Arial"/>
          <w:bCs/>
          <w:szCs w:val="24"/>
          <w:lang w:val="es-ES"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CC103B">
        <w:rPr>
          <w:vertAlign w:val="superscript"/>
          <w:lang w:val="es-ES"/>
        </w:rPr>
        <w:footnoteReference w:id="35"/>
      </w:r>
      <w:r w:rsidRPr="00CC103B">
        <w:rPr>
          <w:rFonts w:ascii="Verdana" w:hAnsi="Verdana" w:cs="Arial"/>
          <w:bCs/>
          <w:szCs w:val="24"/>
          <w:lang w:val="es-ES" w:eastAsia="es-ES_tradnl"/>
        </w:rPr>
        <w:t xml:space="preserve">. </w:t>
      </w:r>
    </w:p>
    <w:p w14:paraId="30A209D0" w14:textId="77777777" w:rsidR="00675E64" w:rsidRPr="00CC103B" w:rsidRDefault="00675E64" w:rsidP="00675E64">
      <w:pPr>
        <w:spacing w:after="120" w:line="276" w:lineRule="auto"/>
        <w:ind w:firstLine="709"/>
        <w:jc w:val="both"/>
        <w:rPr>
          <w:rFonts w:ascii="Verdana" w:hAnsi="Verdana" w:cs="Arial"/>
          <w:lang w:val="es-ES" w:eastAsia="es-ES"/>
        </w:rPr>
      </w:pPr>
      <w:r w:rsidRPr="00CC103B">
        <w:rPr>
          <w:rFonts w:ascii="Verdana" w:hAnsi="Verdana" w:cs="Arial"/>
          <w:lang w:val="es-ES" w:eastAsia="es-ES"/>
        </w:rPr>
        <w:lastRenderedPageBreak/>
        <w:t xml:space="preserve">De manera que las entidades calculan un valor estimado que, a su vez, sirve de guía para que los proponentes formulen sus ofertas, pero bajo la premisa de que pagarán un </w:t>
      </w:r>
      <w:r w:rsidRPr="00CC103B">
        <w:rPr>
          <w:rFonts w:ascii="Verdana" w:hAnsi="Verdana" w:cs="Arial"/>
          <w:i/>
          <w:iCs/>
          <w:lang w:val="es-ES" w:eastAsia="es-ES"/>
        </w:rPr>
        <w:t>porcentaje fijo</w:t>
      </w:r>
      <w:r w:rsidRPr="00CC103B">
        <w:rPr>
          <w:rFonts w:ascii="Verdana" w:hAnsi="Verdana" w:cs="Arial"/>
          <w:lang w:val="es-ES" w:eastAsia="es-ES"/>
        </w:rPr>
        <w:t xml:space="preserve">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CC103B">
        <w:rPr>
          <w:rFonts w:ascii="Verdana" w:hAnsi="Verdana" w:cs="Arial"/>
          <w:i/>
          <w:iCs/>
          <w:lang w:val="es-ES" w:eastAsia="es-ES"/>
        </w:rPr>
        <w:t>Administración</w:t>
      </w:r>
      <w:r w:rsidRPr="00CC103B">
        <w:rPr>
          <w:vertAlign w:val="superscript"/>
          <w:lang w:val="es-ES"/>
        </w:rPr>
        <w:footnoteReference w:id="36"/>
      </w:r>
      <w:r w:rsidRPr="00CC103B">
        <w:rPr>
          <w:rFonts w:ascii="Verdana" w:hAnsi="Verdana" w:cs="Arial"/>
          <w:lang w:val="es-ES" w:eastAsia="es-ES"/>
        </w:rPr>
        <w:t>.</w:t>
      </w:r>
    </w:p>
    <w:p w14:paraId="535F3100" w14:textId="77777777" w:rsidR="00675E64" w:rsidRPr="00CC103B" w:rsidRDefault="00675E64" w:rsidP="00675E64">
      <w:pPr>
        <w:spacing w:before="120" w:after="0" w:line="276" w:lineRule="auto"/>
        <w:ind w:firstLine="709"/>
        <w:jc w:val="both"/>
        <w:rPr>
          <w:rFonts w:ascii="Verdana" w:hAnsi="Verdana" w:cs="Arial"/>
          <w:lang w:val="es-ES" w:eastAsia="es-ES"/>
        </w:rPr>
      </w:pPr>
      <w:r w:rsidRPr="00CC103B">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sidRPr="00CC103B">
        <w:rPr>
          <w:vertAlign w:val="superscript"/>
          <w:lang w:val="es-ES"/>
        </w:rPr>
        <w:footnoteReference w:id="37"/>
      </w:r>
      <w:r w:rsidRPr="00CC103B">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05E7AEEF" w14:textId="77777777" w:rsidR="00675E64" w:rsidRPr="00CC103B" w:rsidRDefault="00675E64" w:rsidP="00675E64">
      <w:pPr>
        <w:spacing w:after="0" w:line="276" w:lineRule="auto"/>
        <w:jc w:val="both"/>
        <w:rPr>
          <w:rFonts w:ascii="Verdana" w:hAnsi="Verdana" w:cs="Arial"/>
          <w:bCs/>
          <w:szCs w:val="24"/>
          <w:lang w:val="es-ES" w:eastAsia="es-ES_tradnl"/>
        </w:rPr>
      </w:pPr>
    </w:p>
    <w:p w14:paraId="242EC9D0" w14:textId="77777777" w:rsidR="00675E64" w:rsidRPr="00CC103B" w:rsidRDefault="00675E64" w:rsidP="00675E64">
      <w:pPr>
        <w:spacing w:after="0" w:line="240" w:lineRule="auto"/>
        <w:ind w:left="709" w:right="709"/>
        <w:jc w:val="both"/>
        <w:rPr>
          <w:rFonts w:ascii="Verdana" w:hAnsi="Verdana" w:cs="Arial"/>
          <w:sz w:val="20"/>
          <w:szCs w:val="20"/>
          <w:lang w:val="es-ES" w:eastAsia="es-ES"/>
        </w:rPr>
      </w:pPr>
      <w:r w:rsidRPr="00CC103B">
        <w:rPr>
          <w:rFonts w:ascii="Verdana" w:hAnsi="Verdana" w:cs="Arial"/>
          <w:sz w:val="20"/>
          <w:szCs w:val="20"/>
          <w:lang w:val="es-ES" w:eastAsia="es-ES"/>
        </w:rPr>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w:t>
      </w:r>
      <w:proofErr w:type="spellStart"/>
      <w:r w:rsidRPr="00CC103B">
        <w:rPr>
          <w:rFonts w:ascii="Verdana" w:hAnsi="Verdana" w:cs="Arial"/>
          <w:sz w:val="20"/>
          <w:szCs w:val="20"/>
          <w:lang w:val="es-ES" w:eastAsia="es-ES"/>
        </w:rPr>
        <w:t>ii</w:t>
      </w:r>
      <w:proofErr w:type="spellEnd"/>
      <w:r w:rsidRPr="00CC103B">
        <w:rPr>
          <w:rFonts w:ascii="Verdana" w:hAnsi="Verdana" w:cs="Arial"/>
          <w:sz w:val="20"/>
          <w:szCs w:val="20"/>
          <w:lang w:val="es-ES" w:eastAsia="es-ES"/>
        </w:rPr>
        <w:t xml:space="preserve">) pago de salarios y prestaciones sociales del personal logístico y de apoyo no dedicado directamente con la ejecución del contrato –por ejemplo: las secretarias de la empresa, el servicio de cafetería en </w:t>
      </w:r>
      <w:r w:rsidRPr="00CC103B">
        <w:rPr>
          <w:rFonts w:ascii="Verdana" w:hAnsi="Verdana" w:cs="Arial"/>
          <w:sz w:val="20"/>
          <w:szCs w:val="20"/>
          <w:lang w:val="es-ES" w:eastAsia="es-ES"/>
        </w:rPr>
        <w:lastRenderedPageBreak/>
        <w:t xml:space="preserve">mensajero, la vigilancia, los seguros, etc.– sin los que la empresa no puede funcionar; </w:t>
      </w:r>
      <w:proofErr w:type="spellStart"/>
      <w:r w:rsidRPr="00CC103B">
        <w:rPr>
          <w:rFonts w:ascii="Verdana" w:hAnsi="Verdana" w:cs="Arial"/>
          <w:sz w:val="20"/>
          <w:szCs w:val="20"/>
          <w:lang w:val="es-ES" w:eastAsia="es-ES"/>
        </w:rPr>
        <w:t>iii</w:t>
      </w:r>
      <w:proofErr w:type="spellEnd"/>
      <w:r w:rsidRPr="00CC103B">
        <w:rPr>
          <w:rFonts w:ascii="Verdana" w:hAnsi="Verdana" w:cs="Arial"/>
          <w:sz w:val="20"/>
          <w:szCs w:val="20"/>
          <w:lang w:val="es-ES" w:eastAsia="es-ES"/>
        </w:rPr>
        <w:t xml:space="preserve">) pago de arrendamiento de las instalaciones necesarias para el funcionamiento de la empresa –oficinas </w:t>
      </w:r>
      <w:r w:rsidRPr="00CC103B">
        <w:rPr>
          <w:rFonts w:ascii="Verdana" w:hAnsi="Verdana" w:cs="Arial"/>
          <w:i/>
          <w:sz w:val="20"/>
          <w:szCs w:val="20"/>
          <w:lang w:val="es-ES" w:eastAsia="es-ES"/>
        </w:rPr>
        <w:t xml:space="preserve">y campamento de la obra–; </w:t>
      </w:r>
      <w:proofErr w:type="spellStart"/>
      <w:r w:rsidRPr="00CC103B">
        <w:rPr>
          <w:rFonts w:ascii="Verdana" w:hAnsi="Verdana" w:cs="Arial"/>
          <w:sz w:val="20"/>
          <w:szCs w:val="20"/>
          <w:lang w:val="es-ES" w:eastAsia="es-ES"/>
        </w:rPr>
        <w:t>iv</w:t>
      </w:r>
      <w:proofErr w:type="spellEnd"/>
      <w:r w:rsidRPr="00CC103B">
        <w:rPr>
          <w:rFonts w:ascii="Verdana" w:hAnsi="Verdana" w:cs="Arial"/>
          <w:sz w:val="20"/>
          <w:szCs w:val="20"/>
          <w:lang w:val="es-ES" w:eastAsia="es-ES"/>
        </w:rPr>
        <w:t xml:space="preserve">) </w:t>
      </w:r>
      <w:r w:rsidRPr="00CC103B">
        <w:rPr>
          <w:rFonts w:ascii="Verdana" w:hAnsi="Verdana" w:cs="Arial"/>
          <w:i/>
          <w:sz w:val="20"/>
          <w:szCs w:val="20"/>
          <w:lang w:val="es-ES" w:eastAsia="es-ES"/>
        </w:rPr>
        <w:t>pago de impuestos y gravámenes en general que afectan la actividad o el contrato</w:t>
      </w:r>
      <w:r w:rsidRPr="00CC103B">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w:t>
      </w:r>
      <w:proofErr w:type="spellStart"/>
      <w:r w:rsidRPr="00CC103B">
        <w:rPr>
          <w:rFonts w:ascii="Verdana" w:hAnsi="Verdana" w:cs="Arial"/>
          <w:sz w:val="20"/>
          <w:szCs w:val="20"/>
          <w:lang w:val="es-ES" w:eastAsia="es-ES"/>
        </w:rPr>
        <w:t>vii</w:t>
      </w:r>
      <w:proofErr w:type="spellEnd"/>
      <w:r w:rsidRPr="00CC103B">
        <w:rPr>
          <w:rFonts w:ascii="Verdana" w:hAnsi="Verdana" w:cs="Arial"/>
          <w:sz w:val="20"/>
          <w:szCs w:val="20"/>
          <w:lang w:val="es-ES" w:eastAsia="es-ES"/>
        </w:rPr>
        <w:t xml:space="preserve">) pólizas del contrato, </w:t>
      </w:r>
      <w:proofErr w:type="spellStart"/>
      <w:r w:rsidRPr="00CC103B">
        <w:rPr>
          <w:rFonts w:ascii="Verdana" w:hAnsi="Verdana" w:cs="Arial"/>
          <w:sz w:val="20"/>
          <w:szCs w:val="20"/>
          <w:lang w:val="es-ES" w:eastAsia="es-ES"/>
        </w:rPr>
        <w:t>viii</w:t>
      </w:r>
      <w:proofErr w:type="spellEnd"/>
      <w:r w:rsidRPr="00CC103B">
        <w:rPr>
          <w:rFonts w:ascii="Verdana" w:hAnsi="Verdana" w:cs="Arial"/>
          <w:sz w:val="20"/>
          <w:szCs w:val="20"/>
          <w:lang w:val="es-ES" w:eastAsia="es-ES"/>
        </w:rPr>
        <w:t xml:space="preserve">) pago de servicios públicos y otras comunicaciones –como el servicio celular– y </w:t>
      </w:r>
      <w:proofErr w:type="spellStart"/>
      <w:r w:rsidRPr="00CC103B">
        <w:rPr>
          <w:rFonts w:ascii="Verdana" w:hAnsi="Verdana" w:cs="Arial"/>
          <w:sz w:val="20"/>
          <w:szCs w:val="20"/>
          <w:lang w:val="es-ES" w:eastAsia="es-ES"/>
        </w:rPr>
        <w:t>ix</w:t>
      </w:r>
      <w:proofErr w:type="spellEnd"/>
      <w:r w:rsidRPr="00CC103B">
        <w:rPr>
          <w:rFonts w:ascii="Verdana" w:hAnsi="Verdana" w:cs="Arial"/>
          <w:sz w:val="20"/>
          <w:szCs w:val="20"/>
          <w:lang w:val="es-ES" w:eastAsia="es-ES"/>
        </w:rPr>
        <w:t>) gastos en que se incurra  para realizar ensayos de laboratorio</w:t>
      </w:r>
      <w:r w:rsidRPr="00CC103B">
        <w:rPr>
          <w:vertAlign w:val="superscript"/>
          <w:lang w:val="es-ES"/>
        </w:rPr>
        <w:footnoteReference w:id="38"/>
      </w:r>
      <w:r w:rsidRPr="00CC103B">
        <w:rPr>
          <w:rFonts w:ascii="Verdana" w:hAnsi="Verdana" w:cs="Arial"/>
          <w:sz w:val="20"/>
          <w:szCs w:val="20"/>
          <w:lang w:val="es-ES" w:eastAsia="es-ES"/>
        </w:rPr>
        <w:t xml:space="preserve"> (Énfasis por fuera de texto)</w:t>
      </w:r>
    </w:p>
    <w:p w14:paraId="3200F2E0" w14:textId="77777777" w:rsidR="00675E64" w:rsidRPr="00CC103B" w:rsidRDefault="00675E64" w:rsidP="00675E64">
      <w:pPr>
        <w:spacing w:after="0" w:line="276" w:lineRule="auto"/>
        <w:ind w:firstLine="709"/>
        <w:jc w:val="both"/>
        <w:rPr>
          <w:rFonts w:ascii="Verdana" w:hAnsi="Verdana" w:cs="Arial"/>
          <w:lang w:val="es-ES" w:eastAsia="es-ES"/>
        </w:rPr>
      </w:pPr>
    </w:p>
    <w:p w14:paraId="69724BB2" w14:textId="77777777" w:rsidR="00675E64" w:rsidRPr="00CC103B" w:rsidRDefault="00675E64" w:rsidP="00675E64">
      <w:pPr>
        <w:spacing w:after="0" w:line="276" w:lineRule="auto"/>
        <w:ind w:firstLine="709"/>
        <w:jc w:val="both"/>
        <w:rPr>
          <w:rFonts w:ascii="Verdana" w:hAnsi="Verdana" w:cs="Arial"/>
          <w:lang w:val="es-ES" w:eastAsia="es-ES"/>
        </w:rPr>
      </w:pPr>
      <w:r w:rsidRPr="00CC103B">
        <w:rPr>
          <w:rFonts w:ascii="Verdana" w:hAnsi="Verdana" w:cs="Arial"/>
          <w:lang w:val="es-ES" w:eastAsia="es-ES"/>
        </w:rPr>
        <w:t>Del recuento anterior se concluye que las entidades cuentan con discrecionalidad para establecer en el pliego de condiciones o en su documento equivalente, así como en el contrato, el sistema de precios unitarios y la figura del AIU. De este modo, teniendo en cuenta que ni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60CEE113" w14:textId="77777777" w:rsidR="00675E64" w:rsidRPr="00CC103B" w:rsidRDefault="00675E64" w:rsidP="00675E64">
      <w:pPr>
        <w:spacing w:after="0" w:line="276" w:lineRule="auto"/>
        <w:ind w:firstLine="709"/>
        <w:jc w:val="both"/>
        <w:rPr>
          <w:rFonts w:ascii="Verdana" w:hAnsi="Verdana" w:cs="Arial"/>
          <w:lang w:val="es-ES" w:eastAsia="es-ES"/>
        </w:rPr>
      </w:pPr>
    </w:p>
    <w:p w14:paraId="7B9D87F1" w14:textId="77777777" w:rsidR="00675E64" w:rsidRPr="00CC103B" w:rsidRDefault="00675E64" w:rsidP="00675E64">
      <w:pPr>
        <w:spacing w:after="120" w:line="276" w:lineRule="auto"/>
        <w:jc w:val="both"/>
        <w:rPr>
          <w:rFonts w:ascii="Verdana" w:eastAsia="Times New Roman" w:hAnsi="Verdana" w:cs="Times New Roman"/>
          <w:lang w:val="es-ES" w:eastAsia="es-MX"/>
        </w:rPr>
      </w:pPr>
      <w:proofErr w:type="spellStart"/>
      <w:r w:rsidRPr="00CC103B">
        <w:rPr>
          <w:rFonts w:ascii="Verdana" w:eastAsia="Arial" w:hAnsi="Verdana" w:cs="Arial"/>
          <w:lang w:val="es-ES" w:eastAsia="es-ES" w:bidi="es-ES"/>
        </w:rPr>
        <w:t>iii</w:t>
      </w:r>
      <w:proofErr w:type="spellEnd"/>
      <w:r w:rsidRPr="00CC103B">
        <w:rPr>
          <w:rFonts w:ascii="Verdana" w:eastAsia="Arial" w:hAnsi="Verdana" w:cs="Arial"/>
          <w:lang w:val="es-ES" w:eastAsia="es-ES" w:bidi="es-ES"/>
        </w:rPr>
        <w:t xml:space="preserve">) </w:t>
      </w:r>
      <w:r w:rsidRPr="00CC103B">
        <w:rPr>
          <w:rFonts w:ascii="Verdana" w:eastAsia="Calibri" w:hAnsi="Verdana" w:cs="Arial"/>
          <w:bCs/>
          <w:color w:val="000000"/>
          <w:kern w:val="2"/>
          <w:lang w:val="es-ES"/>
          <w14:ligatures w14:val="standardContextual"/>
        </w:rPr>
        <w:t xml:space="preserve">Con base en lo expuesto, es importante resaltar </w:t>
      </w:r>
      <w:proofErr w:type="gramStart"/>
      <w:r w:rsidRPr="00CC103B">
        <w:rPr>
          <w:rFonts w:ascii="Verdana" w:eastAsia="Calibri" w:hAnsi="Verdana" w:cs="Arial"/>
          <w:bCs/>
          <w:color w:val="000000"/>
          <w:kern w:val="2"/>
          <w:lang w:val="es-ES"/>
          <w14:ligatures w14:val="standardContextual"/>
        </w:rPr>
        <w:t>que</w:t>
      </w:r>
      <w:proofErr w:type="gramEnd"/>
      <w:r w:rsidRPr="00CC103B">
        <w:rPr>
          <w:rFonts w:ascii="Verdana" w:eastAsia="Calibri" w:hAnsi="Verdana" w:cs="Arial"/>
          <w:color w:val="000000"/>
          <w:kern w:val="2"/>
          <w:lang w:val="es-ES"/>
          <w14:ligatures w14:val="standardContextual"/>
        </w:rPr>
        <w:t xml:space="preserve"> en los</w:t>
      </w:r>
      <w:r w:rsidRPr="00CC103B">
        <w:rPr>
          <w:rFonts w:ascii="Verdana" w:eastAsia="Calibri" w:hAnsi="Verdana" w:cs="Arial"/>
          <w:bCs/>
          <w:color w:val="000000"/>
          <w:kern w:val="2"/>
          <w:lang w:val="es-ES"/>
          <w14:ligatures w14:val="standardContextual"/>
        </w:rPr>
        <w:t xml:space="preserve"> contratos de prestación de servicios, la fijación de honorarios, así como las condiciones y forma de pago, se derivan principalmente</w:t>
      </w:r>
      <w:r w:rsidRPr="00CC103B" w:rsidDel="00AE46E3">
        <w:rPr>
          <w:rFonts w:ascii="Verdana" w:eastAsia="Calibri" w:hAnsi="Verdana" w:cs="Arial"/>
          <w:bCs/>
          <w:color w:val="000000"/>
          <w:kern w:val="2"/>
          <w:lang w:val="es-ES"/>
          <w14:ligatures w14:val="standardContextual"/>
        </w:rPr>
        <w:t xml:space="preserve"> </w:t>
      </w:r>
      <w:r w:rsidRPr="00CC103B">
        <w:rPr>
          <w:rFonts w:ascii="Verdana" w:eastAsia="Calibri" w:hAnsi="Verdana" w:cs="Arial"/>
          <w:bCs/>
          <w:color w:val="000000"/>
          <w:kern w:val="2"/>
          <w:lang w:val="es-ES"/>
          <w14:ligatures w14:val="standardContextual"/>
        </w:rPr>
        <w:t xml:space="preserve">de la autonomía de la voluntad de las partes. </w:t>
      </w:r>
      <w:r w:rsidRPr="00CC103B">
        <w:rPr>
          <w:rFonts w:ascii="Verdana" w:eastAsia="Calibri" w:hAnsi="Verdana" w:cs="Arial"/>
          <w:color w:val="000000"/>
          <w:kern w:val="2"/>
          <w:lang w:val="es-ES"/>
          <w14:ligatures w14:val="standardContextual"/>
        </w:rPr>
        <w:t>Estas</w:t>
      </w:r>
      <w:r w:rsidRPr="00CC103B" w:rsidDel="004A397F">
        <w:rPr>
          <w:rFonts w:ascii="Verdana" w:eastAsia="Calibri" w:hAnsi="Verdana" w:cs="Arial"/>
          <w:bCs/>
          <w:color w:val="000000"/>
          <w:kern w:val="2"/>
          <w:lang w:val="es-ES"/>
          <w14:ligatures w14:val="standardContextual"/>
        </w:rPr>
        <w:t xml:space="preserve"> </w:t>
      </w:r>
      <w:r w:rsidRPr="00CC103B">
        <w:rPr>
          <w:rFonts w:ascii="Verdana" w:eastAsia="Calibri" w:hAnsi="Verdana" w:cs="Arial"/>
          <w:bCs/>
          <w:color w:val="000000"/>
          <w:kern w:val="2"/>
          <w:lang w:val="es-ES"/>
          <w14:ligatures w14:val="standardContextual"/>
        </w:rPr>
        <w:t xml:space="preserve">determinan el contenido de los contratos estatales que suscriben y pueden incluir las condiciones, cláusulas o estipulaciones que consideren necesarias para desarrollar el objeto contractual, siempre que no sean contrarias a la Constitución Política, la ley y el orden público. </w:t>
      </w:r>
    </w:p>
    <w:p w14:paraId="657513EC" w14:textId="77777777" w:rsidR="00675E64" w:rsidRPr="00CC103B" w:rsidRDefault="00675E64" w:rsidP="00675E64">
      <w:pPr>
        <w:spacing w:before="120" w:after="120" w:line="276" w:lineRule="auto"/>
        <w:ind w:firstLine="709"/>
        <w:jc w:val="both"/>
        <w:rPr>
          <w:rFonts w:ascii="Verdana" w:hAnsi="Verdana" w:cs="Arial"/>
          <w:lang w:val="es-ES" w:eastAsia="es-ES"/>
        </w:rPr>
      </w:pPr>
      <w:r w:rsidRPr="00CC103B">
        <w:rPr>
          <w:rFonts w:ascii="Verdana" w:eastAsia="Times New Roman" w:hAnsi="Verdana" w:cs="Times New Roman"/>
          <w:lang w:val="es-ES" w:eastAsia="es-MX"/>
        </w:rPr>
        <w:t xml:space="preserve">Así las </w:t>
      </w:r>
      <w:proofErr w:type="gramStart"/>
      <w:r w:rsidRPr="00CC103B">
        <w:rPr>
          <w:rFonts w:ascii="Verdana" w:eastAsia="Times New Roman" w:hAnsi="Verdana" w:cs="Times New Roman"/>
          <w:lang w:val="es-ES" w:eastAsia="es-MX"/>
        </w:rPr>
        <w:t>cosas</w:t>
      </w:r>
      <w:proofErr w:type="gramEnd"/>
      <w:r w:rsidRPr="00CC103B">
        <w:rPr>
          <w:rFonts w:ascii="Verdana" w:hAnsi="Verdana" w:cs="Arial"/>
          <w:lang w:val="es-ES"/>
        </w:rPr>
        <w:t xml:space="preserve"> en un contrato de prestación de servicios, la forma de pago de los honorarios depende de lo que las partes hayan pactado expresamente en la cláusula correspondiente. Por regla general, los honorarios se entienden como la contraprestación por el servicio efectivamente prestado y se pagan mediante sumas fijas predeterminadas. Sin embargo, </w:t>
      </w:r>
      <w:r w:rsidRPr="00CC103B">
        <w:rPr>
          <w:rFonts w:ascii="Verdana" w:hAnsi="Verdana" w:cs="Arial"/>
          <w:lang w:val="es-ES" w:eastAsia="es-ES"/>
        </w:rPr>
        <w:t xml:space="preserve">las entidades gozan de autonomía para configurar el precio y para establecer como sistema de pago los precios </w:t>
      </w:r>
      <w:r w:rsidRPr="00CC103B">
        <w:rPr>
          <w:rFonts w:ascii="Verdana" w:hAnsi="Verdana" w:cs="Arial"/>
          <w:lang w:val="es-ES" w:eastAsia="es-ES"/>
        </w:rPr>
        <w:lastRenderedPageBreak/>
        <w:t xml:space="preserve">unitarios, siempre que resulte ser el más apropiado para satisfacer los fines de la contratación y respete los límites previstos en el ordenamiento jurídico. </w:t>
      </w:r>
    </w:p>
    <w:p w14:paraId="578A29D0" w14:textId="77777777" w:rsidR="00675E64" w:rsidRPr="00CC103B" w:rsidRDefault="00675E64" w:rsidP="00675E64">
      <w:pPr>
        <w:spacing w:before="120" w:after="120" w:line="276" w:lineRule="auto"/>
        <w:ind w:firstLine="709"/>
        <w:jc w:val="both"/>
        <w:rPr>
          <w:rFonts w:ascii="Verdana" w:hAnsi="Verdana" w:cs="Arial"/>
          <w:lang w:val="es-ES"/>
        </w:rPr>
      </w:pPr>
      <w:r w:rsidRPr="00CC103B">
        <w:rPr>
          <w:rFonts w:ascii="Verdana" w:hAnsi="Verdana" w:cs="Arial"/>
          <w:lang w:val="es-ES" w:eastAsia="es-ES"/>
        </w:rPr>
        <w:t xml:space="preserve">En consecuencia, las entidades cuentan con discrecionalidad para establecer en el contrato de prestación de servicios el sistema de precios unitarios y la figura del AIU; modelo que, como se indicó, es más pertinente y comúnmente implementado para los contratos de tracto sucesivo, como el de obra. Por ende, la decisión de pactar este tipo de mecanismo o de incluir el AIU en los contratos de prestación de servicios,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 </w:t>
      </w:r>
    </w:p>
    <w:p w14:paraId="6A72EBAC" w14:textId="77777777" w:rsidR="00675E64" w:rsidRPr="00CC103B" w:rsidRDefault="00675E64" w:rsidP="00675E64">
      <w:pPr>
        <w:spacing w:after="0" w:line="276" w:lineRule="auto"/>
        <w:ind w:firstLine="709"/>
        <w:jc w:val="both"/>
        <w:rPr>
          <w:rFonts w:ascii="Verdana" w:eastAsia="Calibri" w:hAnsi="Verdana" w:cs="Arial"/>
          <w:color w:val="000000"/>
          <w:lang w:val="es-ES"/>
        </w:rPr>
      </w:pPr>
      <w:r w:rsidRPr="00CC103B">
        <w:rPr>
          <w:rFonts w:ascii="Verdana" w:hAnsi="Verdana" w:cs="Arial"/>
          <w:lang w:val="es-ES" w:eastAsia="es-ES"/>
        </w:rPr>
        <w:t xml:space="preserve">En todo caso, vale aclarar cuando no se pacta AIU, </w:t>
      </w:r>
      <w:r w:rsidRPr="00CC103B">
        <w:rPr>
          <w:rFonts w:ascii="Verdana" w:eastAsia="Calibri" w:hAnsi="Verdana" w:cs="Arial"/>
          <w:color w:val="000000"/>
          <w:lang w:val="es-ES"/>
        </w:rPr>
        <w:t xml:space="preserve">para que un contratista pueda recibir el reconocimiento otros gastos asociados al cumplimiento del contrato, es indispensable que estos se encuentren expresamente pactados en el clausulado contractual. Esto permite a la entidad garantizar la disponibilidad presupuestal correspondiente. Si bien las entidades tienen autonomía para definir el precio y la forma de pago de dichos gastos, deben respetar los límites legales establecidos, especialmente los señalados en el artículo 40 de la Ley 80 de 1993, el cual en su inciso tercero señala que: </w:t>
      </w:r>
      <w:r w:rsidRPr="00CC103B">
        <w:rPr>
          <w:rFonts w:ascii="Verdana" w:eastAsia="Calibri" w:hAnsi="Verdana" w:cs="Arial"/>
          <w:i/>
          <w:iCs/>
          <w:color w:val="000000"/>
          <w:lang w:val="es-ES"/>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sidRPr="00CC103B">
        <w:rPr>
          <w:rFonts w:ascii="Verdana" w:eastAsia="Calibri" w:hAnsi="Verdana" w:cs="Arial"/>
          <w:color w:val="000000"/>
          <w:lang w:val="es-ES"/>
        </w:rPr>
        <w:t xml:space="preserve">”. </w:t>
      </w:r>
    </w:p>
    <w:p w14:paraId="55C820E4" w14:textId="77777777" w:rsidR="00675E64" w:rsidRPr="00CC103B" w:rsidRDefault="00675E64" w:rsidP="00675E64">
      <w:pPr>
        <w:spacing w:before="120" w:after="120" w:line="276" w:lineRule="auto"/>
        <w:ind w:firstLine="709"/>
        <w:jc w:val="both"/>
        <w:rPr>
          <w:rFonts w:ascii="Verdana" w:eastAsia="Times New Roman" w:hAnsi="Verdana" w:cs="Arial"/>
          <w:color w:val="000000" w:themeColor="text1"/>
          <w:lang w:val="es-ES" w:eastAsia="es-ES"/>
        </w:rPr>
      </w:pPr>
      <w:r w:rsidRPr="00CC103B">
        <w:rPr>
          <w:rFonts w:ascii="Verdana" w:eastAsia="Times New Roman" w:hAnsi="Verdana" w:cs="Arial"/>
          <w:color w:val="000000" w:themeColor="text1"/>
          <w:lang w:val="es-ES" w:eastAsia="es-ES"/>
        </w:rPr>
        <w:t xml:space="preserve">Así, durante la etapa de planeación las entidades públicas son responsables de estimar y determinar las prestaciones que demanda la satisfacción del interés colectivo, conforme al análisis de los estudios y diseños previos. No obstante, teniendo en cuenta que en la modalidad de precios unitarios las cantidades son estimativas, es factible </w:t>
      </w:r>
      <w:proofErr w:type="gramStart"/>
      <w:r w:rsidRPr="00CC103B">
        <w:rPr>
          <w:rFonts w:ascii="Verdana" w:eastAsia="Times New Roman" w:hAnsi="Verdana" w:cs="Arial"/>
          <w:color w:val="000000" w:themeColor="text1"/>
          <w:lang w:val="es-ES" w:eastAsia="es-ES"/>
        </w:rPr>
        <w:t>que</w:t>
      </w:r>
      <w:proofErr w:type="gramEnd"/>
      <w:r w:rsidRPr="00CC103B">
        <w:rPr>
          <w:rFonts w:ascii="Verdana" w:eastAsia="Times New Roman" w:hAnsi="Verdana" w:cs="Arial"/>
          <w:color w:val="000000" w:themeColor="text1"/>
          <w:lang w:val="es-ES" w:eastAsia="es-ES"/>
        </w:rPr>
        <w:t xml:space="preserve"> durante la ejecución del contrato, las partes puedan identificar situaciones en las que se genera la necesidad de mayores cantidades de bienes o actividades inicialmente previstas, a lo que se le conoce como mayores cantidades o adición de ítems contractuales. </w:t>
      </w:r>
      <w:r w:rsidRPr="00CC103B">
        <w:rPr>
          <w:rFonts w:ascii="Verdana" w:eastAsia="Times New Roman" w:hAnsi="Verdana" w:cs="Arial"/>
          <w:color w:val="000000" w:themeColor="text1"/>
          <w:lang w:val="es-ES" w:eastAsia="es-ES"/>
        </w:rPr>
        <w:lastRenderedPageBreak/>
        <w:t xml:space="preserve">De esta forma, si bien la responsabilidad inicial en la definición de las cantidades recae en la entidad estatal en la fase de planeación, durante la ejecución del contrato tanto la entidad contratante como el contratista están obligados a identificar, advertir y gestionar oportunamente las situaciones que puedan afectar la adecuada ejecución del contrato. </w:t>
      </w:r>
    </w:p>
    <w:p w14:paraId="79A2AAE2" w14:textId="77777777" w:rsidR="00675E64" w:rsidRPr="00CC103B" w:rsidRDefault="00675E64" w:rsidP="00675E64">
      <w:pPr>
        <w:spacing w:before="120" w:after="120" w:line="276" w:lineRule="auto"/>
        <w:ind w:firstLine="709"/>
        <w:jc w:val="both"/>
        <w:rPr>
          <w:rFonts w:ascii="Verdana" w:eastAsia="Calibri" w:hAnsi="Verdana" w:cs="Arial"/>
          <w:color w:val="000000"/>
          <w:lang w:val="es-ES"/>
        </w:rPr>
      </w:pPr>
      <w:r w:rsidRPr="00CC103B">
        <w:rPr>
          <w:rFonts w:ascii="Verdana" w:eastAsia="Calibri" w:hAnsi="Verdana" w:cs="Arial"/>
          <w:color w:val="000000"/>
          <w:lang w:val="es-ES"/>
        </w:rPr>
        <w:t>Corresponde a la Entidad Estatal, en ejercicio del principio de planeación y de la autonomía para estructurar sus procesos contractuales, determinar en cada caso la forma en que establecerá el precio del contrato y, en particular, si resulta procedente adoptar el sistema de precios unitarios en contratos de prestación de servicios, así como la determinación de las unidades o ítems aplicables. De acuerdo con la jurisprudencia del Consejo de Estado el deber de planeación exige que la administración realice previamente los estudios técnicos, económicos y de mercado necesarios para identificar la necesidad pública, definir el alcance del objeto contractual y establecer la metodología adecuada para la estructuración del precio. En este contexto, la decisión de desagregar el servicio en unidades de medida y fijar precios unitarios forma parte de la estructuración del contrato que corresponde a la entidad durante la etapa precontractual, con el fin de garantizar la adecuada ejecución del contrato.</w:t>
      </w:r>
    </w:p>
    <w:p w14:paraId="70829B0E" w14:textId="517D2178" w:rsidR="00675E64" w:rsidRPr="00CC103B" w:rsidRDefault="00675E64" w:rsidP="00675E64">
      <w:pPr>
        <w:spacing w:before="120" w:after="120" w:line="276" w:lineRule="auto"/>
        <w:ind w:firstLine="709"/>
        <w:jc w:val="both"/>
        <w:rPr>
          <w:rFonts w:ascii="Verdana" w:eastAsia="Calibri" w:hAnsi="Verdana" w:cs="Arial"/>
          <w:color w:val="000000"/>
          <w:lang w:val="es-ES"/>
        </w:rPr>
      </w:pPr>
      <w:r w:rsidRPr="00CC103B">
        <w:rPr>
          <w:rFonts w:ascii="Verdana" w:eastAsia="Calibri" w:hAnsi="Verdana" w:cs="Arial"/>
          <w:color w:val="000000"/>
          <w:lang w:val="es-ES"/>
        </w:rPr>
        <w:t xml:space="preserve">En consecuencia, los contratos de prestación de servicios </w:t>
      </w:r>
      <w:r w:rsidR="004C1816" w:rsidRPr="00CC103B">
        <w:rPr>
          <w:rFonts w:ascii="Verdana" w:eastAsia="Calibri" w:hAnsi="Verdana" w:cs="Arial"/>
          <w:color w:val="000000"/>
          <w:lang w:val="es-ES"/>
        </w:rPr>
        <w:t>pueden</w:t>
      </w:r>
      <w:r w:rsidRPr="00CC103B">
        <w:rPr>
          <w:rFonts w:ascii="Verdana" w:eastAsia="Calibri" w:hAnsi="Verdana" w:cs="Arial"/>
          <w:color w:val="000000"/>
          <w:lang w:val="es-ES"/>
        </w:rPr>
        <w:t xml:space="preserve"> emplear el sistema de fijación de precios unitarios, caso en el cual la entidad es </w:t>
      </w:r>
      <w:r w:rsidR="004C1816" w:rsidRPr="00CC103B">
        <w:rPr>
          <w:rFonts w:ascii="Verdana" w:eastAsia="Calibri" w:hAnsi="Verdana" w:cs="Arial"/>
          <w:color w:val="000000"/>
          <w:lang w:val="es-ES"/>
        </w:rPr>
        <w:t>responsable</w:t>
      </w:r>
      <w:r w:rsidRPr="00CC103B">
        <w:rPr>
          <w:rFonts w:ascii="Verdana" w:eastAsia="Calibri" w:hAnsi="Verdana" w:cs="Arial"/>
          <w:color w:val="000000"/>
          <w:lang w:val="es-ES"/>
        </w:rPr>
        <w:t xml:space="preserve"> de determinar la forma en que el objeto contractual podrá ser desagregado en unidades verificables de ejecución, de modo que la remuneración del contratista se determine a partir de las actividades efectivamente realizadas. Este sistema constituye una metodología de estructuración del precio del contrato generalmente adoptada en los contratos de obra pública, pero la normativa no limita su aplicación a un determinado tipo de contrato, por lo que su utilización depende de la forma en que se configure la prestación contractual. En todo caso, la adopción de este esquema implica que la entidad realice una estimación técnica y razonable de las cantidades del servicio en la etapa de planeación, las cuales tienen carácter estimativo y pueden variar durante la ejecución según las necesidades del servicio, sin que dicha variación implique por sí misma una irregularidad contractual.</w:t>
      </w:r>
    </w:p>
    <w:p w14:paraId="5D836B22" w14:textId="77777777" w:rsidR="00675E64" w:rsidRPr="00CC103B" w:rsidRDefault="00675E64" w:rsidP="00675E64">
      <w:pPr>
        <w:widowControl w:val="0"/>
        <w:autoSpaceDE w:val="0"/>
        <w:autoSpaceDN w:val="0"/>
        <w:spacing w:after="0" w:line="276" w:lineRule="auto"/>
        <w:ind w:firstLine="708"/>
        <w:jc w:val="both"/>
        <w:rPr>
          <w:rFonts w:ascii="Verdana" w:hAnsi="Verdana"/>
          <w:lang w:val="es-ES"/>
        </w:rPr>
      </w:pPr>
      <w:r w:rsidRPr="00CC103B">
        <w:rPr>
          <w:rFonts w:ascii="Verdana" w:hAnsi="Verdana" w:cs="Arial"/>
          <w:lang w:val="es-ES" w:eastAsia="es-ES"/>
        </w:rPr>
        <w:t xml:space="preserve">Al margen de la explicación precedente debe advertirse que el análisis requerido para resolver problemas específicos en torno a la responsabilidad derivada de la determinación del precio en los contratos </w:t>
      </w:r>
      <w:proofErr w:type="gramStart"/>
      <w:r w:rsidRPr="00CC103B">
        <w:rPr>
          <w:rFonts w:ascii="Verdana" w:hAnsi="Verdana" w:cs="Arial"/>
          <w:lang w:val="es-ES" w:eastAsia="es-ES"/>
        </w:rPr>
        <w:t>estatales,</w:t>
      </w:r>
      <w:proofErr w:type="gramEnd"/>
      <w:r w:rsidRPr="00CC103B">
        <w:rPr>
          <w:rFonts w:ascii="Verdana" w:hAnsi="Verdana" w:cs="Arial"/>
          <w:lang w:val="es-ES" w:eastAsia="es-ES"/>
        </w:rPr>
        <w:t xml:space="preserve"> corresponde </w:t>
      </w:r>
      <w:r w:rsidRPr="00CC103B">
        <w:rPr>
          <w:rFonts w:ascii="Verdana" w:hAnsi="Verdana" w:cs="Arial"/>
          <w:lang w:val="es-ES" w:eastAsia="es-ES"/>
        </w:rPr>
        <w:lastRenderedPageBreak/>
        <w:t>a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Dentro de este marco, de acuerdo con la forma de determinación del precio pactada,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5B1EBB8" w14:textId="77777777" w:rsidR="00675E64" w:rsidRPr="00CC103B" w:rsidRDefault="00675E64" w:rsidP="00675E64">
      <w:pPr>
        <w:spacing w:after="0" w:line="276" w:lineRule="auto"/>
        <w:ind w:firstLine="708"/>
        <w:jc w:val="both"/>
        <w:rPr>
          <w:rFonts w:ascii="Verdana" w:eastAsia="Calibri" w:hAnsi="Verdana" w:cs="Arial"/>
          <w:lang w:val="es-ES"/>
        </w:rPr>
      </w:pPr>
    </w:p>
    <w:bookmarkEnd w:id="1"/>
    <w:bookmarkEnd w:id="2"/>
    <w:p w14:paraId="65ACA8B0" w14:textId="77777777" w:rsidR="00675E64" w:rsidRPr="00CC103B" w:rsidRDefault="00675E64" w:rsidP="00675E64">
      <w:pPr>
        <w:tabs>
          <w:tab w:val="left" w:pos="142"/>
          <w:tab w:val="left" w:pos="284"/>
        </w:tabs>
        <w:spacing w:after="0" w:line="276" w:lineRule="auto"/>
        <w:jc w:val="both"/>
        <w:rPr>
          <w:rFonts w:ascii="Verdana" w:eastAsia="Century Gothic" w:hAnsi="Verdana" w:cs="Century Gothic"/>
          <w:b/>
          <w:color w:val="000000" w:themeColor="text1"/>
          <w:lang w:val="es-ES"/>
        </w:rPr>
      </w:pPr>
      <w:r w:rsidRPr="00CC103B">
        <w:rPr>
          <w:rFonts w:ascii="Verdana" w:eastAsia="Century Gothic" w:hAnsi="Verdana" w:cs="Century Gothic"/>
          <w:b/>
          <w:color w:val="000000" w:themeColor="text1"/>
          <w:lang w:val="es-ES"/>
        </w:rPr>
        <w:t>4.Referencias normativas, jurisprudenciales y otras fuentes:</w:t>
      </w:r>
    </w:p>
    <w:p w14:paraId="2BD066A5" w14:textId="77777777" w:rsidR="00675E64" w:rsidRPr="00CC103B" w:rsidRDefault="00675E64" w:rsidP="00675E64">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75E64" w:rsidRPr="00CC103B" w14:paraId="41932944" w14:textId="77777777" w:rsidTr="00764B31">
        <w:trPr>
          <w:trHeight w:val="870"/>
        </w:trPr>
        <w:tc>
          <w:tcPr>
            <w:tcW w:w="8647" w:type="dxa"/>
          </w:tcPr>
          <w:p w14:paraId="74FE8155"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eastAsia="Calibri" w:hAnsi="Verdana" w:cs="Arial"/>
                <w:bCs/>
                <w:color w:val="000000" w:themeColor="text1"/>
              </w:rPr>
              <w:t>Ley 80 de 1993, artículo 32.</w:t>
            </w:r>
          </w:p>
          <w:p w14:paraId="62B49F53"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eastAsia="Calibri" w:hAnsi="Verdana" w:cs="Arial"/>
                <w:bCs/>
                <w:color w:val="000000" w:themeColor="text1"/>
              </w:rPr>
              <w:t>Ley 1150 de 2007, artículo 2, numeral 4°, literal h.</w:t>
            </w:r>
          </w:p>
          <w:p w14:paraId="46512053"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eastAsia="Calibri" w:hAnsi="Verdana" w:cs="Arial"/>
                <w:bCs/>
                <w:color w:val="000000" w:themeColor="text1"/>
              </w:rPr>
              <w:t xml:space="preserve">Decreto 1068 de 2015, artículo 2.8.4.4.5. </w:t>
            </w:r>
          </w:p>
          <w:p w14:paraId="3151DC95"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hAnsi="Verdana" w:cs="Arial"/>
              </w:rPr>
              <w:t>Decreto 1082 de 2015. Artículos 2.2.1.2.1.4.1, 2.2.1.2.1.4.3</w:t>
            </w:r>
            <w:r w:rsidRPr="00CC103B">
              <w:rPr>
                <w:rFonts w:ascii="Verdana" w:hAnsi="Verdana"/>
              </w:rPr>
              <w:t>, 2.2.1.2.1.4.9.</w:t>
            </w:r>
          </w:p>
          <w:p w14:paraId="2C87FE19"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hAnsi="Verdana" w:cs="Arial"/>
              </w:rPr>
              <w:t xml:space="preserve">Consejo de Estado. Sala de lo Contencioso Administrativo. Sección Tercera. Subsección C. Sentencia del 2 de diciembre de 2013. </w:t>
            </w:r>
            <w:proofErr w:type="spellStart"/>
            <w:r w:rsidRPr="00CC103B">
              <w:rPr>
                <w:rFonts w:ascii="Verdana" w:hAnsi="Verdana" w:cs="Arial"/>
              </w:rPr>
              <w:t>Exp</w:t>
            </w:r>
            <w:proofErr w:type="spellEnd"/>
            <w:r w:rsidRPr="00CC103B">
              <w:rPr>
                <w:rFonts w:ascii="Verdana" w:hAnsi="Verdana" w:cs="Arial"/>
              </w:rPr>
              <w:t>. 41719. Consejero Ponente: Jaime Orlando Santofimio Gamboa.</w:t>
            </w:r>
          </w:p>
          <w:p w14:paraId="782BC0DF" w14:textId="77777777" w:rsidR="00675E64" w:rsidRPr="00CC103B" w:rsidRDefault="00675E64" w:rsidP="005038EA">
            <w:pPr>
              <w:pStyle w:val="Prrafodelista"/>
              <w:numPr>
                <w:ilvl w:val="0"/>
                <w:numId w:val="16"/>
              </w:numPr>
              <w:snapToGrid w:val="0"/>
              <w:spacing w:before="120" w:after="120" w:line="276" w:lineRule="auto"/>
              <w:ind w:left="714" w:hanging="357"/>
              <w:contextualSpacing w:val="0"/>
              <w:jc w:val="both"/>
              <w:rPr>
                <w:rFonts w:ascii="Verdana" w:eastAsia="Calibri" w:hAnsi="Verdana" w:cs="Arial"/>
                <w:bCs/>
                <w:color w:val="000000" w:themeColor="text1"/>
              </w:rPr>
            </w:pPr>
            <w:r w:rsidRPr="00CC103B">
              <w:rPr>
                <w:rFonts w:ascii="Verdana" w:hAnsi="Verdana" w:cs="Arial"/>
              </w:rPr>
              <w:t>Corte Constitucional. Sentencia C-154 de 1997. Magistrado Ponente: Hernando Herrera Vergara</w:t>
            </w:r>
          </w:p>
        </w:tc>
      </w:tr>
    </w:tbl>
    <w:p w14:paraId="45A2F217" w14:textId="77777777" w:rsidR="00675E64" w:rsidRPr="00CC103B" w:rsidRDefault="00675E64" w:rsidP="00675E64">
      <w:pPr>
        <w:widowControl w:val="0"/>
        <w:autoSpaceDE w:val="0"/>
        <w:autoSpaceDN w:val="0"/>
        <w:spacing w:after="0" w:line="276" w:lineRule="auto"/>
        <w:jc w:val="both"/>
        <w:rPr>
          <w:rFonts w:ascii="Verdana" w:hAnsi="Verdana" w:cs="Arial"/>
          <w:color w:val="000000" w:themeColor="text1"/>
          <w:lang w:val="es-ES"/>
        </w:rPr>
      </w:pPr>
    </w:p>
    <w:p w14:paraId="172E34C6" w14:textId="77777777" w:rsidR="00675E64" w:rsidRPr="00CC103B" w:rsidRDefault="00675E64" w:rsidP="00675E64">
      <w:pPr>
        <w:tabs>
          <w:tab w:val="left" w:pos="142"/>
          <w:tab w:val="left" w:pos="284"/>
        </w:tabs>
        <w:spacing w:after="0" w:line="276" w:lineRule="auto"/>
        <w:jc w:val="both"/>
        <w:rPr>
          <w:rFonts w:ascii="Verdana" w:eastAsia="Century Gothic" w:hAnsi="Verdana" w:cs="Century Gothic"/>
          <w:b/>
          <w:color w:val="000000" w:themeColor="text1"/>
          <w:lang w:val="es-ES"/>
        </w:rPr>
      </w:pPr>
      <w:r w:rsidRPr="00CC103B">
        <w:rPr>
          <w:rFonts w:ascii="Verdana" w:eastAsia="Century Gothic" w:hAnsi="Verdana" w:cs="Century Gothic"/>
          <w:b/>
          <w:color w:val="000000" w:themeColor="text1"/>
          <w:lang w:val="es-ES"/>
        </w:rPr>
        <w:t>5.Doctrina de la Agencia Nacional de Contratación Pública:</w:t>
      </w:r>
    </w:p>
    <w:p w14:paraId="62AB504B" w14:textId="77777777" w:rsidR="00675E64" w:rsidRPr="00CC103B" w:rsidRDefault="00675E64" w:rsidP="00675E64">
      <w:pPr>
        <w:widowControl w:val="0"/>
        <w:autoSpaceDE w:val="0"/>
        <w:autoSpaceDN w:val="0"/>
        <w:spacing w:after="0" w:line="276" w:lineRule="auto"/>
        <w:jc w:val="both"/>
        <w:rPr>
          <w:rFonts w:ascii="Verdana" w:hAnsi="Verdana" w:cs="Arial"/>
          <w:color w:val="000000" w:themeColor="text1"/>
          <w:lang w:val="es-ES"/>
        </w:rPr>
      </w:pPr>
    </w:p>
    <w:p w14:paraId="61342835" w14:textId="77777777" w:rsidR="00675E64" w:rsidRPr="00CC103B" w:rsidRDefault="00675E64" w:rsidP="00675E64">
      <w:pPr>
        <w:spacing w:after="120" w:line="276" w:lineRule="auto"/>
        <w:jc w:val="both"/>
        <w:rPr>
          <w:rFonts w:ascii="Verdana" w:eastAsia="Verdana" w:hAnsi="Verdana" w:cs="Verdana"/>
          <w:b/>
          <w:bCs/>
          <w:lang w:val="es-ES"/>
        </w:rPr>
      </w:pPr>
      <w:r w:rsidRPr="00CC103B">
        <w:rPr>
          <w:rFonts w:ascii="Verdana" w:hAnsi="Verdana"/>
          <w:lang w:val="es-ES"/>
        </w:rPr>
        <w:t xml:space="preserve">La Agencia Nacional de Contratación Pública – Colombia Compra Eficiente se ha referido sobre </w:t>
      </w:r>
      <w:r w:rsidRPr="00CC103B">
        <w:rPr>
          <w:rFonts w:ascii="Verdana" w:hAnsi="Verdana" w:cs="Arial"/>
          <w:shd w:val="clear" w:color="auto" w:fill="FFFFFF"/>
          <w:lang w:val="es-ES"/>
        </w:rPr>
        <w:t xml:space="preserve">los contratos de prestación de servicios en los Conceptos Nro. C−293 del 12 de mayo de 2020, C−313 del 21 de mayo de 2020, C−345 del 21 de mayo de 2020, C−359 del 04de junio de 2020, C−379 del 30 de junio de 2020, C−414 del 30 de junio de 2020, C-661 del 17 de noviembre de 2020, </w:t>
      </w:r>
      <w:r w:rsidRPr="00CC103B">
        <w:rPr>
          <w:rFonts w:ascii="Verdana" w:hAnsi="Verdana" w:cs="Arial"/>
          <w:shd w:val="clear" w:color="auto" w:fill="FFFFFF"/>
          <w:lang w:val="es-ES"/>
        </w:rPr>
        <w:lastRenderedPageBreak/>
        <w:t xml:space="preserve">C−685 del 18 de diciembre de 2020, C- 004 del 12 de febrero de 2021, C−106 del 7 de abril de 2021, C-181 del 07 de abril de 2022, C-214 del 22 de abril de 2022 y C-491 de 01 de </w:t>
      </w:r>
      <w:r w:rsidRPr="00CC103B">
        <w:rPr>
          <w:rFonts w:ascii="Verdana" w:hAnsi="Verdana" w:cs="Arial"/>
          <w:lang w:val="es-ES"/>
        </w:rPr>
        <w:t>agosto de 2022, C-008 del 20 de febrero de 2023, C-009 del 20 de febrero de 2023, C-286 del 2023, C-351 del 30 de agosto de 2024, C-372 del 26 de Agosto 2024, C-904 del 9 de diciembre de 2024, C-754 del 4 de diciembre de 2024, C-363 del 15 de abril de 2025, C-441 del 16 de mayo de 2025, C-517 del 27 de mayo de 2025, C- 578 del 24 de junio del 2025, C-007 del 13 de febrero de 2026. Estos</w:t>
      </w:r>
      <w:r w:rsidRPr="00CC103B">
        <w:rPr>
          <w:rFonts w:ascii="Verdana" w:hAnsi="Verdana"/>
          <w:lang w:val="es-ES"/>
        </w:rPr>
        <w:t xml:space="preserve"> y otros se encuentran disponibles para consulta en el Sistema de relatoría de la Agencia, al cual se puede acceder a través del siguiente enlace:</w:t>
      </w:r>
      <w:r w:rsidRPr="00CC103B">
        <w:rPr>
          <w:rFonts w:ascii="Verdana" w:hAnsi="Verdana" w:cs="Arial"/>
          <w:shd w:val="clear" w:color="auto" w:fill="FFFFFF"/>
          <w:lang w:val="es-ES"/>
        </w:rPr>
        <w:t xml:space="preserve"> </w:t>
      </w:r>
      <w:hyperlink r:id="rId12" w:history="1">
        <w:r w:rsidRPr="00CC103B">
          <w:rPr>
            <w:rFonts w:ascii="Verdana" w:hAnsi="Verdana" w:cs="Arial"/>
            <w:color w:val="0000FF"/>
            <w:u w:val="single"/>
            <w:shd w:val="clear" w:color="auto" w:fill="FFFFFF"/>
            <w:lang w:val="es-ES"/>
          </w:rPr>
          <w:t>https://relatoria.colombiacompra.gov.co/busqueda/concept os</w:t>
        </w:r>
      </w:hyperlink>
      <w:r w:rsidRPr="00CC103B">
        <w:rPr>
          <w:rFonts w:ascii="Verdana" w:hAnsi="Verdana" w:cs="Arial"/>
          <w:shd w:val="clear" w:color="auto" w:fill="FFFFFF"/>
          <w:lang w:val="es-ES"/>
        </w:rPr>
        <w:t>.</w:t>
      </w:r>
      <w:r w:rsidRPr="00CC103B">
        <w:rPr>
          <w:rFonts w:ascii="Verdana" w:hAnsi="Verdana" w:cs="Arial"/>
          <w:color w:val="FF0000"/>
          <w:shd w:val="clear" w:color="auto" w:fill="FFFFFF"/>
          <w:lang w:val="es-ES"/>
        </w:rPr>
        <w:t xml:space="preserve"> </w:t>
      </w:r>
      <w:r w:rsidRPr="00CC103B">
        <w:rPr>
          <w:rFonts w:ascii="Verdana" w:hAnsi="Verdana" w:cs="Arial"/>
          <w:color w:val="000000" w:themeColor="text1"/>
          <w:shd w:val="clear" w:color="auto" w:fill="FFFFFF"/>
          <w:lang w:val="es-ES"/>
        </w:rPr>
        <w:t>  </w:t>
      </w:r>
    </w:p>
    <w:p w14:paraId="28F766BA" w14:textId="77777777" w:rsidR="00675E64" w:rsidRPr="00CC103B" w:rsidRDefault="00675E64" w:rsidP="00675E64">
      <w:pPr>
        <w:spacing w:after="0" w:line="276" w:lineRule="auto"/>
        <w:jc w:val="both"/>
        <w:rPr>
          <w:rFonts w:ascii="Verdana" w:hAnsi="Verdana"/>
          <w:lang w:val="es-ES"/>
        </w:rPr>
      </w:pPr>
      <w:r w:rsidRPr="00CC103B">
        <w:rPr>
          <w:rFonts w:ascii="Verdana" w:hAnsi="Verdana"/>
          <w:lang w:val="es-ES"/>
        </w:rPr>
        <w:t xml:space="preserve">Por último, lo invitamos a seguirnos en las redes sociales en las cuales se difunde información institucional: </w:t>
      </w:r>
    </w:p>
    <w:p w14:paraId="362CAF82" w14:textId="77777777" w:rsidR="00675E64" w:rsidRPr="00CC103B" w:rsidRDefault="00675E64" w:rsidP="00675E64">
      <w:pPr>
        <w:spacing w:after="0" w:line="276" w:lineRule="auto"/>
        <w:jc w:val="both"/>
        <w:rPr>
          <w:rFonts w:ascii="Verdana" w:hAnsi="Verdana"/>
          <w:lang w:val="es-ES"/>
        </w:rPr>
      </w:pPr>
    </w:p>
    <w:p w14:paraId="6B55E212" w14:textId="77777777" w:rsidR="00675E64" w:rsidRPr="00CC103B" w:rsidRDefault="00675E64" w:rsidP="00675E64">
      <w:pPr>
        <w:spacing w:after="0" w:line="276" w:lineRule="auto"/>
        <w:jc w:val="both"/>
        <w:rPr>
          <w:rFonts w:ascii="Verdana" w:hAnsi="Verdana"/>
          <w:lang w:val="es-ES"/>
        </w:rPr>
      </w:pPr>
      <w:r w:rsidRPr="00CC103B">
        <w:rPr>
          <w:rFonts w:ascii="Verdana" w:hAnsi="Verdana"/>
          <w:lang w:val="es-ES"/>
        </w:rPr>
        <w:t xml:space="preserve">Twitter: </w:t>
      </w:r>
      <w:r w:rsidRPr="00CC103B">
        <w:rPr>
          <w:rStyle w:val="Hipervnculo"/>
          <w:rFonts w:ascii="Verdana" w:hAnsi="Verdana" w:cs="Arial"/>
          <w:shd w:val="clear" w:color="auto" w:fill="FFFFFF"/>
          <w:lang w:val="es-ES"/>
        </w:rPr>
        <w:t>@colombiacompra</w:t>
      </w:r>
      <w:r w:rsidRPr="00CC103B">
        <w:rPr>
          <w:rFonts w:ascii="Verdana" w:hAnsi="Verdana"/>
          <w:color w:val="4472C4" w:themeColor="accent1"/>
          <w:lang w:val="es-ES"/>
        </w:rPr>
        <w:t xml:space="preserve"> </w:t>
      </w:r>
    </w:p>
    <w:p w14:paraId="58CEB031" w14:textId="77777777" w:rsidR="00675E64" w:rsidRPr="00CC103B" w:rsidRDefault="00675E64" w:rsidP="00675E64">
      <w:pPr>
        <w:spacing w:after="0" w:line="276" w:lineRule="auto"/>
        <w:jc w:val="both"/>
        <w:rPr>
          <w:rFonts w:ascii="Verdana" w:hAnsi="Verdana"/>
          <w:lang w:val="es-ES"/>
        </w:rPr>
      </w:pPr>
      <w:r w:rsidRPr="00CC103B">
        <w:rPr>
          <w:rFonts w:ascii="Verdana" w:hAnsi="Verdana"/>
          <w:lang w:val="es-ES"/>
        </w:rPr>
        <w:t xml:space="preserve">Facebook: </w:t>
      </w:r>
      <w:proofErr w:type="spellStart"/>
      <w:r w:rsidRPr="00CC103B">
        <w:rPr>
          <w:rStyle w:val="Hipervnculo"/>
          <w:rFonts w:ascii="Verdana" w:hAnsi="Verdana" w:cs="Arial"/>
          <w:shd w:val="clear" w:color="auto" w:fill="FFFFFF"/>
          <w:lang w:val="es-ES"/>
        </w:rPr>
        <w:t>ColombiaCompraEficiente</w:t>
      </w:r>
      <w:proofErr w:type="spellEnd"/>
    </w:p>
    <w:p w14:paraId="0C4A381F" w14:textId="77777777" w:rsidR="00675E64" w:rsidRPr="00CC103B" w:rsidRDefault="00675E64" w:rsidP="00675E64">
      <w:pPr>
        <w:spacing w:after="0" w:line="276" w:lineRule="auto"/>
        <w:jc w:val="both"/>
        <w:rPr>
          <w:rFonts w:ascii="Verdana" w:hAnsi="Verdana"/>
          <w:lang w:val="es-ES"/>
        </w:rPr>
      </w:pPr>
      <w:r w:rsidRPr="00CC103B">
        <w:rPr>
          <w:rFonts w:ascii="Verdana" w:hAnsi="Verdana"/>
          <w:lang w:val="es-ES"/>
        </w:rPr>
        <w:t xml:space="preserve">LinkedIn: </w:t>
      </w:r>
      <w:r w:rsidRPr="00CC103B">
        <w:rPr>
          <w:rStyle w:val="Hipervnculo"/>
          <w:rFonts w:ascii="Verdana" w:hAnsi="Verdana" w:cs="Arial"/>
          <w:shd w:val="clear" w:color="auto" w:fill="FFFFFF"/>
          <w:lang w:val="es-ES"/>
        </w:rPr>
        <w:t xml:space="preserve">Agencia Nacional de Contratación Pública - Colombia Compra Eficiente </w:t>
      </w:r>
      <w:r w:rsidRPr="00CC103B">
        <w:rPr>
          <w:rFonts w:ascii="Verdana" w:hAnsi="Verdana"/>
          <w:lang w:val="es-ES"/>
        </w:rPr>
        <w:t xml:space="preserve">Instagram: </w:t>
      </w:r>
      <w:r w:rsidRPr="00CC103B">
        <w:rPr>
          <w:rStyle w:val="Hipervnculo"/>
          <w:rFonts w:ascii="Verdana" w:hAnsi="Verdana" w:cs="Arial"/>
          <w:shd w:val="clear" w:color="auto" w:fill="FFFFFF"/>
          <w:lang w:val="es-ES"/>
        </w:rPr>
        <w:t>@colombiacompraeficiente_cce</w:t>
      </w:r>
    </w:p>
    <w:p w14:paraId="1657BB74" w14:textId="77777777" w:rsidR="00675E64" w:rsidRPr="00CC103B" w:rsidRDefault="00675E64" w:rsidP="00675E64">
      <w:pPr>
        <w:widowControl w:val="0"/>
        <w:autoSpaceDE w:val="0"/>
        <w:autoSpaceDN w:val="0"/>
        <w:spacing w:after="0" w:line="276" w:lineRule="auto"/>
        <w:jc w:val="both"/>
        <w:rPr>
          <w:rFonts w:ascii="Verdana" w:hAnsi="Verdana" w:cs="Arial"/>
          <w:lang w:val="es-ES"/>
        </w:rPr>
      </w:pPr>
    </w:p>
    <w:p w14:paraId="3EBF21D7" w14:textId="77777777" w:rsidR="00675E64" w:rsidRPr="00CC103B" w:rsidRDefault="00675E64" w:rsidP="00675E64">
      <w:pPr>
        <w:widowControl w:val="0"/>
        <w:autoSpaceDE w:val="0"/>
        <w:autoSpaceDN w:val="0"/>
        <w:spacing w:after="0" w:line="276" w:lineRule="auto"/>
        <w:jc w:val="both"/>
        <w:rPr>
          <w:rFonts w:ascii="Verdana" w:hAnsi="Verdana" w:cs="Arial"/>
          <w:lang w:val="es-ES"/>
        </w:rPr>
      </w:pPr>
      <w:r w:rsidRPr="00CC103B">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58200A2" w14:textId="6CCB093B" w:rsidR="00675E64" w:rsidRPr="00CC103B" w:rsidRDefault="00675E64" w:rsidP="00675E64">
      <w:pPr>
        <w:widowControl w:val="0"/>
        <w:autoSpaceDE w:val="0"/>
        <w:autoSpaceDN w:val="0"/>
        <w:spacing w:after="0" w:line="276" w:lineRule="auto"/>
        <w:jc w:val="both"/>
        <w:rPr>
          <w:rFonts w:ascii="Verdana" w:hAnsi="Verdana" w:cs="Arial"/>
          <w:lang w:val="es-ES"/>
        </w:rPr>
      </w:pPr>
    </w:p>
    <w:p w14:paraId="275F244A" w14:textId="442DFE97" w:rsidR="00675E64" w:rsidRPr="00CC103B" w:rsidRDefault="009D1A3E" w:rsidP="00675E64">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7E111997" wp14:editId="111715F0">
            <wp:simplePos x="0" y="0"/>
            <wp:positionH relativeFrom="column">
              <wp:posOffset>1124462</wp:posOffset>
            </wp:positionH>
            <wp:positionV relativeFrom="page">
              <wp:posOffset>6466840</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r w:rsidR="00675E64" w:rsidRPr="00CC103B">
        <w:rPr>
          <w:rFonts w:ascii="Verdana" w:eastAsia="Times New Roman" w:hAnsi="Verdana" w:cs="Arial"/>
          <w:color w:val="000000" w:themeColor="text1"/>
          <w:lang w:val="es-ES" w:eastAsia="es-CO"/>
        </w:rPr>
        <w:t>Atentamente,</w:t>
      </w:r>
      <w:r w:rsidR="00675E64" w:rsidRPr="00CC103B">
        <w:rPr>
          <w:rFonts w:ascii="Verdana" w:hAnsi="Verdana" w:cs="Arial"/>
          <w:color w:val="000000" w:themeColor="text1"/>
          <w:lang w:val="es-ES" w:eastAsia="es-CO"/>
        </w:rPr>
        <w:t xml:space="preserve"> </w:t>
      </w:r>
    </w:p>
    <w:p w14:paraId="07FFF1C5" w14:textId="63ED15AB" w:rsidR="00675E64" w:rsidRPr="00CC103B" w:rsidRDefault="00675E64" w:rsidP="00675E64">
      <w:pPr>
        <w:spacing w:after="0" w:line="276" w:lineRule="auto"/>
        <w:rPr>
          <w:rFonts w:ascii="Verdana" w:hAnsi="Verdana" w:cs="Arial"/>
          <w:color w:val="000000" w:themeColor="text1"/>
          <w:lang w:val="es-ES" w:eastAsia="es-CO"/>
        </w:rPr>
      </w:pPr>
    </w:p>
    <w:p w14:paraId="00EABF9A" w14:textId="56B1D485" w:rsidR="00675E64" w:rsidRPr="00CC103B" w:rsidRDefault="00675E64" w:rsidP="00675E64">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75E64" w:rsidRPr="00CC103B" w14:paraId="6C3DDD28" w14:textId="77777777" w:rsidTr="00764B31">
        <w:trPr>
          <w:trHeight w:val="315"/>
        </w:trPr>
        <w:tc>
          <w:tcPr>
            <w:tcW w:w="893" w:type="dxa"/>
            <w:vAlign w:val="center"/>
            <w:hideMark/>
          </w:tcPr>
          <w:p w14:paraId="48C530CA" w14:textId="77777777" w:rsidR="00675E64" w:rsidRPr="00CC103B" w:rsidRDefault="00675E64" w:rsidP="00764B31">
            <w:pPr>
              <w:contextualSpacing/>
              <w:rPr>
                <w:rFonts w:ascii="Verdana" w:hAnsi="Verdana" w:cs="Arial"/>
                <w:sz w:val="16"/>
                <w:szCs w:val="16"/>
                <w:lang w:val="es-ES" w:eastAsia="es-ES"/>
              </w:rPr>
            </w:pPr>
            <w:r w:rsidRPr="00CC103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ED97EA" w14:textId="77777777" w:rsidR="00675E64" w:rsidRPr="00CC103B" w:rsidRDefault="00675E64" w:rsidP="00764B31">
            <w:pPr>
              <w:contextualSpacing/>
              <w:rPr>
                <w:rFonts w:ascii="Verdana" w:eastAsia="Arial" w:hAnsi="Verdana" w:cs="Arial"/>
                <w:color w:val="000000" w:themeColor="text1"/>
                <w:sz w:val="16"/>
                <w:szCs w:val="16"/>
                <w:lang w:val="es-ES"/>
              </w:rPr>
            </w:pPr>
            <w:r w:rsidRPr="00CC103B">
              <w:rPr>
                <w:rFonts w:ascii="Verdana" w:eastAsia="Arial" w:hAnsi="Verdana" w:cs="Arial"/>
                <w:color w:val="000000" w:themeColor="text1"/>
                <w:sz w:val="16"/>
                <w:szCs w:val="16"/>
                <w:lang w:val="es-ES"/>
              </w:rPr>
              <w:t>Anamaría Bonilla Prieto</w:t>
            </w:r>
          </w:p>
          <w:p w14:paraId="68E9CBD7" w14:textId="77777777" w:rsidR="00675E64" w:rsidRPr="00CC103B" w:rsidRDefault="00675E64" w:rsidP="00764B31">
            <w:pPr>
              <w:contextualSpacing/>
              <w:rPr>
                <w:rFonts w:ascii="Verdana" w:eastAsia="Arial" w:hAnsi="Verdana" w:cs="Arial"/>
                <w:sz w:val="16"/>
                <w:szCs w:val="16"/>
                <w:lang w:val="es-ES"/>
              </w:rPr>
            </w:pPr>
            <w:r w:rsidRPr="00CC103B">
              <w:rPr>
                <w:rStyle w:val="normaltextrun"/>
                <w:rFonts w:ascii="Verdana" w:eastAsia="Arial" w:hAnsi="Verdana" w:cs="Arial"/>
                <w:color w:val="000000" w:themeColor="text1"/>
                <w:sz w:val="16"/>
                <w:szCs w:val="16"/>
                <w:lang w:val="es-ES"/>
              </w:rPr>
              <w:t xml:space="preserve">Contratista de la Subdirección </w:t>
            </w:r>
            <w:r w:rsidRPr="00CC103B">
              <w:rPr>
                <w:rStyle w:val="normaltextrun"/>
                <w:rFonts w:ascii="Verdana" w:eastAsia="Arial" w:hAnsi="Verdana" w:cs="Arial"/>
                <w:sz w:val="16"/>
                <w:szCs w:val="16"/>
                <w:lang w:val="es-ES"/>
              </w:rPr>
              <w:t>de Gestión Contractual</w:t>
            </w:r>
          </w:p>
        </w:tc>
      </w:tr>
      <w:tr w:rsidR="00675E64" w:rsidRPr="00CC103B" w14:paraId="4BCCCD4E" w14:textId="77777777" w:rsidTr="00764B31">
        <w:trPr>
          <w:trHeight w:val="330"/>
        </w:trPr>
        <w:tc>
          <w:tcPr>
            <w:tcW w:w="893" w:type="dxa"/>
            <w:vAlign w:val="center"/>
            <w:hideMark/>
          </w:tcPr>
          <w:p w14:paraId="1C5A3082" w14:textId="77777777" w:rsidR="00675E64" w:rsidRPr="00CC103B" w:rsidRDefault="00675E64" w:rsidP="00764B31">
            <w:pPr>
              <w:contextualSpacing/>
              <w:rPr>
                <w:rFonts w:ascii="Verdana" w:hAnsi="Verdana" w:cs="Arial"/>
                <w:sz w:val="16"/>
                <w:szCs w:val="16"/>
                <w:lang w:val="es-ES" w:eastAsia="es-ES"/>
              </w:rPr>
            </w:pPr>
            <w:r w:rsidRPr="00CC103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03B122" w14:textId="77777777" w:rsidR="00675E64" w:rsidRPr="00CC103B" w:rsidRDefault="00675E64" w:rsidP="00764B31">
            <w:pPr>
              <w:pStyle w:val="paragraph"/>
              <w:spacing w:after="0"/>
              <w:contextualSpacing/>
              <w:textAlignment w:val="baseline"/>
              <w:rPr>
                <w:rFonts w:ascii="Verdana" w:hAnsi="Verdana" w:cs="Segoe UI"/>
                <w:sz w:val="16"/>
                <w:szCs w:val="16"/>
                <w:lang w:val="es-ES"/>
              </w:rPr>
            </w:pPr>
            <w:r w:rsidRPr="00CC103B">
              <w:rPr>
                <w:rFonts w:ascii="Verdana" w:hAnsi="Verdana" w:cs="Segoe UI"/>
                <w:sz w:val="16"/>
                <w:szCs w:val="16"/>
                <w:lang w:val="es-ES"/>
              </w:rPr>
              <w:t>Alejandro Sarmiento Cantillo</w:t>
            </w:r>
          </w:p>
          <w:p w14:paraId="67AF513F" w14:textId="77777777" w:rsidR="00675E64" w:rsidRPr="00CC103B" w:rsidRDefault="00675E64" w:rsidP="00764B31">
            <w:pPr>
              <w:pStyle w:val="paragraph"/>
              <w:spacing w:before="0" w:beforeAutospacing="0" w:after="0" w:afterAutospacing="0"/>
              <w:contextualSpacing/>
              <w:textAlignment w:val="baseline"/>
              <w:rPr>
                <w:rFonts w:ascii="Verdana" w:hAnsi="Verdana" w:cs="Segoe UI"/>
                <w:sz w:val="16"/>
                <w:szCs w:val="16"/>
                <w:lang w:val="es-ES"/>
              </w:rPr>
            </w:pPr>
            <w:r w:rsidRPr="00CC103B">
              <w:rPr>
                <w:rFonts w:ascii="Verdana" w:hAnsi="Verdana" w:cs="Segoe UI"/>
                <w:sz w:val="16"/>
                <w:szCs w:val="16"/>
                <w:lang w:val="es-ES"/>
              </w:rPr>
              <w:t>Gestor T1 ‒ 15 de la Subdirección de Gestión Contractual</w:t>
            </w:r>
          </w:p>
        </w:tc>
      </w:tr>
      <w:tr w:rsidR="00675E64" w:rsidRPr="00CC103B" w14:paraId="19946DD3" w14:textId="77777777" w:rsidTr="00764B31">
        <w:trPr>
          <w:trHeight w:val="300"/>
        </w:trPr>
        <w:tc>
          <w:tcPr>
            <w:tcW w:w="893" w:type="dxa"/>
            <w:vAlign w:val="center"/>
          </w:tcPr>
          <w:p w14:paraId="0AED0700" w14:textId="77777777" w:rsidR="00675E64" w:rsidRPr="00CC103B" w:rsidRDefault="00675E64" w:rsidP="00764B31">
            <w:pPr>
              <w:contextualSpacing/>
              <w:rPr>
                <w:rFonts w:ascii="Verdana" w:hAnsi="Verdana" w:cs="Arial"/>
                <w:sz w:val="16"/>
                <w:szCs w:val="16"/>
                <w:lang w:val="es-ES" w:eastAsia="es-ES"/>
              </w:rPr>
            </w:pPr>
            <w:r w:rsidRPr="00CC103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32406D" w14:textId="77777777" w:rsidR="00675E64" w:rsidRPr="00CC103B" w:rsidRDefault="00675E64" w:rsidP="00764B31">
            <w:pPr>
              <w:contextualSpacing/>
              <w:rPr>
                <w:rFonts w:ascii="Verdana" w:eastAsia="Calibri" w:hAnsi="Verdana" w:cs="Arial"/>
                <w:sz w:val="16"/>
                <w:szCs w:val="16"/>
                <w:lang w:val="es-ES" w:eastAsia="es-ES"/>
              </w:rPr>
            </w:pPr>
            <w:r w:rsidRPr="00CC103B">
              <w:rPr>
                <w:rFonts w:ascii="Verdana" w:eastAsia="Calibri" w:hAnsi="Verdana" w:cs="Arial"/>
                <w:sz w:val="16"/>
                <w:szCs w:val="16"/>
                <w:lang w:val="es-ES" w:eastAsia="es-ES"/>
              </w:rPr>
              <w:t>Carolina Quintero Gacharná</w:t>
            </w:r>
          </w:p>
          <w:p w14:paraId="1CDE5CA2" w14:textId="77777777" w:rsidR="00675E64" w:rsidRPr="00CC103B" w:rsidRDefault="00675E64" w:rsidP="00764B31">
            <w:pPr>
              <w:contextualSpacing/>
              <w:rPr>
                <w:rFonts w:ascii="Verdana" w:eastAsia="Calibri" w:hAnsi="Verdana" w:cs="Arial"/>
                <w:sz w:val="16"/>
                <w:szCs w:val="16"/>
                <w:lang w:val="es-ES" w:eastAsia="es-ES"/>
              </w:rPr>
            </w:pPr>
            <w:r w:rsidRPr="00CC103B">
              <w:rPr>
                <w:rFonts w:ascii="Verdana" w:eastAsia="Calibri" w:hAnsi="Verdana" w:cs="Arial"/>
                <w:sz w:val="16"/>
                <w:szCs w:val="16"/>
                <w:lang w:val="es-ES" w:eastAsia="es-ES"/>
              </w:rPr>
              <w:t>Subdirectora de Gestión Contractual ANCP – CCE</w:t>
            </w:r>
          </w:p>
        </w:tc>
      </w:tr>
      <w:bookmarkEnd w:id="0"/>
    </w:tbl>
    <w:p w14:paraId="0F293BF4" w14:textId="7A61B4EE" w:rsidR="00127233" w:rsidRPr="00CC103B" w:rsidRDefault="00127233" w:rsidP="009D1A3E">
      <w:pPr>
        <w:rPr>
          <w:lang w:val="es-ES"/>
        </w:rPr>
      </w:pPr>
    </w:p>
    <w:sectPr w:rsidR="00127233" w:rsidRPr="00CC103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84423" w14:textId="77777777" w:rsidR="00C02FBA" w:rsidRDefault="00C02FBA" w:rsidP="004A1847">
      <w:pPr>
        <w:spacing w:after="0" w:line="240" w:lineRule="auto"/>
      </w:pPr>
      <w:r>
        <w:separator/>
      </w:r>
    </w:p>
  </w:endnote>
  <w:endnote w:type="continuationSeparator" w:id="0">
    <w:p w14:paraId="23E1B4BE" w14:textId="77777777" w:rsidR="00C02FBA" w:rsidRDefault="00C02FBA" w:rsidP="004A1847">
      <w:pPr>
        <w:spacing w:after="0" w:line="240" w:lineRule="auto"/>
      </w:pPr>
      <w:r>
        <w:continuationSeparator/>
      </w:r>
    </w:p>
  </w:endnote>
  <w:endnote w:type="continuationNotice" w:id="1">
    <w:p w14:paraId="32F32AED" w14:textId="77777777" w:rsidR="00C02FBA" w:rsidRDefault="00C02F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CF496" w14:textId="77777777" w:rsidR="00C02FBA" w:rsidRDefault="00C02FBA" w:rsidP="004A1847">
      <w:pPr>
        <w:spacing w:after="0" w:line="240" w:lineRule="auto"/>
      </w:pPr>
      <w:r>
        <w:separator/>
      </w:r>
    </w:p>
  </w:footnote>
  <w:footnote w:type="continuationSeparator" w:id="0">
    <w:p w14:paraId="672A23E8" w14:textId="77777777" w:rsidR="00C02FBA" w:rsidRDefault="00C02FBA" w:rsidP="004A1847">
      <w:pPr>
        <w:spacing w:after="0" w:line="240" w:lineRule="auto"/>
      </w:pPr>
      <w:r>
        <w:continuationSeparator/>
      </w:r>
    </w:p>
  </w:footnote>
  <w:footnote w:type="continuationNotice" w:id="1">
    <w:p w14:paraId="47E63F1A" w14:textId="77777777" w:rsidR="00C02FBA" w:rsidRDefault="00C02FBA">
      <w:pPr>
        <w:spacing w:after="0" w:line="240" w:lineRule="auto"/>
      </w:pPr>
    </w:p>
  </w:footnote>
  <w:footnote w:id="2">
    <w:p w14:paraId="1DE5AB43"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u w:val="single"/>
          <w:lang w:val="es-CO"/>
        </w:rPr>
        <w:t>Decreto 1068 de 2015: “Artículo 2.8.4.4.5.</w:t>
      </w:r>
      <w:r w:rsidRPr="0063476A">
        <w:rPr>
          <w:rFonts w:ascii="Verdana" w:hAnsi="Verdana"/>
          <w:sz w:val="14"/>
          <w:szCs w:val="14"/>
          <w:lang w:val="es-CO"/>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0EE7DAB9"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6FBE9337"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7D22A508" w14:textId="77777777" w:rsidR="00675E64" w:rsidRPr="0063476A" w:rsidRDefault="00675E64" w:rsidP="00675E64">
      <w:pPr>
        <w:pStyle w:val="Textonotapie"/>
        <w:snapToGrid w:val="0"/>
        <w:ind w:firstLine="708"/>
        <w:contextualSpacing/>
        <w:jc w:val="both"/>
        <w:rPr>
          <w:rFonts w:ascii="Verdana" w:hAnsi="Verdana"/>
          <w:sz w:val="14"/>
          <w:szCs w:val="14"/>
          <w:lang w:val="es-CO"/>
        </w:rPr>
      </w:pPr>
    </w:p>
  </w:footnote>
  <w:footnote w:id="3">
    <w:p w14:paraId="35220E15" w14:textId="77777777" w:rsidR="00675E64" w:rsidRPr="0063476A" w:rsidRDefault="00675E64" w:rsidP="00675E64">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7682FDF0"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2. Quien presta el servicio se denomina trabajador, quien lo recibe y remunera, empleador, y la remuneración, cualquiera que sea su forma, salario”.</w:t>
      </w:r>
    </w:p>
  </w:footnote>
  <w:footnote w:id="4">
    <w:p w14:paraId="1A54D6E0"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Corte Constitucional. Sentencia C-154 de 1997. Magistrado Ponente: Hernando Herrera Vergara.</w:t>
      </w:r>
    </w:p>
  </w:footnote>
  <w:footnote w:id="5">
    <w:p w14:paraId="43C41E6D" w14:textId="77777777" w:rsidR="00675E64" w:rsidRPr="0063476A" w:rsidRDefault="00675E64" w:rsidP="00675E64">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Ibid. </w:t>
      </w:r>
    </w:p>
  </w:footnote>
  <w:footnote w:id="6">
    <w:p w14:paraId="55D00746"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28B3F3CE"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1A9CE47B"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La Entidad Estatal, para la contratación de trabajos artísticos que solamente puedan en-comendarse a determinadas personas naturales, debe justificar esta situación en los estudios y documentos previos”.</w:t>
      </w:r>
    </w:p>
    <w:p w14:paraId="0FF5F078" w14:textId="77777777" w:rsidR="00675E64" w:rsidRPr="0063476A" w:rsidRDefault="00675E64" w:rsidP="00675E64">
      <w:pPr>
        <w:pStyle w:val="Textonotapie"/>
        <w:snapToGrid w:val="0"/>
        <w:ind w:firstLine="708"/>
        <w:contextualSpacing/>
        <w:jc w:val="both"/>
        <w:rPr>
          <w:rFonts w:ascii="Verdana" w:hAnsi="Verdana"/>
          <w:sz w:val="14"/>
          <w:szCs w:val="14"/>
          <w:lang w:val="es-CO"/>
        </w:rPr>
      </w:pPr>
    </w:p>
  </w:footnote>
  <w:footnote w:id="7">
    <w:p w14:paraId="6916DE65"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Consejo de Estado. Sala de lo Contencioso Administrativo. Sección Tercera. Subsección C. Sentencia del 2 de diciembre de 2013. Exp. 41719. Consejero Ponente: Jaime Orlando Santofimio Gamboa.</w:t>
      </w:r>
    </w:p>
  </w:footnote>
  <w:footnote w:id="8">
    <w:p w14:paraId="2D5EA860" w14:textId="77777777" w:rsidR="00675E64" w:rsidRPr="0063476A" w:rsidRDefault="00675E64" w:rsidP="00675E64">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Ibid.</w:t>
      </w:r>
    </w:p>
  </w:footnote>
  <w:footnote w:id="9">
    <w:p w14:paraId="236E42FE" w14:textId="77777777" w:rsidR="00675E64" w:rsidRPr="0063476A" w:rsidRDefault="00675E64" w:rsidP="00675E64">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Ibid.</w:t>
      </w:r>
    </w:p>
  </w:footnote>
  <w:footnote w:id="10">
    <w:p w14:paraId="580CD520"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F591812"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Son también contratos de consultoría los que tienen por objeto la interventoría, asesoría, gerencia de obra o de proyectos, dirección, programación y la ejecución de diseños, planos, anteproyectos y proyectos.</w:t>
      </w:r>
    </w:p>
    <w:p w14:paraId="17FD5683"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Ninguna orden del interventor de una obra podrá darse verbalmente. Es obligatorio para el interventor entregar por escrito sus órdenes o sugerencias y ellas deben enmarcarse dentro de los términos del respectivo contrato”.</w:t>
      </w:r>
    </w:p>
  </w:footnote>
  <w:footnote w:id="11">
    <w:p w14:paraId="6CECAFB0"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 xml:space="preserve">Así lo prevé el artículo 2.2.1.2.1.4.1. del Decreto 1082 de 2015: “La Entidad Estatal debe señalar en un acto administrativo la justificación para contratar bajo la modalidad de contratación directa, el cual debe contener: </w:t>
      </w:r>
    </w:p>
    <w:p w14:paraId="4F1CD372"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1. La causal que invoca para contratar directamente.</w:t>
      </w:r>
    </w:p>
    <w:p w14:paraId="1FE89475"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2. El objeto del contrato.</w:t>
      </w:r>
    </w:p>
    <w:p w14:paraId="38941064"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3. El presupuesto para la contratación y las condiciones que exigirá al contratista.</w:t>
      </w:r>
    </w:p>
    <w:p w14:paraId="23459589"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4. El lugar en el cual los interesados pueden consultar los estudios y documentos previos.</w:t>
      </w:r>
    </w:p>
    <w:p w14:paraId="3F866E01"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2336EFE9"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Esta norma expresa: “Para el cumplimiento de los fines de la contratación, las entidades estatales al celebrar un contrato:</w:t>
      </w:r>
    </w:p>
    <w:p w14:paraId="0D9E856E"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w:t>
      </w:r>
    </w:p>
    <w:p w14:paraId="157180E4"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footnote>
  <w:footnote w:id="13">
    <w:p w14:paraId="3E6A5995"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L</w:t>
      </w:r>
      <w:r w:rsidRPr="0063476A">
        <w:rPr>
          <w:rFonts w:ascii="Verdana" w:hAnsi="Verdana"/>
          <w:sz w:val="14"/>
          <w:szCs w:val="14"/>
          <w:lang w:val="es-CO"/>
        </w:rPr>
        <w:t>a norma dispone: “La liquidación a que se refiere el presente artículo no será obligatoria en los contratos de prestación de servicios profesionales y de apoyo a la gestión”.</w:t>
      </w:r>
    </w:p>
  </w:footnote>
  <w:footnote w:id="14">
    <w:p w14:paraId="10FB9029"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DD61F02"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A70465A"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w:t>
      </w:r>
    </w:p>
  </w:footnote>
  <w:footnote w:id="15">
    <w:p w14:paraId="0047AE23"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6">
    <w:p w14:paraId="58F0141C" w14:textId="77777777" w:rsidR="00675E64" w:rsidRPr="0063476A" w:rsidRDefault="00675E64" w:rsidP="00675E64">
      <w:pPr>
        <w:pStyle w:val="Textonotapie"/>
        <w:snapToGrid w:val="0"/>
        <w:ind w:firstLine="709"/>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Consejo de Estado. Sentencia del diciembre 3 de 2007, expediente No. 11001-03-26-000-2003-00014-01(24715), M.P. Dra. Ruth Stella Correa Palacio ─acción de nulidad en contra del Decreto 2170 de 2002.</w:t>
      </w:r>
    </w:p>
  </w:footnote>
  <w:footnote w:id="17">
    <w:p w14:paraId="0D405423" w14:textId="77777777" w:rsidR="00675E64" w:rsidRPr="0063476A" w:rsidRDefault="00675E64" w:rsidP="00675E64">
      <w:pPr>
        <w:pStyle w:val="Textonotapie"/>
        <w:snapToGrid w:val="0"/>
        <w:ind w:firstLine="709"/>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hAnsi="Verdana" w:cs="Arial"/>
          <w:i/>
          <w:iCs/>
          <w:sz w:val="14"/>
          <w:szCs w:val="14"/>
        </w:rPr>
        <w:t>Ibidem</w:t>
      </w:r>
      <w:r w:rsidRPr="0063476A">
        <w:rPr>
          <w:rFonts w:ascii="Verdana" w:hAnsi="Verdana" w:cs="Arial"/>
          <w:sz w:val="14"/>
          <w:szCs w:val="14"/>
        </w:rPr>
        <w:t>.</w:t>
      </w:r>
    </w:p>
  </w:footnote>
  <w:footnote w:id="18">
    <w:p w14:paraId="77E87C08" w14:textId="77777777" w:rsidR="00675E64" w:rsidRPr="0063476A" w:rsidRDefault="00675E64" w:rsidP="00675E64">
      <w:pPr>
        <w:pStyle w:val="Textonotapie"/>
        <w:snapToGrid w:val="0"/>
        <w:ind w:firstLine="709"/>
        <w:contextualSpacing/>
        <w:jc w:val="both"/>
        <w:rPr>
          <w:rFonts w:ascii="Verdana" w:eastAsia="Calibri" w:hAnsi="Verdana" w:cs="Arial"/>
          <w:sz w:val="14"/>
          <w:szCs w:val="14"/>
          <w:lang w:val="es-ES_tradnl" w:eastAsia="es-ES_tradnl"/>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2CEB3D63" w14:textId="77777777" w:rsidR="00675E64" w:rsidRPr="0063476A" w:rsidRDefault="00675E64" w:rsidP="00675E64">
      <w:pPr>
        <w:pStyle w:val="Textonotapie"/>
        <w:snapToGrid w:val="0"/>
        <w:ind w:firstLine="709"/>
        <w:contextualSpacing/>
        <w:jc w:val="both"/>
        <w:rPr>
          <w:rFonts w:ascii="Verdana" w:hAnsi="Verdana" w:cs="Arial"/>
          <w:sz w:val="14"/>
          <w:szCs w:val="14"/>
          <w:lang w:val="es-ES"/>
        </w:rPr>
      </w:pPr>
      <w:r w:rsidRPr="0063476A">
        <w:rPr>
          <w:rFonts w:ascii="Verdana" w:eastAsia="Calibri" w:hAnsi="Verdana" w:cs="Arial"/>
          <w:sz w:val="14"/>
          <w:szCs w:val="14"/>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9">
    <w:p w14:paraId="579EC9D1" w14:textId="77777777" w:rsidR="00675E64" w:rsidRPr="0063476A" w:rsidRDefault="00675E64" w:rsidP="00675E64">
      <w:pPr>
        <w:snapToGrid w:val="0"/>
        <w:spacing w:after="0" w:line="240" w:lineRule="auto"/>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CONSEJO DE ESTADO. Sala de lo Contencioso Administrativo. Sección Tercera Subsección A. C.P.: María Adriana Marín. Sentencia del 22 de agosto de 2023. Radicación número: 85001-23-33-000-2015-00211-01 (58.634). </w:t>
      </w:r>
    </w:p>
  </w:footnote>
  <w:footnote w:id="20">
    <w:p w14:paraId="01B14261" w14:textId="77777777" w:rsidR="00675E64" w:rsidRPr="0063476A" w:rsidRDefault="00675E64" w:rsidP="00675E64">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 xml:space="preserve">CONSEJO DE ESTADO. Sala de Consulta y Servicio Civil. C..P: Édgar González López. Sentencia del 5 de septiembre de 2018. Expediente: 2386. </w:t>
      </w:r>
    </w:p>
  </w:footnote>
  <w:footnote w:id="21">
    <w:p w14:paraId="084C227D" w14:textId="77777777" w:rsidR="00675E64" w:rsidRPr="0063476A" w:rsidRDefault="00675E64" w:rsidP="00675E64">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CONSEJO DE ESTADO. Sala de lo Contencioso Administrativo. Sección Tercera. Subsección A. C.P.: Hernán Andrade Rincón (E). Sentencia del 29 de julio de 2015. Radicación número: 68001-23-31-000-2002-02796-01 (41.008).</w:t>
      </w:r>
    </w:p>
    <w:p w14:paraId="6BD3BF12" w14:textId="77777777" w:rsidR="00675E64" w:rsidRPr="0063476A" w:rsidRDefault="00675E64" w:rsidP="00675E64">
      <w:pPr>
        <w:pStyle w:val="Textonotapie"/>
        <w:snapToGrid w:val="0"/>
        <w:contextualSpacing/>
        <w:jc w:val="both"/>
        <w:rPr>
          <w:rFonts w:ascii="Verdana" w:hAnsi="Verdana"/>
          <w:sz w:val="14"/>
          <w:szCs w:val="14"/>
        </w:rPr>
      </w:pPr>
    </w:p>
  </w:footnote>
  <w:footnote w:id="22">
    <w:p w14:paraId="35560613" w14:textId="77777777" w:rsidR="00675E64" w:rsidRPr="0063476A" w:rsidRDefault="00675E64" w:rsidP="00675E64">
      <w:pPr>
        <w:pStyle w:val="Textonotapie"/>
        <w:snapToGrid w:val="0"/>
        <w:ind w:firstLine="709"/>
        <w:contextualSpacing/>
        <w:jc w:val="both"/>
        <w:rPr>
          <w:rFonts w:ascii="Verdana" w:hAnsi="Verdana" w:cs="Arial"/>
          <w:color w:val="000000" w:themeColor="text1"/>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hAnsi="Verdana" w:cs="Arial"/>
          <w:color w:val="000000" w:themeColor="text1"/>
          <w:sz w:val="14"/>
          <w:szCs w:val="14"/>
        </w:rPr>
        <w:t xml:space="preserve">CONSEJO DE ESTADO. </w:t>
      </w:r>
      <w:r w:rsidRPr="0063476A">
        <w:rPr>
          <w:rFonts w:ascii="Verdana" w:hAnsi="Verdana"/>
          <w:sz w:val="14"/>
          <w:szCs w:val="14"/>
        </w:rPr>
        <w:t xml:space="preserve">Sala de lo Contencioso Administrativo. </w:t>
      </w:r>
      <w:r w:rsidRPr="0063476A">
        <w:rPr>
          <w:rFonts w:ascii="Verdana" w:hAnsi="Verdana" w:cs="Arial"/>
          <w:color w:val="000000" w:themeColor="text1"/>
          <w:sz w:val="14"/>
          <w:szCs w:val="14"/>
        </w:rPr>
        <w:t xml:space="preserve">Sección Tercera. Subsección B. </w:t>
      </w:r>
      <w:r w:rsidRPr="0063476A">
        <w:rPr>
          <w:rFonts w:ascii="Verdana" w:hAnsi="Verdana"/>
          <w:sz w:val="14"/>
          <w:szCs w:val="14"/>
          <w:lang w:val="es-CO"/>
        </w:rPr>
        <w:t xml:space="preserve">C.P: </w:t>
      </w:r>
      <w:r w:rsidRPr="0063476A">
        <w:rPr>
          <w:rFonts w:ascii="Verdana" w:hAnsi="Verdana" w:cs="Arial"/>
          <w:color w:val="000000" w:themeColor="text1"/>
          <w:sz w:val="14"/>
          <w:szCs w:val="14"/>
        </w:rPr>
        <w:t>Ruth Stella Correa Palacio. Sentencia del 14 de octubre de 2011. Expediente: 20811.</w:t>
      </w:r>
    </w:p>
  </w:footnote>
  <w:footnote w:id="23">
    <w:p w14:paraId="4033CADD"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CONSEJO DE ESTADO. Sección Tercera. Subsección B. Sentencia del 29 de febrero de 2012. Exp. 16371, C.P. Danilo Rojas Betancourth.</w:t>
      </w:r>
    </w:p>
  </w:footnote>
  <w:footnote w:id="24">
    <w:p w14:paraId="1DFA5076" w14:textId="77777777" w:rsidR="00675E64" w:rsidRPr="0063476A" w:rsidRDefault="00675E64" w:rsidP="00675E64">
      <w:pPr>
        <w:pStyle w:val="Textonotapie"/>
        <w:snapToGrid w:val="0"/>
        <w:ind w:firstLine="708"/>
        <w:contextualSpacing/>
        <w:jc w:val="both"/>
        <w:rPr>
          <w:rFonts w:ascii="Verdana" w:hAnsi="Verdana"/>
          <w:sz w:val="14"/>
          <w:szCs w:val="14"/>
          <w:lang w:val="es-ES"/>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Consejo de Estado. Sección Tercera. Sentencia del 29 de febrero de 2012. Rad:16371</w:t>
      </w:r>
    </w:p>
  </w:footnote>
  <w:footnote w:id="25">
    <w:p w14:paraId="26ED7FFB" w14:textId="77777777" w:rsidR="00675E64" w:rsidRPr="0063476A" w:rsidRDefault="00675E64" w:rsidP="00675E64">
      <w:pPr>
        <w:pStyle w:val="Textonotapie"/>
        <w:snapToGrid w:val="0"/>
        <w:ind w:firstLine="708"/>
        <w:contextualSpacing/>
        <w:jc w:val="both"/>
        <w:rPr>
          <w:rFonts w:ascii="Verdana" w:hAnsi="Verdana"/>
          <w:sz w:val="14"/>
          <w:szCs w:val="14"/>
          <w:lang w:val="es-ES"/>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ES"/>
        </w:rPr>
        <w:t>Ídem.</w:t>
      </w:r>
    </w:p>
  </w:footnote>
  <w:footnote w:id="26">
    <w:p w14:paraId="0053941C" w14:textId="77777777" w:rsidR="00675E64" w:rsidRPr="0063476A" w:rsidRDefault="00675E64" w:rsidP="00675E64">
      <w:pPr>
        <w:pStyle w:val="Textonotapie"/>
        <w:snapToGrid w:val="0"/>
        <w:ind w:firstLine="708"/>
        <w:contextualSpacing/>
        <w:jc w:val="both"/>
        <w:rPr>
          <w:rFonts w:ascii="Verdana" w:hAnsi="Verdana"/>
          <w:sz w:val="14"/>
          <w:szCs w:val="14"/>
          <w:lang w:val="es-ES"/>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lang w:val="es-CO"/>
        </w:rPr>
        <w:t>Consejo de Estado. Sección Tercera. Sentencia del 14 de marzo de 2013. Rad:20.524.</w:t>
      </w:r>
    </w:p>
  </w:footnote>
  <w:footnote w:id="27">
    <w:p w14:paraId="21659412" w14:textId="77777777" w:rsidR="00675E64" w:rsidRPr="0063476A" w:rsidRDefault="00675E64" w:rsidP="00675E64">
      <w:pPr>
        <w:pStyle w:val="Textonotapie"/>
        <w:snapToGrid w:val="0"/>
        <w:ind w:firstLine="708"/>
        <w:contextualSpacing/>
        <w:jc w:val="both"/>
        <w:rPr>
          <w:rFonts w:ascii="Verdana" w:hAnsi="Verdana"/>
          <w:sz w:val="14"/>
          <w:szCs w:val="14"/>
          <w:lang w:val="es-ES"/>
        </w:rPr>
      </w:pPr>
      <w:r w:rsidRPr="0063476A">
        <w:rPr>
          <w:rStyle w:val="Refdenotaalpie"/>
          <w:rFonts w:ascii="Verdana" w:hAnsi="Verdana"/>
          <w:sz w:val="14"/>
          <w:szCs w:val="14"/>
        </w:rPr>
        <w:footnoteRef/>
      </w:r>
      <w:r w:rsidRPr="0063476A">
        <w:rPr>
          <w:rFonts w:ascii="Verdana" w:hAnsi="Verdana"/>
          <w:sz w:val="14"/>
          <w:szCs w:val="14"/>
        </w:rPr>
        <w:t xml:space="preserve"> Consejo de Estado. Sección Tercera. Sentencia del veintiocho (28) de febrero de dos mil veintidós (2022). C.P. Nicolás Yepes Corrales. Rad. 65483.</w:t>
      </w:r>
    </w:p>
  </w:footnote>
  <w:footnote w:id="28">
    <w:p w14:paraId="50EE3C39" w14:textId="77777777" w:rsidR="00675E64" w:rsidRPr="0063476A" w:rsidRDefault="00675E64" w:rsidP="00675E64">
      <w:pPr>
        <w:pStyle w:val="Textonotapie"/>
        <w:snapToGrid w:val="0"/>
        <w:ind w:firstLine="709"/>
        <w:contextualSpacing/>
        <w:jc w:val="both"/>
        <w:rPr>
          <w:rFonts w:ascii="Verdana" w:hAnsi="Verdana" w:cs="Arial"/>
          <w:sz w:val="14"/>
          <w:szCs w:val="14"/>
          <w:lang w:val="es-CO"/>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PINO RICCI, Jorge. El régimen jurídico de los contratos estatales. Universidad Externado de Colombia. Bogotá, 2005. pp. 416.</w:t>
      </w:r>
    </w:p>
  </w:footnote>
  <w:footnote w:id="29">
    <w:p w14:paraId="5E893C15"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CONSEJO DE ESTADO. Sección Tercera. Subsección B. Sentencia del 14 de octubre de 2011. Exp. 20811, C.P. Ruth Stella Correa Palacio.</w:t>
      </w:r>
    </w:p>
  </w:footnote>
  <w:footnote w:id="30">
    <w:p w14:paraId="51D2E89D"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CONSEJO DE ESTADO. Sala de Consulta y Servicio Civil. Concepto del 5 de septiembre de 2018, radicado No. 11001-03-06-000-2018-00124-00 C.P. Édgar González López.</w:t>
      </w:r>
    </w:p>
  </w:footnote>
  <w:footnote w:id="31">
    <w:p w14:paraId="2332B9F6"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32">
    <w:p w14:paraId="6C14CD8F"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63476A">
        <w:rPr>
          <w:rFonts w:ascii="Verdana" w:hAnsi="Verdana" w:cs="Arial"/>
          <w:sz w:val="14"/>
          <w:szCs w:val="14"/>
          <w:lang w:val="es-ES_tradnl"/>
        </w:rPr>
        <w:t xml:space="preserve"> </w:t>
      </w:r>
    </w:p>
  </w:footnote>
  <w:footnote w:id="33">
    <w:p w14:paraId="751ED3D1" w14:textId="77777777" w:rsidR="00675E64" w:rsidRPr="0063476A" w:rsidRDefault="00675E64" w:rsidP="00675E64">
      <w:pPr>
        <w:pStyle w:val="Textonotapie"/>
        <w:snapToGrid w:val="0"/>
        <w:ind w:firstLine="709"/>
        <w:contextualSpacing/>
        <w:jc w:val="both"/>
        <w:rPr>
          <w:rFonts w:ascii="Verdana" w:eastAsia="Calibri" w:hAnsi="Verdana" w:cs="Arial"/>
          <w:sz w:val="14"/>
          <w:szCs w:val="14"/>
          <w:lang w:val="es-ES_tradnl" w:eastAsia="es-ES_tradnl"/>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MARÍN, Op. Cit., pp. 64-65.</w:t>
      </w:r>
    </w:p>
  </w:footnote>
  <w:footnote w:id="34">
    <w:p w14:paraId="3AB0F648" w14:textId="77777777" w:rsidR="00675E64" w:rsidRPr="0063476A" w:rsidRDefault="00675E64" w:rsidP="00675E64">
      <w:pPr>
        <w:pStyle w:val="Textonotapie"/>
        <w:snapToGrid w:val="0"/>
        <w:ind w:firstLine="709"/>
        <w:contextualSpacing/>
        <w:jc w:val="both"/>
        <w:rPr>
          <w:rFonts w:ascii="Verdana" w:hAnsi="Verdana" w:cs="Arial"/>
          <w:sz w:val="14"/>
          <w:szCs w:val="14"/>
          <w:lang w:val="es-ES"/>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Ibíd., p. 66.</w:t>
      </w:r>
    </w:p>
  </w:footnote>
  <w:footnote w:id="35">
    <w:p w14:paraId="31E4FDA7" w14:textId="77777777" w:rsidR="00675E64" w:rsidRPr="0063476A" w:rsidRDefault="00675E64" w:rsidP="00675E64">
      <w:pPr>
        <w:pStyle w:val="Textonotapie"/>
        <w:snapToGrid w:val="0"/>
        <w:ind w:firstLine="708"/>
        <w:contextualSpacing/>
        <w:jc w:val="both"/>
        <w:rPr>
          <w:rFonts w:ascii="Verdana" w:hAnsi="Verdana" w:cs="Arial"/>
          <w:bCs/>
          <w:sz w:val="14"/>
          <w:szCs w:val="14"/>
          <w:lang w:val="es-ES_tradnl"/>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36">
    <w:p w14:paraId="38E3ACCF"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37">
    <w:p w14:paraId="1169636F" w14:textId="77777777" w:rsidR="00675E64" w:rsidRPr="0063476A" w:rsidRDefault="00675E64" w:rsidP="00675E64">
      <w:pPr>
        <w:pStyle w:val="Textonotapie"/>
        <w:snapToGrid w:val="0"/>
        <w:ind w:firstLine="709"/>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cs="Arial"/>
          <w:sz w:val="14"/>
          <w:szCs w:val="14"/>
          <w:lang w:val="es-ES_tradnl"/>
        </w:rPr>
        <w:t>Consejo de Estado. Sala de Consulta y Servicio Civil. Concepto del 5 de septiembre de 2018, radicado No. 11001-03-06-000-2018-00124-00, C.P. Édgar González López</w:t>
      </w:r>
    </w:p>
  </w:footnote>
  <w:footnote w:id="38">
    <w:p w14:paraId="131851D3" w14:textId="77777777" w:rsidR="00675E64" w:rsidRPr="0063476A" w:rsidRDefault="00675E64" w:rsidP="00675E64">
      <w:pPr>
        <w:pStyle w:val="Textonotapie"/>
        <w:snapToGrid w:val="0"/>
        <w:ind w:firstLine="708"/>
        <w:contextualSpacing/>
        <w:jc w:val="both"/>
        <w:rPr>
          <w:rFonts w:ascii="Verdana" w:hAnsi="Verdana" w:cs="Arial"/>
          <w:sz w:val="14"/>
          <w:szCs w:val="14"/>
        </w:rPr>
      </w:pPr>
      <w:r w:rsidRPr="0063476A">
        <w:rPr>
          <w:rStyle w:val="Refdenotaalpie"/>
          <w:rFonts w:ascii="Verdana" w:hAnsi="Verdana" w:cs="Arial"/>
          <w:sz w:val="14"/>
          <w:szCs w:val="14"/>
        </w:rPr>
        <w:footnoteRef/>
      </w:r>
      <w:r w:rsidRPr="0063476A">
        <w:rPr>
          <w:rFonts w:ascii="Verdana" w:hAnsi="Verdana" w:cs="Arial"/>
          <w:sz w:val="14"/>
          <w:szCs w:val="14"/>
        </w:rPr>
        <w:t xml:space="preserve"> </w:t>
      </w:r>
      <w:r w:rsidRPr="0063476A">
        <w:rPr>
          <w:rFonts w:ascii="Verdana" w:eastAsia="Calibri" w:hAnsi="Verdana" w:cs="Arial"/>
          <w:sz w:val="14"/>
          <w:szCs w:val="14"/>
          <w:lang w:val="es-ES_tradnl" w:eastAsia="es-ES_tradnl"/>
        </w:rPr>
        <w:t>Ibíd, p. 77.</w:t>
      </w:r>
      <w:r w:rsidRPr="0063476A">
        <w:rPr>
          <w:rFonts w:ascii="Verdana" w:hAnsi="Verdana" w:cs="Arial"/>
          <w:sz w:val="14"/>
          <w:szCs w:val="14"/>
          <w:lang w:val="es-ES_tradnl"/>
        </w:rPr>
        <w:t xml:space="preserve"> </w:t>
      </w:r>
    </w:p>
    <w:p w14:paraId="2707BD7B" w14:textId="77777777" w:rsidR="00675E64" w:rsidRPr="0063476A" w:rsidRDefault="00675E64" w:rsidP="00675E64">
      <w:pPr>
        <w:pStyle w:val="Textonotapie"/>
        <w:snapToGrid w:val="0"/>
        <w:ind w:firstLine="708"/>
        <w:contextualSpacing/>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4CF5"/>
    <w:rsid w:val="000A683E"/>
    <w:rsid w:val="000B19B9"/>
    <w:rsid w:val="000D0334"/>
    <w:rsid w:val="000D5DA7"/>
    <w:rsid w:val="000F6486"/>
    <w:rsid w:val="00116940"/>
    <w:rsid w:val="00125105"/>
    <w:rsid w:val="00127233"/>
    <w:rsid w:val="00151C1B"/>
    <w:rsid w:val="0015699B"/>
    <w:rsid w:val="001A33BF"/>
    <w:rsid w:val="001E4177"/>
    <w:rsid w:val="001F0B24"/>
    <w:rsid w:val="001F7DC6"/>
    <w:rsid w:val="00211365"/>
    <w:rsid w:val="0022400B"/>
    <w:rsid w:val="002421BB"/>
    <w:rsid w:val="0025796E"/>
    <w:rsid w:val="002707A2"/>
    <w:rsid w:val="00280FA9"/>
    <w:rsid w:val="002951A0"/>
    <w:rsid w:val="002962BC"/>
    <w:rsid w:val="002A093D"/>
    <w:rsid w:val="002A0DD0"/>
    <w:rsid w:val="002A49AC"/>
    <w:rsid w:val="002A64FD"/>
    <w:rsid w:val="002C7A84"/>
    <w:rsid w:val="002E2BF8"/>
    <w:rsid w:val="002E4FD9"/>
    <w:rsid w:val="0030657A"/>
    <w:rsid w:val="0031622A"/>
    <w:rsid w:val="00322A85"/>
    <w:rsid w:val="00324168"/>
    <w:rsid w:val="00330834"/>
    <w:rsid w:val="003448F4"/>
    <w:rsid w:val="00374F5E"/>
    <w:rsid w:val="00377E3E"/>
    <w:rsid w:val="003A779E"/>
    <w:rsid w:val="003D0F4D"/>
    <w:rsid w:val="003D5B0D"/>
    <w:rsid w:val="003D789E"/>
    <w:rsid w:val="003E0499"/>
    <w:rsid w:val="003E4F80"/>
    <w:rsid w:val="003E6439"/>
    <w:rsid w:val="003F3941"/>
    <w:rsid w:val="00406575"/>
    <w:rsid w:val="00411D2E"/>
    <w:rsid w:val="00414C74"/>
    <w:rsid w:val="0042722E"/>
    <w:rsid w:val="004351DA"/>
    <w:rsid w:val="0043667A"/>
    <w:rsid w:val="0044528D"/>
    <w:rsid w:val="004560C0"/>
    <w:rsid w:val="00466E39"/>
    <w:rsid w:val="004A1847"/>
    <w:rsid w:val="004A305D"/>
    <w:rsid w:val="004C1816"/>
    <w:rsid w:val="004E2A83"/>
    <w:rsid w:val="004F21C4"/>
    <w:rsid w:val="004F685F"/>
    <w:rsid w:val="005038EA"/>
    <w:rsid w:val="005566E8"/>
    <w:rsid w:val="0055698F"/>
    <w:rsid w:val="00574867"/>
    <w:rsid w:val="00583448"/>
    <w:rsid w:val="00591460"/>
    <w:rsid w:val="005A65E0"/>
    <w:rsid w:val="005C3777"/>
    <w:rsid w:val="005C5CDC"/>
    <w:rsid w:val="005C6687"/>
    <w:rsid w:val="005D476C"/>
    <w:rsid w:val="005D61FD"/>
    <w:rsid w:val="005D6BF3"/>
    <w:rsid w:val="006200BF"/>
    <w:rsid w:val="006219F8"/>
    <w:rsid w:val="006302F7"/>
    <w:rsid w:val="00646B9F"/>
    <w:rsid w:val="00665D70"/>
    <w:rsid w:val="00675E64"/>
    <w:rsid w:val="006900D9"/>
    <w:rsid w:val="006905C3"/>
    <w:rsid w:val="00706C16"/>
    <w:rsid w:val="007340C3"/>
    <w:rsid w:val="0075235A"/>
    <w:rsid w:val="00756841"/>
    <w:rsid w:val="007649AB"/>
    <w:rsid w:val="00771D0C"/>
    <w:rsid w:val="007833AC"/>
    <w:rsid w:val="00796E2A"/>
    <w:rsid w:val="007B268C"/>
    <w:rsid w:val="007B7171"/>
    <w:rsid w:val="007C0C0F"/>
    <w:rsid w:val="007C3DC2"/>
    <w:rsid w:val="007E5497"/>
    <w:rsid w:val="00806F5F"/>
    <w:rsid w:val="00820278"/>
    <w:rsid w:val="008258C9"/>
    <w:rsid w:val="00830F57"/>
    <w:rsid w:val="00844AE9"/>
    <w:rsid w:val="008601B9"/>
    <w:rsid w:val="00867F95"/>
    <w:rsid w:val="008843B6"/>
    <w:rsid w:val="00891928"/>
    <w:rsid w:val="008A446D"/>
    <w:rsid w:val="008B25F1"/>
    <w:rsid w:val="008D180B"/>
    <w:rsid w:val="008F0EA7"/>
    <w:rsid w:val="00923EEF"/>
    <w:rsid w:val="009419F9"/>
    <w:rsid w:val="0095685E"/>
    <w:rsid w:val="00961B09"/>
    <w:rsid w:val="00965334"/>
    <w:rsid w:val="00966990"/>
    <w:rsid w:val="0097093E"/>
    <w:rsid w:val="009A0DFA"/>
    <w:rsid w:val="009A1C6F"/>
    <w:rsid w:val="009B2D26"/>
    <w:rsid w:val="009C71FA"/>
    <w:rsid w:val="009C72E7"/>
    <w:rsid w:val="009C7F7E"/>
    <w:rsid w:val="009D1A3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2FBA"/>
    <w:rsid w:val="00C04FB3"/>
    <w:rsid w:val="00C11D8B"/>
    <w:rsid w:val="00C15139"/>
    <w:rsid w:val="00C330EB"/>
    <w:rsid w:val="00C50D69"/>
    <w:rsid w:val="00C5365C"/>
    <w:rsid w:val="00C754BE"/>
    <w:rsid w:val="00C76B1C"/>
    <w:rsid w:val="00C925AC"/>
    <w:rsid w:val="00CB6357"/>
    <w:rsid w:val="00CC103B"/>
    <w:rsid w:val="00CC1B26"/>
    <w:rsid w:val="00D173F6"/>
    <w:rsid w:val="00D361FD"/>
    <w:rsid w:val="00D423A2"/>
    <w:rsid w:val="00D44E26"/>
    <w:rsid w:val="00D520D8"/>
    <w:rsid w:val="00D63AC2"/>
    <w:rsid w:val="00D7383B"/>
    <w:rsid w:val="00D7788A"/>
    <w:rsid w:val="00DA231B"/>
    <w:rsid w:val="00DC39FC"/>
    <w:rsid w:val="00DF5254"/>
    <w:rsid w:val="00DF6F21"/>
    <w:rsid w:val="00E02524"/>
    <w:rsid w:val="00E16408"/>
    <w:rsid w:val="00E20894"/>
    <w:rsid w:val="00E245AB"/>
    <w:rsid w:val="00E2764C"/>
    <w:rsid w:val="00E27F2E"/>
    <w:rsid w:val="00E50AFE"/>
    <w:rsid w:val="00E573CD"/>
    <w:rsid w:val="00E75C92"/>
    <w:rsid w:val="00E771DC"/>
    <w:rsid w:val="00E8772A"/>
    <w:rsid w:val="00E90F6B"/>
    <w:rsid w:val="00E92C27"/>
    <w:rsid w:val="00EA0E3D"/>
    <w:rsid w:val="00EC38A7"/>
    <w:rsid w:val="00ED49A0"/>
    <w:rsid w:val="00EE1AA8"/>
    <w:rsid w:val="00F23FEA"/>
    <w:rsid w:val="00F31EDC"/>
    <w:rsid w:val="00F462B3"/>
    <w:rsid w:val="00F5664F"/>
    <w:rsid w:val="00F666C4"/>
    <w:rsid w:val="00F76AFC"/>
    <w:rsid w:val="00FA47C0"/>
    <w:rsid w:val="00FB5DD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75E6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75E6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1DD364-0ECA-4127-9A9C-12987BCEF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C1D7EEAB-B806-C646-809B-1E4BE3D8DE1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26</Pages>
  <Words>8584</Words>
  <Characters>47215</Characters>
  <Application>Microsoft Office Word</Application>
  <DocSecurity>0</DocSecurity>
  <Lines>393</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2026-03-24T17:03:00Z</dcterms:created>
  <dcterms:modified xsi:type="dcterms:W3CDTF">2026-03-24T22:44:00Z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