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91857A" w14:textId="53C61AF9" w:rsidR="00ED7AD8" w:rsidRPr="00ED7AD8" w:rsidRDefault="00ED7AD8" w:rsidP="00ED7AD8">
      <w:pPr>
        <w:spacing w:after="0" w:line="240" w:lineRule="auto"/>
        <w:jc w:val="both"/>
        <w:rPr>
          <w:rFonts w:ascii="Verdana" w:hAnsi="Verdana"/>
          <w:b/>
        </w:rPr>
      </w:pPr>
      <w:bookmarkStart w:id="0" w:name="_Hlk143780582"/>
      <w:r w:rsidRPr="00ED7AD8">
        <w:rPr>
          <w:rFonts w:ascii="Verdana" w:hAnsi="Verdana" w:cs="Arial"/>
          <w:b/>
          <w:bCs/>
          <w:lang w:eastAsia="es-ES" w:bidi="es-ES"/>
        </w:rPr>
        <w:t>ADICIÓN – Concepto – Distintos supuestos – Prohibición – Adición en más del 50%</w:t>
      </w:r>
    </w:p>
    <w:p w14:paraId="1F791867" w14:textId="5C783331" w:rsidR="00ED7AD8" w:rsidRDefault="00ED7AD8" w:rsidP="00B31C7B">
      <w:pPr>
        <w:spacing w:after="0" w:line="240" w:lineRule="auto"/>
        <w:rPr>
          <w:rFonts w:ascii="Verdana" w:hAnsi="Verdana"/>
        </w:rPr>
      </w:pPr>
    </w:p>
    <w:p w14:paraId="7692E6CB" w14:textId="77777777" w:rsidR="001631FE" w:rsidRPr="001631FE" w:rsidRDefault="001631FE" w:rsidP="001631FE">
      <w:pPr>
        <w:spacing w:after="0" w:line="240" w:lineRule="auto"/>
        <w:jc w:val="both"/>
        <w:rPr>
          <w:rFonts w:ascii="Verdana" w:eastAsia="Calibri" w:hAnsi="Verdana" w:cs="Arial"/>
          <w:color w:val="000000"/>
          <w:sz w:val="20"/>
          <w:szCs w:val="20"/>
          <w:lang w:eastAsia="es-ES_tradnl"/>
        </w:rPr>
      </w:pPr>
      <w:r w:rsidRPr="001631FE">
        <w:rPr>
          <w:rFonts w:ascii="Verdana" w:eastAsia="Calibri" w:hAnsi="Verdana" w:cs="Arial"/>
          <w:color w:val="000000"/>
          <w:sz w:val="20"/>
          <w:szCs w:val="20"/>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1631FE">
        <w:rPr>
          <w:rFonts w:ascii="Verdana" w:eastAsia="Calibri" w:hAnsi="Verdana" w:cs="Arial"/>
          <w:color w:val="000000"/>
          <w:sz w:val="20"/>
          <w:szCs w:val="20"/>
          <w:lang w:eastAsia="es-ES_tradnl"/>
        </w:rPr>
        <w:t>ii</w:t>
      </w:r>
      <w:proofErr w:type="spellEnd"/>
      <w:r w:rsidRPr="001631FE">
        <w:rPr>
          <w:rFonts w:ascii="Verdana" w:eastAsia="Calibri" w:hAnsi="Verdana" w:cs="Arial"/>
          <w:color w:val="000000"/>
          <w:sz w:val="20"/>
          <w:szCs w:val="20"/>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tienen un fundamento particular en el ordenamiento jurídico, el cual no le asigna efectos específicos a cada uno de ellos. </w:t>
      </w:r>
    </w:p>
    <w:p w14:paraId="0A50BD24" w14:textId="77777777" w:rsidR="001631FE" w:rsidRDefault="001631FE" w:rsidP="00B31C7B">
      <w:pPr>
        <w:spacing w:after="0" w:line="240" w:lineRule="auto"/>
        <w:rPr>
          <w:rFonts w:ascii="Verdana" w:hAnsi="Verdana"/>
        </w:rPr>
      </w:pPr>
    </w:p>
    <w:p w14:paraId="361FFE92" w14:textId="715AAC5A" w:rsidR="00ED7AD8" w:rsidRPr="00ED7AD8" w:rsidRDefault="00ED7AD8" w:rsidP="00ED7AD8">
      <w:pPr>
        <w:spacing w:after="0" w:line="240" w:lineRule="auto"/>
        <w:jc w:val="both"/>
        <w:rPr>
          <w:rFonts w:ascii="Verdana" w:hAnsi="Verdana" w:cs="Arial"/>
          <w:b/>
          <w:bCs/>
          <w:lang w:eastAsia="es-ES" w:bidi="es-ES"/>
        </w:rPr>
      </w:pPr>
      <w:r w:rsidRPr="00ED7AD8">
        <w:rPr>
          <w:rFonts w:ascii="Verdana" w:hAnsi="Verdana" w:cs="Arial"/>
          <w:b/>
          <w:bCs/>
          <w:lang w:eastAsia="es-ES" w:bidi="es-ES"/>
        </w:rPr>
        <w:t>ADICIÓN – Prohibición – Monto – Cálculo – Parágrafo artículo 40 – Ley 80 de 1993</w:t>
      </w:r>
    </w:p>
    <w:p w14:paraId="3E92ED6F" w14:textId="4156B373" w:rsidR="00ED7AD8" w:rsidRDefault="00ED7AD8" w:rsidP="00ED7AD8">
      <w:pPr>
        <w:spacing w:after="0" w:line="240" w:lineRule="auto"/>
        <w:jc w:val="both"/>
        <w:rPr>
          <w:rFonts w:ascii="Verdana" w:hAnsi="Verdana" w:cs="Arial"/>
          <w:b/>
          <w:bCs/>
          <w:lang w:eastAsia="es-ES" w:bidi="es-ES"/>
        </w:rPr>
      </w:pPr>
    </w:p>
    <w:p w14:paraId="330BF1ED" w14:textId="218C4035" w:rsidR="00E45B7D" w:rsidRPr="00E45B7D" w:rsidRDefault="00E45B7D" w:rsidP="00E45B7D">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Lo importante es que, frente a cualquier incremento del valor inicial del contrato</w:t>
      </w:r>
      <w:r w:rsidRPr="00E45B7D">
        <w:rPr>
          <w:rFonts w:ascii="Verdana" w:eastAsia="Calibri" w:hAnsi="Verdana" w:cs="Arial"/>
          <w:i/>
          <w:iCs/>
          <w:color w:val="000000"/>
          <w:sz w:val="20"/>
          <w:szCs w:val="20"/>
          <w:lang w:eastAsia="es-ES_tradnl"/>
        </w:rPr>
        <w:t xml:space="preserve"> </w:t>
      </w:r>
      <w:r w:rsidRPr="00E45B7D">
        <w:rPr>
          <w:rFonts w:ascii="Verdana" w:eastAsia="Calibri" w:hAnsi="Verdana" w:cs="Arial"/>
          <w:color w:val="000000"/>
          <w:sz w:val="20"/>
          <w:szCs w:val="20"/>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Estatuto General de Contratación de la Administración Pública.</w:t>
      </w:r>
    </w:p>
    <w:p w14:paraId="6CF2C802" w14:textId="77777777" w:rsidR="00E45B7D" w:rsidRDefault="00E45B7D" w:rsidP="00E45B7D">
      <w:pPr>
        <w:spacing w:after="0" w:line="240" w:lineRule="auto"/>
        <w:jc w:val="both"/>
        <w:rPr>
          <w:rFonts w:ascii="Verdana" w:eastAsia="Calibri" w:hAnsi="Verdana" w:cs="Arial"/>
          <w:color w:val="000000"/>
          <w:sz w:val="20"/>
          <w:szCs w:val="20"/>
          <w:lang w:eastAsia="es-ES_tradnl"/>
        </w:rPr>
      </w:pPr>
    </w:p>
    <w:p w14:paraId="362F150D" w14:textId="393CCF8B" w:rsidR="001631FE" w:rsidRPr="00E45B7D" w:rsidRDefault="00E45B7D" w:rsidP="00E45B7D">
      <w:pPr>
        <w:spacing w:after="0" w:line="240" w:lineRule="auto"/>
        <w:jc w:val="both"/>
        <w:rPr>
          <w:rFonts w:ascii="Verdana" w:eastAsia="Calibri" w:hAnsi="Verdana" w:cs="Arial"/>
          <w:color w:val="000000"/>
          <w:sz w:val="20"/>
          <w:szCs w:val="20"/>
          <w:lang w:eastAsia="es-ES_tradnl"/>
        </w:rPr>
      </w:pPr>
      <w:r w:rsidRPr="00E45B7D">
        <w:rPr>
          <w:rFonts w:ascii="Verdana" w:eastAsia="Calibri" w:hAnsi="Verdana" w:cs="Arial"/>
          <w:color w:val="000000"/>
          <w:sz w:val="20"/>
          <w:szCs w:val="20"/>
          <w:lang w:eastAsia="es-ES_tradnl"/>
        </w:rPr>
        <w:t xml:space="preserve">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 de manera que para adicionar un contrato debe dividirse el valor inicial por el salario mínimo vigente al momento de la suscripción del contrato, y luego dividirlo por 2; el resultado obtenido constituirá el número de SMLMV por los cuales podrá adicionarse el contrato. En este sentido, para evitar equivocaciones, lo ideal es que cada vez que se efectúe una adición, se estime su valor en salarios mínimos, que se calcularán con base en el vigente al momento de la adición, de manera que se descuenten estos de los salarios mínimos que restan por adicionar, ya que las modificaciones podrían hacerse en diferentes años, porque si el contrato se ejecuta sin existir variación en el valor del salario mínimo la operación sería la misma si se toma el monto en pesos. </w:t>
      </w:r>
    </w:p>
    <w:p w14:paraId="0117B3C1" w14:textId="56BBEA33" w:rsidR="00ED7AD8" w:rsidRPr="00ED7AD8" w:rsidRDefault="00ED7AD8" w:rsidP="00ED7AD8">
      <w:pPr>
        <w:spacing w:after="0" w:line="240" w:lineRule="auto"/>
        <w:jc w:val="both"/>
        <w:rPr>
          <w:rFonts w:ascii="Verdana" w:hAnsi="Verdana" w:cs="Arial"/>
          <w:b/>
          <w:bCs/>
          <w:lang w:eastAsia="es-ES" w:bidi="es-ES"/>
        </w:rPr>
      </w:pPr>
    </w:p>
    <w:p w14:paraId="02148CCF" w14:textId="72818F1E" w:rsidR="00ED7AD8" w:rsidRPr="00ED7AD8" w:rsidRDefault="00ED7AD8" w:rsidP="00ED7AD8">
      <w:pPr>
        <w:spacing w:after="0" w:line="240" w:lineRule="auto"/>
        <w:jc w:val="both"/>
        <w:rPr>
          <w:rFonts w:ascii="Verdana" w:hAnsi="Verdana" w:cs="Arial"/>
          <w:b/>
          <w:bCs/>
          <w:lang w:eastAsia="es-ES" w:bidi="es-ES"/>
        </w:rPr>
      </w:pPr>
      <w:r w:rsidRPr="00ED7AD8">
        <w:rPr>
          <w:rFonts w:ascii="Verdana" w:hAnsi="Verdana" w:cs="Arial"/>
          <w:b/>
          <w:bCs/>
          <w:lang w:eastAsia="es-ES" w:bidi="es-ES"/>
        </w:rPr>
        <w:t>MODIFICACION DE LOS CONTRATOS ESTATALES – Procedencia – condiciones - Límites</w:t>
      </w:r>
    </w:p>
    <w:p w14:paraId="55E09C15" w14:textId="5CDD21BF" w:rsidR="00ED7AD8" w:rsidRDefault="00ED7AD8" w:rsidP="00ED7AD8">
      <w:pPr>
        <w:spacing w:after="0" w:line="240" w:lineRule="auto"/>
        <w:jc w:val="both"/>
        <w:rPr>
          <w:rFonts w:ascii="Verdana" w:hAnsi="Verdana"/>
          <w:b/>
        </w:rPr>
      </w:pPr>
    </w:p>
    <w:p w14:paraId="4E2431AF" w14:textId="55E51CB6" w:rsidR="00311EE9" w:rsidRDefault="00311EE9" w:rsidP="00E45B7D">
      <w:pPr>
        <w:widowControl w:val="0"/>
        <w:autoSpaceDE w:val="0"/>
        <w:autoSpaceDN w:val="0"/>
        <w:spacing w:after="0" w:line="240" w:lineRule="auto"/>
        <w:jc w:val="both"/>
        <w:rPr>
          <w:rFonts w:ascii="Verdana" w:eastAsia="Calibri" w:hAnsi="Verdana" w:cs="Arial"/>
          <w:sz w:val="20"/>
          <w:szCs w:val="20"/>
        </w:rPr>
      </w:pPr>
      <w:r>
        <w:rPr>
          <w:rFonts w:ascii="Verdana" w:eastAsia="Calibri" w:hAnsi="Verdana" w:cs="Arial"/>
          <w:sz w:val="20"/>
          <w:szCs w:val="20"/>
        </w:rPr>
        <w:t>T</w:t>
      </w:r>
      <w:r w:rsidRPr="00311EE9">
        <w:rPr>
          <w:rFonts w:ascii="Verdana" w:eastAsia="Calibri" w:hAnsi="Verdana" w:cs="Arial"/>
          <w:sz w:val="20"/>
          <w:szCs w:val="20"/>
        </w:rPr>
        <w:t xml:space="preserve">ambién es importante mencionar que 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w:t>
      </w:r>
      <w:proofErr w:type="gramStart"/>
      <w:r w:rsidRPr="00311EE9">
        <w:rPr>
          <w:rFonts w:ascii="Verdana" w:eastAsia="Calibri" w:hAnsi="Verdana" w:cs="Arial"/>
          <w:sz w:val="20"/>
          <w:szCs w:val="20"/>
        </w:rPr>
        <w:t>continuación .</w:t>
      </w:r>
      <w:proofErr w:type="gramEnd"/>
      <w:r w:rsidRPr="00311EE9">
        <w:rPr>
          <w:rFonts w:ascii="Verdana" w:eastAsia="Calibri" w:hAnsi="Verdana" w:cs="Arial"/>
          <w:sz w:val="20"/>
          <w:szCs w:val="20"/>
        </w:rPr>
        <w:t xml:space="preserve"> </w:t>
      </w:r>
    </w:p>
    <w:p w14:paraId="4612CD6C" w14:textId="77777777" w:rsidR="00E45B7D" w:rsidRDefault="00E45B7D" w:rsidP="00E45B7D">
      <w:pPr>
        <w:spacing w:after="0" w:line="240" w:lineRule="auto"/>
        <w:jc w:val="both"/>
        <w:rPr>
          <w:rFonts w:ascii="Verdana" w:hAnsi="Verdana"/>
          <w:sz w:val="20"/>
          <w:szCs w:val="20"/>
        </w:rPr>
      </w:pPr>
    </w:p>
    <w:p w14:paraId="2A648284" w14:textId="32216455" w:rsidR="00E45B7D" w:rsidRPr="00E45B7D" w:rsidRDefault="00E45B7D" w:rsidP="00E45B7D">
      <w:pPr>
        <w:spacing w:after="0" w:line="240" w:lineRule="auto"/>
        <w:jc w:val="both"/>
        <w:rPr>
          <w:rFonts w:ascii="Verdana" w:eastAsia="Calibri" w:hAnsi="Verdana" w:cs="Arial"/>
          <w:sz w:val="20"/>
          <w:szCs w:val="20"/>
        </w:rPr>
      </w:pPr>
      <w:r w:rsidRPr="00E45B7D">
        <w:rPr>
          <w:rFonts w:ascii="Verdana" w:hAnsi="Verdana"/>
          <w:sz w:val="20"/>
          <w:szCs w:val="20"/>
        </w:rPr>
        <w:t xml:space="preserve">Dentro de los límites de </w:t>
      </w:r>
      <w:r w:rsidRPr="00E45B7D">
        <w:rPr>
          <w:rFonts w:ascii="Verdana" w:hAnsi="Verdana"/>
          <w:i/>
          <w:sz w:val="20"/>
          <w:szCs w:val="20"/>
        </w:rPr>
        <w:t xml:space="preserve">orden temporal </w:t>
      </w:r>
      <w:r w:rsidRPr="00E45B7D">
        <w:rPr>
          <w:rFonts w:ascii="Verdana" w:hAnsi="Verdana"/>
          <w:sz w:val="20"/>
          <w:szCs w:val="20"/>
        </w:rPr>
        <w:t xml:space="preserve">están comprendidos: </w:t>
      </w:r>
      <w:r w:rsidRPr="00E45B7D">
        <w:rPr>
          <w:rFonts w:ascii="Verdana" w:eastAsia="Arial" w:hAnsi="Verdana" w:cs="Arial"/>
          <w:sz w:val="20"/>
          <w:szCs w:val="20"/>
          <w:lang w:val="es-MX" w:eastAsia="es-ES" w:bidi="es-ES"/>
        </w:rPr>
        <w:t xml:space="preserve">i) la vigencia del contrato, pues no podría modificarse un contrato cuyo plazo ha culminado y; </w:t>
      </w:r>
      <w:proofErr w:type="spellStart"/>
      <w:r w:rsidRPr="00E45B7D">
        <w:rPr>
          <w:rFonts w:ascii="Verdana" w:eastAsia="Arial" w:hAnsi="Verdana" w:cs="Arial"/>
          <w:sz w:val="20"/>
          <w:szCs w:val="20"/>
          <w:lang w:val="es-MX" w:eastAsia="es-ES" w:bidi="es-ES"/>
        </w:rPr>
        <w:t>ii</w:t>
      </w:r>
      <w:proofErr w:type="spellEnd"/>
      <w:r w:rsidRPr="00E45B7D">
        <w:rPr>
          <w:rFonts w:ascii="Verdana" w:eastAsia="Arial" w:hAnsi="Verdana" w:cs="Arial"/>
          <w:sz w:val="20"/>
          <w:szCs w:val="20"/>
          <w:lang w:val="es-MX" w:eastAsia="es-ES" w:bidi="es-ES"/>
        </w:rPr>
        <w:t>) la prohibición de consagrar prórrogas automáticas, sucesivas o indefinidas, en tanto resultan contrarias al derecho esencial de la libertad de competencia.</w:t>
      </w:r>
      <w:r w:rsidRPr="00E45B7D">
        <w:rPr>
          <w:rFonts w:ascii="Verdana" w:eastAsia="Calibri" w:hAnsi="Verdana" w:cs="Arial"/>
          <w:sz w:val="20"/>
          <w:szCs w:val="20"/>
        </w:rPr>
        <w:t xml:space="preserve"> En torno a los límites de </w:t>
      </w:r>
      <w:r w:rsidRPr="00E45B7D">
        <w:rPr>
          <w:rFonts w:ascii="Verdana" w:eastAsia="Calibri" w:hAnsi="Verdana" w:cs="Arial"/>
          <w:i/>
          <w:sz w:val="20"/>
          <w:szCs w:val="20"/>
        </w:rPr>
        <w:t>orden formal</w:t>
      </w:r>
      <w:r w:rsidRPr="00E45B7D">
        <w:rPr>
          <w:rFonts w:ascii="Verdana" w:eastAsia="Calibri" w:hAnsi="Verdana" w:cs="Arial"/>
          <w:sz w:val="20"/>
          <w:szCs w:val="20"/>
        </w:rPr>
        <w:t xml:space="preserve">, debe señalarse que, por un lado, es necesario que, la </w:t>
      </w:r>
      <w:r w:rsidRPr="00E45B7D">
        <w:rPr>
          <w:rFonts w:ascii="Verdana" w:eastAsia="Arial" w:hAnsi="Verdana" w:cs="Arial"/>
          <w:sz w:val="20"/>
          <w:szCs w:val="20"/>
          <w:lang w:val="es-MX" w:eastAsia="es-ES" w:bidi="es-ES"/>
        </w:rPr>
        <w:t xml:space="preserve">modificación de los contratos conste por escrito, dado el carácter solemne del contrato estatal y que sea suscrito por el jefe o representante legal o su delegado, de conformidad con los artículos 11 y 12 de la Ley 80 de 1993, así como el deber de la existencia de las disponibilidades presupuestales para el cumplimiento de las obligaciones. Por otro lado, </w:t>
      </w:r>
      <w:r w:rsidRPr="00E45B7D">
        <w:rPr>
          <w:rFonts w:ascii="Verdana" w:eastAsia="Calibri" w:hAnsi="Verdana" w:cs="Arial"/>
          <w:sz w:val="20"/>
          <w:szCs w:val="20"/>
        </w:rPr>
        <w:t>la entidad debe motivar y justificar la modificación.</w:t>
      </w:r>
    </w:p>
    <w:p w14:paraId="17419A19" w14:textId="3760D861" w:rsidR="00E45B7D" w:rsidRDefault="00E45B7D" w:rsidP="00E45B7D">
      <w:pPr>
        <w:spacing w:after="0" w:line="240" w:lineRule="auto"/>
        <w:jc w:val="both"/>
        <w:rPr>
          <w:rFonts w:ascii="Verdana" w:eastAsia="Calibri" w:hAnsi="Verdana" w:cs="Arial"/>
          <w:sz w:val="20"/>
          <w:szCs w:val="20"/>
        </w:rPr>
      </w:pPr>
    </w:p>
    <w:p w14:paraId="41C4EC46" w14:textId="22B841BD" w:rsidR="0048376B" w:rsidRPr="0048376B" w:rsidRDefault="0048376B" w:rsidP="0048376B">
      <w:pPr>
        <w:spacing w:after="0" w:line="240" w:lineRule="auto"/>
        <w:jc w:val="both"/>
        <w:rPr>
          <w:rFonts w:ascii="Verdana" w:eastAsia="Calibri" w:hAnsi="Verdana" w:cs="Arial"/>
          <w:i/>
          <w:sz w:val="20"/>
          <w:szCs w:val="20"/>
          <w:lang w:val="es-MX"/>
        </w:rPr>
      </w:pPr>
      <w:r w:rsidRPr="0048376B">
        <w:rPr>
          <w:rFonts w:ascii="Verdana" w:eastAsia="Calibri" w:hAnsi="Verdana" w:cs="Arial"/>
          <w:sz w:val="20"/>
          <w:szCs w:val="20"/>
        </w:rPr>
        <w:t xml:space="preserve">Los </w:t>
      </w:r>
      <w:r w:rsidRPr="0048376B">
        <w:rPr>
          <w:rFonts w:ascii="Verdana" w:eastAsia="Calibri" w:hAnsi="Verdana" w:cs="Arial"/>
          <w:i/>
          <w:sz w:val="20"/>
          <w:szCs w:val="20"/>
        </w:rPr>
        <w:t>límites materiales</w:t>
      </w:r>
      <w:r w:rsidRPr="0048376B">
        <w:rPr>
          <w:rFonts w:ascii="Verdana" w:eastAsia="Calibri" w:hAnsi="Verdana" w:cs="Arial"/>
          <w:sz w:val="20"/>
          <w:szCs w:val="20"/>
        </w:rPr>
        <w:t xml:space="preserve"> </w:t>
      </w:r>
      <w:r w:rsidRPr="0048376B">
        <w:rPr>
          <w:rFonts w:ascii="Verdana" w:eastAsia="Calibri" w:hAnsi="Verdana" w:cs="Arial"/>
          <w:sz w:val="20"/>
          <w:szCs w:val="20"/>
          <w:lang w:val="es-MX"/>
        </w:rPr>
        <w:t xml:space="preserve">corresponden a la prohibición de modificar las condiciones sustanciales del contrato, que se presentará en los casos en que se incluyan elementos que, </w:t>
      </w:r>
      <w:r w:rsidRPr="0048376B">
        <w:rPr>
          <w:rFonts w:ascii="Verdana" w:eastAsia="Calibri" w:hAnsi="Verdana" w:cs="Arial"/>
          <w:i/>
          <w:sz w:val="20"/>
          <w:szCs w:val="20"/>
          <w:lang w:val="es-MX"/>
        </w:rPr>
        <w:t xml:space="preserve">“habiendo figurado en el procedimiento inicial, hubiera permitido la participación de otros interesados aparte de los inicialmente admitidos, o seleccionar una oferta distinta de la inicialmente seleccionada”. </w:t>
      </w:r>
      <w:r w:rsidRPr="0048376B">
        <w:rPr>
          <w:rFonts w:ascii="Verdana" w:eastAsia="Calibri" w:hAnsi="Verdana" w:cs="Arial"/>
          <w:sz w:val="20"/>
          <w:szCs w:val="20"/>
          <w:lang w:val="es-MX"/>
        </w:rPr>
        <w:t xml:space="preserve">Finalmente, se encuentran los </w:t>
      </w:r>
      <w:r w:rsidRPr="0048376B">
        <w:rPr>
          <w:rFonts w:ascii="Verdana" w:eastAsia="Calibri" w:hAnsi="Verdana" w:cs="Arial"/>
          <w:i/>
          <w:sz w:val="20"/>
          <w:szCs w:val="20"/>
          <w:lang w:val="es-MX"/>
        </w:rPr>
        <w:t>límites axiológicos</w:t>
      </w:r>
      <w:r w:rsidRPr="0048376B">
        <w:rPr>
          <w:rFonts w:ascii="Verdana" w:eastAsia="Calibri" w:hAnsi="Verdana" w:cs="Arial"/>
          <w:sz w:val="20"/>
          <w:szCs w:val="20"/>
          <w:lang w:val="es-MX"/>
        </w:rPr>
        <w:t xml:space="preserve">, los cuales se fundan en la necesidad de preservar los principios de igualdad, transparencia, libertad de concurrencia, selección objetiva y planeación. </w:t>
      </w:r>
      <w:r w:rsidRPr="0048376B">
        <w:rPr>
          <w:rFonts w:ascii="Verdana" w:eastAsia="Calibri" w:hAnsi="Verdana" w:cs="Arial"/>
          <w:sz w:val="20"/>
          <w:szCs w:val="20"/>
        </w:rPr>
        <w:t xml:space="preserve">Lo anterior, con la finalidad de realizar la escogencia diligente de la mejor oferta, para beneficiar los intereses y fines públicos inmersos en la contratación de las Entidades Estatales. A modo de ejemplo, la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1959DB9B" w14:textId="77777777" w:rsidR="0048376B" w:rsidRPr="00E45B7D" w:rsidRDefault="0048376B" w:rsidP="00E45B7D">
      <w:pPr>
        <w:spacing w:after="0" w:line="240" w:lineRule="auto"/>
        <w:jc w:val="both"/>
        <w:rPr>
          <w:rFonts w:ascii="Verdana" w:eastAsia="Calibri" w:hAnsi="Verdana" w:cs="Arial"/>
          <w:sz w:val="20"/>
          <w:szCs w:val="20"/>
        </w:rPr>
      </w:pPr>
    </w:p>
    <w:p w14:paraId="55CA374B" w14:textId="4D80A196" w:rsidR="00ED7AD8" w:rsidRDefault="00ED7AD8" w:rsidP="00ED7AD8">
      <w:pPr>
        <w:spacing w:after="0" w:line="240" w:lineRule="auto"/>
        <w:rPr>
          <w:rFonts w:ascii="Verdana" w:hAnsi="Verdana" w:cs="Arial"/>
          <w:b/>
          <w:bCs/>
          <w:lang w:eastAsia="es-ES" w:bidi="es-ES"/>
        </w:rPr>
      </w:pPr>
    </w:p>
    <w:p w14:paraId="5AC3D78D" w14:textId="011B03A1" w:rsidR="00493392" w:rsidRDefault="00493392" w:rsidP="00ED7AD8">
      <w:pPr>
        <w:spacing w:after="0" w:line="240" w:lineRule="auto"/>
        <w:rPr>
          <w:rFonts w:ascii="Verdana" w:hAnsi="Verdana" w:cs="Arial"/>
          <w:b/>
          <w:bCs/>
          <w:lang w:eastAsia="es-ES" w:bidi="es-ES"/>
        </w:rPr>
      </w:pPr>
    </w:p>
    <w:p w14:paraId="0466E234" w14:textId="4781F797" w:rsidR="00493392" w:rsidRDefault="00493392" w:rsidP="00ED7AD8">
      <w:pPr>
        <w:spacing w:after="0" w:line="240" w:lineRule="auto"/>
        <w:rPr>
          <w:rFonts w:ascii="Verdana" w:hAnsi="Verdana" w:cs="Arial"/>
          <w:b/>
          <w:bCs/>
          <w:lang w:eastAsia="es-ES" w:bidi="es-ES"/>
        </w:rPr>
      </w:pPr>
    </w:p>
    <w:p w14:paraId="60043A7D" w14:textId="77777777" w:rsidR="00493392" w:rsidRDefault="00493392" w:rsidP="00ED7AD8">
      <w:pPr>
        <w:spacing w:after="0" w:line="240" w:lineRule="auto"/>
        <w:rPr>
          <w:rFonts w:ascii="Verdana" w:hAnsi="Verdana"/>
        </w:rPr>
      </w:pPr>
    </w:p>
    <w:p w14:paraId="3E78E91D" w14:textId="47024B06" w:rsidR="0048376B" w:rsidRDefault="0048376B" w:rsidP="00ED7AD8">
      <w:pPr>
        <w:spacing w:after="0" w:line="240" w:lineRule="auto"/>
        <w:rPr>
          <w:rFonts w:ascii="Verdana" w:hAnsi="Verdana"/>
        </w:rPr>
      </w:pPr>
    </w:p>
    <w:p w14:paraId="3E04FA86" w14:textId="1031CEAC" w:rsidR="0048376B" w:rsidRDefault="0048376B" w:rsidP="00ED7AD8">
      <w:pPr>
        <w:spacing w:after="0" w:line="240" w:lineRule="auto"/>
        <w:rPr>
          <w:rFonts w:ascii="Verdana" w:hAnsi="Verdana"/>
        </w:rPr>
      </w:pPr>
    </w:p>
    <w:p w14:paraId="61D2471E" w14:textId="7EAEE701" w:rsidR="0048376B" w:rsidRDefault="0048376B" w:rsidP="00ED7AD8">
      <w:pPr>
        <w:spacing w:after="0" w:line="240" w:lineRule="auto"/>
        <w:rPr>
          <w:rFonts w:ascii="Verdana" w:hAnsi="Verdana"/>
        </w:rPr>
      </w:pPr>
    </w:p>
    <w:p w14:paraId="16E11EAE" w14:textId="18CF18A2" w:rsidR="0048376B" w:rsidRDefault="0048376B" w:rsidP="00ED7AD8">
      <w:pPr>
        <w:spacing w:after="0" w:line="240" w:lineRule="auto"/>
        <w:rPr>
          <w:rFonts w:ascii="Verdana" w:hAnsi="Verdana"/>
        </w:rPr>
      </w:pPr>
    </w:p>
    <w:p w14:paraId="49906314" w14:textId="77777777" w:rsidR="002C5577" w:rsidRDefault="002C5577" w:rsidP="00DC2877">
      <w:pPr>
        <w:spacing w:after="0" w:line="240" w:lineRule="auto"/>
        <w:rPr>
          <w:rFonts w:ascii="Verdana" w:hAnsi="Verdana"/>
        </w:rPr>
      </w:pPr>
    </w:p>
    <w:p w14:paraId="41EF4781" w14:textId="04084943" w:rsidR="00DC2877" w:rsidRPr="00DD681C" w:rsidRDefault="00DC2877" w:rsidP="00DC2877">
      <w:pPr>
        <w:spacing w:after="0" w:line="240" w:lineRule="auto"/>
        <w:rPr>
          <w:rFonts w:ascii="Verdana" w:hAnsi="Verdana"/>
        </w:rPr>
      </w:pPr>
      <w:r>
        <w:rPr>
          <w:rFonts w:ascii="Verdana" w:hAnsi="Verdana"/>
        </w:rPr>
        <w:lastRenderedPageBreak/>
        <w:t>Bogotá D.C.,</w:t>
      </w:r>
      <w:r w:rsidRPr="00B31C7B">
        <w:rPr>
          <w:rFonts w:ascii="Verdana" w:hAnsi="Verdana"/>
        </w:rPr>
        <w:tab/>
      </w:r>
      <w:r>
        <w:rPr>
          <w:rFonts w:ascii="Verdana" w:hAnsi="Verdana"/>
        </w:rPr>
        <w:t xml:space="preserve">. </w:t>
      </w:r>
      <w:r w:rsidR="002C5577">
        <w:rPr>
          <w:rFonts w:ascii="Verdana" w:eastAsia="Geomanist Light" w:hAnsi="Verdana" w:cs="Arial"/>
          <w:color w:val="201F1E"/>
        </w:rPr>
        <w:t>26 de febrero de 2026</w:t>
      </w:r>
      <w:r w:rsidRPr="00DD681C">
        <w:rPr>
          <w:rFonts w:ascii="Verdana" w:hAnsi="Verdana"/>
        </w:rPr>
        <w:tab/>
      </w:r>
    </w:p>
    <w:p w14:paraId="139705B2" w14:textId="12446C52" w:rsidR="00DC2877" w:rsidRPr="00DD681C" w:rsidRDefault="00311EE9" w:rsidP="00DC2877">
      <w:pPr>
        <w:spacing w:after="0" w:line="240" w:lineRule="auto"/>
        <w:jc w:val="both"/>
        <w:rPr>
          <w:rFonts w:ascii="Verdana" w:hAnsi="Verdana" w:cs="Arial"/>
          <w:bCs/>
          <w:lang w:eastAsia="es-ES" w:bidi="es-ES"/>
        </w:rPr>
      </w:pPr>
      <w:r w:rsidRPr="00311EE9">
        <w:rPr>
          <w:rFonts w:ascii="Verdana" w:hAnsi="Verdana" w:cs="Arial"/>
          <w:bCs/>
          <w:noProof/>
          <w:lang w:eastAsia="es-ES" w:bidi="es-ES"/>
        </w:rPr>
        <w:drawing>
          <wp:anchor distT="0" distB="0" distL="114300" distR="114300" simplePos="0" relativeHeight="251658240" behindDoc="0" locked="0" layoutInCell="1" allowOverlap="1" wp14:anchorId="1B9477C8" wp14:editId="17C1AAB4">
            <wp:simplePos x="0" y="0"/>
            <wp:positionH relativeFrom="margin">
              <wp:align>right</wp:align>
            </wp:positionH>
            <wp:positionV relativeFrom="paragraph">
              <wp:posOffset>171450</wp:posOffset>
            </wp:positionV>
            <wp:extent cx="2263140" cy="845820"/>
            <wp:effectExtent l="0" t="0" r="3810" b="0"/>
            <wp:wrapSquare wrapText="bothSides"/>
            <wp:docPr id="156565053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263140" cy="8458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3C22B5F" w14:textId="7E36AAD3" w:rsidR="00DC2877" w:rsidRPr="00DD681C" w:rsidRDefault="00DC2877" w:rsidP="00311EE9">
      <w:pPr>
        <w:spacing w:after="0" w:line="240" w:lineRule="auto"/>
        <w:jc w:val="right"/>
        <w:rPr>
          <w:rFonts w:ascii="Verdana" w:hAnsi="Verdana" w:cs="Arial"/>
          <w:bCs/>
          <w:lang w:eastAsia="es-ES" w:bidi="es-ES"/>
        </w:rPr>
      </w:pPr>
    </w:p>
    <w:p w14:paraId="6B06ADB5" w14:textId="77777777" w:rsidR="00DC2877" w:rsidRPr="00DD681C" w:rsidRDefault="00DC2877" w:rsidP="00DC2877">
      <w:pPr>
        <w:spacing w:after="0" w:line="240" w:lineRule="auto"/>
        <w:jc w:val="both"/>
        <w:rPr>
          <w:rFonts w:ascii="Verdana" w:hAnsi="Verdana" w:cs="Arial"/>
          <w:bCs/>
          <w:lang w:eastAsia="es-ES" w:bidi="es-ES"/>
        </w:rPr>
      </w:pPr>
      <w:r w:rsidRPr="00DD681C">
        <w:rPr>
          <w:rFonts w:ascii="Verdana" w:hAnsi="Verdana" w:cs="Arial"/>
          <w:bCs/>
          <w:lang w:eastAsia="es-ES" w:bidi="es-ES"/>
        </w:rPr>
        <w:t>Señor</w:t>
      </w:r>
      <w:r>
        <w:rPr>
          <w:rFonts w:ascii="Verdana" w:hAnsi="Verdana" w:cs="Arial"/>
          <w:bCs/>
          <w:lang w:eastAsia="es-ES" w:bidi="es-ES"/>
        </w:rPr>
        <w:t>a</w:t>
      </w:r>
    </w:p>
    <w:p w14:paraId="7A42DC8E" w14:textId="77777777" w:rsidR="00DC2877" w:rsidRPr="00DD681C" w:rsidRDefault="00DC2877" w:rsidP="00DC2877">
      <w:pPr>
        <w:spacing w:after="0" w:line="240" w:lineRule="auto"/>
        <w:jc w:val="both"/>
        <w:rPr>
          <w:rFonts w:ascii="Verdana" w:hAnsi="Verdana" w:cs="Arial"/>
          <w:b/>
          <w:bCs/>
          <w:lang w:eastAsia="es-ES" w:bidi="es-ES"/>
        </w:rPr>
      </w:pPr>
      <w:r>
        <w:rPr>
          <w:rFonts w:ascii="Verdana" w:hAnsi="Verdana" w:cs="Arial"/>
          <w:b/>
          <w:bCs/>
          <w:lang w:eastAsia="es-ES" w:bidi="es-ES"/>
        </w:rPr>
        <w:t xml:space="preserve">Rosana Guerrero Percy </w:t>
      </w:r>
    </w:p>
    <w:p w14:paraId="721431B0" w14:textId="77777777" w:rsidR="00DC2877" w:rsidRPr="00377FB7" w:rsidRDefault="00DC2877" w:rsidP="00DC2877">
      <w:pPr>
        <w:spacing w:after="0" w:line="240" w:lineRule="auto"/>
        <w:jc w:val="both"/>
        <w:rPr>
          <w:rFonts w:ascii="Verdana" w:hAnsi="Verdana"/>
        </w:rPr>
      </w:pPr>
      <w:hyperlink r:id="rId12" w:history="1">
        <w:r w:rsidRPr="00377FB7">
          <w:rPr>
            <w:rStyle w:val="Hipervnculo"/>
            <w:rFonts w:ascii="Verdana" w:hAnsi="Verdana"/>
          </w:rPr>
          <w:t>rossana.guerrero@fps.gov.co</w:t>
        </w:r>
      </w:hyperlink>
      <w:r w:rsidRPr="00377FB7">
        <w:rPr>
          <w:rFonts w:ascii="Verdana" w:hAnsi="Verdana"/>
        </w:rPr>
        <w:t xml:space="preserve"> </w:t>
      </w:r>
    </w:p>
    <w:p w14:paraId="0BC321C1" w14:textId="77777777" w:rsidR="00DC2877" w:rsidRPr="00DD681C" w:rsidRDefault="00DC2877" w:rsidP="00DC2877">
      <w:pPr>
        <w:spacing w:after="0" w:line="240" w:lineRule="auto"/>
        <w:jc w:val="both"/>
        <w:rPr>
          <w:rFonts w:ascii="Verdana" w:hAnsi="Verdana" w:cs="Arial"/>
          <w:bCs/>
          <w:lang w:val="es-MX" w:eastAsia="es-ES" w:bidi="es-ES"/>
        </w:rPr>
      </w:pPr>
      <w:r w:rsidRPr="00DD681C">
        <w:rPr>
          <w:rFonts w:ascii="Verdana" w:hAnsi="Verdana" w:cs="Arial"/>
          <w:bCs/>
          <w:lang w:val="es-MX" w:eastAsia="es-ES" w:bidi="es-ES"/>
        </w:rPr>
        <w:t xml:space="preserve">Bogotá D.C. </w:t>
      </w:r>
    </w:p>
    <w:p w14:paraId="57F2A37B" w14:textId="77777777" w:rsidR="00DC2877" w:rsidRPr="00DD681C" w:rsidRDefault="00DC2877" w:rsidP="00DC2877">
      <w:pPr>
        <w:spacing w:after="0" w:line="240" w:lineRule="auto"/>
        <w:jc w:val="both"/>
        <w:rPr>
          <w:rFonts w:ascii="Verdana" w:hAnsi="Verdana" w:cs="Arial"/>
          <w:b/>
          <w:bCs/>
          <w:lang w:val="es-ES_tradnl" w:eastAsia="es-ES" w:bidi="es-ES"/>
        </w:rPr>
      </w:pPr>
    </w:p>
    <w:p w14:paraId="127692A2" w14:textId="77777777" w:rsidR="00DC2877" w:rsidRPr="00DD681C" w:rsidRDefault="00DC2877" w:rsidP="00DC2877">
      <w:pPr>
        <w:tabs>
          <w:tab w:val="left" w:pos="7184"/>
        </w:tabs>
        <w:spacing w:after="0" w:line="240" w:lineRule="auto"/>
        <w:jc w:val="both"/>
        <w:rPr>
          <w:rFonts w:ascii="Verdana" w:hAnsi="Verdana" w:cs="Arial"/>
          <w:b/>
          <w:bCs/>
          <w:lang w:val="es-ES_tradnl" w:eastAsia="es-ES" w:bidi="es-ES"/>
        </w:rPr>
      </w:pPr>
      <w:r w:rsidRPr="00DD681C">
        <w:rPr>
          <w:rFonts w:ascii="Verdana" w:hAnsi="Verdana" w:cs="Arial"/>
          <w:b/>
          <w:bCs/>
          <w:lang w:val="es-ES_tradnl" w:eastAsia="es-ES" w:bidi="es-ES"/>
        </w:rPr>
        <w:tab/>
      </w:r>
    </w:p>
    <w:tbl>
      <w:tblPr>
        <w:tblStyle w:val="Tablaconcuadrcula11"/>
        <w:tblW w:w="89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42"/>
      </w:tblGrid>
      <w:tr w:rsidR="00DC2877" w:rsidRPr="00DD681C" w14:paraId="3E57DC44" w14:textId="77777777" w:rsidTr="003E3CAA">
        <w:trPr>
          <w:trHeight w:val="312"/>
        </w:trPr>
        <w:tc>
          <w:tcPr>
            <w:tcW w:w="2689" w:type="dxa"/>
          </w:tcPr>
          <w:p w14:paraId="69E4085F" w14:textId="77777777" w:rsidR="00DC2877" w:rsidRPr="00DD681C" w:rsidRDefault="00DC2877" w:rsidP="003E3CAA">
            <w:pPr>
              <w:jc w:val="both"/>
              <w:rPr>
                <w:rFonts w:ascii="Verdana" w:hAnsi="Verdana" w:cs="Arial"/>
                <w:b/>
                <w:bCs/>
                <w:lang w:val="es-ES_tradnl" w:eastAsia="es-ES" w:bidi="es-ES"/>
              </w:rPr>
            </w:pPr>
          </w:p>
        </w:tc>
        <w:tc>
          <w:tcPr>
            <w:tcW w:w="6242" w:type="dxa"/>
          </w:tcPr>
          <w:p w14:paraId="6C221534" w14:textId="77777777" w:rsidR="00DC2877" w:rsidRPr="00DD681C" w:rsidRDefault="00DC2877" w:rsidP="003E3CAA">
            <w:pPr>
              <w:tabs>
                <w:tab w:val="right" w:pos="6242"/>
              </w:tabs>
              <w:jc w:val="both"/>
              <w:rPr>
                <w:rFonts w:ascii="Verdana" w:hAnsi="Verdana" w:cs="Arial"/>
                <w:b/>
                <w:bCs/>
                <w:lang w:val="es-MX" w:eastAsia="es-ES" w:bidi="es-ES"/>
              </w:rPr>
            </w:pPr>
            <w:r w:rsidRPr="00DD681C">
              <w:rPr>
                <w:rFonts w:ascii="Verdana" w:hAnsi="Verdana" w:cs="Arial"/>
                <w:b/>
                <w:bCs/>
                <w:lang w:val="es-MX" w:eastAsia="es-ES" w:bidi="es-ES"/>
              </w:rPr>
              <w:t xml:space="preserve">Concepto C- </w:t>
            </w:r>
            <w:r>
              <w:rPr>
                <w:rFonts w:ascii="Verdana" w:hAnsi="Verdana" w:cs="Arial"/>
                <w:b/>
                <w:bCs/>
                <w:lang w:val="es-MX" w:eastAsia="es-ES" w:bidi="es-ES"/>
              </w:rPr>
              <w:t>165</w:t>
            </w:r>
            <w:r w:rsidRPr="00DD681C">
              <w:rPr>
                <w:rFonts w:ascii="Verdana" w:hAnsi="Verdana" w:cs="Arial"/>
                <w:b/>
                <w:bCs/>
                <w:lang w:val="es-MX" w:eastAsia="es-ES" w:bidi="es-ES"/>
              </w:rPr>
              <w:t xml:space="preserve"> de 202</w:t>
            </w:r>
            <w:r>
              <w:rPr>
                <w:rFonts w:ascii="Verdana" w:hAnsi="Verdana" w:cs="Arial"/>
                <w:b/>
                <w:bCs/>
                <w:lang w:val="es-MX" w:eastAsia="es-ES" w:bidi="es-ES"/>
              </w:rPr>
              <w:t>6</w:t>
            </w:r>
            <w:r w:rsidRPr="00DD681C">
              <w:rPr>
                <w:rFonts w:ascii="Verdana" w:hAnsi="Verdana" w:cs="Arial"/>
                <w:b/>
                <w:bCs/>
                <w:lang w:val="es-MX" w:eastAsia="es-ES" w:bidi="es-ES"/>
              </w:rPr>
              <w:tab/>
            </w:r>
          </w:p>
          <w:p w14:paraId="72944CEC" w14:textId="77777777" w:rsidR="00DC2877" w:rsidRPr="00DD681C" w:rsidRDefault="00DC2877" w:rsidP="003E3CAA">
            <w:pPr>
              <w:jc w:val="both"/>
              <w:rPr>
                <w:rFonts w:ascii="Verdana" w:hAnsi="Verdana" w:cs="Arial"/>
                <w:b/>
                <w:bCs/>
                <w:lang w:val="es-MX" w:eastAsia="es-ES" w:bidi="es-ES"/>
              </w:rPr>
            </w:pPr>
          </w:p>
        </w:tc>
      </w:tr>
      <w:tr w:rsidR="00DC2877" w:rsidRPr="00DD681C" w14:paraId="643615B7" w14:textId="77777777" w:rsidTr="003E3CAA">
        <w:trPr>
          <w:trHeight w:val="884"/>
        </w:trPr>
        <w:tc>
          <w:tcPr>
            <w:tcW w:w="2689" w:type="dxa"/>
          </w:tcPr>
          <w:p w14:paraId="4BA9F126" w14:textId="77777777" w:rsidR="00DC2877" w:rsidRPr="00DD681C" w:rsidRDefault="00DC2877" w:rsidP="003E3CAA">
            <w:pPr>
              <w:jc w:val="both"/>
              <w:rPr>
                <w:rFonts w:ascii="Verdana" w:hAnsi="Verdana" w:cs="Arial"/>
                <w:bCs/>
                <w:lang w:val="es-MX" w:eastAsia="es-ES" w:bidi="es-ES"/>
              </w:rPr>
            </w:pPr>
            <w:r w:rsidRPr="00DD681C">
              <w:rPr>
                <w:rFonts w:ascii="Verdana" w:hAnsi="Verdana" w:cs="Arial"/>
                <w:bCs/>
                <w:lang w:val="es-MX" w:eastAsia="es-ES" w:bidi="es-ES"/>
              </w:rPr>
              <w:t xml:space="preserve">Temas:                   </w:t>
            </w:r>
          </w:p>
        </w:tc>
        <w:tc>
          <w:tcPr>
            <w:tcW w:w="6242" w:type="dxa"/>
          </w:tcPr>
          <w:p w14:paraId="51950D7B" w14:textId="77777777" w:rsidR="00DC2877" w:rsidRPr="00DD681C" w:rsidRDefault="00DC2877" w:rsidP="003E3CAA">
            <w:pPr>
              <w:spacing w:line="276" w:lineRule="auto"/>
              <w:jc w:val="both"/>
              <w:rPr>
                <w:rFonts w:ascii="Verdana" w:hAnsi="Verdana" w:cs="Arial"/>
                <w:bCs/>
                <w:lang w:eastAsia="es-ES" w:bidi="es-ES"/>
              </w:rPr>
            </w:pPr>
            <w:r w:rsidRPr="00DD681C">
              <w:rPr>
                <w:rFonts w:ascii="Verdana" w:hAnsi="Verdana" w:cs="Arial"/>
                <w:bCs/>
                <w:lang w:eastAsia="es-ES" w:bidi="es-ES"/>
              </w:rPr>
              <w:t>ADICIÓN – Concepto – Distintos supuestos – Prohibición – Adición en más del 50% / ADICIÓN – Prohibición – Monto – Cálculo – Parágrafo artículo 40 – Ley 80 de 1993 / MODIFICACION DE LOS CONTRATOS ESTATALES – Procedencia – condiciones – Límites</w:t>
            </w:r>
          </w:p>
          <w:p w14:paraId="5E32F6E2" w14:textId="77777777" w:rsidR="00DC2877" w:rsidRPr="00DD681C" w:rsidRDefault="00DC2877" w:rsidP="003E3CAA">
            <w:pPr>
              <w:jc w:val="both"/>
              <w:rPr>
                <w:rFonts w:ascii="Verdana" w:hAnsi="Verdana" w:cs="Arial"/>
                <w:bCs/>
                <w:highlight w:val="yellow"/>
                <w:lang w:val="es-MX" w:eastAsia="es-ES" w:bidi="es-ES"/>
              </w:rPr>
            </w:pPr>
          </w:p>
        </w:tc>
      </w:tr>
      <w:tr w:rsidR="00DC2877" w:rsidRPr="00DD681C" w14:paraId="641E00B2" w14:textId="77777777" w:rsidTr="003E3CAA">
        <w:tc>
          <w:tcPr>
            <w:tcW w:w="2689" w:type="dxa"/>
          </w:tcPr>
          <w:p w14:paraId="09EBF09D" w14:textId="77777777" w:rsidR="00DC2877" w:rsidRPr="00DD681C" w:rsidRDefault="00DC2877" w:rsidP="003E3CAA">
            <w:pPr>
              <w:jc w:val="both"/>
              <w:rPr>
                <w:rFonts w:ascii="Verdana" w:hAnsi="Verdana" w:cs="Arial"/>
                <w:bCs/>
                <w:lang w:val="es-MX" w:eastAsia="es-ES" w:bidi="es-ES"/>
              </w:rPr>
            </w:pPr>
            <w:r w:rsidRPr="00DD681C">
              <w:rPr>
                <w:rFonts w:ascii="Verdana" w:hAnsi="Verdana" w:cs="Arial"/>
                <w:bCs/>
                <w:lang w:val="es-MX" w:eastAsia="es-ES" w:bidi="es-ES"/>
              </w:rPr>
              <w:t xml:space="preserve">Radicación:               </w:t>
            </w:r>
          </w:p>
        </w:tc>
        <w:tc>
          <w:tcPr>
            <w:tcW w:w="6242" w:type="dxa"/>
          </w:tcPr>
          <w:p w14:paraId="3B7A766D" w14:textId="77777777" w:rsidR="00DC2877" w:rsidRPr="00DD681C" w:rsidRDefault="00DC2877" w:rsidP="003E3CAA">
            <w:pPr>
              <w:jc w:val="both"/>
              <w:rPr>
                <w:rFonts w:ascii="Verdana" w:hAnsi="Verdana" w:cs="Arial"/>
                <w:bCs/>
                <w:lang w:val="es-MX" w:eastAsia="es-ES" w:bidi="es-ES"/>
              </w:rPr>
            </w:pPr>
            <w:r w:rsidRPr="00DD681C">
              <w:rPr>
                <w:rFonts w:ascii="Verdana" w:hAnsi="Verdana" w:cs="Arial"/>
                <w:bCs/>
                <w:lang w:val="es-MX" w:eastAsia="es-ES" w:bidi="es-ES"/>
              </w:rPr>
              <w:t xml:space="preserve">Respuesta a consulta con radicado No. </w:t>
            </w:r>
            <w:r w:rsidRPr="00160D33">
              <w:rPr>
                <w:rFonts w:ascii="Verdana" w:hAnsi="Verdana" w:cs="Arial"/>
                <w:bCs/>
                <w:lang w:val="es-MX" w:eastAsia="es-ES" w:bidi="es-ES"/>
              </w:rPr>
              <w:t>1_2026_02_05_001484</w:t>
            </w:r>
          </w:p>
        </w:tc>
      </w:tr>
    </w:tbl>
    <w:p w14:paraId="6E0DA958" w14:textId="77777777" w:rsidR="00DC2877" w:rsidRPr="00DD681C" w:rsidRDefault="00DC2877" w:rsidP="00DC2877">
      <w:pPr>
        <w:spacing w:after="0" w:line="240" w:lineRule="auto"/>
        <w:jc w:val="both"/>
        <w:rPr>
          <w:rFonts w:ascii="Verdana" w:hAnsi="Verdana" w:cs="Arial"/>
          <w:bCs/>
          <w:lang w:val="es-ES_tradnl" w:eastAsia="es-ES" w:bidi="es-ES"/>
        </w:rPr>
      </w:pPr>
    </w:p>
    <w:p w14:paraId="1D267867" w14:textId="77777777" w:rsidR="00DC2877" w:rsidRPr="00DD681C" w:rsidRDefault="00DC2877" w:rsidP="00DC2877">
      <w:pPr>
        <w:spacing w:after="0" w:line="240" w:lineRule="auto"/>
        <w:jc w:val="both"/>
        <w:rPr>
          <w:rFonts w:ascii="Verdana" w:hAnsi="Verdana" w:cs="Arial"/>
          <w:bCs/>
          <w:lang w:val="es-ES_tradnl" w:eastAsia="es-ES" w:bidi="es-ES"/>
        </w:rPr>
      </w:pPr>
    </w:p>
    <w:p w14:paraId="67E5BC64" w14:textId="77777777" w:rsidR="00DC2877" w:rsidRPr="00DD681C" w:rsidRDefault="00DC2877" w:rsidP="00DC2877">
      <w:pPr>
        <w:spacing w:after="0" w:line="276" w:lineRule="auto"/>
        <w:jc w:val="both"/>
        <w:rPr>
          <w:rFonts w:ascii="Verdana" w:hAnsi="Verdana" w:cs="Arial"/>
          <w:bCs/>
          <w:lang w:val="es-MX" w:eastAsia="es-ES" w:bidi="es-ES"/>
        </w:rPr>
      </w:pPr>
      <w:r w:rsidRPr="00DD681C">
        <w:rPr>
          <w:rFonts w:ascii="Verdana" w:hAnsi="Verdana" w:cs="Arial"/>
          <w:bCs/>
          <w:lang w:val="es-MX" w:eastAsia="es-ES" w:bidi="es-ES"/>
        </w:rPr>
        <w:t>Estimad</w:t>
      </w:r>
      <w:r>
        <w:rPr>
          <w:rFonts w:ascii="Verdana" w:hAnsi="Verdana" w:cs="Arial"/>
          <w:bCs/>
          <w:lang w:val="es-MX" w:eastAsia="es-ES" w:bidi="es-ES"/>
        </w:rPr>
        <w:t xml:space="preserve">a </w:t>
      </w:r>
      <w:r w:rsidRPr="00DD681C">
        <w:rPr>
          <w:rFonts w:ascii="Verdana" w:hAnsi="Verdana" w:cs="Arial"/>
          <w:bCs/>
          <w:lang w:val="es-MX" w:eastAsia="es-ES" w:bidi="es-ES"/>
        </w:rPr>
        <w:t xml:space="preserve">Señora </w:t>
      </w:r>
      <w:r>
        <w:rPr>
          <w:rFonts w:ascii="Verdana" w:hAnsi="Verdana" w:cs="Arial"/>
          <w:bCs/>
          <w:lang w:val="es-MX" w:eastAsia="es-ES" w:bidi="es-ES"/>
        </w:rPr>
        <w:t>Guerrero</w:t>
      </w:r>
      <w:r w:rsidRPr="00DD681C">
        <w:rPr>
          <w:rFonts w:ascii="Verdana" w:hAnsi="Verdana" w:cs="Arial"/>
          <w:bCs/>
          <w:lang w:val="es-MX" w:eastAsia="es-ES" w:bidi="es-ES"/>
        </w:rPr>
        <w:t>:</w:t>
      </w:r>
    </w:p>
    <w:p w14:paraId="73793246" w14:textId="77777777" w:rsidR="00DC2877" w:rsidRPr="00DD681C" w:rsidRDefault="00DC2877" w:rsidP="00DC2877">
      <w:pPr>
        <w:spacing w:after="0" w:line="276" w:lineRule="auto"/>
        <w:jc w:val="both"/>
        <w:rPr>
          <w:rFonts w:ascii="Verdana" w:hAnsi="Verdana" w:cs="Arial"/>
          <w:bCs/>
          <w:lang w:val="es-ES" w:eastAsia="es-ES" w:bidi="es-ES"/>
        </w:rPr>
      </w:pPr>
      <w:r w:rsidRPr="00DD681C">
        <w:rPr>
          <w:rFonts w:ascii="Verdana" w:hAnsi="Verdana" w:cs="Arial"/>
          <w:bCs/>
          <w:lang w:val="es-ES" w:eastAsia="es-ES" w:bidi="es-ES"/>
        </w:rPr>
        <w:tab/>
      </w:r>
    </w:p>
    <w:p w14:paraId="0B8AA17E" w14:textId="77777777" w:rsidR="00DC2877" w:rsidRPr="00EC38AC" w:rsidRDefault="00DC2877" w:rsidP="00DC2877">
      <w:pPr>
        <w:spacing w:after="0" w:line="276" w:lineRule="auto"/>
        <w:jc w:val="both"/>
        <w:rPr>
          <w:rFonts w:ascii="Verdana" w:hAnsi="Verdana" w:cs="Arial"/>
          <w:bCs/>
          <w:lang w:eastAsia="es-ES" w:bidi="es-ES"/>
        </w:rPr>
      </w:pPr>
      <w:r w:rsidRPr="00B31C7B">
        <w:rPr>
          <w:rFonts w:ascii="Verdana" w:hAnsi="Verdana" w:cs="Arial"/>
          <w:bCs/>
          <w:lang w:val="es-ES" w:eastAsia="es-ES" w:bidi="es-ES"/>
        </w:rPr>
        <w:t xml:space="preserve">En ejercicio de la competencia otorgada por los artículos 3, numeral 5º, y 11, numeral 8º, del Decreto Ley 4170 de 2011, </w:t>
      </w:r>
      <w:r>
        <w:rPr>
          <w:rFonts w:ascii="Verdana" w:hAnsi="Verdana" w:cs="Arial"/>
          <w:lang w:val="es-ES_tradnl"/>
        </w:rPr>
        <w:t>así como lo establecido en</w:t>
      </w:r>
      <w:r>
        <w:rPr>
          <w:rFonts w:ascii="Verdana" w:hAnsi="Verdana" w:cs="Arial"/>
        </w:rPr>
        <w:t xml:space="preserve"> la Resolución 469 de 2025 expedida por esta Entidad</w:t>
      </w:r>
      <w:r w:rsidRPr="00B31C7B">
        <w:rPr>
          <w:rFonts w:ascii="Verdana" w:hAnsi="Verdana" w:cs="Arial"/>
          <w:bCs/>
          <w:lang w:eastAsia="es-ES" w:bidi="es-ES"/>
        </w:rPr>
        <w:t xml:space="preserve">, </w:t>
      </w:r>
      <w:r w:rsidRPr="00B31C7B">
        <w:rPr>
          <w:rFonts w:ascii="Verdana" w:hAnsi="Verdana" w:cs="Arial"/>
          <w:bCs/>
          <w:lang w:val="es-ES" w:eastAsia="es-ES" w:bidi="es-ES"/>
        </w:rPr>
        <w:t>la Agencia Nacional de Contratación Pública – Colombia Compra Eficiente– responde su solic</w:t>
      </w:r>
      <w:r>
        <w:rPr>
          <w:rFonts w:ascii="Verdana" w:hAnsi="Verdana" w:cs="Arial"/>
          <w:bCs/>
          <w:lang w:val="es-ES" w:eastAsia="es-ES" w:bidi="es-ES"/>
        </w:rPr>
        <w:t>itud de consulta de fecha del 05 de febrero de 2026</w:t>
      </w:r>
      <w:r w:rsidRPr="00B31C7B">
        <w:rPr>
          <w:rFonts w:ascii="Verdana" w:hAnsi="Verdana" w:cs="Arial"/>
          <w:bCs/>
          <w:lang w:val="es-ES" w:eastAsia="es-ES" w:bidi="es-ES"/>
        </w:rPr>
        <w:t xml:space="preserve">, en la cual manifiesta lo siguiente: </w:t>
      </w:r>
    </w:p>
    <w:p w14:paraId="60620E34" w14:textId="77777777" w:rsidR="00DC2877" w:rsidRPr="006C07EE" w:rsidRDefault="00DC2877" w:rsidP="00DC2877">
      <w:pPr>
        <w:spacing w:after="0" w:line="276" w:lineRule="auto"/>
        <w:ind w:right="709"/>
        <w:jc w:val="both"/>
        <w:rPr>
          <w:rFonts w:ascii="Verdana" w:hAnsi="Verdana" w:cs="Arial"/>
          <w:bCs/>
          <w:sz w:val="21"/>
          <w:szCs w:val="21"/>
          <w:lang w:eastAsia="es-ES" w:bidi="es-ES"/>
        </w:rPr>
      </w:pPr>
    </w:p>
    <w:p w14:paraId="2CC7B9E8" w14:textId="77777777" w:rsidR="00DC2877" w:rsidRPr="006C07EE" w:rsidRDefault="00DC2877" w:rsidP="00DC2877">
      <w:pPr>
        <w:spacing w:after="0" w:line="240" w:lineRule="auto"/>
        <w:ind w:left="709" w:right="709"/>
        <w:jc w:val="both"/>
        <w:rPr>
          <w:rFonts w:ascii="Verdana" w:hAnsi="Verdana" w:cs="Arial"/>
          <w:bCs/>
          <w:sz w:val="20"/>
          <w:szCs w:val="20"/>
          <w:lang w:eastAsia="es-ES" w:bidi="es-ES"/>
        </w:rPr>
      </w:pPr>
      <w:r w:rsidRPr="006C07EE">
        <w:rPr>
          <w:rFonts w:ascii="Verdana" w:hAnsi="Verdana" w:cs="Arial"/>
          <w:bCs/>
          <w:sz w:val="20"/>
          <w:szCs w:val="20"/>
          <w:lang w:eastAsia="es-ES" w:bidi="es-ES"/>
        </w:rPr>
        <w:t>“</w:t>
      </w:r>
      <w:r w:rsidRPr="00A70D78">
        <w:rPr>
          <w:rFonts w:ascii="Verdana" w:hAnsi="Verdana" w:cs="Arial"/>
          <w:bCs/>
          <w:sz w:val="20"/>
          <w:szCs w:val="20"/>
          <w:lang w:eastAsia="es-ES" w:bidi="es-ES"/>
        </w:rPr>
        <w:t>El fondo de pasivo social, ferrocarriles nacionales de Colombia, debe realizar una</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adición presupuestal, teniendo en cuenta la actualización de vigencias tarifarias del</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servicio de vigilancia para el 2026 establecidos por la superintendencia, por lo cual</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requerimos saber si para realizar las adiciones presupuestales, se tienen en cuenta</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el SMMLV del 2026 o el SMMLV del 2022 año en que se suscribió el contrato, lo</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anterior teniendo en cuenta lo señalado en la ley 80 de 1993 que señala que los</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contratos estatales no podrán adicionarse en más del 50 % de su valor inicial</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expresado en salarios mínimos, si se puede explicar a través de un ejercicio práctico</w:t>
      </w:r>
      <w:r>
        <w:rPr>
          <w:rFonts w:ascii="Verdana" w:hAnsi="Verdana" w:cs="Arial"/>
          <w:bCs/>
          <w:sz w:val="20"/>
          <w:szCs w:val="20"/>
          <w:lang w:eastAsia="es-ES" w:bidi="es-ES"/>
        </w:rPr>
        <w:t xml:space="preserve"> </w:t>
      </w:r>
      <w:r w:rsidRPr="00A70D78">
        <w:rPr>
          <w:rFonts w:ascii="Verdana" w:hAnsi="Verdana" w:cs="Arial"/>
          <w:bCs/>
          <w:sz w:val="20"/>
          <w:szCs w:val="20"/>
          <w:lang w:eastAsia="es-ES" w:bidi="es-ES"/>
        </w:rPr>
        <w:t>a efectos de mayor claridad</w:t>
      </w:r>
      <w:r w:rsidRPr="006C07EE">
        <w:rPr>
          <w:rFonts w:ascii="Verdana" w:hAnsi="Verdana" w:cs="Arial"/>
          <w:bCs/>
          <w:sz w:val="20"/>
          <w:szCs w:val="20"/>
          <w:lang w:eastAsia="es-ES" w:bidi="es-ES"/>
        </w:rPr>
        <w:t xml:space="preserve">”. </w:t>
      </w:r>
    </w:p>
    <w:p w14:paraId="0533CB08" w14:textId="77777777" w:rsidR="00DC2877" w:rsidRPr="00B31C7B" w:rsidRDefault="00DC2877" w:rsidP="00DC2877">
      <w:pPr>
        <w:spacing w:after="0" w:line="276" w:lineRule="auto"/>
        <w:ind w:firstLine="709"/>
        <w:jc w:val="both"/>
        <w:rPr>
          <w:rFonts w:ascii="Verdana" w:hAnsi="Verdana" w:cs="Arial"/>
          <w:bCs/>
          <w:lang w:eastAsia="es-ES" w:bidi="es-ES"/>
        </w:rPr>
      </w:pPr>
    </w:p>
    <w:p w14:paraId="2F00ABE7" w14:textId="77777777" w:rsidR="00DC2877" w:rsidRPr="00B31C7B" w:rsidRDefault="00DC2877" w:rsidP="00DC2877">
      <w:pPr>
        <w:spacing w:after="120" w:line="276" w:lineRule="auto"/>
        <w:ind w:firstLine="709"/>
        <w:jc w:val="both"/>
        <w:rPr>
          <w:rFonts w:ascii="Verdana" w:eastAsia="Calibri" w:hAnsi="Verdana" w:cs="Times New Roman"/>
          <w:lang w:val="es-ES"/>
        </w:rPr>
      </w:pPr>
      <w:r w:rsidRPr="00B31C7B">
        <w:rPr>
          <w:rFonts w:ascii="Verdana" w:eastAsia="Calibri" w:hAnsi="Verdana" w:cs="Times New Roman"/>
          <w:lang w:val="es-ES"/>
        </w:rPr>
        <w:t xml:space="preserve">De manera preliminar, resulta necesario acotar que esta entidad solo tiene competencia para responder consultas sobre la aplicación de normas de carácter </w:t>
      </w:r>
      <w:r w:rsidRPr="00B31C7B">
        <w:rPr>
          <w:rFonts w:ascii="Verdana" w:eastAsia="Calibri" w:hAnsi="Verdana" w:cs="Times New Roman"/>
          <w:lang w:val="es-ES"/>
        </w:rPr>
        <w:lastRenderedPageBreak/>
        <w:t>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47CF8706" w14:textId="77777777" w:rsidR="00DC2877" w:rsidRPr="00B31C7B" w:rsidRDefault="00DC2877" w:rsidP="00DC2877">
      <w:pPr>
        <w:spacing w:after="0" w:line="276" w:lineRule="auto"/>
        <w:ind w:firstLine="708"/>
        <w:jc w:val="both"/>
        <w:rPr>
          <w:rFonts w:ascii="Verdana" w:eastAsia="Calibri" w:hAnsi="Verdana" w:cs="Times New Roman"/>
          <w:lang w:val="es-ES"/>
        </w:rPr>
      </w:pPr>
      <w:r w:rsidRPr="00B31C7B">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señalando algunas consideraciones sobre las normas generales relacionadas con </w:t>
      </w:r>
      <w:r>
        <w:rPr>
          <w:rFonts w:ascii="Verdana" w:eastAsia="Calibri" w:hAnsi="Verdana" w:cs="Times New Roman"/>
          <w:lang w:val="es-ES"/>
        </w:rPr>
        <w:t xml:space="preserve">el problema jurídico </w:t>
      </w:r>
      <w:r w:rsidRPr="00B31C7B">
        <w:rPr>
          <w:rFonts w:ascii="Verdana" w:eastAsia="Calibri" w:hAnsi="Verdana" w:cs="Times New Roman"/>
          <w:lang w:val="es-ES"/>
        </w:rPr>
        <w:t>de su consulta.</w:t>
      </w:r>
    </w:p>
    <w:p w14:paraId="7F7BBD4E" w14:textId="77777777" w:rsidR="00DC2877" w:rsidRPr="00B31C7B" w:rsidRDefault="00DC2877" w:rsidP="00DC2877">
      <w:pPr>
        <w:spacing w:after="0" w:line="256" w:lineRule="auto"/>
        <w:rPr>
          <w:rFonts w:ascii="Verdana" w:eastAsia="Calibri" w:hAnsi="Verdana" w:cs="Times New Roman"/>
          <w:lang w:val="es-ES"/>
        </w:rPr>
      </w:pPr>
    </w:p>
    <w:p w14:paraId="491A4828" w14:textId="77777777" w:rsidR="00DC2877" w:rsidRPr="00B31C7B" w:rsidRDefault="00DC2877" w:rsidP="00DC2877">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Problema planteado:</w:t>
      </w:r>
    </w:p>
    <w:p w14:paraId="104EF2E3" w14:textId="77777777" w:rsidR="00DC2877" w:rsidRPr="00B31C7B" w:rsidRDefault="00DC2877" w:rsidP="00DC2877">
      <w:pPr>
        <w:spacing w:after="0" w:line="256" w:lineRule="auto"/>
        <w:rPr>
          <w:rFonts w:ascii="Verdana" w:eastAsia="Calibri" w:hAnsi="Verdana" w:cs="Times New Roman"/>
        </w:rPr>
      </w:pPr>
    </w:p>
    <w:p w14:paraId="3FC8A576" w14:textId="77777777" w:rsidR="00DC2877" w:rsidRPr="00B31C7B" w:rsidRDefault="00DC2877" w:rsidP="00DC2877">
      <w:pPr>
        <w:spacing w:after="0" w:line="276" w:lineRule="auto"/>
        <w:jc w:val="both"/>
        <w:rPr>
          <w:rFonts w:ascii="Verdana" w:eastAsia="Calibri" w:hAnsi="Verdana" w:cs="Times New Roman"/>
        </w:rPr>
      </w:pPr>
      <w:r>
        <w:rPr>
          <w:rFonts w:ascii="Verdana" w:eastAsia="Calibri" w:hAnsi="Verdana" w:cs="Times New Roman"/>
        </w:rPr>
        <w:t>De acuerdo con el contenido de su solicitud, se presenta el siguiente problema jurídico</w:t>
      </w:r>
      <w:r w:rsidRPr="00B31C7B">
        <w:rPr>
          <w:rFonts w:ascii="Verdana" w:eastAsia="Calibri" w:hAnsi="Verdana" w:cs="Times New Roman"/>
        </w:rPr>
        <w:t>: ¿</w:t>
      </w:r>
      <w:r>
        <w:rPr>
          <w:rFonts w:ascii="Verdana" w:eastAsia="Calibri" w:hAnsi="Verdana" w:cs="Times New Roman"/>
        </w:rPr>
        <w:t xml:space="preserve">cómo debe calcularse el límite para la adición de los contratos estatales cuando pasa de vigencia fiscal? </w:t>
      </w:r>
    </w:p>
    <w:p w14:paraId="0F808626" w14:textId="77777777" w:rsidR="00DC2877" w:rsidRPr="00B31C7B" w:rsidRDefault="00DC2877" w:rsidP="00DC2877">
      <w:pPr>
        <w:spacing w:after="0" w:line="276" w:lineRule="auto"/>
        <w:jc w:val="both"/>
        <w:rPr>
          <w:rFonts w:ascii="Verdana" w:eastAsia="Calibri" w:hAnsi="Verdana" w:cs="Times New Roman"/>
        </w:rPr>
      </w:pPr>
    </w:p>
    <w:p w14:paraId="50A710F5" w14:textId="77777777" w:rsidR="00DC2877" w:rsidRPr="00B31C7B" w:rsidRDefault="00DC2877" w:rsidP="00DC2877">
      <w:pPr>
        <w:numPr>
          <w:ilvl w:val="0"/>
          <w:numId w:val="19"/>
        </w:numPr>
        <w:spacing w:after="0" w:line="256" w:lineRule="auto"/>
        <w:contextualSpacing/>
        <w:rPr>
          <w:rFonts w:ascii="Verdana" w:eastAsia="Calibri" w:hAnsi="Verdana" w:cs="Times New Roman"/>
          <w:b/>
          <w:bCs/>
          <w:lang w:val="es-ES"/>
        </w:rPr>
      </w:pPr>
      <w:r w:rsidRPr="00B31C7B">
        <w:rPr>
          <w:rFonts w:ascii="Verdana" w:eastAsia="Calibri" w:hAnsi="Verdana" w:cs="Times New Roman"/>
          <w:b/>
          <w:bCs/>
          <w:lang w:val="es-ES"/>
        </w:rPr>
        <w:t>Respuesta:</w:t>
      </w:r>
    </w:p>
    <w:p w14:paraId="344266D7" w14:textId="77777777" w:rsidR="00DC2877" w:rsidRPr="00B31C7B" w:rsidRDefault="00DC2877" w:rsidP="00DC2877">
      <w:pPr>
        <w:spacing w:after="0" w:line="240" w:lineRule="auto"/>
        <w:jc w:val="both"/>
        <w:rPr>
          <w:rFonts w:ascii="Verdana" w:hAnsi="Verdana" w:cs="Arial"/>
          <w:bCs/>
          <w:lang w:val="es-ES" w:eastAsia="es-ES" w:bidi="es-ES"/>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C2877" w:rsidRPr="00B31C7B" w14:paraId="1EFE59E7" w14:textId="77777777" w:rsidTr="003E3CAA">
        <w:trPr>
          <w:trHeight w:val="870"/>
          <w:jc w:val="center"/>
        </w:trPr>
        <w:tc>
          <w:tcPr>
            <w:tcW w:w="8647" w:type="dxa"/>
          </w:tcPr>
          <w:p w14:paraId="727005CB" w14:textId="77777777" w:rsidR="00DC2877" w:rsidRPr="00CC4010" w:rsidRDefault="00DC2877" w:rsidP="003E3CAA">
            <w:pPr>
              <w:spacing w:before="120" w:after="120" w:line="276" w:lineRule="auto"/>
              <w:jc w:val="both"/>
              <w:rPr>
                <w:rFonts w:ascii="Verdana" w:hAnsi="Verdana" w:cs="Arial"/>
                <w:bCs/>
                <w:color w:val="000000" w:themeColor="text1"/>
              </w:rPr>
            </w:pPr>
            <w:r w:rsidRPr="00B31C7B">
              <w:rPr>
                <w:rFonts w:ascii="Verdana" w:hAnsi="Verdana" w:cs="Arial"/>
                <w:bCs/>
                <w:color w:val="000000" w:themeColor="text1"/>
              </w:rPr>
              <w:t xml:space="preserve">En torno al </w:t>
            </w:r>
            <w:r>
              <w:rPr>
                <w:rFonts w:ascii="Verdana" w:hAnsi="Verdana" w:cs="Arial"/>
                <w:bCs/>
                <w:color w:val="000000" w:themeColor="text1"/>
              </w:rPr>
              <w:t xml:space="preserve">problema jurídico </w:t>
            </w:r>
            <w:r w:rsidRPr="00B31C7B">
              <w:rPr>
                <w:rFonts w:ascii="Verdana" w:hAnsi="Verdana" w:cs="Arial"/>
                <w:bCs/>
                <w:color w:val="000000" w:themeColor="text1"/>
              </w:rPr>
              <w:t>objeto de consulta, se señala</w:t>
            </w:r>
            <w:r>
              <w:rPr>
                <w:rFonts w:ascii="Verdana" w:hAnsi="Verdana" w:cs="Arial"/>
                <w:bCs/>
                <w:color w:val="000000" w:themeColor="text1"/>
              </w:rPr>
              <w:t xml:space="preserve"> que </w:t>
            </w:r>
            <w:r w:rsidRPr="00B31C7B">
              <w:rPr>
                <w:rFonts w:ascii="Verdana" w:hAnsi="Verdana" w:cs="Arial"/>
                <w:color w:val="000000"/>
                <w:szCs w:val="24"/>
                <w:lang w:eastAsia="es-ES_tradnl"/>
              </w:rPr>
              <w:t xml:space="preserve">cualquier incremento del valor inicial del contrato, independiente del nombre que se le dé al acuerdo -otrosí, adición, modificación, entre otros-, aplica el límite previsto en el parágrafo del artículo 40 de la Ley 80 de 1993: “Los contratos no podrán adicionarse en más del cincuenta por ciento (50%) de su valor inicial, expresado éste en salarios mínimos legales mensuales”. Dicha norma además de consagrar una prohibición trae implícita una autorización, consistente en la posibilidad de adicionar los contratos estatales, siempre que no se supere el tope establecido. De manera que, aunque es posible celebrar todos los tipos de acuerdos indicados, siempre debe observarse esta última disposición, la cual aplica a los contratos estatales, cuyos </w:t>
            </w:r>
            <w:r w:rsidRPr="00B31C7B">
              <w:rPr>
                <w:rFonts w:ascii="Verdana" w:hAnsi="Verdana" w:cs="Arial"/>
                <w:color w:val="000000"/>
                <w:szCs w:val="24"/>
                <w:lang w:eastAsia="es-ES_tradnl"/>
              </w:rPr>
              <w:lastRenderedPageBreak/>
              <w:t>destinatarios son entidades sujetas al Estatuto General de Contratación de la Administración Pública</w:t>
            </w:r>
            <w:r>
              <w:rPr>
                <w:rFonts w:ascii="Verdana" w:hAnsi="Verdana" w:cs="Arial"/>
                <w:color w:val="000000"/>
                <w:szCs w:val="24"/>
                <w:lang w:eastAsia="es-ES_tradnl"/>
              </w:rPr>
              <w:t>.</w:t>
            </w:r>
          </w:p>
          <w:p w14:paraId="4E9B25B8" w14:textId="77777777" w:rsidR="00DC2877" w:rsidRDefault="00DC2877" w:rsidP="003E3CAA">
            <w:pPr>
              <w:spacing w:after="120" w:line="276" w:lineRule="auto"/>
              <w:ind w:firstLine="709"/>
              <w:jc w:val="both"/>
              <w:rPr>
                <w:rFonts w:ascii="Verdana" w:hAnsi="Verdana" w:cs="Arial"/>
                <w:color w:val="000000"/>
                <w:szCs w:val="24"/>
                <w:lang w:eastAsia="es-ES_tradnl"/>
              </w:rPr>
            </w:pPr>
            <w:r w:rsidRPr="00B31C7B">
              <w:rPr>
                <w:rFonts w:ascii="Verdana" w:hAnsi="Verdana" w:cs="Arial"/>
                <w:color w:val="000000"/>
                <w:szCs w:val="24"/>
                <w:lang w:eastAsia="es-ES_tradnl"/>
              </w:rPr>
              <w:t xml:space="preserve">Debe tenerse en cuenta que el límite debe establecerse en salarios mínimos para que el cálculo del tope sea preciso. 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w:t>
            </w:r>
          </w:p>
          <w:p w14:paraId="3102F01E" w14:textId="77777777" w:rsidR="00DC2877" w:rsidRDefault="00DC2877" w:rsidP="003E3CAA">
            <w:pPr>
              <w:spacing w:after="120" w:line="276" w:lineRule="auto"/>
              <w:ind w:firstLine="709"/>
              <w:jc w:val="both"/>
              <w:rPr>
                <w:rFonts w:ascii="Verdana" w:hAnsi="Verdana" w:cs="Arial"/>
                <w:color w:val="000000"/>
                <w:szCs w:val="24"/>
                <w:lang w:eastAsia="es-ES_tradnl"/>
              </w:rPr>
            </w:pPr>
            <w:r w:rsidRPr="00B31C7B">
              <w:rPr>
                <w:rFonts w:ascii="Verdana" w:hAnsi="Verdana" w:cs="Arial"/>
                <w:color w:val="000000"/>
                <w:szCs w:val="24"/>
                <w:lang w:eastAsia="es-ES_tradnl"/>
              </w:rPr>
              <w:t>En este sentido, para evitar equivocaciones, lo ideal es que cada vez que se efectúe una adición, se estime su valor en</w:t>
            </w:r>
            <w:r>
              <w:rPr>
                <w:rFonts w:ascii="Verdana" w:hAnsi="Verdana" w:cs="Arial"/>
                <w:color w:val="000000"/>
                <w:szCs w:val="24"/>
                <w:lang w:eastAsia="es-ES_tradnl"/>
              </w:rPr>
              <w:t xml:space="preserve"> SMLMV</w:t>
            </w:r>
            <w:r w:rsidRPr="00B31C7B">
              <w:rPr>
                <w:rFonts w:ascii="Verdana" w:hAnsi="Verdana" w:cs="Arial"/>
                <w:color w:val="000000"/>
                <w:szCs w:val="24"/>
                <w:lang w:eastAsia="es-ES_tradnl"/>
              </w:rPr>
              <w:t xml:space="preserve">, </w:t>
            </w:r>
            <w:r w:rsidRPr="00620945">
              <w:rPr>
                <w:rFonts w:ascii="Verdana" w:hAnsi="Verdana" w:cs="Arial"/>
                <w:color w:val="000000"/>
                <w:szCs w:val="24"/>
                <w:lang w:eastAsia="es-ES_tradnl"/>
              </w:rPr>
              <w:t>que se calcularán con base en el vigente al momento de la adición</w:t>
            </w:r>
            <w:r w:rsidRPr="00B31C7B">
              <w:rPr>
                <w:rFonts w:ascii="Verdana" w:hAnsi="Verdana" w:cs="Arial"/>
                <w:color w:val="000000"/>
                <w:szCs w:val="24"/>
                <w:lang w:eastAsia="es-ES_tradnl"/>
              </w:rPr>
              <w:t>, de manera que se descuenten estos de los salarios mínimos que res</w:t>
            </w:r>
            <w:r>
              <w:rPr>
                <w:rFonts w:ascii="Verdana" w:hAnsi="Verdana" w:cs="Arial"/>
                <w:color w:val="000000"/>
                <w:szCs w:val="24"/>
                <w:lang w:eastAsia="es-ES_tradnl"/>
              </w:rPr>
              <w:t>tan por adicionar, ya que las adiciones</w:t>
            </w:r>
            <w:r w:rsidRPr="00B31C7B">
              <w:rPr>
                <w:rFonts w:ascii="Verdana" w:hAnsi="Verdana" w:cs="Arial"/>
                <w:color w:val="000000"/>
                <w:szCs w:val="24"/>
                <w:lang w:eastAsia="es-ES_tradnl"/>
              </w:rPr>
              <w:t xml:space="preserve"> podrían hacerse en diferentes vigencias fiscales, porque si el contrato se ejecuta sin existir variación en el valor del </w:t>
            </w:r>
            <w:r>
              <w:rPr>
                <w:rFonts w:ascii="Verdana" w:hAnsi="Verdana" w:cs="Arial"/>
                <w:color w:val="000000"/>
                <w:szCs w:val="24"/>
                <w:lang w:eastAsia="es-ES_tradnl"/>
              </w:rPr>
              <w:t xml:space="preserve">SMMLV </w:t>
            </w:r>
            <w:r w:rsidRPr="00B31C7B">
              <w:rPr>
                <w:rFonts w:ascii="Verdana" w:hAnsi="Verdana" w:cs="Arial"/>
                <w:color w:val="000000"/>
                <w:szCs w:val="24"/>
                <w:lang w:eastAsia="es-ES_tradnl"/>
              </w:rPr>
              <w:t xml:space="preserve">la operación sería la misma si se toma el monto en pesos. </w:t>
            </w:r>
          </w:p>
          <w:p w14:paraId="58C2746E" w14:textId="77777777" w:rsidR="00DC2877" w:rsidRDefault="00DC2877" w:rsidP="003E3CAA">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A modo ilustrativo, y con fines netamente pedagógicos, exponemos a continuación el siguiente ejemplo: la entidad estatal celebra un contrato de prestación de servicios por un valor de $10.000.000 en vigencia 2022. Para esa vigencia el valor del SMLMV era de $1.000.000. Para efectos del cálculo del 50%</w:t>
            </w:r>
            <w:r>
              <w:t xml:space="preserve"> </w:t>
            </w:r>
            <w:r>
              <w:rPr>
                <w:rFonts w:ascii="Verdana" w:eastAsia="Arial MT" w:hAnsi="Verdana" w:cs="Arial"/>
                <w:lang w:eastAsia="es-ES" w:bidi="es-ES"/>
              </w:rPr>
              <w:t>límite para llevar a cabo la adición del contrato, necesariamente debemos dividir el valor del contrato (10.000.000) por el salario mínimo vigente al momento de la suscripción del contrato (1.000.000). El resultado de la operación anterior (10) pasa a dividirse por 2, por cuanto es claro que la adición debe ser por, máximo, el 50 % del valor del contrato. En ese orden, el resultado de la segunda operación (5) constituye el número de salarios mínimos por los cuales podrá adicionarse el contrato. Supongamos que, en nuestro ejemplo, la adición se llevará a cabo en la vigencia 2026 y el valor será de $6.500.000. En el año 2026, el SMLMV es de $</w:t>
            </w:r>
            <w:r w:rsidRPr="00590688">
              <w:t xml:space="preserve"> </w:t>
            </w:r>
            <w:r w:rsidRPr="00590688">
              <w:rPr>
                <w:rFonts w:ascii="Verdana" w:eastAsia="Arial MT" w:hAnsi="Verdana" w:cs="Arial"/>
                <w:lang w:eastAsia="es-ES" w:bidi="es-ES"/>
              </w:rPr>
              <w:t>1.</w:t>
            </w:r>
            <w:r>
              <w:rPr>
                <w:rFonts w:ascii="Verdana" w:eastAsia="Arial MT" w:hAnsi="Verdana" w:cs="Arial"/>
                <w:lang w:eastAsia="es-ES" w:bidi="es-ES"/>
              </w:rPr>
              <w:t>750.905</w:t>
            </w:r>
            <w:r>
              <w:rPr>
                <w:rStyle w:val="Refdenotaalpie"/>
                <w:rFonts w:ascii="Verdana" w:eastAsia="Arial MT" w:hAnsi="Verdana" w:cs="Arial"/>
                <w:lang w:eastAsia="es-ES" w:bidi="es-ES"/>
              </w:rPr>
              <w:footnoteReference w:id="2"/>
            </w:r>
            <w:r>
              <w:rPr>
                <w:rFonts w:ascii="Verdana" w:eastAsia="Arial MT" w:hAnsi="Verdana" w:cs="Arial"/>
                <w:lang w:eastAsia="es-ES" w:bidi="es-ES"/>
              </w:rPr>
              <w:t xml:space="preserve">, lo que supone que la adición corresponde a 3,71 SMLMV al momento de la adición, en la medida en que la división del valor de la adición 6.500.000 y el valor del SMLMV al momento de la adición arroja 3,71 SMLMV. Por lo tanto, la adición que se pretende en el contrato ejemplo es válida y se ajusta a la prohibición contenida en el parágrafo del artículo 40, toda vez que será de </w:t>
            </w:r>
            <w:r>
              <w:rPr>
                <w:rFonts w:ascii="Verdana" w:eastAsia="Arial MT" w:hAnsi="Verdana" w:cs="Arial"/>
                <w:lang w:eastAsia="es-ES" w:bidi="es-ES"/>
              </w:rPr>
              <w:lastRenderedPageBreak/>
              <w:t>3,71 SMLMV, sin superar el 50% del valor inicialmente pactado que fue de 5 SMLMV en el año 2022.</w:t>
            </w:r>
          </w:p>
          <w:p w14:paraId="36F98F61" w14:textId="77777777" w:rsidR="00DC2877" w:rsidRPr="00620945" w:rsidRDefault="00DC2877" w:rsidP="003E3CAA">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Así las cosas, </w:t>
            </w:r>
            <w:r>
              <w:rPr>
                <w:rFonts w:ascii="Verdana" w:hAnsi="Verdana"/>
              </w:rPr>
              <w:t>la regla establecida en el parágrafo de dicha norma aplica a todos los contratos estatales regidos por el Estatuto General de Contratación de la Administración Pública – EGCAP –, independientemente de la modalidad de selección, de la tipología contractual del negocio jurídico que se considere necesario adicionar o del sistema de precios pactados. Lo anterior, salvo lo prescrito por la Ley 1474 de 2011 en su artículo 85 sobre los contratos de interventoría.</w:t>
            </w:r>
          </w:p>
        </w:tc>
      </w:tr>
    </w:tbl>
    <w:p w14:paraId="1ECBA858" w14:textId="77777777" w:rsidR="00DC2877" w:rsidRPr="00B31C7B" w:rsidRDefault="00DC2877" w:rsidP="00DC2877">
      <w:pPr>
        <w:spacing w:after="0" w:line="276" w:lineRule="auto"/>
        <w:jc w:val="both"/>
        <w:rPr>
          <w:rFonts w:ascii="Verdana" w:eastAsia="Calibri" w:hAnsi="Verdana" w:cs="Arial"/>
          <w:bCs/>
          <w:color w:val="000000" w:themeColor="text1"/>
        </w:rPr>
      </w:pPr>
    </w:p>
    <w:p w14:paraId="0605FF01" w14:textId="77777777" w:rsidR="00DC2877" w:rsidRPr="00B31C7B" w:rsidRDefault="00DC2877" w:rsidP="00DC2877">
      <w:pPr>
        <w:numPr>
          <w:ilvl w:val="0"/>
          <w:numId w:val="19"/>
        </w:numPr>
        <w:spacing w:after="0" w:line="276" w:lineRule="auto"/>
        <w:rPr>
          <w:rFonts w:ascii="Verdana" w:eastAsia="Calibri" w:hAnsi="Verdana" w:cs="Times New Roman"/>
          <w:b/>
          <w:bCs/>
          <w:lang w:val="es-ES"/>
        </w:rPr>
      </w:pPr>
      <w:r w:rsidRPr="00B31C7B">
        <w:rPr>
          <w:rFonts w:ascii="Verdana" w:eastAsia="Calibri" w:hAnsi="Verdana" w:cs="Times New Roman"/>
          <w:b/>
          <w:bCs/>
          <w:lang w:val="es-ES"/>
        </w:rPr>
        <w:t>Razones de la respuesta:</w:t>
      </w:r>
    </w:p>
    <w:p w14:paraId="2F148455" w14:textId="77777777" w:rsidR="00DC2877" w:rsidRPr="00B31C7B" w:rsidRDefault="00DC2877" w:rsidP="00DC2877">
      <w:pPr>
        <w:spacing w:after="0" w:line="276" w:lineRule="auto"/>
        <w:rPr>
          <w:rFonts w:ascii="Verdana" w:eastAsia="Calibri" w:hAnsi="Verdana" w:cs="Times New Roman"/>
          <w:b/>
          <w:bCs/>
          <w:lang w:val="es-ES"/>
        </w:rPr>
      </w:pPr>
    </w:p>
    <w:p w14:paraId="412588D8" w14:textId="77777777" w:rsidR="00DC2877" w:rsidRPr="00B31C7B" w:rsidRDefault="00DC2877" w:rsidP="00DC2877">
      <w:pPr>
        <w:spacing w:after="0" w:line="276" w:lineRule="auto"/>
        <w:jc w:val="both"/>
        <w:rPr>
          <w:rFonts w:ascii="Verdana" w:eastAsia="Calibri" w:hAnsi="Verdana" w:cs="Arial"/>
          <w:lang w:val="es-ES"/>
        </w:rPr>
      </w:pPr>
      <w:r w:rsidRPr="00B31C7B">
        <w:rPr>
          <w:rFonts w:ascii="Verdana" w:eastAsia="Calibri" w:hAnsi="Verdana" w:cs="Arial"/>
          <w:lang w:val="es-ES"/>
        </w:rPr>
        <w:t xml:space="preserve">Lo anterior se sustenta en las siguientes consideraciones: </w:t>
      </w:r>
    </w:p>
    <w:p w14:paraId="57FFA9BF" w14:textId="77777777" w:rsidR="00DC2877" w:rsidRPr="00B31C7B" w:rsidRDefault="00DC2877" w:rsidP="00DC2877">
      <w:pPr>
        <w:spacing w:after="0" w:line="276" w:lineRule="auto"/>
        <w:jc w:val="both"/>
        <w:rPr>
          <w:rFonts w:ascii="Verdana" w:hAnsi="Verdana" w:cs="Arial"/>
          <w:bCs/>
          <w:lang w:val="es-ES" w:eastAsia="es-ES" w:bidi="es-ES"/>
        </w:rPr>
      </w:pPr>
    </w:p>
    <w:p w14:paraId="061FF814" w14:textId="77777777" w:rsidR="00DC2877" w:rsidRPr="00B31C7B" w:rsidRDefault="00DC2877" w:rsidP="00DC2877">
      <w:pPr>
        <w:tabs>
          <w:tab w:val="left" w:pos="284"/>
        </w:tabs>
        <w:spacing w:after="120" w:line="276" w:lineRule="auto"/>
        <w:jc w:val="both"/>
        <w:rPr>
          <w:rFonts w:ascii="Verdana" w:eastAsia="Arial" w:hAnsi="Verdana" w:cs="Arial"/>
          <w:color w:val="000000"/>
          <w:lang w:eastAsia="es-ES" w:bidi="es-ES"/>
        </w:rPr>
      </w:pPr>
      <w:r w:rsidRPr="00B31C7B">
        <w:rPr>
          <w:rFonts w:ascii="Verdana" w:hAnsi="Verdana" w:cs="Arial"/>
          <w:bCs/>
          <w:lang w:val="es-ES" w:eastAsia="es-ES" w:bidi="es-ES"/>
        </w:rPr>
        <w:t xml:space="preserve">i. </w:t>
      </w:r>
      <w:r w:rsidRPr="00B31C7B">
        <w:rPr>
          <w:rFonts w:ascii="Verdana" w:eastAsia="Arial" w:hAnsi="Verdana" w:cs="Arial"/>
          <w:color w:val="000000"/>
          <w:lang w:eastAsia="es-ES" w:bidi="es-ES"/>
        </w:rPr>
        <w:t xml:space="preserve">Una de las manifestaciones de modificación de los contratos es mediante la adición. Al respecto, es oportuno explicar que la palabra </w:t>
      </w:r>
      <w:r w:rsidRPr="00B31C7B">
        <w:rPr>
          <w:rFonts w:ascii="Verdana" w:eastAsia="Arial" w:hAnsi="Verdana" w:cs="Arial"/>
          <w:i/>
          <w:iCs/>
          <w:color w:val="000000"/>
          <w:lang w:eastAsia="es-ES" w:bidi="es-ES"/>
        </w:rPr>
        <w:t xml:space="preserve">adición </w:t>
      </w:r>
      <w:r w:rsidRPr="00B31C7B">
        <w:rPr>
          <w:rFonts w:ascii="Verdana" w:eastAsia="Arial" w:hAnsi="Verdana" w:cs="Arial"/>
          <w:color w:val="000000"/>
          <w:lang w:eastAsia="es-ES" w:bidi="es-ES"/>
        </w:rPr>
        <w:t xml:space="preserve">significa “acción y efecto de añadir o agregar”. Los contratos estatales pueden ser objeto de situaciones que impliquen la necesidad de adicionar o modificar las condiciones inicialmente pactadas, conforme lo prescribe el artículo 40 de la Ley 80 de 1993, pudiendo incluirse las modalidades, condiciones y, en general las cláusulas o estipulaciones que las partes consideren necesarias para el cabal cumplimiento del objeto contractual. </w:t>
      </w:r>
    </w:p>
    <w:p w14:paraId="137CDC21" w14:textId="77777777" w:rsidR="00DC2877" w:rsidRPr="00B31C7B" w:rsidRDefault="00DC2877" w:rsidP="00DC2877">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 xml:space="preserve">La ejecución de los contratos estatales está sujeta a los cambios propios del paso del tiempo. Así, durante la etapa de planeación, las entidades públicas estiman y determinan las prestaciones que demanda la satisfacción de la necesidad de interés colectivo que pretende satisfacer. No obstante, durante la ejecución del contrato, las partes identifican alguna de las siguientes situaciones: i) la necesidad de mayores cantidades de bienes o actividades inicialmente previstos, a lo que se le conoce como “mayores cantidades de obra”, “obras adicionales” o adición de “ítems contractuales”; y </w:t>
      </w:r>
      <w:proofErr w:type="spellStart"/>
      <w:r w:rsidRPr="00B31C7B">
        <w:rPr>
          <w:rFonts w:ascii="Verdana" w:eastAsia="Calibri" w:hAnsi="Verdana" w:cs="Arial"/>
          <w:color w:val="000000"/>
          <w:szCs w:val="24"/>
          <w:lang w:eastAsia="es-ES_tradnl"/>
        </w:rPr>
        <w:t>ii</w:t>
      </w:r>
      <w:proofErr w:type="spellEnd"/>
      <w:r w:rsidRPr="00B31C7B">
        <w:rPr>
          <w:rFonts w:ascii="Verdana" w:eastAsia="Calibri" w:hAnsi="Verdana" w:cs="Arial"/>
          <w:color w:val="000000"/>
          <w:szCs w:val="24"/>
          <w:lang w:eastAsia="es-ES_tradnl"/>
        </w:rPr>
        <w:t xml:space="preserve">) la necesidad de ampliar las prestaciones contractuales, mediante la ejecución de nuevos ítems o actividades, no incluidos en el contrato inicial, para lo que en la práctica las entidades ejecutan “obras extra” o “amplían el alcance” del contrato mediante la celebración de un “contrato adicional”. No obstante, estos términos –algunos de ellos usualmente empleados en contratos de obra– son nociones doctrinarias que se utilizan en la práctica por las entidades estatales, que actualmente no </w:t>
      </w:r>
      <w:r w:rsidRPr="00B31C7B">
        <w:rPr>
          <w:rFonts w:ascii="Verdana" w:eastAsia="Calibri" w:hAnsi="Verdana" w:cs="Arial"/>
          <w:color w:val="000000"/>
          <w:szCs w:val="24"/>
          <w:lang w:eastAsia="es-ES_tradnl"/>
        </w:rPr>
        <w:lastRenderedPageBreak/>
        <w:t xml:space="preserve">tienen un fundamento particular en el ordenamiento jurídico, el cual no le asigna efectos específicos a cada uno de ellos. </w:t>
      </w:r>
    </w:p>
    <w:p w14:paraId="38158EB1" w14:textId="77777777" w:rsidR="00DC2877" w:rsidRPr="00B31C7B" w:rsidRDefault="00DC2877" w:rsidP="00DC2877">
      <w:pPr>
        <w:spacing w:after="120" w:line="276" w:lineRule="auto"/>
        <w:ind w:firstLine="709"/>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Lo importante es que, frente a cualquier incremento del valor inicial del contrato</w:t>
      </w:r>
      <w:r w:rsidRPr="00B31C7B">
        <w:rPr>
          <w:rFonts w:ascii="Verdana" w:eastAsia="Calibri" w:hAnsi="Verdana" w:cs="Arial"/>
          <w:i/>
          <w:iCs/>
          <w:color w:val="000000"/>
          <w:szCs w:val="24"/>
          <w:lang w:eastAsia="es-ES_tradnl"/>
        </w:rPr>
        <w:t xml:space="preserve"> </w:t>
      </w:r>
      <w:r w:rsidRPr="00B31C7B">
        <w:rPr>
          <w:rFonts w:ascii="Verdana" w:eastAsia="Calibri" w:hAnsi="Verdana" w:cs="Arial"/>
          <w:color w:val="000000"/>
          <w:szCs w:val="24"/>
          <w:lang w:eastAsia="es-ES_tradnl"/>
        </w:rPr>
        <w:t>por cualquiera de los dos supuestos señalados previamente, e independiente del nombre que se le dé al acuerdo -otrosí, adición, modificación o cualquier denominación- aplica el límite previsto en el parágrafo del artículo 40 de la Ley 80 de 1993: “Los contratos no podrán adicionarse en más del cincuenta por ciento (50%) de su valor inicial, expresado éste en salarios mínimos legales mensuales”. De manera que, aunque es posible celebrar todos los tipos de acuerdos indicados, siempre debe observarse esta última disposición que aplica a los contratos estatales, cuyos destinatarios son entidades sujetas al EGCAP.</w:t>
      </w:r>
    </w:p>
    <w:p w14:paraId="2E0FF8B0" w14:textId="77777777" w:rsidR="00DC2877" w:rsidRDefault="00DC2877" w:rsidP="00DC2877">
      <w:pPr>
        <w:spacing w:after="120" w:line="276" w:lineRule="auto"/>
        <w:ind w:firstLine="709"/>
        <w:jc w:val="both"/>
        <w:rPr>
          <w:rFonts w:ascii="Verdana" w:hAnsi="Verdana" w:cs="Arial"/>
          <w:color w:val="000000"/>
          <w:szCs w:val="24"/>
          <w:lang w:eastAsia="es-ES_tradnl"/>
        </w:rPr>
      </w:pPr>
      <w:r w:rsidRPr="00B31C7B">
        <w:rPr>
          <w:rFonts w:ascii="Verdana" w:eastAsia="Calibri" w:hAnsi="Verdana" w:cs="Arial"/>
          <w:color w:val="000000"/>
          <w:szCs w:val="24"/>
          <w:lang w:eastAsia="es-ES_tradnl"/>
        </w:rPr>
        <w:t>Dicha norma además de consagrar una prohibición trae implícita una autorización, consistente en la posibilidad de adicionar los contratos estatales, siempre que no se supere el tope establecido. Debe tenerse en cuenta que el límite debe establecerse en salarios mínimos para que el cálculo del tope sea preciso</w:t>
      </w:r>
      <w:r>
        <w:rPr>
          <w:rFonts w:ascii="Verdana" w:eastAsia="Calibri" w:hAnsi="Verdana" w:cs="Arial"/>
          <w:color w:val="000000"/>
          <w:szCs w:val="24"/>
          <w:lang w:eastAsia="es-ES_tradnl"/>
        </w:rPr>
        <w:t>.</w:t>
      </w:r>
      <w:r w:rsidRPr="00B31C7B">
        <w:rPr>
          <w:rFonts w:ascii="Verdana" w:eastAsia="Calibri" w:hAnsi="Verdana" w:cs="Arial"/>
          <w:color w:val="000000"/>
          <w:szCs w:val="24"/>
          <w:lang w:eastAsia="es-ES_tradnl"/>
        </w:rPr>
        <w:t xml:space="preserve"> </w:t>
      </w:r>
      <w:r w:rsidRPr="00B31C7B">
        <w:rPr>
          <w:rFonts w:ascii="Verdana" w:hAnsi="Verdana" w:cs="Arial"/>
          <w:color w:val="000000"/>
          <w:szCs w:val="24"/>
          <w:lang w:eastAsia="es-ES_tradnl"/>
        </w:rPr>
        <w:t xml:space="preserve">Para tales efectos, para adicionar un contrato debe dividirse el valor inicial por el salario mínimo legal mensual vigente – en adelante SMLMV – al momento de la suscripción del contrato, y luego dividirlo por dos (2); el resultado obtenido constituirá el número de SMLMV por los cuales podrá adicionarse el contrato. </w:t>
      </w:r>
    </w:p>
    <w:p w14:paraId="35C4505B" w14:textId="77777777" w:rsidR="00DC2877" w:rsidRDefault="00DC2877" w:rsidP="00DC2877">
      <w:pPr>
        <w:spacing w:after="120" w:line="276" w:lineRule="auto"/>
        <w:ind w:firstLine="709"/>
        <w:jc w:val="both"/>
        <w:rPr>
          <w:rFonts w:ascii="Verdana" w:hAnsi="Verdana" w:cs="Arial"/>
          <w:color w:val="000000"/>
          <w:szCs w:val="24"/>
          <w:lang w:eastAsia="es-ES_tradnl"/>
        </w:rPr>
      </w:pPr>
      <w:r w:rsidRPr="00B31C7B">
        <w:rPr>
          <w:rFonts w:ascii="Verdana" w:hAnsi="Verdana" w:cs="Arial"/>
          <w:color w:val="000000"/>
          <w:szCs w:val="24"/>
          <w:lang w:eastAsia="es-ES_tradnl"/>
        </w:rPr>
        <w:t>En este sentido, para evitar equivocaciones, lo ideal es que cada vez que se efectúe una adición, se estime su valor en</w:t>
      </w:r>
      <w:r>
        <w:rPr>
          <w:rFonts w:ascii="Verdana" w:hAnsi="Verdana" w:cs="Arial"/>
          <w:color w:val="000000"/>
          <w:szCs w:val="24"/>
          <w:lang w:eastAsia="es-ES_tradnl"/>
        </w:rPr>
        <w:t xml:space="preserve"> SMLMV</w:t>
      </w:r>
      <w:r w:rsidRPr="00B31C7B">
        <w:rPr>
          <w:rFonts w:ascii="Verdana" w:hAnsi="Verdana" w:cs="Arial"/>
          <w:color w:val="000000"/>
          <w:szCs w:val="24"/>
          <w:lang w:eastAsia="es-ES_tradnl"/>
        </w:rPr>
        <w:t xml:space="preserve">, </w:t>
      </w:r>
      <w:r w:rsidRPr="00933159">
        <w:rPr>
          <w:rFonts w:ascii="Verdana" w:hAnsi="Verdana" w:cs="Arial"/>
          <w:i/>
          <w:iCs/>
          <w:color w:val="000000"/>
          <w:szCs w:val="24"/>
          <w:lang w:eastAsia="es-ES_tradnl"/>
        </w:rPr>
        <w:t>que se calcularán con base en el vigente al momento de la adición</w:t>
      </w:r>
      <w:r w:rsidRPr="00B31C7B">
        <w:rPr>
          <w:rFonts w:ascii="Verdana" w:hAnsi="Verdana" w:cs="Arial"/>
          <w:color w:val="000000"/>
          <w:szCs w:val="24"/>
          <w:lang w:eastAsia="es-ES_tradnl"/>
        </w:rPr>
        <w:t>, de manera que se descuenten estos de los salarios mínimos que res</w:t>
      </w:r>
      <w:r>
        <w:rPr>
          <w:rFonts w:ascii="Verdana" w:hAnsi="Verdana" w:cs="Arial"/>
          <w:color w:val="000000"/>
          <w:szCs w:val="24"/>
          <w:lang w:eastAsia="es-ES_tradnl"/>
        </w:rPr>
        <w:t>tan por adicionar, ya que las adiciones</w:t>
      </w:r>
      <w:r w:rsidRPr="00B31C7B">
        <w:rPr>
          <w:rFonts w:ascii="Verdana" w:hAnsi="Verdana" w:cs="Arial"/>
          <w:color w:val="000000"/>
          <w:szCs w:val="24"/>
          <w:lang w:eastAsia="es-ES_tradnl"/>
        </w:rPr>
        <w:t xml:space="preserve"> podrían hacerse en diferentes vigencias fiscales, porque si el contrato se ejecuta sin existir variación en el valor del </w:t>
      </w:r>
      <w:r>
        <w:rPr>
          <w:rFonts w:ascii="Verdana" w:hAnsi="Verdana" w:cs="Arial"/>
          <w:color w:val="000000"/>
          <w:szCs w:val="24"/>
          <w:lang w:eastAsia="es-ES_tradnl"/>
        </w:rPr>
        <w:t xml:space="preserve">SMMLV </w:t>
      </w:r>
      <w:r w:rsidRPr="00B31C7B">
        <w:rPr>
          <w:rFonts w:ascii="Verdana" w:hAnsi="Verdana" w:cs="Arial"/>
          <w:color w:val="000000"/>
          <w:szCs w:val="24"/>
          <w:lang w:eastAsia="es-ES_tradnl"/>
        </w:rPr>
        <w:t xml:space="preserve">la operación sería la misma si se toma el monto en pesos. </w:t>
      </w:r>
    </w:p>
    <w:p w14:paraId="474B736C" w14:textId="77777777" w:rsidR="00DC2877" w:rsidRPr="00670831" w:rsidRDefault="00DC2877" w:rsidP="00DC2877">
      <w:pPr>
        <w:widowControl w:val="0"/>
        <w:autoSpaceDE w:val="0"/>
        <w:autoSpaceDN w:val="0"/>
        <w:spacing w:after="120" w:line="276" w:lineRule="auto"/>
        <w:ind w:firstLine="709"/>
        <w:jc w:val="both"/>
        <w:rPr>
          <w:rFonts w:ascii="Verdana" w:eastAsia="Arial MT" w:hAnsi="Verdana" w:cs="Arial"/>
          <w:lang w:eastAsia="es-ES" w:bidi="es-ES"/>
        </w:rPr>
      </w:pPr>
      <w:r>
        <w:rPr>
          <w:rFonts w:ascii="Verdana" w:eastAsia="Arial MT" w:hAnsi="Verdana" w:cs="Arial"/>
          <w:lang w:eastAsia="es-ES" w:bidi="es-ES"/>
        </w:rPr>
        <w:t>A modo ilustrativo, y con fines netamente pedagógicos, exponemos a continuación el siguiente ejemplo: la entidad estatal celebra un contrato de prestación de servicios por un valor de $10.000.000 en vigencia 2022. Para esa vigencia el valor del SMLMV era de $1.000.000. Para efectos del cálculo del 50%</w:t>
      </w:r>
      <w:r>
        <w:t xml:space="preserve"> </w:t>
      </w:r>
      <w:r>
        <w:rPr>
          <w:rFonts w:ascii="Verdana" w:eastAsia="Arial MT" w:hAnsi="Verdana" w:cs="Arial"/>
          <w:lang w:eastAsia="es-ES" w:bidi="es-ES"/>
        </w:rPr>
        <w:t xml:space="preserve">límite para llevar a cabo la adición del contrato, necesariamente debemos dividir el valor del contrato (10.000.000) por el salario mínimo vigente al momento de la suscripción del contrato (1.000.000). El resultado de la operación anterior (10) pasa a dividirse por 2, por cuanto es claro que la adición debe ser por, </w:t>
      </w:r>
      <w:r>
        <w:rPr>
          <w:rFonts w:ascii="Verdana" w:eastAsia="Arial MT" w:hAnsi="Verdana" w:cs="Arial"/>
          <w:lang w:eastAsia="es-ES" w:bidi="es-ES"/>
        </w:rPr>
        <w:lastRenderedPageBreak/>
        <w:t>máximo, el 50 % del valor del contrato. En ese orden, el resultado de la segunda operación (5) constituye el número de salarios mínimos por los cuales podrá adicionarse el contrato. Supongamos que, en nuestro ejemplo, la adición se llevará a cabo en la vigencia 2026 y el valor será de $6.500.000. En el año 2026, el SMLMV es de $</w:t>
      </w:r>
      <w:r w:rsidRPr="00590688">
        <w:t xml:space="preserve"> </w:t>
      </w:r>
      <w:r w:rsidRPr="00590688">
        <w:rPr>
          <w:rFonts w:ascii="Verdana" w:eastAsia="Arial MT" w:hAnsi="Verdana" w:cs="Arial"/>
          <w:lang w:eastAsia="es-ES" w:bidi="es-ES"/>
        </w:rPr>
        <w:t>1.</w:t>
      </w:r>
      <w:r>
        <w:rPr>
          <w:rFonts w:ascii="Verdana" w:eastAsia="Arial MT" w:hAnsi="Verdana" w:cs="Arial"/>
          <w:lang w:eastAsia="es-ES" w:bidi="es-ES"/>
        </w:rPr>
        <w:t>750.905</w:t>
      </w:r>
      <w:r>
        <w:rPr>
          <w:rStyle w:val="Refdenotaalpie"/>
          <w:rFonts w:ascii="Verdana" w:eastAsia="Arial MT" w:hAnsi="Verdana" w:cs="Arial"/>
          <w:lang w:eastAsia="es-ES" w:bidi="es-ES"/>
        </w:rPr>
        <w:footnoteReference w:id="3"/>
      </w:r>
      <w:r>
        <w:rPr>
          <w:rFonts w:ascii="Verdana" w:eastAsia="Arial MT" w:hAnsi="Verdana" w:cs="Arial"/>
          <w:lang w:eastAsia="es-ES" w:bidi="es-ES"/>
        </w:rPr>
        <w:t>, lo que supone que la adición corresponde a 3,71 SMLMV al momento de la adición, en la medida en que la división del valor de la adición 6.500.000 y el valor del SMLMV al momento de la adición arroja 3,71 SMLMV. Por lo tanto, la adición que se pretende en el contrato ejemplo es válida y se ajusta a la prohibición contenida en el parágrafo del artículo 40, toda vez que será de 3,71 SMLMV, sin superar el 50% del valor inicialmente pactado que fue de 5 SMLMV en el año 2022.</w:t>
      </w:r>
    </w:p>
    <w:p w14:paraId="3497D133" w14:textId="77777777" w:rsidR="00DC2877" w:rsidRDefault="00DC2877" w:rsidP="00DC2877">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El razonamiento anterior se fundamenta en la forma como la Ley 80 de 1993 estableció el tope para las adiciones, acudiendo a una forma de actualización del valor, de acuerdo con los incrementos que tenga el salario mínimo, lo que resulta especialmente relevante en contratos de larga duración. De esta manera, el inciso segundo del parágrafo del artículo 40 de la Ley 80 de 1993 establece que los contratos estatales no podrán adicionarse en más del cincuenta por ciento (50%) de su valor inicial</w:t>
      </w:r>
      <w:r>
        <w:rPr>
          <w:rFonts w:ascii="Verdana" w:eastAsia="Calibri" w:hAnsi="Verdana" w:cs="Arial"/>
          <w:color w:val="000000"/>
          <w:szCs w:val="24"/>
          <w:lang w:eastAsia="es-ES_tradnl"/>
        </w:rPr>
        <w:t xml:space="preserve"> expresada en SMLMV</w:t>
      </w:r>
      <w:r w:rsidRPr="00B31C7B">
        <w:rPr>
          <w:rFonts w:ascii="Verdana" w:eastAsia="Calibri" w:hAnsi="Verdana" w:cs="Arial"/>
          <w:color w:val="000000"/>
          <w:szCs w:val="24"/>
          <w:lang w:eastAsia="es-ES_tradnl"/>
        </w:rPr>
        <w:t xml:space="preserve">, y valga la redundancia, el valor inicial es el contemplado en el contrato originario y cualquier alteración a ese valor constituirá, técnicamente, una adición, independientemente de cuál sea su causa. </w:t>
      </w:r>
    </w:p>
    <w:p w14:paraId="3F4158A2" w14:textId="77777777" w:rsidR="00DC2877" w:rsidRDefault="00DC2877" w:rsidP="00DC2877">
      <w:pPr>
        <w:spacing w:after="120" w:line="276" w:lineRule="auto"/>
        <w:ind w:firstLine="708"/>
        <w:jc w:val="both"/>
        <w:rPr>
          <w:rFonts w:ascii="Verdana" w:eastAsia="Calibri" w:hAnsi="Verdana" w:cs="Arial"/>
          <w:color w:val="000000"/>
          <w:szCs w:val="24"/>
          <w:lang w:eastAsia="es-ES_tradnl"/>
        </w:rPr>
      </w:pPr>
      <w:r w:rsidRPr="00B31C7B">
        <w:rPr>
          <w:rFonts w:ascii="Verdana" w:eastAsia="Calibri" w:hAnsi="Verdana" w:cs="Arial"/>
          <w:color w:val="000000"/>
          <w:szCs w:val="24"/>
          <w:lang w:eastAsia="es-ES_tradnl"/>
        </w:rPr>
        <w:t>Sin perjuicio de lo anterior, actualmente existe una posibilidad para adicionar contratos en más del cincuenta por ciento (50%)</w:t>
      </w:r>
      <w:r>
        <w:rPr>
          <w:rFonts w:ascii="Verdana" w:eastAsia="Calibri" w:hAnsi="Verdana" w:cs="Arial"/>
          <w:color w:val="000000"/>
          <w:szCs w:val="24"/>
          <w:lang w:eastAsia="es-ES_tradnl"/>
        </w:rPr>
        <w:t xml:space="preserve"> del valor inicial del contrato expresado en SMLMV</w:t>
      </w:r>
      <w:r w:rsidRPr="00B31C7B">
        <w:rPr>
          <w:rFonts w:ascii="Verdana" w:eastAsia="Calibri" w:hAnsi="Verdana" w:cs="Arial"/>
          <w:color w:val="000000"/>
          <w:szCs w:val="24"/>
          <w:lang w:eastAsia="es-ES_tradnl"/>
        </w:rPr>
        <w:t xml:space="preserve"> y es la contenida en el artículo 85 de la Ley 1474 de 2011, para los contratos de interventoría que, por su naturaleza de seguimiento técnico, deberá someterse al plazo en que haya sido prorrogado el contrato objeto de vigilancia. Esta disposición, cumple con el objetivo de fortalecer la figura de la interventoría, como una herramienta integral, para proteger los intereses públicos y no causar un daño antijurídico al abandonar la vigilancia del contrato principal, por limitaciones presupuestales. </w:t>
      </w:r>
    </w:p>
    <w:p w14:paraId="48F22727" w14:textId="77777777" w:rsidR="00DC2877" w:rsidRPr="00B31C7B" w:rsidRDefault="00DC2877" w:rsidP="00DC2877">
      <w:pPr>
        <w:spacing w:after="120" w:line="276" w:lineRule="auto"/>
        <w:ind w:firstLine="708"/>
        <w:jc w:val="both"/>
        <w:rPr>
          <w:rFonts w:ascii="Verdana" w:eastAsia="Calibri" w:hAnsi="Verdana" w:cs="Arial"/>
          <w:color w:val="000000"/>
          <w:szCs w:val="24"/>
          <w:lang w:eastAsia="es-ES_tradnl"/>
        </w:rPr>
      </w:pPr>
      <w:r>
        <w:rPr>
          <w:rFonts w:ascii="Verdana" w:eastAsia="Calibri" w:hAnsi="Verdana" w:cs="Arial"/>
          <w:color w:val="000000"/>
          <w:szCs w:val="24"/>
          <w:lang w:eastAsia="es-ES_tradnl"/>
        </w:rPr>
        <w:t xml:space="preserve">Así las cosas, </w:t>
      </w:r>
      <w:r>
        <w:rPr>
          <w:rFonts w:ascii="Verdana" w:hAnsi="Verdana"/>
        </w:rPr>
        <w:t xml:space="preserve">la regla establecida en el parágrafo de dicha norma aplica a todos los contratos estatales regidos por el Estatuto General de Contratación de la Administración Pública – EGCAP –, independientemente de la modalidad de </w:t>
      </w:r>
      <w:r>
        <w:rPr>
          <w:rFonts w:ascii="Verdana" w:hAnsi="Verdana"/>
        </w:rPr>
        <w:lastRenderedPageBreak/>
        <w:t>selección, de la tipología contractual del negocio jurídico que se considere necesario adicionar o del sistema de precios pactados. Lo anterior, salvo lo prescrito por la Ley 1474 de 2011 en su artículo 85 sobre los contratos de interventoría.</w:t>
      </w:r>
    </w:p>
    <w:p w14:paraId="0CD4D704" w14:textId="77777777" w:rsidR="00DC2877" w:rsidRPr="00B31C7B" w:rsidRDefault="00DC2877" w:rsidP="00DC2877">
      <w:pPr>
        <w:widowControl w:val="0"/>
        <w:autoSpaceDE w:val="0"/>
        <w:autoSpaceDN w:val="0"/>
        <w:spacing w:after="120" w:line="276" w:lineRule="auto"/>
        <w:ind w:firstLine="708"/>
        <w:jc w:val="both"/>
        <w:rPr>
          <w:rFonts w:ascii="Verdana" w:hAnsi="Verdana"/>
        </w:rPr>
      </w:pPr>
      <w:r>
        <w:rPr>
          <w:rFonts w:ascii="Verdana" w:eastAsia="Calibri" w:hAnsi="Verdana" w:cs="Arial"/>
        </w:rPr>
        <w:t>Ahora bien</w:t>
      </w:r>
      <w:r w:rsidRPr="00B31C7B">
        <w:rPr>
          <w:rFonts w:ascii="Verdana" w:eastAsia="Calibri" w:hAnsi="Verdana" w:cs="Arial"/>
        </w:rPr>
        <w:t xml:space="preserve">, </w:t>
      </w:r>
      <w:r>
        <w:rPr>
          <w:rFonts w:ascii="Verdana" w:eastAsia="Calibri" w:hAnsi="Verdana" w:cs="Arial"/>
        </w:rPr>
        <w:t xml:space="preserve">también es importante mencionar que </w:t>
      </w:r>
      <w:r w:rsidRPr="00B31C7B">
        <w:rPr>
          <w:rFonts w:ascii="Verdana" w:hAnsi="Verdana"/>
        </w:rPr>
        <w:t>fuera de los límites cuantitativos señalados en el parágrafo del artículo 40 de la Ley 80 de 1993 y de la cláusula excepcional de modificación de los contratos estatales, no existe un desarrollo legal o reglamentario sobre las reglas aplicables a la modificación del contrato estatales. Han sido los aportes de la jurisprudencia, de la función consultiva del Consejo de Estado, y de la doctrina comparada, los que han permitido estructurar los límites y requisitos de orden temporal, formal, material y axiológico para la modificación de un contrato estatal. Estos límites deben ser respetados por la entidad contratante a preservar los principios de origen legal como es el principio de planeación, de selección objetiva de libertad de concurrencia, de transparencia, de igualdad, entre otros, tal y como se explicará a continuación</w:t>
      </w:r>
      <w:r w:rsidRPr="00B31C7B">
        <w:rPr>
          <w:rFonts w:ascii="Verdana" w:hAnsi="Verdana"/>
          <w:vertAlign w:val="superscript"/>
        </w:rPr>
        <w:footnoteReference w:id="4"/>
      </w:r>
      <w:r w:rsidRPr="00B31C7B">
        <w:rPr>
          <w:rFonts w:ascii="Verdana" w:hAnsi="Verdana"/>
        </w:rPr>
        <w:t xml:space="preserve">. </w:t>
      </w:r>
    </w:p>
    <w:p w14:paraId="5C4971BE" w14:textId="77777777" w:rsidR="00DC2877" w:rsidRPr="00B31C7B" w:rsidRDefault="00DC2877" w:rsidP="00DC2877">
      <w:pPr>
        <w:widowControl w:val="0"/>
        <w:autoSpaceDE w:val="0"/>
        <w:autoSpaceDN w:val="0"/>
        <w:spacing w:after="0" w:line="276" w:lineRule="auto"/>
        <w:ind w:firstLine="708"/>
        <w:jc w:val="both"/>
        <w:rPr>
          <w:rFonts w:ascii="Verdana" w:hAnsi="Verdana"/>
          <w:b/>
          <w:i/>
        </w:rPr>
      </w:pPr>
      <w:r w:rsidRPr="00B31C7B">
        <w:rPr>
          <w:rFonts w:ascii="Verdana" w:hAnsi="Verdana"/>
        </w:rPr>
        <w:t xml:space="preserve">Dentro de los límites de </w:t>
      </w:r>
      <w:r w:rsidRPr="00B31C7B">
        <w:rPr>
          <w:rFonts w:ascii="Verdana" w:hAnsi="Verdana"/>
          <w:i/>
        </w:rPr>
        <w:t xml:space="preserve">orden temporal </w:t>
      </w:r>
      <w:r w:rsidRPr="00B31C7B">
        <w:rPr>
          <w:rFonts w:ascii="Verdana" w:hAnsi="Verdana"/>
        </w:rPr>
        <w:t xml:space="preserve">están comprendidos: </w:t>
      </w:r>
      <w:r w:rsidRPr="00B31C7B">
        <w:rPr>
          <w:rFonts w:ascii="Verdana" w:eastAsia="Arial" w:hAnsi="Verdana" w:cs="Arial"/>
          <w:lang w:val="es-MX" w:eastAsia="es-ES" w:bidi="es-ES"/>
        </w:rPr>
        <w:t xml:space="preserve">i) la vigencia del contrato, pues no podría modificarse un contrato cuyo plazo ha culminado y; </w:t>
      </w:r>
      <w:proofErr w:type="spellStart"/>
      <w:r w:rsidRPr="00B31C7B">
        <w:rPr>
          <w:rFonts w:ascii="Verdana" w:eastAsia="Arial" w:hAnsi="Verdana" w:cs="Arial"/>
          <w:lang w:val="es-MX" w:eastAsia="es-ES" w:bidi="es-ES"/>
        </w:rPr>
        <w:t>ii</w:t>
      </w:r>
      <w:proofErr w:type="spellEnd"/>
      <w:r w:rsidRPr="00B31C7B">
        <w:rPr>
          <w:rFonts w:ascii="Verdana" w:eastAsia="Arial" w:hAnsi="Verdana" w:cs="Arial"/>
          <w:lang w:val="es-MX" w:eastAsia="es-ES" w:bidi="es-ES"/>
        </w:rPr>
        <w:t>) la prohibición de consagrar prórrogas automáticas, sucesivas o indefinidas, en tanto resultan contrarias al derecho esencial de la libertad de competencia.</w:t>
      </w:r>
      <w:r w:rsidRPr="00B31C7B">
        <w:rPr>
          <w:rFonts w:ascii="Verdana" w:eastAsia="Calibri" w:hAnsi="Verdana" w:cs="Arial"/>
        </w:rPr>
        <w:t xml:space="preserve"> En torno a los límites de </w:t>
      </w:r>
      <w:r w:rsidRPr="00B31C7B">
        <w:rPr>
          <w:rFonts w:ascii="Verdana" w:eastAsia="Calibri" w:hAnsi="Verdana" w:cs="Arial"/>
          <w:i/>
        </w:rPr>
        <w:t>orden formal</w:t>
      </w:r>
      <w:r w:rsidRPr="00B31C7B">
        <w:rPr>
          <w:rFonts w:ascii="Verdana" w:eastAsia="Calibri" w:hAnsi="Verdana" w:cs="Arial"/>
        </w:rPr>
        <w:t xml:space="preserve">, debe señalarse que, por un lado, es necesario que, la </w:t>
      </w:r>
      <w:r w:rsidRPr="00B31C7B">
        <w:rPr>
          <w:rFonts w:ascii="Verdana" w:eastAsia="Arial" w:hAnsi="Verdana" w:cs="Arial"/>
          <w:lang w:val="es-MX" w:eastAsia="es-ES" w:bidi="es-ES"/>
        </w:rPr>
        <w:t>modificación de los contratos conste por escrito, dado el carácter solemne del contrato estatal y que sea suscrito por el jefe o representante legal o su delegado, de conformidad con los artículos 11</w:t>
      </w:r>
      <w:r w:rsidRPr="00B31C7B">
        <w:rPr>
          <w:rFonts w:ascii="Verdana" w:eastAsia="Arial" w:hAnsi="Verdana" w:cs="Arial"/>
          <w:vertAlign w:val="superscript"/>
          <w:lang w:val="es-MX" w:eastAsia="es-ES" w:bidi="es-ES"/>
        </w:rPr>
        <w:footnoteReference w:id="5"/>
      </w:r>
      <w:r w:rsidRPr="00B31C7B">
        <w:rPr>
          <w:rFonts w:ascii="Verdana" w:eastAsia="Arial" w:hAnsi="Verdana" w:cs="Arial"/>
          <w:lang w:val="es-MX" w:eastAsia="es-ES" w:bidi="es-ES"/>
        </w:rPr>
        <w:t xml:space="preserve"> y 12 de </w:t>
      </w:r>
      <w:r w:rsidRPr="00B31C7B">
        <w:rPr>
          <w:rFonts w:ascii="Verdana" w:eastAsia="Arial" w:hAnsi="Verdana" w:cs="Arial"/>
          <w:lang w:val="es-MX" w:eastAsia="es-ES" w:bidi="es-ES"/>
        </w:rPr>
        <w:lastRenderedPageBreak/>
        <w:t>la Ley 80 de 1993</w:t>
      </w:r>
      <w:r w:rsidRPr="00B31C7B">
        <w:rPr>
          <w:rFonts w:ascii="Verdana" w:eastAsia="Arial" w:hAnsi="Verdana" w:cs="Arial"/>
          <w:vertAlign w:val="superscript"/>
          <w:lang w:val="es-MX" w:eastAsia="es-ES" w:bidi="es-ES"/>
        </w:rPr>
        <w:footnoteReference w:id="6"/>
      </w:r>
      <w:r w:rsidRPr="00B31C7B">
        <w:rPr>
          <w:rFonts w:ascii="Verdana" w:eastAsia="Arial" w:hAnsi="Verdana" w:cs="Arial"/>
          <w:lang w:val="es-MX" w:eastAsia="es-ES" w:bidi="es-ES"/>
        </w:rPr>
        <w:t xml:space="preserve">, así como el deber de la existencia de las disponibilidades presupuestales para el cumplimiento de las obligaciones. Por otro lado, </w:t>
      </w:r>
      <w:r w:rsidRPr="00B31C7B">
        <w:rPr>
          <w:rFonts w:ascii="Verdana" w:eastAsia="Calibri" w:hAnsi="Verdana" w:cs="Arial"/>
        </w:rPr>
        <w:t>la entidad debe motivar y justificar la modificación. Al respecto el Consejo de Estado ha señalado:</w:t>
      </w:r>
    </w:p>
    <w:p w14:paraId="089D7632" w14:textId="77777777" w:rsidR="00DC2877" w:rsidRPr="00B31C7B" w:rsidRDefault="00DC2877" w:rsidP="00DC2877">
      <w:pPr>
        <w:spacing w:after="0" w:line="276" w:lineRule="auto"/>
        <w:jc w:val="both"/>
        <w:rPr>
          <w:rFonts w:ascii="Verdana" w:hAnsi="Verdana"/>
          <w:i/>
        </w:rPr>
      </w:pPr>
    </w:p>
    <w:p w14:paraId="1BCC0C6C" w14:textId="77777777" w:rsidR="00DC2877" w:rsidRPr="00B31C7B" w:rsidRDefault="00DC2877" w:rsidP="00DC2877">
      <w:pPr>
        <w:spacing w:after="0" w:line="240" w:lineRule="auto"/>
        <w:ind w:left="709" w:right="709"/>
        <w:jc w:val="both"/>
        <w:rPr>
          <w:rFonts w:ascii="Verdana" w:hAnsi="Verdana"/>
          <w:sz w:val="20"/>
          <w:szCs w:val="20"/>
        </w:rPr>
      </w:pPr>
      <w:r w:rsidRPr="00B31C7B">
        <w:rPr>
          <w:rFonts w:ascii="Verdana" w:hAnsi="Verdana"/>
          <w:sz w:val="20"/>
          <w:szCs w:val="20"/>
        </w:rPr>
        <w:t xml:space="preserve">“El expediente de contratación y la actuación administrativa inicial que comprende los estudios previos, el análisis de riesgos y el presupuesto oficial o estimativo de costos necesario para la modificación del contrato, deberán dar cuenta de las razones de interés público que hacen necesario afectar lo inicialmente pactado. Como regla general, las mismas razones del deber de planeación para el contrato inicial se imponen como requisito previo del contrato modificatorio. </w:t>
      </w:r>
    </w:p>
    <w:p w14:paraId="7E053DCF" w14:textId="77777777" w:rsidR="00DC2877" w:rsidRPr="00B31C7B" w:rsidRDefault="00DC2877" w:rsidP="00DC2877">
      <w:pPr>
        <w:spacing w:after="0" w:line="240" w:lineRule="auto"/>
        <w:ind w:left="709" w:right="709"/>
        <w:jc w:val="both"/>
        <w:rPr>
          <w:rFonts w:ascii="Verdana" w:hAnsi="Verdana"/>
          <w:sz w:val="20"/>
          <w:szCs w:val="20"/>
        </w:rPr>
      </w:pPr>
    </w:p>
    <w:p w14:paraId="2A211F58" w14:textId="77777777" w:rsidR="00DC2877" w:rsidRPr="00B31C7B" w:rsidRDefault="00DC2877" w:rsidP="00DC2877">
      <w:pPr>
        <w:spacing w:after="0" w:line="240" w:lineRule="auto"/>
        <w:ind w:left="709" w:right="709"/>
        <w:jc w:val="both"/>
        <w:rPr>
          <w:rFonts w:ascii="Verdana" w:hAnsi="Verdana"/>
          <w:sz w:val="20"/>
          <w:szCs w:val="20"/>
        </w:rPr>
      </w:pPr>
      <w:r w:rsidRPr="00B31C7B">
        <w:rPr>
          <w:rFonts w:ascii="Verdana" w:hAnsi="Verdana"/>
          <w:sz w:val="20"/>
          <w:szCs w:val="20"/>
        </w:rPr>
        <w:t>La motivación del contrato modificatorio resulta un elemento esencial que permita determinar su juridicidad, la justificación de su necesidad, su racionalidad y la proporcionalidad de su contenido, en especial cuando se alteran los aspectos técnicos y financieros iniciales. Se trata de un requisito indispensable para el control de legalidad del contrato o del acto de modificación.</w:t>
      </w:r>
    </w:p>
    <w:p w14:paraId="53BC313C" w14:textId="77777777" w:rsidR="00DC2877" w:rsidRPr="00B31C7B" w:rsidRDefault="00DC2877" w:rsidP="00DC2877">
      <w:pPr>
        <w:spacing w:after="0" w:line="240" w:lineRule="auto"/>
        <w:ind w:left="709" w:right="709"/>
        <w:jc w:val="both"/>
        <w:rPr>
          <w:rFonts w:ascii="Verdana" w:hAnsi="Verdana"/>
          <w:sz w:val="20"/>
          <w:szCs w:val="20"/>
        </w:rPr>
      </w:pPr>
    </w:p>
    <w:p w14:paraId="75B9A276" w14:textId="77777777" w:rsidR="00DC2877" w:rsidRPr="00B31C7B" w:rsidRDefault="00DC2877" w:rsidP="00DC2877">
      <w:pPr>
        <w:spacing w:after="0" w:line="240" w:lineRule="auto"/>
        <w:ind w:left="709" w:right="709"/>
        <w:jc w:val="both"/>
        <w:rPr>
          <w:rFonts w:ascii="Verdana" w:hAnsi="Verdana"/>
          <w:sz w:val="20"/>
          <w:szCs w:val="20"/>
        </w:rPr>
      </w:pPr>
      <w:r w:rsidRPr="00B31C7B">
        <w:rPr>
          <w:rFonts w:ascii="Verdana" w:hAnsi="Verdana"/>
          <w:sz w:val="20"/>
          <w:szCs w:val="20"/>
        </w:rPr>
        <w:t>La modificación no es una facultad discrecional, cuyo ejercicio penda de criterios de mera conveniencia o de utilidad para la entidad estatal o para su contratista, ni puede servir como instrumento ilegal para mejorar o hacer más favorables las condiciones económicas del adjudicatario. A diferencia del contrato privado, solo procederá por necesidades de interés general que sustenten y justifiquen la legalidad de la modificación”</w:t>
      </w:r>
      <w:r w:rsidRPr="00B31C7B">
        <w:rPr>
          <w:rFonts w:ascii="Verdana" w:hAnsi="Verdana"/>
          <w:sz w:val="20"/>
          <w:szCs w:val="20"/>
          <w:vertAlign w:val="superscript"/>
        </w:rPr>
        <w:footnoteReference w:id="7"/>
      </w:r>
      <w:r w:rsidRPr="00B31C7B">
        <w:rPr>
          <w:rFonts w:ascii="Verdana" w:hAnsi="Verdana"/>
          <w:sz w:val="20"/>
          <w:szCs w:val="20"/>
        </w:rPr>
        <w:t>.</w:t>
      </w:r>
    </w:p>
    <w:p w14:paraId="6D9A76A2" w14:textId="77777777" w:rsidR="00DC2877" w:rsidRPr="00B31C7B" w:rsidRDefault="00DC2877" w:rsidP="00DC2877">
      <w:pPr>
        <w:widowControl w:val="0"/>
        <w:autoSpaceDE w:val="0"/>
        <w:autoSpaceDN w:val="0"/>
        <w:spacing w:after="0" w:line="276" w:lineRule="auto"/>
        <w:jc w:val="both"/>
        <w:rPr>
          <w:rFonts w:ascii="Verdana" w:eastAsia="Calibri" w:hAnsi="Verdana" w:cs="Arial"/>
        </w:rPr>
      </w:pPr>
      <w:r w:rsidRPr="00B31C7B">
        <w:rPr>
          <w:rFonts w:ascii="Verdana" w:eastAsia="Calibri" w:hAnsi="Verdana" w:cs="Arial"/>
        </w:rPr>
        <w:t xml:space="preserve"> </w:t>
      </w:r>
    </w:p>
    <w:p w14:paraId="59C62919" w14:textId="77777777" w:rsidR="00DC2877" w:rsidRPr="00B31C7B" w:rsidRDefault="00DC2877" w:rsidP="00DC2877">
      <w:pPr>
        <w:widowControl w:val="0"/>
        <w:autoSpaceDE w:val="0"/>
        <w:autoSpaceDN w:val="0"/>
        <w:spacing w:after="120" w:line="276" w:lineRule="auto"/>
        <w:ind w:firstLine="708"/>
        <w:jc w:val="both"/>
        <w:rPr>
          <w:rFonts w:ascii="Verdana" w:eastAsia="Arial" w:hAnsi="Verdana" w:cs="Arial"/>
          <w:i/>
          <w:lang w:val="es-MX" w:eastAsia="es-ES" w:bidi="es-ES"/>
        </w:rPr>
      </w:pPr>
      <w:r w:rsidRPr="00B31C7B">
        <w:rPr>
          <w:rFonts w:ascii="Verdana" w:eastAsia="Calibri" w:hAnsi="Verdana" w:cs="Arial"/>
        </w:rPr>
        <w:t xml:space="preserve">Los </w:t>
      </w:r>
      <w:r w:rsidRPr="00B31C7B">
        <w:rPr>
          <w:rFonts w:ascii="Verdana" w:eastAsia="Calibri" w:hAnsi="Verdana" w:cs="Arial"/>
          <w:i/>
        </w:rPr>
        <w:t>límites materiales</w:t>
      </w:r>
      <w:r w:rsidRPr="00B31C7B">
        <w:rPr>
          <w:rFonts w:ascii="Verdana" w:eastAsia="Calibri" w:hAnsi="Verdana" w:cs="Arial"/>
        </w:rPr>
        <w:t xml:space="preserve"> </w:t>
      </w:r>
      <w:r w:rsidRPr="00B31C7B">
        <w:rPr>
          <w:rFonts w:ascii="Verdana" w:eastAsia="Arial" w:hAnsi="Verdana" w:cs="Arial"/>
          <w:lang w:val="es-MX" w:eastAsia="es-ES" w:bidi="es-ES"/>
        </w:rPr>
        <w:t xml:space="preserve">corresponden a la prohibición de modificar las condiciones sustanciales del contrato, que se presentará en los casos en que se incluyan elementos que, </w:t>
      </w:r>
      <w:r w:rsidRPr="00B31C7B">
        <w:rPr>
          <w:rFonts w:ascii="Verdana" w:eastAsia="Arial" w:hAnsi="Verdana" w:cs="Arial"/>
          <w:i/>
          <w:lang w:val="es-MX" w:eastAsia="es-ES" w:bidi="es-ES"/>
        </w:rPr>
        <w:t xml:space="preserve">“habiendo figurado en el procedimiento inicial, hubiera </w:t>
      </w:r>
      <w:r w:rsidRPr="00B31C7B">
        <w:rPr>
          <w:rFonts w:ascii="Verdana" w:eastAsia="Arial" w:hAnsi="Verdana" w:cs="Arial"/>
          <w:i/>
          <w:lang w:val="es-MX" w:eastAsia="es-ES" w:bidi="es-ES"/>
        </w:rPr>
        <w:lastRenderedPageBreak/>
        <w:t>permitido la participación de otros interesados aparte de los inicialmente admitidos, o seleccionar una oferta distinta de la inicialmente seleccionada”</w:t>
      </w:r>
      <w:r w:rsidRPr="00B31C7B">
        <w:rPr>
          <w:rFonts w:ascii="Verdana" w:eastAsia="Arial" w:hAnsi="Verdana" w:cs="Arial"/>
          <w:i/>
          <w:vertAlign w:val="superscript"/>
          <w:lang w:val="es-MX" w:eastAsia="es-ES" w:bidi="es-ES"/>
        </w:rPr>
        <w:footnoteReference w:id="8"/>
      </w:r>
      <w:r w:rsidRPr="00B31C7B">
        <w:rPr>
          <w:rFonts w:ascii="Verdana" w:eastAsia="Arial" w:hAnsi="Verdana" w:cs="Arial"/>
          <w:i/>
          <w:lang w:val="es-MX" w:eastAsia="es-ES" w:bidi="es-ES"/>
        </w:rPr>
        <w:t xml:space="preserve">. </w:t>
      </w:r>
      <w:r w:rsidRPr="00B31C7B">
        <w:rPr>
          <w:rFonts w:ascii="Verdana" w:eastAsia="Arial" w:hAnsi="Verdana" w:cs="Arial"/>
          <w:lang w:val="es-MX" w:eastAsia="es-ES" w:bidi="es-ES"/>
        </w:rPr>
        <w:t xml:space="preserve">Finalmente, se encuentran los </w:t>
      </w:r>
      <w:r w:rsidRPr="00B31C7B">
        <w:rPr>
          <w:rFonts w:ascii="Verdana" w:eastAsia="Arial" w:hAnsi="Verdana" w:cs="Arial"/>
          <w:i/>
          <w:lang w:val="es-MX" w:eastAsia="es-ES" w:bidi="es-ES"/>
        </w:rPr>
        <w:t>límites axiológicos</w:t>
      </w:r>
      <w:r w:rsidRPr="00B31C7B">
        <w:rPr>
          <w:rFonts w:ascii="Verdana" w:eastAsia="Arial" w:hAnsi="Verdana" w:cs="Arial"/>
          <w:lang w:val="es-MX" w:eastAsia="es-ES" w:bidi="es-ES"/>
        </w:rPr>
        <w:t xml:space="preserve">, los cuales se fundan en la necesidad de preservar los principios de igualdad, transparencia, libertad de concurrencia, selección objetiva y planeación. </w:t>
      </w:r>
      <w:r w:rsidRPr="00B31C7B">
        <w:rPr>
          <w:rFonts w:ascii="Verdana" w:eastAsia="Calibri" w:hAnsi="Verdana" w:cs="Arial"/>
          <w:lang w:eastAsia="es-ES_tradnl"/>
        </w:rPr>
        <w:t>Lo anterior, con la finalidad de realizar la escogencia diligente de la mejor oferta, para beneficiar los intereses y fines públicos inmersos en la contratación de las Entidades Estatales. A modo de ejemplo, l</w:t>
      </w:r>
      <w:r w:rsidRPr="00B31C7B">
        <w:rPr>
          <w:rFonts w:ascii="Verdana" w:eastAsia="Calibri" w:hAnsi="Verdana" w:cs="Arial"/>
        </w:rPr>
        <w:t xml:space="preserve">a concepción de mayores cantidades de obra, como expresión del contrato original sin valor determinado, aunque determinable, no puede dar lugar a una ampliación ilimitada de estos contratos, pues no se encuentran exentos de la aplicación de los principios de la contratación estatal. </w:t>
      </w:r>
    </w:p>
    <w:p w14:paraId="222394DA" w14:textId="77777777" w:rsidR="00DC2877" w:rsidRPr="00B31C7B" w:rsidRDefault="00DC2877" w:rsidP="00DC2877">
      <w:pPr>
        <w:widowControl w:val="0"/>
        <w:autoSpaceDE w:val="0"/>
        <w:autoSpaceDN w:val="0"/>
        <w:spacing w:after="120" w:line="276" w:lineRule="auto"/>
        <w:ind w:firstLine="708"/>
        <w:jc w:val="both"/>
        <w:rPr>
          <w:rFonts w:ascii="Verdana" w:eastAsia="Calibri" w:hAnsi="Verdana" w:cs="Arial"/>
          <w:lang w:val="es-MX" w:eastAsia="es-ES_tradnl"/>
        </w:rPr>
      </w:pPr>
      <w:r w:rsidRPr="00B31C7B">
        <w:rPr>
          <w:rFonts w:ascii="Verdana" w:eastAsia="Arial" w:hAnsi="Verdana" w:cs="Arial"/>
          <w:lang w:val="es-MX" w:eastAsia="es-ES" w:bidi="es-ES"/>
        </w:rPr>
        <w:t>Este límite encuentra sustento en el hecho de que, para celebrar contratos estatales las Entidades Públicas eligen, dentro de un “régimen de concurrencia y de igualdad, las mejores condiciones de costo, calidad e idoneidad de la prestación requerida</w:t>
      </w:r>
      <w:r w:rsidRPr="00B31C7B">
        <w:rPr>
          <w:rFonts w:ascii="Verdana" w:eastAsia="Arial" w:hAnsi="Verdana" w:cs="Arial"/>
          <w:lang w:val="es-ES_tradnl" w:eastAsia="es-ES" w:bidi="es-ES"/>
        </w:rPr>
        <w:t>”</w:t>
      </w:r>
      <w:r w:rsidRPr="00B31C7B">
        <w:rPr>
          <w:rFonts w:ascii="Verdana" w:eastAsia="Arial" w:hAnsi="Verdana" w:cs="Arial"/>
          <w:lang w:val="es-MX" w:eastAsia="es-ES" w:bidi="es-ES"/>
        </w:rPr>
        <w:t>. Esto supone que la selección objetiva de la oferta más favorable se dirige a salvaguardar el interés público y, por lo tanto, celebrado el contrato en esas condiciones, su eventual modificación debe asegurar que lo adjudicado, y posteriormente alterado, consulte la mejor opción para el servicio público.</w:t>
      </w:r>
      <w:r w:rsidRPr="00B31C7B">
        <w:rPr>
          <w:rFonts w:ascii="Verdana" w:eastAsia="Calibri" w:hAnsi="Verdana" w:cs="Arial"/>
          <w:lang w:val="es-MX" w:eastAsia="es-ES_tradnl"/>
        </w:rPr>
        <w:t xml:space="preserve"> </w:t>
      </w:r>
    </w:p>
    <w:p w14:paraId="4A1230D5" w14:textId="77777777" w:rsidR="00DC2877" w:rsidRDefault="00DC2877" w:rsidP="00DC2877">
      <w:pPr>
        <w:widowControl w:val="0"/>
        <w:autoSpaceDE w:val="0"/>
        <w:autoSpaceDN w:val="0"/>
        <w:spacing w:after="120" w:line="276" w:lineRule="auto"/>
        <w:ind w:firstLine="708"/>
        <w:jc w:val="both"/>
        <w:rPr>
          <w:rFonts w:ascii="Verdana" w:eastAsia="Calibri" w:hAnsi="Verdana" w:cs="Arial"/>
          <w:bCs/>
          <w:lang w:eastAsia="es-ES_tradnl"/>
        </w:rPr>
      </w:pPr>
      <w:r w:rsidRPr="00B31C7B">
        <w:rPr>
          <w:rFonts w:ascii="Verdana" w:eastAsia="Calibri" w:hAnsi="Verdana" w:cs="Arial"/>
          <w:lang w:val="es-MX" w:eastAsia="es-ES_tradnl"/>
        </w:rPr>
        <w:t>E</w:t>
      </w:r>
      <w:r w:rsidRPr="00B31C7B">
        <w:rPr>
          <w:rFonts w:ascii="Verdana" w:eastAsia="Arial" w:hAnsi="Verdana" w:cs="Arial"/>
          <w:lang w:val="es-MX" w:eastAsia="es-ES" w:bidi="es-ES"/>
        </w:rPr>
        <w:t>n virtud de la aplicación de los principios de transparencia, libertad de concurrencia e igualdad, consagrados en el EGCAP, y las reglas sustanciales del Pliego de Condiciones, que permitieron elegir la mejor oferta, previo cumplimiento de unos requisitos con base en los cuales la oferta del contratista fue considerada la más favorable, estos deben ser de estricta observancia y deben mantenerse durante la ejecución del contrato y en su liquidación, como garantía de inalterabilidad de lo pactado y de acatamiento a la legalidad de las reglas aplicadas en la actuación previa</w:t>
      </w:r>
      <w:r w:rsidRPr="00B31C7B">
        <w:rPr>
          <w:rFonts w:ascii="Verdana" w:eastAsia="Arial" w:hAnsi="Verdana" w:cs="Arial"/>
          <w:lang w:val="es-ES_tradnl" w:eastAsia="es-ES" w:bidi="es-ES"/>
        </w:rPr>
        <w:t>.</w:t>
      </w:r>
      <w:r w:rsidRPr="00B31C7B">
        <w:rPr>
          <w:rFonts w:ascii="Verdana" w:eastAsia="Calibri" w:hAnsi="Verdana" w:cs="Arial"/>
          <w:bCs/>
          <w:lang w:eastAsia="es-ES_tradnl"/>
        </w:rPr>
        <w:t xml:space="preserve"> </w:t>
      </w:r>
    </w:p>
    <w:p w14:paraId="36E839B7" w14:textId="77777777" w:rsidR="00DC2877" w:rsidRDefault="00DC2877" w:rsidP="00DC2877">
      <w:pPr>
        <w:widowControl w:val="0"/>
        <w:autoSpaceDE w:val="0"/>
        <w:autoSpaceDN w:val="0"/>
        <w:spacing w:after="120" w:line="276" w:lineRule="auto"/>
        <w:ind w:firstLine="708"/>
        <w:jc w:val="both"/>
        <w:rPr>
          <w:rFonts w:ascii="Verdana" w:hAnsi="Verdana" w:cs="Arial"/>
          <w:color w:val="000000" w:themeColor="text1"/>
        </w:rPr>
      </w:pPr>
      <w:r w:rsidRPr="00B31C7B">
        <w:rPr>
          <w:rFonts w:ascii="Verdana" w:hAnsi="Verdana"/>
        </w:rPr>
        <w:t xml:space="preserve"> </w:t>
      </w:r>
      <w:r>
        <w:rPr>
          <w:rFonts w:ascii="Verdana" w:eastAsia="Calibri" w:hAnsi="Verdana"/>
          <w:lang w:val="es-ES"/>
        </w:rPr>
        <w:t>Finalmente debe advertirse, que el análisis para resolver problemas específicos en torno a las adiciones de un contrato determinado debe ser realizado por quienes tengan interés en ello</w:t>
      </w:r>
      <w:r>
        <w:rPr>
          <w:rFonts w:ascii="Verdana" w:hAnsi="Verdana" w:cs="Arial"/>
          <w:color w:val="000000" w:themeColor="text1"/>
        </w:rPr>
        <w:t xml:space="preserve">. De esta forma, las afirmaciones aquí realizadas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w:t>
      </w:r>
      <w:r>
        <w:rPr>
          <w:rFonts w:ascii="Verdana" w:hAnsi="Verdana" w:cs="Arial"/>
          <w:color w:val="000000" w:themeColor="text1"/>
        </w:rPr>
        <w:lastRenderedPageBreak/>
        <w:t>de conflicto, a las autoridades judiciales, fiscales y disciplinarias.</w:t>
      </w:r>
    </w:p>
    <w:p w14:paraId="05FAEF43" w14:textId="77777777" w:rsidR="00DC2877" w:rsidRPr="004B3FA7" w:rsidRDefault="00DC2877" w:rsidP="00DC2877">
      <w:pPr>
        <w:widowControl w:val="0"/>
        <w:autoSpaceDE w:val="0"/>
        <w:autoSpaceDN w:val="0"/>
        <w:spacing w:after="120" w:line="276" w:lineRule="auto"/>
        <w:ind w:firstLine="708"/>
        <w:jc w:val="both"/>
        <w:rPr>
          <w:rFonts w:ascii="Verdana" w:eastAsia="Calibri" w:hAnsi="Verdana" w:cs="Arial"/>
          <w:bCs/>
          <w:lang w:val="es-MX" w:eastAsia="es-ES_tradnl"/>
        </w:rPr>
      </w:pPr>
      <w:r>
        <w:rPr>
          <w:rFonts w:ascii="Verdana" w:hAnsi="Verdana" w:cs="Arial"/>
          <w:color w:val="000000" w:themeColor="text1"/>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Por tanto, cada entidad definirá la forma de adelantar su gestión contractual, sin que sea atribución de Colombia Compra Eficiente validar sus actuaciones.</w:t>
      </w:r>
    </w:p>
    <w:p w14:paraId="06B97F49" w14:textId="77777777" w:rsidR="00DC2877" w:rsidRPr="007D0F53" w:rsidRDefault="00DC2877" w:rsidP="00DC2877">
      <w:pPr>
        <w:spacing w:after="0" w:line="276" w:lineRule="auto"/>
        <w:jc w:val="both"/>
        <w:rPr>
          <w:rFonts w:ascii="Verdana" w:eastAsia="Calibri" w:hAnsi="Verdana" w:cs="Arial"/>
          <w:lang w:val="es-ES_tradnl" w:eastAsia="es-ES_tradnl"/>
        </w:rPr>
      </w:pPr>
    </w:p>
    <w:p w14:paraId="1554D1DD" w14:textId="77777777" w:rsidR="00DC2877" w:rsidRPr="007D0F53" w:rsidRDefault="00DC2877" w:rsidP="00DC2877">
      <w:pPr>
        <w:numPr>
          <w:ilvl w:val="0"/>
          <w:numId w:val="19"/>
        </w:numPr>
        <w:spacing w:after="0" w:line="276" w:lineRule="auto"/>
        <w:rPr>
          <w:rFonts w:ascii="Verdana" w:eastAsia="Calibri" w:hAnsi="Verdana" w:cs="Times New Roman"/>
          <w:b/>
          <w:bCs/>
          <w:lang w:val="es-ES"/>
        </w:rPr>
      </w:pPr>
      <w:r w:rsidRPr="007D0F53">
        <w:rPr>
          <w:rFonts w:ascii="Verdana" w:eastAsia="Calibri" w:hAnsi="Verdana" w:cs="Times New Roman"/>
          <w:b/>
          <w:bCs/>
          <w:lang w:val="es-ES"/>
        </w:rPr>
        <w:t>Referencias normativas:</w:t>
      </w:r>
    </w:p>
    <w:p w14:paraId="7203C38E" w14:textId="77777777" w:rsidR="00DC2877" w:rsidRPr="007D0F53" w:rsidRDefault="00DC2877" w:rsidP="00DC2877">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C2877" w:rsidRPr="007D0F53" w14:paraId="3DC62C4B" w14:textId="77777777" w:rsidTr="003E3CAA">
        <w:trPr>
          <w:trHeight w:val="501"/>
          <w:jc w:val="center"/>
        </w:trPr>
        <w:tc>
          <w:tcPr>
            <w:tcW w:w="8647" w:type="dxa"/>
          </w:tcPr>
          <w:p w14:paraId="1572083D" w14:textId="77777777" w:rsidR="00DC2877" w:rsidRDefault="00DC2877" w:rsidP="003E3CAA">
            <w:pPr>
              <w:widowControl w:val="0"/>
              <w:autoSpaceDE w:val="0"/>
              <w:autoSpaceDN w:val="0"/>
              <w:spacing w:line="276" w:lineRule="auto"/>
              <w:ind w:left="720"/>
              <w:jc w:val="both"/>
              <w:rPr>
                <w:rFonts w:ascii="Verdana" w:hAnsi="Verdana" w:cs="Arial"/>
                <w:color w:val="000000" w:themeColor="text1"/>
                <w:lang w:val="es-ES"/>
              </w:rPr>
            </w:pPr>
          </w:p>
          <w:p w14:paraId="52B2C421" w14:textId="77777777" w:rsidR="00DC2877" w:rsidRPr="007D0F53" w:rsidRDefault="00DC2877" w:rsidP="00DC2877">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7D0F53">
              <w:rPr>
                <w:rFonts w:ascii="Verdana" w:hAnsi="Verdana" w:cs="Arial"/>
                <w:color w:val="000000" w:themeColor="text1"/>
                <w:lang w:val="es-ES"/>
              </w:rPr>
              <w:t>Ley 80 de 1993, artículo</w:t>
            </w:r>
            <w:r>
              <w:rPr>
                <w:rFonts w:ascii="Verdana" w:hAnsi="Verdana" w:cs="Arial"/>
                <w:color w:val="000000" w:themeColor="text1"/>
                <w:lang w:val="es-ES"/>
              </w:rPr>
              <w:t xml:space="preserve"> </w:t>
            </w:r>
            <w:r w:rsidRPr="007D0F53">
              <w:rPr>
                <w:rFonts w:ascii="Verdana" w:hAnsi="Verdana" w:cs="Arial"/>
                <w:color w:val="000000" w:themeColor="text1"/>
                <w:lang w:val="es-ES"/>
              </w:rPr>
              <w:t>40.</w:t>
            </w:r>
          </w:p>
          <w:p w14:paraId="2F1B1A21" w14:textId="77777777" w:rsidR="00DC2877" w:rsidRPr="002E7482" w:rsidRDefault="00DC2877" w:rsidP="00DC2877">
            <w:pPr>
              <w:widowControl w:val="0"/>
              <w:numPr>
                <w:ilvl w:val="0"/>
                <w:numId w:val="20"/>
              </w:numPr>
              <w:autoSpaceDE w:val="0"/>
              <w:autoSpaceDN w:val="0"/>
              <w:spacing w:after="120" w:line="276" w:lineRule="auto"/>
              <w:ind w:left="714" w:hanging="357"/>
              <w:jc w:val="both"/>
              <w:rPr>
                <w:rFonts w:ascii="Verdana" w:hAnsi="Verdana" w:cs="Arial"/>
                <w:color w:val="000000" w:themeColor="text1"/>
                <w:lang w:val="es-ES"/>
              </w:rPr>
            </w:pPr>
            <w:r w:rsidRPr="007D0F53">
              <w:rPr>
                <w:rFonts w:ascii="Verdana" w:hAnsi="Verdana" w:cs="Arial"/>
                <w:color w:val="000000" w:themeColor="text1"/>
                <w:lang w:val="es-ES"/>
              </w:rPr>
              <w:t>Ley 1</w:t>
            </w:r>
            <w:r>
              <w:rPr>
                <w:rFonts w:ascii="Verdana" w:hAnsi="Verdana" w:cs="Arial"/>
                <w:color w:val="000000" w:themeColor="text1"/>
                <w:lang w:val="es-ES"/>
              </w:rPr>
              <w:t>474, artículo</w:t>
            </w:r>
            <w:r w:rsidRPr="007D0F53">
              <w:rPr>
                <w:rFonts w:ascii="Verdana" w:hAnsi="Verdana" w:cs="Arial"/>
                <w:color w:val="000000" w:themeColor="text1"/>
                <w:lang w:val="es-ES"/>
              </w:rPr>
              <w:t xml:space="preserve"> </w:t>
            </w:r>
            <w:r>
              <w:rPr>
                <w:rFonts w:ascii="Verdana" w:hAnsi="Verdana" w:cs="Arial"/>
                <w:color w:val="000000" w:themeColor="text1"/>
                <w:lang w:val="es-ES"/>
              </w:rPr>
              <w:t>85</w:t>
            </w:r>
          </w:p>
        </w:tc>
      </w:tr>
    </w:tbl>
    <w:p w14:paraId="769E1DF2" w14:textId="77777777" w:rsidR="00DC2877" w:rsidRPr="007D0F53" w:rsidRDefault="00DC2877" w:rsidP="00DC2877">
      <w:pPr>
        <w:spacing w:after="0" w:line="276" w:lineRule="auto"/>
        <w:ind w:right="709"/>
        <w:jc w:val="both"/>
        <w:rPr>
          <w:rFonts w:ascii="Verdana" w:hAnsi="Verdana" w:cs="Arial"/>
          <w:color w:val="000000" w:themeColor="text1"/>
          <w:lang w:val="es-ES_tradnl"/>
        </w:rPr>
      </w:pPr>
    </w:p>
    <w:p w14:paraId="2AEFD1EA" w14:textId="77777777" w:rsidR="00DC2877" w:rsidRPr="007D0F53" w:rsidRDefault="00DC2877" w:rsidP="00DC2877">
      <w:pPr>
        <w:numPr>
          <w:ilvl w:val="0"/>
          <w:numId w:val="19"/>
        </w:numPr>
        <w:spacing w:after="0" w:line="276" w:lineRule="auto"/>
        <w:rPr>
          <w:rFonts w:ascii="Verdana" w:eastAsia="Calibri" w:hAnsi="Verdana" w:cs="Times New Roman"/>
          <w:b/>
          <w:bCs/>
          <w:lang w:val="es-ES"/>
        </w:rPr>
      </w:pPr>
      <w:r w:rsidRPr="007D0F53">
        <w:rPr>
          <w:rFonts w:ascii="Verdana" w:eastAsia="Calibri" w:hAnsi="Verdana" w:cs="Times New Roman"/>
          <w:b/>
          <w:bCs/>
          <w:lang w:val="es-ES"/>
        </w:rPr>
        <w:t>Doctrina de la Agencia Nacional de Contratación Pública:</w:t>
      </w:r>
    </w:p>
    <w:p w14:paraId="4D54C15E" w14:textId="77777777" w:rsidR="00DC2877" w:rsidRPr="007D0F53" w:rsidRDefault="00DC2877" w:rsidP="00DC2877">
      <w:pPr>
        <w:widowControl w:val="0"/>
        <w:autoSpaceDE w:val="0"/>
        <w:autoSpaceDN w:val="0"/>
        <w:spacing w:after="0" w:line="276" w:lineRule="auto"/>
        <w:jc w:val="both"/>
        <w:rPr>
          <w:rFonts w:ascii="Verdana" w:hAnsi="Verdana" w:cs="Arial"/>
          <w:bCs/>
          <w:shd w:val="clear" w:color="auto" w:fill="FFFFFF"/>
        </w:rPr>
      </w:pPr>
    </w:p>
    <w:p w14:paraId="478B184D" w14:textId="77777777" w:rsidR="00DC2877" w:rsidRPr="003452BE" w:rsidRDefault="00DC2877" w:rsidP="00DC2877">
      <w:pPr>
        <w:widowControl w:val="0"/>
        <w:autoSpaceDE w:val="0"/>
        <w:autoSpaceDN w:val="0"/>
        <w:spacing w:after="0" w:line="276" w:lineRule="auto"/>
        <w:jc w:val="both"/>
        <w:rPr>
          <w:rFonts w:ascii="Verdana" w:hAnsi="Verdana" w:cs="Arial"/>
          <w:bCs/>
          <w:shd w:val="clear" w:color="auto" w:fill="FFFFFF"/>
        </w:rPr>
      </w:pPr>
      <w:r w:rsidRPr="007D0F53">
        <w:rPr>
          <w:rFonts w:ascii="Verdana" w:hAnsi="Verdana" w:cs="Arial"/>
          <w:bCs/>
          <w:shd w:val="clear" w:color="auto" w:fill="FFFFFF"/>
        </w:rPr>
        <w:t xml:space="preserve">La Agencia Nacional de Contratación Pública – Colombia Compra Eficiente, se ha pronunciado en diferentes conceptos sobre las </w:t>
      </w:r>
      <w:r w:rsidRPr="007D0F53">
        <w:rPr>
          <w:rFonts w:ascii="Verdana" w:hAnsi="Verdana" w:cs="Arial"/>
          <w:bCs/>
          <w:shd w:val="clear" w:color="auto" w:fill="FFFFFF"/>
          <w:lang w:val="es-ES_tradnl"/>
        </w:rPr>
        <w:t>modificaciones y adiciones en los contratos estatales en los Conceptos Nro. C-277 de 21 de junio de 2021, C-644 de 18 de noviembre de 2021, C-755 de 21 de enero de 2022, C-152 de 1 de abril de 2022, C-267 de 5 de mayo de 2022, C-432 de 13 de julio de 2022, C-630 del 29 de septiembre de 2022, C784 del 21 de noviembre del 2022, C-398 del 27 de septiembre de 2023, C-452 del 7 de noviembre de 2023, C-463 del 22 de noviembre de 2023, C-471 del 25 de enero del 2024, C-329 del 22 de agosto de 2024, C-563 del 21 de octubre de 2024, C-903 del 2 de enero de 2024, C-1008 del 30 de enero de 2025</w:t>
      </w:r>
      <w:r w:rsidRPr="007D0F53">
        <w:rPr>
          <w:rFonts w:ascii="Verdana" w:hAnsi="Verdana" w:cs="Arial"/>
          <w:bCs/>
          <w:shd w:val="clear" w:color="auto" w:fill="FFFFFF"/>
          <w:lang w:val="es-ES"/>
        </w:rPr>
        <w:t>, C-308 del 28 de abril de 2025,</w:t>
      </w:r>
      <w:r>
        <w:rPr>
          <w:rFonts w:ascii="Verdana" w:hAnsi="Verdana" w:cs="Arial"/>
          <w:bCs/>
          <w:shd w:val="clear" w:color="auto" w:fill="FFFFFF"/>
          <w:lang w:val="es-ES"/>
        </w:rPr>
        <w:t xml:space="preserve"> C-451 del 19 de mayo de 2025, C-491 del 3 de junio de 2025,</w:t>
      </w:r>
      <w:r w:rsidRPr="007D0F53">
        <w:rPr>
          <w:rFonts w:ascii="Verdana" w:hAnsi="Verdana" w:cs="Arial"/>
          <w:bCs/>
          <w:shd w:val="clear" w:color="auto" w:fill="FFFFFF"/>
        </w:rPr>
        <w:t xml:space="preserve"> entre otros. </w:t>
      </w:r>
      <w:r w:rsidRPr="007D0F53">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r>
        <w:rPr>
          <w:rFonts w:ascii="Verdana" w:hAnsi="Verdana" w:cs="Arial"/>
          <w:bCs/>
          <w:shd w:val="clear" w:color="auto" w:fill="FFFFFF"/>
        </w:rPr>
        <w:t xml:space="preserve"> </w:t>
      </w:r>
      <w:hyperlink r:id="rId13" w:history="1">
        <w:r w:rsidRPr="002D740F">
          <w:rPr>
            <w:rStyle w:val="Hipervnculo"/>
            <w:rFonts w:ascii="Verdana" w:eastAsia="Calibri" w:hAnsi="Verdana" w:cs="Times New Roman"/>
            <w:lang w:val="es-ES"/>
          </w:rPr>
          <w:t>https://relatoria.colombiacompra.gov.co/busqueda/conceptos</w:t>
        </w:r>
      </w:hyperlink>
      <w:r w:rsidRPr="007D0F53">
        <w:rPr>
          <w:rFonts w:ascii="Verdana" w:eastAsia="Calibri" w:hAnsi="Verdana" w:cs="Times New Roman"/>
        </w:rPr>
        <w:t xml:space="preserve">. </w:t>
      </w:r>
    </w:p>
    <w:p w14:paraId="3E30240E" w14:textId="77777777" w:rsidR="00DC2877" w:rsidRPr="003452BE" w:rsidRDefault="00DC2877" w:rsidP="00DC2877">
      <w:pPr>
        <w:spacing w:after="0" w:line="276" w:lineRule="auto"/>
        <w:jc w:val="both"/>
        <w:rPr>
          <w:rFonts w:ascii="Verdana" w:eastAsia="Calibri" w:hAnsi="Verdana" w:cs="Times New Roman"/>
        </w:rPr>
      </w:pPr>
    </w:p>
    <w:p w14:paraId="57E3FE02" w14:textId="77777777" w:rsidR="00DC2877" w:rsidRPr="00324A04" w:rsidRDefault="00DC2877" w:rsidP="00DC2877">
      <w:pPr>
        <w:jc w:val="both"/>
        <w:rPr>
          <w:rFonts w:ascii="Verdana" w:hAnsi="Verdana"/>
        </w:rPr>
      </w:pPr>
      <w:r w:rsidRPr="00324A04">
        <w:rPr>
          <w:rFonts w:ascii="Verdana" w:hAnsi="Verdana"/>
        </w:rPr>
        <w:lastRenderedPageBreak/>
        <w:t xml:space="preserve">La sostenibilidad no es una opción, es una obligación. Por ello, la Agencia Nacional de Contratación Pública –Colombia Compra Eficiente– te invita a realizar el </w:t>
      </w:r>
      <w:r w:rsidRPr="00324A04">
        <w:rPr>
          <w:rFonts w:ascii="Verdana" w:hAnsi="Verdana"/>
          <w:b/>
          <w:bCs/>
        </w:rPr>
        <w:t>Curso de Contratación Pública Sostenible y Socialmente Responsable</w:t>
      </w:r>
      <w:r w:rsidRPr="00324A04">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324A04">
        <w:rPr>
          <w:rFonts w:ascii="Verdana" w:hAnsi="Verdana"/>
        </w:rPr>
        <w:br/>
      </w:r>
      <w:hyperlink r:id="rId14" w:tgtFrame="_new" w:history="1">
        <w:r w:rsidRPr="00324A04">
          <w:rPr>
            <w:rFonts w:ascii="Verdana" w:hAnsi="Verdana"/>
            <w:color w:val="0000FF"/>
            <w:u w:val="single"/>
          </w:rPr>
          <w:t>https://formacionvirtual.colombiacompra.gov.co/mod/page/view.php?id=3718</w:t>
        </w:r>
      </w:hyperlink>
    </w:p>
    <w:p w14:paraId="60947328" w14:textId="77777777" w:rsidR="00DC2877" w:rsidRPr="00324A04" w:rsidRDefault="00DC2877" w:rsidP="00DC2877">
      <w:pPr>
        <w:jc w:val="both"/>
        <w:rPr>
          <w:rFonts w:ascii="Verdana" w:hAnsi="Verdana"/>
        </w:rPr>
      </w:pPr>
      <w:r w:rsidRPr="00324A04">
        <w:rPr>
          <w:rFonts w:ascii="Verdana" w:hAnsi="Verdana"/>
        </w:rPr>
        <w:t xml:space="preserve">De otro lado, te contamos que esta Agencia ha da un paso decisivo en la estandarización y modernización del </w:t>
      </w:r>
      <w:r w:rsidRPr="00324A04">
        <w:rPr>
          <w:rFonts w:ascii="Verdana" w:hAnsi="Verdana"/>
          <w:b/>
          <w:bCs/>
        </w:rPr>
        <w:t>sector  social</w:t>
      </w:r>
      <w:r w:rsidRPr="00324A04">
        <w:rPr>
          <w:rFonts w:ascii="Verdana" w:hAnsi="Verdana"/>
        </w:rPr>
        <w:t xml:space="preserve"> con la expedición de las </w:t>
      </w:r>
      <w:r w:rsidRPr="00324A04">
        <w:rPr>
          <w:rFonts w:ascii="Verdana" w:hAnsi="Verdana"/>
          <w:b/>
          <w:bCs/>
        </w:rPr>
        <w:t>Resoluciones 539, 540, 541, 952 y 953 de 2025</w:t>
      </w:r>
      <w:r w:rsidRPr="00324A04">
        <w:rPr>
          <w:rFonts w:ascii="Verdana" w:hAnsi="Verdana"/>
        </w:rPr>
        <w:t xml:space="preserve">, </w:t>
      </w:r>
      <w:r w:rsidRPr="00324A04">
        <w:rPr>
          <w:rFonts w:ascii="Verdana" w:hAnsi="Verdana"/>
          <w:b/>
          <w:bCs/>
        </w:rPr>
        <w:t>mediante las cuales adoptó Documentos Tipo</w:t>
      </w:r>
      <w:r w:rsidRPr="00324A04">
        <w:rPr>
          <w:rFonts w:ascii="Verdana" w:hAnsi="Verdana"/>
        </w:rPr>
        <w:t xml:space="preserve"> para las modalidades de selección de</w:t>
      </w:r>
      <w:r w:rsidRPr="00324A04">
        <w:rPr>
          <w:rFonts w:ascii="Verdana" w:hAnsi="Verdana"/>
          <w:b/>
          <w:bCs/>
        </w:rPr>
        <w:t xml:space="preserve"> licitación pública (versión 2), selección abreviada de menor cuantía, mínima cuantía, consultoría e interventoría</w:t>
      </w:r>
      <w:r w:rsidRPr="00324A04">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324A04">
          <w:rPr>
            <w:rFonts w:ascii="Verdana" w:hAnsi="Verdana"/>
            <w:color w:val="0000FF"/>
            <w:u w:val="single"/>
          </w:rPr>
          <w:t>https://www.colombiacompra.gov.co/normativa-y-relatoria/documentos-tipo</w:t>
        </w:r>
      </w:hyperlink>
    </w:p>
    <w:p w14:paraId="3A12BCF8" w14:textId="77777777" w:rsidR="00DC2877" w:rsidRPr="003452BE" w:rsidRDefault="00DC2877" w:rsidP="00DC2877">
      <w:pPr>
        <w:jc w:val="both"/>
        <w:rPr>
          <w:rFonts w:ascii="Verdana" w:hAnsi="Verdana"/>
          <w:color w:val="000000"/>
          <w:lang w:val="es-ES_tradnl"/>
        </w:rPr>
      </w:pPr>
      <w:r w:rsidRPr="00324A04">
        <w:rPr>
          <w:rFonts w:ascii="Verdana" w:hAnsi="Verdana"/>
        </w:rPr>
        <w:t xml:space="preserve">Si quieres conocer más sobre la aplicación de Documentos Tipo puedes consultar la última versión de la </w:t>
      </w:r>
      <w:r w:rsidRPr="00324A04">
        <w:rPr>
          <w:rFonts w:ascii="Verdana" w:hAnsi="Verdana"/>
          <w:b/>
          <w:bCs/>
        </w:rPr>
        <w:t>Guía para la comprensión e implementación de los Documentos Tipo de obra pública de infraestructura de transporte</w:t>
      </w:r>
      <w:r w:rsidRPr="00324A04">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324A04">
        <w:rPr>
          <w:rFonts w:ascii="Verdana" w:hAnsi="Verdana"/>
        </w:rPr>
        <w:br/>
      </w:r>
      <w:hyperlink r:id="rId16" w:tgtFrame="_new" w:history="1">
        <w:r w:rsidRPr="00324A04">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7BE83E19" w14:textId="77777777" w:rsidR="00DC2877" w:rsidRPr="007D0F53" w:rsidRDefault="00DC2877" w:rsidP="00DC2877">
      <w:pPr>
        <w:spacing w:after="0" w:line="276" w:lineRule="auto"/>
        <w:jc w:val="both"/>
        <w:rPr>
          <w:rFonts w:ascii="Verdana" w:hAnsi="Verdana"/>
        </w:rPr>
      </w:pPr>
      <w:r w:rsidRPr="007D0F53">
        <w:rPr>
          <w:rFonts w:ascii="Verdana" w:hAnsi="Verdana"/>
        </w:rPr>
        <w:t xml:space="preserve">Por último, 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17A33447" w14:textId="77777777" w:rsidR="00DC2877" w:rsidRPr="007D0F53" w:rsidRDefault="00DC2877" w:rsidP="00DC2877">
      <w:pPr>
        <w:spacing w:after="0" w:line="276" w:lineRule="auto"/>
        <w:jc w:val="both"/>
        <w:rPr>
          <w:rFonts w:ascii="Verdana" w:hAnsi="Verdana"/>
        </w:rPr>
      </w:pPr>
    </w:p>
    <w:p w14:paraId="6B19508C" w14:textId="77777777" w:rsidR="00DC2877" w:rsidRPr="007D0F53" w:rsidRDefault="00DC2877" w:rsidP="00DC2877">
      <w:pPr>
        <w:numPr>
          <w:ilvl w:val="0"/>
          <w:numId w:val="15"/>
        </w:numPr>
        <w:spacing w:after="0" w:line="276" w:lineRule="auto"/>
        <w:jc w:val="both"/>
        <w:rPr>
          <w:rFonts w:ascii="Verdana" w:hAnsi="Verdana"/>
          <w:lang w:val="es-ES"/>
        </w:rPr>
      </w:pPr>
      <w:r w:rsidRPr="007D0F53">
        <w:rPr>
          <w:rFonts w:ascii="Verdana" w:hAnsi="Verdana"/>
          <w:lang w:val="es-ES"/>
        </w:rPr>
        <w:t>Línea nacional gratuita o servicio a la ciudadanía: 01800 0520808</w:t>
      </w:r>
    </w:p>
    <w:p w14:paraId="4533F302" w14:textId="77777777" w:rsidR="00DC2877" w:rsidRPr="007D0F53" w:rsidRDefault="00DC2877" w:rsidP="00DC2877">
      <w:pPr>
        <w:numPr>
          <w:ilvl w:val="0"/>
          <w:numId w:val="15"/>
        </w:numPr>
        <w:spacing w:after="0" w:line="276" w:lineRule="auto"/>
        <w:jc w:val="both"/>
        <w:rPr>
          <w:rFonts w:ascii="Verdana" w:hAnsi="Verdana"/>
          <w:lang w:val="es-ES"/>
        </w:rPr>
      </w:pPr>
      <w:r w:rsidRPr="007D0F53">
        <w:rPr>
          <w:rFonts w:ascii="Verdana" w:hAnsi="Verdana"/>
          <w:lang w:val="es-ES"/>
        </w:rPr>
        <w:lastRenderedPageBreak/>
        <w:t>Línea en Bogotá (Mesa de servicio): +57 601 7456788</w:t>
      </w:r>
    </w:p>
    <w:p w14:paraId="74FE8025" w14:textId="77777777" w:rsidR="00DC2877" w:rsidRPr="007D0F53" w:rsidRDefault="00DC2877" w:rsidP="00DC2877">
      <w:pPr>
        <w:numPr>
          <w:ilvl w:val="0"/>
          <w:numId w:val="15"/>
        </w:numPr>
        <w:spacing w:after="0" w:line="276" w:lineRule="auto"/>
        <w:jc w:val="both"/>
        <w:rPr>
          <w:rFonts w:ascii="Verdana" w:hAnsi="Verdana"/>
          <w:lang w:val="es-ES"/>
        </w:rPr>
      </w:pPr>
      <w:r w:rsidRPr="007D0F53">
        <w:rPr>
          <w:rFonts w:ascii="Verdana" w:hAnsi="Verdana"/>
          <w:lang w:val="es-ES"/>
        </w:rPr>
        <w:t>Línea de servicio y atención al ciudadano: +57 601 7956600</w:t>
      </w:r>
    </w:p>
    <w:p w14:paraId="62870546" w14:textId="77777777" w:rsidR="00DC2877" w:rsidRPr="007D0F53" w:rsidRDefault="00DC2877" w:rsidP="00DC2877">
      <w:pPr>
        <w:numPr>
          <w:ilvl w:val="0"/>
          <w:numId w:val="15"/>
        </w:numPr>
        <w:spacing w:after="0" w:line="276" w:lineRule="auto"/>
        <w:jc w:val="both"/>
        <w:rPr>
          <w:rFonts w:ascii="Verdana" w:hAnsi="Verdana"/>
          <w:lang w:val="es-ES"/>
        </w:rPr>
      </w:pPr>
      <w:r w:rsidRPr="007D0F53">
        <w:rPr>
          <w:rFonts w:ascii="Verdana" w:hAnsi="Verdana"/>
          <w:lang w:val="es-ES"/>
        </w:rPr>
        <w:t xml:space="preserve">Página web: </w:t>
      </w:r>
      <w:hyperlink r:id="rId17" w:history="1">
        <w:r w:rsidRPr="007D0F53">
          <w:rPr>
            <w:rFonts w:ascii="Verdana" w:hAnsi="Verdana"/>
            <w:color w:val="0000FF"/>
            <w:u w:val="single"/>
            <w:lang w:val="es-ES"/>
          </w:rPr>
          <w:t>www.colombiacompra.gov.co</w:t>
        </w:r>
      </w:hyperlink>
    </w:p>
    <w:p w14:paraId="70E235C1" w14:textId="77777777" w:rsidR="00DC2877" w:rsidRPr="007D0F53" w:rsidRDefault="00DC2877" w:rsidP="00DC2877">
      <w:pPr>
        <w:spacing w:after="0" w:line="276" w:lineRule="auto"/>
        <w:ind w:left="785"/>
        <w:jc w:val="both"/>
        <w:rPr>
          <w:rFonts w:ascii="Verdana" w:hAnsi="Verdana"/>
          <w:lang w:val="es-ES"/>
        </w:rPr>
      </w:pPr>
    </w:p>
    <w:p w14:paraId="31351976" w14:textId="77777777" w:rsidR="00DC2877" w:rsidRPr="007D0F53" w:rsidRDefault="00DC2877" w:rsidP="00DC2877">
      <w:pPr>
        <w:spacing w:after="0" w:line="276" w:lineRule="auto"/>
        <w:jc w:val="both"/>
        <w:rPr>
          <w:rFonts w:ascii="Verdana" w:hAnsi="Verdana"/>
        </w:rPr>
      </w:pPr>
      <w:r w:rsidRPr="007D0F53">
        <w:rPr>
          <w:rFonts w:ascii="Verdana" w:hAnsi="Verdana"/>
        </w:rPr>
        <w:t xml:space="preserve">Por último, lo invitamos a seguirnos en las redes sociales en las cuales se difunde información institucional: </w:t>
      </w:r>
    </w:p>
    <w:p w14:paraId="5D1E9084" w14:textId="77777777" w:rsidR="00DC2877" w:rsidRPr="007D0F53" w:rsidRDefault="00DC2877" w:rsidP="00DC2877">
      <w:pPr>
        <w:spacing w:after="0" w:line="276" w:lineRule="auto"/>
        <w:jc w:val="both"/>
        <w:rPr>
          <w:rFonts w:ascii="Verdana" w:hAnsi="Verdana"/>
        </w:rPr>
      </w:pPr>
    </w:p>
    <w:p w14:paraId="789B112F" w14:textId="77777777" w:rsidR="00DC2877" w:rsidRPr="007D0F53" w:rsidRDefault="00DC2877" w:rsidP="00DC2877">
      <w:pPr>
        <w:spacing w:after="0" w:line="276" w:lineRule="auto"/>
        <w:jc w:val="both"/>
        <w:rPr>
          <w:rFonts w:ascii="Verdana" w:hAnsi="Verdana"/>
        </w:rPr>
      </w:pPr>
      <w:r w:rsidRPr="007D0F53">
        <w:rPr>
          <w:rFonts w:ascii="Verdana" w:hAnsi="Verdana"/>
        </w:rPr>
        <w:t xml:space="preserve">Twitter: </w:t>
      </w:r>
      <w:r w:rsidRPr="007D0F53">
        <w:rPr>
          <w:rFonts w:ascii="Verdana" w:hAnsi="Verdana"/>
          <w:color w:val="0000FF"/>
          <w:u w:val="single"/>
        </w:rPr>
        <w:t>@colombiacompra</w:t>
      </w:r>
      <w:r w:rsidRPr="007D0F53">
        <w:rPr>
          <w:rFonts w:ascii="Verdana" w:hAnsi="Verdana"/>
        </w:rPr>
        <w:t xml:space="preserve"> </w:t>
      </w:r>
    </w:p>
    <w:p w14:paraId="6FEF343A" w14:textId="77777777" w:rsidR="00DC2877" w:rsidRPr="007D0F53" w:rsidRDefault="00DC2877" w:rsidP="00DC2877">
      <w:pPr>
        <w:spacing w:after="0" w:line="276" w:lineRule="auto"/>
        <w:jc w:val="both"/>
        <w:rPr>
          <w:rFonts w:ascii="Verdana" w:hAnsi="Verdana"/>
        </w:rPr>
      </w:pPr>
      <w:r w:rsidRPr="007D0F53">
        <w:rPr>
          <w:rFonts w:ascii="Verdana" w:hAnsi="Verdana"/>
        </w:rPr>
        <w:t xml:space="preserve">Facebook: </w:t>
      </w:r>
      <w:proofErr w:type="spellStart"/>
      <w:r w:rsidRPr="007D0F53">
        <w:rPr>
          <w:rFonts w:ascii="Verdana" w:hAnsi="Verdana"/>
          <w:color w:val="0000FF"/>
          <w:u w:val="single"/>
        </w:rPr>
        <w:t>ColombiaCompraEficiente</w:t>
      </w:r>
      <w:proofErr w:type="spellEnd"/>
    </w:p>
    <w:p w14:paraId="46B39486" w14:textId="77777777" w:rsidR="00DC2877" w:rsidRPr="007D0F53" w:rsidRDefault="00DC2877" w:rsidP="00DC2877">
      <w:pPr>
        <w:spacing w:after="0" w:line="276" w:lineRule="auto"/>
        <w:jc w:val="both"/>
        <w:rPr>
          <w:rFonts w:ascii="Verdana" w:hAnsi="Verdana"/>
        </w:rPr>
      </w:pPr>
      <w:r w:rsidRPr="007D0F53">
        <w:rPr>
          <w:rFonts w:ascii="Verdana" w:hAnsi="Verdana"/>
        </w:rPr>
        <w:t xml:space="preserve">LinkedIn: </w:t>
      </w:r>
      <w:r w:rsidRPr="007D0F53">
        <w:rPr>
          <w:rFonts w:ascii="Verdana" w:hAnsi="Verdana"/>
          <w:color w:val="0000FF"/>
          <w:u w:val="single"/>
        </w:rPr>
        <w:t>Agencia Nacional de Contratación Pública - Colombia Compra Eficiente</w:t>
      </w:r>
      <w:r w:rsidRPr="007D0F53">
        <w:rPr>
          <w:rFonts w:ascii="Verdana" w:hAnsi="Verdana"/>
        </w:rPr>
        <w:t xml:space="preserve"> Instagram: </w:t>
      </w:r>
      <w:r w:rsidRPr="007D0F53">
        <w:rPr>
          <w:rFonts w:ascii="Verdana" w:hAnsi="Verdana"/>
          <w:color w:val="0000FF"/>
          <w:u w:val="single"/>
        </w:rPr>
        <w:t>@colombiacompraeficiente_cce</w:t>
      </w:r>
    </w:p>
    <w:p w14:paraId="7255B178" w14:textId="77777777" w:rsidR="00DC2877" w:rsidRPr="007D0F53" w:rsidRDefault="00DC2877" w:rsidP="00DC2877">
      <w:pPr>
        <w:spacing w:after="0" w:line="276" w:lineRule="auto"/>
        <w:jc w:val="both"/>
        <w:rPr>
          <w:rFonts w:ascii="Verdana" w:hAnsi="Verdana"/>
        </w:rPr>
      </w:pPr>
    </w:p>
    <w:p w14:paraId="5C862BCC" w14:textId="77777777" w:rsidR="00DC2877" w:rsidRPr="007D0F53" w:rsidRDefault="00DC2877" w:rsidP="00DC2877">
      <w:pPr>
        <w:spacing w:after="0" w:line="276" w:lineRule="auto"/>
        <w:jc w:val="both"/>
        <w:rPr>
          <w:rFonts w:ascii="Verdana" w:eastAsia="Calibri" w:hAnsi="Verdana" w:cs="Times New Roman"/>
          <w:bCs/>
          <w:lang w:val="es-ES_tradnl"/>
        </w:rPr>
      </w:pPr>
      <w:r w:rsidRPr="007D0F53">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224B1DD5" w14:textId="77777777" w:rsidR="00DC2877" w:rsidRPr="007D0F53" w:rsidRDefault="00DC2877" w:rsidP="00DC2877">
      <w:pPr>
        <w:spacing w:after="0" w:line="276" w:lineRule="auto"/>
        <w:jc w:val="both"/>
        <w:rPr>
          <w:rFonts w:ascii="Verdana" w:eastAsia="Calibri" w:hAnsi="Verdana" w:cs="Times New Roman"/>
        </w:rPr>
      </w:pPr>
    </w:p>
    <w:p w14:paraId="36C43D5C" w14:textId="77777777" w:rsidR="00DC2877" w:rsidRPr="006213A4" w:rsidRDefault="00DC2877" w:rsidP="00DC2877">
      <w:pPr>
        <w:spacing w:after="0" w:line="276" w:lineRule="auto"/>
        <w:jc w:val="both"/>
        <w:rPr>
          <w:rFonts w:ascii="Verdana" w:eastAsia="Calibri" w:hAnsi="Verdana" w:cs="Times New Roman"/>
        </w:rPr>
      </w:pPr>
      <w:r w:rsidRPr="007D0F53">
        <w:rPr>
          <w:rFonts w:ascii="Verdana" w:eastAsia="Calibri" w:hAnsi="Verdana" w:cs="Times New Roman"/>
        </w:rPr>
        <w:t>Atentamente,</w:t>
      </w:r>
    </w:p>
    <w:p w14:paraId="2172C91E" w14:textId="77777777" w:rsidR="00DC2877" w:rsidRPr="0044528D" w:rsidRDefault="00DC2877" w:rsidP="00DC2877">
      <w:pPr>
        <w:spacing w:after="0"/>
        <w:jc w:val="both"/>
        <w:rPr>
          <w:rStyle w:val="Hipervnculo"/>
          <w:rFonts w:ascii="Verdana" w:hAnsi="Verdana"/>
        </w:rPr>
      </w:pPr>
    </w:p>
    <w:bookmarkEnd w:id="0"/>
    <w:p w14:paraId="63595950" w14:textId="77777777" w:rsidR="007F3000" w:rsidRPr="00F21F0B" w:rsidRDefault="007F3000" w:rsidP="007F3000">
      <w:pPr>
        <w:spacing w:line="276" w:lineRule="auto"/>
        <w:jc w:val="center"/>
        <w:rPr>
          <w:rFonts w:ascii="Verdana" w:eastAsia="Calibri" w:hAnsi="Verdana" w:cs="Arial"/>
          <w:color w:val="000000"/>
          <w:lang w:val="es-ES_tradnl" w:eastAsia="es-CO"/>
        </w:rPr>
      </w:pPr>
      <w:r w:rsidRPr="00F21F0B">
        <w:rPr>
          <w:rFonts w:ascii="Century Gothic" w:hAnsi="Century Gothic"/>
          <w:noProof/>
        </w:rPr>
        <w:drawing>
          <wp:inline distT="0" distB="0" distL="0" distR="0" wp14:anchorId="1EDB923A" wp14:editId="688574FD">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2"/>
        <w:tblW w:w="6521" w:type="dxa"/>
        <w:tblLook w:val="04A0" w:firstRow="1" w:lastRow="0" w:firstColumn="1" w:lastColumn="0" w:noHBand="0" w:noVBand="1"/>
      </w:tblPr>
      <w:tblGrid>
        <w:gridCol w:w="893"/>
        <w:gridCol w:w="5628"/>
      </w:tblGrid>
      <w:tr w:rsidR="007F3000" w:rsidRPr="00F21F0B" w14:paraId="57E26CA4" w14:textId="77777777" w:rsidTr="006417DE">
        <w:trPr>
          <w:trHeight w:val="315"/>
        </w:trPr>
        <w:tc>
          <w:tcPr>
            <w:tcW w:w="893" w:type="dxa"/>
            <w:vAlign w:val="center"/>
            <w:hideMark/>
          </w:tcPr>
          <w:p w14:paraId="75C44899" w14:textId="77777777" w:rsidR="007F3000" w:rsidRPr="00F21F0B" w:rsidRDefault="007F3000"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621FD10" w14:textId="77777777" w:rsidR="007F3000" w:rsidRPr="00F21F0B" w:rsidRDefault="007F3000" w:rsidP="006417DE">
            <w:pPr>
              <w:spacing w:after="255" w:line="254" w:lineRule="auto"/>
              <w:contextualSpacing/>
              <w:rPr>
                <w:rFonts w:ascii="Verdana" w:eastAsia="Calibri" w:hAnsi="Verdana" w:cs="Times New Roman"/>
                <w:sz w:val="16"/>
                <w:szCs w:val="16"/>
              </w:rPr>
            </w:pPr>
            <w:r w:rsidRPr="00F21F0B">
              <w:rPr>
                <w:rFonts w:ascii="Verdana" w:eastAsia="Calibri" w:hAnsi="Verdana" w:cs="Times New Roman"/>
                <w:sz w:val="16"/>
                <w:szCs w:val="16"/>
              </w:rPr>
              <w:t>Tatiana Baquero Iguarán</w:t>
            </w:r>
          </w:p>
          <w:p w14:paraId="60F5FC71" w14:textId="77777777" w:rsidR="007F3000" w:rsidRPr="00F21F0B" w:rsidRDefault="007F3000" w:rsidP="006417DE">
            <w:pPr>
              <w:spacing w:after="255" w:line="254" w:lineRule="auto"/>
              <w:contextualSpacing/>
              <w:rPr>
                <w:rFonts w:ascii="Verdana" w:hAnsi="Verdana"/>
                <w:sz w:val="16"/>
                <w:szCs w:val="16"/>
              </w:rPr>
            </w:pPr>
            <w:r w:rsidRPr="00F21F0B">
              <w:rPr>
                <w:rFonts w:ascii="Verdana" w:eastAsia="Calibri" w:hAnsi="Verdana" w:cs="Times New Roman"/>
                <w:sz w:val="16"/>
                <w:szCs w:val="16"/>
              </w:rPr>
              <w:t>Contratista de la Subdirección de Gestión Contractual</w:t>
            </w:r>
          </w:p>
        </w:tc>
      </w:tr>
      <w:tr w:rsidR="007F3000" w:rsidRPr="00F21F0B" w14:paraId="13EE08D0" w14:textId="77777777" w:rsidTr="006417DE">
        <w:trPr>
          <w:trHeight w:val="330"/>
        </w:trPr>
        <w:tc>
          <w:tcPr>
            <w:tcW w:w="893" w:type="dxa"/>
            <w:vAlign w:val="center"/>
            <w:hideMark/>
          </w:tcPr>
          <w:p w14:paraId="246EB781" w14:textId="77777777" w:rsidR="007F3000" w:rsidRPr="00F21F0B" w:rsidRDefault="007F3000"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682A73B" w14:textId="77777777" w:rsidR="007F3000" w:rsidRPr="00F21F0B" w:rsidRDefault="007F3000" w:rsidP="006417DE">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F21F0B">
              <w:rPr>
                <w:rFonts w:ascii="Verdana" w:eastAsia="Times New Roman" w:hAnsi="Verdana"/>
                <w:sz w:val="16"/>
                <w:szCs w:val="16"/>
                <w:lang w:eastAsia="es-ES_tradnl"/>
              </w:rPr>
              <w:t>Alejandro Sarmiento Cantillo</w:t>
            </w:r>
          </w:p>
          <w:p w14:paraId="1D565455" w14:textId="77777777" w:rsidR="007F3000" w:rsidRPr="00F21F0B" w:rsidRDefault="007F3000" w:rsidP="006417DE">
            <w:pPr>
              <w:spacing w:after="255" w:line="254" w:lineRule="auto"/>
              <w:contextualSpacing/>
              <w:textAlignment w:val="baseline"/>
              <w:rPr>
                <w:rFonts w:ascii="Verdana" w:eastAsia="Times New Roman" w:hAnsi="Verdana" w:cs="Segoe UI"/>
                <w:sz w:val="16"/>
                <w:szCs w:val="16"/>
                <w:lang w:eastAsia="es-ES_tradnl"/>
              </w:rPr>
            </w:pPr>
            <w:r w:rsidRPr="00F21F0B">
              <w:rPr>
                <w:rFonts w:ascii="Verdana" w:eastAsia="Times New Roman" w:hAnsi="Verdana"/>
                <w:sz w:val="16"/>
                <w:szCs w:val="16"/>
                <w:lang w:eastAsia="es-ES_tradnl"/>
              </w:rPr>
              <w:t>Gestor T1 ‒ 15 de la Subdirección de Gestión Contractual </w:t>
            </w:r>
          </w:p>
        </w:tc>
      </w:tr>
      <w:tr w:rsidR="007F3000" w:rsidRPr="00F21F0B" w14:paraId="754F15B9" w14:textId="77777777" w:rsidTr="006417DE">
        <w:trPr>
          <w:trHeight w:val="300"/>
        </w:trPr>
        <w:tc>
          <w:tcPr>
            <w:tcW w:w="893" w:type="dxa"/>
            <w:vAlign w:val="center"/>
            <w:hideMark/>
          </w:tcPr>
          <w:p w14:paraId="2DD4D56D" w14:textId="77777777" w:rsidR="007F3000" w:rsidRPr="00F21F0B" w:rsidRDefault="007F3000" w:rsidP="006417DE">
            <w:pPr>
              <w:spacing w:after="255" w:line="254" w:lineRule="auto"/>
              <w:contextualSpacing/>
              <w:rPr>
                <w:rFonts w:ascii="Verdana" w:eastAsia="Calibri" w:hAnsi="Verdana"/>
                <w:sz w:val="16"/>
                <w:szCs w:val="16"/>
                <w:lang w:eastAsia="es-ES"/>
              </w:rPr>
            </w:pPr>
            <w:r w:rsidRPr="00F21F0B">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90C8379" w14:textId="77777777" w:rsidR="007F3000" w:rsidRPr="00F21F0B" w:rsidRDefault="007F3000"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val="pt-BR" w:eastAsia="es-ES"/>
              </w:rPr>
              <w:t xml:space="preserve">Carolina Quintero </w:t>
            </w:r>
            <w:proofErr w:type="spellStart"/>
            <w:r w:rsidRPr="00F21F0B">
              <w:rPr>
                <w:rFonts w:ascii="Verdana" w:eastAsia="Calibri" w:hAnsi="Verdana"/>
                <w:sz w:val="16"/>
                <w:szCs w:val="16"/>
                <w:lang w:val="pt-BR" w:eastAsia="es-ES"/>
              </w:rPr>
              <w:t>Gacharná</w:t>
            </w:r>
            <w:proofErr w:type="spellEnd"/>
          </w:p>
          <w:p w14:paraId="501CA0BB" w14:textId="77777777" w:rsidR="007F3000" w:rsidRPr="00F21F0B" w:rsidRDefault="007F3000" w:rsidP="006417DE">
            <w:pPr>
              <w:spacing w:after="255" w:line="254" w:lineRule="auto"/>
              <w:contextualSpacing/>
              <w:rPr>
                <w:rFonts w:ascii="Verdana" w:eastAsia="Calibri" w:hAnsi="Verdana"/>
                <w:sz w:val="16"/>
                <w:szCs w:val="16"/>
                <w:lang w:val="pt-BR" w:eastAsia="es-ES"/>
              </w:rPr>
            </w:pPr>
            <w:r w:rsidRPr="00F21F0B">
              <w:rPr>
                <w:rFonts w:ascii="Verdana" w:eastAsia="Calibri" w:hAnsi="Verdana"/>
                <w:sz w:val="16"/>
                <w:szCs w:val="16"/>
                <w:lang w:eastAsia="es-ES"/>
              </w:rPr>
              <w:t>Subdirectora</w:t>
            </w:r>
            <w:r w:rsidRPr="00F21F0B">
              <w:rPr>
                <w:rFonts w:ascii="Verdana" w:eastAsia="Calibri" w:hAnsi="Verdana"/>
                <w:sz w:val="16"/>
                <w:szCs w:val="16"/>
                <w:lang w:val="pt-BR" w:eastAsia="es-ES"/>
              </w:rPr>
              <w:t xml:space="preserve"> de Gestión Contratual ANCP – CCE</w:t>
            </w:r>
          </w:p>
        </w:tc>
      </w:tr>
    </w:tbl>
    <w:p w14:paraId="76015AB5" w14:textId="77777777" w:rsidR="007F3000" w:rsidRPr="00F21F0B" w:rsidRDefault="007F3000" w:rsidP="007F3000">
      <w:pPr>
        <w:spacing w:after="0" w:line="240" w:lineRule="auto"/>
        <w:rPr>
          <w:rFonts w:ascii="Verdana" w:eastAsia="Times New Roman" w:hAnsi="Verdana" w:cs="Arial"/>
          <w:sz w:val="24"/>
          <w:szCs w:val="24"/>
          <w:lang w:eastAsia="es-ES"/>
        </w:rPr>
      </w:pPr>
    </w:p>
    <w:p w14:paraId="2D01BF60" w14:textId="77777777" w:rsidR="007F3000" w:rsidRPr="00F21F0B" w:rsidRDefault="007F3000" w:rsidP="007F3000">
      <w:pPr>
        <w:spacing w:after="0"/>
        <w:rPr>
          <w:rFonts w:ascii="Verdana" w:hAnsi="Verdana"/>
        </w:rPr>
      </w:pPr>
    </w:p>
    <w:p w14:paraId="371795D3" w14:textId="77777777" w:rsidR="007F3000" w:rsidRPr="00F21F0B" w:rsidRDefault="007F3000" w:rsidP="007F3000"/>
    <w:p w14:paraId="5BF0B7CC" w14:textId="77777777" w:rsidR="0048376B" w:rsidRDefault="0048376B" w:rsidP="00ED7AD8">
      <w:pPr>
        <w:spacing w:after="0" w:line="240" w:lineRule="auto"/>
        <w:rPr>
          <w:rFonts w:ascii="Verdana" w:hAnsi="Verdana"/>
        </w:rPr>
      </w:pPr>
    </w:p>
    <w:sectPr w:rsidR="0048376B"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54519E" w14:textId="77777777" w:rsidR="00E868A2" w:rsidRDefault="00E868A2" w:rsidP="004A1847">
      <w:pPr>
        <w:spacing w:after="0" w:line="240" w:lineRule="auto"/>
      </w:pPr>
      <w:r>
        <w:separator/>
      </w:r>
    </w:p>
  </w:endnote>
  <w:endnote w:type="continuationSeparator" w:id="0">
    <w:p w14:paraId="028948DB" w14:textId="77777777" w:rsidR="00E868A2" w:rsidRDefault="00E868A2" w:rsidP="004A1847">
      <w:pPr>
        <w:spacing w:after="0" w:line="240" w:lineRule="auto"/>
      </w:pPr>
      <w:r>
        <w:continuationSeparator/>
      </w:r>
    </w:p>
  </w:endnote>
  <w:endnote w:type="continuationNotice" w:id="1">
    <w:p w14:paraId="4A1F1CC6" w14:textId="77777777" w:rsidR="00E868A2" w:rsidRDefault="00E868A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altName w:val="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00023" w:rsidRDefault="00300023">
    <w:pPr>
      <w:pStyle w:val="Piedepgina"/>
    </w:pPr>
  </w:p>
  <w:p w14:paraId="594D6D9F" w14:textId="149BA676" w:rsidR="00300023" w:rsidRPr="00174B77" w:rsidRDefault="00300023"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571932">
      <w:rPr>
        <w:rFonts w:ascii="Verdana" w:eastAsia="Times New Roman" w:hAnsi="Verdana" w:cs="Times New Roman"/>
        <w:b/>
        <w:bCs/>
        <w:sz w:val="16"/>
        <w:szCs w:val="16"/>
        <w:lang w:val="es-ES"/>
      </w:rPr>
      <w:t xml:space="preserve">pág. </w:t>
    </w:r>
    <w:r w:rsidRPr="00571932">
      <w:rPr>
        <w:rFonts w:ascii="Verdana" w:eastAsia="Times New Roman" w:hAnsi="Verdana"/>
        <w:b/>
        <w:bCs/>
        <w:sz w:val="16"/>
        <w:szCs w:val="16"/>
      </w:rPr>
      <w:fldChar w:fldCharType="begin"/>
    </w:r>
    <w:r w:rsidRPr="002E1330">
      <w:rPr>
        <w:rFonts w:ascii="Verdana" w:hAnsi="Verdana"/>
        <w:b/>
        <w:bCs/>
        <w:sz w:val="16"/>
        <w:szCs w:val="16"/>
      </w:rPr>
      <w:instrText>PAGE    \* MERGEFORMAT</w:instrText>
    </w:r>
    <w:r w:rsidRPr="00571932">
      <w:rPr>
        <w:rFonts w:ascii="Verdana" w:eastAsia="Times New Roman" w:hAnsi="Verdana"/>
        <w:b/>
        <w:bCs/>
        <w:sz w:val="16"/>
        <w:szCs w:val="16"/>
      </w:rPr>
      <w:fldChar w:fldCharType="separate"/>
    </w:r>
    <w:r w:rsidR="00F61A18" w:rsidRPr="00F61A18">
      <w:rPr>
        <w:rFonts w:ascii="Verdana" w:eastAsia="Times New Roman" w:hAnsi="Verdana"/>
        <w:b/>
        <w:bCs/>
        <w:noProof/>
        <w:sz w:val="16"/>
        <w:szCs w:val="16"/>
      </w:rPr>
      <w:t>12</w:t>
    </w:r>
    <w:r w:rsidRPr="00571932">
      <w:rPr>
        <w:rFonts w:ascii="Verdana" w:eastAsia="Times New Roman" w:hAnsi="Verdana" w:cs="Times New Roman"/>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00023" w:rsidRDefault="00300023"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00023" w:rsidRPr="00E41027" w:rsidRDefault="00300023"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9A6402" w:rsidRDefault="009A6402">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A78669E" w14:textId="77777777" w:rsidR="00E868A2" w:rsidRDefault="00E868A2" w:rsidP="004A1847">
      <w:pPr>
        <w:spacing w:after="0" w:line="240" w:lineRule="auto"/>
      </w:pPr>
      <w:r>
        <w:separator/>
      </w:r>
    </w:p>
  </w:footnote>
  <w:footnote w:type="continuationSeparator" w:id="0">
    <w:p w14:paraId="7D82458E" w14:textId="77777777" w:rsidR="00E868A2" w:rsidRDefault="00E868A2" w:rsidP="004A1847">
      <w:pPr>
        <w:spacing w:after="0" w:line="240" w:lineRule="auto"/>
      </w:pPr>
      <w:r>
        <w:continuationSeparator/>
      </w:r>
    </w:p>
  </w:footnote>
  <w:footnote w:type="continuationNotice" w:id="1">
    <w:p w14:paraId="40BB2B32" w14:textId="77777777" w:rsidR="00E868A2" w:rsidRDefault="00E868A2">
      <w:pPr>
        <w:spacing w:after="0" w:line="240" w:lineRule="auto"/>
      </w:pPr>
    </w:p>
  </w:footnote>
  <w:footnote w:id="2">
    <w:p w14:paraId="2171B36D" w14:textId="77777777" w:rsidR="00DC2877" w:rsidRPr="001947A2" w:rsidRDefault="00DC2877" w:rsidP="00DC2877">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Debe tenerse en cuenta que </w:t>
      </w:r>
      <w:r w:rsidRPr="001947A2">
        <w:rPr>
          <w:rFonts w:ascii="Verdana" w:hAnsi="Verdana"/>
          <w:sz w:val="16"/>
          <w:szCs w:val="16"/>
          <w:lang w:val="es-CO"/>
        </w:rPr>
        <w:t xml:space="preserve">de conformidad con el Decreto 0159 del 19 de febrero de 2026 se fijó transitoriamente el SMLMV en $ 1.750.905, el cual se encontrará vigente hasta que </w:t>
      </w:r>
      <w:r w:rsidRPr="001947A2">
        <w:rPr>
          <w:rFonts w:ascii="Verdana" w:hAnsi="Verdana"/>
          <w:sz w:val="16"/>
          <w:szCs w:val="16"/>
        </w:rPr>
        <w:t>se dicte sentencia en el proceso de nulidad radicado 11001-03-25-000-2026-00004-00 (0004-2026) que cursa en la Sección Segunda, Subsección A, de la Sala de lo Contencioso Administrativo del Consejo de Estado.</w:t>
      </w:r>
    </w:p>
  </w:footnote>
  <w:footnote w:id="3">
    <w:p w14:paraId="21FD26EE" w14:textId="77777777" w:rsidR="00DC2877" w:rsidRPr="001947A2" w:rsidRDefault="00DC2877" w:rsidP="00DC2877">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Debe tenerse en cuenta que </w:t>
      </w:r>
      <w:r w:rsidRPr="001947A2">
        <w:rPr>
          <w:rFonts w:ascii="Verdana" w:hAnsi="Verdana"/>
          <w:sz w:val="16"/>
          <w:szCs w:val="16"/>
          <w:lang w:val="es-CO"/>
        </w:rPr>
        <w:t xml:space="preserve">de conformidad con el Decreto 0159 del 19 de febrero de 2026 se fijó transitoriamente el SMLMV en $ 1.750.905, el cual se encontrará vigente hasta que </w:t>
      </w:r>
      <w:r w:rsidRPr="001947A2">
        <w:rPr>
          <w:rFonts w:ascii="Verdana" w:hAnsi="Verdana"/>
          <w:sz w:val="16"/>
          <w:szCs w:val="16"/>
        </w:rPr>
        <w:t>se dicte sentencia en el proceso de nulidad radicado 11001-03-25-000-2026-00004-00 (0004-2026) que cursa en la Sección Segunda, Subsección A, de la Sala de lo Contencioso Administrativo del Consejo de Estado.</w:t>
      </w:r>
    </w:p>
  </w:footnote>
  <w:footnote w:id="4">
    <w:p w14:paraId="07CB3322" w14:textId="77777777" w:rsidR="00DC2877" w:rsidRPr="001947A2" w:rsidRDefault="00DC2877" w:rsidP="00DC2877">
      <w:pPr>
        <w:spacing w:after="0" w:line="240" w:lineRule="auto"/>
        <w:ind w:firstLine="708"/>
        <w:jc w:val="both"/>
        <w:rPr>
          <w:rFonts w:ascii="Verdana" w:hAnsi="Verdana"/>
          <w:sz w:val="16"/>
          <w:szCs w:val="16"/>
        </w:rPr>
      </w:pPr>
    </w:p>
    <w:p w14:paraId="19755B72" w14:textId="77777777" w:rsidR="00DC2877" w:rsidRPr="001947A2" w:rsidRDefault="00DC2877" w:rsidP="00DC2877">
      <w:pPr>
        <w:spacing w:after="0" w:line="240" w:lineRule="auto"/>
        <w:ind w:firstLine="709"/>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CONSEJO DE ESTADO. Sala de Consulta y Servicio Civil.</w:t>
      </w:r>
      <w:r w:rsidRPr="001947A2">
        <w:rPr>
          <w:rFonts w:ascii="Verdana" w:hAnsi="Verdana"/>
          <w:i/>
          <w:iCs/>
          <w:sz w:val="16"/>
          <w:szCs w:val="16"/>
        </w:rPr>
        <w:t xml:space="preserve"> </w:t>
      </w:r>
      <w:r w:rsidRPr="001947A2">
        <w:rPr>
          <w:rFonts w:ascii="Verdana" w:hAnsi="Verdana"/>
          <w:sz w:val="16"/>
          <w:szCs w:val="16"/>
        </w:rPr>
        <w:t>C.P.: Óscar Daría Amaya Navas. Concepto del 06 de junio 2018. Radicación número: 2369.</w:t>
      </w:r>
    </w:p>
    <w:p w14:paraId="4641F1D1" w14:textId="77777777" w:rsidR="00DC2877" w:rsidRPr="001947A2" w:rsidRDefault="00DC2877" w:rsidP="00DC2877">
      <w:pPr>
        <w:spacing w:after="0" w:line="240" w:lineRule="auto"/>
        <w:ind w:firstLine="709"/>
        <w:jc w:val="both"/>
        <w:rPr>
          <w:rFonts w:ascii="Verdana" w:hAnsi="Verdana"/>
          <w:i/>
          <w:iCs/>
          <w:sz w:val="16"/>
          <w:szCs w:val="16"/>
        </w:rPr>
      </w:pPr>
    </w:p>
  </w:footnote>
  <w:footnote w:id="5">
    <w:p w14:paraId="6AE6AAC0" w14:textId="77777777" w:rsidR="00DC2877" w:rsidRPr="001947A2" w:rsidRDefault="00DC2877" w:rsidP="00DC2877">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11. DE LA COMPETENCIA PARA DIRIGIR LICITACIONES O CONCURSOS Y PARA CELEBRAR CONTRATOS ESTATALES. </w:t>
      </w:r>
      <w:r w:rsidRPr="001947A2">
        <w:rPr>
          <w:rFonts w:ascii="Verdana" w:hAnsi="Verdana"/>
          <w:sz w:val="16"/>
          <w:szCs w:val="16"/>
          <w:lang w:val="es-CO"/>
        </w:rPr>
        <w:t>En las entidades estatales a que se refiere el artículo 2o.: </w:t>
      </w:r>
    </w:p>
    <w:p w14:paraId="2E31810F"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1o. La competencia para ordenar y dirigir la celebración de licitaciones o concursos y para escoger contratistas será del jefe o representante de la entidad, según el caso. </w:t>
      </w:r>
    </w:p>
    <w:p w14:paraId="3C30F949"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 xml:space="preserve">2o. Tiene competencia para celebrar contratos a nombre de la Nación, el </w:t>
      </w:r>
      <w:proofErr w:type="gramStart"/>
      <w:r w:rsidRPr="001947A2">
        <w:rPr>
          <w:rFonts w:ascii="Verdana" w:hAnsi="Verdana"/>
          <w:sz w:val="16"/>
          <w:szCs w:val="16"/>
          <w:lang w:val="es-CO"/>
        </w:rPr>
        <w:t>Presidente</w:t>
      </w:r>
      <w:proofErr w:type="gramEnd"/>
      <w:r w:rsidRPr="001947A2">
        <w:rPr>
          <w:rFonts w:ascii="Verdana" w:hAnsi="Verdana"/>
          <w:sz w:val="16"/>
          <w:szCs w:val="16"/>
          <w:lang w:val="es-CO"/>
        </w:rPr>
        <w:t xml:space="preserve"> de la República. </w:t>
      </w:r>
    </w:p>
    <w:p w14:paraId="3DD84162"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3o. Tienen competencia para celebrar contratos a nombre de la entidad respectiva: </w:t>
      </w:r>
    </w:p>
    <w:p w14:paraId="2C511A9A"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a) Los ministros del despacho, los directores de departamentos administrativos, los superintendentes, los jefes de unidades administrativas especiales, el Presidente del Senado de la República, el Presidente de la Cámara de Representantes, los Presidentes de la Sala Administrativa del Consejo Superior de la Judicatura y de sus Consejos Seccionales, el Fiscal General de la Nación, el Contralor General de la República, el Procurador General de la Nación, y el Registrador Nacional del Estado Civil. </w:t>
      </w:r>
    </w:p>
    <w:p w14:paraId="3E766328"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b) A nivel territorial, los gobernadores de los departamentos, los alcaldes municipales y de los distritos capital y especiales, los contralores departamentales, distritales y municipales, y los representantes legales de las regiones, las provincias, las áreas metropolitanas, los territorios indígenas y las asociaciones de municipios, en los términos y condiciones de las normas legales que regulen la organización y el funcionamiento de dichas entidades. </w:t>
      </w:r>
    </w:p>
    <w:p w14:paraId="5EC6CDDF"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c) Los representantes legales de las entidades descentralizadas en todos los órdenes y niveles. </w:t>
      </w:r>
    </w:p>
    <w:p w14:paraId="0BD4C3C6" w14:textId="77777777" w:rsidR="00DC2877" w:rsidRPr="001947A2" w:rsidRDefault="00DC2877" w:rsidP="00DC2877">
      <w:pPr>
        <w:pStyle w:val="Textonotapie"/>
        <w:ind w:firstLine="709"/>
        <w:jc w:val="both"/>
        <w:rPr>
          <w:rFonts w:ascii="Verdana" w:hAnsi="Verdana"/>
          <w:sz w:val="16"/>
          <w:szCs w:val="16"/>
          <w:lang w:val="es-CO"/>
        </w:rPr>
      </w:pPr>
    </w:p>
  </w:footnote>
  <w:footnote w:id="6">
    <w:p w14:paraId="7C673BA6" w14:textId="77777777" w:rsidR="00DC2877" w:rsidRPr="001947A2" w:rsidRDefault="00DC2877" w:rsidP="00DC2877">
      <w:pPr>
        <w:pStyle w:val="Textonotapie"/>
        <w:ind w:firstLine="709"/>
        <w:jc w:val="both"/>
        <w:rPr>
          <w:rFonts w:ascii="Verdana" w:hAnsi="Verdana"/>
          <w:sz w:val="16"/>
          <w:szCs w:val="16"/>
          <w:lang w:val="es-CO"/>
        </w:rPr>
      </w:pPr>
      <w:r w:rsidRPr="001947A2">
        <w:rPr>
          <w:rStyle w:val="Refdenotaalpie"/>
          <w:rFonts w:ascii="Verdana" w:hAnsi="Verdana"/>
          <w:sz w:val="16"/>
          <w:szCs w:val="16"/>
        </w:rPr>
        <w:footnoteRef/>
      </w:r>
      <w:r w:rsidRPr="001947A2">
        <w:rPr>
          <w:rFonts w:ascii="Verdana" w:hAnsi="Verdana"/>
          <w:sz w:val="16"/>
          <w:szCs w:val="16"/>
        </w:rPr>
        <w:t xml:space="preserve"> </w:t>
      </w:r>
      <w:r w:rsidRPr="001947A2">
        <w:rPr>
          <w:rFonts w:ascii="Verdana" w:hAnsi="Verdana"/>
          <w:bCs/>
          <w:sz w:val="16"/>
          <w:szCs w:val="16"/>
          <w:lang w:val="es-CO"/>
        </w:rPr>
        <w:t>ARTICULO 12. DE LA DELEGACION PARA CONTRATAR.</w:t>
      </w:r>
      <w:r w:rsidRPr="001947A2">
        <w:rPr>
          <w:rFonts w:ascii="Verdana" w:hAnsi="Verdana"/>
          <w:sz w:val="16"/>
          <w:szCs w:val="16"/>
          <w:lang w:val="es-CO"/>
        </w:rPr>
        <w:t> Los jefes y los representantes legales de las entidades estatales podrán delegar total o parcialmente la competencia para celebrar contratos y desconcentrar la realización de licitaciones o concursos en los servidores públicos que desempeñen cargos del nivel directivo o ejecutivo o en sus equivalentes. </w:t>
      </w:r>
    </w:p>
    <w:p w14:paraId="1F683C67" w14:textId="77777777" w:rsidR="00DC2877" w:rsidRPr="001947A2" w:rsidRDefault="00DC2877" w:rsidP="00DC2877">
      <w:pPr>
        <w:pStyle w:val="Textonotapie"/>
        <w:ind w:firstLine="709"/>
        <w:jc w:val="both"/>
        <w:rPr>
          <w:rFonts w:ascii="Verdana" w:hAnsi="Verdana"/>
          <w:sz w:val="16"/>
          <w:szCs w:val="16"/>
          <w:lang w:val="es-CO"/>
        </w:rPr>
      </w:pPr>
      <w:r w:rsidRPr="001947A2">
        <w:rPr>
          <w:rFonts w:ascii="Verdana" w:hAnsi="Verdana"/>
          <w:sz w:val="16"/>
          <w:szCs w:val="16"/>
          <w:lang w:val="es-CO"/>
        </w:rPr>
        <w:t>En ningún caso, los jefes y representantes legales de las entidades estatales quedarán exonerados por virtud de la delegación de sus deberes de control y vigilancia de la actividad precontractual y contractual.  </w:t>
      </w:r>
    </w:p>
    <w:p w14:paraId="7CE200E0" w14:textId="77777777" w:rsidR="00DC2877" w:rsidRPr="001947A2" w:rsidRDefault="00DC2877" w:rsidP="00DC2877">
      <w:pPr>
        <w:pStyle w:val="Textonotapie"/>
        <w:ind w:firstLine="708"/>
        <w:jc w:val="both"/>
        <w:rPr>
          <w:rFonts w:ascii="Verdana" w:hAnsi="Verdana"/>
          <w:sz w:val="16"/>
          <w:szCs w:val="16"/>
          <w:lang w:val="es-ES"/>
        </w:rPr>
      </w:pPr>
      <w:r w:rsidRPr="001947A2">
        <w:rPr>
          <w:rFonts w:ascii="Verdana" w:hAnsi="Verdana"/>
          <w:bCs/>
          <w:sz w:val="16"/>
          <w:szCs w:val="16"/>
          <w:lang w:val="es-CO"/>
        </w:rPr>
        <w:t>Parágrafo. </w:t>
      </w:r>
      <w:r w:rsidRPr="001947A2">
        <w:rPr>
          <w:rFonts w:ascii="Verdana" w:hAnsi="Verdana"/>
          <w:sz w:val="16"/>
          <w:szCs w:val="16"/>
          <w:lang w:val="es-CO"/>
        </w:rPr>
        <w:t>Para los efectos de esta ley, se entiende por desconcentración la distribución adecuada del trabajo que realiza el jefe o representante legal de la entidad, sin que ello implique autonomía administrativa en su ejercicio. En consecuencia, contra las actividades cumplidas en virtud de la desconcentración administrativa no procederá ningún recurso.  </w:t>
      </w:r>
    </w:p>
  </w:footnote>
  <w:footnote w:id="7">
    <w:p w14:paraId="054879D4" w14:textId="77777777" w:rsidR="00DC2877" w:rsidRPr="001947A2" w:rsidRDefault="00DC2877" w:rsidP="00DC2877">
      <w:pPr>
        <w:spacing w:after="0" w:line="240" w:lineRule="auto"/>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CONSEJO DE ESTADO. Sala de Consulta y Servicio Civil. C.P.: Óscar Daría Amaya Navas. Concepto del 6 de junio de 2018. Radicación número: 2369.</w:t>
      </w:r>
    </w:p>
    <w:p w14:paraId="48767595" w14:textId="77777777" w:rsidR="00DC2877" w:rsidRPr="001947A2" w:rsidRDefault="00DC2877" w:rsidP="00DC2877">
      <w:pPr>
        <w:pStyle w:val="Textonotapie"/>
        <w:jc w:val="both"/>
        <w:rPr>
          <w:rFonts w:ascii="Verdana" w:hAnsi="Verdana"/>
          <w:sz w:val="16"/>
          <w:szCs w:val="16"/>
        </w:rPr>
      </w:pPr>
    </w:p>
  </w:footnote>
  <w:footnote w:id="8">
    <w:p w14:paraId="0389BE7B" w14:textId="77777777" w:rsidR="00DC2877" w:rsidRPr="001947A2" w:rsidRDefault="00DC2877" w:rsidP="00DC2877">
      <w:pPr>
        <w:pStyle w:val="Textonotapie"/>
        <w:ind w:firstLine="708"/>
        <w:jc w:val="both"/>
        <w:rPr>
          <w:rFonts w:ascii="Verdana" w:hAnsi="Verdana"/>
          <w:sz w:val="16"/>
          <w:szCs w:val="16"/>
        </w:rPr>
      </w:pPr>
      <w:r w:rsidRPr="001947A2">
        <w:rPr>
          <w:rStyle w:val="Refdenotaalpie"/>
          <w:rFonts w:ascii="Verdana" w:hAnsi="Verdana"/>
          <w:sz w:val="16"/>
          <w:szCs w:val="16"/>
        </w:rPr>
        <w:footnoteRef/>
      </w:r>
      <w:r w:rsidRPr="001947A2">
        <w:rPr>
          <w:rFonts w:ascii="Verdana" w:hAnsi="Verdana"/>
          <w:sz w:val="16"/>
          <w:szCs w:val="16"/>
        </w:rPr>
        <w:t xml:space="preserve"> Ibidem.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00023" w:rsidRDefault="00300023">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00023" w:rsidRDefault="00300023">
    <w:pPr>
      <w:pStyle w:val="Encabezado"/>
    </w:pPr>
  </w:p>
  <w:p w14:paraId="3079FC11" w14:textId="77777777" w:rsidR="00300023" w:rsidRDefault="00300023" w:rsidP="004A305D">
    <w:pPr>
      <w:spacing w:after="0"/>
      <w:rPr>
        <w:rFonts w:ascii="Verdana" w:hAnsi="Verdana"/>
        <w:b/>
        <w:bCs/>
      </w:rPr>
    </w:pPr>
  </w:p>
  <w:p w14:paraId="5E18350A" w14:textId="705F7B76" w:rsidR="00300023" w:rsidRPr="004A305D" w:rsidRDefault="00300023" w:rsidP="00B01B1A">
    <w:pPr>
      <w:spacing w:after="0" w:line="120" w:lineRule="auto"/>
      <w:rPr>
        <w:rFonts w:ascii="Century Gothic" w:eastAsia="Geo" w:hAnsi="Century Gothic" w:cs="Geo"/>
        <w:sz w:val="16"/>
        <w:szCs w:val="16"/>
        <w:lang w:eastAsia="es-CO"/>
      </w:rPr>
    </w:pPr>
  </w:p>
  <w:p w14:paraId="1FD1C243" w14:textId="6D74A3CF" w:rsidR="00300023" w:rsidRDefault="00300023"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visibility:visible" o:bullet="t">
        <v:imagedata r:id="rId1" o:title=""/>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0B1C6819"/>
    <w:multiLevelType w:val="multilevel"/>
    <w:tmpl w:val="A35A4E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01D5810"/>
    <w:multiLevelType w:val="multilevel"/>
    <w:tmpl w:val="2F0C2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6" w15:restartNumberingAfterBreak="0">
    <w:nsid w:val="18BB7509"/>
    <w:multiLevelType w:val="multilevel"/>
    <w:tmpl w:val="69F44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0517A65"/>
    <w:multiLevelType w:val="hybridMultilevel"/>
    <w:tmpl w:val="9B5A32BA"/>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5A15124"/>
    <w:multiLevelType w:val="hybridMultilevel"/>
    <w:tmpl w:val="44E805A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0" w15:restartNumberingAfterBreak="0">
    <w:nsid w:val="2BCD0247"/>
    <w:multiLevelType w:val="multilevel"/>
    <w:tmpl w:val="2D4C02A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D5425A2"/>
    <w:multiLevelType w:val="hybridMultilevel"/>
    <w:tmpl w:val="58DEB14A"/>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8710AC9"/>
    <w:multiLevelType w:val="multilevel"/>
    <w:tmpl w:val="58ECF052"/>
    <w:lvl w:ilvl="0">
      <w:start w:val="6"/>
      <w:numFmt w:val="decimal"/>
      <w:lvlText w:val="%1"/>
      <w:lvlJc w:val="left"/>
      <w:pPr>
        <w:ind w:left="1008" w:hanging="408"/>
      </w:pPr>
      <w:rPr>
        <w:rFonts w:hint="default"/>
        <w:lang w:val="es-ES" w:eastAsia="en-US" w:bidi="ar-SA"/>
      </w:rPr>
    </w:lvl>
    <w:lvl w:ilvl="1">
      <w:start w:val="4"/>
      <w:numFmt w:val="decimal"/>
      <w:lvlText w:val="%1.%2."/>
      <w:lvlJc w:val="left"/>
      <w:pPr>
        <w:ind w:left="1008" w:hanging="408"/>
      </w:pPr>
      <w:rPr>
        <w:rFonts w:ascii="Arial" w:eastAsia="Arial" w:hAnsi="Arial" w:cs="Arial" w:hint="default"/>
        <w:spacing w:val="-1"/>
        <w:w w:val="100"/>
        <w:sz w:val="21"/>
        <w:szCs w:val="21"/>
        <w:lang w:val="es-ES" w:eastAsia="en-US" w:bidi="ar-SA"/>
      </w:rPr>
    </w:lvl>
    <w:lvl w:ilvl="2">
      <w:numFmt w:val="bullet"/>
      <w:lvlText w:val="•"/>
      <w:lvlJc w:val="left"/>
      <w:pPr>
        <w:ind w:left="2708" w:hanging="408"/>
      </w:pPr>
      <w:rPr>
        <w:rFonts w:hint="default"/>
        <w:lang w:val="es-ES" w:eastAsia="en-US" w:bidi="ar-SA"/>
      </w:rPr>
    </w:lvl>
    <w:lvl w:ilvl="3">
      <w:numFmt w:val="bullet"/>
      <w:lvlText w:val="•"/>
      <w:lvlJc w:val="left"/>
      <w:pPr>
        <w:ind w:left="3562" w:hanging="408"/>
      </w:pPr>
      <w:rPr>
        <w:rFonts w:hint="default"/>
        <w:lang w:val="es-ES" w:eastAsia="en-US" w:bidi="ar-SA"/>
      </w:rPr>
    </w:lvl>
    <w:lvl w:ilvl="4">
      <w:numFmt w:val="bullet"/>
      <w:lvlText w:val="•"/>
      <w:lvlJc w:val="left"/>
      <w:pPr>
        <w:ind w:left="4416" w:hanging="408"/>
      </w:pPr>
      <w:rPr>
        <w:rFonts w:hint="default"/>
        <w:lang w:val="es-ES" w:eastAsia="en-US" w:bidi="ar-SA"/>
      </w:rPr>
    </w:lvl>
    <w:lvl w:ilvl="5">
      <w:numFmt w:val="bullet"/>
      <w:lvlText w:val="•"/>
      <w:lvlJc w:val="left"/>
      <w:pPr>
        <w:ind w:left="5270" w:hanging="408"/>
      </w:pPr>
      <w:rPr>
        <w:rFonts w:hint="default"/>
        <w:lang w:val="es-ES" w:eastAsia="en-US" w:bidi="ar-SA"/>
      </w:rPr>
    </w:lvl>
    <w:lvl w:ilvl="6">
      <w:numFmt w:val="bullet"/>
      <w:lvlText w:val="•"/>
      <w:lvlJc w:val="left"/>
      <w:pPr>
        <w:ind w:left="6124" w:hanging="408"/>
      </w:pPr>
      <w:rPr>
        <w:rFonts w:hint="default"/>
        <w:lang w:val="es-ES" w:eastAsia="en-US" w:bidi="ar-SA"/>
      </w:rPr>
    </w:lvl>
    <w:lvl w:ilvl="7">
      <w:numFmt w:val="bullet"/>
      <w:lvlText w:val="•"/>
      <w:lvlJc w:val="left"/>
      <w:pPr>
        <w:ind w:left="6978" w:hanging="408"/>
      </w:pPr>
      <w:rPr>
        <w:rFonts w:hint="default"/>
        <w:lang w:val="es-ES" w:eastAsia="en-US" w:bidi="ar-SA"/>
      </w:rPr>
    </w:lvl>
    <w:lvl w:ilvl="8">
      <w:numFmt w:val="bullet"/>
      <w:lvlText w:val="•"/>
      <w:lvlJc w:val="left"/>
      <w:pPr>
        <w:ind w:left="7832" w:hanging="408"/>
      </w:pPr>
      <w:rPr>
        <w:rFonts w:hint="default"/>
        <w:lang w:val="es-ES" w:eastAsia="en-US" w:bidi="ar-SA"/>
      </w:rPr>
    </w:lvl>
  </w:abstractNum>
  <w:abstractNum w:abstractNumId="1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0"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1" w15:restartNumberingAfterBreak="0">
    <w:nsid w:val="522C350D"/>
    <w:multiLevelType w:val="hybridMultilevel"/>
    <w:tmpl w:val="89B6917E"/>
    <w:lvl w:ilvl="0" w:tplc="A7B2FCBE">
      <w:start w:val="1"/>
      <w:numFmt w:val="decimal"/>
      <w:lvlText w:val="%1."/>
      <w:lvlJc w:val="left"/>
      <w:pPr>
        <w:ind w:left="1494" w:hanging="360"/>
      </w:pPr>
      <w:rPr>
        <w:rFonts w:hint="default"/>
      </w:rPr>
    </w:lvl>
    <w:lvl w:ilvl="1" w:tplc="240A0019" w:tentative="1">
      <w:start w:val="1"/>
      <w:numFmt w:val="lowerLetter"/>
      <w:lvlText w:val="%2."/>
      <w:lvlJc w:val="left"/>
      <w:pPr>
        <w:ind w:left="2214" w:hanging="360"/>
      </w:pPr>
    </w:lvl>
    <w:lvl w:ilvl="2" w:tplc="240A001B" w:tentative="1">
      <w:start w:val="1"/>
      <w:numFmt w:val="lowerRoman"/>
      <w:lvlText w:val="%3."/>
      <w:lvlJc w:val="right"/>
      <w:pPr>
        <w:ind w:left="2934" w:hanging="180"/>
      </w:pPr>
    </w:lvl>
    <w:lvl w:ilvl="3" w:tplc="240A000F" w:tentative="1">
      <w:start w:val="1"/>
      <w:numFmt w:val="decimal"/>
      <w:lvlText w:val="%4."/>
      <w:lvlJc w:val="left"/>
      <w:pPr>
        <w:ind w:left="3654" w:hanging="360"/>
      </w:pPr>
    </w:lvl>
    <w:lvl w:ilvl="4" w:tplc="240A0019" w:tentative="1">
      <w:start w:val="1"/>
      <w:numFmt w:val="lowerLetter"/>
      <w:lvlText w:val="%5."/>
      <w:lvlJc w:val="left"/>
      <w:pPr>
        <w:ind w:left="4374" w:hanging="360"/>
      </w:pPr>
    </w:lvl>
    <w:lvl w:ilvl="5" w:tplc="240A001B" w:tentative="1">
      <w:start w:val="1"/>
      <w:numFmt w:val="lowerRoman"/>
      <w:lvlText w:val="%6."/>
      <w:lvlJc w:val="right"/>
      <w:pPr>
        <w:ind w:left="5094" w:hanging="180"/>
      </w:pPr>
    </w:lvl>
    <w:lvl w:ilvl="6" w:tplc="240A000F" w:tentative="1">
      <w:start w:val="1"/>
      <w:numFmt w:val="decimal"/>
      <w:lvlText w:val="%7."/>
      <w:lvlJc w:val="left"/>
      <w:pPr>
        <w:ind w:left="5814" w:hanging="360"/>
      </w:pPr>
    </w:lvl>
    <w:lvl w:ilvl="7" w:tplc="240A0019" w:tentative="1">
      <w:start w:val="1"/>
      <w:numFmt w:val="lowerLetter"/>
      <w:lvlText w:val="%8."/>
      <w:lvlJc w:val="left"/>
      <w:pPr>
        <w:ind w:left="6534" w:hanging="360"/>
      </w:pPr>
    </w:lvl>
    <w:lvl w:ilvl="8" w:tplc="240A001B" w:tentative="1">
      <w:start w:val="1"/>
      <w:numFmt w:val="lowerRoman"/>
      <w:lvlText w:val="%9."/>
      <w:lvlJc w:val="right"/>
      <w:pPr>
        <w:ind w:left="7254" w:hanging="180"/>
      </w:pPr>
    </w:lvl>
  </w:abstractNum>
  <w:abstractNum w:abstractNumId="22" w15:restartNumberingAfterBreak="0">
    <w:nsid w:val="540506B6"/>
    <w:multiLevelType w:val="hybridMultilevel"/>
    <w:tmpl w:val="974E041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3" w15:restartNumberingAfterBreak="0">
    <w:nsid w:val="57B57427"/>
    <w:multiLevelType w:val="hybridMultilevel"/>
    <w:tmpl w:val="A88A5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8D539B6"/>
    <w:multiLevelType w:val="multilevel"/>
    <w:tmpl w:val="7890C78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6" w15:restartNumberingAfterBreak="0">
    <w:nsid w:val="604178A9"/>
    <w:multiLevelType w:val="hybridMultilevel"/>
    <w:tmpl w:val="7486A3C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7"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8"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C17059A"/>
    <w:multiLevelType w:val="hybridMultilevel"/>
    <w:tmpl w:val="A4CEFBFA"/>
    <w:lvl w:ilvl="0" w:tplc="240A0001">
      <w:start w:val="1"/>
      <w:numFmt w:val="bullet"/>
      <w:lvlText w:val=""/>
      <w:lvlJc w:val="left"/>
      <w:pPr>
        <w:ind w:left="1428" w:hanging="360"/>
      </w:pPr>
      <w:rPr>
        <w:rFonts w:ascii="Symbol" w:hAnsi="Symbol" w:hint="default"/>
      </w:rPr>
    </w:lvl>
    <w:lvl w:ilvl="1" w:tplc="240A0003" w:tentative="1">
      <w:start w:val="1"/>
      <w:numFmt w:val="bullet"/>
      <w:lvlText w:val="o"/>
      <w:lvlJc w:val="left"/>
      <w:pPr>
        <w:ind w:left="2148" w:hanging="360"/>
      </w:pPr>
      <w:rPr>
        <w:rFonts w:ascii="Courier New" w:hAnsi="Courier New" w:cs="Courier New" w:hint="default"/>
      </w:rPr>
    </w:lvl>
    <w:lvl w:ilvl="2" w:tplc="240A0005" w:tentative="1">
      <w:start w:val="1"/>
      <w:numFmt w:val="bullet"/>
      <w:lvlText w:val=""/>
      <w:lvlJc w:val="left"/>
      <w:pPr>
        <w:ind w:left="2868" w:hanging="360"/>
      </w:pPr>
      <w:rPr>
        <w:rFonts w:ascii="Wingdings" w:hAnsi="Wingdings" w:hint="default"/>
      </w:rPr>
    </w:lvl>
    <w:lvl w:ilvl="3" w:tplc="240A0001" w:tentative="1">
      <w:start w:val="1"/>
      <w:numFmt w:val="bullet"/>
      <w:lvlText w:val=""/>
      <w:lvlJc w:val="left"/>
      <w:pPr>
        <w:ind w:left="3588" w:hanging="360"/>
      </w:pPr>
      <w:rPr>
        <w:rFonts w:ascii="Symbol" w:hAnsi="Symbol" w:hint="default"/>
      </w:rPr>
    </w:lvl>
    <w:lvl w:ilvl="4" w:tplc="240A0003" w:tentative="1">
      <w:start w:val="1"/>
      <w:numFmt w:val="bullet"/>
      <w:lvlText w:val="o"/>
      <w:lvlJc w:val="left"/>
      <w:pPr>
        <w:ind w:left="4308" w:hanging="360"/>
      </w:pPr>
      <w:rPr>
        <w:rFonts w:ascii="Courier New" w:hAnsi="Courier New" w:cs="Courier New" w:hint="default"/>
      </w:rPr>
    </w:lvl>
    <w:lvl w:ilvl="5" w:tplc="240A0005" w:tentative="1">
      <w:start w:val="1"/>
      <w:numFmt w:val="bullet"/>
      <w:lvlText w:val=""/>
      <w:lvlJc w:val="left"/>
      <w:pPr>
        <w:ind w:left="5028" w:hanging="360"/>
      </w:pPr>
      <w:rPr>
        <w:rFonts w:ascii="Wingdings" w:hAnsi="Wingdings" w:hint="default"/>
      </w:rPr>
    </w:lvl>
    <w:lvl w:ilvl="6" w:tplc="240A0001" w:tentative="1">
      <w:start w:val="1"/>
      <w:numFmt w:val="bullet"/>
      <w:lvlText w:val=""/>
      <w:lvlJc w:val="left"/>
      <w:pPr>
        <w:ind w:left="5748" w:hanging="360"/>
      </w:pPr>
      <w:rPr>
        <w:rFonts w:ascii="Symbol" w:hAnsi="Symbol" w:hint="default"/>
      </w:rPr>
    </w:lvl>
    <w:lvl w:ilvl="7" w:tplc="240A0003" w:tentative="1">
      <w:start w:val="1"/>
      <w:numFmt w:val="bullet"/>
      <w:lvlText w:val="o"/>
      <w:lvlJc w:val="left"/>
      <w:pPr>
        <w:ind w:left="6468" w:hanging="360"/>
      </w:pPr>
      <w:rPr>
        <w:rFonts w:ascii="Courier New" w:hAnsi="Courier New" w:cs="Courier New" w:hint="default"/>
      </w:rPr>
    </w:lvl>
    <w:lvl w:ilvl="8" w:tplc="240A0005" w:tentative="1">
      <w:start w:val="1"/>
      <w:numFmt w:val="bullet"/>
      <w:lvlText w:val=""/>
      <w:lvlJc w:val="left"/>
      <w:pPr>
        <w:ind w:left="7188" w:hanging="360"/>
      </w:pPr>
      <w:rPr>
        <w:rFonts w:ascii="Wingdings" w:hAnsi="Wingdings" w:hint="default"/>
      </w:rPr>
    </w:lvl>
  </w:abstractNum>
  <w:abstractNum w:abstractNumId="30"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FED3924"/>
    <w:multiLevelType w:val="multilevel"/>
    <w:tmpl w:val="CAE2FDF6"/>
    <w:lvl w:ilvl="0">
      <w:start w:val="2"/>
      <w:numFmt w:val="decimal"/>
      <w:lvlText w:val="%1"/>
      <w:lvlJc w:val="left"/>
      <w:pPr>
        <w:tabs>
          <w:tab w:val="num" w:pos="360"/>
        </w:tabs>
        <w:ind w:left="360" w:hanging="360"/>
      </w:pPr>
      <w:rPr>
        <w:rFonts w:cs="Times New Roman" w:hint="default"/>
        <w:b/>
      </w:rPr>
    </w:lvl>
    <w:lvl w:ilvl="1">
      <w:start w:val="1"/>
      <w:numFmt w:val="decimal"/>
      <w:lvlText w:val="%1.%2"/>
      <w:lvlJc w:val="left"/>
      <w:pPr>
        <w:tabs>
          <w:tab w:val="num" w:pos="360"/>
        </w:tabs>
        <w:ind w:left="360" w:hanging="360"/>
      </w:pPr>
      <w:rPr>
        <w:rFonts w:cs="Times New Roman" w:hint="default"/>
        <w:b/>
      </w:rPr>
    </w:lvl>
    <w:lvl w:ilvl="2">
      <w:start w:val="1"/>
      <w:numFmt w:val="decimal"/>
      <w:lvlText w:val="%1.%2.%3"/>
      <w:lvlJc w:val="left"/>
      <w:pPr>
        <w:tabs>
          <w:tab w:val="num" w:pos="720"/>
        </w:tabs>
        <w:ind w:left="720" w:hanging="720"/>
      </w:pPr>
      <w:rPr>
        <w:rFonts w:cs="Times New Roman" w:hint="default"/>
        <w:b/>
      </w:rPr>
    </w:lvl>
    <w:lvl w:ilvl="3">
      <w:start w:val="1"/>
      <w:numFmt w:val="decimal"/>
      <w:lvlText w:val="%1.%2.%3.%4"/>
      <w:lvlJc w:val="left"/>
      <w:pPr>
        <w:tabs>
          <w:tab w:val="num" w:pos="1080"/>
        </w:tabs>
        <w:ind w:left="1080" w:hanging="1080"/>
      </w:pPr>
      <w:rPr>
        <w:rFonts w:cs="Times New Roman" w:hint="default"/>
        <w:b/>
      </w:rPr>
    </w:lvl>
    <w:lvl w:ilvl="4">
      <w:start w:val="1"/>
      <w:numFmt w:val="decimal"/>
      <w:lvlText w:val="%1.%2.%3.%4.%5"/>
      <w:lvlJc w:val="left"/>
      <w:pPr>
        <w:tabs>
          <w:tab w:val="num" w:pos="1080"/>
        </w:tabs>
        <w:ind w:left="1080" w:hanging="1080"/>
      </w:pPr>
      <w:rPr>
        <w:rFonts w:cs="Times New Roman" w:hint="default"/>
        <w:b/>
      </w:rPr>
    </w:lvl>
    <w:lvl w:ilvl="5">
      <w:start w:val="1"/>
      <w:numFmt w:val="decimal"/>
      <w:lvlText w:val="%1.%2.%3.%4.%5.%6"/>
      <w:lvlJc w:val="left"/>
      <w:pPr>
        <w:tabs>
          <w:tab w:val="num" w:pos="1440"/>
        </w:tabs>
        <w:ind w:left="1440" w:hanging="1440"/>
      </w:pPr>
      <w:rPr>
        <w:rFonts w:cs="Times New Roman" w:hint="default"/>
        <w:b/>
      </w:rPr>
    </w:lvl>
    <w:lvl w:ilvl="6">
      <w:start w:val="1"/>
      <w:numFmt w:val="decimal"/>
      <w:lvlText w:val="%1.%2.%3.%4.%5.%6.%7"/>
      <w:lvlJc w:val="left"/>
      <w:pPr>
        <w:tabs>
          <w:tab w:val="num" w:pos="1440"/>
        </w:tabs>
        <w:ind w:left="1440" w:hanging="1440"/>
      </w:pPr>
      <w:rPr>
        <w:rFonts w:cs="Times New Roman" w:hint="default"/>
        <w:b/>
      </w:rPr>
    </w:lvl>
    <w:lvl w:ilvl="7">
      <w:start w:val="1"/>
      <w:numFmt w:val="decimal"/>
      <w:lvlText w:val="%1.%2.%3.%4.%5.%6.%7.%8"/>
      <w:lvlJc w:val="left"/>
      <w:pPr>
        <w:tabs>
          <w:tab w:val="num" w:pos="1800"/>
        </w:tabs>
        <w:ind w:left="1800" w:hanging="1800"/>
      </w:pPr>
      <w:rPr>
        <w:rFonts w:cs="Times New Roman" w:hint="default"/>
        <w:b/>
      </w:rPr>
    </w:lvl>
    <w:lvl w:ilvl="8">
      <w:start w:val="1"/>
      <w:numFmt w:val="decimal"/>
      <w:lvlText w:val="%1.%2.%3.%4.%5.%6.%7.%8.%9"/>
      <w:lvlJc w:val="left"/>
      <w:pPr>
        <w:tabs>
          <w:tab w:val="num" w:pos="2160"/>
        </w:tabs>
        <w:ind w:left="2160" w:hanging="2160"/>
      </w:pPr>
      <w:rPr>
        <w:rFonts w:cs="Times New Roman" w:hint="default"/>
        <w:b/>
      </w:rPr>
    </w:lvl>
  </w:abstractNum>
  <w:abstractNum w:abstractNumId="34" w15:restartNumberingAfterBreak="0">
    <w:nsid w:val="71CC6F5F"/>
    <w:multiLevelType w:val="hybridMultilevel"/>
    <w:tmpl w:val="EC1A41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5"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16cid:durableId="848568094">
    <w:abstractNumId w:val="15"/>
  </w:num>
  <w:num w:numId="2" w16cid:durableId="331183802">
    <w:abstractNumId w:val="2"/>
  </w:num>
  <w:num w:numId="3" w16cid:durableId="1907379858">
    <w:abstractNumId w:val="12"/>
  </w:num>
  <w:num w:numId="4" w16cid:durableId="203641626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331571475">
    <w:abstractNumId w:val="2"/>
  </w:num>
  <w:num w:numId="6" w16cid:durableId="864027239">
    <w:abstractNumId w:val="31"/>
  </w:num>
  <w:num w:numId="7" w16cid:durableId="2053456036">
    <w:abstractNumId w:val="14"/>
  </w:num>
  <w:num w:numId="8" w16cid:durableId="777485077">
    <w:abstractNumId w:val="30"/>
  </w:num>
  <w:num w:numId="9" w16cid:durableId="261842378">
    <w:abstractNumId w:val="16"/>
  </w:num>
  <w:num w:numId="10" w16cid:durableId="1564752657">
    <w:abstractNumId w:val="28"/>
  </w:num>
  <w:num w:numId="11" w16cid:durableId="1655255941">
    <w:abstractNumId w:val="17"/>
  </w:num>
  <w:num w:numId="12" w16cid:durableId="1892112583">
    <w:abstractNumId w:val="1"/>
  </w:num>
  <w:num w:numId="13" w16cid:durableId="1195076958">
    <w:abstractNumId w:val="8"/>
  </w:num>
  <w:num w:numId="14" w16cid:durableId="592905309">
    <w:abstractNumId w:val="32"/>
  </w:num>
  <w:num w:numId="15" w16cid:durableId="570695063">
    <w:abstractNumId w:val="27"/>
  </w:num>
  <w:num w:numId="16" w16cid:durableId="1150907932">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78951207">
    <w:abstractNumId w:val="5"/>
  </w:num>
  <w:num w:numId="18" w16cid:durableId="115299110">
    <w:abstractNumId w:val="25"/>
  </w:num>
  <w:num w:numId="19" w16cid:durableId="988168109">
    <w:abstractNumId w:val="11"/>
  </w:num>
  <w:num w:numId="20" w16cid:durableId="907111646">
    <w:abstractNumId w:val="19"/>
  </w:num>
  <w:num w:numId="21" w16cid:durableId="1530414710">
    <w:abstractNumId w:val="35"/>
  </w:num>
  <w:num w:numId="22" w16cid:durableId="2043630449">
    <w:abstractNumId w:val="20"/>
  </w:num>
  <w:num w:numId="23" w16cid:durableId="2030912832">
    <w:abstractNumId w:val="0"/>
  </w:num>
  <w:num w:numId="24" w16cid:durableId="194924785">
    <w:abstractNumId w:val="26"/>
  </w:num>
  <w:num w:numId="25" w16cid:durableId="707100333">
    <w:abstractNumId w:val="22"/>
  </w:num>
  <w:num w:numId="26" w16cid:durableId="616452029">
    <w:abstractNumId w:val="21"/>
  </w:num>
  <w:num w:numId="27" w16cid:durableId="553547176">
    <w:abstractNumId w:val="6"/>
  </w:num>
  <w:num w:numId="28" w16cid:durableId="1063867564">
    <w:abstractNumId w:val="10"/>
  </w:num>
  <w:num w:numId="29" w16cid:durableId="1122770876">
    <w:abstractNumId w:val="3"/>
  </w:num>
  <w:num w:numId="30" w16cid:durableId="1649631858">
    <w:abstractNumId w:val="4"/>
  </w:num>
  <w:num w:numId="31" w16cid:durableId="2023702655">
    <w:abstractNumId w:val="24"/>
  </w:num>
  <w:num w:numId="32" w16cid:durableId="1749889378">
    <w:abstractNumId w:val="29"/>
  </w:num>
  <w:num w:numId="33" w16cid:durableId="1243224338">
    <w:abstractNumId w:val="34"/>
  </w:num>
  <w:num w:numId="34" w16cid:durableId="1805922789">
    <w:abstractNumId w:val="7"/>
  </w:num>
  <w:num w:numId="35" w16cid:durableId="1149324222">
    <w:abstractNumId w:val="13"/>
  </w:num>
  <w:num w:numId="36" w16cid:durableId="1579365156">
    <w:abstractNumId w:val="9"/>
  </w:num>
  <w:num w:numId="37" w16cid:durableId="417868425">
    <w:abstractNumId w:val="23"/>
  </w:num>
  <w:num w:numId="38" w16cid:durableId="1568951927">
    <w:abstractNumId w:val="33"/>
  </w:num>
  <w:num w:numId="39" w16cid:durableId="50050659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1FB"/>
    <w:rsid w:val="0000797D"/>
    <w:rsid w:val="00010C4F"/>
    <w:rsid w:val="0001328B"/>
    <w:rsid w:val="000224F2"/>
    <w:rsid w:val="00023C3E"/>
    <w:rsid w:val="0002653B"/>
    <w:rsid w:val="00026C37"/>
    <w:rsid w:val="000355E9"/>
    <w:rsid w:val="00035D9F"/>
    <w:rsid w:val="00036498"/>
    <w:rsid w:val="00040F37"/>
    <w:rsid w:val="00041860"/>
    <w:rsid w:val="000434BC"/>
    <w:rsid w:val="0004434A"/>
    <w:rsid w:val="0005281E"/>
    <w:rsid w:val="0005682C"/>
    <w:rsid w:val="00056D71"/>
    <w:rsid w:val="00061B2A"/>
    <w:rsid w:val="00062BAF"/>
    <w:rsid w:val="000630B9"/>
    <w:rsid w:val="000635D0"/>
    <w:rsid w:val="000643B2"/>
    <w:rsid w:val="000651AB"/>
    <w:rsid w:val="00065E80"/>
    <w:rsid w:val="0007022C"/>
    <w:rsid w:val="00071DE6"/>
    <w:rsid w:val="000754E3"/>
    <w:rsid w:val="00077439"/>
    <w:rsid w:val="000774B8"/>
    <w:rsid w:val="00082362"/>
    <w:rsid w:val="0008328D"/>
    <w:rsid w:val="00086FA2"/>
    <w:rsid w:val="00090C58"/>
    <w:rsid w:val="000920CF"/>
    <w:rsid w:val="0009387A"/>
    <w:rsid w:val="0009387B"/>
    <w:rsid w:val="00095E97"/>
    <w:rsid w:val="000963C6"/>
    <w:rsid w:val="0009762F"/>
    <w:rsid w:val="000A31B9"/>
    <w:rsid w:val="000A3330"/>
    <w:rsid w:val="000A33DF"/>
    <w:rsid w:val="000A3D63"/>
    <w:rsid w:val="000A683A"/>
    <w:rsid w:val="000A683E"/>
    <w:rsid w:val="000B158F"/>
    <w:rsid w:val="000B19B9"/>
    <w:rsid w:val="000B1E37"/>
    <w:rsid w:val="000B241D"/>
    <w:rsid w:val="000B2DCD"/>
    <w:rsid w:val="000C2889"/>
    <w:rsid w:val="000D0152"/>
    <w:rsid w:val="000D0334"/>
    <w:rsid w:val="000D25D7"/>
    <w:rsid w:val="000D2CFF"/>
    <w:rsid w:val="000D3B29"/>
    <w:rsid w:val="000D55E3"/>
    <w:rsid w:val="000E06F4"/>
    <w:rsid w:val="000E0F63"/>
    <w:rsid w:val="000E1070"/>
    <w:rsid w:val="000E4CE4"/>
    <w:rsid w:val="000E694F"/>
    <w:rsid w:val="000E6DD5"/>
    <w:rsid w:val="000F56F9"/>
    <w:rsid w:val="000F6486"/>
    <w:rsid w:val="000F669F"/>
    <w:rsid w:val="001018FF"/>
    <w:rsid w:val="001019A9"/>
    <w:rsid w:val="001063B3"/>
    <w:rsid w:val="00107ACA"/>
    <w:rsid w:val="001114A9"/>
    <w:rsid w:val="00111979"/>
    <w:rsid w:val="00115788"/>
    <w:rsid w:val="00116537"/>
    <w:rsid w:val="00120766"/>
    <w:rsid w:val="00121EA1"/>
    <w:rsid w:val="001240BD"/>
    <w:rsid w:val="00125105"/>
    <w:rsid w:val="00125BC7"/>
    <w:rsid w:val="00127233"/>
    <w:rsid w:val="00131D34"/>
    <w:rsid w:val="00136D0B"/>
    <w:rsid w:val="00143E81"/>
    <w:rsid w:val="00143FD9"/>
    <w:rsid w:val="00145047"/>
    <w:rsid w:val="00146C57"/>
    <w:rsid w:val="00150565"/>
    <w:rsid w:val="001578A4"/>
    <w:rsid w:val="00160D33"/>
    <w:rsid w:val="00160D5C"/>
    <w:rsid w:val="001631FE"/>
    <w:rsid w:val="0016332F"/>
    <w:rsid w:val="0016458A"/>
    <w:rsid w:val="00165D85"/>
    <w:rsid w:val="001717E9"/>
    <w:rsid w:val="0017238A"/>
    <w:rsid w:val="00177DC9"/>
    <w:rsid w:val="00180A30"/>
    <w:rsid w:val="0018159B"/>
    <w:rsid w:val="00185EE9"/>
    <w:rsid w:val="00187F79"/>
    <w:rsid w:val="001947A2"/>
    <w:rsid w:val="00195992"/>
    <w:rsid w:val="00196153"/>
    <w:rsid w:val="00197274"/>
    <w:rsid w:val="001A237A"/>
    <w:rsid w:val="001A26CF"/>
    <w:rsid w:val="001A2919"/>
    <w:rsid w:val="001B0E6B"/>
    <w:rsid w:val="001B2CFE"/>
    <w:rsid w:val="001C222E"/>
    <w:rsid w:val="001C22F9"/>
    <w:rsid w:val="001D1C29"/>
    <w:rsid w:val="001D33CB"/>
    <w:rsid w:val="001E1E21"/>
    <w:rsid w:val="001E3C06"/>
    <w:rsid w:val="001E4177"/>
    <w:rsid w:val="001E741E"/>
    <w:rsid w:val="001F4EFD"/>
    <w:rsid w:val="001F5E13"/>
    <w:rsid w:val="001F6D11"/>
    <w:rsid w:val="001F7DC6"/>
    <w:rsid w:val="00202886"/>
    <w:rsid w:val="0020603D"/>
    <w:rsid w:val="00206A83"/>
    <w:rsid w:val="00213BC6"/>
    <w:rsid w:val="00215B75"/>
    <w:rsid w:val="00215CEF"/>
    <w:rsid w:val="00217A08"/>
    <w:rsid w:val="00220B77"/>
    <w:rsid w:val="00220C9C"/>
    <w:rsid w:val="00221D27"/>
    <w:rsid w:val="00227C89"/>
    <w:rsid w:val="00227E62"/>
    <w:rsid w:val="00233D5B"/>
    <w:rsid w:val="00234E14"/>
    <w:rsid w:val="00237233"/>
    <w:rsid w:val="002421BB"/>
    <w:rsid w:val="00243EB4"/>
    <w:rsid w:val="002442AC"/>
    <w:rsid w:val="00246A81"/>
    <w:rsid w:val="0025197B"/>
    <w:rsid w:val="00251A5F"/>
    <w:rsid w:val="002571B0"/>
    <w:rsid w:val="0025796E"/>
    <w:rsid w:val="002603E5"/>
    <w:rsid w:val="00260FD9"/>
    <w:rsid w:val="002638B2"/>
    <w:rsid w:val="002660F2"/>
    <w:rsid w:val="002664BB"/>
    <w:rsid w:val="002707A2"/>
    <w:rsid w:val="00270FB6"/>
    <w:rsid w:val="002715B9"/>
    <w:rsid w:val="00274354"/>
    <w:rsid w:val="00276223"/>
    <w:rsid w:val="00276573"/>
    <w:rsid w:val="00281E93"/>
    <w:rsid w:val="00282584"/>
    <w:rsid w:val="002835A6"/>
    <w:rsid w:val="00284161"/>
    <w:rsid w:val="002844ED"/>
    <w:rsid w:val="002951A0"/>
    <w:rsid w:val="002962BC"/>
    <w:rsid w:val="002A093D"/>
    <w:rsid w:val="002A0DC4"/>
    <w:rsid w:val="002A0DD0"/>
    <w:rsid w:val="002A3450"/>
    <w:rsid w:val="002A49AC"/>
    <w:rsid w:val="002A64FD"/>
    <w:rsid w:val="002A6BBF"/>
    <w:rsid w:val="002A7BE9"/>
    <w:rsid w:val="002B03E4"/>
    <w:rsid w:val="002B1E57"/>
    <w:rsid w:val="002B1F7F"/>
    <w:rsid w:val="002B290B"/>
    <w:rsid w:val="002B631F"/>
    <w:rsid w:val="002C110E"/>
    <w:rsid w:val="002C379A"/>
    <w:rsid w:val="002C5577"/>
    <w:rsid w:val="002C765E"/>
    <w:rsid w:val="002C7A84"/>
    <w:rsid w:val="002D13A1"/>
    <w:rsid w:val="002D19BE"/>
    <w:rsid w:val="002D1E42"/>
    <w:rsid w:val="002D22AD"/>
    <w:rsid w:val="002D3F0D"/>
    <w:rsid w:val="002E1D98"/>
    <w:rsid w:val="002E2C3F"/>
    <w:rsid w:val="002E2F4F"/>
    <w:rsid w:val="002E4FD9"/>
    <w:rsid w:val="002E5690"/>
    <w:rsid w:val="002E6F15"/>
    <w:rsid w:val="002E7482"/>
    <w:rsid w:val="002E7EA1"/>
    <w:rsid w:val="002F13FD"/>
    <w:rsid w:val="002F6C42"/>
    <w:rsid w:val="00300023"/>
    <w:rsid w:val="00303544"/>
    <w:rsid w:val="003039C1"/>
    <w:rsid w:val="00310DBE"/>
    <w:rsid w:val="0031182E"/>
    <w:rsid w:val="00311EE9"/>
    <w:rsid w:val="0031430F"/>
    <w:rsid w:val="0031479C"/>
    <w:rsid w:val="00320BBD"/>
    <w:rsid w:val="00322A85"/>
    <w:rsid w:val="00324168"/>
    <w:rsid w:val="00325CD5"/>
    <w:rsid w:val="0033032A"/>
    <w:rsid w:val="003330D3"/>
    <w:rsid w:val="0033498F"/>
    <w:rsid w:val="00334C6A"/>
    <w:rsid w:val="00336C05"/>
    <w:rsid w:val="00342675"/>
    <w:rsid w:val="00343512"/>
    <w:rsid w:val="003448F4"/>
    <w:rsid w:val="00345330"/>
    <w:rsid w:val="00347102"/>
    <w:rsid w:val="003528DF"/>
    <w:rsid w:val="00352C12"/>
    <w:rsid w:val="00354BCA"/>
    <w:rsid w:val="00354F33"/>
    <w:rsid w:val="00360631"/>
    <w:rsid w:val="00361261"/>
    <w:rsid w:val="0036594E"/>
    <w:rsid w:val="003665EE"/>
    <w:rsid w:val="00366A24"/>
    <w:rsid w:val="0037010E"/>
    <w:rsid w:val="003734F4"/>
    <w:rsid w:val="00374F5E"/>
    <w:rsid w:val="0037755E"/>
    <w:rsid w:val="00377E2D"/>
    <w:rsid w:val="00377E3E"/>
    <w:rsid w:val="00377FB7"/>
    <w:rsid w:val="003815E8"/>
    <w:rsid w:val="003826F4"/>
    <w:rsid w:val="00386837"/>
    <w:rsid w:val="00387C3F"/>
    <w:rsid w:val="003906F8"/>
    <w:rsid w:val="00392A49"/>
    <w:rsid w:val="003A26D1"/>
    <w:rsid w:val="003A3B30"/>
    <w:rsid w:val="003A779E"/>
    <w:rsid w:val="003B005A"/>
    <w:rsid w:val="003B6898"/>
    <w:rsid w:val="003C1BFE"/>
    <w:rsid w:val="003C1C0E"/>
    <w:rsid w:val="003C3FA5"/>
    <w:rsid w:val="003C4A2B"/>
    <w:rsid w:val="003C5109"/>
    <w:rsid w:val="003C565A"/>
    <w:rsid w:val="003D0B0E"/>
    <w:rsid w:val="003D0F4D"/>
    <w:rsid w:val="003D5B0D"/>
    <w:rsid w:val="003E0499"/>
    <w:rsid w:val="003E0779"/>
    <w:rsid w:val="003E40F2"/>
    <w:rsid w:val="003F3941"/>
    <w:rsid w:val="003F4ABE"/>
    <w:rsid w:val="003F4BAF"/>
    <w:rsid w:val="00400676"/>
    <w:rsid w:val="004008A9"/>
    <w:rsid w:val="00405A3E"/>
    <w:rsid w:val="00406575"/>
    <w:rsid w:val="00407C75"/>
    <w:rsid w:val="00410906"/>
    <w:rsid w:val="004136D9"/>
    <w:rsid w:val="0041655A"/>
    <w:rsid w:val="0041694B"/>
    <w:rsid w:val="00420B46"/>
    <w:rsid w:val="00426FD7"/>
    <w:rsid w:val="0042722E"/>
    <w:rsid w:val="00427DA0"/>
    <w:rsid w:val="0043158E"/>
    <w:rsid w:val="00432CA2"/>
    <w:rsid w:val="00440391"/>
    <w:rsid w:val="00441FCF"/>
    <w:rsid w:val="0044241D"/>
    <w:rsid w:val="00442C7F"/>
    <w:rsid w:val="0044528D"/>
    <w:rsid w:val="00450920"/>
    <w:rsid w:val="00454D48"/>
    <w:rsid w:val="004554F9"/>
    <w:rsid w:val="0046004D"/>
    <w:rsid w:val="004633DE"/>
    <w:rsid w:val="00465E71"/>
    <w:rsid w:val="004712E0"/>
    <w:rsid w:val="00472F87"/>
    <w:rsid w:val="004734BD"/>
    <w:rsid w:val="00474931"/>
    <w:rsid w:val="00482608"/>
    <w:rsid w:val="00483749"/>
    <w:rsid w:val="0048376B"/>
    <w:rsid w:val="00484809"/>
    <w:rsid w:val="00484BB1"/>
    <w:rsid w:val="00493392"/>
    <w:rsid w:val="004A0980"/>
    <w:rsid w:val="004A0B8B"/>
    <w:rsid w:val="004A15BE"/>
    <w:rsid w:val="004A1847"/>
    <w:rsid w:val="004A305D"/>
    <w:rsid w:val="004A3312"/>
    <w:rsid w:val="004A56AD"/>
    <w:rsid w:val="004A6D9B"/>
    <w:rsid w:val="004B3FA7"/>
    <w:rsid w:val="004B53F1"/>
    <w:rsid w:val="004B703F"/>
    <w:rsid w:val="004B740F"/>
    <w:rsid w:val="004C4B37"/>
    <w:rsid w:val="004D026D"/>
    <w:rsid w:val="004D3A9E"/>
    <w:rsid w:val="004D46AB"/>
    <w:rsid w:val="004E181C"/>
    <w:rsid w:val="004E221E"/>
    <w:rsid w:val="004E2892"/>
    <w:rsid w:val="004E409A"/>
    <w:rsid w:val="004E4C0B"/>
    <w:rsid w:val="004E505B"/>
    <w:rsid w:val="004F21C4"/>
    <w:rsid w:val="004F2B72"/>
    <w:rsid w:val="004F3012"/>
    <w:rsid w:val="004F5559"/>
    <w:rsid w:val="004F5A86"/>
    <w:rsid w:val="004F685F"/>
    <w:rsid w:val="004F7EC9"/>
    <w:rsid w:val="0050343D"/>
    <w:rsid w:val="00504336"/>
    <w:rsid w:val="00504CBE"/>
    <w:rsid w:val="00514598"/>
    <w:rsid w:val="00515557"/>
    <w:rsid w:val="00515E1E"/>
    <w:rsid w:val="005163B5"/>
    <w:rsid w:val="00520604"/>
    <w:rsid w:val="00520C55"/>
    <w:rsid w:val="00523453"/>
    <w:rsid w:val="0052543A"/>
    <w:rsid w:val="0052785C"/>
    <w:rsid w:val="00533E1B"/>
    <w:rsid w:val="00540C2D"/>
    <w:rsid w:val="005415A6"/>
    <w:rsid w:val="00541793"/>
    <w:rsid w:val="00552502"/>
    <w:rsid w:val="005566E8"/>
    <w:rsid w:val="00560CB5"/>
    <w:rsid w:val="00562470"/>
    <w:rsid w:val="00564F8B"/>
    <w:rsid w:val="00571932"/>
    <w:rsid w:val="00574122"/>
    <w:rsid w:val="00574867"/>
    <w:rsid w:val="00576927"/>
    <w:rsid w:val="0057702A"/>
    <w:rsid w:val="00577D09"/>
    <w:rsid w:val="0058087F"/>
    <w:rsid w:val="00581AA1"/>
    <w:rsid w:val="00585E4C"/>
    <w:rsid w:val="00590688"/>
    <w:rsid w:val="00591460"/>
    <w:rsid w:val="00592628"/>
    <w:rsid w:val="00597C75"/>
    <w:rsid w:val="005A0868"/>
    <w:rsid w:val="005A0CFB"/>
    <w:rsid w:val="005A15B7"/>
    <w:rsid w:val="005A282F"/>
    <w:rsid w:val="005A2AC9"/>
    <w:rsid w:val="005A2D71"/>
    <w:rsid w:val="005A55D5"/>
    <w:rsid w:val="005B2C3C"/>
    <w:rsid w:val="005B2CCE"/>
    <w:rsid w:val="005B496D"/>
    <w:rsid w:val="005B58C1"/>
    <w:rsid w:val="005B6033"/>
    <w:rsid w:val="005C053C"/>
    <w:rsid w:val="005C3777"/>
    <w:rsid w:val="005C5CDC"/>
    <w:rsid w:val="005C6939"/>
    <w:rsid w:val="005C7629"/>
    <w:rsid w:val="005D16B3"/>
    <w:rsid w:val="005D17C8"/>
    <w:rsid w:val="005D2649"/>
    <w:rsid w:val="005D2B2B"/>
    <w:rsid w:val="005D344C"/>
    <w:rsid w:val="005D476C"/>
    <w:rsid w:val="005D4E83"/>
    <w:rsid w:val="005D5F91"/>
    <w:rsid w:val="005D75E8"/>
    <w:rsid w:val="005D7B25"/>
    <w:rsid w:val="005F0EE5"/>
    <w:rsid w:val="005F183C"/>
    <w:rsid w:val="005F7C43"/>
    <w:rsid w:val="005F7CC8"/>
    <w:rsid w:val="00601A06"/>
    <w:rsid w:val="00601D76"/>
    <w:rsid w:val="00604396"/>
    <w:rsid w:val="00605A00"/>
    <w:rsid w:val="00610812"/>
    <w:rsid w:val="00612CE7"/>
    <w:rsid w:val="006149EF"/>
    <w:rsid w:val="006213A4"/>
    <w:rsid w:val="006219F8"/>
    <w:rsid w:val="0062252A"/>
    <w:rsid w:val="006241C6"/>
    <w:rsid w:val="0062479C"/>
    <w:rsid w:val="0063165E"/>
    <w:rsid w:val="0063166A"/>
    <w:rsid w:val="006322EC"/>
    <w:rsid w:val="00632C08"/>
    <w:rsid w:val="00634052"/>
    <w:rsid w:val="00636BF8"/>
    <w:rsid w:val="00650FF7"/>
    <w:rsid w:val="0065102E"/>
    <w:rsid w:val="00652AB3"/>
    <w:rsid w:val="006569FB"/>
    <w:rsid w:val="00664B4D"/>
    <w:rsid w:val="00665D70"/>
    <w:rsid w:val="00667199"/>
    <w:rsid w:val="00670831"/>
    <w:rsid w:val="00671DAC"/>
    <w:rsid w:val="0067390E"/>
    <w:rsid w:val="006747C7"/>
    <w:rsid w:val="00675E5F"/>
    <w:rsid w:val="006827AC"/>
    <w:rsid w:val="006859A3"/>
    <w:rsid w:val="006871DF"/>
    <w:rsid w:val="006900D9"/>
    <w:rsid w:val="006A0008"/>
    <w:rsid w:val="006A0F0E"/>
    <w:rsid w:val="006A10DF"/>
    <w:rsid w:val="006A2A1F"/>
    <w:rsid w:val="006A3147"/>
    <w:rsid w:val="006A7312"/>
    <w:rsid w:val="006B6F7B"/>
    <w:rsid w:val="006C0240"/>
    <w:rsid w:val="006C07EE"/>
    <w:rsid w:val="006C1E81"/>
    <w:rsid w:val="006C5595"/>
    <w:rsid w:val="006D12F8"/>
    <w:rsid w:val="006D1F00"/>
    <w:rsid w:val="006D465A"/>
    <w:rsid w:val="006E1ADC"/>
    <w:rsid w:val="006E480D"/>
    <w:rsid w:val="006E5452"/>
    <w:rsid w:val="006F0D40"/>
    <w:rsid w:val="006F2501"/>
    <w:rsid w:val="006F3A51"/>
    <w:rsid w:val="006F7C51"/>
    <w:rsid w:val="00703916"/>
    <w:rsid w:val="00704D9B"/>
    <w:rsid w:val="00705E5F"/>
    <w:rsid w:val="00706C16"/>
    <w:rsid w:val="00707DC1"/>
    <w:rsid w:val="00711C85"/>
    <w:rsid w:val="0071287D"/>
    <w:rsid w:val="0071458F"/>
    <w:rsid w:val="0071627C"/>
    <w:rsid w:val="00717903"/>
    <w:rsid w:val="00723A7F"/>
    <w:rsid w:val="00725BB1"/>
    <w:rsid w:val="007312C3"/>
    <w:rsid w:val="00737C53"/>
    <w:rsid w:val="00737DFA"/>
    <w:rsid w:val="00737E63"/>
    <w:rsid w:val="0074034F"/>
    <w:rsid w:val="0074688A"/>
    <w:rsid w:val="00750978"/>
    <w:rsid w:val="00751A8E"/>
    <w:rsid w:val="00752A44"/>
    <w:rsid w:val="0075663D"/>
    <w:rsid w:val="00756680"/>
    <w:rsid w:val="00756841"/>
    <w:rsid w:val="00762AA9"/>
    <w:rsid w:val="007649AB"/>
    <w:rsid w:val="00770AC9"/>
    <w:rsid w:val="00771D0C"/>
    <w:rsid w:val="007833AC"/>
    <w:rsid w:val="0078358E"/>
    <w:rsid w:val="00784D58"/>
    <w:rsid w:val="0078648E"/>
    <w:rsid w:val="00786FBF"/>
    <w:rsid w:val="00790AB7"/>
    <w:rsid w:val="00791769"/>
    <w:rsid w:val="007922D3"/>
    <w:rsid w:val="00796340"/>
    <w:rsid w:val="007A23EA"/>
    <w:rsid w:val="007A5189"/>
    <w:rsid w:val="007B0D88"/>
    <w:rsid w:val="007B268C"/>
    <w:rsid w:val="007B6A32"/>
    <w:rsid w:val="007B7171"/>
    <w:rsid w:val="007B72A7"/>
    <w:rsid w:val="007B7D02"/>
    <w:rsid w:val="007C0C0F"/>
    <w:rsid w:val="007C1E3A"/>
    <w:rsid w:val="007C3DC2"/>
    <w:rsid w:val="007D0457"/>
    <w:rsid w:val="007D387B"/>
    <w:rsid w:val="007D43C9"/>
    <w:rsid w:val="007D483A"/>
    <w:rsid w:val="007D7461"/>
    <w:rsid w:val="007E4103"/>
    <w:rsid w:val="007E5497"/>
    <w:rsid w:val="007F053A"/>
    <w:rsid w:val="007F1B26"/>
    <w:rsid w:val="007F28CA"/>
    <w:rsid w:val="007F3000"/>
    <w:rsid w:val="007F52A4"/>
    <w:rsid w:val="007F60FB"/>
    <w:rsid w:val="007F7B94"/>
    <w:rsid w:val="00800E59"/>
    <w:rsid w:val="00802B6B"/>
    <w:rsid w:val="008032C1"/>
    <w:rsid w:val="00804981"/>
    <w:rsid w:val="0080567E"/>
    <w:rsid w:val="00806F5F"/>
    <w:rsid w:val="0081322F"/>
    <w:rsid w:val="008163D7"/>
    <w:rsid w:val="00820278"/>
    <w:rsid w:val="008202D9"/>
    <w:rsid w:val="008232D6"/>
    <w:rsid w:val="00826620"/>
    <w:rsid w:val="0082712A"/>
    <w:rsid w:val="008305F9"/>
    <w:rsid w:val="00834554"/>
    <w:rsid w:val="00834B31"/>
    <w:rsid w:val="00835438"/>
    <w:rsid w:val="00840ADC"/>
    <w:rsid w:val="00843BF7"/>
    <w:rsid w:val="008449B3"/>
    <w:rsid w:val="00846276"/>
    <w:rsid w:val="00850E23"/>
    <w:rsid w:val="00851137"/>
    <w:rsid w:val="00853978"/>
    <w:rsid w:val="0085432F"/>
    <w:rsid w:val="008551B8"/>
    <w:rsid w:val="00856B1B"/>
    <w:rsid w:val="00862224"/>
    <w:rsid w:val="00864209"/>
    <w:rsid w:val="00866586"/>
    <w:rsid w:val="0087325B"/>
    <w:rsid w:val="0087504A"/>
    <w:rsid w:val="0087570A"/>
    <w:rsid w:val="00875ACC"/>
    <w:rsid w:val="00881939"/>
    <w:rsid w:val="00881ABA"/>
    <w:rsid w:val="008823A8"/>
    <w:rsid w:val="008843B6"/>
    <w:rsid w:val="00886C89"/>
    <w:rsid w:val="0088779F"/>
    <w:rsid w:val="00891928"/>
    <w:rsid w:val="0089239B"/>
    <w:rsid w:val="00894B8B"/>
    <w:rsid w:val="0089556C"/>
    <w:rsid w:val="00895808"/>
    <w:rsid w:val="008A00A4"/>
    <w:rsid w:val="008A0CF3"/>
    <w:rsid w:val="008A446D"/>
    <w:rsid w:val="008A522A"/>
    <w:rsid w:val="008A7A64"/>
    <w:rsid w:val="008A7F08"/>
    <w:rsid w:val="008B2F0E"/>
    <w:rsid w:val="008B37D7"/>
    <w:rsid w:val="008B3958"/>
    <w:rsid w:val="008B5A2E"/>
    <w:rsid w:val="008C0232"/>
    <w:rsid w:val="008C7645"/>
    <w:rsid w:val="008D180B"/>
    <w:rsid w:val="008D7227"/>
    <w:rsid w:val="008D765F"/>
    <w:rsid w:val="008E1F92"/>
    <w:rsid w:val="008E7333"/>
    <w:rsid w:val="008E7B09"/>
    <w:rsid w:val="008E7D98"/>
    <w:rsid w:val="008F00C3"/>
    <w:rsid w:val="008F0E69"/>
    <w:rsid w:val="008F0EA7"/>
    <w:rsid w:val="008F7BB9"/>
    <w:rsid w:val="009029F9"/>
    <w:rsid w:val="00904692"/>
    <w:rsid w:val="00910097"/>
    <w:rsid w:val="009110E2"/>
    <w:rsid w:val="00911906"/>
    <w:rsid w:val="00911C7C"/>
    <w:rsid w:val="00913DBA"/>
    <w:rsid w:val="0091561E"/>
    <w:rsid w:val="0091613A"/>
    <w:rsid w:val="00917AAE"/>
    <w:rsid w:val="0092368D"/>
    <w:rsid w:val="00923EEF"/>
    <w:rsid w:val="00924FEE"/>
    <w:rsid w:val="00931BB5"/>
    <w:rsid w:val="00933159"/>
    <w:rsid w:val="00935BFB"/>
    <w:rsid w:val="0093793E"/>
    <w:rsid w:val="009411F5"/>
    <w:rsid w:val="009419F9"/>
    <w:rsid w:val="00944E84"/>
    <w:rsid w:val="00953AA4"/>
    <w:rsid w:val="00955305"/>
    <w:rsid w:val="00956664"/>
    <w:rsid w:val="0095685E"/>
    <w:rsid w:val="00956E12"/>
    <w:rsid w:val="009572D9"/>
    <w:rsid w:val="009600D2"/>
    <w:rsid w:val="00961409"/>
    <w:rsid w:val="00961B09"/>
    <w:rsid w:val="00962300"/>
    <w:rsid w:val="00962A07"/>
    <w:rsid w:val="00963186"/>
    <w:rsid w:val="00965334"/>
    <w:rsid w:val="00967DCC"/>
    <w:rsid w:val="0097093E"/>
    <w:rsid w:val="00972768"/>
    <w:rsid w:val="00976025"/>
    <w:rsid w:val="009800BE"/>
    <w:rsid w:val="00982BD4"/>
    <w:rsid w:val="00982E41"/>
    <w:rsid w:val="00984649"/>
    <w:rsid w:val="009858BE"/>
    <w:rsid w:val="00986BA8"/>
    <w:rsid w:val="00994041"/>
    <w:rsid w:val="009A0DFA"/>
    <w:rsid w:val="009A119A"/>
    <w:rsid w:val="009A3C2C"/>
    <w:rsid w:val="009A4A40"/>
    <w:rsid w:val="009A6402"/>
    <w:rsid w:val="009B0A7A"/>
    <w:rsid w:val="009B2D26"/>
    <w:rsid w:val="009B780F"/>
    <w:rsid w:val="009C00CC"/>
    <w:rsid w:val="009C0C09"/>
    <w:rsid w:val="009C2DD0"/>
    <w:rsid w:val="009C3AC7"/>
    <w:rsid w:val="009C699C"/>
    <w:rsid w:val="009C71FA"/>
    <w:rsid w:val="009C72E7"/>
    <w:rsid w:val="009D0555"/>
    <w:rsid w:val="009D3058"/>
    <w:rsid w:val="009D3A11"/>
    <w:rsid w:val="009D44C4"/>
    <w:rsid w:val="009D67FD"/>
    <w:rsid w:val="009D687F"/>
    <w:rsid w:val="009E25B3"/>
    <w:rsid w:val="009E5A30"/>
    <w:rsid w:val="009E7C05"/>
    <w:rsid w:val="009F3831"/>
    <w:rsid w:val="009F3832"/>
    <w:rsid w:val="009F3A13"/>
    <w:rsid w:val="009F4AB2"/>
    <w:rsid w:val="009F73F7"/>
    <w:rsid w:val="009F7BAE"/>
    <w:rsid w:val="00A01C7F"/>
    <w:rsid w:val="00A02465"/>
    <w:rsid w:val="00A03415"/>
    <w:rsid w:val="00A04A81"/>
    <w:rsid w:val="00A122D3"/>
    <w:rsid w:val="00A127F7"/>
    <w:rsid w:val="00A14D3D"/>
    <w:rsid w:val="00A17F13"/>
    <w:rsid w:val="00A20739"/>
    <w:rsid w:val="00A211D0"/>
    <w:rsid w:val="00A2142A"/>
    <w:rsid w:val="00A23361"/>
    <w:rsid w:val="00A24433"/>
    <w:rsid w:val="00A2443A"/>
    <w:rsid w:val="00A246FA"/>
    <w:rsid w:val="00A332DD"/>
    <w:rsid w:val="00A339A9"/>
    <w:rsid w:val="00A33C78"/>
    <w:rsid w:val="00A34630"/>
    <w:rsid w:val="00A34B38"/>
    <w:rsid w:val="00A34D87"/>
    <w:rsid w:val="00A35538"/>
    <w:rsid w:val="00A3764D"/>
    <w:rsid w:val="00A37BC4"/>
    <w:rsid w:val="00A42050"/>
    <w:rsid w:val="00A43292"/>
    <w:rsid w:val="00A445C0"/>
    <w:rsid w:val="00A46619"/>
    <w:rsid w:val="00A466EE"/>
    <w:rsid w:val="00A50E16"/>
    <w:rsid w:val="00A56FCA"/>
    <w:rsid w:val="00A6004A"/>
    <w:rsid w:val="00A613C2"/>
    <w:rsid w:val="00A617AC"/>
    <w:rsid w:val="00A63222"/>
    <w:rsid w:val="00A66061"/>
    <w:rsid w:val="00A66DFD"/>
    <w:rsid w:val="00A70D78"/>
    <w:rsid w:val="00A74DE6"/>
    <w:rsid w:val="00A8086A"/>
    <w:rsid w:val="00A80F32"/>
    <w:rsid w:val="00A8160E"/>
    <w:rsid w:val="00A81CDB"/>
    <w:rsid w:val="00A84898"/>
    <w:rsid w:val="00A85D57"/>
    <w:rsid w:val="00A87F7D"/>
    <w:rsid w:val="00A9244C"/>
    <w:rsid w:val="00A94D14"/>
    <w:rsid w:val="00AA5784"/>
    <w:rsid w:val="00AB0ADB"/>
    <w:rsid w:val="00AB3FD1"/>
    <w:rsid w:val="00AB6C82"/>
    <w:rsid w:val="00AC0EAB"/>
    <w:rsid w:val="00AC1435"/>
    <w:rsid w:val="00AC1F8F"/>
    <w:rsid w:val="00AC4701"/>
    <w:rsid w:val="00AC49A2"/>
    <w:rsid w:val="00AC6FA5"/>
    <w:rsid w:val="00AD0483"/>
    <w:rsid w:val="00AD6288"/>
    <w:rsid w:val="00AD73E2"/>
    <w:rsid w:val="00AE08FE"/>
    <w:rsid w:val="00AE2631"/>
    <w:rsid w:val="00AE3418"/>
    <w:rsid w:val="00AF1BEC"/>
    <w:rsid w:val="00AF58CB"/>
    <w:rsid w:val="00B009B8"/>
    <w:rsid w:val="00B01B1A"/>
    <w:rsid w:val="00B052CF"/>
    <w:rsid w:val="00B10F38"/>
    <w:rsid w:val="00B1354A"/>
    <w:rsid w:val="00B14E03"/>
    <w:rsid w:val="00B24457"/>
    <w:rsid w:val="00B26611"/>
    <w:rsid w:val="00B2672B"/>
    <w:rsid w:val="00B26B98"/>
    <w:rsid w:val="00B31A3F"/>
    <w:rsid w:val="00B31C7B"/>
    <w:rsid w:val="00B35ADC"/>
    <w:rsid w:val="00B37C24"/>
    <w:rsid w:val="00B405F1"/>
    <w:rsid w:val="00B40FBC"/>
    <w:rsid w:val="00B41B81"/>
    <w:rsid w:val="00B41DF7"/>
    <w:rsid w:val="00B421F5"/>
    <w:rsid w:val="00B45E23"/>
    <w:rsid w:val="00B46F27"/>
    <w:rsid w:val="00B47FD7"/>
    <w:rsid w:val="00B51F75"/>
    <w:rsid w:val="00B52CDB"/>
    <w:rsid w:val="00B53E27"/>
    <w:rsid w:val="00B54675"/>
    <w:rsid w:val="00B55136"/>
    <w:rsid w:val="00B558AF"/>
    <w:rsid w:val="00B6105C"/>
    <w:rsid w:val="00B615BA"/>
    <w:rsid w:val="00B622E7"/>
    <w:rsid w:val="00B62D8B"/>
    <w:rsid w:val="00B65805"/>
    <w:rsid w:val="00B72CD3"/>
    <w:rsid w:val="00B72FFF"/>
    <w:rsid w:val="00B73EB6"/>
    <w:rsid w:val="00B76CEB"/>
    <w:rsid w:val="00B8257D"/>
    <w:rsid w:val="00B828EF"/>
    <w:rsid w:val="00B82B8B"/>
    <w:rsid w:val="00B86982"/>
    <w:rsid w:val="00B86FE2"/>
    <w:rsid w:val="00B878ED"/>
    <w:rsid w:val="00B87F69"/>
    <w:rsid w:val="00B91186"/>
    <w:rsid w:val="00B93423"/>
    <w:rsid w:val="00B96213"/>
    <w:rsid w:val="00BA2EF4"/>
    <w:rsid w:val="00BA350E"/>
    <w:rsid w:val="00BA7850"/>
    <w:rsid w:val="00BC0036"/>
    <w:rsid w:val="00BC05A6"/>
    <w:rsid w:val="00BC3D36"/>
    <w:rsid w:val="00BC4B34"/>
    <w:rsid w:val="00BD279A"/>
    <w:rsid w:val="00BD39BA"/>
    <w:rsid w:val="00BD7F72"/>
    <w:rsid w:val="00BE03BC"/>
    <w:rsid w:val="00BE0A18"/>
    <w:rsid w:val="00BE12F9"/>
    <w:rsid w:val="00BE2120"/>
    <w:rsid w:val="00BE2377"/>
    <w:rsid w:val="00BE7308"/>
    <w:rsid w:val="00BE7DBA"/>
    <w:rsid w:val="00BF0437"/>
    <w:rsid w:val="00BF1201"/>
    <w:rsid w:val="00BF1D4A"/>
    <w:rsid w:val="00BF230F"/>
    <w:rsid w:val="00BF714A"/>
    <w:rsid w:val="00C002E3"/>
    <w:rsid w:val="00C012CC"/>
    <w:rsid w:val="00C04FB3"/>
    <w:rsid w:val="00C05FE1"/>
    <w:rsid w:val="00C07033"/>
    <w:rsid w:val="00C10179"/>
    <w:rsid w:val="00C147D0"/>
    <w:rsid w:val="00C159C1"/>
    <w:rsid w:val="00C16346"/>
    <w:rsid w:val="00C203C2"/>
    <w:rsid w:val="00C21B15"/>
    <w:rsid w:val="00C23C5E"/>
    <w:rsid w:val="00C26980"/>
    <w:rsid w:val="00C27B8B"/>
    <w:rsid w:val="00C31380"/>
    <w:rsid w:val="00C32523"/>
    <w:rsid w:val="00C330EB"/>
    <w:rsid w:val="00C371C9"/>
    <w:rsid w:val="00C37309"/>
    <w:rsid w:val="00C40E9F"/>
    <w:rsid w:val="00C41481"/>
    <w:rsid w:val="00C42469"/>
    <w:rsid w:val="00C46D91"/>
    <w:rsid w:val="00C47A07"/>
    <w:rsid w:val="00C57281"/>
    <w:rsid w:val="00C65D65"/>
    <w:rsid w:val="00C66566"/>
    <w:rsid w:val="00C67703"/>
    <w:rsid w:val="00C7173F"/>
    <w:rsid w:val="00C730B6"/>
    <w:rsid w:val="00C754BE"/>
    <w:rsid w:val="00C76466"/>
    <w:rsid w:val="00C76B1C"/>
    <w:rsid w:val="00C84561"/>
    <w:rsid w:val="00C915DD"/>
    <w:rsid w:val="00C91B94"/>
    <w:rsid w:val="00C96978"/>
    <w:rsid w:val="00CA6A9D"/>
    <w:rsid w:val="00CA7F6B"/>
    <w:rsid w:val="00CA7FB6"/>
    <w:rsid w:val="00CB3853"/>
    <w:rsid w:val="00CB6357"/>
    <w:rsid w:val="00CB7326"/>
    <w:rsid w:val="00CC0FA3"/>
    <w:rsid w:val="00CC1B26"/>
    <w:rsid w:val="00CC36DA"/>
    <w:rsid w:val="00CC4010"/>
    <w:rsid w:val="00CC49F7"/>
    <w:rsid w:val="00CC54DB"/>
    <w:rsid w:val="00CD087D"/>
    <w:rsid w:val="00CD1DD6"/>
    <w:rsid w:val="00CD4073"/>
    <w:rsid w:val="00CD41CB"/>
    <w:rsid w:val="00CD5EE0"/>
    <w:rsid w:val="00CD7A71"/>
    <w:rsid w:val="00CE509A"/>
    <w:rsid w:val="00CE5414"/>
    <w:rsid w:val="00CF1287"/>
    <w:rsid w:val="00CF7826"/>
    <w:rsid w:val="00D0157A"/>
    <w:rsid w:val="00D036D8"/>
    <w:rsid w:val="00D038ED"/>
    <w:rsid w:val="00D04446"/>
    <w:rsid w:val="00D06D26"/>
    <w:rsid w:val="00D10199"/>
    <w:rsid w:val="00D10B75"/>
    <w:rsid w:val="00D13351"/>
    <w:rsid w:val="00D13EA0"/>
    <w:rsid w:val="00D15E25"/>
    <w:rsid w:val="00D16D7E"/>
    <w:rsid w:val="00D17114"/>
    <w:rsid w:val="00D20368"/>
    <w:rsid w:val="00D21038"/>
    <w:rsid w:val="00D22361"/>
    <w:rsid w:val="00D22598"/>
    <w:rsid w:val="00D26924"/>
    <w:rsid w:val="00D3128C"/>
    <w:rsid w:val="00D413F6"/>
    <w:rsid w:val="00D4231B"/>
    <w:rsid w:val="00D423A2"/>
    <w:rsid w:val="00D520D8"/>
    <w:rsid w:val="00D52961"/>
    <w:rsid w:val="00D55048"/>
    <w:rsid w:val="00D55978"/>
    <w:rsid w:val="00D57FA4"/>
    <w:rsid w:val="00D62DE7"/>
    <w:rsid w:val="00D63AC2"/>
    <w:rsid w:val="00D665B4"/>
    <w:rsid w:val="00D67A5D"/>
    <w:rsid w:val="00D7383B"/>
    <w:rsid w:val="00D75566"/>
    <w:rsid w:val="00D7609E"/>
    <w:rsid w:val="00D81A63"/>
    <w:rsid w:val="00D81D25"/>
    <w:rsid w:val="00D84550"/>
    <w:rsid w:val="00D85C60"/>
    <w:rsid w:val="00D908FC"/>
    <w:rsid w:val="00D91F90"/>
    <w:rsid w:val="00D94C40"/>
    <w:rsid w:val="00DA231B"/>
    <w:rsid w:val="00DA23A0"/>
    <w:rsid w:val="00DA3F4E"/>
    <w:rsid w:val="00DA71EF"/>
    <w:rsid w:val="00DA7F66"/>
    <w:rsid w:val="00DB186F"/>
    <w:rsid w:val="00DB1CA2"/>
    <w:rsid w:val="00DB322A"/>
    <w:rsid w:val="00DB5175"/>
    <w:rsid w:val="00DC2877"/>
    <w:rsid w:val="00DC39FC"/>
    <w:rsid w:val="00DC4385"/>
    <w:rsid w:val="00DC484F"/>
    <w:rsid w:val="00DC4C27"/>
    <w:rsid w:val="00DC51BC"/>
    <w:rsid w:val="00DC793F"/>
    <w:rsid w:val="00DC7D35"/>
    <w:rsid w:val="00DE0D10"/>
    <w:rsid w:val="00DE4629"/>
    <w:rsid w:val="00DF11FD"/>
    <w:rsid w:val="00DF124E"/>
    <w:rsid w:val="00DF5254"/>
    <w:rsid w:val="00DF6AE7"/>
    <w:rsid w:val="00DF7BE3"/>
    <w:rsid w:val="00E0065E"/>
    <w:rsid w:val="00E12426"/>
    <w:rsid w:val="00E16408"/>
    <w:rsid w:val="00E1678E"/>
    <w:rsid w:val="00E20894"/>
    <w:rsid w:val="00E245AB"/>
    <w:rsid w:val="00E26239"/>
    <w:rsid w:val="00E2764C"/>
    <w:rsid w:val="00E27F2E"/>
    <w:rsid w:val="00E33544"/>
    <w:rsid w:val="00E377A2"/>
    <w:rsid w:val="00E413EA"/>
    <w:rsid w:val="00E45B7D"/>
    <w:rsid w:val="00E47F28"/>
    <w:rsid w:val="00E50AFE"/>
    <w:rsid w:val="00E52E49"/>
    <w:rsid w:val="00E53447"/>
    <w:rsid w:val="00E577AC"/>
    <w:rsid w:val="00E578B6"/>
    <w:rsid w:val="00E61547"/>
    <w:rsid w:val="00E61702"/>
    <w:rsid w:val="00E658D4"/>
    <w:rsid w:val="00E7318E"/>
    <w:rsid w:val="00E744BA"/>
    <w:rsid w:val="00E75B66"/>
    <w:rsid w:val="00E75C92"/>
    <w:rsid w:val="00E761BC"/>
    <w:rsid w:val="00E76808"/>
    <w:rsid w:val="00E770CD"/>
    <w:rsid w:val="00E771DC"/>
    <w:rsid w:val="00E77478"/>
    <w:rsid w:val="00E77E1B"/>
    <w:rsid w:val="00E8013F"/>
    <w:rsid w:val="00E8071A"/>
    <w:rsid w:val="00E80C9F"/>
    <w:rsid w:val="00E847D2"/>
    <w:rsid w:val="00E85AA8"/>
    <w:rsid w:val="00E868A2"/>
    <w:rsid w:val="00E870E5"/>
    <w:rsid w:val="00E8772A"/>
    <w:rsid w:val="00E90F6B"/>
    <w:rsid w:val="00E91079"/>
    <w:rsid w:val="00E92C27"/>
    <w:rsid w:val="00E92E10"/>
    <w:rsid w:val="00EA0E3D"/>
    <w:rsid w:val="00EA1CD8"/>
    <w:rsid w:val="00EA393B"/>
    <w:rsid w:val="00EA39A5"/>
    <w:rsid w:val="00EB185D"/>
    <w:rsid w:val="00EB2C4B"/>
    <w:rsid w:val="00EB7E00"/>
    <w:rsid w:val="00EC1A2C"/>
    <w:rsid w:val="00EC1FE1"/>
    <w:rsid w:val="00EC38A7"/>
    <w:rsid w:val="00EC38AC"/>
    <w:rsid w:val="00ED042A"/>
    <w:rsid w:val="00ED0D4A"/>
    <w:rsid w:val="00ED2F67"/>
    <w:rsid w:val="00ED7AD8"/>
    <w:rsid w:val="00EE1AA8"/>
    <w:rsid w:val="00EF26C3"/>
    <w:rsid w:val="00EF419E"/>
    <w:rsid w:val="00EF489F"/>
    <w:rsid w:val="00F03F84"/>
    <w:rsid w:val="00F07875"/>
    <w:rsid w:val="00F11213"/>
    <w:rsid w:val="00F11BAA"/>
    <w:rsid w:val="00F12913"/>
    <w:rsid w:val="00F1445A"/>
    <w:rsid w:val="00F14B48"/>
    <w:rsid w:val="00F177C1"/>
    <w:rsid w:val="00F23592"/>
    <w:rsid w:val="00F238F2"/>
    <w:rsid w:val="00F252AA"/>
    <w:rsid w:val="00F260AA"/>
    <w:rsid w:val="00F27B26"/>
    <w:rsid w:val="00F31EDC"/>
    <w:rsid w:val="00F34D02"/>
    <w:rsid w:val="00F34E84"/>
    <w:rsid w:val="00F40BAD"/>
    <w:rsid w:val="00F41EEE"/>
    <w:rsid w:val="00F462B3"/>
    <w:rsid w:val="00F47069"/>
    <w:rsid w:val="00F51119"/>
    <w:rsid w:val="00F5184B"/>
    <w:rsid w:val="00F522AE"/>
    <w:rsid w:val="00F5391F"/>
    <w:rsid w:val="00F55081"/>
    <w:rsid w:val="00F55168"/>
    <w:rsid w:val="00F5664F"/>
    <w:rsid w:val="00F61A18"/>
    <w:rsid w:val="00F626C4"/>
    <w:rsid w:val="00F643DF"/>
    <w:rsid w:val="00F64D9E"/>
    <w:rsid w:val="00F665D0"/>
    <w:rsid w:val="00F666C4"/>
    <w:rsid w:val="00F73DB7"/>
    <w:rsid w:val="00F7684C"/>
    <w:rsid w:val="00F76AFC"/>
    <w:rsid w:val="00F80CBE"/>
    <w:rsid w:val="00F82FD5"/>
    <w:rsid w:val="00F85198"/>
    <w:rsid w:val="00F85A91"/>
    <w:rsid w:val="00F91268"/>
    <w:rsid w:val="00F939CB"/>
    <w:rsid w:val="00F9479C"/>
    <w:rsid w:val="00F965EE"/>
    <w:rsid w:val="00F97949"/>
    <w:rsid w:val="00FA0A8F"/>
    <w:rsid w:val="00FA1110"/>
    <w:rsid w:val="00FA1D2B"/>
    <w:rsid w:val="00FA358D"/>
    <w:rsid w:val="00FA47C0"/>
    <w:rsid w:val="00FB3D7A"/>
    <w:rsid w:val="00FB4425"/>
    <w:rsid w:val="00FB4EE0"/>
    <w:rsid w:val="00FB5615"/>
    <w:rsid w:val="00FB5DD1"/>
    <w:rsid w:val="00FB5F87"/>
    <w:rsid w:val="00FC07B5"/>
    <w:rsid w:val="00FC2B5D"/>
    <w:rsid w:val="00FD00E9"/>
    <w:rsid w:val="00FD03E3"/>
    <w:rsid w:val="00FD07E4"/>
    <w:rsid w:val="00FD0E1B"/>
    <w:rsid w:val="00FE122A"/>
    <w:rsid w:val="00FE20E6"/>
    <w:rsid w:val="00FE227D"/>
    <w:rsid w:val="00FE42B3"/>
    <w:rsid w:val="00FE5975"/>
    <w:rsid w:val="00FE7B77"/>
    <w:rsid w:val="00FF1187"/>
    <w:rsid w:val="00FF1449"/>
    <w:rsid w:val="00FF4218"/>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6922BF7B-D604-4697-B359-3BC942688A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D1F0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Fuerte">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1"/>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B52CD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52CDB"/>
    <w:rPr>
      <w:rFonts w:eastAsiaTheme="majorEastAsia" w:cstheme="majorBidi"/>
      <w:color w:val="595959" w:themeColor="text1" w:themeTint="A6"/>
      <w:spacing w:val="15"/>
      <w:sz w:val="28"/>
      <w:szCs w:val="28"/>
    </w:rPr>
  </w:style>
  <w:style w:type="table" w:customStyle="1" w:styleId="Tablaconcuadrcula11">
    <w:name w:val="Tabla con cuadrícula11"/>
    <w:basedOn w:val="Tablanormal"/>
    <w:next w:val="Tablaconcuadrcula"/>
    <w:uiPriority w:val="39"/>
    <w:qFormat/>
    <w:rsid w:val="00B31C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377FB7"/>
    <w:rPr>
      <w:color w:val="605E5C"/>
      <w:shd w:val="clear" w:color="auto" w:fill="E1DFDD"/>
    </w:rPr>
  </w:style>
  <w:style w:type="table" w:customStyle="1" w:styleId="Tablaconcuadrcula112">
    <w:name w:val="Tabla con cuadrícula112"/>
    <w:basedOn w:val="Tablanormal"/>
    <w:next w:val="Tablaconcuadrcula"/>
    <w:uiPriority w:val="39"/>
    <w:qFormat/>
    <w:rsid w:val="007F3000"/>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74409299">
      <w:bodyDiv w:val="1"/>
      <w:marLeft w:val="0"/>
      <w:marRight w:val="0"/>
      <w:marTop w:val="0"/>
      <w:marBottom w:val="0"/>
      <w:divBdr>
        <w:top w:val="none" w:sz="0" w:space="0" w:color="auto"/>
        <w:left w:val="none" w:sz="0" w:space="0" w:color="auto"/>
        <w:bottom w:val="none" w:sz="0" w:space="0" w:color="auto"/>
        <w:right w:val="none" w:sz="0" w:space="0" w:color="auto"/>
      </w:divBdr>
    </w:div>
    <w:div w:id="367878781">
      <w:bodyDiv w:val="1"/>
      <w:marLeft w:val="0"/>
      <w:marRight w:val="0"/>
      <w:marTop w:val="0"/>
      <w:marBottom w:val="0"/>
      <w:divBdr>
        <w:top w:val="none" w:sz="0" w:space="0" w:color="auto"/>
        <w:left w:val="none" w:sz="0" w:space="0" w:color="auto"/>
        <w:bottom w:val="none" w:sz="0" w:space="0" w:color="auto"/>
        <w:right w:val="none" w:sz="0" w:space="0" w:color="auto"/>
      </w:divBdr>
    </w:div>
    <w:div w:id="404839358">
      <w:bodyDiv w:val="1"/>
      <w:marLeft w:val="0"/>
      <w:marRight w:val="0"/>
      <w:marTop w:val="0"/>
      <w:marBottom w:val="0"/>
      <w:divBdr>
        <w:top w:val="none" w:sz="0" w:space="0" w:color="auto"/>
        <w:left w:val="none" w:sz="0" w:space="0" w:color="auto"/>
        <w:bottom w:val="none" w:sz="0" w:space="0" w:color="auto"/>
        <w:right w:val="none" w:sz="0" w:space="0" w:color="auto"/>
      </w:divBdr>
    </w:div>
    <w:div w:id="429475947">
      <w:bodyDiv w:val="1"/>
      <w:marLeft w:val="0"/>
      <w:marRight w:val="0"/>
      <w:marTop w:val="0"/>
      <w:marBottom w:val="0"/>
      <w:divBdr>
        <w:top w:val="none" w:sz="0" w:space="0" w:color="auto"/>
        <w:left w:val="none" w:sz="0" w:space="0" w:color="auto"/>
        <w:bottom w:val="none" w:sz="0" w:space="0" w:color="auto"/>
        <w:right w:val="none" w:sz="0" w:space="0" w:color="auto"/>
      </w:divBdr>
    </w:div>
    <w:div w:id="484979270">
      <w:bodyDiv w:val="1"/>
      <w:marLeft w:val="0"/>
      <w:marRight w:val="0"/>
      <w:marTop w:val="0"/>
      <w:marBottom w:val="0"/>
      <w:divBdr>
        <w:top w:val="none" w:sz="0" w:space="0" w:color="auto"/>
        <w:left w:val="none" w:sz="0" w:space="0" w:color="auto"/>
        <w:bottom w:val="none" w:sz="0" w:space="0" w:color="auto"/>
        <w:right w:val="none" w:sz="0" w:space="0" w:color="auto"/>
      </w:divBdr>
    </w:div>
    <w:div w:id="493180265">
      <w:bodyDiv w:val="1"/>
      <w:marLeft w:val="0"/>
      <w:marRight w:val="0"/>
      <w:marTop w:val="0"/>
      <w:marBottom w:val="0"/>
      <w:divBdr>
        <w:top w:val="none" w:sz="0" w:space="0" w:color="auto"/>
        <w:left w:val="none" w:sz="0" w:space="0" w:color="auto"/>
        <w:bottom w:val="none" w:sz="0" w:space="0" w:color="auto"/>
        <w:right w:val="none" w:sz="0" w:space="0" w:color="auto"/>
      </w:divBdr>
      <w:divsChild>
        <w:div w:id="1080754714">
          <w:marLeft w:val="0"/>
          <w:marRight w:val="0"/>
          <w:marTop w:val="0"/>
          <w:marBottom w:val="0"/>
          <w:divBdr>
            <w:top w:val="none" w:sz="0" w:space="0" w:color="auto"/>
            <w:left w:val="none" w:sz="0" w:space="0" w:color="auto"/>
            <w:bottom w:val="none" w:sz="0" w:space="0" w:color="auto"/>
            <w:right w:val="none" w:sz="0" w:space="0" w:color="auto"/>
          </w:divBdr>
        </w:div>
        <w:div w:id="1112440676">
          <w:marLeft w:val="0"/>
          <w:marRight w:val="0"/>
          <w:marTop w:val="0"/>
          <w:marBottom w:val="0"/>
          <w:divBdr>
            <w:top w:val="none" w:sz="0" w:space="0" w:color="auto"/>
            <w:left w:val="none" w:sz="0" w:space="0" w:color="auto"/>
            <w:bottom w:val="none" w:sz="0" w:space="0" w:color="auto"/>
            <w:right w:val="none" w:sz="0" w:space="0" w:color="auto"/>
          </w:divBdr>
        </w:div>
      </w:divsChild>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17488306">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34065458">
      <w:bodyDiv w:val="1"/>
      <w:marLeft w:val="0"/>
      <w:marRight w:val="0"/>
      <w:marTop w:val="0"/>
      <w:marBottom w:val="0"/>
      <w:divBdr>
        <w:top w:val="none" w:sz="0" w:space="0" w:color="auto"/>
        <w:left w:val="none" w:sz="0" w:space="0" w:color="auto"/>
        <w:bottom w:val="none" w:sz="0" w:space="0" w:color="auto"/>
        <w:right w:val="none" w:sz="0" w:space="0" w:color="auto"/>
      </w:divBdr>
    </w:div>
    <w:div w:id="707414069">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773356954">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33375842">
          <w:marLeft w:val="0"/>
          <w:marRight w:val="0"/>
          <w:marTop w:val="0"/>
          <w:marBottom w:val="160"/>
          <w:divBdr>
            <w:top w:val="none" w:sz="0" w:space="0" w:color="auto"/>
            <w:left w:val="none" w:sz="0" w:space="0" w:color="auto"/>
            <w:bottom w:val="none" w:sz="0" w:space="0" w:color="auto"/>
            <w:right w:val="none" w:sz="0" w:space="0" w:color="auto"/>
          </w:divBdr>
        </w:div>
        <w:div w:id="1665283950">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59743338">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01219196">
      <w:bodyDiv w:val="1"/>
      <w:marLeft w:val="0"/>
      <w:marRight w:val="0"/>
      <w:marTop w:val="0"/>
      <w:marBottom w:val="0"/>
      <w:divBdr>
        <w:top w:val="none" w:sz="0" w:space="0" w:color="auto"/>
        <w:left w:val="none" w:sz="0" w:space="0" w:color="auto"/>
        <w:bottom w:val="none" w:sz="0" w:space="0" w:color="auto"/>
        <w:right w:val="none" w:sz="0" w:space="0" w:color="auto"/>
      </w:divBdr>
    </w:div>
    <w:div w:id="1124930395">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152257013">
      <w:bodyDiv w:val="1"/>
      <w:marLeft w:val="0"/>
      <w:marRight w:val="0"/>
      <w:marTop w:val="0"/>
      <w:marBottom w:val="0"/>
      <w:divBdr>
        <w:top w:val="none" w:sz="0" w:space="0" w:color="auto"/>
        <w:left w:val="none" w:sz="0" w:space="0" w:color="auto"/>
        <w:bottom w:val="none" w:sz="0" w:space="0" w:color="auto"/>
        <w:right w:val="none" w:sz="0" w:space="0" w:color="auto"/>
      </w:divBdr>
    </w:div>
    <w:div w:id="1195776917">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25353954">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522205550">
          <w:marLeft w:val="0"/>
          <w:marRight w:val="0"/>
          <w:marTop w:val="0"/>
          <w:marBottom w:val="160"/>
          <w:divBdr>
            <w:top w:val="none" w:sz="0" w:space="0" w:color="auto"/>
            <w:left w:val="none" w:sz="0" w:space="0" w:color="auto"/>
            <w:bottom w:val="none" w:sz="0" w:space="0" w:color="auto"/>
            <w:right w:val="none" w:sz="0" w:space="0" w:color="auto"/>
          </w:divBdr>
        </w:div>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39643459">
      <w:bodyDiv w:val="1"/>
      <w:marLeft w:val="0"/>
      <w:marRight w:val="0"/>
      <w:marTop w:val="0"/>
      <w:marBottom w:val="0"/>
      <w:divBdr>
        <w:top w:val="none" w:sz="0" w:space="0" w:color="auto"/>
        <w:left w:val="none" w:sz="0" w:space="0" w:color="auto"/>
        <w:bottom w:val="none" w:sz="0" w:space="0" w:color="auto"/>
        <w:right w:val="none" w:sz="0" w:space="0" w:color="auto"/>
      </w:divBdr>
    </w:div>
    <w:div w:id="1444691453">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478457599">
      <w:bodyDiv w:val="1"/>
      <w:marLeft w:val="0"/>
      <w:marRight w:val="0"/>
      <w:marTop w:val="0"/>
      <w:marBottom w:val="0"/>
      <w:divBdr>
        <w:top w:val="none" w:sz="0" w:space="0" w:color="auto"/>
        <w:left w:val="none" w:sz="0" w:space="0" w:color="auto"/>
        <w:bottom w:val="none" w:sz="0" w:space="0" w:color="auto"/>
        <w:right w:val="none" w:sz="0" w:space="0" w:color="auto"/>
      </w:divBdr>
    </w:div>
    <w:div w:id="1549956869">
      <w:bodyDiv w:val="1"/>
      <w:marLeft w:val="0"/>
      <w:marRight w:val="0"/>
      <w:marTop w:val="0"/>
      <w:marBottom w:val="0"/>
      <w:divBdr>
        <w:top w:val="none" w:sz="0" w:space="0" w:color="auto"/>
        <w:left w:val="none" w:sz="0" w:space="0" w:color="auto"/>
        <w:bottom w:val="none" w:sz="0" w:space="0" w:color="auto"/>
        <w:right w:val="none" w:sz="0" w:space="0" w:color="auto"/>
      </w:divBdr>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179394306">
          <w:marLeft w:val="0"/>
          <w:marRight w:val="0"/>
          <w:marTop w:val="0"/>
          <w:marBottom w:val="160"/>
          <w:divBdr>
            <w:top w:val="none" w:sz="0" w:space="0" w:color="auto"/>
            <w:left w:val="none" w:sz="0" w:space="0" w:color="auto"/>
            <w:bottom w:val="none" w:sz="0" w:space="0" w:color="auto"/>
            <w:right w:val="none" w:sz="0" w:space="0" w:color="auto"/>
          </w:divBdr>
        </w:div>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sChild>
    </w:div>
    <w:div w:id="1677802067">
      <w:bodyDiv w:val="1"/>
      <w:marLeft w:val="0"/>
      <w:marRight w:val="0"/>
      <w:marTop w:val="0"/>
      <w:marBottom w:val="0"/>
      <w:divBdr>
        <w:top w:val="none" w:sz="0" w:space="0" w:color="auto"/>
        <w:left w:val="none" w:sz="0" w:space="0" w:color="auto"/>
        <w:bottom w:val="none" w:sz="0" w:space="0" w:color="auto"/>
        <w:right w:val="none" w:sz="0" w:space="0" w:color="auto"/>
      </w:divBdr>
    </w:div>
    <w:div w:id="1739789570">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mailto:rossana.guerrero@fps.gov.co"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41219D62-5A92-4584-BBA5-68D312610FA7}"/>
</file>

<file path=customXml/itemProps3.xml><?xml version="1.0" encoding="utf-8"?>
<ds:datastoreItem xmlns:ds="http://schemas.openxmlformats.org/officeDocument/2006/customXml" ds:itemID="{F14DC2A3-F789-4288-B9A0-FB5E85562223}">
  <ds:schemaRefs>
    <ds:schemaRef ds:uri="http://schemas.openxmlformats.org/officeDocument/2006/bibliography"/>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Pages>
  <Words>4950</Words>
  <Characters>27228</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ANCP</cp:lastModifiedBy>
  <cp:revision>5</cp:revision>
  <cp:lastPrinted>2023-01-10T21:18:00Z</cp:lastPrinted>
  <dcterms:created xsi:type="dcterms:W3CDTF">2026-03-02T14:09:00Z</dcterms:created>
  <dcterms:modified xsi:type="dcterms:W3CDTF">2026-03-02T14:13:00Z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