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DA15" w14:textId="77777777" w:rsidR="00076405" w:rsidRPr="00AF1555" w:rsidRDefault="00076405" w:rsidP="00076405">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RÉGIMEN DE INHABILIDADES E INCOMPATIBILIDADES</w:t>
      </w:r>
      <w:r w:rsidRPr="00E95799">
        <w:rPr>
          <w:rFonts w:ascii="Verdana" w:eastAsia="Calibri" w:hAnsi="Verdana" w:cs="Arial"/>
          <w:b/>
          <w:color w:val="000000" w:themeColor="text1"/>
          <w:lang w:val="es-ES"/>
        </w:rPr>
        <w:t xml:space="preserve"> – Definición – </w:t>
      </w:r>
      <w:r>
        <w:rPr>
          <w:rFonts w:ascii="Verdana" w:eastAsia="Calibri" w:hAnsi="Verdana" w:cs="Arial"/>
          <w:b/>
          <w:color w:val="000000" w:themeColor="text1"/>
          <w:lang w:val="es-ES"/>
        </w:rPr>
        <w:t>Taxatividad – Interpretación restrictiva</w:t>
      </w:r>
      <w:r w:rsidRPr="00AF1555">
        <w:rPr>
          <w:rFonts w:ascii="Verdana" w:eastAsia="Calibri" w:hAnsi="Verdana" w:cs="Arial"/>
          <w:b/>
          <w:color w:val="000000" w:themeColor="text1"/>
          <w:lang w:val="es-ES"/>
        </w:rPr>
        <w:t xml:space="preserve"> </w:t>
      </w:r>
    </w:p>
    <w:p w14:paraId="74AE20FB" w14:textId="77777777" w:rsidR="00076405" w:rsidRPr="00AF1555" w:rsidRDefault="00076405" w:rsidP="00076405">
      <w:pPr>
        <w:spacing w:after="0" w:line="240" w:lineRule="auto"/>
        <w:jc w:val="both"/>
        <w:rPr>
          <w:rFonts w:ascii="Verdana" w:eastAsia="Calibri" w:hAnsi="Verdana" w:cs="Arial"/>
          <w:bCs/>
          <w:color w:val="000000" w:themeColor="text1"/>
          <w:sz w:val="20"/>
          <w:szCs w:val="20"/>
          <w:lang w:val="es-ES"/>
        </w:rPr>
      </w:pPr>
    </w:p>
    <w:p w14:paraId="573436B7" w14:textId="77777777" w:rsidR="00076405" w:rsidRDefault="00076405" w:rsidP="00076405">
      <w:pPr>
        <w:spacing w:after="0" w:line="240" w:lineRule="auto"/>
        <w:jc w:val="both"/>
        <w:rPr>
          <w:rFonts w:ascii="Verdana" w:eastAsia="Calibri" w:hAnsi="Verdana" w:cs="Arial"/>
          <w:color w:val="000000" w:themeColor="text1"/>
          <w:sz w:val="20"/>
          <w:szCs w:val="20"/>
          <w:lang w:eastAsia="es-ES_tradnl"/>
        </w:rPr>
      </w:pPr>
      <w:r w:rsidRPr="00960035">
        <w:rPr>
          <w:rFonts w:ascii="Verdana" w:eastAsia="Calibri" w:hAnsi="Verdana" w:cs="Arial"/>
          <w:color w:val="000000" w:themeColor="text1"/>
          <w:sz w:val="20"/>
          <w:szCs w:val="20"/>
          <w:lang w:eastAsia="es-ES_tradnl"/>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960035">
        <w:rPr>
          <w:rFonts w:ascii="Verdana" w:eastAsia="Calibri" w:hAnsi="Verdana" w:cs="Arial"/>
          <w:color w:val="000000" w:themeColor="text1"/>
          <w:sz w:val="20"/>
          <w:szCs w:val="20"/>
          <w:lang w:val="es-ES_tradnl" w:eastAsia="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960035">
        <w:rPr>
          <w:rFonts w:ascii="Verdana" w:eastAsia="Calibri" w:hAnsi="Verdana" w:cs="Arial"/>
          <w:color w:val="000000" w:themeColor="text1"/>
          <w:sz w:val="20"/>
          <w:szCs w:val="20"/>
          <w:lang w:eastAsia="es-ES_tradnl"/>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0923FC4D" w14:textId="77777777" w:rsidR="00076405" w:rsidRPr="00960035" w:rsidRDefault="00076405" w:rsidP="00076405">
      <w:pPr>
        <w:spacing w:after="0" w:line="240" w:lineRule="auto"/>
        <w:jc w:val="both"/>
        <w:rPr>
          <w:rFonts w:ascii="Verdana" w:eastAsia="Calibri" w:hAnsi="Verdana" w:cs="Arial"/>
          <w:color w:val="000000" w:themeColor="text1"/>
          <w:sz w:val="20"/>
          <w:szCs w:val="20"/>
          <w:lang w:eastAsia="es-ES_tradnl"/>
        </w:rPr>
      </w:pPr>
    </w:p>
    <w:p w14:paraId="4492C614" w14:textId="77777777" w:rsidR="00076405" w:rsidRDefault="00076405" w:rsidP="00076405">
      <w:pPr>
        <w:spacing w:after="0" w:line="240" w:lineRule="auto"/>
        <w:jc w:val="both"/>
        <w:rPr>
          <w:rFonts w:ascii="Verdana" w:eastAsia="Calibri" w:hAnsi="Verdana" w:cs="Arial"/>
          <w:color w:val="000000" w:themeColor="text1"/>
          <w:sz w:val="20"/>
          <w:szCs w:val="20"/>
          <w:lang w:val="es-ES_tradnl" w:eastAsia="es-ES_tradnl"/>
        </w:rPr>
      </w:pPr>
      <w:r w:rsidRPr="00960035">
        <w:rPr>
          <w:rFonts w:ascii="Verdana" w:eastAsia="Calibri" w:hAnsi="Verdana" w:cs="Arial"/>
          <w:color w:val="000000" w:themeColor="text1"/>
          <w:sz w:val="20"/>
          <w:szCs w:val="20"/>
          <w:lang w:val="es-ES_tradnl" w:eastAsia="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960035">
        <w:rPr>
          <w:rFonts w:ascii="Verdana" w:eastAsia="Calibri" w:hAnsi="Verdana" w:cs="Arial"/>
          <w:i/>
          <w:iCs/>
          <w:color w:val="000000" w:themeColor="text1"/>
          <w:sz w:val="20"/>
          <w:szCs w:val="20"/>
          <w:lang w:val="es-ES_tradnl" w:eastAsia="es-ES_tradnl"/>
        </w:rPr>
        <w:t>restrictiva</w:t>
      </w:r>
      <w:r w:rsidRPr="00960035">
        <w:rPr>
          <w:rFonts w:ascii="Verdana" w:eastAsia="Calibri" w:hAnsi="Verdana" w:cs="Arial"/>
          <w:color w:val="000000" w:themeColor="text1"/>
          <w:sz w:val="20"/>
          <w:szCs w:val="20"/>
          <w:lang w:val="es-ES_tradnl" w:eastAsia="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Pr>
          <w:rFonts w:ascii="Verdana" w:eastAsia="Calibri" w:hAnsi="Verdana" w:cs="Arial"/>
          <w:color w:val="000000" w:themeColor="text1"/>
          <w:sz w:val="20"/>
          <w:szCs w:val="20"/>
          <w:lang w:val="es-ES_tradnl" w:eastAsia="es-ES_tradnl"/>
        </w:rPr>
        <w:t>.</w:t>
      </w:r>
    </w:p>
    <w:p w14:paraId="4DC5B845" w14:textId="77777777" w:rsidR="00076405" w:rsidRDefault="00076405" w:rsidP="00076405">
      <w:pPr>
        <w:spacing w:after="0" w:line="240" w:lineRule="auto"/>
        <w:jc w:val="both"/>
        <w:rPr>
          <w:rFonts w:ascii="Verdana" w:eastAsia="Calibri" w:hAnsi="Verdana" w:cs="Arial"/>
          <w:color w:val="000000" w:themeColor="text1"/>
          <w:sz w:val="20"/>
          <w:szCs w:val="20"/>
          <w:lang w:val="es-ES_tradnl" w:eastAsia="es-ES_tradnl"/>
        </w:rPr>
      </w:pPr>
    </w:p>
    <w:p w14:paraId="353B0217" w14:textId="77777777" w:rsidR="00076405" w:rsidRPr="00B8073D" w:rsidRDefault="00076405" w:rsidP="00076405">
      <w:pPr>
        <w:spacing w:after="0" w:line="240" w:lineRule="auto"/>
        <w:jc w:val="both"/>
        <w:rPr>
          <w:rFonts w:ascii="Verdana" w:eastAsia="Calibri" w:hAnsi="Verdana" w:cs="Arial"/>
          <w:b/>
          <w:bCs/>
          <w:color w:val="000000" w:themeColor="text1"/>
          <w:lang w:val="es-ES"/>
        </w:rPr>
      </w:pPr>
      <w:r w:rsidRPr="0090232F">
        <w:rPr>
          <w:rFonts w:ascii="Verdana" w:hAnsi="Verdana" w:cs="Arial"/>
          <w:b/>
          <w:lang w:val="es-ES_tradnl"/>
        </w:rPr>
        <w:t xml:space="preserve">INHABILIDAD </w:t>
      </w:r>
      <w:r w:rsidRPr="0090232F">
        <w:rPr>
          <w:rFonts w:ascii="Verdana" w:hAnsi="Verdana" w:cs="Arial"/>
          <w:b/>
        </w:rPr>
        <w:t>E INCOMPATIBILIDAD</w:t>
      </w:r>
      <w:r w:rsidRPr="00B8073D">
        <w:rPr>
          <w:rFonts w:ascii="Verdana" w:eastAsia="Calibri" w:hAnsi="Verdana" w:cs="Arial"/>
          <w:b/>
          <w:bCs/>
          <w:color w:val="000000" w:themeColor="text1"/>
          <w:lang w:val="es-ES"/>
        </w:rPr>
        <w:t xml:space="preserve"> –Responsabilidad fiscal – </w:t>
      </w:r>
      <w:r w:rsidRPr="00B8073D">
        <w:rPr>
          <w:rFonts w:ascii="Verdana" w:hAnsi="Verdana"/>
          <w:b/>
          <w:bCs/>
        </w:rPr>
        <w:t>Boletín de responsables fiscales</w:t>
      </w:r>
      <w:r w:rsidRPr="00B8073D">
        <w:rPr>
          <w:rFonts w:ascii="Verdana" w:eastAsia="Calibri" w:hAnsi="Verdana" w:cs="Arial"/>
          <w:b/>
          <w:bCs/>
          <w:color w:val="000000" w:themeColor="text1"/>
          <w:lang w:val="es-ES"/>
        </w:rPr>
        <w:t xml:space="preserve"> - Ley 610 de 2000</w:t>
      </w:r>
    </w:p>
    <w:p w14:paraId="33CBE9B9" w14:textId="77777777" w:rsidR="00076405" w:rsidRPr="00E221B1" w:rsidRDefault="00076405" w:rsidP="00076405">
      <w:pPr>
        <w:spacing w:after="0" w:line="240" w:lineRule="auto"/>
        <w:jc w:val="both"/>
        <w:rPr>
          <w:rFonts w:ascii="Verdana" w:eastAsia="Calibri" w:hAnsi="Verdana" w:cs="Arial"/>
          <w:color w:val="000000" w:themeColor="text1"/>
          <w:sz w:val="20"/>
          <w:szCs w:val="20"/>
          <w:lang w:val="es-ES"/>
        </w:rPr>
      </w:pPr>
    </w:p>
    <w:p w14:paraId="30D22EFB" w14:textId="77777777" w:rsidR="00076405" w:rsidRPr="00E221B1" w:rsidRDefault="00076405" w:rsidP="00076405">
      <w:pPr>
        <w:spacing w:after="0" w:line="240" w:lineRule="auto"/>
        <w:jc w:val="both"/>
        <w:rPr>
          <w:rFonts w:ascii="Verdana" w:eastAsia="Calibri" w:hAnsi="Verdana" w:cs="Arial"/>
          <w:sz w:val="20"/>
          <w:szCs w:val="20"/>
          <w:lang w:val="es-ES"/>
        </w:rPr>
      </w:pPr>
      <w:r>
        <w:rPr>
          <w:rFonts w:ascii="Verdana" w:hAnsi="Verdana"/>
          <w:sz w:val="20"/>
          <w:szCs w:val="20"/>
          <w:lang w:val="es-ES"/>
        </w:rPr>
        <w:t xml:space="preserve">[…] </w:t>
      </w:r>
      <w:r w:rsidRPr="00E221B1">
        <w:rPr>
          <w:rFonts w:ascii="Verdana" w:hAnsi="Verdana"/>
          <w:sz w:val="20"/>
          <w:szCs w:val="20"/>
        </w:rPr>
        <w:t xml:space="preserve">la declaratoria de responsabilidad fiscal reportada en el Boletín de Responsables Fiscales –SIBOR– causa una inhabilidad para celebrar contratos con el Estado. Lo anterior, con fundamento en el </w:t>
      </w:r>
      <w:r w:rsidRPr="00E221B1">
        <w:rPr>
          <w:rFonts w:ascii="Verdana" w:eastAsia="Verdana" w:hAnsi="Verdana" w:cs="Verdana"/>
          <w:sz w:val="20"/>
          <w:szCs w:val="20"/>
        </w:rPr>
        <w:t xml:space="preserve">artículo 60 de la Ley 610 de 2000 donde se indica que, </w:t>
      </w:r>
      <w:r w:rsidRPr="00E221B1">
        <w:rPr>
          <w:rFonts w:ascii="Verdana" w:eastAsia="Calibri" w:hAnsi="Verdana" w:cs="Arial"/>
          <w:sz w:val="20"/>
          <w:szCs w:val="20"/>
          <w:lang w:val="es-ES"/>
        </w:rPr>
        <w:t>“La Contraloría General de la República publicará con periodicidad trimestral un boletín que contendrá los nombres de las personas naturales o jurídicas a quienes se les haya dictado fallo con responsabilidad fiscal en firme y ejecutoriado y no hayan satisfecho la obligación contenida en él”, este artículo, también hace mención en que  “Los representantes legales, así como los nominadores y demás funcionarios competentes, deberán abstenerse de nombrar, dar posesión o celebrar cualquier tipo de contrato con quienes aparezcan en el boletín de responsables”.</w:t>
      </w:r>
    </w:p>
    <w:p w14:paraId="0A6125AF" w14:textId="77777777" w:rsidR="00076405" w:rsidRDefault="00076405" w:rsidP="00076405">
      <w:pPr>
        <w:spacing w:after="0"/>
        <w:jc w:val="both"/>
        <w:rPr>
          <w:rFonts w:ascii="Verdana" w:hAnsi="Verdana"/>
          <w:b/>
          <w:bCs/>
          <w:color w:val="FFC000" w:themeColor="accent4"/>
          <w:lang w:val="es-MX"/>
        </w:rPr>
      </w:pPr>
    </w:p>
    <w:p w14:paraId="4BEF5D86" w14:textId="77777777" w:rsidR="00076405" w:rsidRDefault="00076405" w:rsidP="00076405">
      <w:pPr>
        <w:spacing w:after="0" w:line="240" w:lineRule="auto"/>
        <w:jc w:val="both"/>
        <w:rPr>
          <w:rFonts w:ascii="Verdana" w:hAnsi="Verdana" w:cs="Arial"/>
          <w:b/>
        </w:rPr>
      </w:pPr>
      <w:r w:rsidRPr="0090232F">
        <w:rPr>
          <w:rFonts w:ascii="Verdana" w:hAnsi="Verdana" w:cs="Arial"/>
          <w:b/>
        </w:rPr>
        <w:t xml:space="preserve">INHABILIDADES E INCOMPATIBILIDADES – Ley 80 de 1993 – </w:t>
      </w:r>
      <w:r>
        <w:rPr>
          <w:rFonts w:ascii="Verdana" w:hAnsi="Verdana" w:cs="Arial"/>
          <w:b/>
        </w:rPr>
        <w:t>Artículo 8,</w:t>
      </w:r>
      <w:r w:rsidRPr="0090232F">
        <w:rPr>
          <w:rFonts w:ascii="Verdana" w:hAnsi="Verdana" w:cs="Arial"/>
          <w:b/>
        </w:rPr>
        <w:t xml:space="preserve"> literal </w:t>
      </w:r>
      <w:r>
        <w:rPr>
          <w:rFonts w:ascii="Verdana" w:hAnsi="Verdana" w:cs="Arial"/>
          <w:b/>
        </w:rPr>
        <w:t>d</w:t>
      </w:r>
      <w:r w:rsidRPr="0090232F">
        <w:rPr>
          <w:rFonts w:ascii="Verdana" w:hAnsi="Verdana" w:cs="Arial"/>
          <w:b/>
        </w:rPr>
        <w:t xml:space="preserve">) – </w:t>
      </w:r>
      <w:r>
        <w:rPr>
          <w:rFonts w:ascii="Verdana" w:hAnsi="Verdana" w:cs="Arial"/>
          <w:b/>
        </w:rPr>
        <w:t>Sentencia judicial – Sanción disciplinaria</w:t>
      </w:r>
    </w:p>
    <w:p w14:paraId="38E3CB4D" w14:textId="77777777" w:rsidR="00076405" w:rsidRPr="00F43EF9" w:rsidRDefault="00076405" w:rsidP="00076405">
      <w:pPr>
        <w:spacing w:after="0"/>
        <w:jc w:val="both"/>
        <w:rPr>
          <w:rFonts w:ascii="Verdana" w:hAnsi="Verdana"/>
          <w:b/>
          <w:bCs/>
          <w:color w:val="FFC000" w:themeColor="accent4"/>
        </w:rPr>
      </w:pPr>
    </w:p>
    <w:p w14:paraId="15FB18D9" w14:textId="77777777" w:rsidR="00076405" w:rsidRPr="006C49DF" w:rsidRDefault="00076405" w:rsidP="00076405">
      <w:pPr>
        <w:spacing w:after="120" w:line="240" w:lineRule="auto"/>
        <w:jc w:val="both"/>
        <w:rPr>
          <w:rFonts w:ascii="Verdana" w:eastAsia="Verdana" w:hAnsi="Verdana" w:cs="Verdana"/>
          <w:sz w:val="20"/>
          <w:szCs w:val="20"/>
          <w:lang w:val="es-ES"/>
        </w:rPr>
      </w:pPr>
      <w:r w:rsidRPr="006C49DF">
        <w:rPr>
          <w:rFonts w:ascii="Verdana" w:eastAsia="Verdana" w:hAnsi="Verdana" w:cs="Verdana"/>
          <w:sz w:val="20"/>
          <w:szCs w:val="20"/>
          <w:lang w:val="es-ES"/>
        </w:rPr>
        <w:lastRenderedPageBreak/>
        <w:t>La incompatibilidad señalada en el literal d) 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5CF5086F" w14:textId="77777777" w:rsidR="00076405" w:rsidRPr="006C49DF" w:rsidRDefault="00076405" w:rsidP="00076405">
      <w:pPr>
        <w:spacing w:after="120" w:line="240" w:lineRule="auto"/>
        <w:jc w:val="both"/>
        <w:rPr>
          <w:rFonts w:ascii="Verdana" w:eastAsia="Verdana" w:hAnsi="Verdana" w:cs="Verdana"/>
          <w:sz w:val="20"/>
          <w:szCs w:val="20"/>
        </w:rPr>
      </w:pPr>
      <w:r w:rsidRPr="006C49DF">
        <w:rPr>
          <w:rFonts w:ascii="Verdana" w:eastAsia="Verdana" w:hAnsi="Verdana" w:cs="Verdana"/>
          <w:sz w:val="20"/>
          <w:szCs w:val="20"/>
          <w:lang w:val="es-ES"/>
        </w:rPr>
        <w:t xml:space="preserve">Ahora bien, en lo que concierne al numeral d) el mismo artículo precisa que, estas inhabilidades se </w:t>
      </w:r>
      <w:r w:rsidRPr="006C49DF">
        <w:rPr>
          <w:rFonts w:ascii="Verdana" w:eastAsia="Verdana" w:hAnsi="Verdana" w:cs="Verdana"/>
          <w:sz w:val="20"/>
          <w:szCs w:val="20"/>
        </w:rPr>
        <w:t xml:space="preserve">extenderán por un término de cinco (5) años, contados a partir de la fecha de ejecutoria del acto administrativo que declaró la caducidad de la sentencia judicial que impuso la pena o del acto que dispuso la destitución, según corresponda. Esta limitación evidencia que la inhabilidad no tiene un carácter permanente, sino que responde a un criterio de proporcionalidad, permitiendo que, una vez transcurrido el término legal, la persona recupere su capacidad para contratar con el Estado. </w:t>
      </w:r>
    </w:p>
    <w:p w14:paraId="3F516EBA" w14:textId="77777777" w:rsidR="00076405" w:rsidRDefault="00076405" w:rsidP="00076405">
      <w:pPr>
        <w:spacing w:after="0"/>
        <w:jc w:val="both"/>
        <w:rPr>
          <w:rFonts w:ascii="Verdana" w:hAnsi="Verdana"/>
          <w:b/>
          <w:bCs/>
          <w:color w:val="FFC000" w:themeColor="accent4"/>
          <w:lang w:val="es-MX"/>
        </w:rPr>
      </w:pPr>
    </w:p>
    <w:p w14:paraId="3211BEB2" w14:textId="77777777" w:rsidR="00076405" w:rsidRDefault="00076405" w:rsidP="00076405">
      <w:pPr>
        <w:spacing w:after="0" w:line="240" w:lineRule="auto"/>
        <w:jc w:val="both"/>
        <w:rPr>
          <w:rFonts w:ascii="Verdana" w:hAnsi="Verdana" w:cs="Arial"/>
          <w:b/>
        </w:rPr>
      </w:pPr>
      <w:r w:rsidRPr="0090232F">
        <w:rPr>
          <w:rFonts w:ascii="Verdana" w:hAnsi="Verdana" w:cs="Arial"/>
          <w:b/>
        </w:rPr>
        <w:t xml:space="preserve">INHABILIDADES E INCOMPATIBILIDADES – Ley 80 de 1993 – </w:t>
      </w:r>
      <w:r>
        <w:rPr>
          <w:rFonts w:ascii="Verdana" w:hAnsi="Verdana" w:cs="Arial"/>
          <w:b/>
        </w:rPr>
        <w:t>Artículo 8,</w:t>
      </w:r>
      <w:r w:rsidRPr="0090232F">
        <w:rPr>
          <w:rFonts w:ascii="Verdana" w:hAnsi="Verdana" w:cs="Arial"/>
          <w:b/>
        </w:rPr>
        <w:t xml:space="preserve"> literal </w:t>
      </w:r>
      <w:r>
        <w:rPr>
          <w:rFonts w:ascii="Verdana" w:hAnsi="Verdana" w:cs="Arial"/>
          <w:b/>
        </w:rPr>
        <w:t>j</w:t>
      </w:r>
      <w:r w:rsidRPr="0090232F">
        <w:rPr>
          <w:rFonts w:ascii="Verdana" w:hAnsi="Verdana" w:cs="Arial"/>
          <w:b/>
        </w:rPr>
        <w:t xml:space="preserve">) – </w:t>
      </w:r>
      <w:r>
        <w:rPr>
          <w:rFonts w:ascii="Verdana" w:hAnsi="Verdana" w:cs="Arial"/>
          <w:b/>
        </w:rPr>
        <w:t>Delitos contra la administración pública</w:t>
      </w:r>
    </w:p>
    <w:p w14:paraId="6DCD866E" w14:textId="77777777" w:rsidR="00076405" w:rsidRPr="008D1ABA" w:rsidRDefault="00076405" w:rsidP="00076405">
      <w:pPr>
        <w:spacing w:after="0"/>
        <w:jc w:val="both"/>
        <w:rPr>
          <w:rFonts w:ascii="Verdana" w:hAnsi="Verdana"/>
          <w:b/>
          <w:bCs/>
          <w:color w:val="FFC000" w:themeColor="accent4"/>
        </w:rPr>
      </w:pPr>
    </w:p>
    <w:p w14:paraId="00AB2D04" w14:textId="77777777" w:rsidR="00076405" w:rsidRDefault="00076405" w:rsidP="00076405">
      <w:pPr>
        <w:spacing w:after="120" w:line="240" w:lineRule="auto"/>
        <w:jc w:val="both"/>
        <w:rPr>
          <w:rFonts w:ascii="Verdana" w:eastAsia="Verdana" w:hAnsi="Verdana" w:cs="Verdana"/>
          <w:sz w:val="20"/>
          <w:szCs w:val="20"/>
        </w:rPr>
      </w:pPr>
      <w:r w:rsidRPr="008D1ABA">
        <w:rPr>
          <w:rFonts w:ascii="Verdana" w:eastAsia="Verdana" w:hAnsi="Verdana" w:cs="Verdana"/>
          <w:sz w:val="20"/>
          <w:szCs w:val="20"/>
        </w:rPr>
        <w:t xml:space="preserve">Acerca de la inhabilidad que versa el numeral j) de este artículo, este fue, adicionado por la Ley 1150 de 2007, esta disposición declara inhábiles para contratar con el Estado a las personas naturales que hayan sido declaradas responsables judicialmente por la comisión de delitos contra la Administración Pública, así como por cualquiera de los delitos o faltas contemplados en la Ley 1474 de 2011 y sus normas modificatorias, y por las conductas delictivas previstas en convenciones o tratados internacionales de lucha contra la corrupción suscritos y ratificados por Colombia. De igual manera, esta inhabilidad se extiende más allá de la persona directamente responsable, al comprender también a las sociedades en las que estas personas participen en calidad de administradores, representantes legales, miembros de junta directiva o socios controlantes, se extiende a sus matrices, subordinadas, grupos empresariales cuando la conducta delictiva haya sido parte de una política del grupo, y a las sucursales de sociedades extranjeras, con excepción de las sociedades anónimas abiertas. </w:t>
      </w:r>
    </w:p>
    <w:p w14:paraId="41EA9A17" w14:textId="77777777" w:rsidR="00076405" w:rsidRPr="008D1ABA" w:rsidRDefault="00076405" w:rsidP="00076405">
      <w:pPr>
        <w:spacing w:after="120" w:line="240" w:lineRule="auto"/>
        <w:jc w:val="both"/>
        <w:rPr>
          <w:rFonts w:ascii="Verdana" w:eastAsia="Verdana" w:hAnsi="Verdana" w:cs="Verdana"/>
          <w:sz w:val="20"/>
          <w:szCs w:val="20"/>
        </w:rPr>
      </w:pPr>
    </w:p>
    <w:p w14:paraId="60264191" w14:textId="77777777" w:rsidR="00076405" w:rsidRDefault="00076405" w:rsidP="00076405">
      <w:pPr>
        <w:jc w:val="both"/>
        <w:rPr>
          <w:rFonts w:ascii="Verdana" w:hAnsi="Verdana" w:cs="Arial"/>
          <w:b/>
          <w:bCs/>
          <w:lang w:val="es-MX"/>
        </w:rPr>
      </w:pPr>
      <w:r w:rsidRPr="0090232F">
        <w:rPr>
          <w:rFonts w:ascii="Verdana" w:hAnsi="Verdana" w:cs="Arial"/>
          <w:b/>
          <w:lang w:val="es-ES_tradnl"/>
        </w:rPr>
        <w:t xml:space="preserve">INHABILIDAD </w:t>
      </w:r>
      <w:r w:rsidRPr="0090232F">
        <w:rPr>
          <w:rFonts w:ascii="Verdana" w:hAnsi="Verdana" w:cs="Arial"/>
          <w:b/>
        </w:rPr>
        <w:t>E INCOMPATIBILIDAD</w:t>
      </w:r>
      <w:r w:rsidRPr="0021640A">
        <w:rPr>
          <w:rFonts w:ascii="Verdana" w:hAnsi="Verdana" w:cs="Arial"/>
          <w:b/>
          <w:bCs/>
          <w:lang w:val="es-MX"/>
        </w:rPr>
        <w:t xml:space="preserve"> – Delitos sexuales contra menores - Deber de verificación</w:t>
      </w:r>
    </w:p>
    <w:p w14:paraId="36AE3B7B" w14:textId="77777777" w:rsidR="00076405" w:rsidRPr="00E221B1" w:rsidRDefault="00076405" w:rsidP="00076405">
      <w:pPr>
        <w:jc w:val="both"/>
        <w:rPr>
          <w:rFonts w:ascii="Verdana" w:hAnsi="Verdana" w:cs="Arial"/>
          <w:b/>
          <w:bCs/>
          <w:color w:val="000000" w:themeColor="text1"/>
          <w:sz w:val="20"/>
          <w:szCs w:val="20"/>
          <w:lang w:val="es-ES_tradnl"/>
        </w:rPr>
      </w:pPr>
      <w:r w:rsidRPr="00E221B1">
        <w:rPr>
          <w:rFonts w:ascii="Verdana" w:eastAsia="Verdana" w:hAnsi="Verdana" w:cs="Verdana"/>
          <w:sz w:val="20"/>
          <w:szCs w:val="20"/>
          <w:lang w:val="es-ES"/>
        </w:rPr>
        <w:t>Por otro lado, la</w:t>
      </w:r>
      <w:r w:rsidRPr="00E221B1">
        <w:rPr>
          <w:rFonts w:ascii="Verdana" w:eastAsia="Calibri" w:hAnsi="Verdana" w:cs="Arial"/>
          <w:bCs/>
          <w:sz w:val="20"/>
          <w:szCs w:val="20"/>
        </w:rPr>
        <w:t xml:space="preserve"> Ley 1918 de 2018 en su artículo 4, la norma establece que las entidades públicas y privadas deberán verificar, previa autorización del aspirante, que este no se encuentre inscrito en el Registro de Inhabilidades por delitos sexuales cometidos contra menores de edad, como requisito previo a su vinculación en empleos o contratos que impliquen contacto directo y habitual con menores. Dicha verificación deberá realizarse con una periodicidad mínima de cada cuatro (4) meses durante la vigencia de la relación laboral o contractual. El incumplimiento de esta obligación por parte de un servidor público, que conlleve la contratación de una persona inhabilitada, constituye falta disciplinaria gravísima.</w:t>
      </w:r>
      <w:r w:rsidRPr="00E221B1">
        <w:rPr>
          <w:rFonts w:ascii="Verdana" w:eastAsia="Calibri" w:hAnsi="Verdana" w:cs="Arial"/>
          <w:bCs/>
          <w:color w:val="EE0000"/>
          <w:sz w:val="20"/>
          <w:szCs w:val="20"/>
        </w:rPr>
        <w:t xml:space="preserve"> </w:t>
      </w:r>
      <w:r w:rsidRPr="00E221B1">
        <w:rPr>
          <w:rFonts w:ascii="Verdana" w:eastAsia="Calibri" w:hAnsi="Verdana" w:cs="Arial"/>
          <w:bCs/>
          <w:sz w:val="20"/>
          <w:szCs w:val="20"/>
        </w:rPr>
        <w:t xml:space="preserve">Es importante, tener en cuenta que el uso del registro debe </w:t>
      </w:r>
      <w:r w:rsidRPr="00E221B1">
        <w:rPr>
          <w:rFonts w:ascii="Verdana" w:eastAsia="Calibri" w:hAnsi="Verdana" w:cs="Arial"/>
          <w:bCs/>
          <w:sz w:val="20"/>
          <w:szCs w:val="20"/>
        </w:rPr>
        <w:lastRenderedPageBreak/>
        <w:t>cumplir con la Ley de Protección de Datos Personales -Ley 1581 de 2012-, bajo supervisión de la Superintendencia de Industria y Comercio. Esto, sin perjuicio del manejo y custodia del expediente contractual frente a este documento, así como los demás que tengan el carácter de reservado.</w:t>
      </w:r>
    </w:p>
    <w:p w14:paraId="552CB56C" w14:textId="77777777" w:rsidR="00076405" w:rsidRDefault="00076405" w:rsidP="00076405">
      <w:pPr>
        <w:spacing w:after="0"/>
        <w:jc w:val="both"/>
        <w:rPr>
          <w:rFonts w:ascii="Verdana" w:eastAsia="Calibri" w:hAnsi="Verdana" w:cs="Arial"/>
          <w:bCs/>
        </w:rPr>
      </w:pPr>
    </w:p>
    <w:p w14:paraId="2F38E4F9" w14:textId="77777777" w:rsidR="00076405" w:rsidRPr="00580021" w:rsidRDefault="00076405" w:rsidP="00076405">
      <w:pPr>
        <w:jc w:val="both"/>
        <w:rPr>
          <w:rFonts w:ascii="Verdana" w:hAnsi="Verdana" w:cs="Arial"/>
          <w:b/>
          <w:bCs/>
          <w:lang w:val="es-MX"/>
        </w:rPr>
      </w:pPr>
      <w:r w:rsidRPr="0090232F">
        <w:rPr>
          <w:rFonts w:ascii="Verdana" w:hAnsi="Verdana" w:cs="Arial"/>
          <w:b/>
          <w:lang w:val="es-ES_tradnl"/>
        </w:rPr>
        <w:t xml:space="preserve">INHABILIDAD </w:t>
      </w:r>
      <w:r w:rsidRPr="0090232F">
        <w:rPr>
          <w:rFonts w:ascii="Verdana" w:hAnsi="Verdana" w:cs="Arial"/>
          <w:b/>
        </w:rPr>
        <w:t>E INCOMPATIBILIDAD</w:t>
      </w:r>
      <w:r w:rsidRPr="0021640A">
        <w:rPr>
          <w:rFonts w:ascii="Verdana" w:hAnsi="Verdana" w:cs="Arial"/>
          <w:b/>
          <w:bCs/>
          <w:lang w:val="es-MX"/>
        </w:rPr>
        <w:t xml:space="preserve"> – </w:t>
      </w:r>
      <w:r>
        <w:rPr>
          <w:rFonts w:ascii="Verdana" w:hAnsi="Verdana" w:cs="Arial"/>
          <w:b/>
          <w:bCs/>
          <w:lang w:val="es-MX"/>
        </w:rPr>
        <w:t xml:space="preserve">REDAM - </w:t>
      </w:r>
      <w:r>
        <w:rPr>
          <w:rFonts w:ascii="Verdana" w:hAnsi="Verdana" w:cs="Arial"/>
          <w:b/>
          <w:color w:val="000000" w:themeColor="text1"/>
          <w:lang w:val="es-ES_tradnl"/>
        </w:rPr>
        <w:t>L</w:t>
      </w:r>
      <w:r w:rsidRPr="0012135D">
        <w:rPr>
          <w:rFonts w:ascii="Verdana" w:hAnsi="Verdana" w:cs="Arial"/>
          <w:b/>
          <w:color w:val="000000" w:themeColor="text1"/>
          <w:lang w:val="es-ES_tradnl"/>
        </w:rPr>
        <w:t>ey 2097 de 2021</w:t>
      </w:r>
      <w:r>
        <w:rPr>
          <w:rFonts w:ascii="Verdana" w:hAnsi="Verdana" w:cs="Arial"/>
          <w:b/>
          <w:color w:val="000000" w:themeColor="text1"/>
          <w:lang w:val="es-ES_tradnl"/>
        </w:rPr>
        <w:t>-</w:t>
      </w:r>
      <w:r w:rsidRPr="005F0EC0">
        <w:rPr>
          <w:rFonts w:ascii="Verdana" w:hAnsi="Verdana" w:cs="Arial"/>
          <w:b/>
          <w:color w:val="000000" w:themeColor="text1"/>
          <w:lang w:val="es-ES_tradnl"/>
        </w:rPr>
        <w:t xml:space="preserve"> </w:t>
      </w:r>
      <w:r w:rsidRPr="0012135D">
        <w:rPr>
          <w:rFonts w:ascii="Verdana" w:hAnsi="Verdana" w:cs="Arial"/>
          <w:b/>
          <w:color w:val="000000" w:themeColor="text1"/>
          <w:lang w:val="es-ES_tradnl"/>
        </w:rPr>
        <w:t>Ámbito de aplicación</w:t>
      </w:r>
    </w:p>
    <w:p w14:paraId="34B4FE26" w14:textId="77777777" w:rsidR="00076405" w:rsidRPr="005F0EC0" w:rsidRDefault="00076405" w:rsidP="00076405">
      <w:pPr>
        <w:spacing w:after="120" w:line="240" w:lineRule="auto"/>
        <w:jc w:val="both"/>
        <w:rPr>
          <w:rFonts w:ascii="Verdana" w:hAnsi="Verdana" w:cs="Open Sans"/>
          <w:sz w:val="20"/>
          <w:szCs w:val="20"/>
        </w:rPr>
      </w:pPr>
      <w:r>
        <w:rPr>
          <w:rFonts w:ascii="Verdana" w:eastAsia="Verdana" w:hAnsi="Verdana" w:cs="Verdana"/>
          <w:sz w:val="20"/>
          <w:szCs w:val="20"/>
          <w:lang w:val="es-MX"/>
        </w:rPr>
        <w:t xml:space="preserve">[...] </w:t>
      </w:r>
      <w:r w:rsidRPr="005F0EC0">
        <w:rPr>
          <w:rFonts w:ascii="Verdana" w:eastAsia="Verdana" w:hAnsi="Verdana" w:cs="Verdana"/>
          <w:sz w:val="20"/>
          <w:szCs w:val="20"/>
          <w:lang w:val="es-MX"/>
        </w:rPr>
        <w:t>Por su parte, l</w:t>
      </w:r>
      <w:r w:rsidRPr="005F0EC0">
        <w:rPr>
          <w:rFonts w:ascii="Verdana" w:eastAsia="Calibri" w:hAnsi="Verdana" w:cs="Arial"/>
          <w:sz w:val="20"/>
          <w:szCs w:val="20"/>
          <w:lang w:val="es-ES"/>
        </w:rPr>
        <w:t>a Ley Estatutaria 2097 de 2021 “</w:t>
      </w:r>
      <w:r w:rsidRPr="005F0EC0">
        <w:rPr>
          <w:rFonts w:ascii="Verdana" w:hAnsi="Verdana" w:cs="Open Sans"/>
          <w:sz w:val="20"/>
          <w:szCs w:val="20"/>
        </w:rPr>
        <w:t xml:space="preserve">Por medio de la cual se crea el Registro de Deudores Alimentarios Morosos (REDAM) y se dictan otras disposiciones.”, además de crear el Registro de Deudores Alimentarios Morosos – en adelante REDAM –, estableció medidas para garantizar el cumplimiento de las obligaciones alimentarias y fijó el procedimiento para inscripción en el REDAM, las funciones del mismo, el contenido y las consecuencias de la inscripción en dicho registro, así como su operación. </w:t>
      </w:r>
    </w:p>
    <w:p w14:paraId="1E86BB8B" w14:textId="77777777" w:rsidR="00076405" w:rsidRPr="005F0EC0" w:rsidRDefault="00076405" w:rsidP="00076405">
      <w:pPr>
        <w:tabs>
          <w:tab w:val="left" w:pos="0"/>
        </w:tabs>
        <w:spacing w:after="120" w:line="240" w:lineRule="auto"/>
        <w:jc w:val="both"/>
        <w:rPr>
          <w:rFonts w:ascii="Verdana" w:eastAsia="Calibri" w:hAnsi="Verdana" w:cs="Arial"/>
          <w:bCs/>
          <w:color w:val="000000" w:themeColor="text1"/>
          <w:sz w:val="20"/>
          <w:szCs w:val="20"/>
        </w:rPr>
      </w:pPr>
      <w:r w:rsidRPr="005F0EC0">
        <w:rPr>
          <w:rFonts w:ascii="Verdana" w:eastAsia="Calibri" w:hAnsi="Verdana" w:cs="Arial"/>
          <w:bCs/>
          <w:color w:val="000000" w:themeColor="text1"/>
          <w:sz w:val="20"/>
          <w:szCs w:val="20"/>
        </w:rPr>
        <w:t xml:space="preserve">Para efectos del tema de consulta, una de las consecuencias más importantes de la inclusión en el REDAM es la aparición de una inhabilidad para celebrar contratos con el Estado. Al respecto, conforme al artículo 6.1 </w:t>
      </w:r>
      <w:r w:rsidRPr="005F0EC0">
        <w:rPr>
          <w:rFonts w:ascii="Verdana" w:eastAsia="Calibri" w:hAnsi="Verdana" w:cs="Arial"/>
          <w:bCs/>
          <w:i/>
          <w:iCs/>
          <w:color w:val="000000" w:themeColor="text1"/>
          <w:sz w:val="20"/>
          <w:szCs w:val="20"/>
        </w:rPr>
        <w:t>ibidem</w:t>
      </w:r>
      <w:r w:rsidRPr="005F0EC0">
        <w:rPr>
          <w:rFonts w:ascii="Verdana" w:eastAsia="Calibri" w:hAnsi="Verdana" w:cs="Arial"/>
          <w:bCs/>
          <w:color w:val="000000" w:themeColor="text1"/>
          <w:sz w:val="20"/>
          <w:szCs w:val="20"/>
        </w:rPr>
        <w:t xml:space="preserve">,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w:t>
      </w:r>
    </w:p>
    <w:p w14:paraId="31D57EC4" w14:textId="77777777" w:rsidR="00076405" w:rsidRPr="005F0EC0" w:rsidRDefault="00076405" w:rsidP="00076405">
      <w:pPr>
        <w:tabs>
          <w:tab w:val="left" w:pos="0"/>
        </w:tabs>
        <w:spacing w:after="120" w:line="240" w:lineRule="auto"/>
        <w:jc w:val="both"/>
        <w:rPr>
          <w:rFonts w:ascii="Verdana" w:eastAsia="Calibri" w:hAnsi="Verdana" w:cs="Arial"/>
          <w:bCs/>
          <w:sz w:val="20"/>
          <w:szCs w:val="20"/>
        </w:rPr>
      </w:pPr>
      <w:r w:rsidRPr="005F0EC0">
        <w:rPr>
          <w:rFonts w:ascii="Verdana" w:eastAsia="Calibri" w:hAnsi="Verdana" w:cs="Arial"/>
          <w:bCs/>
          <w:color w:val="000000" w:themeColor="text1"/>
          <w:sz w:val="20"/>
          <w:szCs w:val="20"/>
        </w:rPr>
        <w:t xml:space="preserve">Dicha restricción se suma al catálogo del artículo 8 y siguientes de la Ley 80 de 1993, especialmente, cuando –conforme al literal a) del numeral 1– “Son inhábiles para participar en licitaciones y para celebrar contratos con las entidades estatales […] Las personas que se hallen inhabilitadas </w:t>
      </w:r>
      <w:r w:rsidRPr="005F0EC0">
        <w:rPr>
          <w:rFonts w:ascii="Verdana" w:eastAsia="Calibri" w:hAnsi="Verdana" w:cs="Arial"/>
          <w:bCs/>
          <w:sz w:val="20"/>
          <w:szCs w:val="20"/>
        </w:rPr>
        <w:t xml:space="preserve">para contratar por la Constitución y las leyes”, el cual se extiende también a las entidades de régimen exceptuado en virtud del inciso primero del artículo 13 de la Ley 1150 de 2007 y al régimen de las ESAL de acuerdo al artículo 6 del Decreto 092 de 2017. </w:t>
      </w:r>
      <w:r>
        <w:rPr>
          <w:rFonts w:ascii="Verdana" w:eastAsia="Calibri" w:hAnsi="Verdana" w:cs="Arial"/>
          <w:bCs/>
          <w:sz w:val="20"/>
          <w:szCs w:val="20"/>
        </w:rPr>
        <w:t>[…]</w:t>
      </w:r>
    </w:p>
    <w:p w14:paraId="666CF2AD" w14:textId="77777777" w:rsidR="00076405" w:rsidRDefault="00076405" w:rsidP="00076405">
      <w:pPr>
        <w:spacing w:after="0"/>
        <w:jc w:val="both"/>
        <w:rPr>
          <w:rFonts w:ascii="Verdana" w:eastAsia="Calibri" w:hAnsi="Verdana" w:cs="Arial"/>
          <w:bCs/>
        </w:rPr>
      </w:pPr>
    </w:p>
    <w:p w14:paraId="7CA6D001" w14:textId="77777777" w:rsidR="00076405" w:rsidRDefault="00076405" w:rsidP="00076405">
      <w:pPr>
        <w:spacing w:after="0"/>
        <w:jc w:val="both"/>
        <w:rPr>
          <w:rFonts w:ascii="Verdana" w:eastAsia="Calibri" w:hAnsi="Verdana" w:cs="Arial"/>
          <w:bCs/>
        </w:rPr>
      </w:pPr>
    </w:p>
    <w:p w14:paraId="2686AB8E" w14:textId="77777777" w:rsidR="00076405" w:rsidRDefault="00076405" w:rsidP="00076405">
      <w:pPr>
        <w:spacing w:after="0"/>
        <w:jc w:val="both"/>
        <w:rPr>
          <w:rFonts w:ascii="Verdana" w:eastAsia="Calibri" w:hAnsi="Verdana" w:cs="Arial"/>
          <w:bCs/>
        </w:rPr>
      </w:pPr>
    </w:p>
    <w:p w14:paraId="17701D5C" w14:textId="77777777" w:rsidR="00076405" w:rsidRPr="007C5B38" w:rsidRDefault="00076405" w:rsidP="00076405">
      <w:pPr>
        <w:spacing w:after="0"/>
        <w:jc w:val="both"/>
        <w:rPr>
          <w:rFonts w:ascii="Verdana" w:hAnsi="Verdana"/>
          <w:b/>
          <w:bCs/>
          <w:color w:val="FFC000" w:themeColor="accent4"/>
        </w:rPr>
      </w:pPr>
    </w:p>
    <w:p w14:paraId="432323CB" w14:textId="77777777" w:rsidR="00076405" w:rsidRDefault="00076405" w:rsidP="00076405">
      <w:pPr>
        <w:spacing w:after="0"/>
        <w:jc w:val="both"/>
        <w:rPr>
          <w:rFonts w:ascii="Verdana" w:hAnsi="Verdana"/>
          <w:b/>
          <w:bCs/>
          <w:color w:val="FFC000" w:themeColor="accent4"/>
          <w:lang w:val="es-MX"/>
        </w:rPr>
      </w:pPr>
    </w:p>
    <w:p w14:paraId="362106A0" w14:textId="77777777" w:rsidR="00076405" w:rsidRDefault="00076405" w:rsidP="00076405">
      <w:pPr>
        <w:spacing w:after="0"/>
        <w:jc w:val="both"/>
        <w:rPr>
          <w:rFonts w:ascii="Verdana" w:hAnsi="Verdana"/>
          <w:b/>
          <w:bCs/>
          <w:color w:val="FFC000" w:themeColor="accent4"/>
          <w:lang w:val="es-MX"/>
        </w:rPr>
      </w:pPr>
    </w:p>
    <w:p w14:paraId="2C0806D6" w14:textId="77777777" w:rsidR="00076405" w:rsidRDefault="00076405" w:rsidP="00076405">
      <w:pPr>
        <w:spacing w:after="0"/>
        <w:jc w:val="both"/>
        <w:rPr>
          <w:rFonts w:ascii="Verdana" w:hAnsi="Verdana"/>
          <w:b/>
          <w:bCs/>
          <w:color w:val="FFC000" w:themeColor="accent4"/>
          <w:lang w:val="es-MX"/>
        </w:rPr>
      </w:pPr>
    </w:p>
    <w:p w14:paraId="4AFB09FF" w14:textId="77777777" w:rsidR="00076405" w:rsidRDefault="00076405" w:rsidP="00076405">
      <w:pPr>
        <w:spacing w:after="0"/>
        <w:jc w:val="both"/>
        <w:rPr>
          <w:rFonts w:ascii="Verdana" w:hAnsi="Verdana"/>
          <w:b/>
          <w:bCs/>
          <w:color w:val="FFC000" w:themeColor="accent4"/>
          <w:lang w:val="es-MX"/>
        </w:rPr>
      </w:pPr>
    </w:p>
    <w:p w14:paraId="1BBB55B4" w14:textId="77777777" w:rsidR="00076405" w:rsidRDefault="00076405" w:rsidP="00076405">
      <w:pPr>
        <w:spacing w:after="0"/>
        <w:jc w:val="both"/>
        <w:rPr>
          <w:rFonts w:ascii="Verdana" w:hAnsi="Verdana"/>
          <w:b/>
          <w:bCs/>
          <w:color w:val="FFC000" w:themeColor="accent4"/>
          <w:lang w:val="es-MX"/>
        </w:rPr>
      </w:pPr>
    </w:p>
    <w:p w14:paraId="7CD39A9A" w14:textId="77777777" w:rsidR="00076405" w:rsidRDefault="00076405" w:rsidP="00076405">
      <w:pPr>
        <w:spacing w:after="0"/>
        <w:jc w:val="both"/>
        <w:rPr>
          <w:rFonts w:ascii="Verdana" w:hAnsi="Verdana"/>
          <w:b/>
          <w:bCs/>
          <w:color w:val="FFC000" w:themeColor="accent4"/>
          <w:lang w:val="es-MX"/>
        </w:rPr>
      </w:pPr>
    </w:p>
    <w:p w14:paraId="766B7E86" w14:textId="77777777" w:rsidR="00076405" w:rsidRPr="00076405" w:rsidRDefault="00076405" w:rsidP="00AC2BB1">
      <w:pPr>
        <w:spacing w:after="0"/>
        <w:rPr>
          <w:rFonts w:ascii="Verdana" w:hAnsi="Verdana"/>
          <w:lang w:val="es-MX"/>
        </w:rPr>
      </w:pPr>
    </w:p>
    <w:p w14:paraId="369FACF9" w14:textId="77777777" w:rsidR="00076405" w:rsidRDefault="00076405" w:rsidP="00AC2BB1">
      <w:pPr>
        <w:spacing w:after="0"/>
        <w:rPr>
          <w:rFonts w:ascii="Verdana" w:hAnsi="Verdana"/>
        </w:rPr>
      </w:pPr>
    </w:p>
    <w:p w14:paraId="76E7ABB1" w14:textId="77777777" w:rsidR="00E15CB7" w:rsidRDefault="00E15CB7" w:rsidP="00AC2BB1">
      <w:pPr>
        <w:spacing w:after="0"/>
        <w:rPr>
          <w:rFonts w:ascii="Verdana" w:hAnsi="Verdana"/>
        </w:rPr>
      </w:pPr>
    </w:p>
    <w:p w14:paraId="439EE8EB" w14:textId="0D88EEE6" w:rsidR="00AC2BB1" w:rsidRPr="00737E84" w:rsidRDefault="00AC2BB1" w:rsidP="00AC2BB1">
      <w:pPr>
        <w:spacing w:after="0"/>
        <w:rPr>
          <w:rFonts w:ascii="Verdana" w:hAnsi="Verdana"/>
        </w:rPr>
      </w:pPr>
      <w:r w:rsidRPr="00737E84">
        <w:rPr>
          <w:rFonts w:ascii="Verdana" w:hAnsi="Verdana"/>
        </w:rPr>
        <w:lastRenderedPageBreak/>
        <w:t xml:space="preserve">Bogotá D.C., </w:t>
      </w:r>
      <w:r w:rsidR="00FE3C18">
        <w:rPr>
          <w:rFonts w:ascii="Verdana" w:hAnsi="Verdana"/>
        </w:rPr>
        <w:t>03 Febrero 2026</w:t>
      </w:r>
    </w:p>
    <w:p w14:paraId="425A58E9" w14:textId="5941B230" w:rsidR="00AC2BB1" w:rsidRPr="009971BC" w:rsidRDefault="00624520" w:rsidP="00AC2BB1">
      <w:pPr>
        <w:spacing w:after="0"/>
        <w:rPr>
          <w:rFonts w:ascii="Verdana" w:hAnsi="Verdana"/>
          <w:color w:val="FFC000" w:themeColor="accent4"/>
          <w:lang w:val="es-ES"/>
        </w:rPr>
      </w:pPr>
      <w:r w:rsidRPr="00624520">
        <w:rPr>
          <w:rFonts w:ascii="Verdana" w:hAnsi="Verdana"/>
        </w:rPr>
        <w:drawing>
          <wp:anchor distT="0" distB="0" distL="114300" distR="114300" simplePos="0" relativeHeight="251660288" behindDoc="1" locked="0" layoutInCell="1" allowOverlap="1" wp14:anchorId="58EC420C" wp14:editId="485DC3F6">
            <wp:simplePos x="0" y="0"/>
            <wp:positionH relativeFrom="margin">
              <wp:align>right</wp:align>
            </wp:positionH>
            <wp:positionV relativeFrom="paragraph">
              <wp:posOffset>83155</wp:posOffset>
            </wp:positionV>
            <wp:extent cx="2381693" cy="717467"/>
            <wp:effectExtent l="0" t="0" r="0" b="6985"/>
            <wp:wrapNone/>
            <wp:docPr id="49042200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42200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381693" cy="717467"/>
                    </a:xfrm>
                    <a:prstGeom prst="rect">
                      <a:avLst/>
                    </a:prstGeom>
                  </pic:spPr>
                </pic:pic>
              </a:graphicData>
            </a:graphic>
            <wp14:sizeRelH relativeFrom="margin">
              <wp14:pctWidth>0</wp14:pctWidth>
            </wp14:sizeRelH>
            <wp14:sizeRelV relativeFrom="margin">
              <wp14:pctHeight>0</wp14:pctHeight>
            </wp14:sizeRelV>
          </wp:anchor>
        </w:drawing>
      </w:r>
    </w:p>
    <w:p w14:paraId="1F11BECF" w14:textId="77777777" w:rsidR="00AC2BB1" w:rsidRPr="00296002" w:rsidRDefault="00AC2BB1" w:rsidP="00AC2BB1">
      <w:pPr>
        <w:spacing w:after="0" w:line="240" w:lineRule="auto"/>
        <w:rPr>
          <w:rFonts w:ascii="Verdana" w:hAnsi="Verdana"/>
          <w:lang w:val="es-ES"/>
        </w:rPr>
      </w:pPr>
      <w:bookmarkStart w:id="0" w:name="_Hlk143780582"/>
      <w:r w:rsidRPr="00296002">
        <w:rPr>
          <w:rFonts w:ascii="Verdana" w:eastAsia="Calibri" w:hAnsi="Verdana" w:cs="Arial"/>
          <w:lang w:val="es-ES" w:eastAsia="es-ES"/>
        </w:rPr>
        <w:t>Señora</w:t>
      </w:r>
    </w:p>
    <w:p w14:paraId="06D1CEB7" w14:textId="77777777" w:rsidR="00AC2BB1" w:rsidRPr="00296002" w:rsidRDefault="00AC2BB1" w:rsidP="00AC2BB1">
      <w:pPr>
        <w:spacing w:after="0"/>
        <w:rPr>
          <w:rFonts w:ascii="Verdana" w:eastAsia="Calibri" w:hAnsi="Verdana" w:cs="Arial"/>
          <w:b/>
          <w:bCs/>
          <w:lang w:val="es-ES" w:eastAsia="es-ES"/>
        </w:rPr>
      </w:pPr>
      <w:r>
        <w:rPr>
          <w:rFonts w:ascii="Verdana" w:eastAsia="Calibri" w:hAnsi="Verdana" w:cs="Arial"/>
          <w:b/>
          <w:bCs/>
          <w:lang w:val="es-ES" w:eastAsia="es-ES"/>
        </w:rPr>
        <w:t>Viky Beltrán Sálazar</w:t>
      </w:r>
    </w:p>
    <w:p w14:paraId="39F3E8D8" w14:textId="77777777" w:rsidR="00AC2BB1" w:rsidRPr="00296002" w:rsidRDefault="00AC2BB1" w:rsidP="00AC2BB1">
      <w:pPr>
        <w:spacing w:after="0"/>
        <w:rPr>
          <w:rFonts w:ascii="Verdana" w:eastAsia="Calibri" w:hAnsi="Verdana" w:cs="Arial"/>
          <w:lang w:val="es-ES" w:eastAsia="es-ES"/>
        </w:rPr>
      </w:pPr>
      <w:r>
        <w:rPr>
          <w:rFonts w:ascii="Verdana" w:eastAsia="Calibri" w:hAnsi="Verdana" w:cs="Arial"/>
          <w:lang w:eastAsia="es-ES"/>
        </w:rPr>
        <w:t>Asesora Jurídica</w:t>
      </w:r>
    </w:p>
    <w:p w14:paraId="5D38804E" w14:textId="77777777" w:rsidR="00AC2BB1" w:rsidRPr="00076405" w:rsidRDefault="00AC2BB1" w:rsidP="00AC2BB1">
      <w:pPr>
        <w:spacing w:after="0"/>
        <w:rPr>
          <w:rFonts w:ascii="Verdana" w:eastAsia="Calibri" w:hAnsi="Verdana" w:cs="Arial"/>
          <w:lang w:val="en-US" w:eastAsia="es-ES"/>
        </w:rPr>
      </w:pPr>
      <w:r w:rsidRPr="00076405">
        <w:rPr>
          <w:rFonts w:ascii="Verdana" w:eastAsia="Calibri" w:hAnsi="Verdana" w:cs="Arial"/>
          <w:lang w:val="en-US" w:eastAsia="es-ES"/>
        </w:rPr>
        <w:t>E.S.E Hospital San Félix</w:t>
      </w:r>
    </w:p>
    <w:p w14:paraId="5B9F285F" w14:textId="77777777" w:rsidR="00AC2BB1" w:rsidRPr="00D60596" w:rsidRDefault="00AC2BB1" w:rsidP="00AC2BB1">
      <w:pPr>
        <w:spacing w:after="0"/>
        <w:rPr>
          <w:rFonts w:ascii="Verdana" w:eastAsia="Calibri" w:hAnsi="Verdana" w:cs="Arial"/>
          <w:lang w:eastAsia="es-ES"/>
        </w:rPr>
      </w:pPr>
      <w:hyperlink r:id="rId11" w:history="1">
        <w:r w:rsidRPr="00D60596">
          <w:rPr>
            <w:rStyle w:val="Hipervnculo"/>
            <w:rFonts w:ascii="Verdana" w:eastAsia="Calibri" w:hAnsi="Verdana" w:cs="Arial"/>
            <w:lang w:eastAsia="es-ES"/>
          </w:rPr>
          <w:t>asesorjuridico@esehospitalsanfelix.gov.co</w:t>
        </w:r>
      </w:hyperlink>
      <w:r w:rsidRPr="00D60596">
        <w:rPr>
          <w:rFonts w:ascii="Verdana" w:eastAsia="Calibri" w:hAnsi="Verdana" w:cs="Arial"/>
          <w:lang w:eastAsia="es-ES"/>
        </w:rPr>
        <w:t xml:space="preserve"> </w:t>
      </w:r>
    </w:p>
    <w:p w14:paraId="03DC9DE8" w14:textId="77777777" w:rsidR="00AC2BB1" w:rsidRPr="009971BC" w:rsidRDefault="00AC2BB1" w:rsidP="00AC2BB1">
      <w:pPr>
        <w:spacing w:after="0"/>
        <w:rPr>
          <w:rFonts w:ascii="Verdana" w:eastAsia="Calibri" w:hAnsi="Verdana" w:cs="Arial"/>
          <w:color w:val="FFC000" w:themeColor="accent4"/>
          <w:lang w:val="es-ES" w:eastAsia="es-ES"/>
        </w:rPr>
      </w:pPr>
      <w:r>
        <w:rPr>
          <w:rFonts w:ascii="Verdana" w:eastAsia="Calibri" w:hAnsi="Verdana" w:cs="Arial"/>
          <w:lang w:eastAsia="es-ES"/>
        </w:rPr>
        <w:t>La Dorada, Caldas</w:t>
      </w:r>
    </w:p>
    <w:p w14:paraId="41A27525" w14:textId="77777777" w:rsidR="00AC2BB1" w:rsidRPr="009971BC" w:rsidRDefault="00AC2BB1" w:rsidP="00AC2BB1">
      <w:pPr>
        <w:spacing w:after="0" w:line="240" w:lineRule="auto"/>
        <w:rPr>
          <w:rFonts w:ascii="Verdana" w:eastAsia="Calibri" w:hAnsi="Verdana" w:cs="Arial"/>
          <w:b/>
          <w:bCs/>
          <w:color w:val="FFC000" w:themeColor="accent4"/>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AC2BB1" w:rsidRPr="009971BC" w14:paraId="3DAB14F6" w14:textId="77777777" w:rsidTr="009A1C7B">
        <w:trPr>
          <w:trHeight w:val="300"/>
        </w:trPr>
        <w:tc>
          <w:tcPr>
            <w:tcW w:w="2410" w:type="dxa"/>
          </w:tcPr>
          <w:p w14:paraId="1074D832" w14:textId="77777777" w:rsidR="00AC2BB1" w:rsidRPr="009971BC" w:rsidRDefault="00AC2BB1" w:rsidP="009A1C7B">
            <w:pPr>
              <w:ind w:left="-142"/>
              <w:jc w:val="both"/>
              <w:rPr>
                <w:rFonts w:ascii="Verdana" w:eastAsia="Calibri" w:hAnsi="Verdana" w:cs="Arial"/>
                <w:b/>
                <w:bCs/>
                <w:color w:val="FFC000" w:themeColor="accent4"/>
                <w:lang w:val="es-ES" w:eastAsia="es-ES_tradnl"/>
              </w:rPr>
            </w:pPr>
          </w:p>
        </w:tc>
        <w:tc>
          <w:tcPr>
            <w:tcW w:w="6100" w:type="dxa"/>
          </w:tcPr>
          <w:p w14:paraId="6D96C224" w14:textId="77777777" w:rsidR="00AC2BB1" w:rsidRPr="008F7E46" w:rsidRDefault="00AC2BB1" w:rsidP="009A1C7B">
            <w:pPr>
              <w:ind w:left="3"/>
              <w:jc w:val="both"/>
              <w:rPr>
                <w:rFonts w:ascii="Verdana" w:eastAsia="Calibri" w:hAnsi="Verdana" w:cs="Arial"/>
                <w:b/>
                <w:bCs/>
                <w:lang w:val="es-ES" w:eastAsia="es-ES"/>
              </w:rPr>
            </w:pPr>
            <w:r w:rsidRPr="008F7E46">
              <w:rPr>
                <w:rFonts w:ascii="Verdana" w:eastAsia="Calibri" w:hAnsi="Verdana" w:cs="Arial"/>
                <w:b/>
                <w:bCs/>
                <w:lang w:val="es-ES" w:eastAsia="es-ES"/>
              </w:rPr>
              <w:t>Concepto C-1</w:t>
            </w:r>
            <w:r>
              <w:rPr>
                <w:rFonts w:ascii="Verdana" w:eastAsia="Calibri" w:hAnsi="Verdana" w:cs="Arial"/>
                <w:b/>
                <w:bCs/>
                <w:lang w:val="es-ES" w:eastAsia="es-ES"/>
              </w:rPr>
              <w:t>655</w:t>
            </w:r>
            <w:r w:rsidRPr="008F7E46">
              <w:rPr>
                <w:rFonts w:ascii="Verdana" w:eastAsia="Calibri" w:hAnsi="Verdana" w:cs="Arial"/>
                <w:b/>
                <w:bCs/>
                <w:lang w:val="es-ES" w:eastAsia="es-ES"/>
              </w:rPr>
              <w:t xml:space="preserve"> de 2025</w:t>
            </w:r>
          </w:p>
          <w:p w14:paraId="4BA2BFF6" w14:textId="77777777" w:rsidR="00AC2BB1" w:rsidRPr="009971BC" w:rsidRDefault="00AC2BB1" w:rsidP="009A1C7B">
            <w:pPr>
              <w:ind w:left="3"/>
              <w:jc w:val="both"/>
              <w:rPr>
                <w:rFonts w:ascii="Verdana" w:eastAsia="Calibri" w:hAnsi="Verdana" w:cs="Arial"/>
                <w:b/>
                <w:bCs/>
                <w:color w:val="FFC000" w:themeColor="accent4"/>
                <w:lang w:val="es-ES" w:eastAsia="es-ES"/>
              </w:rPr>
            </w:pPr>
          </w:p>
        </w:tc>
      </w:tr>
      <w:tr w:rsidR="00AC2BB1" w:rsidRPr="009971BC" w14:paraId="59B52324" w14:textId="77777777" w:rsidTr="009A1C7B">
        <w:trPr>
          <w:trHeight w:val="300"/>
        </w:trPr>
        <w:tc>
          <w:tcPr>
            <w:tcW w:w="2410" w:type="dxa"/>
          </w:tcPr>
          <w:p w14:paraId="674FFDFA" w14:textId="77777777" w:rsidR="00AC2BB1" w:rsidRPr="009971BC" w:rsidRDefault="00AC2BB1" w:rsidP="009A1C7B">
            <w:pPr>
              <w:ind w:left="424" w:firstLine="137"/>
              <w:jc w:val="both"/>
              <w:rPr>
                <w:rFonts w:ascii="Verdana" w:eastAsia="Calibri" w:hAnsi="Verdana" w:cs="Arial"/>
                <w:color w:val="FFC000" w:themeColor="accent4"/>
                <w:lang w:val="es-ES" w:eastAsia="es-ES_tradnl"/>
              </w:rPr>
            </w:pPr>
            <w:r w:rsidRPr="00A72116">
              <w:rPr>
                <w:rFonts w:ascii="Verdana" w:eastAsia="Calibri" w:hAnsi="Verdana" w:cs="Arial"/>
                <w:b/>
                <w:lang w:val="es-ES" w:eastAsia="es-ES_tradnl"/>
              </w:rPr>
              <w:t>Temas:</w:t>
            </w:r>
            <w:r w:rsidRPr="00A72116">
              <w:rPr>
                <w:rFonts w:ascii="Verdana" w:eastAsia="Calibri" w:hAnsi="Verdana" w:cs="Arial"/>
                <w:lang w:val="es-ES" w:eastAsia="es-ES_tradnl"/>
              </w:rPr>
              <w:t xml:space="preserve"> </w:t>
            </w:r>
            <w:r w:rsidRPr="009971BC">
              <w:rPr>
                <w:rFonts w:ascii="Verdana" w:eastAsia="Calibri" w:hAnsi="Verdana" w:cs="Arial"/>
                <w:color w:val="FFC000" w:themeColor="accent4"/>
                <w:lang w:val="es-ES" w:eastAsia="es-ES_tradnl"/>
              </w:rPr>
              <w:t xml:space="preserve">                 </w:t>
            </w:r>
          </w:p>
        </w:tc>
        <w:tc>
          <w:tcPr>
            <w:tcW w:w="6100" w:type="dxa"/>
          </w:tcPr>
          <w:p w14:paraId="02CF4D25" w14:textId="77777777" w:rsidR="00AC2BB1" w:rsidRDefault="00AC2BB1" w:rsidP="0024401B">
            <w:pPr>
              <w:spacing w:line="276" w:lineRule="auto"/>
              <w:jc w:val="both"/>
              <w:rPr>
                <w:rFonts w:ascii="Verdana" w:eastAsia="Calibri" w:hAnsi="Verdana" w:cs="Arial"/>
                <w:bCs/>
                <w:color w:val="000000" w:themeColor="text1"/>
                <w:lang w:val="es-ES"/>
              </w:rPr>
            </w:pPr>
            <w:r w:rsidRPr="00994575">
              <w:rPr>
                <w:rFonts w:ascii="Verdana" w:eastAsia="Calibri" w:hAnsi="Verdana" w:cs="Arial"/>
                <w:bCs/>
                <w:color w:val="000000" w:themeColor="text1"/>
                <w:lang w:val="es-ES"/>
              </w:rPr>
              <w:t>RÉGIMEN DE INHABILIDADES E INCOMPATIBILIDADES – Definición – Taxatividad – Interpretación restrictiva / INHABILIDAD E INCOMPATIBILIDAD –Responsabilidad fiscal – Boletín de responsables fiscales - Ley 610 de 2000 / INHABILIDADES E INCOMPATIBILIDADES – Ley 80 de 1993 – Artículo 8, literal d) – Sentencia judicial – Sanción disciplinaria / INHABILIDADES E INCOMPATIBILIDADES – Ley 80 de 1993 – Artículo 8, literal j) – Delitos contra la administración pública/INHABILIDAD E INCOMPATIBILIDAD – Delitos sexuales contra menores - Deber de verificación / INHABILIDAD E INCOMPATIBILIDAD – REDAM - Ley 2097 de 2021- Ámbito de aplicación</w:t>
            </w:r>
          </w:p>
          <w:p w14:paraId="65CF3871" w14:textId="77777777" w:rsidR="00AC2BB1" w:rsidRPr="009971BC" w:rsidRDefault="00AC2BB1" w:rsidP="009A1C7B">
            <w:pPr>
              <w:jc w:val="both"/>
              <w:rPr>
                <w:rFonts w:ascii="Verdana" w:hAnsi="Verdana"/>
                <w:color w:val="FFC000" w:themeColor="accent4"/>
              </w:rPr>
            </w:pPr>
          </w:p>
        </w:tc>
      </w:tr>
      <w:tr w:rsidR="00AC2BB1" w:rsidRPr="009971BC" w14:paraId="05B76293" w14:textId="77777777" w:rsidTr="009A1C7B">
        <w:tc>
          <w:tcPr>
            <w:tcW w:w="2410" w:type="dxa"/>
          </w:tcPr>
          <w:p w14:paraId="1511EFA0" w14:textId="77777777" w:rsidR="00AC2BB1" w:rsidRPr="008F7E46" w:rsidRDefault="00AC2BB1" w:rsidP="009A1C7B">
            <w:pPr>
              <w:ind w:left="561"/>
              <w:jc w:val="both"/>
              <w:rPr>
                <w:rFonts w:ascii="Verdana" w:eastAsia="Calibri" w:hAnsi="Verdana" w:cs="Arial"/>
                <w:b/>
                <w:lang w:val="es-ES" w:eastAsia="es-ES_tradnl"/>
              </w:rPr>
            </w:pPr>
            <w:r w:rsidRPr="008F7E46">
              <w:rPr>
                <w:rFonts w:ascii="Verdana" w:eastAsia="Calibri" w:hAnsi="Verdana" w:cs="Arial"/>
                <w:b/>
                <w:lang w:val="es-ES" w:eastAsia="es-ES_tradnl"/>
              </w:rPr>
              <w:t>Radicación:</w:t>
            </w:r>
            <w:r w:rsidRPr="008F7E46">
              <w:rPr>
                <w:rFonts w:ascii="Verdana" w:eastAsia="Calibri" w:hAnsi="Verdana" w:cs="Arial"/>
                <w:lang w:val="es-ES" w:eastAsia="es-ES_tradnl"/>
              </w:rPr>
              <w:t xml:space="preserve">              </w:t>
            </w:r>
          </w:p>
        </w:tc>
        <w:tc>
          <w:tcPr>
            <w:tcW w:w="6100" w:type="dxa"/>
          </w:tcPr>
          <w:p w14:paraId="6C2294E7" w14:textId="77777777" w:rsidR="00AC2BB1" w:rsidRPr="008F7E46" w:rsidRDefault="00AC2BB1" w:rsidP="009A1C7B">
            <w:pPr>
              <w:ind w:left="3"/>
              <w:jc w:val="both"/>
              <w:rPr>
                <w:rFonts w:ascii="Verdana" w:hAnsi="Verdana"/>
                <w:lang w:val="es-ES"/>
              </w:rPr>
            </w:pPr>
            <w:r w:rsidRPr="008F7E46">
              <w:rPr>
                <w:rFonts w:ascii="Verdana" w:eastAsia="Calibri" w:hAnsi="Verdana" w:cs="Arial"/>
                <w:lang w:val="es-ES" w:eastAsia="es-ES"/>
              </w:rPr>
              <w:t xml:space="preserve">Respuesta a consulta con radicado No. </w:t>
            </w:r>
            <w:r w:rsidRPr="0094310B">
              <w:rPr>
                <w:rFonts w:ascii="Verdana" w:eastAsia="Calibri" w:hAnsi="Verdana" w:cs="Arial"/>
                <w:lang w:val="es-ES" w:eastAsia="es-ES"/>
              </w:rPr>
              <w:t>1_2025_12_24_014306</w:t>
            </w:r>
          </w:p>
        </w:tc>
      </w:tr>
    </w:tbl>
    <w:p w14:paraId="674D503B" w14:textId="77777777" w:rsidR="00AC2BB1" w:rsidRPr="009971BC" w:rsidRDefault="00AC2BB1" w:rsidP="00AC2BB1">
      <w:pPr>
        <w:spacing w:after="0" w:line="276" w:lineRule="auto"/>
        <w:jc w:val="both"/>
        <w:rPr>
          <w:rFonts w:ascii="Verdana" w:eastAsia="Calibri" w:hAnsi="Verdana" w:cs="Arial"/>
          <w:color w:val="FFC000" w:themeColor="accent4"/>
          <w:lang w:val="es-ES" w:eastAsia="es-ES"/>
        </w:rPr>
      </w:pPr>
    </w:p>
    <w:p w14:paraId="1C0BD56E" w14:textId="77777777" w:rsidR="00AC2BB1" w:rsidRPr="00A72116" w:rsidRDefault="00AC2BB1" w:rsidP="00AC2BB1">
      <w:pPr>
        <w:spacing w:after="0" w:line="276" w:lineRule="auto"/>
        <w:jc w:val="both"/>
        <w:rPr>
          <w:rFonts w:ascii="Verdana" w:eastAsia="Calibri" w:hAnsi="Verdana" w:cs="Arial"/>
          <w:lang w:val="es-ES" w:eastAsia="es-ES"/>
        </w:rPr>
      </w:pPr>
      <w:r w:rsidRPr="00A72116">
        <w:rPr>
          <w:rFonts w:ascii="Verdana" w:eastAsia="Calibri" w:hAnsi="Verdana" w:cs="Arial"/>
          <w:lang w:val="es-ES" w:eastAsia="es-ES"/>
        </w:rPr>
        <w:t>Estimada Señora Méndez,</w:t>
      </w:r>
    </w:p>
    <w:p w14:paraId="0D07A951" w14:textId="77777777" w:rsidR="00AC2BB1" w:rsidRPr="00A72116" w:rsidRDefault="00AC2BB1" w:rsidP="00AC2BB1">
      <w:pPr>
        <w:spacing w:after="0" w:line="276" w:lineRule="auto"/>
        <w:jc w:val="both"/>
        <w:rPr>
          <w:rFonts w:ascii="Verdana" w:eastAsia="Calibri" w:hAnsi="Verdana" w:cs="Arial"/>
          <w:lang w:val="es-ES" w:eastAsia="es-ES"/>
        </w:rPr>
      </w:pPr>
    </w:p>
    <w:p w14:paraId="79F73F6C" w14:textId="77777777" w:rsidR="00AC2BB1" w:rsidRPr="006B4E20" w:rsidRDefault="00AC2BB1" w:rsidP="00AC2BB1">
      <w:pPr>
        <w:spacing w:after="0" w:line="276" w:lineRule="auto"/>
        <w:jc w:val="both"/>
        <w:rPr>
          <w:rFonts w:ascii="Verdana" w:eastAsia="Calibri" w:hAnsi="Verdana" w:cs="Arial"/>
          <w:lang w:val="es-ES" w:eastAsia="es-ES"/>
        </w:rPr>
      </w:pPr>
      <w:r w:rsidRPr="00A72116">
        <w:rPr>
          <w:rFonts w:ascii="Verdana" w:eastAsia="Calibri" w:hAnsi="Verdana" w:cs="Arial"/>
          <w:lang w:val="es-ES" w:eastAsia="es-ES"/>
        </w:rPr>
        <w:t>En ejercicio de la competencia otorgada por los artículos 3, numeral 5º, y 11, numeral 8º, del Decreto Ley 4170 de 2011,</w:t>
      </w:r>
      <w:r w:rsidRPr="00A72116">
        <w:rPr>
          <w:rFonts w:ascii="Verdana" w:eastAsia="Arial MT" w:hAnsi="Verdana" w:cs="Arial MT"/>
          <w:lang w:val="es-ES" w:eastAsia="es-ES"/>
        </w:rPr>
        <w:t xml:space="preserve"> </w:t>
      </w:r>
      <w:r w:rsidRPr="00A72116">
        <w:rPr>
          <w:rFonts w:ascii="Verdana" w:hAnsi="Verdana" w:cs="Arial"/>
          <w:lang w:val="es-ES"/>
        </w:rPr>
        <w:t xml:space="preserve">así como lo establecido en el artículo 4 de la Resolución 1707 de 2018 expedida por esta Entidad, </w:t>
      </w:r>
      <w:r w:rsidRPr="00A72116">
        <w:rPr>
          <w:rFonts w:ascii="Verdana" w:eastAsia="Calibri" w:hAnsi="Verdana" w:cs="Arial"/>
          <w:lang w:val="es-ES" w:eastAsia="es-ES"/>
        </w:rPr>
        <w:t xml:space="preserve">la Agencia Nacional </w:t>
      </w:r>
      <w:r w:rsidRPr="006B4E20">
        <w:rPr>
          <w:rFonts w:ascii="Verdana" w:eastAsia="Calibri" w:hAnsi="Verdana" w:cs="Arial"/>
          <w:lang w:val="es-ES" w:eastAsia="es-ES"/>
        </w:rPr>
        <w:t xml:space="preserve">de Contratación Pública – Colombia Compra Eficiente– responde su solicitud de consulta de fecha 19 de diciembre de 2025, en la cual manifiesta lo siguiente: </w:t>
      </w:r>
    </w:p>
    <w:p w14:paraId="1D48F884" w14:textId="77777777" w:rsidR="00AC2BB1" w:rsidRPr="006B4E20" w:rsidRDefault="00AC2BB1" w:rsidP="00AC2BB1">
      <w:pPr>
        <w:tabs>
          <w:tab w:val="left" w:pos="142"/>
          <w:tab w:val="left" w:pos="284"/>
        </w:tabs>
        <w:spacing w:after="0" w:line="276" w:lineRule="auto"/>
        <w:contextualSpacing/>
        <w:jc w:val="both"/>
        <w:rPr>
          <w:rFonts w:ascii="Verdana" w:eastAsia="Century Gothic" w:hAnsi="Verdana" w:cs="Century Gothic"/>
          <w:b/>
          <w:bCs/>
          <w:lang w:val="es-ES"/>
        </w:rPr>
      </w:pPr>
    </w:p>
    <w:p w14:paraId="1372912F" w14:textId="77777777" w:rsidR="00AC2BB1" w:rsidRDefault="00AC2BB1" w:rsidP="00AC2BB1">
      <w:pPr>
        <w:spacing w:before="120" w:after="120"/>
        <w:ind w:left="709" w:right="709"/>
        <w:contextualSpacing/>
        <w:jc w:val="both"/>
        <w:rPr>
          <w:rFonts w:ascii="Verdana" w:eastAsia="Century Gothic" w:hAnsi="Verdana" w:cs="Century Gothic"/>
          <w:i/>
          <w:iCs/>
          <w:sz w:val="20"/>
          <w:szCs w:val="20"/>
          <w:lang w:val="es-ES"/>
        </w:rPr>
      </w:pPr>
      <w:r w:rsidRPr="006B4E20">
        <w:rPr>
          <w:rFonts w:ascii="Verdana" w:eastAsia="Century Gothic" w:hAnsi="Verdana" w:cs="Century Gothic"/>
          <w:i/>
          <w:iCs/>
          <w:sz w:val="20"/>
          <w:szCs w:val="20"/>
          <w:lang w:val="es-ES"/>
        </w:rPr>
        <w:t>“</w:t>
      </w:r>
      <w:r>
        <w:rPr>
          <w:rFonts w:ascii="Verdana" w:eastAsia="Century Gothic" w:hAnsi="Verdana" w:cs="Century Gothic"/>
          <w:i/>
          <w:iCs/>
          <w:sz w:val="20"/>
          <w:szCs w:val="20"/>
          <w:lang w:val="es-ES"/>
        </w:rPr>
        <w:t>(…) s</w:t>
      </w:r>
      <w:r w:rsidRPr="00770F95">
        <w:rPr>
          <w:rFonts w:ascii="Verdana" w:eastAsia="Century Gothic" w:hAnsi="Verdana" w:cs="Century Gothic"/>
          <w:i/>
          <w:iCs/>
          <w:sz w:val="20"/>
          <w:szCs w:val="20"/>
          <w:lang w:val="es-ES"/>
        </w:rPr>
        <w:t>e solicita respetuosamente a esa Entidad emitir concepto jurídico respecto a los siguientes interrogantes:</w:t>
      </w:r>
    </w:p>
    <w:p w14:paraId="2D387884" w14:textId="77777777" w:rsidR="00AC2BB1" w:rsidRPr="00770F95" w:rsidRDefault="00AC2BB1" w:rsidP="00AC2BB1">
      <w:pPr>
        <w:spacing w:before="120" w:after="120"/>
        <w:ind w:left="709" w:right="709"/>
        <w:contextualSpacing/>
        <w:jc w:val="both"/>
        <w:rPr>
          <w:rFonts w:ascii="Verdana" w:eastAsia="Century Gothic" w:hAnsi="Verdana" w:cs="Century Gothic"/>
          <w:i/>
          <w:iCs/>
          <w:sz w:val="20"/>
          <w:szCs w:val="20"/>
          <w:lang w:val="es-ES"/>
        </w:rPr>
      </w:pPr>
    </w:p>
    <w:p w14:paraId="6A741B85" w14:textId="77777777" w:rsidR="00AC2BB1" w:rsidRDefault="00AC2BB1" w:rsidP="00AC2BB1">
      <w:pPr>
        <w:spacing w:before="120" w:after="120"/>
        <w:ind w:left="709" w:right="709"/>
        <w:contextualSpacing/>
        <w:jc w:val="both"/>
        <w:rPr>
          <w:rFonts w:ascii="Verdana" w:eastAsia="Century Gothic" w:hAnsi="Verdana" w:cs="Century Gothic"/>
          <w:i/>
          <w:iCs/>
          <w:sz w:val="20"/>
          <w:szCs w:val="20"/>
          <w:lang w:val="es-ES"/>
        </w:rPr>
      </w:pPr>
      <w:r w:rsidRPr="00770F95">
        <w:rPr>
          <w:rFonts w:ascii="Verdana" w:eastAsia="Century Gothic" w:hAnsi="Verdana" w:cs="Century Gothic"/>
          <w:i/>
          <w:iCs/>
          <w:sz w:val="20"/>
          <w:szCs w:val="20"/>
          <w:lang w:val="es-ES"/>
        </w:rPr>
        <w:t>1.</w:t>
      </w:r>
      <w:r>
        <w:rPr>
          <w:rFonts w:ascii="Verdana" w:eastAsia="Century Gothic" w:hAnsi="Verdana" w:cs="Century Gothic"/>
          <w:i/>
          <w:iCs/>
          <w:sz w:val="20"/>
          <w:szCs w:val="20"/>
          <w:lang w:val="es-ES"/>
        </w:rPr>
        <w:t xml:space="preserve"> </w:t>
      </w:r>
      <w:r w:rsidRPr="00770F95">
        <w:rPr>
          <w:rFonts w:ascii="Verdana" w:eastAsia="Century Gothic" w:hAnsi="Verdana" w:cs="Century Gothic"/>
          <w:i/>
          <w:iCs/>
          <w:sz w:val="20"/>
          <w:szCs w:val="20"/>
          <w:lang w:val="es-ES"/>
        </w:rPr>
        <w:t>¿Es jurídicamente viable contratar, bajo la modalidad de contrato de prestación de servicios, a una persona natural (médico, profesional independiente u otro) que se encuentre reportada en el Boletín de Responsables Fiscales – SIBOR?</w:t>
      </w:r>
    </w:p>
    <w:p w14:paraId="0350A6AB" w14:textId="77777777" w:rsidR="00AC2BB1" w:rsidRDefault="00AC2BB1" w:rsidP="00AC2BB1">
      <w:pPr>
        <w:spacing w:before="120" w:after="120"/>
        <w:ind w:left="709" w:right="709"/>
        <w:contextualSpacing/>
        <w:jc w:val="both"/>
        <w:rPr>
          <w:rFonts w:ascii="Verdana" w:eastAsia="Century Gothic" w:hAnsi="Verdana" w:cs="Century Gothic"/>
          <w:i/>
          <w:iCs/>
          <w:sz w:val="20"/>
          <w:szCs w:val="20"/>
          <w:lang w:val="es-ES"/>
        </w:rPr>
      </w:pPr>
    </w:p>
    <w:p w14:paraId="4816B06F" w14:textId="77777777" w:rsidR="00AC2BB1" w:rsidRPr="003F0267" w:rsidRDefault="00AC2BB1" w:rsidP="00AC2BB1">
      <w:pPr>
        <w:spacing w:before="120" w:after="120"/>
        <w:ind w:left="709" w:right="709"/>
        <w:contextualSpacing/>
        <w:jc w:val="both"/>
        <w:rPr>
          <w:rFonts w:ascii="Verdana" w:eastAsia="Century Gothic" w:hAnsi="Verdana" w:cs="Century Gothic"/>
          <w:i/>
          <w:iCs/>
          <w:sz w:val="20"/>
          <w:szCs w:val="20"/>
          <w:lang w:val="es-ES"/>
        </w:rPr>
      </w:pPr>
      <w:r w:rsidRPr="003F0267">
        <w:rPr>
          <w:rFonts w:ascii="Verdana" w:eastAsia="Century Gothic" w:hAnsi="Verdana" w:cs="Century Gothic"/>
          <w:i/>
          <w:iCs/>
          <w:sz w:val="20"/>
          <w:szCs w:val="20"/>
          <w:lang w:val="es-ES"/>
        </w:rPr>
        <w:t xml:space="preserve">2. </w:t>
      </w:r>
      <w:r w:rsidRPr="003F0267">
        <w:rPr>
          <w:rFonts w:ascii="Verdana" w:eastAsia="Century Gothic" w:hAnsi="Verdana" w:cs="Century Gothic"/>
          <w:i/>
          <w:iCs/>
          <w:sz w:val="20"/>
          <w:szCs w:val="20"/>
        </w:rPr>
        <w:t xml:space="preserve">En caso de presentarse reportes negativos en otros certificados exigidos, tales como: </w:t>
      </w:r>
    </w:p>
    <w:p w14:paraId="297B62A7" w14:textId="77777777" w:rsidR="00AC2BB1" w:rsidRDefault="00AC2BB1" w:rsidP="00AC2BB1">
      <w:pPr>
        <w:pStyle w:val="Prrafodelista"/>
        <w:numPr>
          <w:ilvl w:val="0"/>
          <w:numId w:val="17"/>
        </w:numPr>
        <w:spacing w:before="120" w:after="120"/>
        <w:ind w:right="709"/>
        <w:jc w:val="both"/>
        <w:rPr>
          <w:rFonts w:ascii="Verdana" w:eastAsia="Century Gothic" w:hAnsi="Verdana" w:cs="Century Gothic"/>
          <w:i/>
          <w:iCs/>
          <w:sz w:val="20"/>
          <w:szCs w:val="20"/>
        </w:rPr>
      </w:pPr>
      <w:r w:rsidRPr="00002253">
        <w:rPr>
          <w:rFonts w:ascii="Verdana" w:eastAsia="Century Gothic" w:hAnsi="Verdana" w:cs="Century Gothic"/>
          <w:i/>
          <w:iCs/>
          <w:sz w:val="20"/>
          <w:szCs w:val="20"/>
        </w:rPr>
        <w:t xml:space="preserve">Certificado de antecedentes disciplinarios (Procuraduría General de la Nación), </w:t>
      </w:r>
    </w:p>
    <w:p w14:paraId="7D84605B" w14:textId="77777777" w:rsidR="00AC2BB1" w:rsidRDefault="00AC2BB1" w:rsidP="00AC2BB1">
      <w:pPr>
        <w:pStyle w:val="Prrafodelista"/>
        <w:numPr>
          <w:ilvl w:val="0"/>
          <w:numId w:val="17"/>
        </w:numPr>
        <w:spacing w:before="120" w:after="120"/>
        <w:ind w:right="709"/>
        <w:jc w:val="both"/>
        <w:rPr>
          <w:rFonts w:ascii="Verdana" w:eastAsia="Century Gothic" w:hAnsi="Verdana" w:cs="Century Gothic"/>
          <w:i/>
          <w:iCs/>
          <w:sz w:val="20"/>
          <w:szCs w:val="20"/>
        </w:rPr>
      </w:pPr>
      <w:r w:rsidRPr="00002253">
        <w:rPr>
          <w:rFonts w:ascii="Verdana" w:eastAsia="Century Gothic" w:hAnsi="Verdana" w:cs="Century Gothic"/>
          <w:i/>
          <w:iCs/>
          <w:sz w:val="20"/>
          <w:szCs w:val="20"/>
        </w:rPr>
        <w:t xml:space="preserve">Certificado de antecedentes fiscales (Contraloría General de la República), </w:t>
      </w:r>
    </w:p>
    <w:p w14:paraId="5A716C08" w14:textId="77777777" w:rsidR="00AC2BB1" w:rsidRDefault="00AC2BB1" w:rsidP="00AC2BB1">
      <w:pPr>
        <w:pStyle w:val="Prrafodelista"/>
        <w:numPr>
          <w:ilvl w:val="0"/>
          <w:numId w:val="17"/>
        </w:numPr>
        <w:spacing w:before="120" w:after="120"/>
        <w:ind w:right="709"/>
        <w:jc w:val="both"/>
        <w:rPr>
          <w:rFonts w:ascii="Verdana" w:eastAsia="Century Gothic" w:hAnsi="Verdana" w:cs="Century Gothic"/>
          <w:i/>
          <w:iCs/>
          <w:sz w:val="20"/>
          <w:szCs w:val="20"/>
        </w:rPr>
      </w:pPr>
      <w:r w:rsidRPr="00002253">
        <w:rPr>
          <w:rFonts w:ascii="Verdana" w:eastAsia="Century Gothic" w:hAnsi="Verdana" w:cs="Century Gothic"/>
          <w:i/>
          <w:iCs/>
          <w:sz w:val="20"/>
          <w:szCs w:val="20"/>
        </w:rPr>
        <w:t xml:space="preserve">Certificado de antecedentes judiciales, </w:t>
      </w:r>
    </w:p>
    <w:p w14:paraId="4C4A5B2D" w14:textId="77777777" w:rsidR="00AC2BB1" w:rsidRDefault="00AC2BB1" w:rsidP="00AC2BB1">
      <w:pPr>
        <w:pStyle w:val="Prrafodelista"/>
        <w:numPr>
          <w:ilvl w:val="0"/>
          <w:numId w:val="17"/>
        </w:numPr>
        <w:spacing w:before="120" w:after="120"/>
        <w:ind w:right="709"/>
        <w:jc w:val="both"/>
        <w:rPr>
          <w:rFonts w:ascii="Verdana" w:eastAsia="Century Gothic" w:hAnsi="Verdana" w:cs="Century Gothic"/>
          <w:i/>
          <w:iCs/>
          <w:sz w:val="20"/>
          <w:szCs w:val="20"/>
        </w:rPr>
      </w:pPr>
      <w:r w:rsidRPr="00002253">
        <w:rPr>
          <w:rFonts w:ascii="Verdana" w:eastAsia="Century Gothic" w:hAnsi="Verdana" w:cs="Century Gothic"/>
          <w:i/>
          <w:iCs/>
          <w:sz w:val="20"/>
          <w:szCs w:val="20"/>
        </w:rPr>
        <w:t xml:space="preserve">Certificado de antecedentes por delitos sexuales, </w:t>
      </w:r>
    </w:p>
    <w:p w14:paraId="5B98B93E" w14:textId="77777777" w:rsidR="00AC2BB1" w:rsidRPr="003F0267" w:rsidRDefault="00AC2BB1" w:rsidP="00AC2BB1">
      <w:pPr>
        <w:pStyle w:val="Prrafodelista"/>
        <w:numPr>
          <w:ilvl w:val="0"/>
          <w:numId w:val="17"/>
        </w:numPr>
        <w:spacing w:before="120" w:after="120"/>
        <w:ind w:right="709"/>
        <w:jc w:val="both"/>
        <w:rPr>
          <w:rFonts w:ascii="Verdana" w:eastAsia="Century Gothic" w:hAnsi="Verdana" w:cs="Century Gothic"/>
          <w:i/>
          <w:iCs/>
          <w:sz w:val="20"/>
          <w:szCs w:val="20"/>
        </w:rPr>
      </w:pPr>
      <w:r w:rsidRPr="00002253">
        <w:rPr>
          <w:rFonts w:ascii="Verdana" w:eastAsia="Century Gothic" w:hAnsi="Verdana" w:cs="Century Gothic"/>
          <w:i/>
          <w:iCs/>
          <w:sz w:val="20"/>
          <w:szCs w:val="20"/>
        </w:rPr>
        <w:t xml:space="preserve">Registro de Deudores Alimentarios Morosos – REDAM. </w:t>
      </w:r>
    </w:p>
    <w:p w14:paraId="0D076EF2" w14:textId="77777777" w:rsidR="00AC2BB1" w:rsidRPr="003F0267" w:rsidRDefault="00AC2BB1" w:rsidP="00AC2BB1">
      <w:pPr>
        <w:spacing w:before="120" w:after="120"/>
        <w:ind w:left="709" w:right="709"/>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rPr>
        <w:t xml:space="preserve">3. </w:t>
      </w:r>
      <w:r w:rsidRPr="003F0267">
        <w:rPr>
          <w:rFonts w:ascii="Verdana" w:eastAsia="Century Gothic" w:hAnsi="Verdana" w:cs="Century Gothic"/>
          <w:i/>
          <w:iCs/>
          <w:sz w:val="20"/>
          <w:szCs w:val="20"/>
        </w:rPr>
        <w:t>¿en cuáles de ellos es posible continuar con el proceso de contratación y en cuáles constituye una causal de inhabilidad o impedimento legal para contratar con la E.S.E.?</w:t>
      </w:r>
      <w:r>
        <w:rPr>
          <w:rFonts w:ascii="Verdana" w:eastAsia="Century Gothic" w:hAnsi="Verdana" w:cs="Century Gothic"/>
          <w:i/>
          <w:iCs/>
          <w:sz w:val="20"/>
          <w:szCs w:val="20"/>
        </w:rPr>
        <w:t>”</w:t>
      </w:r>
    </w:p>
    <w:p w14:paraId="7137F135" w14:textId="77777777" w:rsidR="00AC2BB1" w:rsidRPr="00313F0D" w:rsidRDefault="00AC2BB1" w:rsidP="00AC2BB1">
      <w:pPr>
        <w:spacing w:before="120" w:after="120"/>
        <w:ind w:right="709"/>
        <w:contextualSpacing/>
        <w:jc w:val="both"/>
        <w:rPr>
          <w:rFonts w:ascii="Verdana" w:eastAsia="Century Gothic" w:hAnsi="Verdana" w:cs="Century Gothic"/>
          <w:i/>
          <w:iCs/>
          <w:sz w:val="20"/>
          <w:szCs w:val="20"/>
          <w:lang w:val="es-ES"/>
        </w:rPr>
      </w:pPr>
    </w:p>
    <w:p w14:paraId="0A2D8068" w14:textId="77777777" w:rsidR="00AC2BB1" w:rsidRPr="00313F0D" w:rsidRDefault="00AC2BB1" w:rsidP="00AC2BB1">
      <w:pPr>
        <w:spacing w:after="120" w:line="276" w:lineRule="auto"/>
        <w:ind w:firstLine="708"/>
        <w:jc w:val="both"/>
        <w:rPr>
          <w:rFonts w:ascii="Verdana" w:eastAsia="Calibri" w:hAnsi="Verdana" w:cs="Arial"/>
          <w:lang w:val="es-ES" w:eastAsia="es-ES"/>
        </w:rPr>
      </w:pPr>
      <w:r w:rsidRPr="00313F0D">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3F0D">
        <w:rPr>
          <w:rFonts w:ascii="Verdana" w:hAnsi="Verdana"/>
          <w:lang w:val="es-ES"/>
        </w:rPr>
        <w:tab/>
      </w:r>
    </w:p>
    <w:p w14:paraId="0EA3DCE4" w14:textId="77777777" w:rsidR="00AC2BB1" w:rsidRPr="00313F0D" w:rsidRDefault="00AC2BB1" w:rsidP="00AC2BB1">
      <w:pPr>
        <w:spacing w:after="0" w:line="276" w:lineRule="auto"/>
        <w:ind w:firstLine="709"/>
        <w:jc w:val="both"/>
        <w:rPr>
          <w:rFonts w:ascii="Verdana" w:eastAsia="Calibri" w:hAnsi="Verdana" w:cs="Arial"/>
          <w:lang w:val="es-ES" w:eastAsia="es-ES"/>
        </w:rPr>
      </w:pPr>
      <w:r w:rsidRPr="00313F0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F5DD8C4" w14:textId="77777777" w:rsidR="00AC2BB1" w:rsidRPr="009971BC" w:rsidRDefault="00AC2BB1" w:rsidP="00AC2BB1">
      <w:pPr>
        <w:spacing w:after="0" w:line="276" w:lineRule="auto"/>
        <w:ind w:firstLine="709"/>
        <w:jc w:val="both"/>
        <w:rPr>
          <w:rFonts w:ascii="Verdana" w:eastAsia="Calibri" w:hAnsi="Verdana" w:cs="Arial"/>
          <w:color w:val="FFC000" w:themeColor="accent4"/>
          <w:lang w:val="es-ES" w:eastAsia="es-ES"/>
        </w:rPr>
      </w:pPr>
    </w:p>
    <w:p w14:paraId="0E51AB0D" w14:textId="77777777" w:rsidR="00AC2BB1" w:rsidRPr="00E03B87" w:rsidRDefault="00AC2BB1" w:rsidP="00AC2BB1">
      <w:pPr>
        <w:tabs>
          <w:tab w:val="left" w:pos="142"/>
          <w:tab w:val="left" w:pos="284"/>
        </w:tabs>
        <w:spacing w:after="0" w:line="276" w:lineRule="auto"/>
        <w:contextualSpacing/>
        <w:jc w:val="both"/>
        <w:rPr>
          <w:rFonts w:ascii="Verdana" w:eastAsia="Century Gothic" w:hAnsi="Verdana" w:cs="Century Gothic"/>
          <w:b/>
          <w:lang w:val="es-ES"/>
        </w:rPr>
      </w:pPr>
      <w:r w:rsidRPr="00E03B87">
        <w:rPr>
          <w:rFonts w:ascii="Verdana" w:eastAsia="Century Gothic" w:hAnsi="Verdana" w:cs="Century Gothic"/>
          <w:b/>
          <w:lang w:val="es-ES"/>
        </w:rPr>
        <w:t>1. Problemas planteados:</w:t>
      </w:r>
    </w:p>
    <w:p w14:paraId="6E1BCF03" w14:textId="77777777" w:rsidR="00AC2BB1" w:rsidRPr="009971BC" w:rsidRDefault="00AC2BB1" w:rsidP="00AC2BB1">
      <w:pPr>
        <w:tabs>
          <w:tab w:val="left" w:pos="426"/>
        </w:tabs>
        <w:spacing w:after="0" w:line="276" w:lineRule="auto"/>
        <w:jc w:val="both"/>
        <w:rPr>
          <w:rFonts w:ascii="Verdana" w:eastAsia="Century Gothic" w:hAnsi="Verdana" w:cs="Century Gothic"/>
          <w:color w:val="FFC000" w:themeColor="accent4"/>
          <w:lang w:val="es-ES"/>
        </w:rPr>
      </w:pPr>
    </w:p>
    <w:p w14:paraId="3BE19642" w14:textId="201931A8" w:rsidR="00AC2BB1" w:rsidRPr="009971BC" w:rsidRDefault="00AC2BB1" w:rsidP="00AC2BB1">
      <w:pPr>
        <w:spacing w:after="0" w:line="276" w:lineRule="auto"/>
        <w:jc w:val="both"/>
        <w:rPr>
          <w:rFonts w:ascii="Verdana" w:eastAsia="Century Gothic" w:hAnsi="Verdana" w:cs="Century Gothic"/>
          <w:color w:val="FFC000" w:themeColor="accent4"/>
        </w:rPr>
      </w:pPr>
      <w:r w:rsidRPr="00E03B87">
        <w:rPr>
          <w:rFonts w:ascii="Verdana" w:eastAsia="Century Gothic" w:hAnsi="Verdana" w:cs="Century Gothic"/>
          <w:lang w:val="es-ES"/>
        </w:rPr>
        <w:t xml:space="preserve">De acuerdo con el contenido de su solicitud, esta Agencia resolverá los siguientes problemas jurídicos: </w:t>
      </w:r>
      <w:r w:rsidRPr="008C74CD">
        <w:rPr>
          <w:rFonts w:ascii="Verdana" w:eastAsia="Century Gothic" w:hAnsi="Verdana" w:cs="Century Gothic"/>
        </w:rPr>
        <w:t xml:space="preserve">¿Los reportes negativos en el Boletín de Responsables Fiscales (SIBOR) o en los distintos certificados de antecedentes exigidos por la ley constituyen una inhabilidad o impedimento legal para la celebración de contratos de prestación de servicios </w:t>
      </w:r>
      <w:r w:rsidR="00CE29D9">
        <w:rPr>
          <w:rFonts w:ascii="Verdana" w:eastAsia="Century Gothic" w:hAnsi="Verdana" w:cs="Century Gothic"/>
        </w:rPr>
        <w:t xml:space="preserve">con </w:t>
      </w:r>
      <w:r w:rsidRPr="008C74CD">
        <w:rPr>
          <w:rFonts w:ascii="Verdana" w:eastAsia="Century Gothic" w:hAnsi="Verdana" w:cs="Century Gothic"/>
        </w:rPr>
        <w:t>una entidad estatal?</w:t>
      </w:r>
    </w:p>
    <w:p w14:paraId="584E38AB" w14:textId="77777777" w:rsidR="00AC2BB1" w:rsidRPr="009971BC" w:rsidRDefault="00AC2BB1" w:rsidP="00AC2BB1">
      <w:pPr>
        <w:spacing w:after="0" w:line="276" w:lineRule="auto"/>
        <w:jc w:val="both"/>
        <w:rPr>
          <w:rFonts w:ascii="Verdana" w:eastAsia="Century Gothic" w:hAnsi="Verdana" w:cs="Century Gothic"/>
          <w:color w:val="FFC000" w:themeColor="accent4"/>
        </w:rPr>
      </w:pPr>
    </w:p>
    <w:p w14:paraId="4BE0D807" w14:textId="77777777" w:rsidR="00AC2BB1" w:rsidRPr="00E03B87" w:rsidRDefault="00AC2BB1" w:rsidP="00AC2BB1">
      <w:pPr>
        <w:tabs>
          <w:tab w:val="left" w:pos="142"/>
          <w:tab w:val="left" w:pos="284"/>
        </w:tabs>
        <w:spacing w:after="0" w:line="276" w:lineRule="auto"/>
        <w:jc w:val="both"/>
        <w:rPr>
          <w:rFonts w:ascii="Verdana" w:eastAsia="Century Gothic" w:hAnsi="Verdana" w:cs="Century Gothic"/>
          <w:b/>
          <w:lang w:val="es-ES"/>
        </w:rPr>
      </w:pPr>
      <w:r w:rsidRPr="00E03B87">
        <w:rPr>
          <w:rFonts w:ascii="Verdana" w:eastAsia="Century Gothic" w:hAnsi="Verdana" w:cs="Century Gothic"/>
          <w:b/>
          <w:lang w:val="es-ES"/>
        </w:rPr>
        <w:t>2. Respuesta:</w:t>
      </w:r>
    </w:p>
    <w:p w14:paraId="0BCC7191" w14:textId="77777777" w:rsidR="00AC2BB1" w:rsidRPr="009971BC" w:rsidRDefault="00AC2BB1" w:rsidP="00AC2BB1">
      <w:pPr>
        <w:tabs>
          <w:tab w:val="left" w:pos="142"/>
          <w:tab w:val="left" w:pos="284"/>
        </w:tabs>
        <w:spacing w:after="0" w:line="276" w:lineRule="auto"/>
        <w:jc w:val="both"/>
        <w:rPr>
          <w:rFonts w:ascii="Verdana" w:eastAsia="Century Gothic" w:hAnsi="Verdana" w:cs="Century Gothic"/>
          <w:b/>
          <w:bCs/>
          <w:color w:val="FFC000" w:themeColor="accent4"/>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2BB1" w:rsidRPr="009971BC" w14:paraId="1522075C" w14:textId="77777777" w:rsidTr="009A1C7B">
        <w:tc>
          <w:tcPr>
            <w:tcW w:w="8828" w:type="dxa"/>
          </w:tcPr>
          <w:p w14:paraId="3D2D862B" w14:textId="77777777" w:rsidR="00AC2BB1" w:rsidRDefault="00AC2BB1" w:rsidP="009A1C7B">
            <w:pPr>
              <w:spacing w:before="120" w:after="120" w:line="276" w:lineRule="auto"/>
              <w:jc w:val="both"/>
              <w:rPr>
                <w:rFonts w:ascii="Verdana" w:eastAsia="Calibri" w:hAnsi="Verdana" w:cs="Arial"/>
              </w:rPr>
            </w:pPr>
            <w:r w:rsidRPr="00641592">
              <w:rPr>
                <w:rFonts w:ascii="Verdana" w:eastAsia="Calibri" w:hAnsi="Verdana" w:cs="Arial"/>
              </w:rPr>
              <w:t>Para dar respuesta al problema jurídico, es importante indicar</w:t>
            </w:r>
            <w:r>
              <w:rPr>
                <w:rFonts w:ascii="Verdana" w:eastAsia="Calibri" w:hAnsi="Verdana" w:cs="Arial"/>
              </w:rPr>
              <w:t xml:space="preserve">, </w:t>
            </w:r>
            <w:r w:rsidRPr="00641592">
              <w:rPr>
                <w:rFonts w:ascii="Verdana" w:eastAsia="Calibri" w:hAnsi="Verdana" w:cs="Arial"/>
              </w:rPr>
              <w:t>que los reportes negativos en el Boletín de Responsables Fiscales (SIBOR) y en los distintos certificados de antecedentes exigidos por la ley no constituyen, en todos los casos, una inhabilidad o impedimento legal automático para la celebración de contratos con entidades estatales</w:t>
            </w:r>
            <w:r>
              <w:rPr>
                <w:rFonts w:ascii="Verdana" w:eastAsia="Calibri" w:hAnsi="Verdana" w:cs="Arial"/>
              </w:rPr>
              <w:t xml:space="preserve">. No </w:t>
            </w:r>
            <w:r w:rsidRPr="00641592">
              <w:rPr>
                <w:rFonts w:ascii="Verdana" w:eastAsia="Calibri" w:hAnsi="Verdana" w:cs="Arial"/>
              </w:rPr>
              <w:t>obstante, la inclusión en e</w:t>
            </w:r>
            <w:r>
              <w:rPr>
                <w:rFonts w:ascii="Verdana" w:eastAsia="Calibri" w:hAnsi="Verdana" w:cs="Arial"/>
              </w:rPr>
              <w:t>l SIBOR</w:t>
            </w:r>
            <w:r w:rsidRPr="00641592">
              <w:rPr>
                <w:rFonts w:ascii="Verdana" w:eastAsia="Calibri" w:hAnsi="Verdana" w:cs="Arial"/>
              </w:rPr>
              <w:t xml:space="preserve"> como consecuencia de un fallo</w:t>
            </w:r>
            <w:r>
              <w:rPr>
                <w:rFonts w:ascii="Verdana" w:eastAsia="Calibri" w:hAnsi="Verdana" w:cs="Arial"/>
              </w:rPr>
              <w:t xml:space="preserve"> en </w:t>
            </w:r>
            <w:r w:rsidRPr="00641592">
              <w:rPr>
                <w:rFonts w:ascii="Verdana" w:eastAsia="Calibri" w:hAnsi="Verdana" w:cs="Arial"/>
              </w:rPr>
              <w:t>firme y ejecutoriado</w:t>
            </w:r>
            <w:r>
              <w:rPr>
                <w:rFonts w:ascii="Verdana" w:eastAsia="Calibri" w:hAnsi="Verdana" w:cs="Arial"/>
              </w:rPr>
              <w:t>,</w:t>
            </w:r>
            <w:r w:rsidRPr="00641592">
              <w:rPr>
                <w:rFonts w:ascii="Verdana" w:eastAsia="Calibri" w:hAnsi="Verdana" w:cs="Arial"/>
              </w:rPr>
              <w:t xml:space="preserve"> </w:t>
            </w:r>
            <w:r>
              <w:rPr>
                <w:rFonts w:ascii="Verdana" w:eastAsia="Calibri" w:hAnsi="Verdana" w:cs="Arial"/>
              </w:rPr>
              <w:t>que implique</w:t>
            </w:r>
            <w:r w:rsidRPr="00641592">
              <w:rPr>
                <w:rFonts w:ascii="Verdana" w:eastAsia="Calibri" w:hAnsi="Verdana" w:cs="Arial"/>
              </w:rPr>
              <w:t xml:space="preserve"> responsabilidad fiscal</w:t>
            </w:r>
            <w:r>
              <w:rPr>
                <w:rFonts w:ascii="Verdana" w:eastAsia="Calibri" w:hAnsi="Verdana" w:cs="Arial"/>
              </w:rPr>
              <w:t>,</w:t>
            </w:r>
            <w:r w:rsidRPr="00641592">
              <w:rPr>
                <w:rFonts w:ascii="Verdana" w:eastAsia="Calibri" w:hAnsi="Verdana" w:cs="Arial"/>
              </w:rPr>
              <w:t xml:space="preserve"> sí </w:t>
            </w:r>
            <w:r>
              <w:rPr>
                <w:rFonts w:ascii="Verdana" w:eastAsia="Calibri" w:hAnsi="Verdana" w:cs="Arial"/>
              </w:rPr>
              <w:t>configura</w:t>
            </w:r>
            <w:r w:rsidRPr="00641592">
              <w:rPr>
                <w:rFonts w:ascii="Verdana" w:eastAsia="Calibri" w:hAnsi="Verdana" w:cs="Arial"/>
              </w:rPr>
              <w:t xml:space="preserve"> una inhabilidad legal para contratar con el Estado, en los términos previstos en el artículo 60 de la Ley 610 de 2000</w:t>
            </w:r>
            <w:r>
              <w:rPr>
                <w:rFonts w:ascii="Verdana" w:eastAsia="Calibri" w:hAnsi="Verdana" w:cs="Arial"/>
              </w:rPr>
              <w:t xml:space="preserve">, </w:t>
            </w:r>
            <w:r w:rsidRPr="00641592">
              <w:rPr>
                <w:rFonts w:ascii="Verdana" w:eastAsia="Calibri" w:hAnsi="Verdana" w:cs="Arial"/>
              </w:rPr>
              <w:t>el</w:t>
            </w:r>
            <w:r>
              <w:rPr>
                <w:rFonts w:ascii="Verdana" w:eastAsia="Calibri" w:hAnsi="Verdana" w:cs="Arial"/>
              </w:rPr>
              <w:t xml:space="preserve"> </w:t>
            </w:r>
            <w:r w:rsidRPr="00641592">
              <w:rPr>
                <w:rFonts w:ascii="Verdana" w:eastAsia="Calibri" w:hAnsi="Verdana" w:cs="Arial"/>
              </w:rPr>
              <w:t>cual se mantiene vigente mientras subsista el reporte y no se haya acreditado el pago de la obligación o</w:t>
            </w:r>
            <w:r>
              <w:rPr>
                <w:rFonts w:ascii="Verdana" w:eastAsia="Calibri" w:hAnsi="Verdana" w:cs="Arial"/>
              </w:rPr>
              <w:t xml:space="preserve"> bien</w:t>
            </w:r>
            <w:r w:rsidRPr="00641592">
              <w:rPr>
                <w:rFonts w:ascii="Verdana" w:eastAsia="Calibri" w:hAnsi="Verdana" w:cs="Arial"/>
              </w:rPr>
              <w:t xml:space="preserve"> la exclusión de</w:t>
            </w:r>
            <w:r>
              <w:rPr>
                <w:rFonts w:ascii="Verdana" w:eastAsia="Calibri" w:hAnsi="Verdana" w:cs="Arial"/>
              </w:rPr>
              <w:t xml:space="preserve"> dicho</w:t>
            </w:r>
            <w:r w:rsidRPr="00641592">
              <w:rPr>
                <w:rFonts w:ascii="Verdana" w:eastAsia="Calibri" w:hAnsi="Verdana" w:cs="Arial"/>
              </w:rPr>
              <w:t xml:space="preserve"> boletín.</w:t>
            </w:r>
          </w:p>
          <w:p w14:paraId="1680E5D5" w14:textId="738A20B9" w:rsidR="00AC2BB1" w:rsidRDefault="00CE29D9" w:rsidP="009A1C7B">
            <w:pPr>
              <w:spacing w:before="120" w:after="120" w:line="276" w:lineRule="auto"/>
              <w:ind w:firstLine="709"/>
              <w:jc w:val="both"/>
              <w:rPr>
                <w:rFonts w:ascii="Verdana" w:eastAsia="Calibri" w:hAnsi="Verdana" w:cs="Arial"/>
              </w:rPr>
            </w:pPr>
            <w:r>
              <w:rPr>
                <w:rFonts w:ascii="Verdana" w:eastAsia="Calibri" w:hAnsi="Verdana" w:cs="Arial"/>
              </w:rPr>
              <w:t>Por otro lado</w:t>
            </w:r>
            <w:r w:rsidR="00AC2BB1" w:rsidRPr="000570C6">
              <w:rPr>
                <w:rFonts w:ascii="Verdana" w:eastAsia="Calibri" w:hAnsi="Verdana" w:cs="Arial"/>
              </w:rPr>
              <w:t>, en cuanto a los antecedentes disciplinarios y judiciales,</w:t>
            </w:r>
            <w:r>
              <w:rPr>
                <w:rFonts w:ascii="Verdana" w:eastAsia="Calibri" w:hAnsi="Verdana" w:cs="Arial"/>
              </w:rPr>
              <w:t xml:space="preserve"> es necesario precisar que</w:t>
            </w:r>
            <w:r w:rsidR="00AC2BB1" w:rsidRPr="000570C6">
              <w:rPr>
                <w:rFonts w:ascii="Verdana" w:eastAsia="Calibri" w:hAnsi="Verdana" w:cs="Arial"/>
              </w:rPr>
              <w:t xml:space="preserve"> estos</w:t>
            </w:r>
            <w:r w:rsidR="001D36C9">
              <w:rPr>
                <w:rFonts w:ascii="Verdana" w:eastAsia="Calibri" w:hAnsi="Verdana" w:cs="Arial"/>
              </w:rPr>
              <w:t xml:space="preserve"> en </w:t>
            </w:r>
            <w:r w:rsidR="00B45E7D">
              <w:rPr>
                <w:rFonts w:ascii="Verdana" w:eastAsia="Calibri" w:hAnsi="Verdana" w:cs="Arial"/>
              </w:rPr>
              <w:t>sí</w:t>
            </w:r>
            <w:r w:rsidR="001D36C9">
              <w:rPr>
                <w:rFonts w:ascii="Verdana" w:eastAsia="Calibri" w:hAnsi="Verdana" w:cs="Arial"/>
              </w:rPr>
              <w:t xml:space="preserve"> mismo</w:t>
            </w:r>
            <w:r w:rsidR="00864E6E">
              <w:rPr>
                <w:rFonts w:ascii="Verdana" w:eastAsia="Calibri" w:hAnsi="Verdana" w:cs="Arial"/>
              </w:rPr>
              <w:t>s</w:t>
            </w:r>
            <w:r w:rsidR="00AC2BB1" w:rsidRPr="000570C6">
              <w:rPr>
                <w:rFonts w:ascii="Verdana" w:eastAsia="Calibri" w:hAnsi="Verdana" w:cs="Arial"/>
              </w:rPr>
              <w:t xml:space="preserve"> no generan una inhabilidad, sino únicamente cuando </w:t>
            </w:r>
            <w:r w:rsidR="00AC2BB1">
              <w:rPr>
                <w:rFonts w:ascii="Verdana" w:eastAsia="Calibri" w:hAnsi="Verdana" w:cs="Arial"/>
              </w:rPr>
              <w:t>dichas</w:t>
            </w:r>
            <w:r w:rsidR="00AC2BB1" w:rsidRPr="000570C6">
              <w:rPr>
                <w:rFonts w:ascii="Verdana" w:eastAsia="Calibri" w:hAnsi="Verdana" w:cs="Arial"/>
              </w:rPr>
              <w:t xml:space="preserve"> sanciones o condenas</w:t>
            </w:r>
            <w:r w:rsidR="00AC2BB1">
              <w:rPr>
                <w:rFonts w:ascii="Verdana" w:eastAsia="Calibri" w:hAnsi="Verdana" w:cs="Arial"/>
              </w:rPr>
              <w:t xml:space="preserve"> que</w:t>
            </w:r>
            <w:r w:rsidR="00AC2BB1" w:rsidRPr="000570C6">
              <w:rPr>
                <w:rFonts w:ascii="Verdana" w:eastAsia="Calibri" w:hAnsi="Verdana" w:cs="Arial"/>
              </w:rPr>
              <w:t xml:space="preserve">, conforme al artículo 8, literal d) </w:t>
            </w:r>
            <w:r w:rsidR="00AC2BB1">
              <w:rPr>
                <w:rFonts w:ascii="Verdana" w:eastAsia="Calibri" w:hAnsi="Verdana" w:cs="Arial"/>
              </w:rPr>
              <w:t xml:space="preserve">y j) </w:t>
            </w:r>
            <w:r w:rsidR="00AC2BB1" w:rsidRPr="000570C6">
              <w:rPr>
                <w:rFonts w:ascii="Verdana" w:eastAsia="Calibri" w:hAnsi="Verdana" w:cs="Arial"/>
              </w:rPr>
              <w:t>de la Ley 80 de 1993, impliquen destitución por faltas gravísimas o condenas judiciales por delitos contra la administración pública u otras conductas expresamente previstas en la ley</w:t>
            </w:r>
            <w:r w:rsidR="00AC2BB1">
              <w:rPr>
                <w:rFonts w:ascii="Verdana" w:eastAsia="Calibri" w:hAnsi="Verdana" w:cs="Arial"/>
              </w:rPr>
              <w:t>, dichas inhabilidades permanecerán conforme lo indique la ley.</w:t>
            </w:r>
          </w:p>
          <w:p w14:paraId="69FDD76C" w14:textId="31C367FB" w:rsidR="00AC2BB1" w:rsidRDefault="00AC2BB1" w:rsidP="009A1C7B">
            <w:pPr>
              <w:spacing w:before="120" w:after="120" w:line="276" w:lineRule="auto"/>
              <w:ind w:firstLine="709"/>
              <w:jc w:val="both"/>
              <w:rPr>
                <w:rFonts w:ascii="Verdana" w:eastAsia="Calibri" w:hAnsi="Verdana" w:cs="Arial"/>
              </w:rPr>
            </w:pPr>
            <w:r w:rsidRPr="00F61A13">
              <w:rPr>
                <w:rFonts w:ascii="Verdana" w:eastAsia="Calibri" w:hAnsi="Verdana" w:cs="Arial"/>
              </w:rPr>
              <w:t xml:space="preserve">De igual forma, la verificación de otros </w:t>
            </w:r>
            <w:r>
              <w:rPr>
                <w:rFonts w:ascii="Verdana" w:eastAsia="Calibri" w:hAnsi="Verdana" w:cs="Arial"/>
              </w:rPr>
              <w:t>certificados</w:t>
            </w:r>
            <w:r w:rsidRPr="00F61A13">
              <w:rPr>
                <w:rFonts w:ascii="Verdana" w:eastAsia="Calibri" w:hAnsi="Verdana" w:cs="Arial"/>
              </w:rPr>
              <w:t>,</w:t>
            </w:r>
            <w:r>
              <w:rPr>
                <w:rFonts w:ascii="Verdana" w:eastAsia="Calibri" w:hAnsi="Verdana" w:cs="Arial"/>
              </w:rPr>
              <w:t xml:space="preserve"> tales </w:t>
            </w:r>
            <w:r w:rsidRPr="00F61A13">
              <w:rPr>
                <w:rFonts w:ascii="Verdana" w:eastAsia="Calibri" w:hAnsi="Verdana" w:cs="Arial"/>
              </w:rPr>
              <w:t>como el</w:t>
            </w:r>
            <w:r>
              <w:rPr>
                <w:rFonts w:ascii="Verdana" w:eastAsia="Calibri" w:hAnsi="Verdana" w:cs="Arial"/>
              </w:rPr>
              <w:t xml:space="preserve"> Registro </w:t>
            </w:r>
            <w:r w:rsidR="001D36C9">
              <w:rPr>
                <w:rFonts w:ascii="Verdana" w:eastAsia="Calibri" w:hAnsi="Verdana" w:cs="Arial"/>
              </w:rPr>
              <w:t>de</w:t>
            </w:r>
            <w:r>
              <w:rPr>
                <w:rFonts w:ascii="Verdana" w:eastAsia="Calibri" w:hAnsi="Verdana" w:cs="Arial"/>
              </w:rPr>
              <w:t xml:space="preserve"> I</w:t>
            </w:r>
            <w:r w:rsidRPr="00DD418C">
              <w:rPr>
                <w:rFonts w:ascii="Verdana" w:eastAsia="Calibri" w:hAnsi="Verdana" w:cs="Arial"/>
              </w:rPr>
              <w:t xml:space="preserve">nhabilidades </w:t>
            </w:r>
            <w:r w:rsidR="00D73D00">
              <w:rPr>
                <w:rFonts w:ascii="Verdana" w:eastAsia="Calibri" w:hAnsi="Verdana" w:cs="Arial"/>
              </w:rPr>
              <w:t>i</w:t>
            </w:r>
            <w:r w:rsidRPr="00DD418C">
              <w:rPr>
                <w:rFonts w:ascii="Verdana" w:eastAsia="Calibri" w:hAnsi="Verdana" w:cs="Arial"/>
              </w:rPr>
              <w:t xml:space="preserve">mpuestas </w:t>
            </w:r>
            <w:r w:rsidR="00D73D00">
              <w:rPr>
                <w:rFonts w:ascii="Verdana" w:eastAsia="Calibri" w:hAnsi="Verdana" w:cs="Arial"/>
              </w:rPr>
              <w:t>p</w:t>
            </w:r>
            <w:r w:rsidRPr="00DD418C">
              <w:rPr>
                <w:rFonts w:ascii="Verdana" w:eastAsia="Calibri" w:hAnsi="Verdana" w:cs="Arial"/>
              </w:rPr>
              <w:t xml:space="preserve">or Delitos Sexuales </w:t>
            </w:r>
            <w:r w:rsidR="00D73D00">
              <w:rPr>
                <w:rFonts w:ascii="Verdana" w:eastAsia="Calibri" w:hAnsi="Verdana" w:cs="Arial"/>
              </w:rPr>
              <w:t>c</w:t>
            </w:r>
            <w:r w:rsidRPr="00DD418C">
              <w:rPr>
                <w:rFonts w:ascii="Verdana" w:eastAsia="Calibri" w:hAnsi="Verdana" w:cs="Arial"/>
              </w:rPr>
              <w:t xml:space="preserve">ometidos </w:t>
            </w:r>
            <w:r w:rsidR="00D73D00">
              <w:rPr>
                <w:rFonts w:ascii="Verdana" w:eastAsia="Calibri" w:hAnsi="Verdana" w:cs="Arial"/>
              </w:rPr>
              <w:t>c</w:t>
            </w:r>
            <w:r w:rsidRPr="00DD418C">
              <w:rPr>
                <w:rFonts w:ascii="Verdana" w:eastAsia="Calibri" w:hAnsi="Verdana" w:cs="Arial"/>
              </w:rPr>
              <w:t xml:space="preserve">ontra </w:t>
            </w:r>
            <w:r w:rsidR="00D73D00">
              <w:rPr>
                <w:rFonts w:ascii="Verdana" w:eastAsia="Calibri" w:hAnsi="Verdana" w:cs="Arial"/>
              </w:rPr>
              <w:t>m</w:t>
            </w:r>
            <w:r w:rsidRPr="00DD418C">
              <w:rPr>
                <w:rFonts w:ascii="Verdana" w:eastAsia="Calibri" w:hAnsi="Verdana" w:cs="Arial"/>
              </w:rPr>
              <w:t xml:space="preserve">enores </w:t>
            </w:r>
            <w:r w:rsidR="00D73D00">
              <w:rPr>
                <w:rFonts w:ascii="Verdana" w:eastAsia="Calibri" w:hAnsi="Verdana" w:cs="Arial"/>
              </w:rPr>
              <w:t>d</w:t>
            </w:r>
            <w:r w:rsidRPr="00DD418C">
              <w:rPr>
                <w:rFonts w:ascii="Verdana" w:eastAsia="Calibri" w:hAnsi="Verdana" w:cs="Arial"/>
              </w:rPr>
              <w:t xml:space="preserve">e </w:t>
            </w:r>
            <w:r w:rsidR="00D73D00">
              <w:rPr>
                <w:rFonts w:ascii="Verdana" w:eastAsia="Calibri" w:hAnsi="Verdana" w:cs="Arial"/>
              </w:rPr>
              <w:t>e</w:t>
            </w:r>
            <w:r w:rsidRPr="00DD418C">
              <w:rPr>
                <w:rFonts w:ascii="Verdana" w:eastAsia="Calibri" w:hAnsi="Verdana" w:cs="Arial"/>
              </w:rPr>
              <w:t>dad</w:t>
            </w:r>
            <w:r>
              <w:rPr>
                <w:rFonts w:ascii="Verdana" w:eastAsia="Calibri" w:hAnsi="Verdana" w:cs="Arial"/>
              </w:rPr>
              <w:t xml:space="preserve"> o </w:t>
            </w:r>
            <w:r w:rsidRPr="00F61A13">
              <w:rPr>
                <w:rFonts w:ascii="Verdana" w:eastAsia="Calibri" w:hAnsi="Verdana" w:cs="Arial"/>
              </w:rPr>
              <w:t>el Registro de Deudores Alimentarios Morosos (REDAM)</w:t>
            </w:r>
            <w:r>
              <w:rPr>
                <w:rFonts w:ascii="Verdana" w:eastAsia="Calibri" w:hAnsi="Verdana" w:cs="Arial"/>
              </w:rPr>
              <w:t>,</w:t>
            </w:r>
            <w:r w:rsidRPr="00F61A13">
              <w:rPr>
                <w:rFonts w:ascii="Verdana" w:eastAsia="Calibri" w:hAnsi="Verdana" w:cs="Arial"/>
              </w:rPr>
              <w:t xml:space="preserve"> puede dar lugar a inhabilidades específicas para contratar con el Estado, siempre que se configuren los supuestos normativos establecidos en la Ley 1918 de 2018, la Ley 2375 de 2024 y la Ley 2097 de 2021, respectivamente</w:t>
            </w:r>
            <w:r>
              <w:rPr>
                <w:rFonts w:ascii="Verdana" w:eastAsia="Calibri" w:hAnsi="Verdana" w:cs="Arial"/>
              </w:rPr>
              <w:t>.</w:t>
            </w:r>
          </w:p>
          <w:p w14:paraId="706A43D0" w14:textId="77777777" w:rsidR="00513584" w:rsidRDefault="00AC2BB1" w:rsidP="009A1C7B">
            <w:pPr>
              <w:spacing w:before="120" w:after="120" w:line="276" w:lineRule="auto"/>
              <w:ind w:firstLine="709"/>
              <w:jc w:val="both"/>
              <w:rPr>
                <w:rFonts w:ascii="Verdana" w:eastAsia="Calibri" w:hAnsi="Verdana" w:cs="Arial"/>
              </w:rPr>
            </w:pPr>
            <w:r>
              <w:rPr>
                <w:rFonts w:ascii="Verdana" w:eastAsia="Calibri" w:hAnsi="Verdana" w:cs="Arial"/>
              </w:rPr>
              <w:t>E</w:t>
            </w:r>
            <w:r w:rsidRPr="0078081F">
              <w:rPr>
                <w:rFonts w:ascii="Verdana" w:eastAsia="Calibri" w:hAnsi="Verdana" w:cs="Arial"/>
              </w:rPr>
              <w:t xml:space="preserve">n el caso del registro de inhabilidades por delitos sexuales contra menores de edad, la restricción para contratar se encuentra condicionada a </w:t>
            </w:r>
            <w:r w:rsidRPr="0078081F">
              <w:rPr>
                <w:rFonts w:ascii="Verdana" w:eastAsia="Calibri" w:hAnsi="Verdana" w:cs="Arial"/>
              </w:rPr>
              <w:lastRenderedPageBreak/>
              <w:t>que el objeto contractual implique un contacto directo y habitual con personas menores de edad</w:t>
            </w:r>
            <w:r>
              <w:rPr>
                <w:rFonts w:ascii="Verdana" w:eastAsia="Calibri" w:hAnsi="Verdana" w:cs="Arial"/>
              </w:rPr>
              <w:t xml:space="preserve">. </w:t>
            </w:r>
            <w:r w:rsidRPr="0078081F">
              <w:rPr>
                <w:rFonts w:ascii="Verdana" w:eastAsia="Calibri" w:hAnsi="Verdana" w:cs="Arial"/>
              </w:rPr>
              <w:t>Por su parte, la inscripción en el REDAM genera una inhabilidad para contratar con el Estado mientras subsista la mora en el cumplimiento de las obligaciones alimentarias</w:t>
            </w:r>
            <w:r>
              <w:rPr>
                <w:rFonts w:ascii="Verdana" w:eastAsia="Calibri" w:hAnsi="Verdana" w:cs="Arial"/>
              </w:rPr>
              <w:t xml:space="preserve">. </w:t>
            </w:r>
          </w:p>
          <w:p w14:paraId="4A3E292B" w14:textId="3078E060" w:rsidR="00AC2BB1" w:rsidRDefault="00513584" w:rsidP="009A1C7B">
            <w:pPr>
              <w:spacing w:before="120" w:after="120" w:line="276" w:lineRule="auto"/>
              <w:ind w:firstLine="709"/>
              <w:jc w:val="both"/>
              <w:rPr>
                <w:rFonts w:ascii="Verdana" w:eastAsia="Calibri" w:hAnsi="Verdana" w:cs="Arial"/>
              </w:rPr>
            </w:pPr>
            <w:r>
              <w:rPr>
                <w:rFonts w:ascii="Verdana" w:eastAsia="Calibri" w:hAnsi="Verdana" w:cs="Arial"/>
              </w:rPr>
              <w:t>Conforme a lo anterior</w:t>
            </w:r>
            <w:r w:rsidR="00AC2BB1">
              <w:rPr>
                <w:rFonts w:ascii="Verdana" w:eastAsia="Calibri" w:hAnsi="Verdana" w:cs="Arial"/>
              </w:rPr>
              <w:t xml:space="preserve">, </w:t>
            </w:r>
            <w:r w:rsidR="00AC2BB1" w:rsidRPr="00F618C7">
              <w:rPr>
                <w:rFonts w:ascii="Verdana" w:eastAsia="Calibri" w:hAnsi="Verdana" w:cs="Arial"/>
              </w:rPr>
              <w:t>corresponde a las entidades estatales, en ejercicio del deber de verificación determinar en cada caso concreto si los reportes o antecedentes consultados configuran una inhabilidad legal vigente, con fundamento</w:t>
            </w:r>
            <w:r w:rsidR="00AC2BB1">
              <w:rPr>
                <w:rFonts w:ascii="Verdana" w:eastAsia="Calibri" w:hAnsi="Verdana" w:cs="Arial"/>
              </w:rPr>
              <w:t xml:space="preserve"> </w:t>
            </w:r>
            <w:r w:rsidR="00AC2BB1" w:rsidRPr="00F618C7">
              <w:rPr>
                <w:rFonts w:ascii="Verdana" w:eastAsia="Calibri" w:hAnsi="Verdana" w:cs="Arial"/>
              </w:rPr>
              <w:t>la interpretación restrictiva del régimen de inhabilidades y los principios que rigen la contratación pública.</w:t>
            </w:r>
            <w:r w:rsidR="00F73542">
              <w:rPr>
                <w:rFonts w:ascii="Verdana" w:eastAsia="Calibri" w:hAnsi="Verdana" w:cs="Arial"/>
              </w:rPr>
              <w:t xml:space="preserve"> En caso de encontrar</w:t>
            </w:r>
            <w:r w:rsidR="000E35FA">
              <w:rPr>
                <w:rFonts w:ascii="Verdana" w:eastAsia="Calibri" w:hAnsi="Verdana" w:cs="Arial"/>
              </w:rPr>
              <w:t xml:space="preserve"> que se configure una inhabilidad, la Entidad Estatal no podrá contratar con la respectiva persona, </w:t>
            </w:r>
            <w:r w:rsidR="00B45E7D">
              <w:rPr>
                <w:rFonts w:ascii="Verdana" w:eastAsia="Calibri" w:hAnsi="Verdana" w:cs="Arial"/>
              </w:rPr>
              <w:t xml:space="preserve">comoquiera que esta adolecería de capacidad jurídica para contratar con el Estado, mientras la inhabilidad se encuentre vigente. </w:t>
            </w:r>
          </w:p>
          <w:p w14:paraId="4DBE35C8" w14:textId="77777777" w:rsidR="00AC2BB1" w:rsidRPr="00670707" w:rsidRDefault="00AC2BB1" w:rsidP="009A1C7B">
            <w:pPr>
              <w:spacing w:before="120" w:after="120" w:line="276" w:lineRule="auto"/>
              <w:ind w:firstLine="709"/>
              <w:jc w:val="both"/>
              <w:rPr>
                <w:rFonts w:ascii="Verdana" w:eastAsia="Calibri" w:hAnsi="Verdana" w:cs="Arial"/>
              </w:rPr>
            </w:pPr>
            <w:r w:rsidRPr="003650DA">
              <w:rPr>
                <w:rFonts w:ascii="Verdana" w:eastAsia="Calibri" w:hAnsi="Verdana" w:cs="Arial"/>
                <w:bCs/>
              </w:rPr>
              <w:t>Finalmente</w:t>
            </w:r>
            <w:r w:rsidRPr="003650DA">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3650DA">
              <w:rPr>
                <w:rFonts w:ascii="Verdana" w:hAnsi="Verdana"/>
              </w:rPr>
              <w:t xml:space="preserve"> </w:t>
            </w:r>
          </w:p>
        </w:tc>
      </w:tr>
    </w:tbl>
    <w:p w14:paraId="558115C2" w14:textId="77777777" w:rsidR="00AC2BB1" w:rsidRPr="009971BC" w:rsidRDefault="00AC2BB1" w:rsidP="00AC2BB1">
      <w:pPr>
        <w:tabs>
          <w:tab w:val="left" w:pos="142"/>
          <w:tab w:val="left" w:pos="284"/>
        </w:tabs>
        <w:spacing w:after="0" w:line="276" w:lineRule="auto"/>
        <w:jc w:val="both"/>
        <w:rPr>
          <w:rFonts w:ascii="Verdana" w:eastAsia="Century Gothic" w:hAnsi="Verdana" w:cs="Century Gothic"/>
          <w:b/>
          <w:bCs/>
          <w:color w:val="FFC000" w:themeColor="accent4"/>
          <w:lang w:val="es-ES"/>
        </w:rPr>
      </w:pPr>
    </w:p>
    <w:p w14:paraId="542C9C4D" w14:textId="77777777" w:rsidR="00AC2BB1" w:rsidRPr="00682D5D" w:rsidRDefault="00AC2BB1" w:rsidP="00AC2BB1">
      <w:pPr>
        <w:tabs>
          <w:tab w:val="left" w:pos="142"/>
          <w:tab w:val="left" w:pos="284"/>
        </w:tabs>
        <w:spacing w:after="0" w:line="276" w:lineRule="auto"/>
        <w:jc w:val="both"/>
        <w:rPr>
          <w:rFonts w:ascii="Verdana" w:eastAsia="Century Gothic" w:hAnsi="Verdana" w:cs="Century Gothic"/>
          <w:b/>
          <w:lang w:val="es-ES"/>
        </w:rPr>
      </w:pPr>
      <w:r w:rsidRPr="00682D5D">
        <w:rPr>
          <w:rFonts w:ascii="Verdana" w:eastAsia="Century Gothic" w:hAnsi="Verdana" w:cs="Century Gothic"/>
          <w:b/>
          <w:lang w:val="es-ES"/>
        </w:rPr>
        <w:t>3. Razones de la respuesta:</w:t>
      </w:r>
    </w:p>
    <w:p w14:paraId="4E75143B" w14:textId="77777777" w:rsidR="00AC2BB1" w:rsidRPr="009971BC" w:rsidRDefault="00AC2BB1" w:rsidP="00AC2BB1">
      <w:pPr>
        <w:tabs>
          <w:tab w:val="left" w:pos="142"/>
          <w:tab w:val="left" w:pos="284"/>
        </w:tabs>
        <w:spacing w:after="0" w:line="276" w:lineRule="auto"/>
        <w:jc w:val="both"/>
        <w:rPr>
          <w:rFonts w:ascii="Verdana" w:eastAsia="Century Gothic" w:hAnsi="Verdana" w:cs="Century Gothic"/>
          <w:b/>
          <w:color w:val="FFC000" w:themeColor="accent4"/>
          <w:lang w:val="es-ES"/>
        </w:rPr>
      </w:pPr>
    </w:p>
    <w:p w14:paraId="7C96089A" w14:textId="77777777" w:rsidR="00AC2BB1" w:rsidRPr="00682D5D" w:rsidRDefault="00AC2BB1" w:rsidP="00AC2BB1">
      <w:pPr>
        <w:spacing w:after="0" w:line="276" w:lineRule="auto"/>
        <w:jc w:val="both"/>
        <w:rPr>
          <w:rFonts w:ascii="Verdana" w:eastAsia="Calibri" w:hAnsi="Verdana" w:cs="Arial"/>
          <w:lang w:val="es-ES"/>
        </w:rPr>
      </w:pPr>
      <w:r w:rsidRPr="00682D5D">
        <w:rPr>
          <w:rFonts w:ascii="Verdana" w:eastAsia="Calibri" w:hAnsi="Verdana" w:cs="Arial"/>
          <w:lang w:val="es-ES"/>
        </w:rPr>
        <w:t>Lo anterior se sustenta en las siguientes consideraciones:</w:t>
      </w:r>
    </w:p>
    <w:p w14:paraId="22D4EEBD" w14:textId="77777777" w:rsidR="00AC2BB1" w:rsidRPr="009971BC" w:rsidRDefault="00AC2BB1" w:rsidP="00AC2BB1">
      <w:pPr>
        <w:spacing w:after="0" w:line="276" w:lineRule="auto"/>
        <w:jc w:val="both"/>
        <w:rPr>
          <w:rFonts w:ascii="Verdana" w:eastAsia="Calibri" w:hAnsi="Verdana" w:cs="Arial"/>
          <w:color w:val="FFC000" w:themeColor="accent4"/>
          <w:lang w:val="es-ES"/>
        </w:rPr>
      </w:pPr>
    </w:p>
    <w:p w14:paraId="5DD786A0" w14:textId="5DE6DD41" w:rsidR="00AC2BB1" w:rsidRPr="00872B9F" w:rsidRDefault="00AC2BB1" w:rsidP="00AC2BB1">
      <w:pPr>
        <w:pStyle w:val="Sinespaciado"/>
        <w:spacing w:line="276" w:lineRule="auto"/>
        <w:jc w:val="both"/>
        <w:rPr>
          <w:rFonts w:ascii="Verdana" w:hAnsi="Verdana" w:cs="Arial"/>
          <w:sz w:val="22"/>
        </w:rPr>
      </w:pPr>
      <w:bookmarkStart w:id="1" w:name="_Hlk102983874"/>
      <w:bookmarkStart w:id="2" w:name="_Hlk102388095"/>
      <w:r w:rsidRPr="00233F79">
        <w:rPr>
          <w:rFonts w:ascii="Verdana" w:eastAsia="Calibri" w:hAnsi="Verdana" w:cs="Arial"/>
          <w:sz w:val="22"/>
          <w:lang w:val="es-ES"/>
        </w:rPr>
        <w:t>i</w:t>
      </w:r>
      <w:r w:rsidR="008F3054">
        <w:rPr>
          <w:rFonts w:ascii="Verdana" w:eastAsia="Calibri" w:hAnsi="Verdana" w:cs="Arial"/>
          <w:sz w:val="22"/>
          <w:lang w:val="es-ES"/>
        </w:rPr>
        <w:t>.</w:t>
      </w:r>
      <w:r w:rsidRPr="00872B9F">
        <w:rPr>
          <w:rFonts w:ascii="Verdana" w:eastAsia="Verdana" w:hAnsi="Verdana" w:cs="Verdana"/>
          <w:sz w:val="22"/>
          <w:lang w:val="es-ES"/>
        </w:rPr>
        <w:t xml:space="preserve"> </w:t>
      </w:r>
      <w:r w:rsidRPr="00872B9F">
        <w:rPr>
          <w:rFonts w:ascii="Verdana" w:hAnsi="Verdana" w:cs="Arial"/>
          <w:sz w:val="22"/>
        </w:rPr>
        <w:t xml:space="preserve">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w:t>
      </w:r>
      <w:r w:rsidRPr="00872B9F">
        <w:rPr>
          <w:rFonts w:ascii="Verdana" w:hAnsi="Verdana" w:cs="Arial"/>
          <w:sz w:val="22"/>
        </w:rPr>
        <w:lastRenderedPageBreak/>
        <w:t xml:space="preserve">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30548A48" w14:textId="77777777" w:rsidR="00AC2BB1" w:rsidRPr="00872B9F" w:rsidRDefault="00AC2BB1" w:rsidP="00AC2BB1">
      <w:pPr>
        <w:pStyle w:val="Sinespaciado"/>
        <w:spacing w:line="276" w:lineRule="auto"/>
        <w:jc w:val="both"/>
        <w:rPr>
          <w:rFonts w:ascii="Verdana" w:hAnsi="Verdana" w:cs="Arial"/>
          <w:color w:val="000000" w:themeColor="text1"/>
          <w:sz w:val="20"/>
          <w:szCs w:val="20"/>
          <w:lang w:val="es-ES"/>
        </w:rPr>
      </w:pPr>
    </w:p>
    <w:p w14:paraId="3649C40C" w14:textId="77777777" w:rsidR="00AC2BB1" w:rsidRPr="00872B9F" w:rsidRDefault="00AC2BB1" w:rsidP="00AC2BB1">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872B9F">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46F2DCAC" w14:textId="77777777" w:rsidR="00AC2BB1" w:rsidRPr="00EB497B" w:rsidRDefault="00AC2BB1" w:rsidP="00AC2BB1">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872B9F">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872B9F">
        <w:rPr>
          <w:rStyle w:val="Refdenotaalpie"/>
          <w:rFonts w:ascii="Verdana" w:hAnsi="Verdana" w:cs="Arial"/>
          <w:color w:val="000000" w:themeColor="text1"/>
          <w:sz w:val="20"/>
          <w:szCs w:val="20"/>
          <w:lang w:val="es-ES"/>
        </w:rPr>
        <w:footnoteReference w:id="1"/>
      </w:r>
      <w:r w:rsidRPr="00872B9F">
        <w:rPr>
          <w:rFonts w:ascii="Verdana" w:hAnsi="Verdana" w:cs="Arial"/>
          <w:color w:val="000000" w:themeColor="text1"/>
          <w:sz w:val="20"/>
          <w:szCs w:val="20"/>
          <w:lang w:val="es-ES"/>
        </w:rPr>
        <w:t xml:space="preserve">. </w:t>
      </w:r>
    </w:p>
    <w:p w14:paraId="6E0883EE" w14:textId="77777777" w:rsidR="00AC2BB1" w:rsidRDefault="00AC2BB1" w:rsidP="00AC2BB1">
      <w:pPr>
        <w:spacing w:after="120" w:line="276" w:lineRule="auto"/>
        <w:ind w:firstLine="708"/>
        <w:jc w:val="both"/>
        <w:rPr>
          <w:rFonts w:ascii="Verdana" w:hAnsi="Verdana" w:cs="Arial"/>
          <w:color w:val="000000" w:themeColor="text1"/>
        </w:rPr>
      </w:pPr>
      <w:r w:rsidRPr="000C6D8F">
        <w:rPr>
          <w:rFonts w:ascii="Verdana" w:hAnsi="Verdana" w:cs="Arial"/>
          <w:color w:val="000000" w:themeColor="text1"/>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0C6D8F">
        <w:rPr>
          <w:rFonts w:ascii="Verdana" w:eastAsia="Calibri" w:hAnsi="Verdana" w:cs="Arial"/>
          <w:color w:val="000000" w:themeColor="text1"/>
          <w:lang w:val="es-ES_tradnl"/>
        </w:rPr>
        <w:t xml:space="preserve">, el carácter reconocidamente taxativo </w:t>
      </w:r>
      <w:r>
        <w:rPr>
          <w:rFonts w:ascii="Verdana" w:eastAsia="Calibri" w:hAnsi="Verdana" w:cs="Arial"/>
          <w:color w:val="000000" w:themeColor="text1"/>
          <w:lang w:val="es-ES_tradnl"/>
        </w:rPr>
        <w:t>del</w:t>
      </w:r>
      <w:r w:rsidRPr="000C6D8F">
        <w:rPr>
          <w:rFonts w:ascii="Verdana" w:eastAsia="Calibri" w:hAnsi="Verdana" w:cs="Arial"/>
          <w:color w:val="000000" w:themeColor="text1"/>
          <w:lang w:val="es-ES_tradnl"/>
        </w:rPr>
        <w:t xml:space="preserv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0C6D8F">
        <w:rPr>
          <w:rFonts w:ascii="Verdana" w:hAnsi="Verdana" w:cs="Arial"/>
          <w:color w:val="000000" w:themeColor="text1"/>
        </w:rPr>
        <w:t xml:space="preserve">la competencia para determinar qué hechos o situaciones generan inhabilidad para contratar </w:t>
      </w:r>
      <w:r w:rsidRPr="000C6D8F">
        <w:rPr>
          <w:rFonts w:ascii="Verdana" w:hAnsi="Verdana" w:cs="Arial"/>
          <w:color w:val="000000" w:themeColor="text1"/>
        </w:rPr>
        <w:lastRenderedPageBreak/>
        <w:t>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57BA2C4F" w14:textId="77777777" w:rsidR="00AC2BB1" w:rsidRDefault="00AC2BB1" w:rsidP="00AC2BB1">
      <w:pPr>
        <w:spacing w:after="0" w:line="276" w:lineRule="auto"/>
        <w:ind w:firstLine="709"/>
        <w:contextualSpacing/>
        <w:jc w:val="both"/>
        <w:rPr>
          <w:rFonts w:ascii="Verdana" w:eastAsia="Calibri" w:hAnsi="Verdana" w:cs="Arial"/>
          <w:lang w:val="es-ES_tradnl"/>
        </w:rPr>
      </w:pPr>
      <w:r>
        <w:rPr>
          <w:rFonts w:ascii="Verdana" w:eastAsia="Calibri" w:hAnsi="Verdana" w:cs="Arial"/>
          <w:lang w:val="es-ES_tradnl"/>
        </w:rPr>
        <w:t>De esta manera</w:t>
      </w:r>
      <w:r w:rsidRPr="000C6D8F">
        <w:rPr>
          <w:rFonts w:ascii="Verdana" w:eastAsia="Calibri" w:hAnsi="Verdana" w:cs="Arial"/>
          <w:lang w:val="es-ES_tradnl"/>
        </w:rPr>
        <w:t xml:space="preserve">,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0C6D8F">
        <w:rPr>
          <w:rFonts w:ascii="Verdana" w:eastAsia="Calibri" w:hAnsi="Verdana" w:cs="Arial"/>
          <w:i/>
          <w:iCs/>
          <w:lang w:val="es-ES_tradnl"/>
        </w:rPr>
        <w:t>restrictiva</w:t>
      </w:r>
      <w:r w:rsidRPr="000C6D8F">
        <w:rPr>
          <w:rFonts w:ascii="Verdana" w:eastAsia="Calibri" w:hAnsi="Verdana" w:cs="Arial"/>
          <w:lang w:val="es-ES_tradnl"/>
        </w:rPr>
        <w:t>. En contraste, si se admitiera una interpretación amplia, extensiva</w:t>
      </w:r>
      <w:r>
        <w:rPr>
          <w:rFonts w:ascii="Verdana" w:eastAsia="Calibri" w:hAnsi="Verdana" w:cs="Arial"/>
          <w:lang w:val="es-ES_tradnl"/>
        </w:rPr>
        <w:t>, analógica</w:t>
      </w:r>
      <w:r w:rsidRPr="000C6D8F">
        <w:rPr>
          <w:rFonts w:ascii="Verdana" w:eastAsia="Calibri" w:hAnsi="Verdana" w:cs="Arial"/>
          <w:lang w:val="es-ES_tradnl"/>
        </w:rPr>
        <w:t xml:space="preserve">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Pr>
          <w:rStyle w:val="Refdenotaalpie"/>
          <w:rFonts w:ascii="Verdana" w:eastAsia="Calibri" w:hAnsi="Verdana" w:cs="Arial"/>
          <w:lang w:val="es-ES_tradnl"/>
        </w:rPr>
        <w:footnoteReference w:id="2"/>
      </w:r>
      <w:r w:rsidRPr="000C6D8F">
        <w:rPr>
          <w:rFonts w:ascii="Verdana" w:eastAsia="Calibri" w:hAnsi="Verdana" w:cs="Arial"/>
          <w:lang w:val="es-ES_tradnl"/>
        </w:rPr>
        <w:t>.</w:t>
      </w:r>
    </w:p>
    <w:p w14:paraId="1C42AD71" w14:textId="77777777" w:rsidR="00AC2BB1" w:rsidRPr="00473D04" w:rsidRDefault="00AC2BB1" w:rsidP="00AC2BB1">
      <w:pPr>
        <w:spacing w:after="0" w:line="276" w:lineRule="auto"/>
        <w:ind w:firstLine="709"/>
        <w:contextualSpacing/>
        <w:jc w:val="both"/>
        <w:rPr>
          <w:rFonts w:ascii="Verdana" w:eastAsia="Calibri" w:hAnsi="Verdana" w:cs="Arial"/>
          <w:lang w:val="es-ES_tradnl"/>
        </w:rPr>
      </w:pPr>
    </w:p>
    <w:p w14:paraId="45047A41" w14:textId="6383C35B" w:rsidR="00AC2BB1" w:rsidRPr="00B06AD7" w:rsidRDefault="00AC2BB1" w:rsidP="00AC2BB1">
      <w:pPr>
        <w:pBdr>
          <w:top w:val="nil"/>
          <w:left w:val="nil"/>
          <w:bottom w:val="nil"/>
          <w:right w:val="nil"/>
          <w:between w:val="nil"/>
        </w:pBdr>
        <w:spacing w:after="0" w:line="276" w:lineRule="auto"/>
        <w:contextualSpacing/>
        <w:jc w:val="both"/>
        <w:rPr>
          <w:rFonts w:ascii="Verdana" w:eastAsia="Calibri" w:hAnsi="Verdana" w:cs="Arial"/>
          <w:lang w:val="es-ES"/>
        </w:rPr>
      </w:pPr>
      <w:proofErr w:type="spellStart"/>
      <w:r w:rsidRPr="00233F79">
        <w:rPr>
          <w:rFonts w:ascii="Verdana" w:eastAsia="Verdana" w:hAnsi="Verdana" w:cs="Verdana"/>
        </w:rPr>
        <w:t>ii</w:t>
      </w:r>
      <w:proofErr w:type="spellEnd"/>
      <w:r w:rsidR="008F3054">
        <w:rPr>
          <w:rFonts w:ascii="Verdana" w:eastAsia="Verdana" w:hAnsi="Verdana" w:cs="Verdana"/>
        </w:rPr>
        <w:t>.</w:t>
      </w:r>
      <w:r w:rsidRPr="00233F79">
        <w:rPr>
          <w:rFonts w:ascii="Verdana" w:eastAsia="Verdana" w:hAnsi="Verdana" w:cs="Verdana"/>
        </w:rPr>
        <w:t xml:space="preserve"> </w:t>
      </w:r>
      <w:r w:rsidR="008F3054">
        <w:rPr>
          <w:rFonts w:ascii="Verdana" w:eastAsia="Verdana" w:hAnsi="Verdana" w:cs="Verdana"/>
        </w:rPr>
        <w:t xml:space="preserve">Para </w:t>
      </w:r>
      <w:r w:rsidRPr="000B259F">
        <w:rPr>
          <w:rFonts w:ascii="Verdana" w:hAnsi="Verdana"/>
        </w:rPr>
        <w:t xml:space="preserve">resolver el problema jurídico planteado, la declaratoria de responsabilidad fiscal reportada en el Boletín de Responsables Fiscales –SIBOR– causa una inhabilidad para celebrar contratos con el Estado. Lo anterior, con fundamento en el </w:t>
      </w:r>
      <w:r w:rsidRPr="000B259F">
        <w:rPr>
          <w:rFonts w:ascii="Verdana" w:eastAsia="Verdana" w:hAnsi="Verdana" w:cs="Verdana"/>
        </w:rPr>
        <w:t xml:space="preserve">artículo 60 de la Ley 610 de 2000 donde se indica que, </w:t>
      </w:r>
      <w:r w:rsidRPr="000B259F">
        <w:rPr>
          <w:rFonts w:ascii="Verdana" w:eastAsia="Calibri" w:hAnsi="Verdana" w:cs="Arial"/>
          <w:lang w:val="es-ES"/>
        </w:rPr>
        <w:t>“La Contraloría General de la República publicará con periodicidad trimestral un boletín que contendrá los nombres de las personas naturales o jurídicas a quienes se les haya dictado fallo con responsabilidad fiscal en firme y ejecutoriado y no hayan satisfecho la obligación contenida en él”</w:t>
      </w:r>
      <w:r>
        <w:rPr>
          <w:rFonts w:ascii="Verdana" w:eastAsia="Calibri" w:hAnsi="Verdana" w:cs="Arial"/>
          <w:lang w:val="es-ES"/>
        </w:rPr>
        <w:t xml:space="preserve">, este artículo, también hace mención en que </w:t>
      </w:r>
      <w:r w:rsidRPr="000B259F">
        <w:rPr>
          <w:rFonts w:ascii="Verdana" w:eastAsia="Calibri" w:hAnsi="Verdana" w:cs="Arial"/>
          <w:lang w:val="es-ES"/>
        </w:rPr>
        <w:t xml:space="preserve"> “Los representantes legales, así como los </w:t>
      </w:r>
      <w:r w:rsidRPr="000B259F">
        <w:rPr>
          <w:rFonts w:ascii="Verdana" w:eastAsia="Calibri" w:hAnsi="Verdana" w:cs="Arial"/>
          <w:lang w:val="es-ES"/>
        </w:rPr>
        <w:lastRenderedPageBreak/>
        <w:t>nominadores y demás funcionarios competentes, deberán abstenerse de nombrar, dar posesión o celebrar cualquier tipo de contrato con quienes aparezcan en el boletín de responsables</w:t>
      </w:r>
      <w:r>
        <w:rPr>
          <w:rFonts w:ascii="Verdana" w:eastAsia="Calibri" w:hAnsi="Verdana" w:cs="Arial"/>
          <w:lang w:val="es-ES"/>
        </w:rPr>
        <w:t xml:space="preserve">”. </w:t>
      </w:r>
      <w:r w:rsidRPr="000B259F">
        <w:rPr>
          <w:rFonts w:ascii="Verdana" w:eastAsia="Calibri" w:hAnsi="Verdana" w:cs="Arial"/>
          <w:lang w:val="es-ES"/>
        </w:rPr>
        <w:t>El parágrafo primero del artículo 42 de la Ley 1952 de 2019 dispone que:</w:t>
      </w:r>
    </w:p>
    <w:p w14:paraId="57D2DDEA" w14:textId="77777777" w:rsidR="00AC2BB1" w:rsidRPr="00CE34FB" w:rsidRDefault="00AC2BB1" w:rsidP="00AC2BB1">
      <w:pPr>
        <w:spacing w:after="120" w:line="240" w:lineRule="auto"/>
        <w:jc w:val="both"/>
        <w:rPr>
          <w:rFonts w:ascii="Verdana" w:eastAsia="Verdana" w:hAnsi="Verdana" w:cs="Verdana"/>
          <w:sz w:val="20"/>
          <w:szCs w:val="20"/>
          <w:lang w:val="es-ES"/>
        </w:rPr>
      </w:pPr>
    </w:p>
    <w:p w14:paraId="4F982CBA" w14:textId="77777777" w:rsidR="00AC2BB1" w:rsidRPr="00CE34FB" w:rsidRDefault="00AC2BB1" w:rsidP="00AC2BB1">
      <w:pPr>
        <w:pBdr>
          <w:top w:val="nil"/>
          <w:left w:val="nil"/>
          <w:bottom w:val="nil"/>
          <w:right w:val="nil"/>
          <w:between w:val="nil"/>
        </w:pBdr>
        <w:spacing w:after="120" w:line="240" w:lineRule="auto"/>
        <w:ind w:left="709" w:right="709"/>
        <w:jc w:val="both"/>
        <w:rPr>
          <w:rFonts w:ascii="Verdana" w:eastAsia="Calibri" w:hAnsi="Verdana" w:cs="Arial"/>
          <w:sz w:val="20"/>
          <w:szCs w:val="20"/>
          <w:lang w:val="es-ES"/>
        </w:rPr>
      </w:pPr>
      <w:r w:rsidRPr="00CE34FB">
        <w:rPr>
          <w:rFonts w:ascii="Verdana" w:eastAsia="Calibri" w:hAnsi="Verdana" w:cs="Arial"/>
          <w:sz w:val="20"/>
          <w:szCs w:val="20"/>
          <w:lang w:val="es-ES_tradnl"/>
        </w:rPr>
        <w:t>“</w:t>
      </w:r>
      <w:r w:rsidRPr="00CE34FB">
        <w:rPr>
          <w:rFonts w:ascii="Verdana" w:eastAsia="Calibri" w:hAnsi="Verdana" w:cs="Arial"/>
          <w:sz w:val="20"/>
          <w:szCs w:val="20"/>
          <w:lang w:val="es-ES"/>
        </w:rPr>
        <w:t xml:space="preserve">Quien haya sido declarado responsable fiscalmente será inhábil para el ejercicio de cargos públicos y para contratar con el Estado durante los cinco (5) años siguientes a la ejecutoria del fallo correspondiente. Esta inhabilidad cesará cuando la Contraloría competente declare haber recibido el pago o, si este no fuere procedente, cuando la Contraloría General de la República excluya al responsable del boletín de responsables fiscales. </w:t>
      </w:r>
    </w:p>
    <w:p w14:paraId="1BF8C9CB" w14:textId="77777777" w:rsidR="00AC2BB1" w:rsidRPr="00CE34FB" w:rsidRDefault="00AC2BB1" w:rsidP="00AC2BB1">
      <w:pPr>
        <w:pBdr>
          <w:top w:val="nil"/>
          <w:left w:val="nil"/>
          <w:bottom w:val="nil"/>
          <w:right w:val="nil"/>
          <w:between w:val="nil"/>
        </w:pBdr>
        <w:spacing w:after="0" w:line="240" w:lineRule="auto"/>
        <w:ind w:left="709" w:right="709"/>
        <w:contextualSpacing/>
        <w:jc w:val="both"/>
        <w:rPr>
          <w:rFonts w:ascii="Verdana" w:eastAsia="Calibri" w:hAnsi="Verdana" w:cs="Arial"/>
          <w:sz w:val="20"/>
          <w:szCs w:val="20"/>
          <w:lang w:val="es-ES"/>
        </w:rPr>
      </w:pPr>
      <w:r w:rsidRPr="00CE34FB">
        <w:rPr>
          <w:rFonts w:ascii="Verdana" w:eastAsia="Calibri" w:hAnsi="Verdana" w:cs="Arial"/>
          <w:sz w:val="20"/>
          <w:szCs w:val="20"/>
          <w:lang w:val="es-ES"/>
        </w:rPr>
        <w:t>Si pasados cinco años desde la ejecutoria de la providencia, quien haya sido declarado responsable fiscalmente no hubiere pagado la suma establecida en el fallo ni hubiere sido excluido del boletín de responsables fiscales, continuará siendo inhábil por cinco años si la cuantía, al momento de la declaración de responsabilidad fiscal, fuere superior a 100 salarios mínimos legales mensuales vigentes; por dos años si la cuantía fuere superior a 50 sin exceder de 100 salarios mínimos legales mensuales vigentes; por un año si la cuantía fuere superior a 10 salarios mínimos legales mensuales vigentes sin exceder de 50, y por tres meses si la cuantía fuere igual o inferior a 10 salarios mínimos legales mensuales vigentes”.</w:t>
      </w:r>
    </w:p>
    <w:p w14:paraId="32622BA4" w14:textId="77777777" w:rsidR="00AC2BB1" w:rsidRDefault="00AC2BB1" w:rsidP="00AC2BB1">
      <w:pPr>
        <w:spacing w:after="120" w:line="276" w:lineRule="auto"/>
        <w:contextualSpacing/>
        <w:jc w:val="both"/>
        <w:rPr>
          <w:rFonts w:ascii="Verdana" w:eastAsia="Verdana" w:hAnsi="Verdana" w:cs="Verdana"/>
          <w:lang w:val="es-ES"/>
        </w:rPr>
      </w:pPr>
    </w:p>
    <w:p w14:paraId="7B310393" w14:textId="77777777" w:rsidR="00AC2BB1" w:rsidRDefault="00AC2BB1" w:rsidP="0024401B">
      <w:pPr>
        <w:spacing w:after="120" w:line="276" w:lineRule="auto"/>
        <w:ind w:firstLine="708"/>
        <w:contextualSpacing/>
        <w:jc w:val="both"/>
        <w:rPr>
          <w:rFonts w:ascii="Verdana" w:eastAsia="Verdana" w:hAnsi="Verdana" w:cs="Verdana"/>
          <w:lang w:val="es-ES"/>
        </w:rPr>
      </w:pPr>
      <w:r w:rsidRPr="00725861">
        <w:rPr>
          <w:rFonts w:ascii="Verdana" w:eastAsia="Verdana" w:hAnsi="Verdana" w:cs="Verdana"/>
          <w:lang w:val="es-ES"/>
        </w:rPr>
        <w:t xml:space="preserve">En ese contexto, </w:t>
      </w:r>
      <w:r w:rsidRPr="00725861">
        <w:rPr>
          <w:rFonts w:ascii="Verdana" w:hAnsi="Verdana"/>
        </w:rPr>
        <w:t>la inclusión de una persona natural o jurídica en el Boletín de Responsables Fiscales como consecuencia de un fallo con responsabilidad fiscal en firme y ejecutoriado comporta una inhabilidad legal para contratar con el Estado, la cual se mantiene vigente mientras subsista el reporte y no se haya acreditado el pago de la obligación o la exclusión del boletín,</w:t>
      </w:r>
      <w:r>
        <w:rPr>
          <w:rFonts w:ascii="Verdana" w:hAnsi="Verdana"/>
        </w:rPr>
        <w:t xml:space="preserve"> esto</w:t>
      </w:r>
      <w:r w:rsidRPr="00725861">
        <w:rPr>
          <w:rFonts w:ascii="Verdana" w:hAnsi="Verdana"/>
        </w:rPr>
        <w:t xml:space="preserve"> conforme a los términos y condiciones previstos en la Ley 610 de 2000 y la Ley 1952 de 2019.</w:t>
      </w:r>
    </w:p>
    <w:p w14:paraId="226305CE" w14:textId="77777777" w:rsidR="00AC2BB1" w:rsidRPr="00AF4774" w:rsidRDefault="00AC2BB1" w:rsidP="00AC2BB1">
      <w:pPr>
        <w:spacing w:after="120" w:line="276" w:lineRule="auto"/>
        <w:contextualSpacing/>
        <w:jc w:val="both"/>
        <w:rPr>
          <w:rFonts w:ascii="Verdana" w:eastAsia="Verdana" w:hAnsi="Verdana" w:cs="Verdana"/>
          <w:lang w:val="es-ES"/>
        </w:rPr>
      </w:pPr>
    </w:p>
    <w:p w14:paraId="4BE27CC9" w14:textId="50EA741E" w:rsidR="00AC2BB1" w:rsidRDefault="00AC2BB1" w:rsidP="00AC2BB1">
      <w:pPr>
        <w:spacing w:after="120" w:line="276" w:lineRule="auto"/>
        <w:jc w:val="both"/>
        <w:rPr>
          <w:rFonts w:ascii="Verdana" w:eastAsia="Verdana" w:hAnsi="Verdana" w:cs="Verdana"/>
          <w:lang w:val="es-ES"/>
        </w:rPr>
      </w:pPr>
      <w:proofErr w:type="spellStart"/>
      <w:r w:rsidRPr="00233F79">
        <w:rPr>
          <w:rFonts w:ascii="Verdana" w:eastAsia="Verdana" w:hAnsi="Verdana" w:cs="Verdana"/>
          <w:lang w:val="es-ES"/>
        </w:rPr>
        <w:t>i</w:t>
      </w:r>
      <w:r>
        <w:rPr>
          <w:rFonts w:ascii="Verdana" w:eastAsia="Verdana" w:hAnsi="Verdana" w:cs="Verdana"/>
          <w:lang w:val="es-ES"/>
        </w:rPr>
        <w:t>i</w:t>
      </w:r>
      <w:r w:rsidRPr="00233F79">
        <w:rPr>
          <w:rFonts w:ascii="Verdana" w:eastAsia="Verdana" w:hAnsi="Verdana" w:cs="Verdana"/>
          <w:lang w:val="es-ES"/>
        </w:rPr>
        <w:t>i</w:t>
      </w:r>
      <w:proofErr w:type="spellEnd"/>
      <w:r w:rsidR="008F3054">
        <w:rPr>
          <w:rFonts w:ascii="Verdana" w:eastAsia="Verdana" w:hAnsi="Verdana" w:cs="Verdana"/>
          <w:lang w:val="es-ES"/>
        </w:rPr>
        <w:t>.</w:t>
      </w:r>
      <w:r w:rsidRPr="00233F79">
        <w:rPr>
          <w:rFonts w:ascii="Verdana" w:eastAsia="Verdana" w:hAnsi="Verdana" w:cs="Verdana"/>
          <w:lang w:val="es-ES"/>
        </w:rPr>
        <w:t xml:space="preserve"> Con</w:t>
      </w:r>
      <w:r>
        <w:rPr>
          <w:rFonts w:ascii="Verdana" w:eastAsia="Verdana" w:hAnsi="Verdana" w:cs="Verdana"/>
          <w:lang w:val="es-ES"/>
        </w:rPr>
        <w:t xml:space="preserve"> respecto a los antecedentes disciplinarios y judiciales, entre las incompatibilidades para contratar con el Estado se encuentran previstas en el </w:t>
      </w:r>
      <w:r>
        <w:rPr>
          <w:rFonts w:ascii="Verdana" w:eastAsia="Verdana" w:hAnsi="Verdana" w:cs="Verdana"/>
          <w:lang w:val="es-ES"/>
        </w:rPr>
        <w:lastRenderedPageBreak/>
        <w:t>artículo 8, literales d)</w:t>
      </w:r>
      <w:r>
        <w:rPr>
          <w:rStyle w:val="Refdenotaalpie"/>
          <w:rFonts w:ascii="Verdana" w:eastAsia="Verdana" w:hAnsi="Verdana" w:cs="Verdana"/>
          <w:lang w:val="es-ES"/>
        </w:rPr>
        <w:footnoteReference w:id="3"/>
      </w:r>
      <w:r>
        <w:rPr>
          <w:rFonts w:ascii="Verdana" w:eastAsia="Verdana" w:hAnsi="Verdana" w:cs="Verdana"/>
          <w:lang w:val="es-ES"/>
        </w:rPr>
        <w:t xml:space="preserve"> y j)</w:t>
      </w:r>
      <w:r w:rsidRPr="002A2B5D">
        <w:rPr>
          <w:lang w:val="es-ES"/>
        </w:rPr>
        <w:footnoteReference w:id="4"/>
      </w:r>
      <w:r>
        <w:rPr>
          <w:rFonts w:ascii="Verdana" w:eastAsia="Verdana" w:hAnsi="Verdana" w:cs="Verdana"/>
          <w:lang w:val="es-ES"/>
        </w:rPr>
        <w:t xml:space="preserve"> de la Ley 80 de 1993. La incompatibilidad señalada en el literal d) está dirigida a dos grupos de personas, en primer lugar, quienes hayan sido condenados por sentencia judicial a la pena accesoria de interdicción de derechos y funciones públicas,</w:t>
      </w:r>
      <w:r w:rsidRPr="002A2B5D">
        <w:rPr>
          <w:rFonts w:ascii="Verdana" w:eastAsia="Verdana" w:hAnsi="Verdana" w:cs="Verdana"/>
          <w:lang w:val="es-ES"/>
        </w:rPr>
        <w:t xml:space="preserve"> y la segunda, quienes hayan sido sancionados disciplinariamente con destitución</w:t>
      </w:r>
      <w:r>
        <w:rPr>
          <w:rFonts w:ascii="Verdana" w:eastAsia="Verdana" w:hAnsi="Verdana" w:cs="Verdana"/>
          <w:lang w:val="es-ES"/>
        </w:rPr>
        <w:t xml:space="preserve"> </w:t>
      </w:r>
      <w:r w:rsidRPr="00B93EFB">
        <w:rPr>
          <w:rFonts w:ascii="Verdana" w:eastAsia="Verdana" w:hAnsi="Verdana" w:cs="Verdana"/>
          <w:lang w:val="es-ES"/>
        </w:rPr>
        <w:t>cuando incurre en faltas gravísimas, especialmente aquellas que afectan principios como la moralidad, la legalidad, la imparcialidad o la eficiencia administrativa.</w:t>
      </w:r>
    </w:p>
    <w:p w14:paraId="4ADA19C3" w14:textId="77777777" w:rsidR="00AC2BB1" w:rsidRDefault="00AC2BB1" w:rsidP="00AC2BB1">
      <w:pPr>
        <w:spacing w:after="120" w:line="276" w:lineRule="auto"/>
        <w:jc w:val="both"/>
        <w:rPr>
          <w:rFonts w:ascii="Verdana" w:eastAsia="Verdana" w:hAnsi="Verdana" w:cs="Verdana"/>
        </w:rPr>
      </w:pPr>
      <w:r>
        <w:rPr>
          <w:rFonts w:ascii="Verdana" w:eastAsia="Verdana" w:hAnsi="Verdana" w:cs="Verdana"/>
          <w:lang w:val="es-ES"/>
        </w:rPr>
        <w:tab/>
        <w:t xml:space="preserve">Ahora bien, en lo que concierne al numeral d) el mismo artículo precisa que, estas inhabilidades se </w:t>
      </w:r>
      <w:r w:rsidRPr="004A198D">
        <w:rPr>
          <w:rFonts w:ascii="Verdana" w:eastAsia="Verdana" w:hAnsi="Verdana" w:cs="Verdana"/>
        </w:rPr>
        <w:t>extenderán por un término de cinco (5) años, contados a partir de la fecha de ejecutoria del acto administrativo que declaró la caducidad de la sentencia judicial que impuso la pena o del acto que dispuso la destitución, según corresponda. Esta limitación evidencia que la inhabilidad no tiene</w:t>
      </w:r>
      <w:r>
        <w:rPr>
          <w:rFonts w:ascii="Verdana" w:eastAsia="Verdana" w:hAnsi="Verdana" w:cs="Verdana"/>
        </w:rPr>
        <w:t xml:space="preserve"> un</w:t>
      </w:r>
      <w:r w:rsidRPr="004A198D">
        <w:rPr>
          <w:rFonts w:ascii="Verdana" w:eastAsia="Verdana" w:hAnsi="Verdana" w:cs="Verdana"/>
        </w:rPr>
        <w:t xml:space="preserve"> carácter pe</w:t>
      </w:r>
      <w:r>
        <w:rPr>
          <w:rFonts w:ascii="Verdana" w:eastAsia="Verdana" w:hAnsi="Verdana" w:cs="Verdana"/>
        </w:rPr>
        <w:t>rmanente</w:t>
      </w:r>
      <w:r w:rsidRPr="004A198D">
        <w:rPr>
          <w:rFonts w:ascii="Verdana" w:eastAsia="Verdana" w:hAnsi="Verdana" w:cs="Verdana"/>
        </w:rPr>
        <w:t>, sino que responde a un criterio de proporcionalidad, permitiendo que, una vez transcurrido el término legal, la persona recupere su capacidad para contratar con el Estado.</w:t>
      </w:r>
      <w:r>
        <w:rPr>
          <w:rFonts w:ascii="Verdana" w:eastAsia="Verdana" w:hAnsi="Verdana" w:cs="Verdana"/>
        </w:rPr>
        <w:t xml:space="preserve"> </w:t>
      </w:r>
    </w:p>
    <w:p w14:paraId="2C1B3983" w14:textId="77777777" w:rsidR="00AC2BB1" w:rsidRDefault="00AC2BB1" w:rsidP="00AC2BB1">
      <w:pPr>
        <w:spacing w:after="120" w:line="276" w:lineRule="auto"/>
        <w:ind w:firstLine="708"/>
        <w:jc w:val="both"/>
        <w:rPr>
          <w:rFonts w:ascii="Verdana" w:eastAsia="Verdana" w:hAnsi="Verdana" w:cs="Verdana"/>
        </w:rPr>
      </w:pPr>
      <w:r>
        <w:rPr>
          <w:rFonts w:ascii="Verdana" w:eastAsia="Verdana" w:hAnsi="Verdana" w:cs="Verdana"/>
        </w:rPr>
        <w:t>Acerca de la inhabilidad que versa el numeral j) de este artículo, este fue</w:t>
      </w:r>
      <w:r w:rsidRPr="00B55652">
        <w:rPr>
          <w:rFonts w:ascii="Verdana" w:eastAsia="Verdana" w:hAnsi="Verdana" w:cs="Verdana"/>
        </w:rPr>
        <w:t>, adicionado por la Ley 1150 de 2007</w:t>
      </w:r>
      <w:r>
        <w:rPr>
          <w:rStyle w:val="Refdenotaalpie"/>
          <w:rFonts w:ascii="Verdana" w:eastAsia="Verdana" w:hAnsi="Verdana" w:cs="Verdana"/>
        </w:rPr>
        <w:footnoteReference w:id="5"/>
      </w:r>
      <w:r>
        <w:rPr>
          <w:rFonts w:ascii="Verdana" w:eastAsia="Verdana" w:hAnsi="Verdana" w:cs="Verdana"/>
        </w:rPr>
        <w:t>, esta</w:t>
      </w:r>
      <w:r w:rsidRPr="00B55652">
        <w:rPr>
          <w:rFonts w:ascii="Verdana" w:eastAsia="Verdana" w:hAnsi="Verdana" w:cs="Verdana"/>
        </w:rPr>
        <w:t xml:space="preserve"> disposición declara inhábiles para contratar con el Estado a las personas naturales que hayan sido declaradas responsables judicialmente por la comisión de delitos contra la Administración Pública, así como por cualquiera de los delitos o faltas contemplados en la Ley 1474 de 2011 y sus normas modificatorias, y por las conductas delictivas previstas en convenciones o tratados internacionales de lucha contra la </w:t>
      </w:r>
      <w:r w:rsidRPr="00B55652">
        <w:rPr>
          <w:rFonts w:ascii="Verdana" w:eastAsia="Verdana" w:hAnsi="Verdana" w:cs="Verdana"/>
        </w:rPr>
        <w:lastRenderedPageBreak/>
        <w:t xml:space="preserve">corrupción suscritos y ratificados por Colombia. </w:t>
      </w:r>
      <w:r>
        <w:rPr>
          <w:rFonts w:ascii="Verdana" w:eastAsia="Verdana" w:hAnsi="Verdana" w:cs="Verdana"/>
        </w:rPr>
        <w:t xml:space="preserve">De igual manera, esta </w:t>
      </w:r>
      <w:r w:rsidRPr="00B55652">
        <w:rPr>
          <w:rFonts w:ascii="Verdana" w:eastAsia="Verdana" w:hAnsi="Verdana" w:cs="Verdana"/>
        </w:rPr>
        <w:t>inhabilidad se extiende más allá de la persona directamente responsable, al comprender también a las sociedades en las que estas personas participen en calidad de administradores, representantes legales, miembros de junta directiva o socios controlantes</w:t>
      </w:r>
      <w:r>
        <w:rPr>
          <w:rFonts w:ascii="Verdana" w:eastAsia="Verdana" w:hAnsi="Verdana" w:cs="Verdana"/>
        </w:rPr>
        <w:t xml:space="preserve">, </w:t>
      </w:r>
      <w:r w:rsidRPr="00B55652">
        <w:rPr>
          <w:rFonts w:ascii="Verdana" w:eastAsia="Verdana" w:hAnsi="Verdana" w:cs="Verdana"/>
        </w:rPr>
        <w:t xml:space="preserve">se extiende a sus matrices, subordinadas, grupos empresariales cuando la conducta delictiva haya sido parte de una política del grupo, y a las sucursales de sociedades extranjeras, con excepción de las sociedades anónimas abiertas. </w:t>
      </w:r>
    </w:p>
    <w:p w14:paraId="2B7A311B" w14:textId="77777777" w:rsidR="00AC2BB1" w:rsidRPr="0016719D" w:rsidRDefault="00AC2BB1" w:rsidP="00AC2BB1">
      <w:pPr>
        <w:spacing w:after="120" w:line="276" w:lineRule="auto"/>
        <w:ind w:firstLine="708"/>
        <w:jc w:val="both"/>
        <w:rPr>
          <w:rFonts w:ascii="Verdana" w:eastAsia="Verdana" w:hAnsi="Verdana" w:cs="Verdana"/>
        </w:rPr>
      </w:pPr>
      <w:r w:rsidRPr="00D8621F">
        <w:rPr>
          <w:rFonts w:ascii="Verdana" w:eastAsia="Verdana" w:hAnsi="Verdana" w:cs="Verdana"/>
        </w:rPr>
        <w:t>En este contexto, el Certificado de Antecedentes Disciplinarios expedido por la Procuraduría General de la Nación y el Certificado de Antecedentes Judiciales constituyen instrumentos esenciales para la verificación del cumplimiento de los requisitos de idoneidad exigidos para contratar con el Estado. A través del primero se constata si el interesado ha sido sancionado disciplinariamente con destitución por faltas gravísimas que generen inhabilidad</w:t>
      </w:r>
      <w:r>
        <w:rPr>
          <w:rFonts w:ascii="Verdana" w:eastAsia="Verdana" w:hAnsi="Verdana" w:cs="Verdana"/>
        </w:rPr>
        <w:t>es</w:t>
      </w:r>
      <w:r w:rsidRPr="00D8621F">
        <w:rPr>
          <w:rFonts w:ascii="Verdana" w:eastAsia="Verdana" w:hAnsi="Verdana" w:cs="Verdana"/>
        </w:rPr>
        <w:t>; mientras que el segundo permite verificar la existencia de condenas judiciales relacionadas con delitos contra la Administración Pública u otras conductas asociadas a la corrupción</w:t>
      </w:r>
      <w:r>
        <w:rPr>
          <w:rFonts w:ascii="Verdana" w:eastAsia="Verdana" w:hAnsi="Verdana" w:cs="Verdana"/>
        </w:rPr>
        <w:t>.</w:t>
      </w:r>
    </w:p>
    <w:p w14:paraId="09BA9C79" w14:textId="4D75789E" w:rsidR="00AC2BB1" w:rsidRPr="009A593A" w:rsidRDefault="00AC2BB1" w:rsidP="00AC2BB1">
      <w:pPr>
        <w:spacing w:after="120" w:line="276" w:lineRule="auto"/>
        <w:jc w:val="both"/>
        <w:rPr>
          <w:rFonts w:ascii="Verdana" w:eastAsia="Calibri" w:hAnsi="Verdana" w:cs="Arial"/>
          <w:bCs/>
          <w:color w:val="EE0000"/>
        </w:rPr>
      </w:pPr>
      <w:proofErr w:type="spellStart"/>
      <w:r w:rsidRPr="00233F79">
        <w:rPr>
          <w:rFonts w:ascii="Verdana" w:eastAsia="Verdana" w:hAnsi="Verdana" w:cs="Verdana"/>
          <w:lang w:val="es-ES"/>
        </w:rPr>
        <w:t>iv</w:t>
      </w:r>
      <w:proofErr w:type="spellEnd"/>
      <w:r w:rsidR="00F73542">
        <w:rPr>
          <w:rFonts w:ascii="Verdana" w:eastAsia="Verdana" w:hAnsi="Verdana" w:cs="Verdana"/>
          <w:lang w:val="es-ES"/>
        </w:rPr>
        <w:t>.</w:t>
      </w:r>
      <w:r>
        <w:rPr>
          <w:rFonts w:ascii="Verdana" w:eastAsia="Verdana" w:hAnsi="Verdana" w:cs="Verdana"/>
          <w:lang w:val="es-ES"/>
        </w:rPr>
        <w:t xml:space="preserve">  </w:t>
      </w:r>
      <w:r w:rsidRPr="00C25C8B">
        <w:rPr>
          <w:rFonts w:ascii="Verdana" w:eastAsia="Verdana" w:hAnsi="Verdana" w:cs="Verdana"/>
          <w:lang w:val="es-ES"/>
        </w:rPr>
        <w:t>Por otro lado, la</w:t>
      </w:r>
      <w:r w:rsidRPr="00C25C8B">
        <w:rPr>
          <w:rFonts w:ascii="Verdana" w:eastAsia="Calibri" w:hAnsi="Verdana" w:cs="Arial"/>
          <w:bCs/>
        </w:rPr>
        <w:t xml:space="preserve"> Ley 1918 de 2018 en su artículo 4</w:t>
      </w:r>
      <w:r w:rsidRPr="00C25C8B">
        <w:rPr>
          <w:rStyle w:val="Refdenotaalpie"/>
          <w:rFonts w:ascii="Verdana" w:eastAsia="Calibri" w:hAnsi="Verdana" w:cs="Arial"/>
          <w:bCs/>
        </w:rPr>
        <w:footnoteReference w:id="6"/>
      </w:r>
      <w:r w:rsidRPr="00C25C8B">
        <w:rPr>
          <w:rFonts w:ascii="Verdana" w:eastAsia="Calibri" w:hAnsi="Verdana" w:cs="Arial"/>
          <w:bCs/>
        </w:rPr>
        <w:t>, la norma establece que las entidades públicas y privadas deberán verificar, previa autorización del aspirante, que este no se encuentre inscrito en el Registro de Inhabilidades por delitos sexuales cometidos contra menores de edad, como requisito previo a su vinculación en empleos o contratos que impliquen contacto directo y habitual con menores. Dicha verificación deberá realizarse con una periodicidad mínima de cada cuatro (4) meses durante la vigencia de la relación laboral o contractual. El incumplimiento de esta obligación por parte de un servidor público, que conlleve la contratación de una persona inhabilitada, constituye falta disciplinaria gravísima.</w:t>
      </w:r>
      <w:r>
        <w:rPr>
          <w:rFonts w:ascii="Verdana" w:eastAsia="Calibri" w:hAnsi="Verdana" w:cs="Arial"/>
          <w:bCs/>
          <w:color w:val="EE0000"/>
        </w:rPr>
        <w:t xml:space="preserve"> </w:t>
      </w:r>
      <w:r w:rsidRPr="00BC286A">
        <w:rPr>
          <w:rFonts w:ascii="Verdana" w:eastAsia="Calibri" w:hAnsi="Verdana" w:cs="Arial"/>
          <w:bCs/>
        </w:rPr>
        <w:t xml:space="preserve">Es importante, tener en cuenta que el uso del registro debe cumplir con la Ley de Protección de Datos Personales -Ley 1581 de 2012-, bajo supervisión de la Superintendencia de Industria y Comercio. Esto, sin perjuicio </w:t>
      </w:r>
      <w:r w:rsidRPr="00BC286A">
        <w:rPr>
          <w:rFonts w:ascii="Verdana" w:eastAsia="Calibri" w:hAnsi="Verdana" w:cs="Arial"/>
          <w:bCs/>
        </w:rPr>
        <w:lastRenderedPageBreak/>
        <w:t>del manejo y custodia del expediente contractual frente a este documento, así como los demás que tengan el carácter de reservado</w:t>
      </w:r>
      <w:r>
        <w:rPr>
          <w:rFonts w:ascii="Verdana" w:eastAsia="Calibri" w:hAnsi="Verdana" w:cs="Arial"/>
          <w:bCs/>
        </w:rPr>
        <w:t>.</w:t>
      </w:r>
    </w:p>
    <w:p w14:paraId="57118242" w14:textId="77777777" w:rsidR="00AC2BB1" w:rsidRPr="00D147A0" w:rsidRDefault="00AC2BB1" w:rsidP="00AC2BB1">
      <w:pPr>
        <w:spacing w:after="120" w:line="276" w:lineRule="auto"/>
        <w:jc w:val="both"/>
        <w:rPr>
          <w:rFonts w:ascii="Verdana" w:eastAsia="Calibri" w:hAnsi="Verdana" w:cs="Arial"/>
          <w:bCs/>
        </w:rPr>
      </w:pPr>
      <w:r w:rsidRPr="00D147A0">
        <w:rPr>
          <w:rFonts w:ascii="Verdana" w:eastAsia="Calibri" w:hAnsi="Verdana" w:cs="Arial"/>
          <w:bCs/>
        </w:rPr>
        <w:tab/>
        <w:t>Sin embargo</w:t>
      </w:r>
      <w:r w:rsidRPr="00D147A0">
        <w:rPr>
          <w:rFonts w:ascii="Verdana" w:eastAsia="Calibri" w:hAnsi="Verdana" w:cs="Arial"/>
          <w:bCs/>
          <w:lang w:val="es-MX"/>
        </w:rPr>
        <w:t>, es preciso mencionar que a diferencia de la Ley 80 de 1993, donde no es relevante el objeto del contrato para la aplicación del régimen de inhabilidades e incompatibilidades, la Ley 1918 de 2018 modificado por la Ley 2375 de 2024 si establece que la inhabilidad es para vinculaciones donde la persona tenga relación directa y habitual con menores, lo cual está definido en el listado regulado en el artículo 2 de la Ley 1918 de 2018 modificado por el artículo 3° de la Ley 2375 de 2024. Al respecto, l</w:t>
      </w:r>
      <w:r w:rsidRPr="00D147A0">
        <w:rPr>
          <w:rFonts w:ascii="Verdana" w:eastAsia="Calibri" w:hAnsi="Verdana" w:cs="Arial"/>
          <w:bCs/>
        </w:rPr>
        <w:t xml:space="preserve">os diferentes cargos, profesiones u oficios que se enumeran son enunciativos, teniendo en cuenta el numeral 21° que prescribe: “Cualquier cargo, oficio o profesión que demuestre </w:t>
      </w:r>
      <w:r w:rsidRPr="00D147A0">
        <w:rPr>
          <w:rFonts w:ascii="Verdana" w:eastAsia="Calibri" w:hAnsi="Verdana" w:cs="Arial"/>
          <w:bCs/>
          <w:i/>
        </w:rPr>
        <w:t>un trato directo y habitual con menores de edad</w:t>
      </w:r>
      <w:r w:rsidRPr="00D147A0">
        <w:rPr>
          <w:rFonts w:ascii="Verdana" w:eastAsia="Calibri" w:hAnsi="Verdana" w:cs="Arial"/>
          <w:bCs/>
        </w:rPr>
        <w:t>”, que es entendido así: “[…] por trato directo el contacto o la interacción personal o a través de cualquier medio tecnológico, que se genere en el ejercicio del cargo, profesión u oficio, de forma frecuente con personas menores de edad”.</w:t>
      </w:r>
    </w:p>
    <w:p w14:paraId="55BEEF93" w14:textId="77777777" w:rsidR="00AC2BB1" w:rsidRPr="00CF715B" w:rsidRDefault="00AC2BB1" w:rsidP="00AC2BB1">
      <w:pPr>
        <w:spacing w:after="120" w:line="276" w:lineRule="auto"/>
        <w:ind w:firstLine="720"/>
        <w:jc w:val="both"/>
        <w:rPr>
          <w:rFonts w:ascii="Verdana" w:eastAsia="Calibri" w:hAnsi="Verdana" w:cs="Arial"/>
          <w:bCs/>
        </w:rPr>
      </w:pPr>
      <w:r w:rsidRPr="00AB1B8C">
        <w:rPr>
          <w:rFonts w:ascii="Verdana" w:eastAsia="Calibri" w:hAnsi="Verdana" w:cs="Arial"/>
          <w:bCs/>
          <w:lang w:val="es-MX"/>
        </w:rPr>
        <w:t xml:space="preserve">Por tanto, la entidad que va a contratar a una persona y el objeto contractual, independiente de la modalidad de selección, deberá revisar si el objeto contractual </w:t>
      </w:r>
      <w:r w:rsidRPr="00AB1B8C">
        <w:rPr>
          <w:rFonts w:ascii="Verdana" w:eastAsia="Calibri" w:hAnsi="Verdana" w:cs="Arial"/>
          <w:bCs/>
        </w:rPr>
        <w:t>implica una interacción frecuente y personal con menores de edad,</w:t>
      </w:r>
      <w:r w:rsidRPr="00AB1B8C">
        <w:rPr>
          <w:rFonts w:ascii="Verdana" w:eastAsia="Calibri" w:hAnsi="Verdana" w:cs="Arial"/>
          <w:bCs/>
          <w:lang w:val="es-MX"/>
        </w:rPr>
        <w:t xml:space="preserve"> para exigir el registro de inhabilidades por delitos sexuales contra menores de edad, teniendo que el término de esta inhabilidad es definido por el juez como pena accesoria con fundamento en la Ley 599 de 2000 el inciso primero del artículo 51</w:t>
      </w:r>
      <w:r>
        <w:rPr>
          <w:rStyle w:val="Refdenotaalpie"/>
          <w:rFonts w:ascii="Verdana" w:eastAsia="Calibri" w:hAnsi="Verdana" w:cs="Arial"/>
          <w:bCs/>
          <w:lang w:val="es-MX"/>
        </w:rPr>
        <w:footnoteReference w:id="7"/>
      </w:r>
      <w:r w:rsidRPr="00AB1B8C">
        <w:rPr>
          <w:rFonts w:ascii="Verdana" w:eastAsia="Calibri" w:hAnsi="Verdana" w:cs="Arial"/>
          <w:bCs/>
          <w:lang w:val="es-MX"/>
        </w:rPr>
        <w:t xml:space="preserve">, la cual se contabiliza </w:t>
      </w:r>
      <w:r w:rsidRPr="00AB1B8C">
        <w:rPr>
          <w:rFonts w:ascii="Verdana" w:eastAsia="Calibri" w:hAnsi="Verdana" w:cs="Arial"/>
          <w:bCs/>
        </w:rPr>
        <w:t>una vez se cumpla la pena principal</w:t>
      </w:r>
      <w:r w:rsidRPr="00AB1B8C">
        <w:rPr>
          <w:rFonts w:ascii="Verdana" w:eastAsia="Calibri" w:hAnsi="Verdana" w:cs="Arial"/>
          <w:bCs/>
          <w:lang w:val="es-MX"/>
        </w:rPr>
        <w:t>. En otras palabras, aquellos contratos que se relacionen con el contacto directo -personal o mediante tecnolog</w:t>
      </w:r>
      <w:r w:rsidRPr="00AB1B8C">
        <w:rPr>
          <w:rFonts w:ascii="Verdana" w:eastAsia="Calibri" w:hAnsi="Verdana" w:cs="Verdana"/>
          <w:bCs/>
          <w:lang w:val="es-MX"/>
        </w:rPr>
        <w:t>í</w:t>
      </w:r>
      <w:r w:rsidRPr="00AB1B8C">
        <w:rPr>
          <w:rFonts w:ascii="Verdana" w:eastAsia="Calibri" w:hAnsi="Verdana" w:cs="Arial"/>
          <w:bCs/>
          <w:lang w:val="es-MX"/>
        </w:rPr>
        <w:t xml:space="preserve">a </w:t>
      </w:r>
      <w:r w:rsidRPr="00AB1B8C">
        <w:rPr>
          <w:rFonts w:ascii="Arial" w:eastAsia="Calibri" w:hAnsi="Arial" w:cs="Arial"/>
          <w:bCs/>
          <w:lang w:val="es-MX"/>
        </w:rPr>
        <w:t>̶</w:t>
      </w:r>
      <w:r w:rsidRPr="00AB1B8C">
        <w:rPr>
          <w:rFonts w:ascii="Verdana" w:eastAsia="Calibri" w:hAnsi="Verdana" w:cs="Arial"/>
          <w:bCs/>
          <w:lang w:val="es-MX"/>
        </w:rPr>
        <w:t xml:space="preserve"> y habitual –frecuente- con menores, puede configurar la inhabilidad prevista. </w:t>
      </w:r>
      <w:r w:rsidRPr="00AB1B8C">
        <w:rPr>
          <w:rFonts w:ascii="Verdana" w:eastAsia="Calibri" w:hAnsi="Verdana" w:cs="Arial"/>
          <w:bCs/>
        </w:rPr>
        <w:t>Dicha omisión de verificación implica sanciones reguladas en el artículo 5 de la Ley 1918 de 2018, que fueron modificadas por el artículo 4</w:t>
      </w:r>
      <w:r>
        <w:rPr>
          <w:rStyle w:val="Refdenotaalpie"/>
          <w:rFonts w:ascii="Verdana" w:eastAsia="Calibri" w:hAnsi="Verdana" w:cs="Arial"/>
          <w:bCs/>
        </w:rPr>
        <w:footnoteReference w:id="8"/>
      </w:r>
      <w:r w:rsidRPr="00AB1B8C">
        <w:rPr>
          <w:rFonts w:ascii="Verdana" w:eastAsia="Calibri" w:hAnsi="Verdana" w:cs="Arial"/>
          <w:bCs/>
        </w:rPr>
        <w:t xml:space="preserve"> de la Ley 2375 de 2024. </w:t>
      </w:r>
    </w:p>
    <w:p w14:paraId="18F9ACD4" w14:textId="77777777" w:rsidR="00AC2BB1" w:rsidRDefault="00AC2BB1" w:rsidP="00AC2BB1">
      <w:pPr>
        <w:spacing w:after="120" w:line="276" w:lineRule="auto"/>
        <w:jc w:val="both"/>
        <w:rPr>
          <w:rFonts w:ascii="Verdana" w:hAnsi="Verdana" w:cs="Open Sans"/>
        </w:rPr>
      </w:pPr>
      <w:r w:rsidRPr="00233F79">
        <w:rPr>
          <w:rFonts w:ascii="Verdana" w:eastAsia="Verdana" w:hAnsi="Verdana" w:cs="Verdana"/>
          <w:lang w:val="es-MX"/>
        </w:rPr>
        <w:lastRenderedPageBreak/>
        <w:t>v)</w:t>
      </w:r>
      <w:r>
        <w:rPr>
          <w:rFonts w:ascii="Verdana" w:eastAsia="Verdana" w:hAnsi="Verdana" w:cs="Verdana"/>
          <w:lang w:val="es-MX"/>
        </w:rPr>
        <w:t xml:space="preserve"> Por su parte, l</w:t>
      </w:r>
      <w:r w:rsidRPr="001B5827">
        <w:rPr>
          <w:rFonts w:ascii="Verdana" w:eastAsia="Calibri" w:hAnsi="Verdana" w:cs="Arial"/>
          <w:lang w:val="es-ES"/>
        </w:rPr>
        <w:t>a Ley Estatutaria 2097 de 2021 “</w:t>
      </w:r>
      <w:r w:rsidRPr="001B5827">
        <w:rPr>
          <w:rFonts w:ascii="Verdana" w:hAnsi="Verdana" w:cs="Open Sans"/>
        </w:rPr>
        <w:t>Por medio de la cual se crea el Registro de Deudores Alimentarios Morosos (R</w:t>
      </w:r>
      <w:r>
        <w:rPr>
          <w:rFonts w:ascii="Verdana" w:hAnsi="Verdana" w:cs="Open Sans"/>
        </w:rPr>
        <w:t>EDAM</w:t>
      </w:r>
      <w:r w:rsidRPr="001B5827">
        <w:rPr>
          <w:rFonts w:ascii="Verdana" w:hAnsi="Verdana" w:cs="Open Sans"/>
        </w:rPr>
        <w:t>) y se dictan otras disposiciones.”, además de crear el Registro de Deudores Alimentarios Morosos – en adelante REDAM –, estableció medidas para garantizar el cumplimiento de las obligaciones alimentarias</w:t>
      </w:r>
      <w:r w:rsidRPr="001B5827">
        <w:rPr>
          <w:rStyle w:val="Refdenotaalpie"/>
          <w:rFonts w:ascii="Verdana" w:hAnsi="Verdana" w:cs="Open Sans"/>
        </w:rPr>
        <w:footnoteReference w:id="9"/>
      </w:r>
      <w:r w:rsidRPr="001B5827">
        <w:rPr>
          <w:rFonts w:ascii="Verdana" w:hAnsi="Verdana" w:cs="Open Sans"/>
        </w:rPr>
        <w:t xml:space="preserve"> y fijó el procedimiento para inscripción en el REDAM, las funciones del </w:t>
      </w:r>
      <w:r>
        <w:rPr>
          <w:rFonts w:ascii="Verdana" w:hAnsi="Verdana" w:cs="Open Sans"/>
        </w:rPr>
        <w:t>mismo</w:t>
      </w:r>
      <w:r w:rsidRPr="001B5827">
        <w:rPr>
          <w:rFonts w:ascii="Verdana" w:hAnsi="Verdana" w:cs="Open Sans"/>
        </w:rPr>
        <w:t xml:space="preserve">, el contenido y las consecuencias de la inscripción en dicho registro, así como </w:t>
      </w:r>
      <w:r>
        <w:rPr>
          <w:rFonts w:ascii="Verdana" w:hAnsi="Verdana" w:cs="Open Sans"/>
        </w:rPr>
        <w:t>su</w:t>
      </w:r>
      <w:r w:rsidRPr="001B5827">
        <w:rPr>
          <w:rFonts w:ascii="Verdana" w:hAnsi="Verdana" w:cs="Open Sans"/>
        </w:rPr>
        <w:t xml:space="preserve"> operación. </w:t>
      </w:r>
    </w:p>
    <w:p w14:paraId="3D67ED00" w14:textId="77777777" w:rsidR="00AC2BB1" w:rsidRDefault="00AC2BB1" w:rsidP="00AC2BB1">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1B5827">
        <w:rPr>
          <w:rFonts w:ascii="Verdana" w:eastAsia="Calibri" w:hAnsi="Verdana" w:cs="Arial"/>
          <w:bCs/>
          <w:color w:val="000000" w:themeColor="text1"/>
        </w:rPr>
        <w:t>Para efectos del tema</w:t>
      </w:r>
      <w:r>
        <w:rPr>
          <w:rFonts w:ascii="Verdana" w:eastAsia="Calibri" w:hAnsi="Verdana" w:cs="Arial"/>
          <w:bCs/>
          <w:color w:val="000000" w:themeColor="text1"/>
        </w:rPr>
        <w:t xml:space="preserve"> de</w:t>
      </w:r>
      <w:r w:rsidRPr="001B5827">
        <w:rPr>
          <w:rFonts w:ascii="Verdana" w:eastAsia="Calibri" w:hAnsi="Verdana" w:cs="Arial"/>
          <w:bCs/>
          <w:color w:val="000000" w:themeColor="text1"/>
        </w:rPr>
        <w:t xml:space="preserve"> consulta, una de las consecuencias más importantes de la inclusión en el REDAM es la aparición de una inhabilidad para celebrar contratos con el Estado. Al respecto, conforme al artículo 6.1 </w:t>
      </w:r>
      <w:r w:rsidRPr="001B5827">
        <w:rPr>
          <w:rFonts w:ascii="Verdana" w:eastAsia="Calibri" w:hAnsi="Verdana" w:cs="Arial"/>
          <w:bCs/>
          <w:i/>
          <w:iCs/>
          <w:color w:val="000000" w:themeColor="text1"/>
        </w:rPr>
        <w:t>ibidem</w:t>
      </w:r>
      <w:r w:rsidRPr="001B5827">
        <w:rPr>
          <w:rFonts w:ascii="Verdana" w:eastAsia="Calibri" w:hAnsi="Verdana" w:cs="Arial"/>
          <w:bCs/>
          <w:color w:val="000000" w:themeColor="text1"/>
        </w:rPr>
        <w:t xml:space="preserve">,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w:t>
      </w:r>
    </w:p>
    <w:p w14:paraId="56FBE460" w14:textId="77777777" w:rsidR="00AC2BB1" w:rsidRDefault="00AC2BB1" w:rsidP="00AC2BB1">
      <w:pPr>
        <w:tabs>
          <w:tab w:val="left" w:pos="0"/>
        </w:tabs>
        <w:spacing w:after="120" w:line="276" w:lineRule="auto"/>
        <w:jc w:val="both"/>
        <w:rPr>
          <w:rFonts w:ascii="Verdana" w:eastAsia="Calibri" w:hAnsi="Verdana" w:cs="Arial"/>
          <w:bCs/>
        </w:rPr>
      </w:pPr>
      <w:r>
        <w:rPr>
          <w:rFonts w:ascii="Verdana" w:eastAsia="Calibri" w:hAnsi="Verdana" w:cs="Arial"/>
          <w:bCs/>
          <w:color w:val="000000" w:themeColor="text1"/>
        </w:rPr>
        <w:tab/>
      </w:r>
      <w:r w:rsidRPr="001B5827">
        <w:rPr>
          <w:rFonts w:ascii="Verdana" w:eastAsia="Calibri" w:hAnsi="Verdana" w:cs="Arial"/>
          <w:bCs/>
          <w:color w:val="000000" w:themeColor="text1"/>
        </w:rPr>
        <w:t xml:space="preserve">Dicha restricción se suma al catálogo del artículo 8 y siguientes de la Ley 80 de 1993, especialmente, cuando –conforme al literal a) del numeral 1– “Son inhábiles para participar en licitaciones y para celebrar contratos con las entidades estatales […] Las personas que se hallen inhabilitadas </w:t>
      </w:r>
      <w:r w:rsidRPr="001B5827">
        <w:rPr>
          <w:rFonts w:ascii="Verdana" w:eastAsia="Calibri" w:hAnsi="Verdana" w:cs="Arial"/>
          <w:bCs/>
        </w:rPr>
        <w:t>para contratar por la Constitución y las leyes”, el cual se extiende también a las entidades de régimen exceptuado en virtud del inciso primero del artículo 13 de la Ley 1150 de 2007</w:t>
      </w:r>
      <w:r w:rsidRPr="001B5827">
        <w:rPr>
          <w:rStyle w:val="Refdenotaalpie"/>
          <w:rFonts w:ascii="Verdana" w:eastAsia="Calibri" w:hAnsi="Verdana" w:cs="Arial"/>
          <w:bCs/>
        </w:rPr>
        <w:footnoteReference w:id="10"/>
      </w:r>
      <w:r w:rsidRPr="001B5827">
        <w:rPr>
          <w:rFonts w:ascii="Verdana" w:eastAsia="Calibri" w:hAnsi="Verdana" w:cs="Arial"/>
          <w:bCs/>
        </w:rPr>
        <w:t xml:space="preserve"> y al régimen de las ESAL de acuerdo al artículo 6 del Decreto 092 de 2017</w:t>
      </w:r>
      <w:r w:rsidRPr="001B5827">
        <w:rPr>
          <w:rStyle w:val="Refdenotaalpie"/>
          <w:rFonts w:ascii="Verdana" w:eastAsia="Calibri" w:hAnsi="Verdana" w:cs="Arial"/>
          <w:bCs/>
        </w:rPr>
        <w:footnoteReference w:id="11"/>
      </w:r>
      <w:r w:rsidRPr="001B5827">
        <w:rPr>
          <w:rFonts w:ascii="Verdana" w:eastAsia="Calibri" w:hAnsi="Verdana" w:cs="Arial"/>
          <w:bCs/>
        </w:rPr>
        <w:t xml:space="preserve">. </w:t>
      </w:r>
    </w:p>
    <w:p w14:paraId="18752CBD" w14:textId="77777777" w:rsidR="00AC2BB1" w:rsidRPr="00CC7721" w:rsidRDefault="00AC2BB1" w:rsidP="00AC2BB1">
      <w:pPr>
        <w:tabs>
          <w:tab w:val="left" w:pos="0"/>
        </w:tabs>
        <w:spacing w:after="120" w:line="276" w:lineRule="auto"/>
        <w:jc w:val="both"/>
        <w:rPr>
          <w:rFonts w:ascii="Verdana" w:eastAsia="Calibri" w:hAnsi="Verdana" w:cs="Arial"/>
          <w:bCs/>
        </w:rPr>
      </w:pPr>
      <w:r>
        <w:rPr>
          <w:rFonts w:ascii="Verdana" w:eastAsia="Calibri" w:hAnsi="Verdana" w:cs="Arial"/>
          <w:bCs/>
        </w:rPr>
        <w:tab/>
      </w:r>
      <w:r w:rsidRPr="00CC7721">
        <w:rPr>
          <w:rFonts w:ascii="Verdana" w:eastAsia="Calibri" w:hAnsi="Verdana" w:cs="Arial"/>
          <w:bCs/>
          <w:color w:val="000000" w:themeColor="text1"/>
        </w:rPr>
        <w:t xml:space="preserve">En conclusión, la inscripción en el REDAM constituye una inhabilidad legal para contratar con el Estado, aplicable tanto a personas naturales como a representantes legales de personas jurídicas, mientras subsista la mora alimentaria. Esta restricción se integra al régimen general de inhabilidades </w:t>
      </w:r>
      <w:r w:rsidRPr="00CC7721">
        <w:rPr>
          <w:rFonts w:ascii="Verdana" w:eastAsia="Calibri" w:hAnsi="Verdana" w:cs="Arial"/>
          <w:bCs/>
          <w:color w:val="000000" w:themeColor="text1"/>
        </w:rPr>
        <w:lastRenderedPageBreak/>
        <w:t xml:space="preserve">previsto en la </w:t>
      </w:r>
      <w:r>
        <w:rPr>
          <w:rFonts w:ascii="Verdana" w:eastAsia="Calibri" w:hAnsi="Verdana" w:cs="Arial"/>
          <w:bCs/>
          <w:color w:val="000000" w:themeColor="text1"/>
        </w:rPr>
        <w:tab/>
      </w:r>
      <w:r w:rsidRPr="00CC7721">
        <w:rPr>
          <w:rFonts w:ascii="Verdana" w:eastAsia="Calibri" w:hAnsi="Verdana" w:cs="Arial"/>
          <w:bCs/>
          <w:color w:val="000000" w:themeColor="text1"/>
        </w:rPr>
        <w:t>Ley 80 de 1993 y resulta exigible en todos los regímenes contractuales, incluidos los exceptuados y los aplicables a las ESAL.</w:t>
      </w:r>
    </w:p>
    <w:p w14:paraId="62421DC8" w14:textId="77777777" w:rsidR="00AC2BB1" w:rsidRPr="00D4796C" w:rsidRDefault="00AC2BB1" w:rsidP="00AC2BB1">
      <w:pPr>
        <w:spacing w:after="0" w:line="276" w:lineRule="auto"/>
        <w:ind w:firstLine="709"/>
        <w:jc w:val="both"/>
        <w:rPr>
          <w:rFonts w:ascii="Verdana" w:eastAsia="Times New Roman" w:hAnsi="Verdana" w:cs="Times New Roman"/>
          <w:lang w:eastAsia="es-ES"/>
        </w:rPr>
      </w:pPr>
      <w:r w:rsidRPr="00D4796C">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D4796C">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1D7D7AAB" w14:textId="77777777" w:rsidR="00AC2BB1" w:rsidRPr="00682D5D" w:rsidRDefault="00AC2BB1" w:rsidP="00AC2BB1">
      <w:pPr>
        <w:spacing w:after="0" w:line="276" w:lineRule="auto"/>
        <w:ind w:firstLine="709"/>
        <w:jc w:val="both"/>
        <w:rPr>
          <w:rFonts w:ascii="Verdana" w:eastAsia="Times New Roman" w:hAnsi="Verdana" w:cs="Times New Roman"/>
          <w:lang w:eastAsia="es-ES"/>
        </w:rPr>
      </w:pPr>
    </w:p>
    <w:p w14:paraId="71D7B302" w14:textId="77777777" w:rsidR="00AC2BB1" w:rsidRPr="00682D5D" w:rsidRDefault="00AC2BB1" w:rsidP="00AC2BB1">
      <w:pPr>
        <w:spacing w:after="120" w:line="276" w:lineRule="auto"/>
        <w:jc w:val="both"/>
        <w:rPr>
          <w:rFonts w:ascii="Verdana" w:eastAsia="Century Gothic" w:hAnsi="Verdana" w:cs="Century Gothic"/>
          <w:b/>
          <w:lang w:val="es-ES"/>
        </w:rPr>
      </w:pPr>
      <w:r w:rsidRPr="00682D5D">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2BB1" w:rsidRPr="009971BC" w14:paraId="240BE14F" w14:textId="77777777" w:rsidTr="009A1C7B">
        <w:trPr>
          <w:trHeight w:val="1689"/>
        </w:trPr>
        <w:tc>
          <w:tcPr>
            <w:tcW w:w="8647" w:type="dxa"/>
          </w:tcPr>
          <w:p w14:paraId="7AFB391A"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80 de 1993. Artículo 8, literales a, d y j.</w:t>
            </w:r>
          </w:p>
          <w:p w14:paraId="12CA9182"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610 de 2000. Artículo 60</w:t>
            </w:r>
          </w:p>
          <w:p w14:paraId="003CF3D5"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599 de 2000. Artículo 51</w:t>
            </w:r>
          </w:p>
          <w:p w14:paraId="3D62F06C"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1150 de 2007. Artículo 18.</w:t>
            </w:r>
          </w:p>
          <w:p w14:paraId="17AE2200"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1918 de 2018. Artículo 4.</w:t>
            </w:r>
          </w:p>
          <w:p w14:paraId="0E5B15CC"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1952 de 2019. Artículo 42</w:t>
            </w:r>
          </w:p>
          <w:p w14:paraId="575FE4A3"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2097 de 2021. Artículos 1 y 6.</w:t>
            </w:r>
          </w:p>
          <w:p w14:paraId="14D31D88"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Ley 2375 de 2024. Artículo 4</w:t>
            </w:r>
          </w:p>
          <w:p w14:paraId="0220957E" w14:textId="77777777" w:rsidR="00AC2BB1" w:rsidRPr="0029438C"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val="it-CH" w:eastAsia="es-ES" w:bidi="es-ES"/>
              </w:rPr>
            </w:pPr>
            <w:r w:rsidRPr="00233F79">
              <w:rPr>
                <w:rFonts w:ascii="Verdana" w:eastAsia="Arial MT" w:hAnsi="Verdana" w:cs="Arial"/>
                <w:bCs/>
                <w:lang w:eastAsia="es-ES" w:bidi="es-ES"/>
              </w:rPr>
              <w:t xml:space="preserve">Corte Constitucional. Sentencia T-1039 de 2006. </w:t>
            </w:r>
            <w:r w:rsidRPr="0029438C">
              <w:rPr>
                <w:rFonts w:ascii="Verdana" w:eastAsia="Arial MT" w:hAnsi="Verdana" w:cs="Arial"/>
                <w:bCs/>
                <w:lang w:val="it-CH" w:eastAsia="es-ES" w:bidi="es-ES"/>
              </w:rPr>
              <w:t xml:space="preserve">M.P. Humberto Sierra Porto. </w:t>
            </w:r>
          </w:p>
          <w:p w14:paraId="3713C742"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233F79">
              <w:rPr>
                <w:rFonts w:ascii="Verdana" w:eastAsia="Arial MT" w:hAnsi="Verdana" w:cs="Arial"/>
                <w:bCs/>
                <w:lang w:eastAsia="es-ES" w:bidi="es-ES"/>
              </w:rPr>
              <w:t xml:space="preserve">Consejo De Estado. Sección Tercera, Subsección A. Sentencia del 13 de noviembre de 2013. Rad. 25.646.C.P. Mauricio Fajardo Gómez. </w:t>
            </w:r>
          </w:p>
          <w:p w14:paraId="0CD00992" w14:textId="77777777" w:rsidR="00AC2BB1" w:rsidRPr="00233F79" w:rsidRDefault="00AC2BB1" w:rsidP="009A1C7B">
            <w:pPr>
              <w:widowControl w:val="0"/>
              <w:numPr>
                <w:ilvl w:val="0"/>
                <w:numId w:val="16"/>
              </w:numPr>
              <w:autoSpaceDE w:val="0"/>
              <w:autoSpaceDN w:val="0"/>
              <w:spacing w:line="276" w:lineRule="auto"/>
              <w:ind w:left="714" w:hanging="357"/>
              <w:jc w:val="both"/>
              <w:rPr>
                <w:rFonts w:ascii="Verdana" w:eastAsia="Arial MT" w:hAnsi="Verdana" w:cs="Arial"/>
                <w:bCs/>
                <w:color w:val="FFC000" w:themeColor="accent4"/>
                <w:lang w:eastAsia="es-ES" w:bidi="es-ES"/>
              </w:rPr>
            </w:pPr>
            <w:r w:rsidRPr="00233F79">
              <w:rPr>
                <w:rFonts w:ascii="Verdana" w:eastAsia="Arial MT" w:hAnsi="Verdana" w:cs="Arial"/>
                <w:bCs/>
                <w:lang w:eastAsia="es-ES" w:bidi="es-ES"/>
              </w:rPr>
              <w:t xml:space="preserve">Consejo De Estado. Sala de Consulta y Servicio Civil. Concepto del 30 de abril de 2015. </w:t>
            </w:r>
            <w:proofErr w:type="spellStart"/>
            <w:r w:rsidRPr="00233F79">
              <w:rPr>
                <w:rFonts w:ascii="Verdana" w:eastAsia="Arial MT" w:hAnsi="Verdana" w:cs="Arial"/>
                <w:bCs/>
                <w:lang w:eastAsia="es-ES" w:bidi="es-ES"/>
              </w:rPr>
              <w:t>Exp</w:t>
            </w:r>
            <w:proofErr w:type="spellEnd"/>
            <w:r w:rsidRPr="00233F79">
              <w:rPr>
                <w:rFonts w:ascii="Verdana" w:eastAsia="Arial MT" w:hAnsi="Verdana" w:cs="Arial"/>
                <w:bCs/>
                <w:lang w:eastAsia="es-ES" w:bidi="es-ES"/>
              </w:rPr>
              <w:t xml:space="preserve">. 2251. C.P. Álvaro Namén Vargas. </w:t>
            </w:r>
          </w:p>
        </w:tc>
      </w:tr>
    </w:tbl>
    <w:p w14:paraId="76CF612C" w14:textId="77777777" w:rsidR="00AC2BB1" w:rsidRPr="009971BC" w:rsidRDefault="00AC2BB1" w:rsidP="00AC2BB1">
      <w:pPr>
        <w:widowControl w:val="0"/>
        <w:autoSpaceDE w:val="0"/>
        <w:autoSpaceDN w:val="0"/>
        <w:spacing w:after="0" w:line="276" w:lineRule="auto"/>
        <w:jc w:val="both"/>
        <w:rPr>
          <w:rFonts w:ascii="Verdana" w:hAnsi="Verdana" w:cs="Arial"/>
          <w:color w:val="FFC000" w:themeColor="accent4"/>
          <w:lang w:val="es-ES"/>
        </w:rPr>
      </w:pPr>
    </w:p>
    <w:p w14:paraId="0CCFCE26" w14:textId="77777777" w:rsidR="00AC2BB1" w:rsidRPr="00682D5D" w:rsidRDefault="00AC2BB1" w:rsidP="00AC2BB1">
      <w:pPr>
        <w:tabs>
          <w:tab w:val="left" w:pos="142"/>
          <w:tab w:val="left" w:pos="284"/>
        </w:tabs>
        <w:spacing w:after="0" w:line="276" w:lineRule="auto"/>
        <w:jc w:val="both"/>
        <w:rPr>
          <w:rFonts w:ascii="Verdana" w:eastAsia="Century Gothic" w:hAnsi="Verdana" w:cs="Century Gothic"/>
          <w:b/>
          <w:lang w:val="es-ES"/>
        </w:rPr>
      </w:pPr>
      <w:r w:rsidRPr="00682D5D">
        <w:rPr>
          <w:rFonts w:ascii="Verdana" w:eastAsia="Century Gothic" w:hAnsi="Verdana" w:cs="Century Gothic"/>
          <w:b/>
          <w:lang w:val="es-ES"/>
        </w:rPr>
        <w:t>5. Doctrina de la Agencia Nacional de Contratación Pública:</w:t>
      </w:r>
    </w:p>
    <w:p w14:paraId="1B243058" w14:textId="77777777" w:rsidR="00AC2BB1" w:rsidRPr="009971BC" w:rsidRDefault="00AC2BB1" w:rsidP="00AC2BB1">
      <w:pPr>
        <w:widowControl w:val="0"/>
        <w:autoSpaceDE w:val="0"/>
        <w:autoSpaceDN w:val="0"/>
        <w:spacing w:after="0" w:line="276" w:lineRule="auto"/>
        <w:jc w:val="both"/>
        <w:rPr>
          <w:rFonts w:ascii="Verdana" w:hAnsi="Verdana" w:cs="Arial"/>
          <w:color w:val="FFC000" w:themeColor="accent4"/>
          <w:lang w:val="es-ES"/>
        </w:rPr>
      </w:pPr>
    </w:p>
    <w:p w14:paraId="0704E668" w14:textId="346ECC90" w:rsidR="00AC2BB1" w:rsidRPr="009233BB" w:rsidRDefault="00AC2BB1" w:rsidP="00AC2BB1">
      <w:pPr>
        <w:spacing w:after="0" w:line="276" w:lineRule="auto"/>
        <w:jc w:val="both"/>
        <w:rPr>
          <w:rFonts w:ascii="Verdana" w:hAnsi="Verdana"/>
          <w:color w:val="ED7D31" w:themeColor="accent2"/>
          <w:lang w:val="es-ES"/>
        </w:rPr>
      </w:pPr>
      <w:r w:rsidRPr="004E34B0">
        <w:rPr>
          <w:rFonts w:ascii="Verdana" w:eastAsia="Calibri" w:hAnsi="Verdana" w:cs="Arial"/>
          <w:lang w:val="es-ES"/>
        </w:rPr>
        <w:lastRenderedPageBreak/>
        <w:t xml:space="preserve">La Agencia Nacional de Contratación Pública – Colombia Compra Eficiente se ha referido </w:t>
      </w:r>
      <w:r w:rsidRPr="004E34B0">
        <w:rPr>
          <w:rFonts w:ascii="Verdana" w:hAnsi="Verdana" w:cs="Arial"/>
          <w:shd w:val="clear" w:color="auto" w:fill="FFFFFF"/>
          <w:lang w:val="es-ES"/>
        </w:rPr>
        <w:t xml:space="preserve">sobre el régimen de inhabilidades en los conceptos </w:t>
      </w:r>
      <w:r w:rsidRPr="004E34B0">
        <w:rPr>
          <w:rStyle w:val="normaltextrun"/>
          <w:rFonts w:ascii="Verdana" w:hAnsi="Verdana" w:cs="Arial"/>
          <w:shd w:val="clear" w:color="auto" w:fill="FFFFFF"/>
          <w:lang w:val="es-ES"/>
        </w:rPr>
        <w:t xml:space="preserve">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w:t>
      </w:r>
      <w:r w:rsidRPr="002E793F">
        <w:rPr>
          <w:rStyle w:val="normaltextrun"/>
          <w:rFonts w:ascii="Verdana" w:hAnsi="Verdana" w:cs="Arial"/>
          <w:shd w:val="clear" w:color="auto" w:fill="FFFFFF"/>
          <w:lang w:val="es-ES"/>
        </w:rPr>
        <w:t>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w:t>
      </w:r>
      <w:r>
        <w:rPr>
          <w:rStyle w:val="normaltextrun"/>
          <w:rFonts w:ascii="Verdana" w:hAnsi="Verdana" w:cs="Arial"/>
          <w:shd w:val="clear" w:color="auto" w:fill="FFFFFF"/>
          <w:lang w:val="es-ES"/>
        </w:rPr>
        <w:t>,</w:t>
      </w:r>
      <w:r w:rsidRPr="002E793F">
        <w:rPr>
          <w:rStyle w:val="normaltextrun"/>
          <w:rFonts w:ascii="Verdana" w:hAnsi="Verdana" w:cs="Arial"/>
          <w:shd w:val="clear" w:color="auto" w:fill="FFFFFF"/>
          <w:lang w:val="es-ES"/>
        </w:rPr>
        <w:t xml:space="preserve"> C-1716 del 23 de diciembre de 2025</w:t>
      </w:r>
      <w:r>
        <w:rPr>
          <w:rStyle w:val="normaltextrun"/>
          <w:rFonts w:ascii="Verdana" w:hAnsi="Verdana" w:cs="Arial"/>
          <w:shd w:val="clear" w:color="auto" w:fill="FFFFFF"/>
          <w:lang w:val="es-ES"/>
        </w:rPr>
        <w:t xml:space="preserve"> y C-1790 del 30 de diciembre de 2025.</w:t>
      </w:r>
      <w:r w:rsidR="00B54146">
        <w:rPr>
          <w:rFonts w:ascii="Verdana" w:hAnsi="Verdana" w:cs="Arial"/>
          <w:shd w:val="clear" w:color="auto" w:fill="FFFFFF"/>
          <w:lang w:val="es-ES"/>
        </w:rPr>
        <w:t xml:space="preserve">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2" w:history="1">
        <w:r w:rsidRPr="00336764">
          <w:rPr>
            <w:rStyle w:val="Hipervnculo"/>
            <w:rFonts w:ascii="Verdana" w:hAnsi="Verdana" w:cs="Arial"/>
            <w:shd w:val="clear" w:color="auto" w:fill="FFFFFF"/>
            <w:lang w:val="es-ES"/>
          </w:rPr>
          <w:t>https://relatoria.colombiacompra.gov.co/busqueda/conceptos</w:t>
        </w:r>
      </w:hyperlink>
    </w:p>
    <w:p w14:paraId="6207D89B" w14:textId="77777777" w:rsidR="00AC2BB1" w:rsidRPr="009233BB" w:rsidRDefault="00AC2BB1" w:rsidP="00AC2BB1">
      <w:pPr>
        <w:spacing w:after="0"/>
        <w:jc w:val="both"/>
        <w:rPr>
          <w:rFonts w:ascii="Verdana" w:hAnsi="Verdana" w:cs="Arial"/>
          <w:color w:val="ED7D31" w:themeColor="accent2"/>
          <w:shd w:val="clear" w:color="auto" w:fill="FFFFFF"/>
          <w:lang w:val="es-ES"/>
        </w:rPr>
      </w:pPr>
    </w:p>
    <w:p w14:paraId="620D8E52" w14:textId="77777777" w:rsidR="00AC2BB1" w:rsidRPr="009233BB" w:rsidRDefault="00AC2BB1" w:rsidP="00AC2BB1">
      <w:pPr>
        <w:spacing w:after="0"/>
        <w:jc w:val="both"/>
        <w:rPr>
          <w:rFonts w:ascii="Verdana" w:hAnsi="Verdana" w:cs="Arial"/>
          <w:color w:val="ED7D31" w:themeColor="accent2"/>
          <w:shd w:val="clear" w:color="auto" w:fill="FFFFFF"/>
        </w:rPr>
      </w:pPr>
      <w:r w:rsidRPr="00B8716D">
        <w:rPr>
          <w:rFonts w:ascii="Verdana" w:hAnsi="Verdana" w:cs="Arial"/>
          <w:shd w:val="clear" w:color="auto" w:fill="FFFFFF"/>
        </w:rPr>
        <w:t>También le contamos que ya se encuentra disponible la </w:t>
      </w:r>
      <w:r w:rsidRPr="00B8716D">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8716D">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8716D">
        <w:rPr>
          <w:rFonts w:ascii="Verdana" w:hAnsi="Verdana" w:cs="Arial"/>
          <w:shd w:val="clear" w:color="auto" w:fill="FFFFFF"/>
        </w:rPr>
        <w:t>Wayúu</w:t>
      </w:r>
      <w:proofErr w:type="spellEnd"/>
      <w:r w:rsidRPr="00B8716D">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8716D">
          <w:rPr>
            <w:rStyle w:val="Hipervnculo"/>
            <w:rFonts w:ascii="Verdana" w:hAnsi="Verdana"/>
          </w:rPr>
          <w:t>Guía de lineamientos de transparencia y selección objetiva para el departamento de La Guajira – Objetivo sexto constitucional de la Sentencia T-302 del 2017</w:t>
        </w:r>
      </w:hyperlink>
    </w:p>
    <w:p w14:paraId="3D19BBBA" w14:textId="77777777" w:rsidR="00AC2BB1" w:rsidRPr="009233BB" w:rsidRDefault="00AC2BB1" w:rsidP="00AC2BB1">
      <w:pPr>
        <w:spacing w:after="0"/>
        <w:jc w:val="both"/>
        <w:rPr>
          <w:rFonts w:ascii="Verdana" w:hAnsi="Verdana" w:cs="Arial"/>
          <w:color w:val="ED7D31" w:themeColor="accent2"/>
          <w:shd w:val="clear" w:color="auto" w:fill="FFFFFF"/>
        </w:rPr>
      </w:pPr>
    </w:p>
    <w:p w14:paraId="1F43A38B" w14:textId="77777777" w:rsidR="00AC2BB1" w:rsidRPr="00C35C95" w:rsidRDefault="00AC2BB1" w:rsidP="00AC2BB1">
      <w:pPr>
        <w:spacing w:after="0"/>
        <w:jc w:val="both"/>
        <w:rPr>
          <w:rFonts w:ascii="Verdana" w:hAnsi="Verdana" w:cs="Arial"/>
          <w:shd w:val="clear" w:color="auto" w:fill="FFFFFF"/>
        </w:rPr>
      </w:pPr>
      <w:r w:rsidRPr="00C35C95">
        <w:rPr>
          <w:rFonts w:ascii="Verdana" w:hAnsi="Verdana" w:cs="Arial"/>
          <w:shd w:val="clear" w:color="auto" w:fill="FFFFFF"/>
        </w:rPr>
        <w:t xml:space="preserve">Por último, lo invitamos a seguirnos en las redes sociales en las cuales se difunde información institucional: </w:t>
      </w:r>
    </w:p>
    <w:p w14:paraId="00E5BE3A" w14:textId="77777777" w:rsidR="00AC2BB1" w:rsidRPr="00C35C95" w:rsidRDefault="00AC2BB1" w:rsidP="00AC2BB1">
      <w:pPr>
        <w:spacing w:after="0"/>
        <w:jc w:val="both"/>
        <w:rPr>
          <w:rFonts w:ascii="Verdana" w:hAnsi="Verdana" w:cs="Arial"/>
          <w:shd w:val="clear" w:color="auto" w:fill="FFFFFF"/>
        </w:rPr>
      </w:pPr>
    </w:p>
    <w:p w14:paraId="08BF696D" w14:textId="77777777" w:rsidR="00AC2BB1" w:rsidRPr="00C35C95" w:rsidRDefault="00AC2BB1" w:rsidP="00AC2BB1">
      <w:pPr>
        <w:spacing w:after="0"/>
        <w:jc w:val="both"/>
        <w:rPr>
          <w:rFonts w:ascii="Verdana" w:hAnsi="Verdana" w:cs="Arial"/>
          <w:shd w:val="clear" w:color="auto" w:fill="FFFFFF"/>
        </w:rPr>
      </w:pPr>
      <w:r w:rsidRPr="00C35C95">
        <w:rPr>
          <w:rFonts w:ascii="Verdana" w:hAnsi="Verdana" w:cs="Arial"/>
          <w:shd w:val="clear" w:color="auto" w:fill="FFFFFF"/>
        </w:rPr>
        <w:t xml:space="preserve">Twitter: </w:t>
      </w:r>
      <w:r w:rsidRPr="00C35C95">
        <w:rPr>
          <w:rStyle w:val="Hipervnculo"/>
          <w:rFonts w:ascii="Verdana" w:hAnsi="Verdana"/>
          <w:lang w:val="es-ES"/>
        </w:rPr>
        <w:t>@colombiacompra</w:t>
      </w:r>
      <w:r w:rsidRPr="00C35C95">
        <w:rPr>
          <w:rStyle w:val="Hipervnculo"/>
          <w:rFonts w:ascii="Verdana" w:hAnsi="Verdana"/>
          <w:color w:val="auto"/>
          <w:lang w:val="es-ES"/>
        </w:rPr>
        <w:t xml:space="preserve"> </w:t>
      </w:r>
    </w:p>
    <w:p w14:paraId="323C3079" w14:textId="77777777" w:rsidR="00AC2BB1" w:rsidRPr="00C35C95" w:rsidRDefault="00AC2BB1" w:rsidP="00AC2BB1">
      <w:pPr>
        <w:spacing w:after="0"/>
        <w:jc w:val="both"/>
        <w:rPr>
          <w:rFonts w:ascii="Verdana" w:hAnsi="Verdana" w:cs="Arial"/>
          <w:shd w:val="clear" w:color="auto" w:fill="FFFFFF"/>
        </w:rPr>
      </w:pPr>
      <w:r w:rsidRPr="00C35C95">
        <w:rPr>
          <w:rFonts w:ascii="Verdana" w:hAnsi="Verdana" w:cs="Arial"/>
          <w:shd w:val="clear" w:color="auto" w:fill="FFFFFF"/>
        </w:rPr>
        <w:t>Facebook:</w:t>
      </w:r>
      <w:r w:rsidRPr="00C35C95">
        <w:rPr>
          <w:rStyle w:val="Hipervnculo"/>
          <w:rFonts w:ascii="Verdana" w:hAnsi="Verdana"/>
          <w:lang w:val="es-ES"/>
        </w:rPr>
        <w:t xml:space="preserve"> </w:t>
      </w:r>
      <w:proofErr w:type="spellStart"/>
      <w:r w:rsidRPr="00C35C95">
        <w:rPr>
          <w:rStyle w:val="Hipervnculo"/>
          <w:rFonts w:ascii="Verdana" w:hAnsi="Verdana"/>
          <w:lang w:val="es-ES"/>
        </w:rPr>
        <w:t>ColombiaCompraEficiente</w:t>
      </w:r>
      <w:proofErr w:type="spellEnd"/>
    </w:p>
    <w:p w14:paraId="4A1C67F0" w14:textId="77777777" w:rsidR="00AC2BB1" w:rsidRPr="00C35C95" w:rsidRDefault="00AC2BB1" w:rsidP="00AC2BB1">
      <w:pPr>
        <w:spacing w:after="0"/>
        <w:jc w:val="both"/>
        <w:rPr>
          <w:rFonts w:ascii="Verdana" w:hAnsi="Verdana" w:cs="Arial"/>
          <w:shd w:val="clear" w:color="auto" w:fill="FFFFFF"/>
        </w:rPr>
      </w:pPr>
      <w:r w:rsidRPr="00C35C95">
        <w:rPr>
          <w:rFonts w:ascii="Verdana" w:hAnsi="Verdana" w:cs="Arial"/>
          <w:shd w:val="clear" w:color="auto" w:fill="FFFFFF"/>
        </w:rPr>
        <w:t xml:space="preserve">LinkedIn: </w:t>
      </w:r>
      <w:r w:rsidRPr="00B8716D">
        <w:rPr>
          <w:rStyle w:val="Hipervnculo"/>
          <w:rFonts w:ascii="Verdana" w:hAnsi="Verdana"/>
          <w:lang w:val="es-ES"/>
        </w:rPr>
        <w:t>Agencia Nacional de Contratación Pública - Colombia Compra Eficiente</w:t>
      </w:r>
      <w:r w:rsidRPr="00B8716D">
        <w:rPr>
          <w:rFonts w:ascii="Verdana" w:hAnsi="Verdana" w:cs="Arial"/>
          <w:color w:val="0000FF"/>
          <w:shd w:val="clear" w:color="auto" w:fill="FFFFFF"/>
        </w:rPr>
        <w:t xml:space="preserve"> </w:t>
      </w:r>
    </w:p>
    <w:p w14:paraId="3ECC3971" w14:textId="77777777" w:rsidR="00AC2BB1" w:rsidRPr="00C35C95" w:rsidRDefault="00AC2BB1" w:rsidP="00AC2BB1">
      <w:pPr>
        <w:spacing w:after="0"/>
        <w:jc w:val="both"/>
        <w:rPr>
          <w:rFonts w:ascii="Verdana" w:hAnsi="Verdana" w:cs="Arial"/>
          <w:shd w:val="clear" w:color="auto" w:fill="FFFFFF"/>
        </w:rPr>
      </w:pPr>
      <w:r w:rsidRPr="00C35C95">
        <w:rPr>
          <w:rFonts w:ascii="Verdana" w:hAnsi="Verdana" w:cs="Arial"/>
          <w:shd w:val="clear" w:color="auto" w:fill="FFFFFF"/>
        </w:rPr>
        <w:t xml:space="preserve">Instagram: </w:t>
      </w:r>
      <w:r w:rsidRPr="00B8716D">
        <w:rPr>
          <w:rStyle w:val="Hipervnculo"/>
          <w:rFonts w:ascii="Verdana" w:hAnsi="Verdana"/>
          <w:lang w:val="es-ES"/>
        </w:rPr>
        <w:t>@colombiacompraeficiente_cce</w:t>
      </w:r>
    </w:p>
    <w:p w14:paraId="3BC47EB7" w14:textId="77777777" w:rsidR="00AC2BB1" w:rsidRPr="009233BB" w:rsidRDefault="00AC2BB1" w:rsidP="00AC2BB1">
      <w:pPr>
        <w:widowControl w:val="0"/>
        <w:autoSpaceDE w:val="0"/>
        <w:autoSpaceDN w:val="0"/>
        <w:spacing w:after="0" w:line="276" w:lineRule="auto"/>
        <w:jc w:val="both"/>
        <w:rPr>
          <w:rFonts w:ascii="Verdana" w:hAnsi="Verdana" w:cs="Arial"/>
          <w:color w:val="ED7D31" w:themeColor="accent2"/>
          <w:lang w:val="es-ES"/>
        </w:rPr>
      </w:pPr>
    </w:p>
    <w:p w14:paraId="7C3E0413" w14:textId="77777777" w:rsidR="00AC2BB1" w:rsidRPr="00C35C95" w:rsidRDefault="00AC2BB1" w:rsidP="00AC2BB1">
      <w:pPr>
        <w:widowControl w:val="0"/>
        <w:autoSpaceDE w:val="0"/>
        <w:autoSpaceDN w:val="0"/>
        <w:spacing w:after="0" w:line="276" w:lineRule="auto"/>
        <w:jc w:val="both"/>
        <w:rPr>
          <w:rFonts w:ascii="Verdana" w:hAnsi="Verdana" w:cs="Arial"/>
          <w:lang w:val="es-ES"/>
        </w:rPr>
      </w:pPr>
      <w:r w:rsidRPr="00C35C95">
        <w:rPr>
          <w:rFonts w:ascii="Verdana" w:hAnsi="Verdana" w:cs="Arial"/>
          <w:lang w:val="es-ES"/>
        </w:rPr>
        <w:t xml:space="preserve">Este concepto tiene el alcance previsto en el artículo 28 del Código de Procedimiento Administrativo y de lo Contencioso Administrativo y las </w:t>
      </w:r>
      <w:r w:rsidRPr="00C35C95">
        <w:rPr>
          <w:rFonts w:ascii="Verdana" w:hAnsi="Verdana" w:cs="Arial"/>
          <w:lang w:val="es-ES"/>
        </w:rPr>
        <w:lastRenderedPageBreak/>
        <w:t>expresiones aquí utilizadas con mayúscula inicial deben ser entendidas con el significado que les otorga el artículo 2.2.1.1.1.3.1. del Decreto 1082 de 2015.</w:t>
      </w:r>
    </w:p>
    <w:p w14:paraId="722F45AF" w14:textId="77777777" w:rsidR="00AC2BB1" w:rsidRPr="00C35C95" w:rsidRDefault="00AC2BB1" w:rsidP="00AC2BB1">
      <w:pPr>
        <w:widowControl w:val="0"/>
        <w:autoSpaceDE w:val="0"/>
        <w:autoSpaceDN w:val="0"/>
        <w:spacing w:after="0" w:line="276" w:lineRule="auto"/>
        <w:jc w:val="both"/>
        <w:rPr>
          <w:rFonts w:ascii="Verdana" w:hAnsi="Verdana" w:cs="Arial"/>
          <w:lang w:val="es-ES"/>
        </w:rPr>
      </w:pPr>
    </w:p>
    <w:p w14:paraId="6E8E94C4" w14:textId="31AEFE74" w:rsidR="000C4D08" w:rsidRDefault="00AC2BB1" w:rsidP="00AC2BB1">
      <w:pPr>
        <w:spacing w:after="0" w:line="276" w:lineRule="auto"/>
        <w:rPr>
          <w:rFonts w:ascii="Verdana" w:hAnsi="Verdana" w:cs="Arial"/>
          <w:lang w:val="es-ES" w:eastAsia="es-CO"/>
        </w:rPr>
      </w:pPr>
      <w:r w:rsidRPr="00C35C95">
        <w:rPr>
          <w:rFonts w:ascii="Verdana" w:eastAsia="Times New Roman" w:hAnsi="Verdana" w:cs="Arial"/>
          <w:lang w:val="es-ES" w:eastAsia="es-CO"/>
        </w:rPr>
        <w:t>Atentamente,</w:t>
      </w:r>
      <w:r w:rsidRPr="00C35C95">
        <w:rPr>
          <w:rFonts w:ascii="Verdana" w:hAnsi="Verdana" w:cs="Arial"/>
          <w:lang w:val="es-ES" w:eastAsia="es-CO"/>
        </w:rPr>
        <w:t xml:space="preserve"> </w:t>
      </w:r>
    </w:p>
    <w:p w14:paraId="7BFB0826" w14:textId="77777777" w:rsidR="000C4D08" w:rsidRPr="00C35C95" w:rsidRDefault="000C4D08" w:rsidP="00AC2BB1">
      <w:pPr>
        <w:spacing w:after="0" w:line="276" w:lineRule="auto"/>
        <w:rPr>
          <w:rFonts w:ascii="Verdana" w:hAnsi="Verdana" w:cs="Arial"/>
          <w:lang w:val="es-ES" w:eastAsia="es-CO"/>
        </w:rPr>
      </w:pPr>
    </w:p>
    <w:p w14:paraId="19779CCB" w14:textId="191A1E50" w:rsidR="00AC2BB1" w:rsidRPr="000C4D08" w:rsidRDefault="000C4D08" w:rsidP="000C4D08">
      <w:pPr>
        <w:spacing w:after="0" w:line="276" w:lineRule="auto"/>
        <w:jc w:val="center"/>
        <w:rPr>
          <w:rFonts w:ascii="Verdana" w:hAnsi="Verdana"/>
          <w:noProof/>
          <w:color w:val="ED7D31" w:themeColor="accent2"/>
        </w:rPr>
      </w:pPr>
      <w:r w:rsidRPr="000C4D08">
        <w:rPr>
          <w:rFonts w:ascii="Verdana" w:hAnsi="Verdana"/>
          <w:noProof/>
          <w:color w:val="ED7D31" w:themeColor="accent2"/>
        </w:rPr>
        <w:drawing>
          <wp:inline distT="0" distB="0" distL="0" distR="0" wp14:anchorId="5D52E619" wp14:editId="330C5A24">
            <wp:extent cx="2857899" cy="1133633"/>
            <wp:effectExtent l="0" t="0" r="0" b="9525"/>
            <wp:docPr id="153190587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905878" name="Imagen 1" descr="Texto&#10;&#10;El contenido generado por IA puede ser incorrecto."/>
                    <pic:cNvPicPr/>
                  </pic:nvPicPr>
                  <pic:blipFill>
                    <a:blip r:embed="rId14"/>
                    <a:stretch>
                      <a:fillRect/>
                    </a:stretch>
                  </pic:blipFill>
                  <pic:spPr>
                    <a:xfrm>
                      <a:off x="0" y="0"/>
                      <a:ext cx="2857899" cy="113363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2BB1" w:rsidRPr="00F92962" w14:paraId="7A3A9419" w14:textId="77777777" w:rsidTr="009A1C7B">
        <w:trPr>
          <w:trHeight w:val="315"/>
        </w:trPr>
        <w:tc>
          <w:tcPr>
            <w:tcW w:w="893" w:type="dxa"/>
            <w:vAlign w:val="center"/>
            <w:hideMark/>
          </w:tcPr>
          <w:p w14:paraId="1CC6E5F9" w14:textId="77777777" w:rsidR="00AC2BB1" w:rsidRPr="00F92962" w:rsidRDefault="00AC2BB1" w:rsidP="009A1C7B">
            <w:pPr>
              <w:contextualSpacing/>
              <w:rPr>
                <w:rFonts w:ascii="Verdana" w:hAnsi="Verdana" w:cs="Arial"/>
                <w:sz w:val="16"/>
                <w:szCs w:val="16"/>
                <w:lang w:val="es-ES" w:eastAsia="es-ES"/>
              </w:rPr>
            </w:pPr>
            <w:r w:rsidRPr="00F9296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714D36" w14:textId="77777777" w:rsidR="00AC2BB1" w:rsidRPr="00F92962" w:rsidRDefault="00AC2BB1" w:rsidP="009A1C7B">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Camila Alejandra Naranjo Gómez</w:t>
            </w:r>
          </w:p>
          <w:p w14:paraId="36ABDC98" w14:textId="77777777" w:rsidR="00AC2BB1" w:rsidRPr="00F92962" w:rsidRDefault="00AC2BB1" w:rsidP="009A1C7B">
            <w:pPr>
              <w:contextualSpacing/>
              <w:rPr>
                <w:rFonts w:ascii="Verdana" w:eastAsia="Arial" w:hAnsi="Verdana" w:cs="Arial"/>
                <w:sz w:val="16"/>
                <w:szCs w:val="16"/>
                <w:lang w:val="es-ES"/>
              </w:rPr>
            </w:pPr>
            <w:r w:rsidRPr="00F92962">
              <w:rPr>
                <w:rFonts w:ascii="Verdana" w:eastAsia="Times New Roman" w:hAnsi="Verdana" w:cs="Arial"/>
                <w:sz w:val="16"/>
                <w:szCs w:val="16"/>
                <w:lang w:eastAsia="es-ES"/>
              </w:rPr>
              <w:t>Analista T2-</w:t>
            </w:r>
            <w:r>
              <w:rPr>
                <w:rFonts w:ascii="Verdana" w:eastAsia="Times New Roman" w:hAnsi="Verdana" w:cs="Arial"/>
                <w:sz w:val="16"/>
                <w:szCs w:val="16"/>
                <w:lang w:eastAsia="es-ES"/>
              </w:rPr>
              <w:t>02</w:t>
            </w:r>
            <w:r w:rsidRPr="00F92962">
              <w:rPr>
                <w:rFonts w:ascii="Verdana" w:eastAsia="Times New Roman" w:hAnsi="Verdana" w:cs="Arial"/>
                <w:sz w:val="16"/>
                <w:szCs w:val="16"/>
                <w:lang w:eastAsia="es-ES"/>
              </w:rPr>
              <w:t xml:space="preserve"> de la Subdirección de Gestión Contractual</w:t>
            </w:r>
          </w:p>
        </w:tc>
      </w:tr>
      <w:tr w:rsidR="00AC2BB1" w:rsidRPr="00F92962" w14:paraId="795195A0" w14:textId="77777777" w:rsidTr="009A1C7B">
        <w:trPr>
          <w:trHeight w:val="330"/>
        </w:trPr>
        <w:tc>
          <w:tcPr>
            <w:tcW w:w="893" w:type="dxa"/>
            <w:vAlign w:val="center"/>
            <w:hideMark/>
          </w:tcPr>
          <w:p w14:paraId="34507DF7" w14:textId="77777777" w:rsidR="00AC2BB1" w:rsidRPr="00F92962" w:rsidRDefault="00AC2BB1" w:rsidP="009A1C7B">
            <w:pPr>
              <w:contextualSpacing/>
              <w:rPr>
                <w:rFonts w:ascii="Verdana" w:hAnsi="Verdana" w:cs="Arial"/>
                <w:sz w:val="16"/>
                <w:szCs w:val="16"/>
                <w:lang w:val="es-ES" w:eastAsia="es-ES"/>
              </w:rPr>
            </w:pPr>
            <w:r w:rsidRPr="00F9296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FD4260" w14:textId="77777777" w:rsidR="00AC2BB1" w:rsidRPr="00F92962" w:rsidRDefault="00AC2BB1" w:rsidP="009A1C7B">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Alejandro Sarmiento Cantillo</w:t>
            </w:r>
          </w:p>
          <w:p w14:paraId="24E827F5" w14:textId="77777777" w:rsidR="00AC2BB1" w:rsidRPr="00F92962" w:rsidRDefault="00AC2BB1" w:rsidP="009A1C7B">
            <w:pPr>
              <w:pStyle w:val="paragraph"/>
              <w:spacing w:before="0" w:beforeAutospacing="0" w:after="0" w:afterAutospacing="0"/>
              <w:contextualSpacing/>
              <w:textAlignment w:val="baseline"/>
              <w:rPr>
                <w:rFonts w:ascii="Verdana" w:hAnsi="Verdana" w:cs="Segoe UI"/>
                <w:sz w:val="16"/>
                <w:szCs w:val="16"/>
                <w:lang w:val="es-ES"/>
              </w:rPr>
            </w:pPr>
            <w:r w:rsidRPr="00F92962">
              <w:rPr>
                <w:rFonts w:ascii="Verdana" w:hAnsi="Verdana" w:cs="Arial"/>
                <w:sz w:val="16"/>
                <w:szCs w:val="16"/>
                <w:lang w:eastAsia="es-ES"/>
              </w:rPr>
              <w:t>Gestor T1 ‒ 15 de la Subdirección de Gestión Contractual</w:t>
            </w:r>
          </w:p>
        </w:tc>
      </w:tr>
      <w:tr w:rsidR="00AC2BB1" w:rsidRPr="00F92962" w14:paraId="013583DC" w14:textId="77777777" w:rsidTr="009A1C7B">
        <w:trPr>
          <w:trHeight w:val="300"/>
        </w:trPr>
        <w:tc>
          <w:tcPr>
            <w:tcW w:w="893" w:type="dxa"/>
            <w:vAlign w:val="center"/>
          </w:tcPr>
          <w:p w14:paraId="49E62119" w14:textId="77777777" w:rsidR="00AC2BB1" w:rsidRPr="00F92962" w:rsidRDefault="00AC2BB1" w:rsidP="009A1C7B">
            <w:pPr>
              <w:contextualSpacing/>
              <w:rPr>
                <w:rFonts w:ascii="Verdana" w:hAnsi="Verdana" w:cs="Arial"/>
                <w:sz w:val="16"/>
                <w:szCs w:val="16"/>
                <w:lang w:val="es-ES" w:eastAsia="es-ES"/>
              </w:rPr>
            </w:pPr>
            <w:r w:rsidRPr="00F9296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C908D3B" w14:textId="77777777" w:rsidR="00AC2BB1" w:rsidRPr="00F92962" w:rsidRDefault="00AC2BB1" w:rsidP="009A1C7B">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Carolina Quintero Gacharná</w:t>
            </w:r>
          </w:p>
          <w:p w14:paraId="7086DF68" w14:textId="77777777" w:rsidR="00AC2BB1" w:rsidRPr="00F92962" w:rsidRDefault="00AC2BB1" w:rsidP="009A1C7B">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Subdirectora de Gestión Contractual ANCP – CCE</w:t>
            </w:r>
          </w:p>
        </w:tc>
      </w:tr>
    </w:tbl>
    <w:p w14:paraId="7D1031C3" w14:textId="77777777" w:rsidR="00AC2BB1" w:rsidRPr="00F92962" w:rsidRDefault="00AC2BB1" w:rsidP="00AC2BB1">
      <w:pPr>
        <w:spacing w:after="120" w:line="276" w:lineRule="auto"/>
        <w:jc w:val="both"/>
        <w:rPr>
          <w:rFonts w:ascii="Verdana" w:eastAsia="Century Gothic" w:hAnsi="Verdana" w:cs="Century Gothic"/>
          <w:b/>
        </w:rPr>
      </w:pPr>
    </w:p>
    <w:bookmarkEnd w:id="0"/>
    <w:p w14:paraId="7151F16F" w14:textId="77777777" w:rsidR="00AC2BB1" w:rsidRPr="009233BB" w:rsidRDefault="00AC2BB1" w:rsidP="00AC2BB1">
      <w:pPr>
        <w:spacing w:after="120" w:line="276" w:lineRule="auto"/>
        <w:jc w:val="both"/>
        <w:rPr>
          <w:rFonts w:ascii="Verdana" w:eastAsia="Century Gothic" w:hAnsi="Verdana" w:cs="Century Gothic"/>
          <w:b/>
          <w:color w:val="ED7D31" w:themeColor="accent2"/>
          <w:lang w:val="es-ES"/>
        </w:rPr>
      </w:pPr>
    </w:p>
    <w:p w14:paraId="0F293BF4" w14:textId="694B4405" w:rsidR="00127233" w:rsidRPr="00AC2BB1" w:rsidRDefault="00127233" w:rsidP="00AC2BB1">
      <w:pPr>
        <w:rPr>
          <w:lang w:val="es-ES"/>
        </w:rPr>
      </w:pPr>
    </w:p>
    <w:sectPr w:rsidR="00127233" w:rsidRPr="00AC2BB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F65F5" w14:textId="77777777" w:rsidR="003C441C" w:rsidRDefault="003C441C" w:rsidP="004A1847">
      <w:pPr>
        <w:spacing w:after="0" w:line="240" w:lineRule="auto"/>
      </w:pPr>
      <w:r>
        <w:separator/>
      </w:r>
    </w:p>
  </w:endnote>
  <w:endnote w:type="continuationSeparator" w:id="0">
    <w:p w14:paraId="7CC451D9" w14:textId="77777777" w:rsidR="003C441C" w:rsidRDefault="003C441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Work Sans">
    <w:charset w:val="00"/>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9E66E" w14:textId="77777777" w:rsidR="003C441C" w:rsidRDefault="003C441C" w:rsidP="004A1847">
      <w:pPr>
        <w:spacing w:after="0" w:line="240" w:lineRule="auto"/>
      </w:pPr>
      <w:r>
        <w:separator/>
      </w:r>
    </w:p>
  </w:footnote>
  <w:footnote w:type="continuationSeparator" w:id="0">
    <w:p w14:paraId="2A9635F8" w14:textId="77777777" w:rsidR="003C441C" w:rsidRDefault="003C441C" w:rsidP="004A1847">
      <w:pPr>
        <w:spacing w:after="0" w:line="240" w:lineRule="auto"/>
      </w:pPr>
      <w:r>
        <w:continuationSeparator/>
      </w:r>
    </w:p>
  </w:footnote>
  <w:footnote w:id="1">
    <w:p w14:paraId="6BF55D29" w14:textId="77777777" w:rsidR="00AC2BB1" w:rsidRPr="00D4796C" w:rsidRDefault="00AC2BB1" w:rsidP="00AC2BB1">
      <w:pPr>
        <w:pStyle w:val="Textonotapie"/>
        <w:ind w:firstLine="708"/>
        <w:jc w:val="both"/>
        <w:rPr>
          <w:rFonts w:ascii="Verdana" w:hAnsi="Verdana" w:cs="Arial"/>
          <w:color w:val="000000" w:themeColor="text1"/>
          <w:sz w:val="16"/>
          <w:szCs w:val="16"/>
        </w:rPr>
      </w:pPr>
      <w:r w:rsidRPr="00D4796C">
        <w:rPr>
          <w:rStyle w:val="Refdenotaalpie"/>
          <w:rFonts w:ascii="Verdana" w:hAnsi="Verdana" w:cs="Arial"/>
          <w:color w:val="000000" w:themeColor="text1"/>
          <w:sz w:val="16"/>
          <w:szCs w:val="16"/>
        </w:rPr>
        <w:footnoteRef/>
      </w:r>
      <w:r w:rsidRPr="00D4796C">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2">
    <w:p w14:paraId="3F03D931" w14:textId="77777777" w:rsidR="00AC2BB1" w:rsidRDefault="00AC2BB1" w:rsidP="00AC2BB1">
      <w:pPr>
        <w:pStyle w:val="Textonotapie"/>
        <w:ind w:firstLine="708"/>
        <w:jc w:val="both"/>
        <w:rPr>
          <w:rFonts w:ascii="Verdana" w:hAnsi="Verdana"/>
          <w:sz w:val="16"/>
          <w:szCs w:val="16"/>
        </w:rPr>
      </w:pPr>
      <w:r w:rsidRPr="001664CE">
        <w:rPr>
          <w:rStyle w:val="Refdenotaalpie"/>
          <w:rFonts w:ascii="Verdana" w:hAnsi="Verdana"/>
          <w:sz w:val="16"/>
          <w:szCs w:val="16"/>
        </w:rPr>
        <w:footnoteRef/>
      </w:r>
      <w:r w:rsidRPr="001664CE">
        <w:rPr>
          <w:rFonts w:ascii="Verdana" w:hAnsi="Verdana"/>
          <w:sz w:val="16"/>
          <w:szCs w:val="16"/>
        </w:rPr>
        <w:t xml:space="preserve"> </w:t>
      </w:r>
      <w:r>
        <w:rPr>
          <w:rFonts w:ascii="Verdana" w:hAnsi="Verdana"/>
          <w:sz w:val="16"/>
          <w:szCs w:val="16"/>
        </w:rPr>
        <w:t>Por ejemplo</w:t>
      </w:r>
      <w:r w:rsidRPr="001664CE">
        <w:rPr>
          <w:rFonts w:ascii="Verdana" w:hAnsi="Verdana"/>
          <w:sz w:val="16"/>
          <w:szCs w:val="16"/>
        </w:rPr>
        <w:t>,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sz w:val="16"/>
          <w:szCs w:val="16"/>
        </w:rPr>
        <w:t xml:space="preserve"> (Cfr. </w:t>
      </w:r>
      <w:r w:rsidRPr="001664CE">
        <w:rPr>
          <w:rFonts w:ascii="Verdana" w:hAnsi="Verdana"/>
          <w:sz w:val="16"/>
          <w:szCs w:val="16"/>
        </w:rPr>
        <w:t>Corte Constitucional. Sentencia T-1039 de 2006. M.P. Humberto Sierra Porto. La Corte Constitucional ha mantenido este criterio en las sentencias: C-903 de 2008. M.P. Jaime Araujo Rentería; C-101 de 2018. M.P. Gloria Stella Ortiz Delgado; entre otras</w:t>
      </w:r>
      <w:r>
        <w:rPr>
          <w:rFonts w:ascii="Verdana" w:hAnsi="Verdana"/>
          <w:sz w:val="16"/>
          <w:szCs w:val="16"/>
        </w:rPr>
        <w:t>)</w:t>
      </w:r>
      <w:r w:rsidRPr="001664CE">
        <w:rPr>
          <w:rFonts w:ascii="Verdana" w:hAnsi="Verdana"/>
          <w:sz w:val="16"/>
          <w:szCs w:val="16"/>
        </w:rPr>
        <w:t>.</w:t>
      </w:r>
      <w:r>
        <w:rPr>
          <w:rFonts w:ascii="Verdana" w:hAnsi="Verdana"/>
          <w:sz w:val="16"/>
          <w:szCs w:val="16"/>
        </w:rPr>
        <w:t xml:space="preserve"> </w:t>
      </w:r>
    </w:p>
    <w:p w14:paraId="11B00AD7" w14:textId="77777777" w:rsidR="00AC2BB1" w:rsidRPr="001664CE" w:rsidRDefault="00AC2BB1" w:rsidP="00AC2BB1">
      <w:pPr>
        <w:pStyle w:val="Textonotapie"/>
        <w:ind w:firstLine="708"/>
        <w:jc w:val="both"/>
        <w:rPr>
          <w:rFonts w:ascii="Verdana" w:hAnsi="Verdana"/>
          <w:sz w:val="16"/>
          <w:szCs w:val="16"/>
          <w:lang w:val="es-CO"/>
        </w:rPr>
      </w:pPr>
      <w:r w:rsidRPr="001664CE">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w:t>
      </w:r>
      <w:r>
        <w:rPr>
          <w:rFonts w:ascii="Verdana" w:hAnsi="Verdana"/>
          <w:sz w:val="16"/>
          <w:szCs w:val="16"/>
        </w:rPr>
        <w:t>‘</w:t>
      </w:r>
      <w:r w:rsidRPr="001664CE">
        <w:rPr>
          <w:rFonts w:ascii="Verdana" w:hAnsi="Verdana"/>
          <w:sz w:val="16"/>
          <w:szCs w:val="16"/>
        </w:rPr>
        <w:t>Los particulares sólo son responsables ante las autoridades por infringir la Constitución y las leyes</w:t>
      </w:r>
      <w:r>
        <w:rPr>
          <w:rFonts w:ascii="Verdana" w:hAnsi="Verdana"/>
          <w:sz w:val="16"/>
          <w:szCs w:val="16"/>
        </w:rPr>
        <w:t>’</w:t>
      </w:r>
      <w:r w:rsidRPr="001664CE">
        <w:rPr>
          <w:rFonts w:ascii="Verdana" w:hAnsi="Verdana"/>
          <w:sz w:val="16"/>
          <w:szCs w:val="16"/>
        </w:rPr>
        <w:t xml:space="preserve"> lo que se traduce en que pueden hacer todo aquello que no les esté expresamente prohibido”</w:t>
      </w:r>
      <w:r>
        <w:rPr>
          <w:rFonts w:ascii="Verdana" w:hAnsi="Verdana"/>
          <w:sz w:val="16"/>
          <w:szCs w:val="16"/>
        </w:rPr>
        <w:t xml:space="preserve"> (Cfr. </w:t>
      </w:r>
      <w:r w:rsidRPr="001664CE">
        <w:rPr>
          <w:rFonts w:ascii="Verdana" w:hAnsi="Verdana"/>
          <w:sz w:val="16"/>
          <w:szCs w:val="16"/>
        </w:rPr>
        <w:t>Consejo De Estado. Sala de Consulta y Servicio Civil. Concepto del 30 de abril de 2015. Exp. 2251. C.P. Álvaro Namén Vargas.</w:t>
      </w:r>
      <w:r>
        <w:rPr>
          <w:rFonts w:ascii="Verdana" w:hAnsi="Verdana"/>
          <w:sz w:val="16"/>
          <w:szCs w:val="16"/>
        </w:rPr>
        <w:t xml:space="preserve"> En un sentido similar, </w:t>
      </w:r>
      <w:r w:rsidRPr="001664CE">
        <w:rPr>
          <w:rFonts w:ascii="Verdana" w:hAnsi="Verdana"/>
          <w:sz w:val="16"/>
          <w:szCs w:val="16"/>
        </w:rPr>
        <w:t>Sección Tercera. Subsección A. Sentencia del 24 de junio de 2015. Exp. 40.635. C.P. Hernán Andrade Rincón (E)</w:t>
      </w:r>
      <w:r>
        <w:rPr>
          <w:rFonts w:ascii="Verdana" w:hAnsi="Verdana"/>
          <w:sz w:val="16"/>
          <w:szCs w:val="16"/>
        </w:rPr>
        <w:t xml:space="preserve"> y </w:t>
      </w:r>
      <w:r w:rsidRPr="001664CE">
        <w:rPr>
          <w:rFonts w:ascii="Verdana" w:hAnsi="Verdana"/>
          <w:sz w:val="16"/>
          <w:szCs w:val="16"/>
        </w:rPr>
        <w:t>Sección Tercera. Subsección C. Sentencia del 22 de mayo de 2013. Rad. 24.057. C.P. Olga Mélida Valle De La Hoz</w:t>
      </w:r>
      <w:r>
        <w:rPr>
          <w:rFonts w:ascii="Verdana" w:hAnsi="Verdana"/>
          <w:sz w:val="16"/>
          <w:szCs w:val="16"/>
        </w:rPr>
        <w:t>)</w:t>
      </w:r>
      <w:r w:rsidRPr="001664CE">
        <w:rPr>
          <w:rFonts w:ascii="Verdana" w:hAnsi="Verdana"/>
          <w:sz w:val="16"/>
          <w:szCs w:val="16"/>
        </w:rPr>
        <w:t>.</w:t>
      </w:r>
    </w:p>
  </w:footnote>
  <w:footnote w:id="3">
    <w:p w14:paraId="299C8C02" w14:textId="77777777" w:rsidR="00AC2BB1" w:rsidRDefault="00AC2BB1" w:rsidP="00AC2BB1">
      <w:pPr>
        <w:pStyle w:val="Textonotapie"/>
        <w:ind w:firstLine="709"/>
        <w:rPr>
          <w:rFonts w:ascii="Verdana" w:hAnsi="Verdana"/>
          <w:sz w:val="16"/>
          <w:szCs w:val="16"/>
        </w:rPr>
      </w:pPr>
      <w:r>
        <w:rPr>
          <w:rStyle w:val="Refdenotaalpie"/>
        </w:rPr>
        <w:footnoteRef/>
      </w:r>
      <w:r>
        <w:t xml:space="preserve"> </w:t>
      </w:r>
      <w:r w:rsidRPr="00BA0618">
        <w:rPr>
          <w:rFonts w:ascii="Verdana" w:hAnsi="Verdana"/>
          <w:sz w:val="16"/>
          <w:szCs w:val="16"/>
        </w:rPr>
        <w:t>Ley 80 de 1993, Artículo 8</w:t>
      </w:r>
      <w:r>
        <w:rPr>
          <w:rFonts w:ascii="Verdana" w:hAnsi="Verdana"/>
          <w:sz w:val="16"/>
          <w:szCs w:val="16"/>
        </w:rPr>
        <w:t>:”</w:t>
      </w:r>
      <w:r w:rsidRPr="00942136">
        <w:t xml:space="preserve"> </w:t>
      </w:r>
      <w:r w:rsidRPr="00942136">
        <w:rPr>
          <w:rFonts w:ascii="Verdana" w:hAnsi="Verdana"/>
          <w:sz w:val="16"/>
          <w:szCs w:val="16"/>
        </w:rPr>
        <w:t>Son inhábiles para participar en licitaciones y para celebrar contratos con las entidades estatales:</w:t>
      </w:r>
      <w:r>
        <w:rPr>
          <w:rFonts w:ascii="Verdana" w:hAnsi="Verdana"/>
          <w:sz w:val="16"/>
          <w:szCs w:val="16"/>
        </w:rPr>
        <w:t xml:space="preserve"> […]</w:t>
      </w:r>
    </w:p>
    <w:p w14:paraId="75B40183" w14:textId="77777777" w:rsidR="00AC2BB1" w:rsidRPr="00BC4501" w:rsidRDefault="00AC2BB1" w:rsidP="00AC2BB1">
      <w:pPr>
        <w:pStyle w:val="Textonotapie"/>
        <w:ind w:right="-93" w:firstLine="709"/>
        <w:jc w:val="both"/>
        <w:rPr>
          <w:rFonts w:ascii="Verdana" w:hAnsi="Verdana"/>
        </w:rPr>
      </w:pPr>
      <w:r w:rsidRPr="00050BBA">
        <w:rPr>
          <w:rFonts w:ascii="Verdana" w:hAnsi="Verdana"/>
          <w:sz w:val="16"/>
          <w:szCs w:val="16"/>
        </w:rPr>
        <w:t>d) Quienes en sentencia judicial hayan sido condenados a la pena accesoria de interdicción de derechos y funciones públicas</w:t>
      </w:r>
      <w:r w:rsidRPr="00BC4501">
        <w:rPr>
          <w:rFonts w:ascii="Verdana" w:hAnsi="Verdana"/>
          <w:sz w:val="16"/>
          <w:szCs w:val="16"/>
        </w:rPr>
        <w:t xml:space="preserve"> y quienes hayan sido sancionados disciplinariamente con destitución.</w:t>
      </w:r>
    </w:p>
  </w:footnote>
  <w:footnote w:id="4">
    <w:p w14:paraId="15AB0829" w14:textId="77777777" w:rsidR="00AC2BB1" w:rsidRDefault="00AC2BB1" w:rsidP="00AC2BB1">
      <w:pPr>
        <w:pStyle w:val="Textonotapie"/>
        <w:ind w:firstLine="709"/>
        <w:rPr>
          <w:rFonts w:ascii="Verdana" w:hAnsi="Verdana"/>
          <w:sz w:val="16"/>
          <w:szCs w:val="16"/>
        </w:rPr>
      </w:pPr>
      <w:r>
        <w:rPr>
          <w:rStyle w:val="Refdenotaalpie"/>
        </w:rPr>
        <w:footnoteRef/>
      </w:r>
      <w:r>
        <w:t xml:space="preserve"> </w:t>
      </w:r>
      <w:r w:rsidRPr="00BA0618">
        <w:rPr>
          <w:rFonts w:ascii="Verdana" w:hAnsi="Verdana"/>
          <w:sz w:val="16"/>
          <w:szCs w:val="16"/>
        </w:rPr>
        <w:t>Ley 80 de 1993, Artículo 8</w:t>
      </w:r>
      <w:r>
        <w:rPr>
          <w:rFonts w:ascii="Verdana" w:hAnsi="Verdana"/>
          <w:sz w:val="16"/>
          <w:szCs w:val="16"/>
        </w:rPr>
        <w:t>:”</w:t>
      </w:r>
      <w:r w:rsidRPr="00942136">
        <w:t xml:space="preserve"> </w:t>
      </w:r>
      <w:r w:rsidRPr="00942136">
        <w:rPr>
          <w:rFonts w:ascii="Verdana" w:hAnsi="Verdana"/>
          <w:sz w:val="16"/>
          <w:szCs w:val="16"/>
        </w:rPr>
        <w:t>Son inhábiles para participar en licitaciones y para celebrar contratos con las entidades estatales:</w:t>
      </w:r>
      <w:r>
        <w:rPr>
          <w:rFonts w:ascii="Verdana" w:hAnsi="Verdana"/>
          <w:sz w:val="16"/>
          <w:szCs w:val="16"/>
        </w:rPr>
        <w:t xml:space="preserve"> […]</w:t>
      </w:r>
    </w:p>
    <w:p w14:paraId="5D64D340" w14:textId="77777777" w:rsidR="00AC2BB1" w:rsidRPr="00937F64" w:rsidRDefault="00AC2BB1" w:rsidP="00AC2BB1">
      <w:pPr>
        <w:pStyle w:val="Textonotapie"/>
        <w:ind w:firstLine="709"/>
        <w:jc w:val="both"/>
        <w:rPr>
          <w:rFonts w:ascii="Verdana" w:hAnsi="Verdana"/>
          <w:sz w:val="16"/>
          <w:szCs w:val="16"/>
        </w:rPr>
      </w:pPr>
      <w:r>
        <w:rPr>
          <w:rFonts w:ascii="Verdana" w:hAnsi="Verdana"/>
          <w:sz w:val="16"/>
          <w:szCs w:val="16"/>
        </w:rPr>
        <w:t>j)</w:t>
      </w:r>
      <w:r w:rsidRPr="00000EFB">
        <w:t xml:space="preserve"> </w:t>
      </w:r>
      <w:r w:rsidRPr="00000EFB">
        <w:rPr>
          <w:rFonts w:ascii="Verdana" w:hAnsi="Verdana"/>
          <w:sz w:val="16"/>
          <w:szCs w:val="16"/>
        </w:rPr>
        <w:t>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r>
        <w:rPr>
          <w:rFonts w:ascii="Verdana" w:hAnsi="Verdana"/>
          <w:sz w:val="16"/>
          <w:szCs w:val="16"/>
        </w:rPr>
        <w:t xml:space="preserve"> </w:t>
      </w:r>
      <w:r w:rsidRPr="00AB51EC">
        <w:rPr>
          <w:rFonts w:ascii="Verdana" w:hAnsi="Verdana"/>
          <w:sz w:val="16"/>
          <w:szCs w:val="16"/>
          <w:lang w:val="es-CO"/>
        </w:rPr>
        <w:t>Esta inhabilidad procederá preventivamente aún en los casos en los que esté pendiente la decisión sobre la impugnación de la sentencia condenatoria.</w:t>
      </w:r>
      <w:r>
        <w:rPr>
          <w:rFonts w:ascii="Verdana" w:hAnsi="Verdana"/>
          <w:sz w:val="16"/>
          <w:szCs w:val="16"/>
          <w:lang w:val="es-CO"/>
        </w:rPr>
        <w:t xml:space="preserve"> […]</w:t>
      </w:r>
    </w:p>
  </w:footnote>
  <w:footnote w:id="5">
    <w:p w14:paraId="00092D99" w14:textId="77777777" w:rsidR="00AC2BB1" w:rsidRPr="002B689B" w:rsidRDefault="00AC2BB1" w:rsidP="00AC2BB1">
      <w:pPr>
        <w:pStyle w:val="Textonotapie"/>
        <w:ind w:firstLine="709"/>
        <w:jc w:val="both"/>
        <w:rPr>
          <w:rFonts w:ascii="Verdana" w:hAnsi="Verdana"/>
        </w:rPr>
      </w:pPr>
      <w:r w:rsidRPr="002B689B">
        <w:rPr>
          <w:rStyle w:val="Refdenotaalpie"/>
          <w:rFonts w:ascii="Verdana" w:hAnsi="Verdana"/>
          <w:sz w:val="16"/>
          <w:szCs w:val="16"/>
        </w:rPr>
        <w:footnoteRef/>
      </w:r>
      <w:r w:rsidRPr="002B689B">
        <w:rPr>
          <w:rFonts w:ascii="Verdana" w:hAnsi="Verdana"/>
          <w:sz w:val="16"/>
          <w:szCs w:val="16"/>
        </w:rPr>
        <w:t xml:space="preserve"> Artículo 18. De Las Inhabilidades Para Contratar. </w:t>
      </w:r>
      <w:r>
        <w:rPr>
          <w:rFonts w:ascii="Verdana" w:hAnsi="Verdana"/>
          <w:sz w:val="16"/>
          <w:szCs w:val="16"/>
        </w:rPr>
        <w:t>“</w:t>
      </w:r>
      <w:r w:rsidRPr="002B689B">
        <w:rPr>
          <w:rFonts w:ascii="Verdana" w:hAnsi="Verdana"/>
          <w:sz w:val="16"/>
          <w:szCs w:val="16"/>
        </w:rPr>
        <w:t>Adiciónese un literal j) al numeral 1 y un inciso al parágrafo 1o, del artículo 8o de la Ley 80 de 1993, así:</w:t>
      </w:r>
      <w:r>
        <w:rPr>
          <w:rFonts w:ascii="Verdana" w:hAnsi="Verdana"/>
          <w:sz w:val="16"/>
          <w:szCs w:val="16"/>
        </w:rPr>
        <w:t xml:space="preserve"> […] </w:t>
      </w:r>
      <w:r w:rsidRPr="002B689B">
        <w:rPr>
          <w:rFonts w:ascii="Verdana" w:hAnsi="Verdana"/>
          <w:sz w:val="16"/>
          <w:szCs w:val="16"/>
          <w:lang w:val="es-CO"/>
        </w:rPr>
        <w:t>j)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w:t>
      </w:r>
      <w:r w:rsidRPr="004D40A6">
        <w:rPr>
          <w:rFonts w:ascii="Verdana" w:hAnsi="Verdana"/>
          <w:sz w:val="16"/>
          <w:szCs w:val="16"/>
          <w:lang w:val="es-CO"/>
        </w:rPr>
        <w:t>con excepción de las sociedades anónimas abiertas".”</w:t>
      </w:r>
    </w:p>
  </w:footnote>
  <w:footnote w:id="6">
    <w:p w14:paraId="7B26F6E8" w14:textId="77777777" w:rsidR="00AC2BB1" w:rsidRPr="00CD3504" w:rsidRDefault="00AC2BB1" w:rsidP="00AC2BB1">
      <w:pPr>
        <w:pStyle w:val="Textonotapie"/>
        <w:ind w:firstLine="709"/>
        <w:jc w:val="both"/>
        <w:rPr>
          <w:rFonts w:ascii="Verdana" w:hAnsi="Verdana"/>
          <w:sz w:val="16"/>
          <w:szCs w:val="16"/>
        </w:rPr>
      </w:pPr>
      <w:r w:rsidRPr="00CD3504">
        <w:rPr>
          <w:rStyle w:val="Refdenotaalpie"/>
          <w:rFonts w:ascii="Verdana" w:hAnsi="Verdana"/>
          <w:sz w:val="16"/>
          <w:szCs w:val="16"/>
        </w:rPr>
        <w:footnoteRef/>
      </w:r>
      <w:r w:rsidRPr="00CD3504">
        <w:rPr>
          <w:rFonts w:ascii="Verdana" w:hAnsi="Verdana"/>
          <w:sz w:val="16"/>
          <w:szCs w:val="16"/>
        </w:rPr>
        <w:t xml:space="preserve"> </w:t>
      </w:r>
      <w:r w:rsidRPr="00CD3504">
        <w:rPr>
          <w:rFonts w:ascii="Verdana" w:hAnsi="Verdana"/>
          <w:sz w:val="16"/>
          <w:szCs w:val="16"/>
          <w:lang w:val="es-CO"/>
        </w:rPr>
        <w:t>Artículo 4. </w:t>
      </w:r>
      <w:r w:rsidRPr="00CD3504">
        <w:rPr>
          <w:rFonts w:ascii="Verdana" w:hAnsi="Verdana"/>
          <w:i/>
          <w:iCs/>
          <w:sz w:val="16"/>
          <w:szCs w:val="16"/>
          <w:lang w:val="es-CO"/>
        </w:rPr>
        <w:t>Deber de verificación.</w:t>
      </w:r>
      <w:r w:rsidRPr="00CD3504">
        <w:rPr>
          <w:rFonts w:ascii="Verdana" w:hAnsi="Verdana"/>
          <w:sz w:val="16"/>
          <w:szCs w:val="16"/>
          <w:lang w:val="es-CO"/>
        </w:rPr>
        <w:t> </w:t>
      </w:r>
      <w:r>
        <w:rPr>
          <w:rFonts w:ascii="Verdana" w:hAnsi="Verdana"/>
          <w:sz w:val="16"/>
          <w:szCs w:val="16"/>
          <w:lang w:val="es-CO"/>
        </w:rPr>
        <w:t>“</w:t>
      </w:r>
      <w:r w:rsidRPr="00CD3504">
        <w:rPr>
          <w:rFonts w:ascii="Verdana" w:hAnsi="Verdana"/>
          <w:sz w:val="16"/>
          <w:szCs w:val="16"/>
          <w:lang w:val="es-CO"/>
        </w:rPr>
        <w:t>Es deber de las entidades públicas o privadas, de acuerdo a lo reglamentado por el Gobierno Nacional, verificar, previa autorización del aspirante, que este no se encuentra inscrito en el registro de inhabilidades por delitos sexuales cometidos contra personas menores edad, en el desarrollo de los procesos de selección de personal para el desempeño de cargos, oficios, profesiones que involucren una relación directa y habitual con menores previamente definidos por el Instituto Colombiano de Bienestar Familiar.</w:t>
      </w:r>
      <w:r w:rsidRPr="0083021E">
        <w:rPr>
          <w:rFonts w:ascii="Work Sans" w:eastAsia="Times New Roman" w:hAnsi="Work Sans" w:cs="Times New Roman"/>
          <w:color w:val="333333"/>
          <w:sz w:val="25"/>
          <w:szCs w:val="25"/>
          <w:lang w:eastAsia="es-CO"/>
        </w:rPr>
        <w:t xml:space="preserve"> </w:t>
      </w:r>
      <w:r w:rsidRPr="0083021E">
        <w:rPr>
          <w:rFonts w:ascii="Verdana" w:hAnsi="Verdana"/>
          <w:sz w:val="16"/>
          <w:szCs w:val="16"/>
        </w:rPr>
        <w:t>Dicha verificación, deberá actualizarse cada cuatro meses después del inicio de la relación contractual, laboral o reglamentaria.</w:t>
      </w:r>
      <w:r>
        <w:rPr>
          <w:rFonts w:ascii="Verdana" w:hAnsi="Verdana"/>
          <w:sz w:val="16"/>
          <w:szCs w:val="16"/>
        </w:rPr>
        <w:t>”</w:t>
      </w:r>
    </w:p>
  </w:footnote>
  <w:footnote w:id="7">
    <w:p w14:paraId="20DB288E" w14:textId="77777777" w:rsidR="00AC2BB1" w:rsidRPr="00B15A35" w:rsidRDefault="00AC2BB1" w:rsidP="00AC2BB1">
      <w:pPr>
        <w:ind w:firstLine="709"/>
        <w:jc w:val="both"/>
        <w:rPr>
          <w:rFonts w:ascii="Verdana" w:hAnsi="Verdana"/>
          <w:sz w:val="16"/>
          <w:szCs w:val="16"/>
        </w:rPr>
      </w:pPr>
      <w:r w:rsidRPr="00B15A35">
        <w:rPr>
          <w:rFonts w:ascii="Verdana" w:hAnsi="Verdana"/>
          <w:sz w:val="16"/>
          <w:szCs w:val="16"/>
          <w:vertAlign w:val="superscript"/>
        </w:rPr>
        <w:footnoteRef/>
      </w:r>
      <w:r w:rsidRPr="00B15A35">
        <w:rPr>
          <w:rFonts w:ascii="Verdana" w:hAnsi="Verdana"/>
          <w:sz w:val="16"/>
          <w:szCs w:val="16"/>
          <w:vertAlign w:val="superscript"/>
        </w:rPr>
        <w:t xml:space="preserve"> </w:t>
      </w:r>
      <w:r w:rsidRPr="00B15A35">
        <w:rPr>
          <w:rFonts w:ascii="Verdana" w:hAnsi="Verdana"/>
          <w:sz w:val="16"/>
          <w:szCs w:val="16"/>
        </w:rPr>
        <w:t>Artículo</w:t>
      </w:r>
      <w:bookmarkStart w:id="3" w:name="51"/>
      <w:bookmarkEnd w:id="3"/>
      <w:r w:rsidRPr="00B15A35">
        <w:rPr>
          <w:rFonts w:ascii="Verdana" w:hAnsi="Verdana"/>
          <w:sz w:val="16"/>
          <w:szCs w:val="16"/>
        </w:rPr>
        <w:t> 51. Duración de las penas privativas de otros derechos. “La inhabilitación para el ejercicio de derechos y funciones públicas tendrá una duración de cinco (5) a veinte (20) años, salvo en el caso del inciso 3 del Artículo 52. Se excluyen de esta regla las penas impuestas a servidores públicos condenados por delitos contra el patrimonio del Estado, en cuyo caso se aplicará el inciso 5 del Artículo 122 de la Constitución Política […]”</w:t>
      </w:r>
    </w:p>
  </w:footnote>
  <w:footnote w:id="8">
    <w:p w14:paraId="12AFA409" w14:textId="77777777" w:rsidR="00AC2BB1" w:rsidRPr="00B15A35" w:rsidRDefault="00AC2BB1" w:rsidP="00AC2BB1">
      <w:pPr>
        <w:pStyle w:val="Textonotapie"/>
        <w:ind w:firstLine="709"/>
        <w:jc w:val="both"/>
        <w:rPr>
          <w:rFonts w:ascii="Verdana" w:hAnsi="Verdana"/>
          <w:sz w:val="16"/>
          <w:szCs w:val="16"/>
        </w:rPr>
      </w:pPr>
      <w:r w:rsidRPr="00B15A35">
        <w:rPr>
          <w:rStyle w:val="Refdenotaalpie"/>
          <w:rFonts w:ascii="Verdana" w:hAnsi="Verdana"/>
          <w:sz w:val="16"/>
          <w:szCs w:val="16"/>
        </w:rPr>
        <w:footnoteRef/>
      </w:r>
      <w:r w:rsidRPr="00B15A35">
        <w:rPr>
          <w:rFonts w:ascii="Verdana" w:hAnsi="Verdana"/>
          <w:sz w:val="16"/>
          <w:szCs w:val="16"/>
        </w:rPr>
        <w:t xml:space="preserve"> Artículo 5. Sanciones. “La omisión al deber de verificación en los términos de la presente ley o la contratación de personas inhabilitadas para el ejercicio de los cargos, oficios o profesiones mencionadas en el artículo 2 acarreará a las entidades públicas o privadas y/o personas naturales contratantes, sanción consistente en multa equivalente al valor de cincuenta (50) a quinientos (500) salarios mínimos mensuales legales vigentes. […]”</w:t>
      </w:r>
    </w:p>
  </w:footnote>
  <w:footnote w:id="9">
    <w:p w14:paraId="77349594" w14:textId="77777777" w:rsidR="00AC2BB1" w:rsidRPr="000A7051" w:rsidRDefault="00AC2BB1" w:rsidP="00AC2BB1">
      <w:pPr>
        <w:pStyle w:val="Textonotapie"/>
        <w:ind w:firstLine="709"/>
        <w:rPr>
          <w:rFonts w:ascii="Verdana" w:hAnsi="Verdana"/>
          <w:sz w:val="16"/>
          <w:szCs w:val="16"/>
          <w:lang w:val="es-ES"/>
        </w:rPr>
      </w:pPr>
      <w:r w:rsidRPr="00B15A35">
        <w:rPr>
          <w:rStyle w:val="Refdenotaalpie"/>
          <w:rFonts w:ascii="Verdana" w:hAnsi="Verdana"/>
          <w:sz w:val="16"/>
          <w:szCs w:val="16"/>
        </w:rPr>
        <w:footnoteRef/>
      </w:r>
      <w:r w:rsidRPr="00B15A35">
        <w:rPr>
          <w:rFonts w:ascii="Verdana" w:hAnsi="Verdana"/>
          <w:sz w:val="16"/>
          <w:szCs w:val="16"/>
        </w:rPr>
        <w:t xml:space="preserve"> </w:t>
      </w:r>
      <w:r w:rsidRPr="00B15A35">
        <w:rPr>
          <w:rFonts w:ascii="Verdana" w:hAnsi="Verdana"/>
          <w:sz w:val="16"/>
          <w:szCs w:val="16"/>
          <w:lang w:val="es-ES"/>
        </w:rPr>
        <w:t xml:space="preserve">Artículo 1. </w:t>
      </w:r>
      <w:r w:rsidRPr="00B15A35">
        <w:rPr>
          <w:rFonts w:ascii="Verdana" w:hAnsi="Verdana" w:cs="Open Sans"/>
          <w:sz w:val="16"/>
          <w:szCs w:val="16"/>
        </w:rPr>
        <w:t>La presente ley tiene por objeto establecer medidas para garantizar el cumplimiento de las obligaciones alimentarias y crear el Registro de Deudores Alimentarios Morosos (Redam), como mecanismo de control al incumplimiento de las obligaciones alimentarias.</w:t>
      </w:r>
    </w:p>
  </w:footnote>
  <w:footnote w:id="10">
    <w:p w14:paraId="375B4454" w14:textId="77777777" w:rsidR="00AC2BB1" w:rsidRPr="000A7051" w:rsidRDefault="00AC2BB1" w:rsidP="00AC2BB1">
      <w:pPr>
        <w:pStyle w:val="Textonotapie"/>
        <w:ind w:firstLine="709"/>
        <w:jc w:val="both"/>
        <w:rPr>
          <w:rFonts w:ascii="Verdana" w:hAnsi="Verdana" w:cs="Arial"/>
          <w:sz w:val="16"/>
          <w:szCs w:val="16"/>
        </w:rPr>
      </w:pPr>
      <w:r w:rsidRPr="000A7051">
        <w:rPr>
          <w:rStyle w:val="Refdenotaalpie"/>
          <w:rFonts w:ascii="Verdana" w:hAnsi="Verdana" w:cs="Arial"/>
          <w:sz w:val="16"/>
          <w:szCs w:val="16"/>
        </w:rPr>
        <w:footnoteRef/>
      </w:r>
      <w:r w:rsidRPr="000A7051">
        <w:rPr>
          <w:rFonts w:ascii="Verdana" w:hAnsi="Verdana" w:cs="Arial"/>
          <w:sz w:val="16"/>
          <w:szCs w:val="16"/>
        </w:rPr>
        <w:t xml:space="preserve"> En lo pertinente, el artículo 13 de la Ley 1150 de 2007 dispone que “</w:t>
      </w:r>
      <w:r w:rsidRPr="000A7051">
        <w:rPr>
          <w:rFonts w:ascii="Verdana" w:hAnsi="Verdana" w:cs="Arial"/>
          <w:sz w:val="16"/>
          <w:szCs w:val="16"/>
          <w:lang w:val="es-CO"/>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A7051">
        <w:rPr>
          <w:rFonts w:ascii="Verdana" w:hAnsi="Verdana" w:cs="Arial"/>
          <w:sz w:val="16"/>
          <w:szCs w:val="16"/>
        </w:rPr>
        <w:t xml:space="preserve"> </w:t>
      </w:r>
    </w:p>
  </w:footnote>
  <w:footnote w:id="11">
    <w:p w14:paraId="43592434" w14:textId="77777777" w:rsidR="00AC2BB1" w:rsidRPr="00982700" w:rsidRDefault="00AC2BB1" w:rsidP="00AC2BB1">
      <w:pPr>
        <w:pStyle w:val="Textonotapie"/>
        <w:ind w:firstLine="709"/>
        <w:jc w:val="both"/>
        <w:rPr>
          <w:rFonts w:ascii="Arial" w:hAnsi="Arial" w:cs="Arial"/>
          <w:sz w:val="19"/>
          <w:szCs w:val="19"/>
        </w:rPr>
      </w:pPr>
      <w:r w:rsidRPr="000A7051">
        <w:rPr>
          <w:rStyle w:val="Refdenotaalpie"/>
          <w:rFonts w:ascii="Verdana" w:hAnsi="Verdana" w:cs="Arial"/>
          <w:sz w:val="16"/>
          <w:szCs w:val="16"/>
        </w:rPr>
        <w:footnoteRef/>
      </w:r>
      <w:r w:rsidRPr="000A7051">
        <w:rPr>
          <w:rFonts w:ascii="Verdana" w:hAnsi="Verdana" w:cs="Arial"/>
          <w:sz w:val="16"/>
          <w:szCs w:val="16"/>
        </w:rPr>
        <w:t xml:space="preserve"> Decreto 092 de 2017, “</w:t>
      </w:r>
      <w:bookmarkStart w:id="4" w:name="6"/>
      <w:r w:rsidRPr="000A7051">
        <w:rPr>
          <w:rFonts w:ascii="Verdana" w:hAnsi="Verdana" w:cs="Arial"/>
          <w:sz w:val="16"/>
          <w:szCs w:val="16"/>
          <w:lang w:val="es-CO"/>
        </w:rPr>
        <w:t>Artículo 6.</w:t>
      </w:r>
      <w:bookmarkEnd w:id="4"/>
      <w:r w:rsidRPr="000A7051">
        <w:rPr>
          <w:rFonts w:ascii="Verdana" w:hAnsi="Verdana" w:cs="Arial"/>
          <w:sz w:val="16"/>
          <w:szCs w:val="16"/>
          <w:lang w:val="es-CO"/>
        </w:rPr>
        <w:t>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6802DCB"/>
    <w:multiLevelType w:val="hybridMultilevel"/>
    <w:tmpl w:val="18CC9264"/>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8428897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6405"/>
    <w:rsid w:val="00082362"/>
    <w:rsid w:val="000A683E"/>
    <w:rsid w:val="000B19B9"/>
    <w:rsid w:val="000C4D08"/>
    <w:rsid w:val="000D0334"/>
    <w:rsid w:val="000D5DA7"/>
    <w:rsid w:val="000E35FA"/>
    <w:rsid w:val="000F6486"/>
    <w:rsid w:val="00116940"/>
    <w:rsid w:val="00125105"/>
    <w:rsid w:val="00127233"/>
    <w:rsid w:val="0015699B"/>
    <w:rsid w:val="001A33BF"/>
    <w:rsid w:val="001B4218"/>
    <w:rsid w:val="001D36C9"/>
    <w:rsid w:val="001E4177"/>
    <w:rsid w:val="001F0B24"/>
    <w:rsid w:val="001F7DC6"/>
    <w:rsid w:val="0022400B"/>
    <w:rsid w:val="002421BB"/>
    <w:rsid w:val="0024401B"/>
    <w:rsid w:val="0025796E"/>
    <w:rsid w:val="002707A2"/>
    <w:rsid w:val="0029438C"/>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441C"/>
    <w:rsid w:val="003D0F4D"/>
    <w:rsid w:val="003D5B0D"/>
    <w:rsid w:val="003E0499"/>
    <w:rsid w:val="003E4F80"/>
    <w:rsid w:val="003E6439"/>
    <w:rsid w:val="003F3941"/>
    <w:rsid w:val="00406575"/>
    <w:rsid w:val="00414C74"/>
    <w:rsid w:val="0042722E"/>
    <w:rsid w:val="0044528D"/>
    <w:rsid w:val="00466E39"/>
    <w:rsid w:val="00476570"/>
    <w:rsid w:val="004A1847"/>
    <w:rsid w:val="004A305D"/>
    <w:rsid w:val="004F21C4"/>
    <w:rsid w:val="004F685F"/>
    <w:rsid w:val="00513584"/>
    <w:rsid w:val="005566E8"/>
    <w:rsid w:val="00573782"/>
    <w:rsid w:val="00574867"/>
    <w:rsid w:val="00591460"/>
    <w:rsid w:val="005A65E0"/>
    <w:rsid w:val="005C3777"/>
    <w:rsid w:val="005C5CDC"/>
    <w:rsid w:val="005D476C"/>
    <w:rsid w:val="006200BF"/>
    <w:rsid w:val="006219F8"/>
    <w:rsid w:val="00624520"/>
    <w:rsid w:val="006302F7"/>
    <w:rsid w:val="006318E8"/>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4E6E"/>
    <w:rsid w:val="00867F95"/>
    <w:rsid w:val="008843B6"/>
    <w:rsid w:val="00891928"/>
    <w:rsid w:val="00893B58"/>
    <w:rsid w:val="008A446D"/>
    <w:rsid w:val="008B25F1"/>
    <w:rsid w:val="008D180B"/>
    <w:rsid w:val="008F0EA7"/>
    <w:rsid w:val="008F3054"/>
    <w:rsid w:val="00923EEF"/>
    <w:rsid w:val="009331ED"/>
    <w:rsid w:val="00936FA1"/>
    <w:rsid w:val="009419F9"/>
    <w:rsid w:val="0095685E"/>
    <w:rsid w:val="00961B09"/>
    <w:rsid w:val="00963672"/>
    <w:rsid w:val="00965334"/>
    <w:rsid w:val="0097093E"/>
    <w:rsid w:val="009A01B6"/>
    <w:rsid w:val="009A0DFA"/>
    <w:rsid w:val="009A1C6F"/>
    <w:rsid w:val="009B2D26"/>
    <w:rsid w:val="009C3AF9"/>
    <w:rsid w:val="009C71FA"/>
    <w:rsid w:val="009C72E7"/>
    <w:rsid w:val="009C7F7E"/>
    <w:rsid w:val="009D3058"/>
    <w:rsid w:val="009F3A13"/>
    <w:rsid w:val="00A122D3"/>
    <w:rsid w:val="00A14468"/>
    <w:rsid w:val="00A17F13"/>
    <w:rsid w:val="00A20739"/>
    <w:rsid w:val="00A23AF9"/>
    <w:rsid w:val="00A26A8C"/>
    <w:rsid w:val="00A33C78"/>
    <w:rsid w:val="00AA0A1A"/>
    <w:rsid w:val="00AB0ADB"/>
    <w:rsid w:val="00AC2BB1"/>
    <w:rsid w:val="00B00C0E"/>
    <w:rsid w:val="00B01B1A"/>
    <w:rsid w:val="00B0381D"/>
    <w:rsid w:val="00B3583C"/>
    <w:rsid w:val="00B44A47"/>
    <w:rsid w:val="00B45E7D"/>
    <w:rsid w:val="00B54146"/>
    <w:rsid w:val="00B72CD3"/>
    <w:rsid w:val="00B72FFF"/>
    <w:rsid w:val="00BC3D36"/>
    <w:rsid w:val="00BD54A6"/>
    <w:rsid w:val="00BD7F72"/>
    <w:rsid w:val="00BF7425"/>
    <w:rsid w:val="00C04FB3"/>
    <w:rsid w:val="00C11D8B"/>
    <w:rsid w:val="00C15139"/>
    <w:rsid w:val="00C330EB"/>
    <w:rsid w:val="00C50D69"/>
    <w:rsid w:val="00C5365C"/>
    <w:rsid w:val="00C660CA"/>
    <w:rsid w:val="00C754BE"/>
    <w:rsid w:val="00C76B1C"/>
    <w:rsid w:val="00C925AC"/>
    <w:rsid w:val="00CA499B"/>
    <w:rsid w:val="00CB6357"/>
    <w:rsid w:val="00CC1B26"/>
    <w:rsid w:val="00CE29D9"/>
    <w:rsid w:val="00D04A17"/>
    <w:rsid w:val="00D361FD"/>
    <w:rsid w:val="00D423A2"/>
    <w:rsid w:val="00D44E26"/>
    <w:rsid w:val="00D520D8"/>
    <w:rsid w:val="00D63AC2"/>
    <w:rsid w:val="00D7383B"/>
    <w:rsid w:val="00D73D00"/>
    <w:rsid w:val="00D7788A"/>
    <w:rsid w:val="00DA231B"/>
    <w:rsid w:val="00DC39FC"/>
    <w:rsid w:val="00DF5254"/>
    <w:rsid w:val="00E02524"/>
    <w:rsid w:val="00E15CB7"/>
    <w:rsid w:val="00E16408"/>
    <w:rsid w:val="00E20894"/>
    <w:rsid w:val="00E245AB"/>
    <w:rsid w:val="00E2764C"/>
    <w:rsid w:val="00E27F2E"/>
    <w:rsid w:val="00E50AFE"/>
    <w:rsid w:val="00E75C92"/>
    <w:rsid w:val="00E771DC"/>
    <w:rsid w:val="00E85D0F"/>
    <w:rsid w:val="00E8772A"/>
    <w:rsid w:val="00E90F6B"/>
    <w:rsid w:val="00E92C27"/>
    <w:rsid w:val="00EA0E3D"/>
    <w:rsid w:val="00EC38A7"/>
    <w:rsid w:val="00EE1AA8"/>
    <w:rsid w:val="00F23FEA"/>
    <w:rsid w:val="00F31EDC"/>
    <w:rsid w:val="00F462B3"/>
    <w:rsid w:val="00F5664F"/>
    <w:rsid w:val="00F666C4"/>
    <w:rsid w:val="00F73542"/>
    <w:rsid w:val="00F76AFC"/>
    <w:rsid w:val="00FA47C0"/>
    <w:rsid w:val="00FB5DD1"/>
    <w:rsid w:val="00FC2B5D"/>
    <w:rsid w:val="00FE3C18"/>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C2BB1"/>
    <w:pPr>
      <w:spacing w:line="240" w:lineRule="exact"/>
    </w:pPr>
    <w:rPr>
      <w:vertAlign w:val="superscript"/>
    </w:rPr>
  </w:style>
  <w:style w:type="character" w:customStyle="1" w:styleId="NormalWebCar">
    <w:name w:val="Normal (Web) Car"/>
    <w:link w:val="NormalWeb"/>
    <w:uiPriority w:val="99"/>
    <w:locked/>
    <w:rsid w:val="00AC2BB1"/>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C2BB1"/>
    <w:rPr>
      <w:rFonts w:ascii="Geomanist Light" w:hAnsi="Geomanist Light"/>
      <w:lang w:val="es-ES"/>
    </w:rPr>
  </w:style>
  <w:style w:type="paragraph" w:styleId="Sinespaciado">
    <w:name w:val="No Spacing"/>
    <w:aliases w:val="No Indent"/>
    <w:uiPriority w:val="3"/>
    <w:qFormat/>
    <w:rsid w:val="00AC2BB1"/>
    <w:pPr>
      <w:spacing w:after="0" w:line="240" w:lineRule="auto"/>
    </w:pPr>
    <w:rPr>
      <w:sz w:val="24"/>
      <w:lang w:val="es-MX"/>
    </w:rPr>
  </w:style>
  <w:style w:type="character" w:styleId="Refdecomentario">
    <w:name w:val="annotation reference"/>
    <w:basedOn w:val="Fuentedeprrafopredeter"/>
    <w:uiPriority w:val="99"/>
    <w:semiHidden/>
    <w:unhideWhenUsed/>
    <w:rsid w:val="00B54146"/>
    <w:rPr>
      <w:sz w:val="16"/>
      <w:szCs w:val="16"/>
    </w:rPr>
  </w:style>
  <w:style w:type="paragraph" w:styleId="Textocomentario">
    <w:name w:val="annotation text"/>
    <w:basedOn w:val="Normal"/>
    <w:link w:val="TextocomentarioCar"/>
    <w:uiPriority w:val="99"/>
    <w:unhideWhenUsed/>
    <w:rsid w:val="00B54146"/>
    <w:pPr>
      <w:spacing w:line="240" w:lineRule="auto"/>
    </w:pPr>
    <w:rPr>
      <w:sz w:val="20"/>
      <w:szCs w:val="20"/>
    </w:rPr>
  </w:style>
  <w:style w:type="character" w:customStyle="1" w:styleId="TextocomentarioCar">
    <w:name w:val="Texto comentario Car"/>
    <w:basedOn w:val="Fuentedeprrafopredeter"/>
    <w:link w:val="Textocomentario"/>
    <w:uiPriority w:val="99"/>
    <w:rsid w:val="00B54146"/>
    <w:rPr>
      <w:sz w:val="20"/>
      <w:szCs w:val="20"/>
    </w:rPr>
  </w:style>
  <w:style w:type="paragraph" w:styleId="Asuntodelcomentario">
    <w:name w:val="annotation subject"/>
    <w:basedOn w:val="Textocomentario"/>
    <w:next w:val="Textocomentario"/>
    <w:link w:val="AsuntodelcomentarioCar"/>
    <w:uiPriority w:val="99"/>
    <w:semiHidden/>
    <w:unhideWhenUsed/>
    <w:rsid w:val="00B54146"/>
    <w:rPr>
      <w:b/>
      <w:bCs/>
    </w:rPr>
  </w:style>
  <w:style w:type="character" w:customStyle="1" w:styleId="AsuntodelcomentarioCar">
    <w:name w:val="Asunto del comentario Car"/>
    <w:basedOn w:val="TextocomentarioCar"/>
    <w:link w:val="Asuntodelcomentario"/>
    <w:uiPriority w:val="99"/>
    <w:semiHidden/>
    <w:rsid w:val="00B5414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esorjuridico@esehospitalsanfelix.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2C363738-FE83-4031-8A81-9F0EC44B9AE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17</Pages>
  <Words>5516</Words>
  <Characters>30453</Characters>
  <Application>Microsoft Office Word</Application>
  <DocSecurity>0</DocSecurity>
  <Lines>597</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2023-01-10T21:18:00Z</cp:lastPrinted>
  <dcterms:created xsi:type="dcterms:W3CDTF">2026-02-03T21:58:00Z</dcterms:created>
  <dcterms:modified xsi:type="dcterms:W3CDTF">2026-02-04T15:23:00Z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