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C4F1B" w14:textId="77777777" w:rsidR="00C851C7" w:rsidRPr="00C55BDE" w:rsidRDefault="00C851C7" w:rsidP="00C851C7">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4E0E856F"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sidR="00164067">
        <w:rPr>
          <w:rFonts w:ascii="Verdana" w:hAnsi="Verdana" w:cs="Arial"/>
          <w:b/>
          <w:bCs/>
          <w:lang w:val="es-ES" w:eastAsia="es-ES"/>
        </w:rPr>
        <w:t xml:space="preserve"> </w:t>
      </w:r>
      <w:r w:rsidR="00164067" w:rsidRPr="00C55BDE">
        <w:rPr>
          <w:rFonts w:ascii="Verdana" w:hAnsi="Verdana" w:cs="Arial"/>
          <w:b/>
          <w:bCs/>
          <w:lang w:val="es-ES" w:eastAsia="es-ES"/>
        </w:rPr>
        <w:t>‒</w:t>
      </w:r>
      <w:r w:rsidR="00164067">
        <w:rPr>
          <w:rFonts w:ascii="Verdana" w:hAnsi="Verdana" w:cs="Arial"/>
          <w:b/>
          <w:bCs/>
          <w:lang w:val="es-ES" w:eastAsia="es-ES"/>
        </w:rPr>
        <w:t xml:space="preserve"> Celebración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Pr="00C55BDE"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11797C66" w14:textId="77777777" w:rsidR="00F5369B" w:rsidRDefault="00F5369B" w:rsidP="009B4037">
      <w:pPr>
        <w:spacing w:after="0" w:line="240" w:lineRule="auto"/>
        <w:rPr>
          <w:rFonts w:ascii="Verdana" w:hAnsi="Verdana"/>
        </w:rPr>
      </w:pPr>
    </w:p>
    <w:p w14:paraId="1ED81733" w14:textId="77777777" w:rsidR="00164067" w:rsidRPr="00164067" w:rsidRDefault="00164067" w:rsidP="00164067">
      <w:pPr>
        <w:spacing w:after="0" w:line="240" w:lineRule="auto"/>
        <w:jc w:val="both"/>
        <w:rPr>
          <w:rFonts w:ascii="Verdana" w:hAnsi="Verdana" w:cs="Arial"/>
          <w:b/>
          <w:bCs/>
          <w:color w:val="000000" w:themeColor="text1"/>
          <w:shd w:val="clear" w:color="auto" w:fill="FFFFFF"/>
          <w:lang w:val="es-ES"/>
        </w:rPr>
      </w:pPr>
      <w:r w:rsidRPr="00164067">
        <w:rPr>
          <w:rFonts w:ascii="Verdana" w:eastAsia="Calibri" w:hAnsi="Verdana" w:cs="Arial"/>
          <w:b/>
          <w:bCs/>
          <w:lang w:val="es-ES" w:eastAsia="es-ES"/>
        </w:rPr>
        <w:t>LEY DE GARANTÍAS ELECTORALES ‒ Artículo 33 ‒ Ámbito material ‒ Destinatarios</w:t>
      </w:r>
    </w:p>
    <w:p w14:paraId="62FED4DE" w14:textId="77777777" w:rsidR="00164067" w:rsidRDefault="00164067" w:rsidP="00164067">
      <w:pPr>
        <w:spacing w:after="0" w:line="240" w:lineRule="auto"/>
        <w:rPr>
          <w:rFonts w:ascii="Verdana" w:hAnsi="Verdana" w:cs="Arial"/>
          <w:b/>
          <w:bCs/>
          <w:color w:val="000000" w:themeColor="text1"/>
          <w:shd w:val="clear" w:color="auto" w:fill="FFFFFF"/>
          <w:lang w:val="es-ES"/>
        </w:rPr>
      </w:pPr>
    </w:p>
    <w:p w14:paraId="6108CC3D" w14:textId="2F0672F7" w:rsidR="00164067" w:rsidRDefault="00164067" w:rsidP="00164067">
      <w:pPr>
        <w:spacing w:after="0" w:line="240" w:lineRule="auto"/>
        <w:jc w:val="both"/>
        <w:rPr>
          <w:rFonts w:ascii="Verdana" w:hAnsi="Verdana" w:cs="Arial"/>
          <w:color w:val="000000" w:themeColor="text1"/>
          <w:sz w:val="20"/>
          <w:szCs w:val="20"/>
          <w:shd w:val="clear" w:color="auto" w:fill="FFFFFF"/>
          <w:lang w:val="es-ES"/>
        </w:rPr>
      </w:pPr>
      <w:r w:rsidRPr="00164067">
        <w:rPr>
          <w:rFonts w:ascii="Verdana" w:hAnsi="Verdana" w:cs="Arial"/>
          <w:color w:val="000000" w:themeColor="text1"/>
          <w:sz w:val="20"/>
          <w:szCs w:val="20"/>
          <w:shd w:val="clear" w:color="auto" w:fill="FFFFFF"/>
          <w:lang w:val="es-ES"/>
        </w:rPr>
        <w:t>El ámbito material de la prohibición contenida en el artículo 33 de la ley 996 de 2005 está delimitado por la expresión “queda prohibida la contratación directa”.</w:t>
      </w:r>
      <w:r w:rsidRPr="00164067">
        <w:rPr>
          <w:rFonts w:ascii="Verdana" w:hAnsi="Verdana" w:cs="Arial"/>
          <w:sz w:val="20"/>
          <w:szCs w:val="20"/>
          <w:lang w:val="es-ES"/>
        </w:rPr>
        <w:t xml:space="preserve"> </w:t>
      </w:r>
      <w:r w:rsidRPr="00C55BDE">
        <w:rPr>
          <w:rFonts w:ascii="Verdana" w:hAnsi="Verdana" w:cs="Arial"/>
          <w:sz w:val="20"/>
          <w:szCs w:val="20"/>
          <w:lang w:val="es-ES"/>
        </w:rPr>
        <w:t>[…]</w:t>
      </w:r>
    </w:p>
    <w:p w14:paraId="14516D84" w14:textId="77777777" w:rsidR="00164067" w:rsidRPr="00164067" w:rsidRDefault="00164067" w:rsidP="00164067">
      <w:pPr>
        <w:spacing w:after="0" w:line="240" w:lineRule="auto"/>
        <w:jc w:val="both"/>
        <w:rPr>
          <w:rFonts w:ascii="Verdana" w:hAnsi="Verdana" w:cs="Arial"/>
          <w:color w:val="000000" w:themeColor="text1"/>
          <w:sz w:val="20"/>
          <w:szCs w:val="20"/>
          <w:shd w:val="clear" w:color="auto" w:fill="FFFFFF"/>
          <w:lang w:val="es-ES"/>
        </w:rPr>
      </w:pPr>
    </w:p>
    <w:p w14:paraId="35DC6EB8" w14:textId="11831A21" w:rsidR="00164067" w:rsidRPr="00164067" w:rsidRDefault="00164067" w:rsidP="00164067">
      <w:pPr>
        <w:spacing w:after="0" w:line="240" w:lineRule="auto"/>
        <w:jc w:val="both"/>
        <w:rPr>
          <w:rFonts w:ascii="Verdana" w:eastAsia="Calibri" w:hAnsi="Verdana" w:cs="Arial"/>
          <w:sz w:val="20"/>
          <w:szCs w:val="20"/>
          <w:lang w:val="es-ES" w:eastAsia="es-ES"/>
        </w:rPr>
      </w:pPr>
      <w:r w:rsidRPr="00164067">
        <w:rPr>
          <w:rFonts w:ascii="Verdana" w:eastAsia="Calibri" w:hAnsi="Verdana" w:cs="Arial"/>
          <w:sz w:val="20"/>
          <w:szCs w:val="20"/>
          <w:lang w:val="es-ES" w:eastAsia="es-ES"/>
        </w:rPr>
        <w:t xml:space="preserve">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w:t>
      </w:r>
      <w:r w:rsidRPr="00164067">
        <w:rPr>
          <w:rFonts w:ascii="Verdana" w:eastAsia="Calibri" w:hAnsi="Verdana" w:cs="Arial"/>
          <w:sz w:val="20"/>
          <w:szCs w:val="20"/>
          <w:lang w:val="es-ES" w:eastAsia="es-ES"/>
        </w:rPr>
        <w:lastRenderedPageBreak/>
        <w:t>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125D42CB" w14:textId="77777777" w:rsidR="00164067" w:rsidRDefault="00164067" w:rsidP="009B4037">
      <w:pPr>
        <w:spacing w:after="0" w:line="240" w:lineRule="auto"/>
        <w:rPr>
          <w:rFonts w:ascii="Verdana" w:hAnsi="Verdana"/>
        </w:rPr>
      </w:pPr>
    </w:p>
    <w:p w14:paraId="35A6F73E" w14:textId="77777777" w:rsidR="001043C6" w:rsidRPr="001043C6" w:rsidRDefault="001043C6" w:rsidP="009B4037">
      <w:pPr>
        <w:spacing w:after="0" w:line="240" w:lineRule="auto"/>
        <w:rPr>
          <w:rFonts w:ascii="Verdana" w:hAnsi="Verdana" w:cs="Arial"/>
          <w:b/>
          <w:bCs/>
          <w:color w:val="000000" w:themeColor="text1"/>
          <w:shd w:val="clear" w:color="auto" w:fill="FFFFFF"/>
          <w:lang w:val="es-ES"/>
        </w:rPr>
      </w:pPr>
      <w:r w:rsidRPr="001043C6">
        <w:rPr>
          <w:rFonts w:ascii="Verdana" w:hAnsi="Verdana" w:cs="Arial"/>
          <w:b/>
          <w:bCs/>
          <w:color w:val="000000" w:themeColor="text1"/>
          <w:shd w:val="clear" w:color="auto" w:fill="FFFFFF"/>
          <w:lang w:val="es-ES"/>
        </w:rPr>
        <w:t>SECOP I </w:t>
      </w:r>
      <w:r w:rsidRPr="001043C6">
        <w:rPr>
          <w:rFonts w:ascii="Verdana" w:hAnsi="Verdana" w:cs="Arial"/>
          <w:b/>
          <w:bCs/>
          <w:color w:val="000000" w:themeColor="text1"/>
          <w:shd w:val="clear" w:color="auto" w:fill="FFFFFF"/>
          <w:lang w:val="es-MX"/>
        </w:rPr>
        <w:t>–</w:t>
      </w:r>
      <w:r w:rsidRPr="001043C6">
        <w:rPr>
          <w:rFonts w:ascii="Verdana" w:hAnsi="Verdana" w:cs="Arial"/>
          <w:b/>
          <w:bCs/>
          <w:color w:val="000000" w:themeColor="text1"/>
          <w:shd w:val="clear" w:color="auto" w:fill="FFFFFF"/>
          <w:lang w:val="es-ES"/>
        </w:rPr>
        <w:t xml:space="preserve"> Publicidad </w:t>
      </w:r>
      <w:r w:rsidRPr="001043C6">
        <w:rPr>
          <w:rFonts w:ascii="Verdana" w:hAnsi="Verdana" w:cs="Arial"/>
          <w:b/>
          <w:bCs/>
          <w:color w:val="000000" w:themeColor="text1"/>
          <w:shd w:val="clear" w:color="auto" w:fill="FFFFFF"/>
          <w:lang w:val="es-MX"/>
        </w:rPr>
        <w:t>– Plazo</w:t>
      </w:r>
      <w:r w:rsidRPr="001043C6">
        <w:rPr>
          <w:rFonts w:ascii="Verdana" w:hAnsi="Verdana" w:cs="Arial"/>
          <w:b/>
          <w:bCs/>
          <w:color w:val="000000" w:themeColor="text1"/>
          <w:shd w:val="clear" w:color="auto" w:fill="FFFFFF"/>
          <w:lang w:val="es-ES"/>
        </w:rPr>
        <w:t xml:space="preserve"> </w:t>
      </w:r>
    </w:p>
    <w:p w14:paraId="5E73679F" w14:textId="77777777" w:rsidR="001043C6" w:rsidRDefault="001043C6" w:rsidP="009B4037">
      <w:pPr>
        <w:spacing w:after="0" w:line="240" w:lineRule="auto"/>
        <w:rPr>
          <w:rFonts w:ascii="Verdana" w:eastAsia="Calibri" w:hAnsi="Verdana" w:cs="Arial"/>
          <w:b/>
          <w:bCs/>
          <w:lang w:val="es-ES" w:eastAsia="es-ES"/>
        </w:rPr>
      </w:pPr>
    </w:p>
    <w:p w14:paraId="11D93961" w14:textId="4B4D8FF4" w:rsidR="001043C6" w:rsidRDefault="001043C6" w:rsidP="001043C6">
      <w:pPr>
        <w:spacing w:after="0" w:line="240" w:lineRule="auto"/>
        <w:jc w:val="both"/>
        <w:rPr>
          <w:rFonts w:ascii="Verdana" w:eastAsia="Calibri" w:hAnsi="Verdana" w:cs="Arial"/>
          <w:sz w:val="20"/>
          <w:szCs w:val="20"/>
          <w:lang w:val="es-ES" w:eastAsia="es-ES"/>
        </w:rPr>
      </w:pPr>
      <w:r w:rsidRPr="001043C6">
        <w:rPr>
          <w:rFonts w:ascii="Verdana" w:eastAsia="Calibri" w:hAnsi="Verdana" w:cs="Arial"/>
          <w:sz w:val="20"/>
          <w:szCs w:val="20"/>
          <w:lang w:val="es-ES" w:eastAsia="es-ES"/>
        </w:rPr>
        <w:t>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6618EB60" w14:textId="77777777" w:rsidR="001043C6" w:rsidRPr="001043C6" w:rsidRDefault="001043C6" w:rsidP="001043C6">
      <w:pPr>
        <w:spacing w:after="0" w:line="240" w:lineRule="auto"/>
        <w:jc w:val="both"/>
        <w:rPr>
          <w:rFonts w:ascii="Verdana" w:eastAsia="Calibri" w:hAnsi="Verdana" w:cs="Arial"/>
          <w:sz w:val="20"/>
          <w:szCs w:val="20"/>
          <w:lang w:val="es-ES" w:eastAsia="es-ES"/>
        </w:rPr>
      </w:pPr>
    </w:p>
    <w:p w14:paraId="0611DA9C" w14:textId="650ABFAD" w:rsidR="001043C6" w:rsidRDefault="001043C6" w:rsidP="001043C6">
      <w:pPr>
        <w:spacing w:after="0" w:line="240" w:lineRule="auto"/>
        <w:jc w:val="both"/>
        <w:rPr>
          <w:rFonts w:ascii="Verdana" w:eastAsia="Calibri" w:hAnsi="Verdana" w:cs="Arial"/>
          <w:sz w:val="20"/>
          <w:szCs w:val="20"/>
          <w:lang w:val="es-ES" w:eastAsia="es-ES"/>
        </w:rPr>
      </w:pPr>
      <w:r w:rsidRPr="001043C6">
        <w:rPr>
          <w:rFonts w:ascii="Verdana" w:eastAsia="Calibri" w:hAnsi="Verdana" w:cs="Arial"/>
          <w:sz w:val="20"/>
          <w:szCs w:val="20"/>
          <w:lang w:val="es-ES" w:eastAsia="es-ES"/>
        </w:rPr>
        <w:t>Con el propósito de garantizar el cumplimiento del deber de publicidad, se le asignó a la Agencia Nacional de Contratación Pública - Colombia Compra Eficiente, la función de administrar el SECOP.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33F49F81" w14:textId="00207415" w:rsidR="001043C6" w:rsidRDefault="001043C6" w:rsidP="001043C6">
      <w:pPr>
        <w:spacing w:after="0" w:line="240" w:lineRule="auto"/>
        <w:jc w:val="both"/>
        <w:rPr>
          <w:rFonts w:ascii="Verdana" w:eastAsia="Calibri" w:hAnsi="Verdana" w:cs="Arial"/>
          <w:sz w:val="20"/>
          <w:szCs w:val="20"/>
          <w:lang w:val="es-ES" w:eastAsia="es-ES"/>
        </w:rPr>
      </w:pPr>
      <w:r w:rsidRPr="001043C6">
        <w:rPr>
          <w:rFonts w:ascii="Verdana" w:eastAsia="Calibri" w:hAnsi="Verdana" w:cs="Arial"/>
          <w:sz w:val="20"/>
          <w:szCs w:val="20"/>
          <w:lang w:val="es-ES" w:eastAsia="es-ES"/>
        </w:rPr>
        <w:t>[…]</w:t>
      </w:r>
    </w:p>
    <w:p w14:paraId="641992A3" w14:textId="77777777" w:rsidR="001043C6" w:rsidRDefault="001043C6" w:rsidP="001043C6">
      <w:pPr>
        <w:spacing w:after="0" w:line="240" w:lineRule="auto"/>
        <w:jc w:val="both"/>
        <w:rPr>
          <w:rFonts w:ascii="Verdana" w:eastAsia="Calibri" w:hAnsi="Verdana" w:cs="Arial"/>
          <w:sz w:val="20"/>
          <w:szCs w:val="20"/>
          <w:lang w:val="es-ES" w:eastAsia="es-ES"/>
        </w:rPr>
      </w:pPr>
    </w:p>
    <w:p w14:paraId="3FA7F484" w14:textId="7811F60F" w:rsidR="001043C6" w:rsidRPr="001043C6" w:rsidRDefault="001043C6" w:rsidP="001043C6">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C</w:t>
      </w:r>
      <w:r w:rsidRPr="001043C6">
        <w:rPr>
          <w:rFonts w:ascii="Verdana" w:eastAsia="Calibri" w:hAnsi="Verdana" w:cs="Arial"/>
          <w:sz w:val="20"/>
          <w:szCs w:val="20"/>
          <w:lang w:val="es-ES" w:eastAsia="es-ES"/>
        </w:rPr>
        <w:t>onforme al artículo 2.2.1.1.1.7.1 del Decreto 1082 de 2015, las entidades estatales tienen la obligación de publicar en el SECOP “[…] los Documentos del Proceso y los actos administrativos del Proceso de Contratación, dentro de los tres (3) días siguientes a su expedición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3097EE6A" w14:textId="77777777" w:rsidR="00164067" w:rsidRDefault="00164067" w:rsidP="009B4037">
      <w:pPr>
        <w:spacing w:after="0" w:line="240" w:lineRule="auto"/>
        <w:rPr>
          <w:rFonts w:ascii="Verdana" w:hAnsi="Verdana" w:cs="Arial"/>
          <w:b/>
          <w:bCs/>
          <w:color w:val="000000" w:themeColor="text1"/>
          <w:shd w:val="clear" w:color="auto" w:fill="FFFFFF"/>
          <w:lang w:val="es-ES"/>
        </w:rPr>
      </w:pPr>
    </w:p>
    <w:p w14:paraId="096B5207" w14:textId="0564210A" w:rsidR="00F5369B" w:rsidRPr="001043C6" w:rsidRDefault="001043C6" w:rsidP="009B4037">
      <w:pPr>
        <w:spacing w:after="0" w:line="240" w:lineRule="auto"/>
        <w:rPr>
          <w:rFonts w:ascii="Verdana" w:hAnsi="Verdana"/>
        </w:rPr>
      </w:pPr>
      <w:r w:rsidRPr="001043C6">
        <w:rPr>
          <w:rFonts w:ascii="Verdana" w:hAnsi="Verdana" w:cs="Arial"/>
          <w:b/>
          <w:bCs/>
          <w:color w:val="000000" w:themeColor="text1"/>
          <w:shd w:val="clear" w:color="auto" w:fill="FFFFFF"/>
          <w:lang w:val="es-ES"/>
        </w:rPr>
        <w:t>SECOP I </w:t>
      </w:r>
      <w:r w:rsidRPr="001043C6">
        <w:rPr>
          <w:rFonts w:ascii="Verdana" w:hAnsi="Verdana" w:cs="Arial"/>
          <w:b/>
          <w:bCs/>
          <w:color w:val="000000" w:themeColor="text1"/>
          <w:shd w:val="clear" w:color="auto" w:fill="FFFFFF"/>
          <w:lang w:val="es-MX"/>
        </w:rPr>
        <w:t>–</w:t>
      </w:r>
      <w:r w:rsidRPr="001043C6">
        <w:rPr>
          <w:rFonts w:ascii="Verdana" w:hAnsi="Verdana" w:cs="Arial"/>
          <w:b/>
          <w:bCs/>
          <w:color w:val="000000" w:themeColor="text1"/>
          <w:shd w:val="clear" w:color="auto" w:fill="FFFFFF"/>
          <w:lang w:val="es-ES"/>
        </w:rPr>
        <w:t> </w:t>
      </w:r>
      <w:r w:rsidRPr="001043C6">
        <w:rPr>
          <w:rFonts w:ascii="Verdana" w:hAnsi="Verdana" w:cs="Arial"/>
          <w:b/>
          <w:bCs/>
          <w:color w:val="000000" w:themeColor="text1"/>
          <w:shd w:val="clear" w:color="auto" w:fill="FFFFFF"/>
          <w:lang w:val="es-MX"/>
        </w:rPr>
        <w:t>Perfeccionamiento – Plazo – Aplicación Ley de Garantías</w:t>
      </w:r>
    </w:p>
    <w:p w14:paraId="4B0B9473" w14:textId="77777777" w:rsidR="00F5369B" w:rsidRDefault="00F5369B" w:rsidP="009B4037">
      <w:pPr>
        <w:spacing w:after="0" w:line="240" w:lineRule="auto"/>
        <w:rPr>
          <w:rFonts w:ascii="Verdana" w:hAnsi="Verdana"/>
        </w:rPr>
      </w:pPr>
    </w:p>
    <w:p w14:paraId="30C00811" w14:textId="7B91010E" w:rsidR="001043C6" w:rsidRDefault="001043C6" w:rsidP="001043C6">
      <w:pPr>
        <w:spacing w:after="0" w:line="240" w:lineRule="auto"/>
        <w:jc w:val="both"/>
        <w:rPr>
          <w:rFonts w:ascii="Verdana" w:eastAsia="Calibri" w:hAnsi="Verdana" w:cs="Arial"/>
          <w:sz w:val="20"/>
          <w:szCs w:val="20"/>
          <w:lang w:val="es-ES" w:eastAsia="es-ES"/>
        </w:rPr>
      </w:pPr>
      <w:r>
        <w:rPr>
          <w:rFonts w:ascii="Verdana" w:eastAsia="Calibri" w:hAnsi="Verdana" w:cs="Arial"/>
          <w:sz w:val="20"/>
          <w:szCs w:val="20"/>
          <w:lang w:val="es-ES" w:eastAsia="es-ES"/>
        </w:rPr>
        <w:t>T</w:t>
      </w:r>
      <w:r w:rsidRPr="001043C6">
        <w:rPr>
          <w:rFonts w:ascii="Verdana" w:eastAsia="Calibri" w:hAnsi="Verdana" w:cs="Arial"/>
          <w:sz w:val="20"/>
          <w:szCs w:val="20"/>
          <w:lang w:val="es-ES" w:eastAsia="es-ES"/>
        </w:rPr>
        <w:t>ratándose de procesos gestionados en SECOP I, la celebración del contrato debe realizarse antes de la entrada en vigencia de las restricciones previstas en la Ley de Garantías Electorales. Conforme se explicó, el concepto de “celebrar” para efectos de las restricciones a la contratación previstas en la Ley de Garantías Electorales se asocia al momento del perfeccionamiento del contrato estatal, de conformidad con lo dispuesto en el artículo 41 de la Ley 80 de 1993, esto es, que exista acuerdo sobre el objeto y la contraprestación y este se eleva a escrito.</w:t>
      </w:r>
    </w:p>
    <w:p w14:paraId="513D1E7F" w14:textId="77777777" w:rsidR="001043C6" w:rsidRPr="001043C6" w:rsidRDefault="001043C6" w:rsidP="001043C6">
      <w:pPr>
        <w:spacing w:after="0" w:line="240" w:lineRule="auto"/>
        <w:jc w:val="both"/>
        <w:rPr>
          <w:rFonts w:ascii="Verdana" w:eastAsia="Calibri" w:hAnsi="Verdana" w:cs="Arial"/>
          <w:sz w:val="20"/>
          <w:szCs w:val="20"/>
          <w:lang w:val="es-ES" w:eastAsia="es-ES"/>
        </w:rPr>
      </w:pPr>
    </w:p>
    <w:p w14:paraId="520248FE" w14:textId="77777777" w:rsidR="001043C6" w:rsidRDefault="001043C6" w:rsidP="001043C6">
      <w:pPr>
        <w:spacing w:after="0" w:line="240" w:lineRule="auto"/>
        <w:jc w:val="both"/>
        <w:rPr>
          <w:rFonts w:ascii="Verdana" w:eastAsia="Calibri" w:hAnsi="Verdana" w:cs="Arial"/>
          <w:sz w:val="20"/>
          <w:szCs w:val="20"/>
          <w:lang w:val="es-ES" w:eastAsia="es-ES"/>
        </w:rPr>
      </w:pPr>
      <w:r w:rsidRPr="001043C6">
        <w:rPr>
          <w:rFonts w:ascii="Verdana" w:eastAsia="Calibri" w:hAnsi="Verdana" w:cs="Arial"/>
          <w:sz w:val="20"/>
          <w:szCs w:val="20"/>
          <w:lang w:val="es-ES" w:eastAsia="es-ES"/>
        </w:rPr>
        <w:t xml:space="preserve">De lo contrario, si el perfeccionamiento, es decir, si la celebración del contrato se produce cuando ya se encuentra vigente la prohibición establecida en el artículo 33 ibidem, se </w:t>
      </w:r>
      <w:r w:rsidRPr="001043C6">
        <w:rPr>
          <w:rFonts w:ascii="Verdana" w:eastAsia="Calibri" w:hAnsi="Verdana" w:cs="Arial"/>
          <w:sz w:val="20"/>
          <w:szCs w:val="20"/>
          <w:lang w:val="es-ES" w:eastAsia="es-ES"/>
        </w:rPr>
        <w:lastRenderedPageBreak/>
        <w:t xml:space="preserve">entiende que el contrato fue celebrado en vigencia de dicha restricción, con las consecuencias jurídicas a que haya lugar, sin que resulte suficiente que etapas previas del proceso se hubieren publicado con anterioridad en dicha plataforma. </w:t>
      </w:r>
    </w:p>
    <w:p w14:paraId="7E68EFCB" w14:textId="77777777" w:rsidR="001043C6" w:rsidRPr="001043C6" w:rsidRDefault="001043C6" w:rsidP="001043C6">
      <w:pPr>
        <w:spacing w:after="0" w:line="240" w:lineRule="auto"/>
        <w:jc w:val="both"/>
        <w:rPr>
          <w:rFonts w:ascii="Verdana" w:eastAsia="Calibri" w:hAnsi="Verdana" w:cs="Arial"/>
          <w:sz w:val="20"/>
          <w:szCs w:val="20"/>
          <w:lang w:val="es-ES" w:eastAsia="es-ES"/>
        </w:rPr>
      </w:pPr>
    </w:p>
    <w:p w14:paraId="51C1C61A" w14:textId="3CB729CA" w:rsidR="00F5369B" w:rsidRPr="001043C6" w:rsidRDefault="001043C6" w:rsidP="001043C6">
      <w:pPr>
        <w:spacing w:after="0" w:line="240" w:lineRule="auto"/>
        <w:jc w:val="both"/>
        <w:rPr>
          <w:rFonts w:ascii="Verdana" w:eastAsia="Calibri" w:hAnsi="Verdana" w:cs="Arial"/>
          <w:sz w:val="20"/>
          <w:szCs w:val="20"/>
          <w:lang w:val="es-ES" w:eastAsia="es-ES"/>
        </w:rPr>
      </w:pPr>
      <w:r w:rsidRPr="001043C6">
        <w:rPr>
          <w:rFonts w:ascii="Verdana" w:eastAsia="Calibri" w:hAnsi="Verdana" w:cs="Arial"/>
          <w:sz w:val="20"/>
          <w:szCs w:val="20"/>
          <w:lang w:val="es-ES" w:eastAsia="es-ES"/>
        </w:rPr>
        <w:t>Bajo estas consideraciones, el contrato se debe perfeccionar antes de la entrada en vigencia de la Ley de Garantías Electorales y la publicación en el SECOP I debe realizarse dentro del plazo de 3 días hábiles siguientes a su expedición conforme lo previsto en el artículo 2.2.1.1.1.7.1 del Decreto 1082 de 2015. En este escenario, la publicación no estaría cobijada por las restricciones contempladas en los artículos 33 y 38 de la Ley de Garantías Electorales pues estas normas prohíben la celebración de contratos directos y no su publicación, actuaciones que se surten por separado en la plataforma del SECOP I.</w:t>
      </w:r>
    </w:p>
    <w:p w14:paraId="6912C195" w14:textId="77777777" w:rsidR="00F5369B" w:rsidRDefault="00F5369B" w:rsidP="009B4037">
      <w:pPr>
        <w:spacing w:after="0" w:line="240" w:lineRule="auto"/>
        <w:rPr>
          <w:rFonts w:ascii="Verdana" w:hAnsi="Verdana"/>
        </w:rPr>
      </w:pPr>
    </w:p>
    <w:p w14:paraId="2902D058" w14:textId="77777777" w:rsidR="00F5369B" w:rsidRDefault="00F5369B" w:rsidP="009B4037">
      <w:pPr>
        <w:spacing w:after="0" w:line="240" w:lineRule="auto"/>
        <w:rPr>
          <w:rFonts w:ascii="Verdana" w:hAnsi="Verdana"/>
        </w:rPr>
      </w:pPr>
    </w:p>
    <w:p w14:paraId="46779A7C" w14:textId="77777777" w:rsidR="00F5369B" w:rsidRDefault="00F5369B" w:rsidP="009B4037">
      <w:pPr>
        <w:spacing w:after="0" w:line="240" w:lineRule="auto"/>
        <w:rPr>
          <w:rFonts w:ascii="Verdana" w:hAnsi="Verdana"/>
        </w:rPr>
      </w:pPr>
    </w:p>
    <w:p w14:paraId="27456D9A" w14:textId="77777777" w:rsidR="00F5369B" w:rsidRDefault="00F5369B" w:rsidP="009B4037">
      <w:pPr>
        <w:spacing w:after="0" w:line="240" w:lineRule="auto"/>
        <w:rPr>
          <w:rFonts w:ascii="Verdana" w:hAnsi="Verdana"/>
        </w:rPr>
      </w:pPr>
    </w:p>
    <w:p w14:paraId="3EA5BF00" w14:textId="77777777" w:rsidR="00975846" w:rsidRDefault="00975846" w:rsidP="009B4037">
      <w:pPr>
        <w:spacing w:after="0" w:line="240" w:lineRule="auto"/>
        <w:rPr>
          <w:rFonts w:ascii="Verdana" w:hAnsi="Verdana"/>
        </w:rPr>
      </w:pPr>
    </w:p>
    <w:p w14:paraId="67590896" w14:textId="77777777" w:rsidR="00975846" w:rsidRDefault="00975846" w:rsidP="009B4037">
      <w:pPr>
        <w:spacing w:after="0" w:line="240" w:lineRule="auto"/>
        <w:rPr>
          <w:rFonts w:ascii="Verdana" w:hAnsi="Verdana"/>
        </w:rPr>
      </w:pPr>
    </w:p>
    <w:p w14:paraId="0D64587C" w14:textId="77777777" w:rsidR="00975846" w:rsidRDefault="00975846" w:rsidP="009B4037">
      <w:pPr>
        <w:spacing w:after="0" w:line="240" w:lineRule="auto"/>
        <w:rPr>
          <w:rFonts w:ascii="Verdana" w:hAnsi="Verdana"/>
        </w:rPr>
      </w:pPr>
    </w:p>
    <w:p w14:paraId="5C7BD481" w14:textId="77777777" w:rsidR="00975846" w:rsidRDefault="00975846" w:rsidP="009B4037">
      <w:pPr>
        <w:spacing w:after="0" w:line="240" w:lineRule="auto"/>
        <w:rPr>
          <w:rFonts w:ascii="Verdana" w:hAnsi="Verdana"/>
        </w:rPr>
      </w:pPr>
    </w:p>
    <w:p w14:paraId="725B6A32" w14:textId="77777777" w:rsidR="00975846" w:rsidRDefault="00975846" w:rsidP="009B4037">
      <w:pPr>
        <w:spacing w:after="0" w:line="240" w:lineRule="auto"/>
        <w:rPr>
          <w:rFonts w:ascii="Verdana" w:hAnsi="Verdana"/>
        </w:rPr>
      </w:pPr>
    </w:p>
    <w:p w14:paraId="59152A39" w14:textId="77777777" w:rsidR="00975846" w:rsidRDefault="00975846" w:rsidP="009B4037">
      <w:pPr>
        <w:spacing w:after="0" w:line="240" w:lineRule="auto"/>
        <w:rPr>
          <w:rFonts w:ascii="Verdana" w:hAnsi="Verdana"/>
        </w:rPr>
      </w:pPr>
    </w:p>
    <w:p w14:paraId="06F773AE" w14:textId="77777777" w:rsidR="00975846" w:rsidRDefault="00975846" w:rsidP="009B4037">
      <w:pPr>
        <w:spacing w:after="0" w:line="240" w:lineRule="auto"/>
        <w:rPr>
          <w:rFonts w:ascii="Verdana" w:hAnsi="Verdana"/>
        </w:rPr>
      </w:pPr>
    </w:p>
    <w:p w14:paraId="30837715" w14:textId="77777777" w:rsidR="00975846" w:rsidRDefault="00975846" w:rsidP="009B4037">
      <w:pPr>
        <w:spacing w:after="0" w:line="240" w:lineRule="auto"/>
        <w:rPr>
          <w:rFonts w:ascii="Verdana" w:hAnsi="Verdana"/>
        </w:rPr>
      </w:pPr>
    </w:p>
    <w:p w14:paraId="3D85CEA8" w14:textId="77777777" w:rsidR="00975846" w:rsidRDefault="00975846" w:rsidP="009B4037">
      <w:pPr>
        <w:spacing w:after="0" w:line="240" w:lineRule="auto"/>
        <w:rPr>
          <w:rFonts w:ascii="Verdana" w:hAnsi="Verdana"/>
        </w:rPr>
      </w:pPr>
    </w:p>
    <w:p w14:paraId="64B6D7D0" w14:textId="77777777" w:rsidR="00975846" w:rsidRDefault="00975846" w:rsidP="009B4037">
      <w:pPr>
        <w:spacing w:after="0" w:line="240" w:lineRule="auto"/>
        <w:rPr>
          <w:rFonts w:ascii="Verdana" w:hAnsi="Verdana"/>
        </w:rPr>
      </w:pPr>
    </w:p>
    <w:p w14:paraId="7F551C3A" w14:textId="77777777" w:rsidR="00975846" w:rsidRDefault="00975846" w:rsidP="009B4037">
      <w:pPr>
        <w:spacing w:after="0" w:line="240" w:lineRule="auto"/>
        <w:rPr>
          <w:rFonts w:ascii="Verdana" w:hAnsi="Verdana"/>
        </w:rPr>
      </w:pPr>
    </w:p>
    <w:p w14:paraId="5FE29F8C" w14:textId="77777777" w:rsidR="00975846" w:rsidRDefault="00975846" w:rsidP="009B4037">
      <w:pPr>
        <w:spacing w:after="0" w:line="240" w:lineRule="auto"/>
        <w:rPr>
          <w:rFonts w:ascii="Verdana" w:hAnsi="Verdana"/>
        </w:rPr>
      </w:pPr>
    </w:p>
    <w:p w14:paraId="3A09C859" w14:textId="77777777" w:rsidR="00975846" w:rsidRDefault="00975846" w:rsidP="009B4037">
      <w:pPr>
        <w:spacing w:after="0" w:line="240" w:lineRule="auto"/>
        <w:rPr>
          <w:rFonts w:ascii="Verdana" w:hAnsi="Verdana"/>
        </w:rPr>
      </w:pPr>
    </w:p>
    <w:p w14:paraId="591E20E1" w14:textId="77777777" w:rsidR="00975846" w:rsidRDefault="00975846" w:rsidP="009B4037">
      <w:pPr>
        <w:spacing w:after="0" w:line="240" w:lineRule="auto"/>
        <w:rPr>
          <w:rFonts w:ascii="Verdana" w:hAnsi="Verdana"/>
        </w:rPr>
      </w:pPr>
    </w:p>
    <w:p w14:paraId="7CD4B5AC" w14:textId="77777777" w:rsidR="00975846" w:rsidRDefault="00975846" w:rsidP="009B4037">
      <w:pPr>
        <w:spacing w:after="0" w:line="240" w:lineRule="auto"/>
        <w:rPr>
          <w:rFonts w:ascii="Verdana" w:hAnsi="Verdana"/>
        </w:rPr>
      </w:pPr>
    </w:p>
    <w:p w14:paraId="51C2B6FE" w14:textId="77777777" w:rsidR="00975846" w:rsidRDefault="00975846" w:rsidP="009B4037">
      <w:pPr>
        <w:spacing w:after="0" w:line="240" w:lineRule="auto"/>
        <w:rPr>
          <w:rFonts w:ascii="Verdana" w:hAnsi="Verdana"/>
        </w:rPr>
      </w:pPr>
    </w:p>
    <w:p w14:paraId="4A1794DA" w14:textId="77777777" w:rsidR="00975846" w:rsidRDefault="00975846" w:rsidP="009B4037">
      <w:pPr>
        <w:spacing w:after="0" w:line="240" w:lineRule="auto"/>
        <w:rPr>
          <w:rFonts w:ascii="Verdana" w:hAnsi="Verdana"/>
        </w:rPr>
      </w:pPr>
    </w:p>
    <w:p w14:paraId="3AD52A32" w14:textId="77777777" w:rsidR="00975846" w:rsidRDefault="00975846" w:rsidP="009B4037">
      <w:pPr>
        <w:spacing w:after="0" w:line="240" w:lineRule="auto"/>
        <w:rPr>
          <w:rFonts w:ascii="Verdana" w:hAnsi="Verdana"/>
        </w:rPr>
      </w:pPr>
    </w:p>
    <w:p w14:paraId="5CB3179D" w14:textId="77777777" w:rsidR="00975846" w:rsidRDefault="00975846" w:rsidP="009B4037">
      <w:pPr>
        <w:spacing w:after="0" w:line="240" w:lineRule="auto"/>
        <w:rPr>
          <w:rFonts w:ascii="Verdana" w:hAnsi="Verdana"/>
        </w:rPr>
      </w:pPr>
    </w:p>
    <w:p w14:paraId="08C72055" w14:textId="77777777" w:rsidR="00975846" w:rsidRDefault="00975846" w:rsidP="009B4037">
      <w:pPr>
        <w:spacing w:after="0" w:line="240" w:lineRule="auto"/>
        <w:rPr>
          <w:rFonts w:ascii="Verdana" w:hAnsi="Verdana"/>
        </w:rPr>
      </w:pPr>
    </w:p>
    <w:p w14:paraId="027FD2C2" w14:textId="77777777" w:rsidR="00975846" w:rsidRDefault="00975846" w:rsidP="009B4037">
      <w:pPr>
        <w:spacing w:after="0" w:line="240" w:lineRule="auto"/>
        <w:rPr>
          <w:rFonts w:ascii="Verdana" w:hAnsi="Verdana"/>
        </w:rPr>
      </w:pPr>
    </w:p>
    <w:p w14:paraId="2F553191" w14:textId="77777777" w:rsidR="00975846" w:rsidRDefault="00975846" w:rsidP="009B4037">
      <w:pPr>
        <w:spacing w:after="0" w:line="240" w:lineRule="auto"/>
        <w:rPr>
          <w:rFonts w:ascii="Verdana" w:hAnsi="Verdana"/>
        </w:rPr>
      </w:pPr>
    </w:p>
    <w:p w14:paraId="33B0B98B" w14:textId="77777777" w:rsidR="00975846" w:rsidRDefault="00975846" w:rsidP="009B4037">
      <w:pPr>
        <w:spacing w:after="0" w:line="240" w:lineRule="auto"/>
        <w:rPr>
          <w:rFonts w:ascii="Verdana" w:hAnsi="Verdana"/>
        </w:rPr>
      </w:pPr>
    </w:p>
    <w:p w14:paraId="0B74AC6F" w14:textId="77777777" w:rsidR="00975846" w:rsidRDefault="00975846" w:rsidP="009B4037">
      <w:pPr>
        <w:spacing w:after="0" w:line="240" w:lineRule="auto"/>
        <w:rPr>
          <w:rFonts w:ascii="Verdana" w:hAnsi="Verdana"/>
        </w:rPr>
      </w:pPr>
    </w:p>
    <w:p w14:paraId="476F9B78" w14:textId="77777777" w:rsidR="00975846" w:rsidRDefault="00975846" w:rsidP="009B4037">
      <w:pPr>
        <w:spacing w:after="0" w:line="240" w:lineRule="auto"/>
        <w:rPr>
          <w:rFonts w:ascii="Verdana" w:hAnsi="Verdana"/>
        </w:rPr>
      </w:pPr>
    </w:p>
    <w:p w14:paraId="10D32B41" w14:textId="77777777" w:rsidR="00975846" w:rsidRDefault="00975846" w:rsidP="009B4037">
      <w:pPr>
        <w:spacing w:after="0" w:line="240" w:lineRule="auto"/>
        <w:rPr>
          <w:rFonts w:ascii="Verdana" w:hAnsi="Verdana"/>
        </w:rPr>
      </w:pPr>
    </w:p>
    <w:p w14:paraId="35CC256B" w14:textId="77777777" w:rsidR="00F5369B" w:rsidRDefault="00F5369B" w:rsidP="009B4037">
      <w:pPr>
        <w:spacing w:after="0" w:line="240" w:lineRule="auto"/>
        <w:rPr>
          <w:rFonts w:ascii="Verdana" w:hAnsi="Verdana"/>
        </w:rPr>
      </w:pPr>
    </w:p>
    <w:bookmarkEnd w:id="0"/>
    <w:p w14:paraId="6FC8142F" w14:textId="5759F6C6" w:rsidR="00E41F8A" w:rsidRDefault="00E41F8A" w:rsidP="00E41F8A">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1043C6">
        <w:rPr>
          <w:rFonts w:ascii="Verdana" w:eastAsia="Geomanist Light" w:hAnsi="Verdana" w:cs="Arial"/>
          <w:color w:val="201F1E"/>
        </w:rPr>
        <w:t>26 de febrero de 2026</w:t>
      </w:r>
    </w:p>
    <w:p w14:paraId="69BB4A54" w14:textId="77777777" w:rsidR="00E41F8A" w:rsidRDefault="00E41F8A" w:rsidP="00E41F8A">
      <w:pPr>
        <w:spacing w:after="0"/>
        <w:rPr>
          <w:rFonts w:ascii="Verdana" w:hAnsi="Verdana"/>
        </w:rPr>
      </w:pPr>
    </w:p>
    <w:p w14:paraId="5355D157" w14:textId="23B44C84" w:rsidR="001043C6" w:rsidRDefault="001043C6" w:rsidP="001043C6">
      <w:pPr>
        <w:spacing w:after="0"/>
        <w:jc w:val="right"/>
        <w:rPr>
          <w:rFonts w:ascii="Verdana" w:hAnsi="Verdana"/>
        </w:rPr>
      </w:pPr>
      <w:r w:rsidRPr="001043C6">
        <w:rPr>
          <w:rFonts w:ascii="Verdana" w:hAnsi="Verdana"/>
          <w:noProof/>
        </w:rPr>
        <w:drawing>
          <wp:inline distT="0" distB="0" distL="0" distR="0" wp14:anchorId="00DA54AE" wp14:editId="5904F072">
            <wp:extent cx="2423160" cy="914400"/>
            <wp:effectExtent l="0" t="0" r="0" b="0"/>
            <wp:docPr id="3454690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3160" cy="914400"/>
                    </a:xfrm>
                    <a:prstGeom prst="rect">
                      <a:avLst/>
                    </a:prstGeom>
                    <a:noFill/>
                    <a:ln>
                      <a:noFill/>
                    </a:ln>
                  </pic:spPr>
                </pic:pic>
              </a:graphicData>
            </a:graphic>
          </wp:inline>
        </w:drawing>
      </w:r>
    </w:p>
    <w:p w14:paraId="511F7113" w14:textId="77777777" w:rsidR="00E41F8A" w:rsidRDefault="00E41F8A" w:rsidP="00E41F8A">
      <w:pPr>
        <w:spacing w:after="0"/>
        <w:rPr>
          <w:rFonts w:ascii="Verdana" w:eastAsia="Calibri" w:hAnsi="Verdana" w:cs="Arial"/>
          <w:color w:val="000000" w:themeColor="text1"/>
          <w:lang w:val="es-ES" w:eastAsia="es-ES"/>
        </w:rPr>
      </w:pPr>
      <w:r w:rsidRPr="4318E92E">
        <w:rPr>
          <w:rFonts w:ascii="Verdana" w:eastAsia="Calibri" w:hAnsi="Verdana" w:cs="Arial"/>
          <w:color w:val="000000" w:themeColor="text1"/>
          <w:lang w:val="es-ES" w:eastAsia="es-ES"/>
        </w:rPr>
        <w:t>Señor</w:t>
      </w:r>
    </w:p>
    <w:p w14:paraId="3E41C9B5" w14:textId="77777777" w:rsidR="00E41F8A" w:rsidRDefault="00E41F8A" w:rsidP="00E41F8A">
      <w:pPr>
        <w:spacing w:after="0"/>
        <w:rPr>
          <w:rFonts w:ascii="Verdana" w:hAnsi="Verdana"/>
          <w:b/>
          <w:bCs/>
        </w:rPr>
      </w:pPr>
      <w:r w:rsidRPr="00082C01">
        <w:rPr>
          <w:rFonts w:ascii="Verdana" w:hAnsi="Verdana"/>
          <w:b/>
          <w:bCs/>
        </w:rPr>
        <w:t>Oscar Mauricio La Rotha Riano</w:t>
      </w:r>
    </w:p>
    <w:p w14:paraId="7CE3FC7E" w14:textId="77777777" w:rsidR="00E41F8A" w:rsidRPr="00FB23E4" w:rsidRDefault="00E41F8A" w:rsidP="00E41F8A">
      <w:pPr>
        <w:spacing w:after="0" w:line="240" w:lineRule="auto"/>
        <w:jc w:val="both"/>
        <w:rPr>
          <w:rFonts w:ascii="Verdana" w:hAnsi="Verdana"/>
        </w:rPr>
      </w:pPr>
      <w:hyperlink r:id="rId12" w:history="1">
        <w:r w:rsidRPr="00FB23E4">
          <w:rPr>
            <w:rStyle w:val="Hipervnculo"/>
            <w:rFonts w:ascii="Verdana" w:hAnsi="Verdana"/>
          </w:rPr>
          <w:t>oscarlarotha1@gmail.com</w:t>
        </w:r>
      </w:hyperlink>
      <w:r w:rsidRPr="00FB23E4">
        <w:rPr>
          <w:rFonts w:ascii="Verdana" w:hAnsi="Verdana"/>
        </w:rPr>
        <w:t xml:space="preserve"> </w:t>
      </w:r>
    </w:p>
    <w:p w14:paraId="515A6283" w14:textId="77777777" w:rsidR="00E41F8A" w:rsidRPr="00CE3F9C" w:rsidRDefault="00E41F8A" w:rsidP="00E41F8A">
      <w:pPr>
        <w:spacing w:after="0" w:line="240" w:lineRule="auto"/>
        <w:jc w:val="both"/>
      </w:pPr>
      <w:r>
        <w:rPr>
          <w:rFonts w:ascii="Verdana" w:hAnsi="Verdana"/>
        </w:rPr>
        <w:t>Bogotá</w:t>
      </w:r>
      <w:r w:rsidRPr="00CF2943">
        <w:rPr>
          <w:rFonts w:ascii="Verdana" w:eastAsia="Calibri" w:hAnsi="Verdana" w:cs="Arial"/>
          <w:color w:val="000000" w:themeColor="text1"/>
          <w:lang w:val="es-ES_tradnl" w:eastAsia="es-ES"/>
        </w:rPr>
        <w:t xml:space="preserve"> </w:t>
      </w:r>
      <w:r>
        <w:rPr>
          <w:rFonts w:ascii="Verdana" w:eastAsia="Calibri" w:hAnsi="Verdana" w:cs="Arial"/>
          <w:color w:val="000000" w:themeColor="text1"/>
          <w:lang w:val="es-ES_tradnl" w:eastAsia="es-ES"/>
        </w:rPr>
        <w:t>D.C</w:t>
      </w:r>
    </w:p>
    <w:p w14:paraId="1382156F" w14:textId="77777777" w:rsidR="00E41F8A" w:rsidRPr="00C55BDE" w:rsidRDefault="00E41F8A" w:rsidP="00E41F8A">
      <w:pPr>
        <w:spacing w:after="0" w:line="240" w:lineRule="auto"/>
        <w:rPr>
          <w:rFonts w:ascii="Verdana" w:eastAsia="Calibri" w:hAnsi="Verdana" w:cs="Arial"/>
          <w:b/>
          <w:bCs/>
          <w:color w:val="000000" w:themeColor="text1"/>
          <w:lang w:val="es-ES_tradnl" w:eastAsia="es-ES_tradnl"/>
        </w:rPr>
      </w:pPr>
    </w:p>
    <w:p w14:paraId="007CEEA3" w14:textId="77777777" w:rsidR="00E41F8A" w:rsidRPr="00C55BDE" w:rsidRDefault="00E41F8A" w:rsidP="00E41F8A">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168</w:t>
      </w:r>
      <w:r w:rsidRPr="00C55BDE">
        <w:rPr>
          <w:rFonts w:ascii="Verdana" w:eastAsia="Calibri" w:hAnsi="Verdana" w:cs="Arial"/>
          <w:b/>
          <w:bCs/>
          <w:color w:val="000000" w:themeColor="text1"/>
          <w:lang w:val="es-ES_tradnl" w:eastAsia="es-ES_tradnl"/>
        </w:rPr>
        <w:t xml:space="preserve"> del 202</w:t>
      </w:r>
      <w:r>
        <w:rPr>
          <w:rFonts w:ascii="Verdana" w:eastAsia="Calibri" w:hAnsi="Verdana" w:cs="Arial"/>
          <w:b/>
          <w:bCs/>
          <w:color w:val="000000" w:themeColor="text1"/>
          <w:lang w:val="es-ES_tradnl" w:eastAsia="es-ES_tradnl"/>
        </w:rPr>
        <w:t>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41F8A" w:rsidRPr="00C55BDE" w14:paraId="2A1F96C0" w14:textId="77777777" w:rsidTr="00E30C97">
        <w:trPr>
          <w:gridAfter w:val="1"/>
          <w:wAfter w:w="6100" w:type="dxa"/>
          <w:trHeight w:val="133"/>
        </w:trPr>
        <w:tc>
          <w:tcPr>
            <w:tcW w:w="2689" w:type="dxa"/>
          </w:tcPr>
          <w:p w14:paraId="53DB963D" w14:textId="77777777" w:rsidR="00E41F8A" w:rsidRPr="00C55BDE" w:rsidRDefault="00E41F8A" w:rsidP="00E30C97">
            <w:pPr>
              <w:jc w:val="both"/>
              <w:rPr>
                <w:rFonts w:ascii="Verdana" w:eastAsia="Calibri" w:hAnsi="Verdana" w:cs="Arial"/>
                <w:b/>
                <w:bCs/>
                <w:color w:val="000000" w:themeColor="text1"/>
                <w:highlight w:val="cyan"/>
                <w:lang w:val="es-ES_tradnl" w:eastAsia="es-ES_tradnl"/>
              </w:rPr>
            </w:pPr>
          </w:p>
        </w:tc>
      </w:tr>
      <w:tr w:rsidR="00E41F8A" w:rsidRPr="00C55BDE" w14:paraId="65D4D09A" w14:textId="77777777" w:rsidTr="00E30C97">
        <w:trPr>
          <w:trHeight w:val="884"/>
        </w:trPr>
        <w:tc>
          <w:tcPr>
            <w:tcW w:w="2689" w:type="dxa"/>
          </w:tcPr>
          <w:p w14:paraId="18E71AF8" w14:textId="77777777" w:rsidR="00E41F8A" w:rsidRPr="00C55BDE" w:rsidRDefault="00E41F8A" w:rsidP="00E30C97">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7502600D" w14:textId="77777777" w:rsidR="00E41F8A" w:rsidRPr="00A23DBA" w:rsidRDefault="00E41F8A" w:rsidP="00E30C97">
            <w:pPr>
              <w:spacing w:line="276" w:lineRule="auto"/>
              <w:jc w:val="both"/>
              <w:rPr>
                <w:rFonts w:ascii="Verdana" w:hAnsi="Verdana" w:cs="Arial"/>
                <w:lang w:val="es-ES" w:eastAsia="es-ES"/>
              </w:rPr>
            </w:pPr>
            <w:r w:rsidRPr="00C55BDE">
              <w:rPr>
                <w:rFonts w:ascii="Verdana" w:hAnsi="Verdana" w:cs="Arial"/>
                <w:lang w:val="es-ES" w:eastAsia="es-ES"/>
              </w:rPr>
              <w:t>LEY DE GARANTÍAS ELECTORALES – Finalidad / LEY DE GARANTÍAS ELECTORALES ‒ Restricciones ‒ Contratación ‒ Tipos de elección ‒</w:t>
            </w:r>
            <w:r>
              <w:rPr>
                <w:rFonts w:ascii="Verdana" w:hAnsi="Verdana" w:cs="Arial"/>
                <w:lang w:val="es-ES" w:eastAsia="es-ES"/>
              </w:rPr>
              <w:t xml:space="preserve"> Celebración </w:t>
            </w:r>
            <w:r w:rsidRPr="00C55BDE">
              <w:rPr>
                <w:rFonts w:ascii="Verdana" w:hAnsi="Verdana" w:cs="Arial"/>
                <w:lang w:val="es-MX" w:eastAsia="es-ES_tradnl"/>
              </w:rPr>
              <w:t>/</w:t>
            </w:r>
            <w:r w:rsidRPr="00C55BDE">
              <w:rPr>
                <w:rFonts w:ascii="Verdana" w:hAnsi="Verdana"/>
              </w:rPr>
              <w:t xml:space="preserve"> </w:t>
            </w:r>
            <w:r w:rsidRPr="00686D64">
              <w:rPr>
                <w:rFonts w:ascii="Verdana" w:eastAsia="Calibri" w:hAnsi="Verdana" w:cs="Arial"/>
                <w:lang w:val="es-ES" w:eastAsia="es-ES"/>
              </w:rPr>
              <w:t>LEY DE GARANTÍAS ELECTORALES ‒ Artículo 33 ‒ Ámbito material</w:t>
            </w:r>
            <w:r>
              <w:rPr>
                <w:rFonts w:ascii="Verdana" w:eastAsia="Calibri" w:hAnsi="Verdana" w:cs="Arial"/>
                <w:lang w:val="es-ES" w:eastAsia="es-ES"/>
              </w:rPr>
              <w:t xml:space="preserve"> </w:t>
            </w:r>
            <w:r w:rsidRPr="00686D64">
              <w:rPr>
                <w:rFonts w:ascii="Verdana" w:eastAsia="Calibri" w:hAnsi="Verdana" w:cs="Arial"/>
                <w:lang w:val="es-ES" w:eastAsia="es-ES"/>
              </w:rPr>
              <w:t>‒</w:t>
            </w:r>
            <w:r>
              <w:rPr>
                <w:rFonts w:ascii="Verdana" w:eastAsia="Calibri" w:hAnsi="Verdana" w:cs="Arial"/>
                <w:lang w:val="es-ES" w:eastAsia="es-ES"/>
              </w:rPr>
              <w:t xml:space="preserve"> Destinatarios </w:t>
            </w:r>
            <w:r w:rsidRPr="00C55BDE">
              <w:rPr>
                <w:rFonts w:ascii="Verdana" w:hAnsi="Verdana" w:cs="Arial"/>
                <w:lang w:val="es-MX" w:eastAsia="es-ES_tradnl"/>
              </w:rPr>
              <w:t>/</w:t>
            </w:r>
            <w:r>
              <w:rPr>
                <w:rFonts w:ascii="Verdana" w:hAnsi="Verdana" w:cs="Arial"/>
                <w:lang w:val="es-MX" w:eastAsia="es-ES_tradnl"/>
              </w:rPr>
              <w:t xml:space="preserve"> </w:t>
            </w:r>
            <w:r>
              <w:rPr>
                <w:rFonts w:ascii="Verdana" w:hAnsi="Verdana" w:cs="Arial"/>
                <w:color w:val="000000" w:themeColor="text1"/>
                <w:shd w:val="clear" w:color="auto" w:fill="FFFFFF"/>
                <w:lang w:val="es-ES"/>
              </w:rPr>
              <w:t>SECOP I </w:t>
            </w:r>
            <w:r>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ES"/>
              </w:rPr>
              <w:t xml:space="preserve"> Publicidad </w:t>
            </w:r>
            <w:r>
              <w:rPr>
                <w:rFonts w:ascii="Verdana" w:hAnsi="Verdana" w:cs="Arial"/>
                <w:color w:val="000000" w:themeColor="text1"/>
                <w:shd w:val="clear" w:color="auto" w:fill="FFFFFF"/>
                <w:lang w:val="es-MX"/>
              </w:rPr>
              <w:t>– Plazo</w:t>
            </w:r>
            <w:r>
              <w:rPr>
                <w:rFonts w:ascii="Verdana" w:hAnsi="Verdana" w:cs="Arial"/>
                <w:color w:val="000000" w:themeColor="text1"/>
                <w:shd w:val="clear" w:color="auto" w:fill="FFFFFF"/>
                <w:lang w:val="es-ES"/>
              </w:rPr>
              <w:t xml:space="preserve"> </w:t>
            </w:r>
            <w:r w:rsidRPr="00F60619">
              <w:rPr>
                <w:rFonts w:ascii="Verdana" w:eastAsia="Calibri" w:hAnsi="Verdana" w:cs="Arial"/>
                <w:lang w:val="es-ES" w:eastAsia="es-ES"/>
              </w:rPr>
              <w:t xml:space="preserve">/ </w:t>
            </w:r>
            <w:r w:rsidRPr="00F60619">
              <w:rPr>
                <w:rFonts w:ascii="Verdana" w:hAnsi="Verdana" w:cs="Arial"/>
                <w:color w:val="000000" w:themeColor="text1"/>
                <w:shd w:val="clear" w:color="auto" w:fill="FFFFFF"/>
                <w:lang w:val="es-ES"/>
              </w:rPr>
              <w:t>SECOP I </w:t>
            </w:r>
            <w:r w:rsidRPr="00F60619">
              <w:rPr>
                <w:rFonts w:ascii="Verdana" w:hAnsi="Verdana" w:cs="Arial"/>
                <w:color w:val="000000" w:themeColor="text1"/>
                <w:shd w:val="clear" w:color="auto" w:fill="FFFFFF"/>
                <w:lang w:val="es-MX"/>
              </w:rPr>
              <w:t>–</w:t>
            </w:r>
            <w:r w:rsidRPr="00F60619">
              <w:rPr>
                <w:rFonts w:ascii="Verdana" w:hAnsi="Verdana" w:cs="Arial"/>
                <w:color w:val="000000" w:themeColor="text1"/>
                <w:shd w:val="clear" w:color="auto" w:fill="FFFFFF"/>
                <w:lang w:val="es-ES"/>
              </w:rPr>
              <w:t> </w:t>
            </w:r>
            <w:r w:rsidRPr="00F60619">
              <w:rPr>
                <w:rFonts w:ascii="Verdana" w:hAnsi="Verdana" w:cs="Arial"/>
                <w:color w:val="000000" w:themeColor="text1"/>
                <w:shd w:val="clear" w:color="auto" w:fill="FFFFFF"/>
                <w:lang w:val="es-MX"/>
              </w:rPr>
              <w:t>Perfeccionamiento – P</w:t>
            </w:r>
            <w:r>
              <w:rPr>
                <w:rFonts w:ascii="Verdana" w:hAnsi="Verdana" w:cs="Arial"/>
                <w:color w:val="000000" w:themeColor="text1"/>
                <w:shd w:val="clear" w:color="auto" w:fill="FFFFFF"/>
                <w:lang w:val="es-MX"/>
              </w:rPr>
              <w:t xml:space="preserve">lazo </w:t>
            </w:r>
            <w:r w:rsidRPr="00F60619">
              <w:rPr>
                <w:rFonts w:ascii="Verdana" w:hAnsi="Verdana" w:cs="Arial"/>
                <w:color w:val="000000" w:themeColor="text1"/>
                <w:shd w:val="clear" w:color="auto" w:fill="FFFFFF"/>
                <w:lang w:val="es-MX"/>
              </w:rPr>
              <w:t>–</w:t>
            </w:r>
            <w:r>
              <w:rPr>
                <w:rFonts w:ascii="Verdana" w:hAnsi="Verdana" w:cs="Arial"/>
                <w:color w:val="000000" w:themeColor="text1"/>
                <w:shd w:val="clear" w:color="auto" w:fill="FFFFFF"/>
                <w:lang w:val="es-MX"/>
              </w:rPr>
              <w:t xml:space="preserve"> Aplicación Ley de Garantías</w:t>
            </w:r>
          </w:p>
          <w:p w14:paraId="772BC942" w14:textId="77777777" w:rsidR="00E41F8A" w:rsidRPr="00C55BDE" w:rsidRDefault="00E41F8A" w:rsidP="00E30C97">
            <w:pPr>
              <w:spacing w:line="276" w:lineRule="auto"/>
              <w:jc w:val="both"/>
              <w:rPr>
                <w:rFonts w:ascii="Verdana" w:hAnsi="Verdana" w:cs="Arial"/>
                <w:bCs/>
                <w:color w:val="000000" w:themeColor="text1"/>
                <w:highlight w:val="cyan"/>
              </w:rPr>
            </w:pPr>
          </w:p>
        </w:tc>
      </w:tr>
      <w:tr w:rsidR="00E41F8A" w:rsidRPr="00C55BDE" w14:paraId="7EF08E6C" w14:textId="77777777" w:rsidTr="00E30C97">
        <w:tc>
          <w:tcPr>
            <w:tcW w:w="2689" w:type="dxa"/>
          </w:tcPr>
          <w:p w14:paraId="305385E1" w14:textId="77777777" w:rsidR="00E41F8A" w:rsidRPr="00C55BDE" w:rsidRDefault="00E41F8A" w:rsidP="00E30C97">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0F43CBBA" w14:textId="77777777" w:rsidR="00E41F8A" w:rsidRPr="00C55BDE" w:rsidRDefault="00E41F8A" w:rsidP="00E30C97">
            <w:pPr>
              <w:jc w:val="both"/>
              <w:rPr>
                <w:rFonts w:ascii="Verdana" w:hAnsi="Verdana" w:cs="Arial"/>
              </w:rPr>
            </w:pPr>
            <w:r w:rsidRPr="00C55BDE">
              <w:rPr>
                <w:rFonts w:ascii="Verdana" w:eastAsia="Calibri" w:hAnsi="Verdana" w:cs="Arial"/>
                <w:color w:val="000000" w:themeColor="text1"/>
                <w:lang w:val="es-ES_tradnl" w:eastAsia="es-ES_tradnl"/>
              </w:rPr>
              <w:t>Respuesta a consulta con radicado No.</w:t>
            </w:r>
            <w:r w:rsidRPr="00C55BDE">
              <w:rPr>
                <w:rFonts w:ascii="Verdana" w:hAnsi="Verdana"/>
              </w:rPr>
              <w:t xml:space="preserve"> </w:t>
            </w:r>
            <w:r w:rsidRPr="003E40E7">
              <w:rPr>
                <w:rFonts w:ascii="Verdana" w:hAnsi="Verdana"/>
              </w:rPr>
              <w:t>1_2026_02_03_001348</w:t>
            </w:r>
          </w:p>
          <w:p w14:paraId="36EB60E2" w14:textId="77777777" w:rsidR="00E41F8A" w:rsidRPr="00C55BDE" w:rsidRDefault="00E41F8A" w:rsidP="00E30C97">
            <w:pPr>
              <w:jc w:val="both"/>
              <w:rPr>
                <w:rFonts w:ascii="Verdana" w:hAnsi="Verdana"/>
                <w:color w:val="000000"/>
              </w:rPr>
            </w:pPr>
          </w:p>
        </w:tc>
      </w:tr>
    </w:tbl>
    <w:p w14:paraId="6D94BAA5" w14:textId="77777777" w:rsidR="00E41F8A" w:rsidRPr="00C55BDE" w:rsidRDefault="00E41F8A" w:rsidP="00E41F8A">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C55BDE">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La Rotha</w:t>
      </w:r>
      <w:r w:rsidRPr="00C55BDE">
        <w:rPr>
          <w:rFonts w:ascii="Verdana" w:eastAsia="Calibri" w:hAnsi="Verdana" w:cs="Arial"/>
          <w:color w:val="000000" w:themeColor="text1"/>
          <w:lang w:val="es-ES" w:eastAsia="es-ES"/>
        </w:rPr>
        <w:t xml:space="preserve">: </w:t>
      </w:r>
    </w:p>
    <w:p w14:paraId="7DC93E0E" w14:textId="77777777" w:rsidR="00E41F8A" w:rsidRPr="00C55BDE" w:rsidRDefault="00E41F8A" w:rsidP="00E41F8A">
      <w:pPr>
        <w:spacing w:after="0"/>
        <w:rPr>
          <w:rFonts w:ascii="Verdana" w:eastAsia="Times New Roman" w:hAnsi="Verdana" w:cs="Segoe UI"/>
          <w:lang w:eastAsia="es-CO"/>
        </w:rPr>
      </w:pPr>
    </w:p>
    <w:p w14:paraId="2C5E9181" w14:textId="77777777" w:rsidR="00E41F8A" w:rsidRPr="00BA1D42" w:rsidRDefault="00E41F8A" w:rsidP="00E41F8A">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del</w:t>
      </w:r>
      <w:r w:rsidRPr="00C55BDE">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3</w:t>
      </w:r>
      <w:r w:rsidRPr="00C55BD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febrero</w:t>
      </w:r>
      <w:r w:rsidRPr="00C55BDE">
        <w:rPr>
          <w:rFonts w:ascii="Verdana" w:eastAsia="Calibri" w:hAnsi="Verdana" w:cs="Arial"/>
          <w:color w:val="000000" w:themeColor="text1"/>
          <w:lang w:val="es-ES" w:eastAsia="es-ES"/>
        </w:rPr>
        <w:t xml:space="preserve"> del 202</w:t>
      </w:r>
      <w:r>
        <w:rPr>
          <w:rFonts w:ascii="Verdana" w:eastAsia="Calibri" w:hAnsi="Verdana" w:cs="Arial"/>
          <w:color w:val="000000" w:themeColor="text1"/>
          <w:lang w:val="es-ES" w:eastAsia="es-ES"/>
        </w:rPr>
        <w:t>6</w:t>
      </w:r>
      <w:r w:rsidRPr="00C55BDE">
        <w:rPr>
          <w:rFonts w:ascii="Verdana" w:eastAsia="Calibri" w:hAnsi="Verdana" w:cs="Arial"/>
          <w:color w:val="000000" w:themeColor="text1"/>
          <w:lang w:val="es-ES" w:eastAsia="es-ES"/>
        </w:rPr>
        <w:t xml:space="preserve">, en la cual manifiesta lo siguiente: </w:t>
      </w:r>
    </w:p>
    <w:p w14:paraId="4300C36D" w14:textId="77777777" w:rsidR="00E41F8A" w:rsidRPr="00446315" w:rsidRDefault="00E41F8A" w:rsidP="00E41F8A">
      <w:pPr>
        <w:pStyle w:val="Default"/>
        <w:rPr>
          <w:rFonts w:ascii="Verdana" w:hAnsi="Verdana" w:cs="Verdana"/>
        </w:rPr>
      </w:pPr>
    </w:p>
    <w:p w14:paraId="0F5603F8" w14:textId="77777777" w:rsidR="00E41F8A" w:rsidRDefault="00E41F8A" w:rsidP="00E41F8A">
      <w:pPr>
        <w:spacing w:after="0" w:line="240" w:lineRule="auto"/>
        <w:ind w:left="709" w:right="709"/>
        <w:jc w:val="both"/>
        <w:rPr>
          <w:rFonts w:ascii="Verdana" w:hAnsi="Verdana" w:cs="Verdana"/>
          <w:color w:val="000000" w:themeColor="text1"/>
          <w:sz w:val="20"/>
          <w:szCs w:val="20"/>
        </w:rPr>
      </w:pPr>
      <w:r>
        <w:rPr>
          <w:rFonts w:ascii="Verdana" w:hAnsi="Verdana" w:cs="Verdana"/>
          <w:color w:val="000000" w:themeColor="text1"/>
          <w:sz w:val="20"/>
          <w:szCs w:val="20"/>
        </w:rPr>
        <w:t>“</w:t>
      </w:r>
      <w:r w:rsidRPr="0070048C">
        <w:rPr>
          <w:rFonts w:ascii="Verdana" w:hAnsi="Verdana" w:cs="Verdana"/>
          <w:color w:val="000000" w:themeColor="text1"/>
          <w:sz w:val="20"/>
          <w:szCs w:val="20"/>
        </w:rPr>
        <w:t xml:space="preserve">• En los municipios o entidades que aún operan bajo SECOP I, durante la vigencia de la Ley de Garantías Electorales, ¿los contratos deben encontrarse celebrados (suscritos) y publicados en la plataforma antes de la entrada en vigencia del período de restricción para que sean jurídicamente válidos? </w:t>
      </w:r>
    </w:p>
    <w:p w14:paraId="71E2ECA0" w14:textId="77777777" w:rsidR="00E41F8A" w:rsidRDefault="00E41F8A" w:rsidP="00E41F8A">
      <w:pPr>
        <w:spacing w:after="0" w:line="240" w:lineRule="auto"/>
        <w:ind w:left="709" w:right="709"/>
        <w:jc w:val="both"/>
        <w:rPr>
          <w:rFonts w:ascii="Verdana" w:hAnsi="Verdana" w:cs="Verdana"/>
          <w:color w:val="000000" w:themeColor="text1"/>
          <w:sz w:val="20"/>
          <w:szCs w:val="20"/>
        </w:rPr>
      </w:pPr>
      <w:r w:rsidRPr="0070048C">
        <w:rPr>
          <w:rFonts w:ascii="Verdana" w:hAnsi="Verdana" w:cs="Verdana"/>
          <w:color w:val="000000" w:themeColor="text1"/>
          <w:sz w:val="20"/>
          <w:szCs w:val="20"/>
        </w:rPr>
        <w:lastRenderedPageBreak/>
        <w:t>• En ese mismo escenario,</w:t>
      </w:r>
      <w:r>
        <w:rPr>
          <w:rFonts w:ascii="Verdana" w:hAnsi="Verdana" w:cs="Verdana"/>
          <w:color w:val="000000" w:themeColor="text1"/>
          <w:sz w:val="20"/>
          <w:szCs w:val="20"/>
        </w:rPr>
        <w:t xml:space="preserve"> </w:t>
      </w:r>
      <w:r w:rsidRPr="0070048C">
        <w:rPr>
          <w:rFonts w:ascii="Verdana" w:hAnsi="Verdana" w:cs="Verdana"/>
          <w:color w:val="000000" w:themeColor="text1"/>
          <w:sz w:val="20"/>
          <w:szCs w:val="20"/>
        </w:rPr>
        <w:t xml:space="preserve">¿es jurídicamente procedente crear el proceso contractual o el contrato en SECOP I y cargar o alimentar los documentos precontractuales y contractuales con posterioridad a la entrada en vigencia de la Ley de Garantías, aun cuando se afirme que la decisión contractual fue adoptada previamente? </w:t>
      </w:r>
    </w:p>
    <w:p w14:paraId="299CA46C" w14:textId="77777777" w:rsidR="00E41F8A" w:rsidRPr="00446315" w:rsidRDefault="00E41F8A" w:rsidP="00E41F8A">
      <w:pPr>
        <w:spacing w:after="0" w:line="240" w:lineRule="auto"/>
        <w:ind w:left="709" w:right="709"/>
        <w:jc w:val="both"/>
        <w:rPr>
          <w:rFonts w:ascii="Verdana" w:hAnsi="Verdana" w:cs="Verdana"/>
          <w:color w:val="000000" w:themeColor="text1"/>
          <w:sz w:val="20"/>
          <w:szCs w:val="20"/>
        </w:rPr>
      </w:pPr>
      <w:r w:rsidRPr="0070048C">
        <w:rPr>
          <w:rFonts w:ascii="Verdana" w:hAnsi="Verdana" w:cs="Verdana"/>
          <w:color w:val="000000" w:themeColor="text1"/>
          <w:sz w:val="20"/>
          <w:szCs w:val="20"/>
        </w:rPr>
        <w:t>• Desde la perspectiva del principio de planeación contractual, ¿la celebración extemporánea del contrato o la publicación posterior de los documentos en SECOP I podría configurar una vulneración a la Ley de Garantías Electorales, en tanto impide verificar la oportunidad, legalidad y transparencia del proceso contractual?</w:t>
      </w:r>
      <w:r w:rsidRPr="00446315">
        <w:rPr>
          <w:rFonts w:ascii="Verdana" w:hAnsi="Verdana" w:cs="Verdana"/>
          <w:color w:val="000000" w:themeColor="text1"/>
          <w:sz w:val="20"/>
          <w:szCs w:val="20"/>
        </w:rPr>
        <w:t>.</w:t>
      </w:r>
      <w:r w:rsidRPr="00446315">
        <w:rPr>
          <w:rFonts w:ascii="Verdana" w:eastAsia="Century Gothic" w:hAnsi="Verdana" w:cs="Century Gothic"/>
          <w:i/>
          <w:iCs/>
          <w:color w:val="000000" w:themeColor="text1"/>
          <w:sz w:val="20"/>
          <w:szCs w:val="20"/>
        </w:rPr>
        <w:t>”</w:t>
      </w:r>
    </w:p>
    <w:p w14:paraId="795C8518" w14:textId="77777777" w:rsidR="00E41F8A" w:rsidRPr="00C55BDE" w:rsidRDefault="00E41F8A" w:rsidP="00E41F8A">
      <w:pPr>
        <w:spacing w:after="0" w:line="240" w:lineRule="auto"/>
        <w:ind w:left="709" w:right="709"/>
        <w:jc w:val="both"/>
        <w:rPr>
          <w:rFonts w:ascii="Verdana" w:eastAsia="Times New Roman" w:hAnsi="Verdana" w:cs="Arial"/>
          <w:i/>
          <w:iCs/>
          <w:sz w:val="20"/>
          <w:szCs w:val="20"/>
          <w:lang w:eastAsia="es-ES_tradnl"/>
        </w:rPr>
      </w:pPr>
    </w:p>
    <w:p w14:paraId="6D6ADCF5" w14:textId="77777777" w:rsidR="00E41F8A" w:rsidRPr="00C55BDE" w:rsidRDefault="00E41F8A" w:rsidP="00E41F8A">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37AB8AEE" w14:textId="77777777" w:rsidR="00E41F8A" w:rsidRPr="00C55BDE" w:rsidRDefault="00E41F8A" w:rsidP="00E41F8A">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4AFDA3E7" w14:textId="77777777" w:rsidR="00E41F8A" w:rsidRPr="00C55BDE" w:rsidRDefault="00E41F8A" w:rsidP="00E41F8A">
      <w:pPr>
        <w:spacing w:after="0" w:line="276" w:lineRule="auto"/>
        <w:jc w:val="both"/>
        <w:rPr>
          <w:rFonts w:ascii="Verdana" w:eastAsia="Calibri" w:hAnsi="Verdana" w:cs="Arial"/>
          <w:color w:val="000000" w:themeColor="text1"/>
          <w:lang w:val="es-ES" w:eastAsia="es-ES"/>
        </w:rPr>
      </w:pPr>
    </w:p>
    <w:p w14:paraId="7F85ADC8" w14:textId="77777777" w:rsidR="00E41F8A" w:rsidRPr="00C55BDE" w:rsidRDefault="00E41F8A" w:rsidP="00E41F8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4668BBD4" w14:textId="77777777" w:rsidR="00E41F8A" w:rsidRPr="00C55BDE" w:rsidRDefault="00E41F8A" w:rsidP="00E41F8A">
      <w:pPr>
        <w:tabs>
          <w:tab w:val="left" w:pos="426"/>
        </w:tabs>
        <w:spacing w:after="0" w:line="276" w:lineRule="auto"/>
        <w:jc w:val="both"/>
        <w:rPr>
          <w:rFonts w:ascii="Verdana" w:eastAsia="Century Gothic" w:hAnsi="Verdana" w:cs="Century Gothic"/>
          <w:color w:val="000000" w:themeColor="text1"/>
          <w:lang w:val="es-ES"/>
        </w:rPr>
      </w:pPr>
    </w:p>
    <w:p w14:paraId="3AFA9CB1" w14:textId="77777777" w:rsidR="00E41F8A" w:rsidRPr="00C55BDE" w:rsidRDefault="00E41F8A" w:rsidP="00E41F8A">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C55BDE">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6A26F6">
        <w:rPr>
          <w:rFonts w:ascii="Verdana" w:eastAsia="Century Gothic" w:hAnsi="Verdana" w:cs="Century Gothic"/>
          <w:color w:val="000000" w:themeColor="text1"/>
        </w:rPr>
        <w:t xml:space="preserve">¿los contratos deben encontrarse celebrados y publicados en la plataforma </w:t>
      </w:r>
      <w:r>
        <w:rPr>
          <w:rFonts w:ascii="Verdana" w:eastAsia="Century Gothic" w:hAnsi="Verdana" w:cs="Century Gothic"/>
          <w:color w:val="000000" w:themeColor="text1"/>
        </w:rPr>
        <w:t xml:space="preserve">del SECOP I </w:t>
      </w:r>
      <w:r w:rsidRPr="006A26F6">
        <w:rPr>
          <w:rFonts w:ascii="Verdana" w:eastAsia="Century Gothic" w:hAnsi="Verdana" w:cs="Century Gothic"/>
          <w:color w:val="000000" w:themeColor="text1"/>
        </w:rPr>
        <w:t xml:space="preserve">antes de la entrada en vigencia </w:t>
      </w:r>
      <w:r>
        <w:rPr>
          <w:rFonts w:ascii="Verdana" w:eastAsia="Century Gothic" w:hAnsi="Verdana" w:cs="Century Gothic"/>
          <w:color w:val="000000" w:themeColor="text1"/>
        </w:rPr>
        <w:t xml:space="preserve">de </w:t>
      </w:r>
      <w:r w:rsidRPr="00A53FD7">
        <w:rPr>
          <w:rFonts w:ascii="Verdana" w:eastAsia="Century Gothic" w:hAnsi="Verdana" w:cs="Century Gothic"/>
          <w:color w:val="000000" w:themeColor="text1"/>
        </w:rPr>
        <w:t>las restricciones de la Ley de Garantías</w:t>
      </w:r>
      <w:r>
        <w:rPr>
          <w:rFonts w:ascii="Verdana" w:eastAsia="Century Gothic" w:hAnsi="Verdana" w:cs="Century Gothic"/>
          <w:color w:val="000000" w:themeColor="text1"/>
        </w:rPr>
        <w:t xml:space="preserve"> Electorales</w:t>
      </w:r>
      <w:r w:rsidRPr="006A26F6">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 </w:t>
      </w:r>
    </w:p>
    <w:p w14:paraId="3B5A02A0" w14:textId="77777777" w:rsidR="00E41F8A" w:rsidRPr="00C55BDE" w:rsidRDefault="00E41F8A" w:rsidP="00E41F8A">
      <w:pPr>
        <w:spacing w:after="0" w:line="276" w:lineRule="auto"/>
        <w:jc w:val="both"/>
        <w:rPr>
          <w:rFonts w:ascii="Verdana" w:eastAsia="Century Gothic" w:hAnsi="Verdana" w:cs="Century Gothic"/>
          <w:color w:val="000000" w:themeColor="text1"/>
        </w:rPr>
      </w:pPr>
    </w:p>
    <w:p w14:paraId="0723832E" w14:textId="77777777" w:rsidR="00E41F8A" w:rsidRPr="00C55BDE" w:rsidRDefault="00E41F8A" w:rsidP="00E41F8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 xml:space="preserve">Respuesta: </w:t>
      </w:r>
    </w:p>
    <w:p w14:paraId="786C2106" w14:textId="77777777" w:rsidR="00E41F8A" w:rsidRPr="00C55BDE" w:rsidRDefault="00E41F8A" w:rsidP="00E41F8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41F8A" w:rsidRPr="00C55BDE" w14:paraId="7B0313E5" w14:textId="77777777" w:rsidTr="00E30C97">
        <w:tc>
          <w:tcPr>
            <w:tcW w:w="8828" w:type="dxa"/>
          </w:tcPr>
          <w:p w14:paraId="673BCE8D" w14:textId="77777777" w:rsidR="00E41F8A" w:rsidRDefault="00E41F8A" w:rsidP="00E30C97">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Las restricciones consagradas en la Ley de Garantías Electorales se dirigen a dos (2) tipos de campañas electorales claramente diferenciadas: las presidenciales y las demás que se adelanten para la elección de los demás cargos de elección popular, tanto a nivel nacional como territorial.</w:t>
            </w:r>
          </w:p>
          <w:p w14:paraId="7C6FDC4C" w14:textId="77777777" w:rsidR="00E41F8A" w:rsidRDefault="00E41F8A" w:rsidP="00E30C97">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A635115" w14:textId="77777777" w:rsidR="00E41F8A" w:rsidRDefault="00E41F8A" w:rsidP="00E30C97">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rPr>
              <w:t>”</w:t>
            </w:r>
            <w:r>
              <w:rPr>
                <w:rFonts w:ascii="Verdana" w:eastAsia="Calibri" w:hAnsi="Verdana" w:cs="Arial"/>
                <w:lang w:val="es-MX"/>
              </w:rPr>
              <w:t>.</w:t>
            </w:r>
            <w:r>
              <w:rPr>
                <w:rFonts w:ascii="Verdana" w:eastAsia="Arial" w:hAnsi="Verdana" w:cs="Arial"/>
                <w:lang w:val="es-ES" w:eastAsia="es-ES" w:bidi="es-ES"/>
              </w:rPr>
              <w:t xml:space="preserve"> </w:t>
            </w:r>
          </w:p>
          <w:p w14:paraId="7F2A8E08" w14:textId="77777777" w:rsidR="00E41F8A" w:rsidRDefault="00E41F8A" w:rsidP="00E30C97">
            <w:pPr>
              <w:spacing w:before="120" w:after="120" w:line="276" w:lineRule="auto"/>
              <w:ind w:firstLine="743"/>
              <w:jc w:val="both"/>
              <w:rPr>
                <w:rFonts w:ascii="Verdana" w:hAnsi="Verdana" w:cs="Arial"/>
                <w:shd w:val="clear" w:color="auto" w:fill="FFFFFF"/>
              </w:rPr>
            </w:pPr>
            <w:r>
              <w:rPr>
                <w:rFonts w:ascii="Verdana" w:eastAsia="Calibri" w:hAnsi="Verdana" w:cs="Arial"/>
                <w:lang w:val="es-ES"/>
              </w:rPr>
              <w:t xml:space="preserve">Ahora bien, </w:t>
            </w:r>
            <w:r>
              <w:rPr>
                <w:rFonts w:ascii="Verdana" w:eastAsia="Times New Roman" w:hAnsi="Verdana" w:cs="Arial"/>
                <w:bCs/>
                <w:lang w:val="es-MX" w:eastAsia="x-none"/>
              </w:rPr>
              <w:t xml:space="preserve">para efectos de dar respuesta concreta al problema jurídico planteado, es pertinente precisar que </w:t>
            </w:r>
            <w:r>
              <w:rPr>
                <w:rFonts w:ascii="Verdana" w:hAnsi="Verdana" w:cs="Arial"/>
                <w:shd w:val="clear" w:color="auto" w:fill="FFFFFF"/>
              </w:rPr>
              <w:t>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1E97CF54" w14:textId="77777777" w:rsidR="00E41F8A" w:rsidRPr="00E402D5" w:rsidRDefault="00E41F8A" w:rsidP="00E30C97">
            <w:pPr>
              <w:tabs>
                <w:tab w:val="left" w:pos="709"/>
              </w:tabs>
              <w:spacing w:after="120" w:line="276" w:lineRule="auto"/>
              <w:ind w:firstLine="709"/>
              <w:jc w:val="both"/>
              <w:rPr>
                <w:rFonts w:ascii="Verdana" w:eastAsia="Calibri" w:hAnsi="Verdana" w:cs="Arial"/>
                <w:lang w:val="es-ES"/>
              </w:rPr>
            </w:pPr>
            <w:r w:rsidRPr="00D92626">
              <w:rPr>
                <w:rFonts w:ascii="Verdana" w:eastAsia="Calibri" w:hAnsi="Verdana" w:cs="Arial"/>
                <w:lang w:val="es-ES"/>
              </w:rPr>
              <w:t>En este sentido,</w:t>
            </w:r>
            <w:r>
              <w:rPr>
                <w:rFonts w:ascii="Verdana" w:eastAsia="Calibri" w:hAnsi="Verdana" w:cs="Arial"/>
                <w:lang w:val="es-ES"/>
              </w:rPr>
              <w:t xml:space="preserve"> debido a que el SECOP I no cuenta con la función transaccional del SECOP II, el trámite de creación y publicidad del expediente contractual no es concomitante, siendo necesario cargar la documentación </w:t>
            </w:r>
            <w:r>
              <w:rPr>
                <w:rFonts w:ascii="Verdana" w:eastAsia="Calibri" w:hAnsi="Verdana" w:cs="Arial"/>
                <w:lang w:val="es-ES"/>
              </w:rPr>
              <w:lastRenderedPageBreak/>
              <w:t xml:space="preserve">respectiva una vez esta se produce, para efectos de publicidad.  </w:t>
            </w:r>
            <w:r w:rsidRPr="007E0C8D">
              <w:rPr>
                <w:rFonts w:ascii="Verdana" w:eastAsia="Calibri" w:hAnsi="Verdana" w:cs="Arial"/>
                <w:lang w:val="es-ES"/>
              </w:rPr>
              <w:t>No obstante, lo anterior no implica que la entidad pueda efectuar dicha public</w:t>
            </w:r>
            <w:r>
              <w:rPr>
                <w:rFonts w:ascii="Verdana" w:eastAsia="Calibri" w:hAnsi="Verdana" w:cs="Arial"/>
                <w:lang w:val="es-ES"/>
              </w:rPr>
              <w:t>idad</w:t>
            </w:r>
            <w:r w:rsidRPr="007E0C8D">
              <w:rPr>
                <w:rFonts w:ascii="Verdana" w:eastAsia="Calibri" w:hAnsi="Verdana" w:cs="Arial"/>
                <w:lang w:val="es-ES"/>
              </w:rPr>
              <w:t xml:space="preserve"> en cualquier momento, toda vez que </w:t>
            </w:r>
            <w:r w:rsidRPr="00E402D5">
              <w:rPr>
                <w:rFonts w:ascii="Verdana" w:eastAsia="Calibri" w:hAnsi="Verdana" w:cs="Arial"/>
                <w:lang w:val="es-ES"/>
              </w:rPr>
              <w:t xml:space="preserve">conforme al artículo 2.2.1.1.1.7.1 del Decreto 1082 de 2015, </w:t>
            </w:r>
            <w:r>
              <w:rPr>
                <w:rFonts w:ascii="Verdana" w:eastAsia="Calibri" w:hAnsi="Verdana" w:cs="Arial"/>
                <w:lang w:val="es-ES"/>
              </w:rPr>
              <w:t xml:space="preserve">las entidades estatales </w:t>
            </w:r>
            <w:r w:rsidRPr="00E402D5">
              <w:rPr>
                <w:rFonts w:ascii="Verdana" w:eastAsia="Calibri" w:hAnsi="Verdana" w:cs="Arial"/>
                <w:lang w:val="es-ES"/>
              </w:rPr>
              <w:t xml:space="preserve">tienen la obligación de publicar en el SECOP “[…] los Documentos del Proceso y los actos administrativos del Proceso de Contratación, dentro de los </w:t>
            </w:r>
            <w:r w:rsidRPr="00D0435F">
              <w:rPr>
                <w:rFonts w:ascii="Verdana" w:eastAsia="Calibri" w:hAnsi="Verdana" w:cs="Arial"/>
                <w:i/>
                <w:iCs/>
                <w:lang w:val="es-ES"/>
              </w:rPr>
              <w:t xml:space="preserve">tres (3) días siguientes a su expedición […]”. </w:t>
            </w:r>
          </w:p>
          <w:p w14:paraId="40F99E43" w14:textId="77777777" w:rsidR="00E41F8A" w:rsidRPr="00FB012D" w:rsidRDefault="00E41F8A" w:rsidP="00E30C97">
            <w:pPr>
              <w:spacing w:after="120" w:line="276" w:lineRule="auto"/>
              <w:ind w:firstLine="709"/>
              <w:jc w:val="both"/>
              <w:rPr>
                <w:rFonts w:ascii="Verdana" w:eastAsia="Calibri" w:hAnsi="Verdana" w:cs="Arial"/>
              </w:rPr>
            </w:pPr>
            <w:r w:rsidRPr="00D16B34">
              <w:rPr>
                <w:rFonts w:ascii="Verdana" w:eastAsia="Calibri" w:hAnsi="Verdana" w:cs="Arial"/>
                <w:lang w:val="es-ES"/>
              </w:rPr>
              <w:t xml:space="preserve">En consecuencia, </w:t>
            </w:r>
            <w:r>
              <w:rPr>
                <w:rFonts w:ascii="Verdana" w:eastAsia="Calibri" w:hAnsi="Verdana" w:cs="Arial"/>
                <w:lang w:val="es-ES"/>
              </w:rPr>
              <w:t xml:space="preserve">en atención a la consulta planteada, </w:t>
            </w:r>
            <w:r w:rsidRPr="00D16B34">
              <w:rPr>
                <w:rFonts w:ascii="Verdana" w:eastAsia="Calibri" w:hAnsi="Verdana" w:cs="Arial"/>
                <w:lang w:val="es-ES"/>
              </w:rPr>
              <w:t xml:space="preserve">tratándose de procesos gestionados en SECOP I, </w:t>
            </w:r>
            <w:r>
              <w:rPr>
                <w:rFonts w:ascii="Verdana" w:eastAsia="Calibri" w:hAnsi="Verdana" w:cs="Arial"/>
                <w:lang w:val="es-ES"/>
              </w:rPr>
              <w:t xml:space="preserve">la celebración del contrato </w:t>
            </w:r>
            <w:r w:rsidRPr="00D16B34">
              <w:rPr>
                <w:rFonts w:ascii="Verdana" w:eastAsia="Calibri" w:hAnsi="Verdana" w:cs="Arial"/>
                <w:lang w:val="es-ES"/>
              </w:rPr>
              <w:t>debe realizarse antes de la entrada en vigencia de las restricciones previstas en la Ley de Garantías</w:t>
            </w:r>
            <w:r>
              <w:rPr>
                <w:rFonts w:ascii="Verdana" w:eastAsia="Calibri" w:hAnsi="Verdana" w:cs="Arial"/>
                <w:lang w:val="es-ES"/>
              </w:rPr>
              <w:t xml:space="preserve"> Electorales</w:t>
            </w:r>
            <w:r w:rsidRPr="00D16B34">
              <w:rPr>
                <w:rFonts w:ascii="Verdana" w:eastAsia="Calibri" w:hAnsi="Verdana" w:cs="Arial"/>
                <w:lang w:val="es-ES"/>
              </w:rPr>
              <w:t xml:space="preserve">. </w:t>
            </w:r>
            <w:r>
              <w:rPr>
                <w:rFonts w:ascii="Verdana" w:eastAsia="Calibri" w:hAnsi="Verdana" w:cs="Arial"/>
                <w:lang w:val="es-ES"/>
              </w:rPr>
              <w:t xml:space="preserve">Conforme se explicó, el concepto de </w:t>
            </w:r>
            <w:r w:rsidRPr="00D16B34">
              <w:rPr>
                <w:rFonts w:ascii="Verdana" w:eastAsia="Calibri" w:hAnsi="Verdana" w:cs="Arial"/>
                <w:lang w:val="es-ES"/>
              </w:rPr>
              <w:t xml:space="preserve">“celebrar” para efectos de las restricciones a la contratación previstas </w:t>
            </w:r>
            <w:r>
              <w:rPr>
                <w:rFonts w:ascii="Verdana" w:eastAsia="Calibri" w:hAnsi="Verdana" w:cs="Arial"/>
                <w:lang w:val="es-ES"/>
              </w:rPr>
              <w:t xml:space="preserve">en </w:t>
            </w:r>
            <w:r w:rsidRPr="00D16B34">
              <w:rPr>
                <w:rFonts w:ascii="Verdana" w:eastAsia="Calibri" w:hAnsi="Verdana" w:cs="Arial"/>
                <w:lang w:val="es-ES"/>
              </w:rPr>
              <w:t xml:space="preserve">la Ley de Garantías Electorales se asocia al momento del perfeccionamiento del contrato estatal, </w:t>
            </w:r>
            <w:r>
              <w:rPr>
                <w:rFonts w:ascii="Verdana" w:eastAsia="Calibri" w:hAnsi="Verdana" w:cs="Arial"/>
                <w:lang w:val="es-ES"/>
              </w:rPr>
              <w:t xml:space="preserve">de conformidad con lo dispuesto en el artículo 41 de la Ley 80 de 1993, esto es, que </w:t>
            </w:r>
            <w:r>
              <w:rPr>
                <w:rFonts w:ascii="Verdana" w:eastAsia="Calibri" w:hAnsi="Verdana" w:cs="Arial"/>
              </w:rPr>
              <w:t>exista</w:t>
            </w:r>
            <w:r w:rsidRPr="00467A2E">
              <w:rPr>
                <w:rFonts w:ascii="Verdana" w:eastAsia="Calibri" w:hAnsi="Verdana" w:cs="Arial"/>
              </w:rPr>
              <w:t xml:space="preserve"> acuerdo sobre el objeto y la contraprestación y </w:t>
            </w:r>
            <w:r>
              <w:rPr>
                <w:rFonts w:ascii="Verdana" w:eastAsia="Calibri" w:hAnsi="Verdana" w:cs="Arial"/>
              </w:rPr>
              <w:t xml:space="preserve">este se </w:t>
            </w:r>
            <w:r w:rsidRPr="00467A2E">
              <w:rPr>
                <w:rFonts w:ascii="Verdana" w:eastAsia="Calibri" w:hAnsi="Verdana" w:cs="Arial"/>
              </w:rPr>
              <w:t>eleva a escrito.</w:t>
            </w:r>
          </w:p>
          <w:p w14:paraId="43393486" w14:textId="77777777" w:rsidR="00E41F8A" w:rsidRDefault="00E41F8A" w:rsidP="00E30C97">
            <w:pPr>
              <w:spacing w:after="120" w:line="276" w:lineRule="auto"/>
              <w:ind w:firstLine="567"/>
              <w:jc w:val="both"/>
              <w:rPr>
                <w:rFonts w:ascii="Verdana" w:eastAsia="Calibri" w:hAnsi="Verdana" w:cs="Arial"/>
                <w:lang w:val="es-ES"/>
              </w:rPr>
            </w:pPr>
            <w:r w:rsidRPr="00D16B34">
              <w:rPr>
                <w:rFonts w:ascii="Verdana" w:eastAsia="Calibri" w:hAnsi="Verdana" w:cs="Arial"/>
                <w:lang w:val="es-ES"/>
              </w:rPr>
              <w:t>De lo contrario, si el perfeccionamiento</w:t>
            </w:r>
            <w:r>
              <w:rPr>
                <w:rFonts w:ascii="Verdana" w:eastAsia="Calibri" w:hAnsi="Verdana" w:cs="Arial"/>
                <w:lang w:val="es-ES"/>
              </w:rPr>
              <w:t xml:space="preserve">, es decir, si la celebración del contrato </w:t>
            </w:r>
            <w:r w:rsidRPr="00D16B34">
              <w:rPr>
                <w:rFonts w:ascii="Verdana" w:eastAsia="Calibri" w:hAnsi="Verdana" w:cs="Arial"/>
                <w:lang w:val="es-ES"/>
              </w:rPr>
              <w:t>se produce cuando ya se encuentra vigente la prohibición establecida en el artículo 33</w:t>
            </w:r>
            <w:r>
              <w:rPr>
                <w:rFonts w:ascii="Verdana" w:eastAsia="Calibri" w:hAnsi="Verdana" w:cs="Arial"/>
                <w:lang w:val="es-ES"/>
              </w:rPr>
              <w:t xml:space="preserve"> ibidem</w:t>
            </w:r>
            <w:r w:rsidRPr="00D16B34">
              <w:rPr>
                <w:rFonts w:ascii="Verdana" w:eastAsia="Calibri" w:hAnsi="Verdana" w:cs="Arial"/>
                <w:lang w:val="es-ES"/>
              </w:rPr>
              <w:t xml:space="preserve">, </w:t>
            </w:r>
            <w:r>
              <w:rPr>
                <w:rFonts w:ascii="Verdana" w:eastAsia="Calibri" w:hAnsi="Verdana" w:cs="Arial"/>
                <w:lang w:val="es-ES"/>
              </w:rPr>
              <w:t xml:space="preserve">se entiende </w:t>
            </w:r>
            <w:r w:rsidRPr="00D16B34">
              <w:rPr>
                <w:rFonts w:ascii="Verdana" w:eastAsia="Calibri" w:hAnsi="Verdana" w:cs="Arial"/>
                <w:lang w:val="es-ES"/>
              </w:rPr>
              <w:t xml:space="preserve">que el contrato fue celebrado en vigencia de dicha restricción, con las consecuencias jurídicas a que haya lugar, sin que resulte suficiente que etapas previas del proceso se hubieren </w:t>
            </w:r>
            <w:r>
              <w:rPr>
                <w:rFonts w:ascii="Verdana" w:eastAsia="Calibri" w:hAnsi="Verdana" w:cs="Arial"/>
                <w:lang w:val="es-ES"/>
              </w:rPr>
              <w:t xml:space="preserve">publicado </w:t>
            </w:r>
            <w:r w:rsidRPr="00D16B34">
              <w:rPr>
                <w:rFonts w:ascii="Verdana" w:eastAsia="Calibri" w:hAnsi="Verdana" w:cs="Arial"/>
                <w:lang w:val="es-ES"/>
              </w:rPr>
              <w:t>con anterioridad</w:t>
            </w:r>
            <w:r>
              <w:rPr>
                <w:rFonts w:ascii="Verdana" w:eastAsia="Calibri" w:hAnsi="Verdana" w:cs="Arial"/>
                <w:lang w:val="es-ES"/>
              </w:rPr>
              <w:t xml:space="preserve"> en dicha plataforma. </w:t>
            </w:r>
          </w:p>
          <w:p w14:paraId="04A0DDC3" w14:textId="77777777" w:rsidR="00E41F8A" w:rsidRPr="00582210" w:rsidRDefault="00E41F8A" w:rsidP="00E30C97">
            <w:pPr>
              <w:spacing w:after="120" w:line="276" w:lineRule="auto"/>
              <w:ind w:firstLine="709"/>
              <w:jc w:val="both"/>
              <w:rPr>
                <w:rFonts w:ascii="Verdana" w:hAnsi="Verdana" w:cs="Arial"/>
                <w:lang w:val="es-ES" w:eastAsia="es-CO"/>
              </w:rPr>
            </w:pPr>
            <w:r>
              <w:rPr>
                <w:rFonts w:ascii="Verdana" w:eastAsia="Calibri" w:hAnsi="Verdana" w:cs="Arial"/>
                <w:lang w:val="es-ES"/>
              </w:rPr>
              <w:t>Bajo estas consideraciones, el contrato se debe perfeccionar antes de la entrada en vigencia de la Ley de Garantías Electorales y la publicación en el SECOP I debe realizarse dentro del plazo de 3 días hábiles siguientes a su expedición conforme lo previsto en el artículo 2.2.1.1.1.7.1 del Decreto 1082 de 2015. En este escenario, la publicación no estaría cobijada por las restricciones contempladas en los artículos 33 y 38 de la Ley de Gara</w:t>
            </w:r>
            <w:r>
              <w:rPr>
                <w:rFonts w:ascii="Verdana" w:eastAsia="Times New Roman" w:hAnsi="Verdana" w:cs="Arial"/>
                <w:bCs/>
                <w:lang w:val="es-ES" w:eastAsia="es-CO"/>
              </w:rPr>
              <w:t xml:space="preserve">ntías Electorales pues estas normas </w:t>
            </w:r>
            <w:r w:rsidRPr="098A54E3">
              <w:rPr>
                <w:rFonts w:ascii="Verdana" w:hAnsi="Verdana" w:cs="Arial"/>
                <w:lang w:val="es-ES" w:eastAsia="es-CO"/>
              </w:rPr>
              <w:t xml:space="preserve">prohíben la celebración de contratos directos y no su publicación, actuaciones que se surten por separado en la plataforma del SECOP I. Debe destacarse que las disposiciones normativas que establecen prohibiciones deben interpretarse restrictivamente, para no ampliar de manera injustificada sus supuestos de hecho a circunstancias que, en sentido lógico, no caben en aquellos. </w:t>
            </w:r>
          </w:p>
          <w:p w14:paraId="2A683697" w14:textId="77777777" w:rsidR="00E41F8A" w:rsidRPr="00E91F51" w:rsidRDefault="00E41F8A" w:rsidP="00E30C97">
            <w:pPr>
              <w:spacing w:after="120" w:line="276" w:lineRule="auto"/>
              <w:ind w:firstLine="708"/>
              <w:jc w:val="both"/>
              <w:rPr>
                <w:rFonts w:ascii="Verdana" w:eastAsia="Times New Roman" w:hAnsi="Verdana" w:cs="Arial"/>
                <w:bCs/>
                <w:lang w:val="es-ES" w:eastAsia="es-CO"/>
              </w:rPr>
            </w:pPr>
            <w:r>
              <w:rPr>
                <w:rFonts w:ascii="Verdana" w:eastAsia="Calibri" w:hAnsi="Verdana" w:cs="Arial"/>
                <w:lang w:val="es-ES"/>
              </w:rPr>
              <w:lastRenderedPageBreak/>
              <w:t xml:space="preserve">En todo caso, lo señalado no puede entenderse como una habilitación para que las entidades bajo el pretexto de publicar dentro de los 3 días hábiles siguientes, celebren contratos durante la vigencia de las restricciones de la Ley de Garantías Electorales con una apariencia de legalidad. Es importante resaltar que los contratos que se suscriban durante dicho periodo podrían estar viciados de nulidad de conformidad con </w:t>
            </w:r>
            <w:r>
              <w:rPr>
                <w:rFonts w:ascii="Verdana" w:eastAsia="Times New Roman" w:hAnsi="Verdana" w:cs="Arial"/>
                <w:bCs/>
                <w:lang w:val="es-ES" w:eastAsia="es-CO"/>
              </w:rPr>
              <w:t xml:space="preserve">lo dispuesto en el artículo 44 de la Ley 80 de 1993, sin perjuicio de las responsabilidades de tipo penal, disciplinario y fiscal que haya lugar. Adicionalmente, incumplimiento del deber legal de publicación dentro del término establecido en el </w:t>
            </w:r>
            <w:r>
              <w:rPr>
                <w:rFonts w:ascii="Verdana" w:eastAsia="Calibri" w:hAnsi="Verdana" w:cs="Arial"/>
                <w:lang w:val="es-ES"/>
              </w:rPr>
              <w:t>2.2.1.1.1.7.1 del Decreto 1082 de 2015, puede generar responsabilidades respectivas para el servidor público encargado.</w:t>
            </w:r>
          </w:p>
        </w:tc>
      </w:tr>
    </w:tbl>
    <w:p w14:paraId="401F3E9D" w14:textId="77777777" w:rsidR="00E41F8A" w:rsidRPr="00C55BDE" w:rsidRDefault="00E41F8A" w:rsidP="00E41F8A">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9B1E1C8" w14:textId="77777777" w:rsidR="00E41F8A" w:rsidRPr="00C55BDE" w:rsidRDefault="00E41F8A" w:rsidP="00E41F8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082F79D8" w14:textId="77777777" w:rsidR="00E41F8A" w:rsidRPr="00C55BDE" w:rsidRDefault="00E41F8A" w:rsidP="00E41F8A">
      <w:pPr>
        <w:spacing w:after="0" w:line="276" w:lineRule="auto"/>
        <w:jc w:val="both"/>
        <w:rPr>
          <w:rFonts w:ascii="Verdana" w:eastAsia="Calibri" w:hAnsi="Verdana" w:cs="Arial"/>
          <w:color w:val="000000" w:themeColor="text1"/>
          <w:lang w:val="es-ES"/>
        </w:rPr>
      </w:pPr>
    </w:p>
    <w:p w14:paraId="20621230" w14:textId="77777777" w:rsidR="00E41F8A" w:rsidRPr="00C55BDE" w:rsidRDefault="00E41F8A" w:rsidP="00E41F8A">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6D60702F" w14:textId="77777777" w:rsidR="00E41F8A" w:rsidRDefault="00E41F8A" w:rsidP="00E41F8A">
      <w:pPr>
        <w:tabs>
          <w:tab w:val="left" w:pos="426"/>
        </w:tabs>
        <w:spacing w:after="120" w:line="276" w:lineRule="auto"/>
        <w:jc w:val="both"/>
        <w:rPr>
          <w:rFonts w:ascii="Verdana" w:eastAsia="Times New Roman" w:hAnsi="Verdana" w:cs="Arial"/>
          <w:lang w:eastAsia="es-CO"/>
        </w:rPr>
      </w:pPr>
      <w:r>
        <w:rPr>
          <w:rFonts w:ascii="Verdana" w:eastAsia="Calibri" w:hAnsi="Verdana" w:cs="Arial"/>
        </w:rPr>
        <w:t>i. El ordenamiento jurídico colombiano contempla previsiones claras para evitar la obtención de beneficios personales en asuntos propios de la administración pública</w:t>
      </w:r>
      <w:r>
        <w:rPr>
          <w:rFonts w:ascii="Verdana" w:eastAsia="Calibri" w:hAnsi="Verdana" w:cs="Arial"/>
          <w:i/>
        </w:rPr>
        <w:t xml:space="preserve">. </w:t>
      </w:r>
      <w:r>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Pr>
          <w:rFonts w:ascii="Verdana" w:hAnsi="Verdana"/>
          <w:vertAlign w:val="superscript"/>
        </w:rPr>
        <w:footnoteReference w:id="1"/>
      </w:r>
      <w:r>
        <w:rPr>
          <w:rFonts w:ascii="Verdana" w:eastAsia="Calibri" w:hAnsi="Verdana" w:cs="Arial"/>
        </w:rPr>
        <w:t xml:space="preserve">. </w:t>
      </w:r>
    </w:p>
    <w:p w14:paraId="27BCB67C" w14:textId="77777777" w:rsidR="00E41F8A" w:rsidRDefault="00E41F8A" w:rsidP="00E41F8A">
      <w:pPr>
        <w:tabs>
          <w:tab w:val="left" w:pos="426"/>
        </w:tabs>
        <w:spacing w:after="0" w:line="276" w:lineRule="auto"/>
        <w:ind w:firstLine="709"/>
        <w:jc w:val="both"/>
        <w:rPr>
          <w:rFonts w:ascii="Verdana" w:eastAsia="Calibri" w:hAnsi="Verdana" w:cs="Arial"/>
          <w:lang w:val="es-ES_tradnl"/>
        </w:rPr>
      </w:pPr>
      <w:r>
        <w:rPr>
          <w:rFonts w:ascii="Verdana" w:eastAsia="Times New Roman" w:hAnsi="Verdana" w:cs="Arial"/>
          <w:lang w:eastAsia="es-CO"/>
        </w:rPr>
        <w:t>En el mismo sentido</w:t>
      </w:r>
      <w:r>
        <w:rPr>
          <w:rFonts w:ascii="Verdana" w:eastAsia="Times New Roman" w:hAnsi="Verdana" w:cs="Arial"/>
          <w:lang w:val="es-MX" w:eastAsia="es-CO"/>
        </w:rPr>
        <w:t xml:space="preserve">, </w:t>
      </w:r>
      <w:bookmarkStart w:id="1" w:name="_Hlk99576829"/>
      <w:r>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Pr>
          <w:rFonts w:ascii="Verdana" w:eastAsia="Times New Roman" w:hAnsi="Verdana" w:cs="Arial"/>
          <w:vertAlign w:val="superscript"/>
          <w:lang w:val="es-MX" w:eastAsia="es-CO"/>
        </w:rPr>
        <w:footnoteReference w:id="2"/>
      </w:r>
      <w:r>
        <w:rPr>
          <w:rFonts w:ascii="Verdana" w:eastAsia="Times New Roman" w:hAnsi="Verdana" w:cs="Arial"/>
          <w:lang w:val="es-MX" w:eastAsia="es-CO"/>
        </w:rPr>
        <w:t xml:space="preserve">. En esta medida, introduce limitaciones para realizar nombramientos, postulaciones, </w:t>
      </w:r>
      <w:r>
        <w:rPr>
          <w:rFonts w:ascii="Verdana" w:eastAsia="Times New Roman" w:hAnsi="Verdana" w:cs="Arial"/>
          <w:lang w:val="es-MX" w:eastAsia="es-CO"/>
        </w:rPr>
        <w:lastRenderedPageBreak/>
        <w:t>contrataciones o cualquier otro tipo de actividad que implique destinación de recursos públicos bajo el devenir propio de las Entidades Estatales.</w:t>
      </w:r>
      <w:r>
        <w:rPr>
          <w:rFonts w:ascii="Verdana" w:eastAsia="Calibri" w:hAnsi="Verdana" w:cs="Arial"/>
          <w:lang w:val="es-ES_tradnl"/>
        </w:rPr>
        <w:t xml:space="preserve"> </w:t>
      </w:r>
      <w:bookmarkEnd w:id="1"/>
      <w:r>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DB16CD2" w14:textId="77777777" w:rsidR="00E41F8A" w:rsidRDefault="00E41F8A" w:rsidP="00E41F8A">
      <w:pPr>
        <w:spacing w:after="0" w:line="276" w:lineRule="auto"/>
        <w:ind w:right="709"/>
        <w:contextualSpacing/>
        <w:jc w:val="both"/>
        <w:rPr>
          <w:rFonts w:ascii="Verdana" w:eastAsia="Times New Roman" w:hAnsi="Verdana" w:cs="Arial"/>
          <w:lang w:val="es-ES" w:eastAsia="es-CO"/>
        </w:rPr>
      </w:pPr>
    </w:p>
    <w:p w14:paraId="6AA8697C" w14:textId="77777777" w:rsidR="00E41F8A" w:rsidRDefault="00E41F8A" w:rsidP="00E41F8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ES" w:eastAsia="es-CO"/>
        </w:rPr>
        <w:t xml:space="preserve">“[…] </w:t>
      </w:r>
      <w:r>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9E3B8E6" w14:textId="77777777" w:rsidR="00E41F8A" w:rsidRDefault="00E41F8A" w:rsidP="00E41F8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0393D41" w14:textId="77777777" w:rsidR="00E41F8A" w:rsidRDefault="00E41F8A" w:rsidP="00E41F8A">
      <w:pPr>
        <w:spacing w:after="0" w:line="240" w:lineRule="auto"/>
        <w:ind w:left="709" w:right="709"/>
        <w:contextualSpacing/>
        <w:jc w:val="both"/>
        <w:rPr>
          <w:rFonts w:ascii="Verdana" w:eastAsia="Times New Roman" w:hAnsi="Verdana" w:cs="Arial"/>
          <w:sz w:val="12"/>
          <w:szCs w:val="12"/>
          <w:lang w:val="es-MX" w:eastAsia="es-CO"/>
        </w:rPr>
      </w:pPr>
    </w:p>
    <w:p w14:paraId="7EEF9717" w14:textId="77777777" w:rsidR="00E41F8A" w:rsidRDefault="00E41F8A" w:rsidP="00E41F8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Calibri" w:hAnsi="Verdana" w:cs="Arial"/>
          <w:sz w:val="20"/>
          <w:szCs w:val="20"/>
          <w:vertAlign w:val="superscript"/>
          <w:lang w:val="es-MX"/>
        </w:rPr>
        <w:footnoteReference w:id="3"/>
      </w:r>
    </w:p>
    <w:p w14:paraId="48843B33" w14:textId="77777777" w:rsidR="00E41F8A" w:rsidRDefault="00E41F8A" w:rsidP="00E41F8A">
      <w:pPr>
        <w:spacing w:after="0" w:line="276" w:lineRule="auto"/>
        <w:ind w:firstLine="709"/>
        <w:jc w:val="both"/>
        <w:rPr>
          <w:rFonts w:ascii="Verdana" w:eastAsia="Times New Roman" w:hAnsi="Verdana" w:cs="Arial"/>
          <w:lang w:val="es-MX" w:eastAsia="es-CO"/>
        </w:rPr>
      </w:pPr>
      <w:bookmarkStart w:id="2" w:name="_Hlk78818186"/>
    </w:p>
    <w:p w14:paraId="13DFF875" w14:textId="77777777" w:rsidR="00E41F8A" w:rsidRDefault="00E41F8A" w:rsidP="00E41F8A">
      <w:pPr>
        <w:spacing w:after="0" w:line="276" w:lineRule="auto"/>
        <w:ind w:firstLine="709"/>
        <w:jc w:val="both"/>
        <w:rPr>
          <w:rFonts w:ascii="Verdana" w:eastAsia="Times New Roman" w:hAnsi="Verdana" w:cs="Arial"/>
          <w:lang w:val="es-MX" w:eastAsia="es-CO"/>
        </w:rPr>
      </w:pPr>
      <w:r>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124B6DAF" w14:textId="77777777" w:rsidR="00E41F8A" w:rsidRDefault="00E41F8A" w:rsidP="00E41F8A">
      <w:pPr>
        <w:spacing w:after="0" w:line="276" w:lineRule="auto"/>
        <w:ind w:firstLine="709"/>
        <w:jc w:val="both"/>
        <w:rPr>
          <w:rFonts w:ascii="Verdana" w:eastAsia="Times New Roman" w:hAnsi="Verdana" w:cs="Arial"/>
          <w:lang w:val="es-MX" w:eastAsia="es-CO"/>
        </w:rPr>
      </w:pPr>
    </w:p>
    <w:p w14:paraId="72BB897E" w14:textId="77777777" w:rsidR="00E41F8A" w:rsidRDefault="00E41F8A" w:rsidP="00E41F8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Pr>
          <w:rFonts w:ascii="Verdana" w:eastAsia="Times New Roman" w:hAnsi="Verdana" w:cs="Arial"/>
          <w:sz w:val="20"/>
          <w:szCs w:val="20"/>
          <w:lang w:val="es-MX" w:eastAsia="es-CO"/>
        </w:rPr>
        <w:t>legis</w:t>
      </w:r>
      <w:proofErr w:type="spellEnd"/>
      <w:r>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F96AC73" w14:textId="77777777" w:rsidR="00E41F8A" w:rsidRDefault="00E41F8A" w:rsidP="00E41F8A">
      <w:pPr>
        <w:spacing w:after="0" w:line="240" w:lineRule="auto"/>
        <w:ind w:right="709"/>
        <w:contextualSpacing/>
        <w:jc w:val="both"/>
        <w:rPr>
          <w:rFonts w:ascii="Verdana" w:eastAsia="Times New Roman" w:hAnsi="Verdana" w:cs="Arial"/>
          <w:sz w:val="12"/>
          <w:szCs w:val="12"/>
          <w:lang w:val="es-MX" w:eastAsia="es-CO"/>
        </w:rPr>
      </w:pPr>
    </w:p>
    <w:p w14:paraId="72626D0C" w14:textId="77777777" w:rsidR="00E41F8A" w:rsidRDefault="00E41F8A" w:rsidP="00E41F8A">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La jurisprudencia de la Corte Constitucional</w:t>
      </w:r>
      <w:r>
        <w:rPr>
          <w:rFonts w:ascii="Verdana" w:eastAsia="Times New Roman" w:hAnsi="Verdana" w:cs="Arial"/>
          <w:sz w:val="20"/>
          <w:szCs w:val="20"/>
          <w:vertAlign w:val="superscript"/>
          <w:lang w:val="es-MX" w:eastAsia="es-CO"/>
        </w:rPr>
        <w:footnoteReference w:id="4"/>
      </w:r>
      <w:r>
        <w:rPr>
          <w:rFonts w:ascii="Verdana" w:eastAsia="Times New Roman" w:hAnsi="Verdana" w:cs="Arial"/>
          <w:sz w:val="20"/>
          <w:szCs w:val="20"/>
          <w:lang w:val="es-MX" w:eastAsia="es-CO"/>
        </w:rPr>
        <w:t> y del Consejo de Estado</w:t>
      </w:r>
      <w:r>
        <w:rPr>
          <w:rFonts w:ascii="Verdana" w:eastAsia="Times New Roman" w:hAnsi="Verdana" w:cs="Arial"/>
          <w:sz w:val="20"/>
          <w:szCs w:val="20"/>
          <w:vertAlign w:val="superscript"/>
          <w:lang w:val="es-MX" w:eastAsia="es-CO"/>
        </w:rPr>
        <w:footnoteReference w:id="5"/>
      </w:r>
      <w:r>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sz w:val="20"/>
          <w:szCs w:val="20"/>
          <w:vertAlign w:val="superscript"/>
          <w:lang w:val="es-MX" w:eastAsia="es-CO"/>
        </w:rPr>
        <w:footnoteReference w:id="6"/>
      </w:r>
      <w:r>
        <w:rPr>
          <w:rFonts w:ascii="Verdana" w:eastAsia="Times New Roman" w:hAnsi="Verdana" w:cs="Arial"/>
          <w:sz w:val="20"/>
          <w:szCs w:val="20"/>
          <w:lang w:val="es-MX" w:eastAsia="es-CO"/>
        </w:rPr>
        <w:t>.</w:t>
      </w:r>
    </w:p>
    <w:p w14:paraId="44FE6B2E" w14:textId="77777777" w:rsidR="00E41F8A" w:rsidRDefault="00E41F8A" w:rsidP="00E41F8A">
      <w:pPr>
        <w:spacing w:after="0" w:line="276" w:lineRule="auto"/>
        <w:jc w:val="both"/>
        <w:rPr>
          <w:rFonts w:ascii="Verdana" w:eastAsia="Calibri" w:hAnsi="Verdana" w:cs="Arial"/>
          <w:bCs/>
          <w:lang w:val="es-ES_tradnl"/>
        </w:rPr>
      </w:pPr>
    </w:p>
    <w:p w14:paraId="6F62AD6F" w14:textId="77777777" w:rsidR="00E41F8A" w:rsidRDefault="00E41F8A" w:rsidP="00E41F8A">
      <w:pPr>
        <w:spacing w:after="120" w:line="276" w:lineRule="auto"/>
        <w:ind w:firstLine="709"/>
        <w:jc w:val="both"/>
        <w:rPr>
          <w:rFonts w:ascii="Verdana" w:eastAsia="Arial" w:hAnsi="Verdana" w:cs="Arial"/>
          <w:lang w:val="es-ES" w:eastAsia="es-ES" w:bidi="es-ES"/>
        </w:rPr>
      </w:pPr>
      <w:r>
        <w:rPr>
          <w:rFonts w:ascii="Verdana" w:eastAsia="Times New Roman" w:hAnsi="Verdana" w:cs="Arial"/>
          <w:lang w:val="es-MX" w:eastAsia="es-CO"/>
        </w:rPr>
        <w:t>De</w:t>
      </w:r>
      <w:r>
        <w:rPr>
          <w:rFonts w:ascii="Verdana" w:eastAsia="Arial" w:hAnsi="Verdana" w:cs="Arial"/>
          <w:lang w:val="es-ES" w:eastAsia="es-ES" w:bidi="es-ES"/>
        </w:rPr>
        <w:t xml:space="preserve"> conformidad con lo anterior, </w:t>
      </w:r>
      <w:bookmarkStart w:id="3" w:name="_Hlk77236098"/>
      <w:bookmarkStart w:id="4" w:name="_Hlk100679383"/>
      <w:r>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7A4607A" w14:textId="77777777" w:rsidR="00E41F8A" w:rsidRDefault="00E41F8A" w:rsidP="00E41F8A">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w:t>
      </w:r>
      <w:proofErr w:type="spellEnd"/>
      <w:r>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38160A8D" w14:textId="77777777" w:rsidR="00E41F8A" w:rsidRDefault="00E41F8A" w:rsidP="00E41F8A">
      <w:pPr>
        <w:spacing w:after="120" w:line="276" w:lineRule="auto"/>
        <w:ind w:firstLine="708"/>
        <w:jc w:val="both"/>
        <w:rPr>
          <w:rFonts w:ascii="Verdana" w:eastAsia="Calibri" w:hAnsi="Verdana" w:cs="Arial"/>
        </w:rPr>
      </w:pPr>
      <w:r>
        <w:rPr>
          <w:rFonts w:ascii="Verdana" w:eastAsia="Calibri" w:hAnsi="Verdana" w:cs="Arial"/>
        </w:rPr>
        <w:t xml:space="preserve">Por un lado, el </w:t>
      </w:r>
      <w:r>
        <w:rPr>
          <w:rFonts w:ascii="Verdana" w:eastAsia="Calibri" w:hAnsi="Verdana" w:cs="Arial"/>
          <w:i/>
          <w:iCs/>
        </w:rPr>
        <w:t>artículo 33 de la Ley 996 de 2005</w:t>
      </w:r>
      <w:r>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Pr>
          <w:rFonts w:ascii="Verdana" w:eastAsia="Calibri" w:hAnsi="Verdana" w:cs="Arial"/>
        </w:rPr>
        <w:lastRenderedPageBreak/>
        <w:t>acciones terroristas, desastres naturales o casos de fuerza mayor, y los que deban realizar las entidades sanitarias y hospitalarias”</w:t>
      </w:r>
      <w:r>
        <w:rPr>
          <w:vertAlign w:val="superscript"/>
        </w:rPr>
        <w:footnoteReference w:id="7"/>
      </w:r>
      <w:r>
        <w:rPr>
          <w:rFonts w:ascii="Verdana" w:eastAsia="Calibri" w:hAnsi="Verdana" w:cs="Arial"/>
        </w:rPr>
        <w:t>.</w:t>
      </w:r>
    </w:p>
    <w:p w14:paraId="409FA215" w14:textId="77777777" w:rsidR="00E41F8A" w:rsidRDefault="00E41F8A" w:rsidP="00E41F8A">
      <w:pPr>
        <w:widowControl w:val="0"/>
        <w:autoSpaceDE w:val="0"/>
        <w:autoSpaceDN w:val="0"/>
        <w:spacing w:after="120" w:line="276" w:lineRule="auto"/>
        <w:ind w:right="113" w:firstLine="709"/>
        <w:jc w:val="both"/>
        <w:rPr>
          <w:rFonts w:ascii="Verdana" w:eastAsia="Arial" w:hAnsi="Verdana" w:cs="Arial"/>
          <w:lang w:val="es-ES" w:eastAsia="es-ES" w:bidi="es-ES"/>
        </w:rPr>
      </w:pPr>
      <w:r>
        <w:rPr>
          <w:rFonts w:ascii="Verdana" w:eastAsia="Calibri" w:hAnsi="Verdana" w:cs="Arial"/>
        </w:rPr>
        <w:t xml:space="preserve">Por otro lado, </w:t>
      </w:r>
      <w:r>
        <w:rPr>
          <w:rFonts w:ascii="Verdana" w:eastAsia="Calibri" w:hAnsi="Verdana" w:cs="Arial"/>
          <w:i/>
          <w:iCs/>
        </w:rPr>
        <w:t>el parágrafo del artículo 38 de la Ley 996 de 2005</w:t>
      </w:r>
      <w:r>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rPr>
        <w:t>”</w:t>
      </w:r>
      <w:bookmarkEnd w:id="4"/>
      <w:r>
        <w:rPr>
          <w:rFonts w:ascii="Verdana" w:eastAsia="Calibri" w:hAnsi="Verdana" w:cs="Arial"/>
          <w:vertAlign w:val="superscript"/>
        </w:rPr>
        <w:footnoteReference w:id="8"/>
      </w:r>
      <w:r>
        <w:rPr>
          <w:rFonts w:ascii="Verdana" w:eastAsia="Calibri" w:hAnsi="Verdana" w:cs="Arial"/>
          <w:lang w:val="es-MX"/>
        </w:rPr>
        <w:t>.</w:t>
      </w:r>
      <w:r>
        <w:rPr>
          <w:rFonts w:ascii="Verdana" w:eastAsia="Arial" w:hAnsi="Verdana" w:cs="Arial"/>
          <w:lang w:val="es-ES" w:eastAsia="es-ES" w:bidi="es-ES"/>
        </w:rPr>
        <w:t xml:space="preserve"> </w:t>
      </w:r>
    </w:p>
    <w:p w14:paraId="4719D7D2" w14:textId="77777777" w:rsidR="00E41F8A" w:rsidRDefault="00E41F8A" w:rsidP="00E41F8A">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Pr>
          <w:rFonts w:ascii="Verdana" w:eastAsia="Times New Roman" w:hAnsi="Verdana" w:cs="Arial"/>
          <w:bCs/>
          <w:lang w:eastAsia="es-CO"/>
        </w:rPr>
        <w:t>1. </w:t>
      </w:r>
      <w:r>
        <w:rPr>
          <w:rFonts w:ascii="Verdana" w:eastAsia="Times New Roman" w:hAnsi="Verdana" w:cs="Arial"/>
          <w:bCs/>
          <w:i/>
          <w:iCs/>
          <w:lang w:eastAsia="es-CO"/>
        </w:rPr>
        <w:t>Gral.</w:t>
      </w:r>
      <w:r>
        <w:rPr>
          <w:rFonts w:ascii="Verdana" w:eastAsia="Times New Roman" w:hAnsi="Verdana" w:cs="Arial"/>
          <w:bCs/>
          <w:lang w:eastAsia="es-CO"/>
        </w:rPr>
        <w:t xml:space="preserve"> Otorgar o firmar un contrato. 2. </w:t>
      </w:r>
      <w:proofErr w:type="spellStart"/>
      <w:r>
        <w:rPr>
          <w:rFonts w:ascii="Verdana" w:eastAsia="Times New Roman" w:hAnsi="Verdana" w:cs="Arial"/>
          <w:bCs/>
          <w:i/>
          <w:iCs/>
          <w:lang w:eastAsia="es-CO"/>
        </w:rPr>
        <w:t>Proc</w:t>
      </w:r>
      <w:proofErr w:type="spellEnd"/>
      <w:r>
        <w:rPr>
          <w:rFonts w:ascii="Verdana" w:eastAsia="Times New Roman" w:hAnsi="Verdana" w:cs="Arial"/>
          <w:bCs/>
          <w:i/>
          <w:iCs/>
          <w:lang w:eastAsia="es-CO"/>
        </w:rPr>
        <w:t>.</w:t>
      </w:r>
      <w:r>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4579651C" w14:textId="77777777" w:rsidR="00E41F8A" w:rsidRDefault="00E41F8A" w:rsidP="00E41F8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Pr>
          <w:rFonts w:ascii="Verdana" w:eastAsia="Times New Roman" w:hAnsi="Verdana" w:cs="Arial"/>
          <w:bCs/>
          <w:lang w:val="es-ES" w:eastAsia="es-CO"/>
        </w:rPr>
        <w:t xml:space="preserve">la existencia de los contratos estatales, es decir, la producción de efectos jurídicos en los términos del artículo 1501 </w:t>
      </w:r>
      <w:r>
        <w:rPr>
          <w:rFonts w:ascii="Verdana" w:eastAsia="Times New Roman" w:hAnsi="Verdana" w:cs="Arial"/>
          <w:bCs/>
          <w:i/>
          <w:lang w:val="es-ES" w:eastAsia="es-CO"/>
        </w:rPr>
        <w:t>ibidem</w:t>
      </w:r>
      <w:r>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w:t>
      </w:r>
      <w:r>
        <w:rPr>
          <w:rFonts w:ascii="Verdana" w:eastAsia="Times New Roman" w:hAnsi="Verdana" w:cs="Arial"/>
          <w:bCs/>
          <w:lang w:val="es-ES" w:eastAsia="es-CO"/>
        </w:rPr>
        <w:lastRenderedPageBreak/>
        <w:t xml:space="preserve">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5D28CA7F" w14:textId="77777777" w:rsidR="00E41F8A" w:rsidRDefault="00E41F8A" w:rsidP="00E41F8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00ED567D" w14:textId="77777777" w:rsidR="00E41F8A" w:rsidRDefault="00E41F8A" w:rsidP="00E41F8A">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Pr>
          <w:rFonts w:ascii="Verdana" w:eastAsia="Times New Roman" w:hAnsi="Verdana" w:cs="Arial"/>
          <w:bCs/>
          <w:vertAlign w:val="superscript"/>
          <w:lang w:val="es-MX" w:eastAsia="es-CO"/>
        </w:rPr>
        <w:footnoteReference w:id="9"/>
      </w:r>
      <w:r>
        <w:rPr>
          <w:rFonts w:ascii="Verdana" w:eastAsia="Times New Roman" w:hAnsi="Verdana" w:cs="Arial"/>
          <w:bCs/>
          <w:lang w:val="es-MX" w:eastAsia="es-CO"/>
        </w:rPr>
        <w:t xml:space="preserve">. </w:t>
      </w:r>
    </w:p>
    <w:p w14:paraId="2C1B9F8D" w14:textId="77777777" w:rsidR="00E41F8A" w:rsidRDefault="00E41F8A" w:rsidP="00E41F8A">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3AC4A929" w14:textId="77777777" w:rsidR="00E41F8A" w:rsidRDefault="00E41F8A" w:rsidP="00E41F8A">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259A4D12" w14:textId="77777777" w:rsidR="00E41F8A" w:rsidRDefault="00E41F8A" w:rsidP="00E41F8A">
      <w:pPr>
        <w:widowControl w:val="0"/>
        <w:autoSpaceDE w:val="0"/>
        <w:autoSpaceDN w:val="0"/>
        <w:spacing w:after="0" w:line="240" w:lineRule="auto"/>
        <w:ind w:left="709" w:right="709"/>
        <w:jc w:val="both"/>
        <w:rPr>
          <w:rFonts w:ascii="Verdana" w:eastAsia="Arial" w:hAnsi="Verdana" w:cs="Arial"/>
          <w:sz w:val="20"/>
          <w:szCs w:val="20"/>
          <w:lang w:eastAsia="es-ES" w:bidi="es-ES"/>
        </w:rPr>
      </w:pPr>
      <w:r>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Pr>
          <w:rFonts w:ascii="Verdana" w:eastAsia="Arial" w:hAnsi="Verdana" w:cs="Arial"/>
          <w:sz w:val="20"/>
          <w:szCs w:val="20"/>
          <w:lang w:eastAsia="es-ES" w:bidi="es-ES"/>
        </w:rPr>
        <w:t>se integran parcialmente</w:t>
      </w:r>
      <w:bookmarkEnd w:id="7"/>
      <w:r>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Pr>
          <w:rFonts w:ascii="Verdana" w:eastAsia="Arial" w:hAnsi="Verdana" w:cs="Arial"/>
          <w:sz w:val="20"/>
          <w:szCs w:val="20"/>
          <w:lang w:eastAsia="es-ES" w:bidi="es-ES"/>
        </w:rPr>
        <w:lastRenderedPageBreak/>
        <w:t>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eastAsia="es-ES" w:bidi="es-ES"/>
        </w:rPr>
        <w:footnoteReference w:id="10"/>
      </w:r>
    </w:p>
    <w:p w14:paraId="2B8B6C21" w14:textId="77777777" w:rsidR="00E41F8A" w:rsidRDefault="00E41F8A" w:rsidP="00E41F8A">
      <w:pPr>
        <w:widowControl w:val="0"/>
        <w:autoSpaceDE w:val="0"/>
        <w:autoSpaceDN w:val="0"/>
        <w:spacing w:line="276" w:lineRule="auto"/>
        <w:contextualSpacing/>
        <w:rPr>
          <w:rFonts w:ascii="Verdana" w:eastAsia="Arial" w:hAnsi="Verdana" w:cs="Arial"/>
          <w:lang w:val="es-ES" w:eastAsia="es-ES" w:bidi="es-ES"/>
        </w:rPr>
      </w:pPr>
    </w:p>
    <w:p w14:paraId="1EBFF77F" w14:textId="77777777" w:rsidR="00E41F8A" w:rsidRDefault="00E41F8A" w:rsidP="00E41F8A">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Pr>
          <w:rFonts w:ascii="Verdana" w:eastAsia="Arial" w:hAnsi="Verdana" w:cs="Arial"/>
          <w:lang w:val="es-ES" w:eastAsia="es-ES" w:bidi="es-ES"/>
        </w:rPr>
        <w:t xml:space="preserve">la Ley 996 de 2005 establece dos (2) tipos de restricciones en materia de contratación, las cuales coinciden parcialmente. </w:t>
      </w:r>
      <w:r>
        <w:rPr>
          <w:rFonts w:ascii="Verdana" w:eastAsia="Arial" w:hAnsi="Verdana" w:cs="Arial"/>
          <w:i/>
          <w:lang w:val="es-ES" w:eastAsia="es-ES" w:bidi="es-ES"/>
        </w:rPr>
        <w:t>En primer lugar</w:t>
      </w:r>
      <w:r>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Pr>
          <w:rFonts w:ascii="Verdana" w:eastAsia="Arial" w:hAnsi="Verdana" w:cs="Arial"/>
          <w:i/>
          <w:lang w:val="es-ES" w:eastAsia="es-ES" w:bidi="es-ES"/>
        </w:rPr>
        <w:t>En segundo lugar</w:t>
      </w:r>
      <w:r>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45867DE1" w14:textId="77777777" w:rsidR="00E41F8A" w:rsidRDefault="00E41F8A" w:rsidP="00E41F8A">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53980A29" w14:textId="77777777" w:rsidR="00E41F8A" w:rsidRDefault="00E41F8A" w:rsidP="00E41F8A">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Pr>
          <w:rFonts w:ascii="Verdana" w:eastAsia="Arial" w:hAnsi="Verdana" w:cs="Arial"/>
          <w:lang w:val="es-ES" w:eastAsia="es-ES" w:bidi="es-ES"/>
        </w:rPr>
        <w:lastRenderedPageBreak/>
        <w:t xml:space="preserve">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0ACAB68B" w14:textId="77777777" w:rsidR="00E41F8A" w:rsidRPr="004802F4" w:rsidRDefault="00E41F8A" w:rsidP="00E41F8A">
      <w:pPr>
        <w:spacing w:after="120" w:line="276" w:lineRule="auto"/>
        <w:jc w:val="both"/>
        <w:rPr>
          <w:rFonts w:ascii="Verdana" w:eastAsia="Arial" w:hAnsi="Verdana" w:cs="Arial"/>
          <w:lang w:val="es-ES" w:eastAsia="es-ES" w:bidi="es-ES"/>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 xml:space="preserve">. </w:t>
      </w:r>
      <w:r>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Pr>
          <w:rFonts w:ascii="Verdana" w:eastAsia="Times New Roman" w:hAnsi="Verdana" w:cs="Arial"/>
          <w:bCs/>
          <w:lang w:val="es-MX" w:eastAsia="x-none"/>
        </w:rPr>
        <w:t xml:space="preserve">. </w:t>
      </w:r>
      <w:r>
        <w:rPr>
          <w:rFonts w:ascii="Verdana" w:eastAsia="Times New Roman" w:hAnsi="Verdana" w:cs="Arial"/>
          <w:lang w:val="es-MX" w:eastAsia="es-CO"/>
        </w:rPr>
        <w:t xml:space="preserve"> A propósito de </w:t>
      </w:r>
      <w:r>
        <w:rPr>
          <w:rFonts w:ascii="Verdana" w:eastAsia="Times New Roman" w:hAnsi="Verdana" w:cs="Arial"/>
          <w:lang w:eastAsia="es-CO"/>
        </w:rPr>
        <w:t>esta restricción de la Ley de Garantías Electorales, la Sala de Consulta y Servicio Civil del Consejo de Estado ha considerado que:</w:t>
      </w:r>
    </w:p>
    <w:p w14:paraId="1DC99856" w14:textId="77777777" w:rsidR="00E41F8A" w:rsidRDefault="00E41F8A" w:rsidP="00E41F8A">
      <w:pPr>
        <w:spacing w:after="0" w:line="276" w:lineRule="auto"/>
        <w:ind w:left="708" w:right="709"/>
        <w:jc w:val="both"/>
        <w:rPr>
          <w:rFonts w:ascii="Verdana" w:eastAsia="Calibri" w:hAnsi="Verdana" w:cs="Arial"/>
          <w:lang w:val="es-MX"/>
        </w:rPr>
      </w:pPr>
    </w:p>
    <w:p w14:paraId="59E5EAAA" w14:textId="77777777" w:rsidR="00E41F8A" w:rsidRDefault="00E41F8A" w:rsidP="00E41F8A">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eastAsia="Times New Roman" w:hAnsi="Verdana" w:cs="Arial"/>
          <w:sz w:val="20"/>
          <w:szCs w:val="20"/>
          <w:vertAlign w:val="superscript"/>
          <w:lang w:eastAsia="es-CO"/>
        </w:rPr>
        <w:footnoteReference w:id="11"/>
      </w:r>
      <w:r>
        <w:rPr>
          <w:rFonts w:ascii="Verdana" w:eastAsia="Calibri" w:hAnsi="Verdana" w:cs="Arial"/>
          <w:sz w:val="20"/>
          <w:szCs w:val="20"/>
          <w:lang w:val="es-MX"/>
        </w:rPr>
        <w:t>.</w:t>
      </w:r>
    </w:p>
    <w:p w14:paraId="64686A46" w14:textId="77777777" w:rsidR="00E41F8A" w:rsidRDefault="00E41F8A" w:rsidP="00E41F8A">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eastAsia="Times New Roman" w:hAnsi="Verdana" w:cs="Arial"/>
          <w:sz w:val="20"/>
          <w:szCs w:val="20"/>
          <w:vertAlign w:val="superscript"/>
          <w:lang w:val="es-MX"/>
        </w:rPr>
        <w:footnoteReference w:id="12"/>
      </w:r>
      <w:r>
        <w:rPr>
          <w:rFonts w:ascii="Verdana" w:eastAsia="Times New Roman" w:hAnsi="Verdana" w:cs="Arial"/>
          <w:sz w:val="20"/>
          <w:szCs w:val="20"/>
          <w:vertAlign w:val="superscript"/>
          <w:lang w:val="es-MX"/>
        </w:rPr>
        <w:t>.</w:t>
      </w:r>
      <w:r>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Times New Roman" w:hAnsi="Verdana" w:cs="Arial"/>
          <w:sz w:val="20"/>
          <w:szCs w:val="20"/>
          <w:vertAlign w:val="superscript"/>
          <w:lang w:eastAsia="es-CO"/>
        </w:rPr>
        <w:footnoteReference w:id="13"/>
      </w:r>
      <w:r>
        <w:rPr>
          <w:rFonts w:ascii="Verdana" w:eastAsia="Calibri" w:hAnsi="Verdana" w:cs="Arial"/>
          <w:sz w:val="20"/>
          <w:szCs w:val="20"/>
          <w:lang w:val="es-MX"/>
        </w:rPr>
        <w:t>.</w:t>
      </w:r>
    </w:p>
    <w:p w14:paraId="14C1FC90" w14:textId="77777777" w:rsidR="00E41F8A" w:rsidRDefault="00E41F8A" w:rsidP="00E41F8A">
      <w:pPr>
        <w:shd w:val="clear" w:color="auto" w:fill="FFFFFF"/>
        <w:spacing w:after="0" w:line="276" w:lineRule="auto"/>
        <w:ind w:firstLine="709"/>
        <w:jc w:val="both"/>
        <w:rPr>
          <w:rFonts w:ascii="Verdana" w:eastAsia="Times New Roman" w:hAnsi="Verdana" w:cs="Arial"/>
          <w:lang w:eastAsia="x-none"/>
        </w:rPr>
      </w:pPr>
    </w:p>
    <w:p w14:paraId="7102E0D3" w14:textId="77777777" w:rsidR="00E41F8A" w:rsidRDefault="00E41F8A" w:rsidP="00E41F8A">
      <w:pPr>
        <w:spacing w:after="120" w:line="276" w:lineRule="auto"/>
        <w:ind w:firstLine="708"/>
        <w:jc w:val="both"/>
        <w:rPr>
          <w:rFonts w:ascii="Verdana" w:eastAsia="Times New Roman" w:hAnsi="Verdana" w:cs="Arial"/>
          <w:bCs/>
          <w:lang w:eastAsia="x-none"/>
        </w:rPr>
      </w:pPr>
      <w:r>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Pr>
          <w:rFonts w:ascii="Verdana" w:eastAsia="Times New Roman" w:hAnsi="Verdana" w:cs="Arial"/>
          <w:lang w:eastAsia="x-none"/>
        </w:rPr>
        <w:t xml:space="preserve">, por lo que excluye </w:t>
      </w:r>
      <w:r>
        <w:rPr>
          <w:rFonts w:ascii="Verdana" w:eastAsia="Times New Roman" w:hAnsi="Verdana" w:cs="Arial"/>
          <w:lang w:eastAsia="x-none"/>
        </w:rPr>
        <w:lastRenderedPageBreak/>
        <w:t xml:space="preserve">las demás modalidades de contratación previstas en la Ley 1150 de 2007, es decir, la licitación pública, la selección abreviada, el concurso de méritos </w:t>
      </w:r>
      <w:r>
        <w:rPr>
          <w:rFonts w:ascii="Verdana" w:eastAsia="Times New Roman" w:hAnsi="Verdana" w:cs="Arial"/>
          <w:lang w:val="es-ES_tradnl" w:eastAsia="x-none"/>
        </w:rPr>
        <w:t xml:space="preserve">y la mínima cuantía </w:t>
      </w:r>
      <w:r>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Pr>
          <w:rFonts w:ascii="Verdana" w:eastAsia="Times New Roman" w:hAnsi="Verdana" w:cs="Arial"/>
          <w:vertAlign w:val="superscript"/>
          <w:lang w:val="en-GB" w:eastAsia="x-none"/>
        </w:rPr>
        <w:footnoteReference w:id="14"/>
      </w:r>
      <w:r>
        <w:rPr>
          <w:rFonts w:ascii="Verdana" w:eastAsia="Times New Roman" w:hAnsi="Verdana" w:cs="Arial"/>
          <w:lang w:eastAsia="x-none"/>
        </w:rPr>
        <w:t xml:space="preserve"> y sistematizó las causales de contratación directa</w:t>
      </w:r>
      <w:r>
        <w:rPr>
          <w:rFonts w:ascii="Verdana" w:eastAsia="Times New Roman" w:hAnsi="Verdana" w:cs="Arial"/>
          <w:vertAlign w:val="superscript"/>
          <w:lang w:val="en-GB" w:eastAsia="x-none"/>
        </w:rPr>
        <w:footnoteReference w:id="15"/>
      </w:r>
      <w:r>
        <w:rPr>
          <w:rFonts w:ascii="Verdana" w:eastAsia="Times New Roman" w:hAnsi="Verdana" w:cs="Arial"/>
          <w:lang w:eastAsia="x-none"/>
        </w:rPr>
        <w:t xml:space="preserve">, </w:t>
      </w:r>
      <w:r>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677E78E" w14:textId="77777777" w:rsidR="00E41F8A" w:rsidRDefault="00E41F8A" w:rsidP="00E41F8A">
      <w:pPr>
        <w:spacing w:after="120" w:line="276" w:lineRule="auto"/>
        <w:ind w:firstLine="708"/>
        <w:jc w:val="both"/>
        <w:rPr>
          <w:rFonts w:ascii="Verdana" w:eastAsia="Times New Roman" w:hAnsi="Verdana" w:cs="Arial"/>
          <w:lang w:val="es-MX" w:eastAsia="x-none"/>
        </w:rPr>
      </w:pPr>
      <w:r>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Pr>
          <w:rFonts w:ascii="Verdana" w:eastAsia="Times New Roman" w:hAnsi="Verdana" w:cs="Arial"/>
          <w:lang w:eastAsia="x-none"/>
        </w:rPr>
        <w:t>contratación directa</w:t>
      </w:r>
      <w:r>
        <w:rPr>
          <w:rFonts w:ascii="Verdana" w:eastAsia="Times New Roman" w:hAnsi="Verdana" w:cs="Arial"/>
          <w:lang w:eastAsia="en-GB"/>
        </w:rPr>
        <w:t>”</w:t>
      </w:r>
      <w:r>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Pr>
          <w:rFonts w:ascii="Verdana" w:eastAsia="Times New Roman" w:hAnsi="Verdana" w:cs="Arial"/>
          <w:vertAlign w:val="superscript"/>
          <w:lang w:val="en-GB" w:eastAsia="x-none"/>
        </w:rPr>
        <w:footnoteReference w:id="16"/>
      </w:r>
      <w:r>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Pr>
          <w:rFonts w:ascii="Verdana" w:eastAsia="Times New Roman" w:hAnsi="Verdana" w:cs="Arial"/>
          <w:lang w:eastAsia="x-none"/>
        </w:rPr>
        <w:t xml:space="preserve">. </w:t>
      </w:r>
    </w:p>
    <w:p w14:paraId="10FAF174" w14:textId="77777777" w:rsidR="00E41F8A" w:rsidRDefault="00E41F8A" w:rsidP="00E41F8A">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E</w:t>
      </w:r>
      <w:r>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eastAsia="Times New Roman" w:hAnsi="Verdana" w:cs="Arial"/>
          <w:vertAlign w:val="superscript"/>
          <w:lang w:eastAsia="x-none"/>
        </w:rPr>
        <w:footnoteReference w:id="17"/>
      </w:r>
      <w:r>
        <w:rPr>
          <w:rFonts w:ascii="Verdana" w:eastAsia="Times New Roman" w:hAnsi="Verdana" w:cs="Arial"/>
          <w:lang w:eastAsia="x-none"/>
        </w:rPr>
        <w:t xml:space="preserve">. </w:t>
      </w:r>
    </w:p>
    <w:p w14:paraId="060DB1D5" w14:textId="77777777" w:rsidR="00E41F8A" w:rsidRDefault="00E41F8A" w:rsidP="00E41F8A">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66BDED1" w14:textId="77777777" w:rsidR="00E41F8A" w:rsidRDefault="00E41F8A" w:rsidP="00E41F8A">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eastAsia="Times New Roman" w:hAnsi="Verdana" w:cs="Arial"/>
          <w:vertAlign w:val="superscript"/>
          <w:lang w:eastAsia="x-none"/>
        </w:rPr>
        <w:footnoteReference w:id="18"/>
      </w:r>
      <w:r>
        <w:rPr>
          <w:rFonts w:ascii="Verdana" w:eastAsia="Times New Roman" w:hAnsi="Verdana" w:cs="Arial"/>
          <w:bCs/>
          <w:lang w:val="es-MX" w:eastAsia="x-none"/>
        </w:rPr>
        <w:t>.</w:t>
      </w:r>
      <w:r>
        <w:rPr>
          <w:rFonts w:ascii="Verdana" w:eastAsia="Times New Roman" w:hAnsi="Verdana" w:cs="Arial"/>
          <w:vertAlign w:val="superscript"/>
          <w:lang w:val="es-MX" w:eastAsia="x-none"/>
        </w:rPr>
        <w:t xml:space="preserve"> </w:t>
      </w:r>
    </w:p>
    <w:p w14:paraId="034FD8BD" w14:textId="77777777" w:rsidR="00E41F8A" w:rsidRDefault="00E41F8A" w:rsidP="00E41F8A">
      <w:pPr>
        <w:spacing w:after="120" w:line="276" w:lineRule="auto"/>
        <w:ind w:firstLine="708"/>
        <w:jc w:val="both"/>
        <w:rPr>
          <w:rFonts w:ascii="Verdana" w:eastAsia="Times New Roman" w:hAnsi="Verdana" w:cs="Arial"/>
          <w:lang w:eastAsia="x-none"/>
        </w:rPr>
      </w:pPr>
      <w:r>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93A71D9" w14:textId="77777777" w:rsidR="00E41F8A" w:rsidRDefault="00E41F8A" w:rsidP="00E41F8A">
      <w:pPr>
        <w:spacing w:after="120" w:line="276" w:lineRule="auto"/>
        <w:ind w:firstLine="708"/>
        <w:jc w:val="both"/>
        <w:rPr>
          <w:rFonts w:ascii="Verdana" w:eastAsia="Times New Roman" w:hAnsi="Verdana" w:cs="Arial"/>
          <w:bCs/>
          <w:lang w:val="es-MX" w:eastAsia="es-CO"/>
        </w:rPr>
      </w:pPr>
      <w:r>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Pr>
          <w:rFonts w:ascii="Verdana" w:eastAsia="Times New Roman" w:hAnsi="Verdana" w:cs="Arial"/>
          <w:bCs/>
          <w:lang w:val="es-MX" w:eastAsia="x-none"/>
        </w:rPr>
        <w:t>ii</w:t>
      </w:r>
      <w:proofErr w:type="spellEnd"/>
      <w:r>
        <w:rPr>
          <w:rFonts w:ascii="Verdana" w:eastAsia="Times New Roman" w:hAnsi="Verdana" w:cs="Arial"/>
          <w:bCs/>
          <w:lang w:val="es-MX" w:eastAsia="x-none"/>
        </w:rPr>
        <w:t xml:space="preserve">) los contratos de crédito público; </w:t>
      </w:r>
      <w:proofErr w:type="spellStart"/>
      <w:r>
        <w:rPr>
          <w:rFonts w:ascii="Verdana" w:eastAsia="Times New Roman" w:hAnsi="Verdana" w:cs="Arial"/>
          <w:bCs/>
          <w:lang w:val="es-MX" w:eastAsia="x-none"/>
        </w:rPr>
        <w:t>iii</w:t>
      </w:r>
      <w:proofErr w:type="spellEnd"/>
      <w:r>
        <w:rPr>
          <w:rFonts w:ascii="Verdana" w:eastAsia="Times New Roman" w:hAnsi="Verdana" w:cs="Arial"/>
          <w:bCs/>
          <w:lang w:val="es-MX" w:eastAsia="x-none"/>
        </w:rPr>
        <w:t xml:space="preserve">) los requeridos para cubrir las emergencias educativas, sanitarias y desastres; </w:t>
      </w: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eastAsia="Times New Roman" w:hAnsi="Verdana" w:cs="Arial"/>
          <w:bCs/>
          <w:lang w:val="es-MX" w:eastAsia="es-CO"/>
        </w:rPr>
        <w:t xml:space="preserve"> Es responsabilidad del respectivo </w:t>
      </w:r>
      <w:r>
        <w:rPr>
          <w:rFonts w:ascii="Verdana" w:eastAsia="Times New Roman" w:hAnsi="Verdana" w:cs="Arial"/>
          <w:bCs/>
          <w:lang w:val="es-MX" w:eastAsia="es-CO"/>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422E6B99" w14:textId="77777777" w:rsidR="00E41F8A" w:rsidRDefault="00E41F8A" w:rsidP="00E41F8A">
      <w:pPr>
        <w:spacing w:after="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Pr>
          <w:rFonts w:ascii="Verdana" w:eastAsia="Calibri" w:hAnsi="Verdana" w:cs="Arial"/>
          <w:vertAlign w:val="superscript"/>
          <w:lang w:val="es-MX"/>
        </w:rPr>
        <w:footnoteReference w:id="19"/>
      </w:r>
      <w:r>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9E2AE4B" w14:textId="77777777" w:rsidR="00E41F8A" w:rsidRDefault="00E41F8A" w:rsidP="00E41F8A">
      <w:pPr>
        <w:spacing w:after="0" w:line="276" w:lineRule="auto"/>
        <w:jc w:val="both"/>
        <w:rPr>
          <w:rFonts w:ascii="Verdana" w:eastAsia="Times New Roman" w:hAnsi="Verdana" w:cs="Arial"/>
          <w:bCs/>
          <w:lang w:val="es-MX" w:eastAsia="x-none"/>
        </w:rPr>
      </w:pPr>
    </w:p>
    <w:p w14:paraId="58452153" w14:textId="77777777" w:rsidR="00E41F8A" w:rsidRDefault="00E41F8A" w:rsidP="00E41F8A">
      <w:pPr>
        <w:spacing w:after="0" w:line="276" w:lineRule="auto"/>
        <w:jc w:val="both"/>
        <w:rPr>
          <w:rFonts w:ascii="Verdana" w:eastAsia="Times New Roman" w:hAnsi="Verdana" w:cs="Arial"/>
          <w:bCs/>
          <w:lang w:val="es-MX" w:eastAsia="x-none"/>
        </w:rPr>
      </w:pPr>
      <w:proofErr w:type="spellStart"/>
      <w:r>
        <w:rPr>
          <w:rFonts w:ascii="Verdana" w:eastAsia="Times New Roman" w:hAnsi="Verdana" w:cs="Arial"/>
          <w:bCs/>
          <w:lang w:val="es-MX" w:eastAsia="x-none"/>
        </w:rPr>
        <w:t>iv</w:t>
      </w:r>
      <w:proofErr w:type="spellEnd"/>
      <w:r>
        <w:rPr>
          <w:rFonts w:ascii="Verdana" w:eastAsia="Times New Roman" w:hAnsi="Verdana" w:cs="Arial"/>
          <w:bCs/>
          <w:lang w:val="es-MX" w:eastAsia="x-none"/>
        </w:rPr>
        <w:t>.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Pr>
          <w:rFonts w:ascii="Verdana" w:eastAsia="Calibri" w:hAnsi="Verdana" w:cs="Arial"/>
          <w:sz w:val="24"/>
          <w:lang w:val="es-MX"/>
        </w:rPr>
        <w:t xml:space="preserve"> </w:t>
      </w:r>
      <w:r>
        <w:rPr>
          <w:rFonts w:ascii="Verdana" w:eastAsia="Times New Roman" w:hAnsi="Verdana" w:cs="Arial"/>
          <w:bCs/>
          <w:lang w:val="es-MX" w:eastAsia="x-none"/>
        </w:rPr>
        <w:t>En efecto, tal como lo ha sostenido el Consejo de Estado, el vocablo “todos” utilizado por el legislador comprende</w:t>
      </w:r>
      <w:r>
        <w:rPr>
          <w:rFonts w:ascii="Verdana" w:eastAsia="Calibri" w:hAnsi="Verdana" w:cs="Arial"/>
          <w:sz w:val="24"/>
          <w:lang w:val="es-MX"/>
        </w:rPr>
        <w:t xml:space="preserve"> </w:t>
      </w:r>
      <w:r>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6F1C6230" w14:textId="77777777" w:rsidR="00E41F8A" w:rsidRDefault="00E41F8A" w:rsidP="00E41F8A">
      <w:pPr>
        <w:spacing w:after="0" w:line="276" w:lineRule="auto"/>
        <w:jc w:val="both"/>
        <w:rPr>
          <w:rFonts w:ascii="Verdana" w:eastAsia="Times New Roman" w:hAnsi="Verdana" w:cs="Arial"/>
          <w:bCs/>
          <w:lang w:val="es-MX" w:eastAsia="x-none"/>
        </w:rPr>
      </w:pPr>
    </w:p>
    <w:p w14:paraId="2EEFC100" w14:textId="77777777" w:rsidR="00E41F8A" w:rsidRDefault="00E41F8A" w:rsidP="00E41F8A">
      <w:pPr>
        <w:spacing w:after="0" w:line="240" w:lineRule="auto"/>
        <w:ind w:left="708" w:right="709"/>
        <w:jc w:val="both"/>
        <w:rPr>
          <w:rFonts w:ascii="Verdana" w:eastAsia="Times New Roman" w:hAnsi="Verdana" w:cs="Arial"/>
          <w:bCs/>
          <w:sz w:val="20"/>
          <w:szCs w:val="20"/>
          <w:lang w:val="es-MX" w:eastAsia="es-CO"/>
        </w:rPr>
      </w:pPr>
      <w:r>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w:t>
      </w:r>
      <w:r>
        <w:rPr>
          <w:rFonts w:ascii="Verdana" w:eastAsia="Times New Roman" w:hAnsi="Verdana" w:cs="Arial"/>
          <w:bCs/>
          <w:sz w:val="20"/>
          <w:szCs w:val="20"/>
          <w:lang w:val="es-MX" w:eastAsia="x-none"/>
        </w:rPr>
        <w:lastRenderedPageBreak/>
        <w:t>empresas industriales y comerciales del Estado) y a los municipios prestadores directos, incluyendo las excepciones contenidas en el segundo inciso de esta norma”</w:t>
      </w:r>
      <w:r>
        <w:rPr>
          <w:rFonts w:ascii="Verdana" w:eastAsia="Times New Roman" w:hAnsi="Verdana" w:cs="Arial"/>
          <w:bCs/>
          <w:sz w:val="20"/>
          <w:szCs w:val="20"/>
          <w:vertAlign w:val="superscript"/>
          <w:lang w:val="es-MX" w:eastAsia="x-none"/>
        </w:rPr>
        <w:footnoteReference w:id="20"/>
      </w:r>
      <w:r>
        <w:rPr>
          <w:rFonts w:ascii="Verdana" w:eastAsia="Times New Roman" w:hAnsi="Verdana" w:cs="Arial"/>
          <w:bCs/>
          <w:sz w:val="20"/>
          <w:szCs w:val="20"/>
          <w:lang w:val="es-MX" w:eastAsia="x-none"/>
        </w:rPr>
        <w:t>.</w:t>
      </w:r>
      <w:r>
        <w:rPr>
          <w:rFonts w:ascii="Verdana" w:eastAsia="Times New Roman" w:hAnsi="Verdana" w:cs="Arial"/>
          <w:bCs/>
          <w:sz w:val="20"/>
          <w:szCs w:val="20"/>
          <w:lang w:val="es-MX" w:eastAsia="es-CO"/>
        </w:rPr>
        <w:t xml:space="preserve"> </w:t>
      </w:r>
    </w:p>
    <w:p w14:paraId="3ECBF6B1" w14:textId="77777777" w:rsidR="00E41F8A" w:rsidRDefault="00E41F8A" w:rsidP="00E41F8A">
      <w:pPr>
        <w:spacing w:after="0" w:line="276" w:lineRule="auto"/>
        <w:ind w:firstLine="708"/>
        <w:jc w:val="both"/>
        <w:rPr>
          <w:rFonts w:ascii="Verdana" w:eastAsia="Times New Roman" w:hAnsi="Verdana" w:cs="Arial"/>
          <w:bCs/>
          <w:lang w:val="es-MX" w:eastAsia="es-CO"/>
        </w:rPr>
      </w:pPr>
    </w:p>
    <w:p w14:paraId="31C3A80A" w14:textId="77777777" w:rsidR="00E41F8A" w:rsidRDefault="00E41F8A" w:rsidP="00E41F8A">
      <w:pPr>
        <w:spacing w:after="0" w:line="276" w:lineRule="auto"/>
        <w:ind w:firstLine="708"/>
        <w:jc w:val="both"/>
        <w:rPr>
          <w:rFonts w:ascii="Verdana" w:eastAsia="Calibri" w:hAnsi="Verdana" w:cs="Arial"/>
          <w:lang w:val="es-MX"/>
        </w:rPr>
      </w:pPr>
      <w:r>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eastAsia="Calibri" w:hAnsi="Verdana" w:cs="Arial"/>
          <w:sz w:val="24"/>
          <w:vertAlign w:val="superscript"/>
          <w:lang w:val="es-MX"/>
        </w:rPr>
        <w:footnoteReference w:id="21"/>
      </w:r>
      <w:r>
        <w:rPr>
          <w:rFonts w:ascii="Verdana" w:eastAsia="Times New Roman" w:hAnsi="Verdana" w:cs="Arial"/>
          <w:bCs/>
          <w:lang w:val="es-MX" w:eastAsia="x-none"/>
        </w:rPr>
        <w:t>.</w:t>
      </w:r>
      <w:r>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3A1242E7" w14:textId="77777777" w:rsidR="00E41F8A" w:rsidRDefault="00E41F8A" w:rsidP="00E41F8A">
      <w:pPr>
        <w:spacing w:after="0" w:line="276" w:lineRule="auto"/>
        <w:jc w:val="both"/>
        <w:rPr>
          <w:rFonts w:ascii="Verdana" w:eastAsia="Calibri" w:hAnsi="Verdana" w:cs="Arial"/>
          <w:lang w:val="es-MX"/>
        </w:rPr>
      </w:pPr>
    </w:p>
    <w:p w14:paraId="699D6564" w14:textId="77777777" w:rsidR="00E41F8A" w:rsidRDefault="00E41F8A" w:rsidP="00E41F8A">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647A67C" w14:textId="77777777" w:rsidR="00E41F8A" w:rsidRDefault="00E41F8A" w:rsidP="00E41F8A">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15CAD83D" w14:textId="77777777" w:rsidR="00E41F8A" w:rsidRDefault="00E41F8A" w:rsidP="00E41F8A">
      <w:pPr>
        <w:spacing w:after="0" w:line="240" w:lineRule="auto"/>
        <w:ind w:left="708" w:right="709"/>
        <w:jc w:val="both"/>
        <w:rPr>
          <w:rFonts w:ascii="Verdana" w:eastAsia="Calibri" w:hAnsi="Verdana" w:cs="Arial"/>
          <w:sz w:val="20"/>
          <w:szCs w:val="20"/>
          <w:lang w:val="es-MX"/>
        </w:rPr>
      </w:pPr>
      <w:r>
        <w:rPr>
          <w:rFonts w:ascii="Verdana" w:eastAsia="Times New Roman" w:hAnsi="Verdana" w:cs="Arial"/>
          <w:bCs/>
          <w:sz w:val="20"/>
          <w:szCs w:val="20"/>
          <w:lang w:val="es-MX" w:eastAsia="x-none"/>
        </w:rPr>
        <w:lastRenderedPageBreak/>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Calibri" w:hAnsi="Verdana" w:cs="Arial"/>
          <w:sz w:val="20"/>
          <w:szCs w:val="20"/>
          <w:vertAlign w:val="superscript"/>
          <w:lang w:val="es-MX"/>
        </w:rPr>
        <w:footnoteReference w:id="22"/>
      </w:r>
      <w:r>
        <w:rPr>
          <w:rFonts w:ascii="Verdana" w:eastAsia="Times New Roman" w:hAnsi="Verdana" w:cs="Arial"/>
          <w:bCs/>
          <w:sz w:val="20"/>
          <w:szCs w:val="20"/>
          <w:lang w:val="es-MX" w:eastAsia="x-none"/>
        </w:rPr>
        <w:t>.</w:t>
      </w:r>
    </w:p>
    <w:p w14:paraId="21D652EF" w14:textId="77777777" w:rsidR="00E41F8A" w:rsidRDefault="00E41F8A" w:rsidP="00E41F8A">
      <w:pPr>
        <w:spacing w:after="0" w:line="276" w:lineRule="auto"/>
        <w:jc w:val="both"/>
        <w:rPr>
          <w:rFonts w:ascii="Verdana" w:eastAsia="Calibri" w:hAnsi="Verdana" w:cs="Arial"/>
          <w:lang w:val="es-MX"/>
        </w:rPr>
      </w:pPr>
    </w:p>
    <w:p w14:paraId="36386C33" w14:textId="77777777" w:rsidR="00E41F8A" w:rsidRDefault="00E41F8A" w:rsidP="00E41F8A">
      <w:pPr>
        <w:spacing w:after="120" w:line="276" w:lineRule="auto"/>
        <w:ind w:firstLine="709"/>
        <w:jc w:val="both"/>
        <w:rPr>
          <w:rFonts w:ascii="Verdana" w:eastAsia="Times New Roman" w:hAnsi="Verdana" w:cs="Arial"/>
          <w:lang w:eastAsia="es-CO"/>
        </w:rPr>
      </w:pPr>
      <w:r>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Pr>
          <w:rFonts w:ascii="Verdana" w:eastAsia="Times New Roman" w:hAnsi="Verdana" w:cs="Arial"/>
          <w:bCs/>
          <w:lang w:val="es-MX" w:eastAsia="x-none"/>
        </w:rPr>
        <w:t>establecimientos de crédito, las sociedades de servicios financieros y las entidades aseguradoras</w:t>
      </w:r>
      <w:r>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vertAlign w:val="superscript"/>
          <w:lang w:val="es-MX"/>
        </w:rPr>
        <w:footnoteReference w:id="23"/>
      </w:r>
      <w:r>
        <w:rPr>
          <w:rFonts w:ascii="Verdana" w:eastAsia="Calibri" w:hAnsi="Verdana" w:cs="Arial"/>
          <w:lang w:val="es-MX"/>
        </w:rPr>
        <w:t>.</w:t>
      </w:r>
      <w:r>
        <w:rPr>
          <w:rFonts w:ascii="Verdana" w:eastAsia="Times New Roman" w:hAnsi="Verdana" w:cs="Arial"/>
          <w:lang w:val="es-MX" w:eastAsia="es-CO"/>
        </w:rPr>
        <w:t xml:space="preserve"> </w:t>
      </w:r>
    </w:p>
    <w:p w14:paraId="2D9B9E0C" w14:textId="77777777" w:rsidR="00E41F8A" w:rsidRDefault="00E41F8A" w:rsidP="00E41F8A">
      <w:pPr>
        <w:spacing w:after="120" w:line="276" w:lineRule="auto"/>
        <w:ind w:firstLine="709"/>
        <w:jc w:val="both"/>
        <w:rPr>
          <w:rFonts w:ascii="Verdana" w:eastAsia="Times New Roman" w:hAnsi="Verdana" w:cs="Arial"/>
          <w:bCs/>
          <w:lang w:val="es-MX" w:eastAsia="x-none"/>
        </w:rPr>
      </w:pPr>
      <w:r>
        <w:rPr>
          <w:rFonts w:ascii="Verdana" w:eastAsia="Times New Roman" w:hAnsi="Verdana" w:cs="Arial"/>
          <w:lang w:eastAsia="es-CO"/>
        </w:rPr>
        <w:t>Sin perjuicio de estos pronunciamientos de la Sala de Consulta y Servicio Civil</w:t>
      </w:r>
      <w:r>
        <w:rPr>
          <w:rFonts w:ascii="Verdana" w:eastAsia="Calibri" w:hAnsi="Verdana" w:cs="Arial"/>
          <w:lang w:val="es-MX"/>
        </w:rPr>
        <w:t xml:space="preserve">, como la ha señalado esa misma Corporación, la restricción prevista en la Ley 996 de 2005 </w:t>
      </w:r>
      <w:r>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w:t>
      </w:r>
      <w:r>
        <w:rPr>
          <w:rFonts w:ascii="Verdana" w:eastAsia="Times New Roman" w:hAnsi="Verdana" w:cs="Arial"/>
          <w:bCs/>
          <w:lang w:val="es-MX" w:eastAsia="x-none"/>
        </w:rPr>
        <w:lastRenderedPageBreak/>
        <w:t>tanto en la contratación regulada por la Ley 80 de 1993 como en la regida por normas especiales.</w:t>
      </w:r>
    </w:p>
    <w:p w14:paraId="460AEAB5" w14:textId="77777777" w:rsidR="00E41F8A" w:rsidRDefault="00E41F8A" w:rsidP="00E41F8A">
      <w:pPr>
        <w:spacing w:before="120" w:after="120" w:line="276" w:lineRule="auto"/>
        <w:jc w:val="both"/>
        <w:rPr>
          <w:rFonts w:ascii="Verdana" w:eastAsia="Times New Roman" w:hAnsi="Verdana" w:cs="Arial"/>
          <w:lang w:val="es-ES_tradnl" w:eastAsia="es-ES_tradnl"/>
          <w14:ligatures w14:val="standardContextual"/>
        </w:rPr>
      </w:pPr>
      <w:r>
        <w:rPr>
          <w:rFonts w:ascii="Verdana" w:eastAsia="Times New Roman" w:hAnsi="Verdana" w:cs="Arial"/>
          <w:bCs/>
          <w:lang w:val="es-MX" w:eastAsia="x-none"/>
        </w:rPr>
        <w:t xml:space="preserve">v. Ahora bien, para efectos de dar respuesta concreta al problema jurídico planteado, es pertinente precisar cómo opera la plataforma del SECOP I. </w:t>
      </w:r>
      <w:r>
        <w:rPr>
          <w:rFonts w:ascii="Verdana" w:eastAsia="Times New Roman" w:hAnsi="Verdana" w:cs="Arial"/>
          <w:lang w:val="es-ES_tradnl" w:eastAsia="es-ES_tradnl"/>
          <w14:ligatures w14:val="standardContextual"/>
        </w:rPr>
        <w:t>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Pr>
          <w:rFonts w:ascii="Verdana" w:eastAsia="Times New Roman" w:hAnsi="Verdana" w:cs="Arial"/>
          <w:vertAlign w:val="superscript"/>
          <w:lang w:val="es-ES_tradnl" w:eastAsia="es-ES_tradnl"/>
          <w14:ligatures w14:val="standardContextual"/>
        </w:rPr>
        <w:footnoteReference w:id="24"/>
      </w:r>
      <w:r>
        <w:rPr>
          <w:rFonts w:ascii="Verdana" w:eastAsia="Times New Roman" w:hAnsi="Verdana" w:cs="Arial"/>
          <w:lang w:val="es-ES_tradnl" w:eastAsia="es-ES_tradnl"/>
          <w14:ligatures w14:val="standardContextual"/>
        </w:rPr>
        <w:t>.</w:t>
      </w:r>
    </w:p>
    <w:p w14:paraId="2BDAEC02" w14:textId="77777777" w:rsidR="00E41F8A" w:rsidRDefault="00E41F8A" w:rsidP="00E41F8A">
      <w:pPr>
        <w:tabs>
          <w:tab w:val="left" w:pos="709"/>
        </w:tabs>
        <w:spacing w:before="120" w:after="120" w:line="276" w:lineRule="auto"/>
        <w:ind w:firstLine="709"/>
        <w:jc w:val="both"/>
        <w:rPr>
          <w:rFonts w:ascii="Verdana" w:hAnsi="Verdana" w:cs="Arial"/>
          <w:shd w:val="clear" w:color="auto" w:fill="FFFFFF"/>
        </w:rPr>
      </w:pPr>
      <w:r>
        <w:rPr>
          <w:rFonts w:ascii="Verdana" w:hAnsi="Verdana" w:cs="Arial"/>
          <w:shd w:val="clear" w:color="auto" w:fill="FFFFFF"/>
        </w:rPr>
        <w:t>Con el propósito de garantizar el cumplimiento del deber de publicidad, se le asignó a la Agencia Nacional de Contratación Pública - Colombia Compra Eficiente, la función de administrar el SECOP</w:t>
      </w:r>
      <w:r>
        <w:rPr>
          <w:rFonts w:ascii="Verdana" w:hAnsi="Verdana" w:cs="Arial"/>
          <w:shd w:val="clear" w:color="auto" w:fill="FFFFFF"/>
          <w:vertAlign w:val="superscript"/>
        </w:rPr>
        <w:footnoteReference w:id="25"/>
      </w:r>
      <w:r>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089CE2CB" w14:textId="77777777" w:rsidR="00E41F8A" w:rsidRDefault="00E41F8A" w:rsidP="00E41F8A">
      <w:pPr>
        <w:tabs>
          <w:tab w:val="left" w:pos="709"/>
        </w:tabs>
        <w:spacing w:before="120" w:after="120" w:line="276" w:lineRule="auto"/>
        <w:ind w:firstLine="709"/>
        <w:jc w:val="both"/>
        <w:rPr>
          <w:rFonts w:ascii="Verdana" w:hAnsi="Verdana" w:cs="Arial"/>
          <w:shd w:val="clear" w:color="auto" w:fill="FFFFFF"/>
        </w:rPr>
      </w:pPr>
      <w:r>
        <w:rPr>
          <w:rFonts w:ascii="Verdana" w:hAnsi="Verdana" w:cs="Arial"/>
          <w:shd w:val="clear" w:color="auto" w:fill="FFFFFF"/>
        </w:rPr>
        <w:t xml:space="preserve">En cambio, el SECOP II, es una plataforma transaccional que permite gestionar en línea los procedimientos de contratación, con cuentas y usuarios asociados a estas, para las entidades y los proveedores, y vista pública para </w:t>
      </w:r>
      <w:r>
        <w:rPr>
          <w:rFonts w:ascii="Verdana" w:hAnsi="Verdana" w:cs="Arial"/>
          <w:shd w:val="clear" w:color="auto" w:fill="FFFFFF"/>
        </w:rPr>
        <w:lastRenderedPageBreak/>
        <w:t>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05B545F7" w14:textId="77777777" w:rsidR="00E41F8A" w:rsidRDefault="00E41F8A" w:rsidP="00E41F8A">
      <w:pPr>
        <w:tabs>
          <w:tab w:val="left" w:pos="709"/>
        </w:tabs>
        <w:spacing w:before="120" w:after="120" w:line="276" w:lineRule="auto"/>
        <w:ind w:firstLine="709"/>
        <w:jc w:val="both"/>
        <w:rPr>
          <w:rFonts w:ascii="Verdana" w:eastAsia="Calibri" w:hAnsi="Verdana" w:cs="Arial"/>
          <w:lang w:val="es-ES"/>
        </w:rPr>
      </w:pPr>
      <w:r w:rsidRPr="00D92626">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r>
        <w:rPr>
          <w:rFonts w:ascii="Verdana" w:eastAsia="Calibri" w:hAnsi="Verdana" w:cs="Arial"/>
          <w:lang w:val="es-ES"/>
        </w:rPr>
        <w:t>.</w:t>
      </w:r>
    </w:p>
    <w:p w14:paraId="1649BB65" w14:textId="77777777" w:rsidR="00E41F8A" w:rsidRDefault="00E41F8A" w:rsidP="00E41F8A">
      <w:pPr>
        <w:tabs>
          <w:tab w:val="left" w:pos="709"/>
        </w:tabs>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Debido a que el SECOP I no cuenta con la función transaccional del SECOP II, el trámite de creación y publicidad del expediente contractual no es concomitante, siendo necesario cargar la documentación respectiva una vez esta se produce, para efectos de publicidad.  </w:t>
      </w:r>
      <w:r w:rsidRPr="007E0C8D">
        <w:rPr>
          <w:rFonts w:ascii="Verdana" w:eastAsia="Calibri" w:hAnsi="Verdana" w:cs="Arial"/>
          <w:lang w:val="es-ES"/>
        </w:rPr>
        <w:t>No obstante, lo anterior no implica que la entidad pueda efectuar dicha public</w:t>
      </w:r>
      <w:r>
        <w:rPr>
          <w:rFonts w:ascii="Verdana" w:eastAsia="Calibri" w:hAnsi="Verdana" w:cs="Arial"/>
          <w:lang w:val="es-ES"/>
        </w:rPr>
        <w:t>idad</w:t>
      </w:r>
      <w:r w:rsidRPr="007E0C8D">
        <w:rPr>
          <w:rFonts w:ascii="Verdana" w:eastAsia="Calibri" w:hAnsi="Verdana" w:cs="Arial"/>
          <w:lang w:val="es-ES"/>
        </w:rPr>
        <w:t xml:space="preserve"> en cualquier momento, toda vez que la normativa vigente establece términos específicos que deben</w:t>
      </w:r>
      <w:r>
        <w:rPr>
          <w:rFonts w:ascii="Verdana" w:eastAsia="Calibri" w:hAnsi="Verdana" w:cs="Arial"/>
          <w:lang w:val="es-ES"/>
        </w:rPr>
        <w:t xml:space="preserve"> ser</w:t>
      </w:r>
      <w:r w:rsidRPr="007E0C8D">
        <w:rPr>
          <w:rFonts w:ascii="Verdana" w:eastAsia="Calibri" w:hAnsi="Verdana" w:cs="Arial"/>
          <w:lang w:val="es-ES"/>
        </w:rPr>
        <w:t xml:space="preserve"> cumplidos</w:t>
      </w:r>
      <w:r>
        <w:rPr>
          <w:rFonts w:ascii="Verdana" w:eastAsia="Calibri" w:hAnsi="Verdana" w:cs="Arial"/>
          <w:lang w:val="es-ES"/>
        </w:rPr>
        <w:t>.</w:t>
      </w:r>
    </w:p>
    <w:p w14:paraId="25A6E10B" w14:textId="77777777" w:rsidR="00E41F8A" w:rsidRPr="00E402D5" w:rsidRDefault="00E41F8A" w:rsidP="00E41F8A">
      <w:pPr>
        <w:tabs>
          <w:tab w:val="left" w:pos="709"/>
        </w:tabs>
        <w:spacing w:before="120" w:after="120" w:line="276" w:lineRule="auto"/>
        <w:ind w:firstLine="709"/>
        <w:jc w:val="both"/>
        <w:rPr>
          <w:rFonts w:ascii="Verdana" w:eastAsia="Calibri" w:hAnsi="Verdana" w:cs="Arial"/>
          <w:lang w:val="es-ES"/>
        </w:rPr>
      </w:pPr>
      <w:r>
        <w:rPr>
          <w:rFonts w:ascii="Verdana" w:eastAsia="Calibri" w:hAnsi="Verdana" w:cs="Arial"/>
          <w:lang w:val="es-ES"/>
        </w:rPr>
        <w:t xml:space="preserve">En efecto, </w:t>
      </w:r>
      <w:r w:rsidRPr="00E402D5">
        <w:rPr>
          <w:rFonts w:ascii="Verdana" w:eastAsia="Calibri" w:hAnsi="Verdana" w:cs="Arial"/>
          <w:lang w:val="es-ES"/>
        </w:rPr>
        <w:t xml:space="preserve">conforme al artículo 2.2.1.1.1.7.1 del Decreto 1082 de 2015, </w:t>
      </w:r>
      <w:r>
        <w:rPr>
          <w:rFonts w:ascii="Verdana" w:eastAsia="Calibri" w:hAnsi="Verdana" w:cs="Arial"/>
          <w:lang w:val="es-ES"/>
        </w:rPr>
        <w:t xml:space="preserve">las entidades estatales </w:t>
      </w:r>
      <w:r w:rsidRPr="00E402D5">
        <w:rPr>
          <w:rFonts w:ascii="Verdana" w:eastAsia="Calibri" w:hAnsi="Verdana" w:cs="Arial"/>
          <w:lang w:val="es-ES"/>
        </w:rPr>
        <w:t xml:space="preserve">tienen la obligación de publicar en el SECOP “[…] los Documentos del Proceso y los actos administrativos del Proceso de Contratación, dentro de los </w:t>
      </w:r>
      <w:r w:rsidRPr="00D0435F">
        <w:rPr>
          <w:rFonts w:ascii="Verdana" w:eastAsia="Calibri" w:hAnsi="Verdana" w:cs="Arial"/>
          <w:i/>
          <w:iCs/>
          <w:lang w:val="es-ES"/>
        </w:rPr>
        <w:t xml:space="preserve">tres (3) días siguientes a su expedición […]”. </w:t>
      </w:r>
      <w:r w:rsidRPr="00E402D5">
        <w:rPr>
          <w:rFonts w:ascii="Verdana" w:eastAsia="Calibri" w:hAnsi="Verdana" w:cs="Arial"/>
          <w:lang w:val="es-ES"/>
        </w:rPr>
        <w:t xml:space="preserve">La expresión </w:t>
      </w:r>
      <w:r w:rsidRPr="00E402D5">
        <w:rPr>
          <w:rFonts w:ascii="Verdana" w:eastAsia="Calibri" w:hAnsi="Verdana" w:cs="Arial"/>
          <w:i/>
          <w:iCs/>
          <w:lang w:val="es-ES"/>
        </w:rPr>
        <w:t>Documentos del Proceso</w:t>
      </w:r>
      <w:r w:rsidRPr="00E402D5">
        <w:rPr>
          <w:rFonts w:ascii="Verdana" w:eastAsia="Calibri" w:hAnsi="Verdana" w:cs="Arial"/>
          <w:lang w:val="es-ES"/>
        </w:rPr>
        <w:t xml:space="preserve">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 </w:t>
      </w:r>
    </w:p>
    <w:p w14:paraId="0E142430" w14:textId="77777777" w:rsidR="00E41F8A" w:rsidRPr="00D0435F" w:rsidRDefault="00E41F8A" w:rsidP="00E41F8A">
      <w:pPr>
        <w:tabs>
          <w:tab w:val="left" w:pos="709"/>
        </w:tabs>
        <w:spacing w:before="120" w:after="120" w:line="276" w:lineRule="auto"/>
        <w:ind w:firstLine="709"/>
        <w:jc w:val="both"/>
        <w:rPr>
          <w:rFonts w:ascii="Verdana" w:eastAsia="Calibri" w:hAnsi="Verdana" w:cs="Arial"/>
          <w:lang w:val="es-ES"/>
        </w:rPr>
      </w:pPr>
      <w:r>
        <w:rPr>
          <w:rFonts w:ascii="Verdana" w:eastAsia="Calibri" w:hAnsi="Verdana" w:cs="Arial"/>
          <w:lang w:val="es-ES"/>
        </w:rPr>
        <w:t>P</w:t>
      </w:r>
      <w:r w:rsidRPr="00D0435F">
        <w:rPr>
          <w:rFonts w:ascii="Verdana" w:eastAsia="Calibri" w:hAnsi="Verdana" w:cs="Arial"/>
          <w:lang w:val="es-ES"/>
        </w:rPr>
        <w:t xml:space="preserve">ara identificar los documentos que deben publicarse, es necesario realizar una interpretación sistemática de las disposiciones del Decreto 1082 del 2015, puesto que el anterior no es un listado taxativo, sino enunciativo, porque además de los documentos enlistados, el artículo 2.2.1.1.1.3.1 </w:t>
      </w:r>
      <w:proofErr w:type="spellStart"/>
      <w:r w:rsidRPr="00D0435F">
        <w:rPr>
          <w:rFonts w:ascii="Verdana" w:eastAsia="Calibri" w:hAnsi="Verdana" w:cs="Arial"/>
          <w:i/>
          <w:iCs/>
          <w:lang w:val="es-ES"/>
        </w:rPr>
        <w:t>Ibídem</w:t>
      </w:r>
      <w:proofErr w:type="spellEnd"/>
      <w:r w:rsidRPr="00D0435F">
        <w:rPr>
          <w:rFonts w:ascii="Verdana" w:eastAsia="Calibri" w:hAnsi="Verdana" w:cs="Arial"/>
          <w:lang w:val="es-ES"/>
        </w:rPr>
        <w:t xml:space="preserve"> recoge en la noción de </w:t>
      </w:r>
      <w:r w:rsidRPr="00D0435F">
        <w:rPr>
          <w:rFonts w:ascii="Verdana" w:eastAsia="Calibri" w:hAnsi="Verdana" w:cs="Arial"/>
          <w:i/>
          <w:iCs/>
          <w:lang w:val="es-ES"/>
        </w:rPr>
        <w:t>Documentos del Proceso</w:t>
      </w:r>
      <w:r w:rsidRPr="00D0435F">
        <w:rPr>
          <w:rFonts w:ascii="Verdana" w:eastAsia="Calibri" w:hAnsi="Verdana" w:cs="Arial"/>
          <w:lang w:val="es-ES"/>
        </w:rPr>
        <w:t xml:space="preserve"> “cualquier otro documento expedido por la Entidad Estatal durante el </w:t>
      </w:r>
      <w:r w:rsidRPr="00D0435F">
        <w:rPr>
          <w:rFonts w:ascii="Verdana" w:eastAsia="Calibri" w:hAnsi="Verdana" w:cs="Arial"/>
          <w:i/>
          <w:iCs/>
          <w:lang w:val="es-ES"/>
        </w:rPr>
        <w:t>Proceso de Contratación”</w:t>
      </w:r>
      <w:r w:rsidRPr="00D0435F">
        <w:rPr>
          <w:rFonts w:ascii="Verdana" w:eastAsia="Calibri" w:hAnsi="Verdana" w:cs="Arial"/>
          <w:lang w:val="es-ES"/>
        </w:rPr>
        <w:t xml:space="preserve">. Este mismo artículo define la expresión </w:t>
      </w:r>
      <w:r w:rsidRPr="00D0435F">
        <w:rPr>
          <w:rFonts w:ascii="Verdana" w:eastAsia="Calibri" w:hAnsi="Verdana" w:cs="Arial"/>
          <w:i/>
          <w:iCs/>
          <w:lang w:val="es-ES"/>
        </w:rPr>
        <w:t>Proceso de Contratación</w:t>
      </w:r>
      <w:r w:rsidRPr="00D0435F">
        <w:rPr>
          <w:rFonts w:ascii="Verdana" w:eastAsia="Calibri" w:hAnsi="Verdana" w:cs="Arial"/>
          <w:lang w:val="es-ES"/>
        </w:rPr>
        <w:t xml:space="preserve"> como el “Conjunto de actos y </w:t>
      </w:r>
      <w:r w:rsidRPr="00D0435F">
        <w:rPr>
          <w:rFonts w:ascii="Verdana" w:eastAsia="Calibri" w:hAnsi="Verdana" w:cs="Arial"/>
          <w:lang w:val="es-ES"/>
        </w:rPr>
        <w:lastRenderedPageBreak/>
        <w:t xml:space="preserve">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hace referencia a los documentos “expedidos por la entidad estatal” durante el proceso de contratación, excluyendo de la noción de </w:t>
      </w:r>
      <w:r w:rsidRPr="00D0435F">
        <w:rPr>
          <w:rFonts w:ascii="Verdana" w:eastAsia="Calibri" w:hAnsi="Verdana" w:cs="Arial"/>
          <w:i/>
          <w:iCs/>
          <w:lang w:val="es-ES"/>
        </w:rPr>
        <w:t>Documentos del Proceso</w:t>
      </w:r>
      <w:r w:rsidRPr="00D0435F">
        <w:rPr>
          <w:rFonts w:ascii="Verdana" w:eastAsia="Calibri" w:hAnsi="Verdana" w:cs="Arial"/>
          <w:lang w:val="es-ES"/>
        </w:rPr>
        <w:t xml:space="preserve"> los expedidos por un sujeto distinto a la entidad, salvo la oferta ganadora, la cual se incluye expresamente en el artículo 2.2.1.1.1.3.1. </w:t>
      </w:r>
    </w:p>
    <w:p w14:paraId="35BCF9F7" w14:textId="77777777" w:rsidR="00E41F8A" w:rsidRDefault="00E41F8A" w:rsidP="00E41F8A">
      <w:pPr>
        <w:tabs>
          <w:tab w:val="left" w:pos="709"/>
        </w:tabs>
        <w:spacing w:before="120" w:after="120" w:line="276" w:lineRule="auto"/>
        <w:ind w:firstLine="709"/>
        <w:jc w:val="both"/>
        <w:rPr>
          <w:rFonts w:ascii="Verdana" w:eastAsia="Calibri" w:hAnsi="Verdana" w:cs="Arial"/>
          <w:lang w:val="es-ES"/>
        </w:rPr>
      </w:pPr>
      <w:r w:rsidRPr="00D0435F">
        <w:rPr>
          <w:rFonts w:ascii="Verdana" w:eastAsia="Calibri" w:hAnsi="Verdana" w:cs="Arial"/>
          <w:lang w:val="es-ES"/>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w:t>
      </w:r>
      <w:r w:rsidRPr="00D0435F">
        <w:rPr>
          <w:rFonts w:ascii="Verdana" w:eastAsia="Calibri" w:hAnsi="Verdana" w:cs="Arial"/>
          <w:i/>
          <w:iCs/>
          <w:lang w:val="es-ES"/>
        </w:rPr>
        <w:t>Proceso de Contratación</w:t>
      </w:r>
      <w:r w:rsidRPr="00D0435F">
        <w:rPr>
          <w:rFonts w:ascii="Verdana" w:eastAsia="Calibri" w:hAnsi="Verdana" w:cs="Arial"/>
          <w:lang w:val="es-ES"/>
        </w:rPr>
        <w:t xml:space="preserve">, esto es, desde la fase de planeación hasta “el vencimiento de las garantías de calidad, estabilidad y mantenimiento, o las condiciones de disposición final o recuperación ambiental de las obras o bienes o el vencimiento del plazo, lo que ocurra más tarde”, lo que significa que todos los documentos expedidos por la entidad durante las etapas precontractual, de ejecución y </w:t>
      </w:r>
      <w:proofErr w:type="spellStart"/>
      <w:r w:rsidRPr="00D0435F">
        <w:rPr>
          <w:rFonts w:ascii="Verdana" w:eastAsia="Calibri" w:hAnsi="Verdana" w:cs="Arial"/>
          <w:lang w:val="es-ES"/>
        </w:rPr>
        <w:t>postcontractual</w:t>
      </w:r>
      <w:proofErr w:type="spellEnd"/>
      <w:r w:rsidRPr="00D0435F">
        <w:rPr>
          <w:rFonts w:ascii="Verdana" w:eastAsia="Calibri" w:hAnsi="Verdana" w:cs="Arial"/>
          <w:lang w:val="es-ES"/>
        </w:rPr>
        <w:t xml:space="preserve"> deberán ser publicados en SECOP dentro de los tres (3) días siguientes a su expedición, para  cumplir el deber de publicidad regulado por el artículo 2.2.1.1.1.7.1 del Decreto 1082 de 2015.</w:t>
      </w:r>
    </w:p>
    <w:p w14:paraId="2DCE38DF" w14:textId="77777777" w:rsidR="00E41F8A" w:rsidRDefault="00E41F8A" w:rsidP="00E41F8A">
      <w:pPr>
        <w:spacing w:before="120" w:after="120" w:line="276" w:lineRule="auto"/>
        <w:ind w:firstLine="709"/>
        <w:jc w:val="both"/>
        <w:rPr>
          <w:rFonts w:ascii="Verdana" w:eastAsia="Arial" w:hAnsi="Verdana" w:cs="Arial"/>
          <w:lang w:val="es-ES"/>
        </w:rPr>
      </w:pPr>
      <w:r>
        <w:rPr>
          <w:rFonts w:ascii="Verdana" w:eastAsia="Calibri" w:hAnsi="Verdana" w:cs="Arial"/>
          <w:lang w:val="es-ES"/>
        </w:rPr>
        <w:t xml:space="preserve">Adicionalmente, el deber de publicar la actividad contractual de las entidades estatales no solo está regulado en el artículo 3 de la Ley 1150 de 2007 y en el </w:t>
      </w:r>
      <w:r>
        <w:rPr>
          <w:rFonts w:ascii="Verdana" w:eastAsia="Arial" w:hAnsi="Verdana" w:cs="Arial"/>
          <w:lang w:val="es-ES"/>
        </w:rPr>
        <w:t xml:space="preserve">artículo 2.2.1.1.1.7.1 del Decreto 1082 de 2015, sino también en la Ley 1712 de 2014 y en el Decreto 1081 de 2015. Estas normas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Pr>
          <w:rFonts w:ascii="Verdana" w:eastAsia="Arial" w:hAnsi="Verdana" w:cs="Arial"/>
          <w:i/>
          <w:iCs/>
          <w:lang w:val="es-ES"/>
        </w:rPr>
        <w:t xml:space="preserve">Documentos del Proceso </w:t>
      </w:r>
      <w:r>
        <w:rPr>
          <w:rFonts w:ascii="Verdana" w:eastAsia="Arial" w:hAnsi="Verdana" w:cs="Arial"/>
          <w:lang w:val="es-ES"/>
        </w:rPr>
        <w:t xml:space="preserve">expedidos por la “entidad estatal”. </w:t>
      </w:r>
    </w:p>
    <w:p w14:paraId="5B688911" w14:textId="77777777" w:rsidR="00E41F8A" w:rsidRPr="00D0435F" w:rsidRDefault="00E41F8A" w:rsidP="00E41F8A">
      <w:pPr>
        <w:tabs>
          <w:tab w:val="left" w:pos="709"/>
        </w:tabs>
        <w:spacing w:before="120" w:after="120" w:line="276" w:lineRule="auto"/>
        <w:ind w:firstLine="709"/>
        <w:jc w:val="both"/>
        <w:rPr>
          <w:rFonts w:ascii="Verdana" w:eastAsia="Calibri" w:hAnsi="Verdana" w:cs="Arial"/>
          <w:lang w:val="es-ES"/>
        </w:rPr>
      </w:pPr>
      <w:r>
        <w:rPr>
          <w:rFonts w:ascii="Verdana" w:eastAsia="Arial" w:hAnsi="Verdana" w:cs="Arial"/>
          <w:lang w:val="es-ES"/>
        </w:rPr>
        <w:t xml:space="preserve">Es necesario tener en cuenta que la Ley de Transparencia define el concepto de información pública. Por un lado, el literal a) del artículo 6 de la Ley 1712 de 2014 dispone que la </w:t>
      </w:r>
      <w:r>
        <w:rPr>
          <w:rFonts w:ascii="Verdana" w:eastAsia="Arial" w:hAnsi="Verdana" w:cs="Arial"/>
          <w:i/>
          <w:iCs/>
          <w:lang w:val="es-ES"/>
        </w:rPr>
        <w:t>información</w:t>
      </w:r>
      <w:r>
        <w:rPr>
          <w:rFonts w:ascii="Verdana" w:eastAsia="Arial" w:hAnsi="Verdana" w:cs="Arial"/>
          <w:lang w:val="es-ES"/>
        </w:rPr>
        <w:t xml:space="preserve"> se “Se refiere a un conjunto organizado de datos contenido en cualquier documento que los sujetos obligados generen, obtengan, adquieran, transformen o controlen”. Además, el literal b) </w:t>
      </w:r>
      <w:r>
        <w:rPr>
          <w:rFonts w:ascii="Verdana" w:eastAsia="Arial" w:hAnsi="Verdana" w:cs="Arial"/>
          <w:i/>
          <w:iCs/>
          <w:lang w:val="es-ES"/>
        </w:rPr>
        <w:t>ibidem</w:t>
      </w:r>
      <w:r>
        <w:rPr>
          <w:rFonts w:ascii="Verdana" w:eastAsia="Arial" w:hAnsi="Verdana" w:cs="Arial"/>
          <w:lang w:val="es-ES"/>
        </w:rPr>
        <w:t xml:space="preserve"> </w:t>
      </w:r>
      <w:r>
        <w:rPr>
          <w:rFonts w:ascii="Verdana" w:eastAsia="Arial" w:hAnsi="Verdana" w:cs="Arial"/>
          <w:lang w:val="es-ES"/>
        </w:rPr>
        <w:lastRenderedPageBreak/>
        <w:t xml:space="preserve">define la </w:t>
      </w:r>
      <w:r>
        <w:rPr>
          <w:rFonts w:ascii="Verdana" w:eastAsia="Arial" w:hAnsi="Verdana" w:cs="Arial"/>
          <w:i/>
          <w:iCs/>
          <w:lang w:val="es-ES"/>
        </w:rPr>
        <w:t>información pública</w:t>
      </w:r>
      <w:r>
        <w:rPr>
          <w:rFonts w:ascii="Verdana" w:eastAsia="Arial" w:hAnsi="Verdana" w:cs="Arial"/>
          <w:lang w:val="es-ES"/>
        </w:rPr>
        <w:t xml:space="preserve"> como “[…] toda información que un sujeto obligado genere, obtenga, adquiera, o controle en su calidad de tal. </w:t>
      </w:r>
    </w:p>
    <w:p w14:paraId="545F4B02" w14:textId="77777777" w:rsidR="00E41F8A" w:rsidRPr="004A3104" w:rsidRDefault="00E41F8A" w:rsidP="00E41F8A">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Respecto del plazo para la publicación, s</w:t>
      </w:r>
      <w:r w:rsidRPr="004A3104">
        <w:rPr>
          <w:rFonts w:ascii="Verdana" w:eastAsia="Arial" w:hAnsi="Verdana" w:cs="Arial"/>
          <w:lang w:val="es-ES"/>
        </w:rPr>
        <w:t>i bien la norma no indica si se trata de días hábiles o calendario, esta Agencia ha explicado que dicho término debe interpretarse de acuerdo con las disposiciones del Capítulo VI de la Ley 4 de 1913. Particularmente, el artículo 62 establece que de los plazos de días señalados en la ley deben entenderse suprimidos los feriados, y que cuando se aluda a meses se computarán conforme al calendario, extendiéndose hasta el día hábil siguiente si el mes termina en un día feriado o vacante</w:t>
      </w:r>
      <w:r w:rsidRPr="004A3104">
        <w:rPr>
          <w:rStyle w:val="Refdenotaalpie"/>
          <w:rFonts w:ascii="Verdana" w:eastAsia="Arial" w:hAnsi="Verdana" w:cs="Arial"/>
          <w:lang w:val="es-ES"/>
        </w:rPr>
        <w:footnoteReference w:id="26"/>
      </w:r>
      <w:r w:rsidRPr="004A3104">
        <w:rPr>
          <w:rFonts w:ascii="Verdana" w:eastAsia="Arial" w:hAnsi="Verdana" w:cs="Arial"/>
          <w:lang w:val="es-ES"/>
        </w:rPr>
        <w:t>, lo que significa que lo días referidos en la ley deben entenderse como hábiles</w:t>
      </w:r>
      <w:r w:rsidRPr="004A3104">
        <w:rPr>
          <w:rStyle w:val="Refdenotaalpie"/>
          <w:rFonts w:ascii="Verdana" w:eastAsia="Arial" w:hAnsi="Verdana" w:cs="Arial"/>
          <w:lang w:val="es-ES"/>
        </w:rPr>
        <w:footnoteReference w:id="27"/>
      </w:r>
      <w:r w:rsidRPr="004A3104">
        <w:rPr>
          <w:rFonts w:ascii="Verdana" w:eastAsia="Arial" w:hAnsi="Verdana" w:cs="Arial"/>
          <w:lang w:val="es-ES"/>
        </w:rPr>
        <w:t>.</w:t>
      </w:r>
    </w:p>
    <w:p w14:paraId="66CD72E7" w14:textId="77777777" w:rsidR="00E41F8A" w:rsidRDefault="00E41F8A" w:rsidP="00E41F8A">
      <w:pPr>
        <w:widowControl w:val="0"/>
        <w:autoSpaceDE w:val="0"/>
        <w:autoSpaceDN w:val="0"/>
        <w:spacing w:after="120" w:line="276" w:lineRule="auto"/>
        <w:ind w:firstLine="709"/>
        <w:jc w:val="both"/>
        <w:rPr>
          <w:rFonts w:ascii="Verdana" w:eastAsia="Arial" w:hAnsi="Verdana" w:cs="Arial"/>
          <w:lang w:val="es-ES"/>
        </w:rPr>
      </w:pPr>
      <w:r w:rsidRPr="004A3104">
        <w:rPr>
          <w:rFonts w:ascii="Verdana" w:eastAsia="Arial" w:hAnsi="Verdana" w:cs="Arial"/>
          <w:lang w:val="es-ES"/>
        </w:rPr>
        <w:t xml:space="preserve">De acuerdo con lo anterior, estando integrado por </w:t>
      </w:r>
      <w:r w:rsidRPr="004A3104">
        <w:rPr>
          <w:rFonts w:ascii="Verdana" w:eastAsia="Arial" w:hAnsi="Verdana" w:cs="Arial"/>
          <w:i/>
          <w:iCs/>
          <w:lang w:val="es-ES"/>
        </w:rPr>
        <w:t>días</w:t>
      </w:r>
      <w:r w:rsidRPr="004A3104">
        <w:rPr>
          <w:rFonts w:ascii="Verdana" w:eastAsia="Arial" w:hAnsi="Verdana" w:cs="Arial"/>
          <w:lang w:val="es-ES"/>
        </w:rPr>
        <w:t xml:space="preserve"> el plazo señalado en el artículo 2.2.1.1.1.7.1 del Decreto 1082 de 2015, respecto de los cuales no se realiza distinción alguna, de conformidad con lo dispuesto en el artículo 62 de la Ley 4 de 1913 resulta palmario que se trata de un término de cuyo cómputo deben suprimirse los días vacantes o feriados, lo que significa que se trata de un plazo de 3 días hábiles.</w:t>
      </w:r>
      <w:r>
        <w:rPr>
          <w:rFonts w:ascii="Verdana" w:eastAsia="Arial" w:hAnsi="Verdana" w:cs="Arial"/>
          <w:lang w:val="es-ES"/>
        </w:rPr>
        <w:t xml:space="preserve"> </w:t>
      </w:r>
      <w:r w:rsidRPr="004A3104">
        <w:rPr>
          <w:rFonts w:ascii="Verdana" w:eastAsia="Arial" w:hAnsi="Verdana" w:cs="Arial"/>
          <w:lang w:val="es-ES"/>
        </w:rPr>
        <w:t xml:space="preserve">Esto significa que, las entidades estatales, en principio, deben publicar cada uno de los </w:t>
      </w:r>
      <w:r w:rsidRPr="004A3104">
        <w:rPr>
          <w:rFonts w:ascii="Verdana" w:eastAsia="Arial" w:hAnsi="Verdana" w:cs="Arial"/>
          <w:i/>
          <w:iCs/>
          <w:lang w:val="es-ES"/>
        </w:rPr>
        <w:t xml:space="preserve">Documentos del Proceso </w:t>
      </w:r>
      <w:r w:rsidRPr="004A3104">
        <w:rPr>
          <w:rFonts w:ascii="Verdana" w:eastAsia="Arial" w:hAnsi="Verdana" w:cs="Arial"/>
          <w:lang w:val="es-ES"/>
        </w:rPr>
        <w:t>dentro de los 3 días hábiles siguientes a la expedición, de tal manera que, conforme avanza el proceso, se vaya realizando la publicación de cada una de las actuaciones que lo desarrollan, dentro del plazo señalado.</w:t>
      </w:r>
    </w:p>
    <w:p w14:paraId="72BDE653" w14:textId="77777777" w:rsidR="00E41F8A" w:rsidRPr="005A2AD6" w:rsidRDefault="00E41F8A" w:rsidP="00E41F8A">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En concordancia con lo anterior,</w:t>
      </w:r>
      <w:r>
        <w:rPr>
          <w:rFonts w:ascii="Verdana" w:hAnsi="Verdana"/>
        </w:rPr>
        <w:t xml:space="preserve"> la Circular Externa Única, recordó a todas las entidades del Estado el deber de publicar oportunamente su actividad contractual en el SECOP y señaló que las Entidades que aún utilizan el SECOP I están obligadas a publicar en este sistema los Documentos del Proceso dentro de los tres (3) días siguientes a su expedición, por disposición del artículo </w:t>
      </w:r>
      <w:r>
        <w:rPr>
          <w:rFonts w:ascii="Verdana" w:hAnsi="Verdana"/>
        </w:rPr>
        <w:lastRenderedPageBreak/>
        <w:t>2.2.1.1.1.7.1 del decreto 1082 de 2015.</w:t>
      </w:r>
    </w:p>
    <w:p w14:paraId="7A39F942" w14:textId="77777777" w:rsidR="00E41F8A" w:rsidRPr="00AA0C47" w:rsidRDefault="00E41F8A" w:rsidP="00E41F8A">
      <w:pPr>
        <w:spacing w:after="120" w:line="276" w:lineRule="auto"/>
        <w:ind w:firstLine="709"/>
        <w:jc w:val="both"/>
        <w:rPr>
          <w:rFonts w:ascii="Verdana" w:hAnsi="Verdana" w:cs="Arial"/>
          <w:shd w:val="clear" w:color="auto" w:fill="FFFFFF"/>
        </w:rPr>
      </w:pPr>
      <w:r>
        <w:rPr>
          <w:rFonts w:ascii="Verdana" w:hAnsi="Verdana" w:cs="Arial"/>
          <w:shd w:val="clear" w:color="auto" w:fill="FFFFFF"/>
        </w:rPr>
        <w:t xml:space="preserve">Asi las cosas, es clara la obligatoriedad de publicar la información de la actividad contractual dentro de los 3 días hábiles siguientes a su expedición en el SECOP I, lo que incluye todos los documentos generados durante las fases precontractual, contractual y </w:t>
      </w:r>
      <w:proofErr w:type="spellStart"/>
      <w:r>
        <w:rPr>
          <w:rFonts w:ascii="Verdana" w:hAnsi="Verdana" w:cs="Arial"/>
          <w:shd w:val="clear" w:color="auto" w:fill="FFFFFF"/>
        </w:rPr>
        <w:t>postcontractual</w:t>
      </w:r>
      <w:proofErr w:type="spellEnd"/>
      <w:r>
        <w:rPr>
          <w:rFonts w:ascii="Verdana" w:hAnsi="Verdana" w:cs="Arial"/>
          <w:shd w:val="clear" w:color="auto" w:fill="FFFFFF"/>
        </w:rPr>
        <w:t>, como contratos, actos administrativos e información generada con ocasión al proceso de contratación. Esto tiene como objetivo garantizar la transparencia, el acceso público a la información y el control social sobre la contratación pública, permitiendo que la ciudadanía tenga acceso a los documentos en un sistema unificado y oficial.</w:t>
      </w:r>
    </w:p>
    <w:p w14:paraId="1D1C439A" w14:textId="77777777" w:rsidR="00E41F8A" w:rsidRDefault="00E41F8A" w:rsidP="00E41F8A">
      <w:pPr>
        <w:spacing w:after="120" w:line="276" w:lineRule="auto"/>
        <w:ind w:firstLine="709"/>
        <w:jc w:val="both"/>
        <w:rPr>
          <w:rFonts w:ascii="Verdana" w:eastAsia="Calibri" w:hAnsi="Verdana" w:cs="Arial"/>
          <w:lang w:val="es-ES"/>
        </w:rPr>
      </w:pPr>
      <w:r>
        <w:rPr>
          <w:rFonts w:ascii="Verdana" w:eastAsia="Calibri" w:hAnsi="Verdana" w:cs="Arial"/>
          <w:lang w:val="es-ES"/>
        </w:rPr>
        <w:t>Bajo este contexto</w:t>
      </w:r>
      <w:r w:rsidRPr="00D16B34">
        <w:rPr>
          <w:rFonts w:ascii="Verdana" w:eastAsia="Calibri" w:hAnsi="Verdana" w:cs="Arial"/>
          <w:lang w:val="es-ES"/>
        </w:rPr>
        <w:t>,</w:t>
      </w:r>
      <w:r>
        <w:rPr>
          <w:rFonts w:ascii="Verdana" w:eastAsia="Calibri" w:hAnsi="Verdana" w:cs="Arial"/>
          <w:lang w:val="es-ES"/>
        </w:rPr>
        <w:t xml:space="preserve"> es pertinente señalar que debido a </w:t>
      </w:r>
      <w:r w:rsidRPr="00D16B34">
        <w:rPr>
          <w:rFonts w:ascii="Verdana" w:eastAsia="Calibri" w:hAnsi="Verdana" w:cs="Arial"/>
          <w:lang w:val="es-ES"/>
        </w:rPr>
        <w:t xml:space="preserve">que </w:t>
      </w:r>
      <w:r>
        <w:rPr>
          <w:rFonts w:ascii="Verdana" w:eastAsia="Calibri" w:hAnsi="Verdana" w:cs="Arial"/>
          <w:lang w:val="es-ES"/>
        </w:rPr>
        <w:t xml:space="preserve">en la plataforma del SECOP I los documentos se generan por escritos y luego se deben publicar en dicha plataforma, particularmente el contrato deberá suscribirse en físico y posteriormente publicarse dentro del plazo de tres (3) días previsto en el artículo 2.2.1.1.1.7.1 del Decreto 1082 de 2015. </w:t>
      </w:r>
    </w:p>
    <w:p w14:paraId="605A30B4" w14:textId="77777777" w:rsidR="00E41F8A" w:rsidRPr="00FB012D" w:rsidRDefault="00E41F8A" w:rsidP="00E41F8A">
      <w:pPr>
        <w:spacing w:after="120" w:line="276" w:lineRule="auto"/>
        <w:ind w:firstLine="709"/>
        <w:jc w:val="both"/>
        <w:rPr>
          <w:rFonts w:ascii="Verdana" w:eastAsia="Calibri" w:hAnsi="Verdana" w:cs="Arial"/>
        </w:rPr>
      </w:pPr>
      <w:r w:rsidRPr="00D16B34">
        <w:rPr>
          <w:rFonts w:ascii="Verdana" w:eastAsia="Calibri" w:hAnsi="Verdana" w:cs="Arial"/>
          <w:lang w:val="es-ES"/>
        </w:rPr>
        <w:t xml:space="preserve">En consecuencia, </w:t>
      </w:r>
      <w:r>
        <w:rPr>
          <w:rFonts w:ascii="Verdana" w:eastAsia="Calibri" w:hAnsi="Verdana" w:cs="Arial"/>
          <w:lang w:val="es-ES"/>
        </w:rPr>
        <w:t xml:space="preserve">en atención a la consulta planteada, </w:t>
      </w:r>
      <w:r w:rsidRPr="00D16B34">
        <w:rPr>
          <w:rFonts w:ascii="Verdana" w:eastAsia="Calibri" w:hAnsi="Verdana" w:cs="Arial"/>
          <w:lang w:val="es-ES"/>
        </w:rPr>
        <w:t xml:space="preserve">tratándose de procesos gestionados en SECOP I, </w:t>
      </w:r>
      <w:r>
        <w:rPr>
          <w:rFonts w:ascii="Verdana" w:eastAsia="Calibri" w:hAnsi="Verdana" w:cs="Arial"/>
          <w:lang w:val="es-ES"/>
        </w:rPr>
        <w:t xml:space="preserve">la celebración del contrato </w:t>
      </w:r>
      <w:r w:rsidRPr="00D16B34">
        <w:rPr>
          <w:rFonts w:ascii="Verdana" w:eastAsia="Calibri" w:hAnsi="Verdana" w:cs="Arial"/>
          <w:lang w:val="es-ES"/>
        </w:rPr>
        <w:t>debe realizarse antes de la entrada en vigencia de las restricciones previstas en la Ley de Garantías</w:t>
      </w:r>
      <w:r>
        <w:rPr>
          <w:rFonts w:ascii="Verdana" w:eastAsia="Calibri" w:hAnsi="Verdana" w:cs="Arial"/>
          <w:lang w:val="es-ES"/>
        </w:rPr>
        <w:t xml:space="preserve"> Electorales</w:t>
      </w:r>
      <w:r w:rsidRPr="00D16B34">
        <w:rPr>
          <w:rFonts w:ascii="Verdana" w:eastAsia="Calibri" w:hAnsi="Verdana" w:cs="Arial"/>
          <w:lang w:val="es-ES"/>
        </w:rPr>
        <w:t xml:space="preserve">. </w:t>
      </w:r>
      <w:r>
        <w:rPr>
          <w:rFonts w:ascii="Verdana" w:eastAsia="Calibri" w:hAnsi="Verdana" w:cs="Arial"/>
          <w:lang w:val="es-ES"/>
        </w:rPr>
        <w:t xml:space="preserve">Conforme se explicó, el concepto de </w:t>
      </w:r>
      <w:r w:rsidRPr="00D16B34">
        <w:rPr>
          <w:rFonts w:ascii="Verdana" w:eastAsia="Calibri" w:hAnsi="Verdana" w:cs="Arial"/>
          <w:lang w:val="es-ES"/>
        </w:rPr>
        <w:t xml:space="preserve">“celebrar” para efectos de las restricciones a la contratación previstas </w:t>
      </w:r>
      <w:r>
        <w:rPr>
          <w:rFonts w:ascii="Verdana" w:eastAsia="Calibri" w:hAnsi="Verdana" w:cs="Arial"/>
          <w:lang w:val="es-ES"/>
        </w:rPr>
        <w:t xml:space="preserve">en </w:t>
      </w:r>
      <w:r w:rsidRPr="00D16B34">
        <w:rPr>
          <w:rFonts w:ascii="Verdana" w:eastAsia="Calibri" w:hAnsi="Verdana" w:cs="Arial"/>
          <w:lang w:val="es-ES"/>
        </w:rPr>
        <w:t xml:space="preserve">la Ley de Garantías Electorales se asocia al momento del perfeccionamiento del contrato estatal, </w:t>
      </w:r>
      <w:r>
        <w:rPr>
          <w:rFonts w:ascii="Verdana" w:eastAsia="Calibri" w:hAnsi="Verdana" w:cs="Arial"/>
          <w:lang w:val="es-ES"/>
        </w:rPr>
        <w:t xml:space="preserve">de conformidad con lo dispuesto en el artículo 41 de la Ley 80 de 1993, esto es, que </w:t>
      </w:r>
      <w:r>
        <w:rPr>
          <w:rFonts w:ascii="Verdana" w:eastAsia="Calibri" w:hAnsi="Verdana" w:cs="Arial"/>
        </w:rPr>
        <w:t>exista</w:t>
      </w:r>
      <w:r w:rsidRPr="00467A2E">
        <w:rPr>
          <w:rFonts w:ascii="Verdana" w:eastAsia="Calibri" w:hAnsi="Verdana" w:cs="Arial"/>
        </w:rPr>
        <w:t xml:space="preserve"> acuerdo sobre el objeto y la contraprestación y </w:t>
      </w:r>
      <w:r>
        <w:rPr>
          <w:rFonts w:ascii="Verdana" w:eastAsia="Calibri" w:hAnsi="Verdana" w:cs="Arial"/>
        </w:rPr>
        <w:t xml:space="preserve">este se </w:t>
      </w:r>
      <w:r w:rsidRPr="00467A2E">
        <w:rPr>
          <w:rFonts w:ascii="Verdana" w:eastAsia="Calibri" w:hAnsi="Verdana" w:cs="Arial"/>
        </w:rPr>
        <w:t>eleva a escrito.</w:t>
      </w:r>
    </w:p>
    <w:p w14:paraId="7F0B4759" w14:textId="77777777" w:rsidR="00E41F8A" w:rsidRDefault="00E41F8A" w:rsidP="00E41F8A">
      <w:pPr>
        <w:spacing w:after="120" w:line="276" w:lineRule="auto"/>
        <w:ind w:firstLine="567"/>
        <w:jc w:val="both"/>
        <w:rPr>
          <w:rFonts w:ascii="Verdana" w:eastAsia="Calibri" w:hAnsi="Verdana" w:cs="Arial"/>
          <w:lang w:val="es-ES"/>
        </w:rPr>
      </w:pPr>
      <w:r w:rsidRPr="00D16B34">
        <w:rPr>
          <w:rFonts w:ascii="Verdana" w:eastAsia="Calibri" w:hAnsi="Verdana" w:cs="Arial"/>
          <w:lang w:val="es-ES"/>
        </w:rPr>
        <w:t>De lo contrario, si el perfeccionamiento</w:t>
      </w:r>
      <w:r>
        <w:rPr>
          <w:rFonts w:ascii="Verdana" w:eastAsia="Calibri" w:hAnsi="Verdana" w:cs="Arial"/>
          <w:lang w:val="es-ES"/>
        </w:rPr>
        <w:t xml:space="preserve">, es decir, si la celebración del contrato </w:t>
      </w:r>
      <w:r w:rsidRPr="00D16B34">
        <w:rPr>
          <w:rFonts w:ascii="Verdana" w:eastAsia="Calibri" w:hAnsi="Verdana" w:cs="Arial"/>
          <w:lang w:val="es-ES"/>
        </w:rPr>
        <w:t>se produce cuando ya se encuentra vigente la prohibición establecida en el artículo 33</w:t>
      </w:r>
      <w:r>
        <w:rPr>
          <w:rFonts w:ascii="Verdana" w:eastAsia="Calibri" w:hAnsi="Verdana" w:cs="Arial"/>
          <w:lang w:val="es-ES"/>
        </w:rPr>
        <w:t xml:space="preserve"> ibidem</w:t>
      </w:r>
      <w:r w:rsidRPr="00D16B34">
        <w:rPr>
          <w:rFonts w:ascii="Verdana" w:eastAsia="Calibri" w:hAnsi="Verdana" w:cs="Arial"/>
          <w:lang w:val="es-ES"/>
        </w:rPr>
        <w:t xml:space="preserve">, </w:t>
      </w:r>
      <w:r>
        <w:rPr>
          <w:rFonts w:ascii="Verdana" w:eastAsia="Calibri" w:hAnsi="Verdana" w:cs="Arial"/>
          <w:lang w:val="es-ES"/>
        </w:rPr>
        <w:t xml:space="preserve">se entiende </w:t>
      </w:r>
      <w:r w:rsidRPr="00D16B34">
        <w:rPr>
          <w:rFonts w:ascii="Verdana" w:eastAsia="Calibri" w:hAnsi="Verdana" w:cs="Arial"/>
          <w:lang w:val="es-ES"/>
        </w:rPr>
        <w:t xml:space="preserve">que el contrato fue celebrado en vigencia de dicha restricción, con las consecuencias jurídicas a que haya lugar, sin que resulte suficiente que etapas previas del proceso se hubieren </w:t>
      </w:r>
      <w:r>
        <w:rPr>
          <w:rFonts w:ascii="Verdana" w:eastAsia="Calibri" w:hAnsi="Verdana" w:cs="Arial"/>
          <w:lang w:val="es-ES"/>
        </w:rPr>
        <w:t xml:space="preserve">publicado </w:t>
      </w:r>
      <w:r w:rsidRPr="00D16B34">
        <w:rPr>
          <w:rFonts w:ascii="Verdana" w:eastAsia="Calibri" w:hAnsi="Verdana" w:cs="Arial"/>
          <w:lang w:val="es-ES"/>
        </w:rPr>
        <w:t>con anterioridad</w:t>
      </w:r>
      <w:r>
        <w:rPr>
          <w:rFonts w:ascii="Verdana" w:eastAsia="Calibri" w:hAnsi="Verdana" w:cs="Arial"/>
          <w:lang w:val="es-ES"/>
        </w:rPr>
        <w:t xml:space="preserve"> en dicha plataforma. </w:t>
      </w:r>
    </w:p>
    <w:p w14:paraId="6EBD18FD" w14:textId="77777777" w:rsidR="00E41F8A" w:rsidRPr="00582210" w:rsidRDefault="00E41F8A" w:rsidP="00E41F8A">
      <w:pPr>
        <w:spacing w:after="120" w:line="276" w:lineRule="auto"/>
        <w:ind w:firstLine="709"/>
        <w:jc w:val="both"/>
        <w:rPr>
          <w:rFonts w:ascii="Verdana" w:hAnsi="Verdana" w:cs="Arial"/>
          <w:bCs/>
          <w:lang w:val="es-ES_tradnl" w:eastAsia="es-CO"/>
        </w:rPr>
      </w:pPr>
      <w:r>
        <w:rPr>
          <w:rFonts w:ascii="Verdana" w:eastAsia="Calibri" w:hAnsi="Verdana" w:cs="Arial"/>
          <w:lang w:val="es-ES"/>
        </w:rPr>
        <w:t>Bajo estas consideraciones, el contrato se debe perfeccionar antes de la entrada en vigencia de la Ley de Garantías Electorales y la publicación en el SECOP I debe realizarse dentro del plazo de (3) días hábiles siguientes a su expedición conforme lo previsto en el artículo 2.2.1.1.1.7.1 del Decreto 1082 de 2015. En este escenario, la publicación no estaría cobijada por las restricciones contempladas en los artículos 33 y 38 de la Ley de Gara</w:t>
      </w:r>
      <w:r>
        <w:rPr>
          <w:rFonts w:ascii="Verdana" w:eastAsia="Times New Roman" w:hAnsi="Verdana" w:cs="Arial"/>
          <w:bCs/>
          <w:lang w:val="es-ES" w:eastAsia="es-CO"/>
        </w:rPr>
        <w:t xml:space="preserve">ntías Electorales pues </w:t>
      </w:r>
      <w:r>
        <w:rPr>
          <w:rFonts w:ascii="Verdana" w:eastAsia="Times New Roman" w:hAnsi="Verdana" w:cs="Arial"/>
          <w:bCs/>
          <w:lang w:val="es-ES" w:eastAsia="es-CO"/>
        </w:rPr>
        <w:lastRenderedPageBreak/>
        <w:t xml:space="preserve">estas normas </w:t>
      </w:r>
      <w:r>
        <w:rPr>
          <w:rFonts w:ascii="Verdana" w:hAnsi="Verdana" w:cs="Arial"/>
          <w:bCs/>
          <w:lang w:val="es-ES_tradnl" w:eastAsia="es-CO"/>
        </w:rPr>
        <w:t xml:space="preserve">prohíben la celebración de contratos directos y no su publicación, actuaciones que se surten por separado en la plataforma del SECOP I. Debe destacarse que las disposiciones normativas que establecen prohibiciones deben interpretarse restrictivamente, para no ampliar de manera injustificada sus supuestos de hecho a circunstancias que, en sentido lógico, no caben en aquellos. </w:t>
      </w:r>
    </w:p>
    <w:p w14:paraId="6774A542" w14:textId="77777777" w:rsidR="00E41F8A" w:rsidRPr="00476023" w:rsidRDefault="00E41F8A" w:rsidP="00E41F8A">
      <w:pPr>
        <w:spacing w:after="120" w:line="276" w:lineRule="auto"/>
        <w:ind w:firstLine="567"/>
        <w:jc w:val="both"/>
        <w:rPr>
          <w:rFonts w:ascii="Verdana" w:eastAsia="Calibri" w:hAnsi="Verdana" w:cs="Arial"/>
          <w:lang w:val="es-ES"/>
        </w:rPr>
      </w:pPr>
      <w:r>
        <w:rPr>
          <w:rFonts w:ascii="Verdana" w:eastAsia="Calibri" w:hAnsi="Verdana" w:cs="Arial"/>
          <w:lang w:val="es-ES"/>
        </w:rPr>
        <w:t xml:space="preserve">En todo caso, lo señalado no puede entenderse como una habilitación para que las entidades bajo el pretexto de publicar dentro de los 3 días hábiles siguientes celebren contratos durante la vigencia de las restricciones de la Ley de Garantías Electorales con una apariencia de legalidad. Es importante resaltar que los contratos que se suscriban durante dicho periodo podrían estar viciados de nulidad de conformidad con </w:t>
      </w:r>
      <w:r>
        <w:rPr>
          <w:rFonts w:ascii="Verdana" w:eastAsia="Times New Roman" w:hAnsi="Verdana" w:cs="Arial"/>
          <w:bCs/>
          <w:lang w:val="es-ES" w:eastAsia="es-CO"/>
        </w:rPr>
        <w:t xml:space="preserve">lo dispuesto en el artículo 44 de la Ley 80 de 1993, sin perjuicio de las responsabilidades de tipo penal, disciplinario y fiscal que haya lugar. Adicionalmente, incumplimiento del deber legal de publicación dentro del término establecido en el </w:t>
      </w:r>
      <w:r>
        <w:rPr>
          <w:rFonts w:ascii="Verdana" w:eastAsia="Calibri" w:hAnsi="Verdana" w:cs="Arial"/>
          <w:lang w:val="es-ES"/>
        </w:rPr>
        <w:t xml:space="preserve">2.2.1.1.1.7.1 del Decreto 1082 de 2015, puede generar responsabilidades respectivas para el servidor público encargado. </w:t>
      </w:r>
    </w:p>
    <w:p w14:paraId="00F4BEDB" w14:textId="77777777" w:rsidR="00E41F8A" w:rsidRDefault="00E41F8A" w:rsidP="00E41F8A">
      <w:pPr>
        <w:spacing w:after="120" w:line="276" w:lineRule="auto"/>
        <w:ind w:firstLine="567"/>
        <w:jc w:val="both"/>
        <w:rPr>
          <w:rFonts w:ascii="Verdana" w:eastAsia="Times New Roman" w:hAnsi="Verdana" w:cs="Arial"/>
          <w:bCs/>
          <w:lang w:eastAsia="x-none"/>
        </w:rPr>
      </w:pPr>
      <w:r>
        <w:rPr>
          <w:rFonts w:ascii="Verdana" w:eastAsia="Times New Roman" w:hAnsi="Verdana" w:cs="Arial"/>
          <w:bCs/>
          <w:lang w:val="es-MX" w:eastAsia="x-none"/>
        </w:rPr>
        <w:t xml:space="preserve">Finalmente, </w:t>
      </w:r>
      <w:r w:rsidRPr="00F85BDC">
        <w:rPr>
          <w:rFonts w:ascii="Verdana" w:eastAsia="Times New Roman" w:hAnsi="Verdana" w:cs="Arial"/>
          <w:bCs/>
          <w:lang w:eastAsia="x-none"/>
        </w:rPr>
        <w:t xml:space="preserve">resulta pertinente </w:t>
      </w:r>
      <w:r>
        <w:rPr>
          <w:rFonts w:ascii="Verdana" w:eastAsia="Times New Roman" w:hAnsi="Verdana" w:cs="Arial"/>
          <w:bCs/>
          <w:lang w:eastAsia="x-none"/>
        </w:rPr>
        <w:t>enfatizar</w:t>
      </w:r>
      <w:r w:rsidRPr="00F85BDC">
        <w:rPr>
          <w:rFonts w:ascii="Verdana" w:eastAsia="Times New Roman" w:hAnsi="Verdana" w:cs="Arial"/>
          <w:bCs/>
          <w:lang w:eastAsia="x-none"/>
        </w:rPr>
        <w:t xml:space="preserve"> en el deber de planeación que asiste a las entidades estatales, el cual impone la obligación de estructurar y adelantar oportunamente las actuaciones precontractuales y contractuales necesarias para el cumplimiento de sus fines. Una adecuada </w:t>
      </w:r>
      <w:r>
        <w:rPr>
          <w:rFonts w:ascii="Verdana" w:eastAsia="Times New Roman" w:hAnsi="Verdana" w:cs="Arial"/>
          <w:bCs/>
          <w:lang w:eastAsia="x-none"/>
        </w:rPr>
        <w:t xml:space="preserve">planeación en la gestión de los procesos, </w:t>
      </w:r>
      <w:r w:rsidRPr="00F85BDC">
        <w:rPr>
          <w:rFonts w:ascii="Verdana" w:eastAsia="Times New Roman" w:hAnsi="Verdana" w:cs="Arial"/>
          <w:bCs/>
          <w:lang w:eastAsia="x-none"/>
        </w:rPr>
        <w:t>especialmente en contextos sujetos a restricciones temporales como las derivadas de la Ley de Garantías</w:t>
      </w:r>
      <w:r>
        <w:rPr>
          <w:rFonts w:ascii="Verdana" w:eastAsia="Times New Roman" w:hAnsi="Verdana" w:cs="Arial"/>
          <w:bCs/>
          <w:lang w:eastAsia="x-none"/>
        </w:rPr>
        <w:t>,</w:t>
      </w:r>
      <w:r w:rsidRPr="00F85BDC">
        <w:rPr>
          <w:rFonts w:ascii="Verdana" w:eastAsia="Times New Roman" w:hAnsi="Verdana" w:cs="Arial"/>
          <w:bCs/>
          <w:lang w:eastAsia="x-none"/>
        </w:rPr>
        <w:t xml:space="preserve"> permite mitigar riesgos jurídicos y evitar que, por deficiencias</w:t>
      </w:r>
      <w:r>
        <w:rPr>
          <w:rFonts w:ascii="Verdana" w:eastAsia="Times New Roman" w:hAnsi="Verdana" w:cs="Arial"/>
          <w:bCs/>
          <w:lang w:eastAsia="x-none"/>
        </w:rPr>
        <w:t xml:space="preserve"> o retrasos</w:t>
      </w:r>
      <w:r w:rsidRPr="00F85BDC">
        <w:rPr>
          <w:rFonts w:ascii="Verdana" w:eastAsia="Times New Roman" w:hAnsi="Verdana" w:cs="Arial"/>
          <w:bCs/>
          <w:lang w:eastAsia="x-none"/>
        </w:rPr>
        <w:t xml:space="preserve"> en la gestión, se configuren situaciones que puedan dar lugar a eventuales causales de nulidad</w:t>
      </w:r>
      <w:r>
        <w:rPr>
          <w:rFonts w:ascii="Verdana" w:eastAsia="Times New Roman" w:hAnsi="Verdana" w:cs="Arial"/>
          <w:bCs/>
          <w:lang w:eastAsia="x-none"/>
        </w:rPr>
        <w:t xml:space="preserve">. </w:t>
      </w:r>
    </w:p>
    <w:p w14:paraId="484A7DEC" w14:textId="77777777" w:rsidR="00E41F8A" w:rsidRPr="00C55BDE" w:rsidRDefault="00E41F8A" w:rsidP="00E41F8A">
      <w:pPr>
        <w:spacing w:after="120" w:line="276" w:lineRule="auto"/>
        <w:jc w:val="both"/>
        <w:rPr>
          <w:rFonts w:ascii="Verdana" w:eastAsia="Times New Roman" w:hAnsi="Verdana" w:cs="Arial"/>
          <w:lang w:eastAsia="es-CO"/>
        </w:rPr>
      </w:pPr>
      <w:r>
        <w:rPr>
          <w:rFonts w:ascii="Verdana" w:hAnsi="Verdana" w:cs="Arial"/>
          <w:bCs/>
          <w:color w:val="000000" w:themeColor="text1"/>
        </w:rPr>
        <w:t xml:space="preserve">vi. </w:t>
      </w: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CCDA092" w14:textId="77777777" w:rsidR="00E41F8A" w:rsidRPr="00C55BDE" w:rsidRDefault="00E41F8A" w:rsidP="00E41F8A">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796048A" w14:textId="77777777" w:rsidR="00E41F8A" w:rsidRPr="00C55BDE" w:rsidRDefault="00E41F8A" w:rsidP="00E41F8A">
      <w:pPr>
        <w:spacing w:after="0" w:line="276" w:lineRule="auto"/>
        <w:ind w:firstLine="708"/>
        <w:jc w:val="both"/>
        <w:rPr>
          <w:rFonts w:ascii="Verdana" w:hAnsi="Verdana" w:cs="Arial"/>
          <w:bCs/>
          <w:color w:val="000000" w:themeColor="text1"/>
        </w:rPr>
      </w:pPr>
    </w:p>
    <w:p w14:paraId="4138F395" w14:textId="77777777" w:rsidR="00E41F8A" w:rsidRPr="00C55BDE" w:rsidRDefault="00E41F8A" w:rsidP="00E41F8A">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40E55F9D" w14:textId="77777777" w:rsidR="00E41F8A" w:rsidRPr="00C55BDE" w:rsidRDefault="00E41F8A" w:rsidP="00E41F8A">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41F8A" w:rsidRPr="00C55BDE" w14:paraId="5FDD95E1" w14:textId="77777777" w:rsidTr="00E30C97">
        <w:trPr>
          <w:trHeight w:val="491"/>
          <w:jc w:val="center"/>
        </w:trPr>
        <w:tc>
          <w:tcPr>
            <w:tcW w:w="8647" w:type="dxa"/>
          </w:tcPr>
          <w:p w14:paraId="3A91E4A0" w14:textId="77777777" w:rsidR="00E41F8A" w:rsidRPr="00C55BDE" w:rsidRDefault="00E41F8A" w:rsidP="00E30C97">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artículos 127, 329, 356.</w:t>
            </w:r>
          </w:p>
          <w:p w14:paraId="09FC98C2" w14:textId="77777777" w:rsidR="00E41F8A" w:rsidRPr="00C55BDE" w:rsidRDefault="00E41F8A" w:rsidP="00E30C97">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eastAsia="Arial MT" w:hAnsi="Verdana" w:cs="Arial"/>
                <w:bCs/>
                <w:lang w:val="es-ES" w:eastAsia="es-ES" w:bidi="es-ES"/>
              </w:rPr>
              <w:t>Ley 996 de 2005, artículos 33 y 38.</w:t>
            </w:r>
          </w:p>
          <w:p w14:paraId="3A7CFAA8" w14:textId="77777777" w:rsidR="00E41F8A" w:rsidRPr="00C55BDE" w:rsidRDefault="00E41F8A" w:rsidP="00E30C97">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hAnsi="Verdana" w:cs="Arial"/>
                <w:bCs/>
                <w:color w:val="000000" w:themeColor="text1"/>
                <w:lang w:val="es-ES"/>
              </w:rPr>
              <w:t>Decreto</w:t>
            </w:r>
            <w:r>
              <w:rPr>
                <w:rFonts w:ascii="Verdana" w:hAnsi="Verdana" w:cs="Arial"/>
                <w:bCs/>
                <w:color w:val="000000" w:themeColor="text1"/>
                <w:lang w:val="es-ES"/>
              </w:rPr>
              <w:t xml:space="preserve"> 1082 de 2015</w:t>
            </w:r>
            <w:r w:rsidRPr="00C55BDE">
              <w:rPr>
                <w:rFonts w:ascii="Verdana" w:hAnsi="Verdana" w:cs="Arial"/>
                <w:bCs/>
                <w:color w:val="000000" w:themeColor="text1"/>
                <w:lang w:val="es-ES"/>
              </w:rPr>
              <w:t>, artículo</w:t>
            </w:r>
            <w:r>
              <w:rPr>
                <w:rFonts w:ascii="Verdana" w:hAnsi="Verdana" w:cs="Arial"/>
                <w:bCs/>
                <w:color w:val="000000" w:themeColor="text1"/>
                <w:lang w:val="es-ES"/>
              </w:rPr>
              <w:t>s</w:t>
            </w:r>
            <w:r w:rsidRPr="00C55BDE">
              <w:rPr>
                <w:rFonts w:ascii="Verdana" w:hAnsi="Verdana" w:cs="Arial"/>
                <w:bCs/>
                <w:color w:val="000000" w:themeColor="text1"/>
                <w:lang w:val="es-ES"/>
              </w:rPr>
              <w:t xml:space="preserve"> </w:t>
            </w:r>
            <w:r w:rsidRPr="00E402D5">
              <w:rPr>
                <w:rFonts w:ascii="Verdana" w:eastAsia="Calibri" w:hAnsi="Verdana" w:cs="Arial"/>
                <w:lang w:val="es-ES"/>
              </w:rPr>
              <w:t>2.2.1.1.1.7.1</w:t>
            </w:r>
            <w:r>
              <w:rPr>
                <w:rFonts w:ascii="Verdana" w:eastAsia="Calibri" w:hAnsi="Verdana" w:cs="Arial"/>
                <w:lang w:val="es-ES"/>
              </w:rPr>
              <w:t xml:space="preserve">, y </w:t>
            </w:r>
            <w:r w:rsidRPr="00E402D5">
              <w:rPr>
                <w:rFonts w:ascii="Verdana" w:eastAsia="Calibri" w:hAnsi="Verdana" w:cs="Arial"/>
                <w:lang w:val="es-ES"/>
              </w:rPr>
              <w:t>2.2.1.1.1.3.1</w:t>
            </w:r>
          </w:p>
          <w:p w14:paraId="67A8D100" w14:textId="77777777" w:rsidR="00E41F8A" w:rsidRPr="00C55BDE" w:rsidRDefault="00E41F8A" w:rsidP="00E30C97">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pt-BR"/>
              </w:rPr>
              <w:t>Corte Constitucional. Sentencia C-671 de 2015. M.P. Alberto Rojas Ríos.</w:t>
            </w:r>
          </w:p>
          <w:p w14:paraId="5266E243" w14:textId="77777777" w:rsidR="00E41F8A" w:rsidRPr="00C55BDE" w:rsidRDefault="00E41F8A" w:rsidP="00E30C97">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Sección Primera. Sentencia de 3 de marzo de 2005,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50030872" w14:textId="77777777" w:rsidR="00E41F8A" w:rsidRPr="00C55BDE" w:rsidRDefault="00E41F8A" w:rsidP="00E30C97">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15 de noviembre de 2007. Expediente número 1863. Consejero Ponente: Luis Fernando Álvarez Jaramillo</w:t>
            </w:r>
          </w:p>
          <w:p w14:paraId="1F67CAAB" w14:textId="77777777" w:rsidR="00E41F8A" w:rsidRPr="00C55BDE" w:rsidRDefault="00E41F8A" w:rsidP="00E30C97">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24 de julio de 2013, Rad. 2166, C. P. Álvaro Namén Vargas. </w:t>
            </w:r>
          </w:p>
          <w:p w14:paraId="6BD6C002" w14:textId="77777777" w:rsidR="00E41F8A" w:rsidRPr="00C55BDE" w:rsidRDefault="00E41F8A" w:rsidP="00E30C97">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2 de septiembre de 2013 Radicado No: 2168. CP: Alvaro Namén Vargas.</w:t>
            </w:r>
          </w:p>
          <w:p w14:paraId="28910E48" w14:textId="77777777" w:rsidR="00E41F8A" w:rsidRPr="00D46D5B" w:rsidRDefault="00E41F8A" w:rsidP="00E30C97">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tc>
      </w:tr>
    </w:tbl>
    <w:p w14:paraId="52CBBBA5" w14:textId="77777777" w:rsidR="00E41F8A" w:rsidRPr="00C55BDE" w:rsidRDefault="00E41F8A" w:rsidP="00E41F8A">
      <w:pPr>
        <w:widowControl w:val="0"/>
        <w:autoSpaceDE w:val="0"/>
        <w:autoSpaceDN w:val="0"/>
        <w:spacing w:after="0" w:line="276" w:lineRule="auto"/>
        <w:jc w:val="both"/>
        <w:rPr>
          <w:rFonts w:ascii="Verdana" w:hAnsi="Verdana" w:cs="Arial"/>
          <w:lang w:val="es-ES_tradnl"/>
        </w:rPr>
      </w:pPr>
    </w:p>
    <w:p w14:paraId="6CEA79C9" w14:textId="77777777" w:rsidR="00E41F8A" w:rsidRPr="00C55BDE" w:rsidRDefault="00E41F8A" w:rsidP="00E41F8A">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Doctrina de la Agencia Nacional de Contratación Pública:</w:t>
      </w:r>
    </w:p>
    <w:p w14:paraId="7A4F13D8" w14:textId="77777777" w:rsidR="00E41F8A" w:rsidRPr="00C55BDE" w:rsidRDefault="00E41F8A" w:rsidP="00E41F8A">
      <w:pPr>
        <w:widowControl w:val="0"/>
        <w:autoSpaceDE w:val="0"/>
        <w:autoSpaceDN w:val="0"/>
        <w:spacing w:after="0" w:line="276" w:lineRule="auto"/>
        <w:jc w:val="both"/>
        <w:rPr>
          <w:rFonts w:ascii="Verdana" w:hAnsi="Verdana" w:cs="Arial"/>
          <w:lang w:val="es-ES_tradnl"/>
        </w:rPr>
      </w:pPr>
    </w:p>
    <w:p w14:paraId="46B9412D" w14:textId="77777777" w:rsidR="00E41F8A" w:rsidRPr="00C55BDE" w:rsidRDefault="00E41F8A" w:rsidP="00E41F8A">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lastRenderedPageBreak/>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w:t>
      </w:r>
      <w:r>
        <w:rPr>
          <w:rFonts w:ascii="Verdana" w:hAnsi="Verdana" w:cs="Arial"/>
          <w:shd w:val="clear" w:color="auto" w:fill="FFFFFF"/>
        </w:rPr>
        <w:t xml:space="preserve"> y C-1608 del 4 de diciembre de 2025</w:t>
      </w:r>
      <w:r w:rsidRPr="00C55BDE">
        <w:rPr>
          <w:rFonts w:ascii="Verdana" w:hAnsi="Verdana" w:cs="Arial"/>
          <w:shd w:val="clear" w:color="auto" w:fill="FFFFFF"/>
        </w:rPr>
        <w:t>.</w:t>
      </w:r>
    </w:p>
    <w:p w14:paraId="4C0630FE" w14:textId="77777777" w:rsidR="00E41F8A" w:rsidRPr="00324A04" w:rsidRDefault="00E41F8A" w:rsidP="00E41F8A">
      <w:pPr>
        <w:jc w:val="both"/>
        <w:rPr>
          <w:rFonts w:ascii="Verdana" w:hAnsi="Verdana"/>
        </w:rPr>
      </w:pPr>
      <w:r w:rsidRPr="00324A04">
        <w:rPr>
          <w:rFonts w:ascii="Verdana" w:hAnsi="Verdana"/>
        </w:rPr>
        <w:t xml:space="preserve">La sostenibilidad no es una opción, es una obligación. Por ello, la Agencia Nacional de Contratación Pública –Colombia Compra Eficiente– te invita a realizar el </w:t>
      </w:r>
      <w:r w:rsidRPr="00324A04">
        <w:rPr>
          <w:rFonts w:ascii="Verdana" w:hAnsi="Verdana"/>
          <w:b/>
          <w:bCs/>
        </w:rPr>
        <w:t>Curso de Contratación Pública Sostenible y Socialmente Responsable</w:t>
      </w:r>
      <w:r w:rsidRPr="00324A0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4A04">
        <w:rPr>
          <w:rFonts w:ascii="Verdana" w:hAnsi="Verdana"/>
        </w:rPr>
        <w:br/>
      </w:r>
      <w:hyperlink r:id="rId13" w:tgtFrame="_new" w:history="1">
        <w:r w:rsidRPr="00324A04">
          <w:rPr>
            <w:rFonts w:ascii="Verdana" w:hAnsi="Verdana"/>
            <w:color w:val="0000FF"/>
            <w:u w:val="single"/>
          </w:rPr>
          <w:t>https://formacionvirtual.colombiacompra.gov.co/mod/page/view.php?id=3718</w:t>
        </w:r>
      </w:hyperlink>
    </w:p>
    <w:p w14:paraId="24924B5B" w14:textId="77777777" w:rsidR="00E41F8A" w:rsidRPr="00324A04" w:rsidRDefault="00E41F8A" w:rsidP="00E41F8A">
      <w:pPr>
        <w:jc w:val="both"/>
        <w:rPr>
          <w:rFonts w:ascii="Verdana" w:hAnsi="Verdana"/>
        </w:rPr>
      </w:pPr>
      <w:r w:rsidRPr="00324A04">
        <w:rPr>
          <w:rFonts w:ascii="Verdana" w:hAnsi="Verdana"/>
        </w:rPr>
        <w:t xml:space="preserve">De otro lado, te contamos que esta Agencia ha da un paso decisivo en la estandarización y modernización del </w:t>
      </w:r>
      <w:r w:rsidRPr="00324A04">
        <w:rPr>
          <w:rFonts w:ascii="Verdana" w:hAnsi="Verdana"/>
          <w:b/>
          <w:bCs/>
        </w:rPr>
        <w:t>sector  social</w:t>
      </w:r>
      <w:r w:rsidRPr="00324A04">
        <w:rPr>
          <w:rFonts w:ascii="Verdana" w:hAnsi="Verdana"/>
        </w:rPr>
        <w:t xml:space="preserve"> con la expedición de las </w:t>
      </w:r>
      <w:r w:rsidRPr="00324A04">
        <w:rPr>
          <w:rFonts w:ascii="Verdana" w:hAnsi="Verdana"/>
          <w:b/>
          <w:bCs/>
        </w:rPr>
        <w:t>Resoluciones 539, 540, 541, 952 y 953 de 2025</w:t>
      </w:r>
      <w:r w:rsidRPr="00324A04">
        <w:rPr>
          <w:rFonts w:ascii="Verdana" w:hAnsi="Verdana"/>
        </w:rPr>
        <w:t xml:space="preserve">, </w:t>
      </w:r>
      <w:r w:rsidRPr="00324A04">
        <w:rPr>
          <w:rFonts w:ascii="Verdana" w:hAnsi="Verdana"/>
          <w:b/>
          <w:bCs/>
        </w:rPr>
        <w:t>mediante las cuales adoptó Documentos Tipo</w:t>
      </w:r>
      <w:r w:rsidRPr="00324A04">
        <w:rPr>
          <w:rFonts w:ascii="Verdana" w:hAnsi="Verdana"/>
        </w:rPr>
        <w:t xml:space="preserve"> para las modalidades de selección de</w:t>
      </w:r>
      <w:r w:rsidRPr="00324A04">
        <w:rPr>
          <w:rFonts w:ascii="Verdana" w:hAnsi="Verdana"/>
          <w:b/>
          <w:bCs/>
        </w:rPr>
        <w:t xml:space="preserve"> licitación pública (versión 2), selección abreviada de menor cuantía, mínima cuantía, consultoría e interventoría</w:t>
      </w:r>
      <w:r w:rsidRPr="00324A0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24A04">
          <w:rPr>
            <w:rFonts w:ascii="Verdana" w:hAnsi="Verdana"/>
            <w:color w:val="0000FF"/>
            <w:u w:val="single"/>
          </w:rPr>
          <w:t>https://www.colombiacompra.gov.co/normativa-y-relatoria/documentos-tipo</w:t>
        </w:r>
      </w:hyperlink>
    </w:p>
    <w:p w14:paraId="1B6195B0" w14:textId="77777777" w:rsidR="00E41F8A" w:rsidRPr="0066174E" w:rsidRDefault="00E41F8A" w:rsidP="00E41F8A">
      <w:pPr>
        <w:jc w:val="both"/>
        <w:rPr>
          <w:rFonts w:ascii="Verdana" w:hAnsi="Verdana"/>
          <w:color w:val="000000"/>
          <w:lang w:val="es-ES_tradnl"/>
        </w:rPr>
      </w:pPr>
      <w:r w:rsidRPr="00324A04">
        <w:rPr>
          <w:rFonts w:ascii="Verdana" w:hAnsi="Verdana"/>
        </w:rPr>
        <w:t xml:space="preserve">Si quieres conocer más sobre la aplicación de Documentos Tipo puedes consultar la última versión de la </w:t>
      </w:r>
      <w:r w:rsidRPr="00324A04">
        <w:rPr>
          <w:rFonts w:ascii="Verdana" w:hAnsi="Verdana"/>
          <w:b/>
          <w:bCs/>
        </w:rPr>
        <w:t>Guía para la comprensión e implementación de los Documentos Tipo de obra pública de infraestructura de transporte</w:t>
      </w:r>
      <w:r w:rsidRPr="00324A04">
        <w:rPr>
          <w:rFonts w:ascii="Verdana" w:hAnsi="Verdana"/>
        </w:rPr>
        <w:t xml:space="preserve">. En esta actualización se incorporaron orientaciones prácticas dirigidas a entidades públicas, proveedores, organismos de control y demás interesados, con el </w:t>
      </w:r>
      <w:r w:rsidRPr="00324A04">
        <w:rPr>
          <w:rFonts w:ascii="Verdana" w:hAnsi="Verdana"/>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4A04">
        <w:rPr>
          <w:rFonts w:ascii="Verdana" w:hAnsi="Verdana"/>
        </w:rPr>
        <w:br/>
      </w:r>
      <w:hyperlink r:id="rId15" w:tgtFrame="_new" w:history="1">
        <w:r w:rsidRPr="00324A0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9B83A30" w14:textId="77777777" w:rsidR="00E41F8A" w:rsidRPr="00C55BDE" w:rsidRDefault="00E41F8A" w:rsidP="00E41F8A">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B9CEE38" w14:textId="77777777" w:rsidR="00E41F8A" w:rsidRPr="00C55BDE" w:rsidRDefault="00E41F8A" w:rsidP="00E41F8A">
      <w:pPr>
        <w:spacing w:after="0"/>
        <w:jc w:val="both"/>
        <w:rPr>
          <w:rFonts w:ascii="Verdana" w:hAnsi="Verdana"/>
        </w:rPr>
      </w:pPr>
    </w:p>
    <w:p w14:paraId="4E6BCFAE" w14:textId="77777777" w:rsidR="00E41F8A" w:rsidRPr="00C55BDE" w:rsidRDefault="00E41F8A" w:rsidP="00E41F8A">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190B3170" w14:textId="77777777" w:rsidR="00E41F8A" w:rsidRPr="00C55BDE" w:rsidRDefault="00E41F8A" w:rsidP="00E41F8A">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r w:rsidRPr="00C55BDE">
        <w:rPr>
          <w:rFonts w:ascii="Verdana" w:hAnsi="Verdana"/>
          <w:color w:val="0000FF"/>
          <w:u w:val="single"/>
          <w:lang w:val="es-ES"/>
        </w:rPr>
        <w:t>+57 601 7456788</w:t>
      </w:r>
    </w:p>
    <w:p w14:paraId="5D744664" w14:textId="77777777" w:rsidR="00E41F8A" w:rsidRPr="00C55BDE" w:rsidRDefault="00E41F8A" w:rsidP="00E41F8A">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t xml:space="preserve">Correo de radicación de correspondencia: </w:t>
      </w:r>
      <w:hyperlink r:id="rId16" w:history="1">
        <w:r w:rsidRPr="00C55BDE">
          <w:rPr>
            <w:rFonts w:ascii="Verdana" w:eastAsia="Verdana" w:hAnsi="Verdana" w:cs="Verdana"/>
            <w:color w:val="0000FF"/>
            <w:u w:val="single"/>
            <w:lang w:val="es-MX"/>
          </w:rPr>
          <w:t>ventanilladeradicacion@colombiacompra.gov.co</w:t>
        </w:r>
      </w:hyperlink>
    </w:p>
    <w:p w14:paraId="50BD46B7" w14:textId="77777777" w:rsidR="00E41F8A" w:rsidRPr="00C55BDE" w:rsidRDefault="00E41F8A" w:rsidP="00E41F8A">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7" w:history="1">
        <w:r w:rsidRPr="00C55BDE">
          <w:rPr>
            <w:rFonts w:ascii="Verdana" w:eastAsia="Verdana" w:hAnsi="Verdana" w:cs="Verdana"/>
            <w:color w:val="0000FF"/>
            <w:u w:val="single"/>
            <w:lang w:val="es-MX"/>
          </w:rPr>
          <w:t>https://www.colombiacompra.gov.co/pqrsd/informacion-importante-antes-de-formular-una-pqrsd</w:t>
        </w:r>
      </w:hyperlink>
    </w:p>
    <w:p w14:paraId="084EB2E6" w14:textId="77777777" w:rsidR="00E41F8A" w:rsidRPr="00C55BDE" w:rsidRDefault="00E41F8A" w:rsidP="00E41F8A">
      <w:pPr>
        <w:spacing w:after="0" w:line="240" w:lineRule="auto"/>
        <w:ind w:left="720"/>
        <w:jc w:val="both"/>
        <w:rPr>
          <w:rFonts w:ascii="Verdana" w:hAnsi="Verdana"/>
        </w:rPr>
      </w:pPr>
    </w:p>
    <w:p w14:paraId="4E31E1EB" w14:textId="77777777" w:rsidR="00E41F8A" w:rsidRPr="00C55BDE" w:rsidRDefault="00E41F8A" w:rsidP="00E41F8A">
      <w:pPr>
        <w:spacing w:after="0" w:line="276" w:lineRule="auto"/>
        <w:jc w:val="both"/>
        <w:rPr>
          <w:rFonts w:ascii="Verdana" w:hAnsi="Verdana"/>
        </w:rPr>
      </w:pPr>
      <w:r w:rsidRPr="00C55BDE">
        <w:rPr>
          <w:rFonts w:ascii="Verdana" w:hAnsi="Verdana"/>
        </w:rPr>
        <w:t xml:space="preserve">Evalúa el servicio que ofrece la Agencia por el canal de atención de PQRSD en el siguiente enlace: </w:t>
      </w:r>
      <w:hyperlink r:id="rId18"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6AB4CF55" w14:textId="77777777" w:rsidR="00E41F8A" w:rsidRPr="00C55BDE" w:rsidRDefault="00E41F8A" w:rsidP="00E41F8A">
      <w:pPr>
        <w:spacing w:after="0" w:line="240" w:lineRule="auto"/>
        <w:rPr>
          <w:rFonts w:ascii="Verdana" w:hAnsi="Verdana"/>
        </w:rPr>
      </w:pPr>
    </w:p>
    <w:p w14:paraId="3582DD5A" w14:textId="77777777" w:rsidR="00E41F8A" w:rsidRPr="00C55BDE" w:rsidRDefault="00E41F8A" w:rsidP="00E41F8A">
      <w:pPr>
        <w:spacing w:after="0" w:line="240" w:lineRule="auto"/>
        <w:jc w:val="both"/>
        <w:rPr>
          <w:rFonts w:ascii="Verdana" w:hAnsi="Verdana"/>
        </w:rPr>
      </w:pPr>
      <w:r w:rsidRPr="00C55BDE">
        <w:rPr>
          <w:rFonts w:ascii="Verdana" w:hAnsi="Verdana"/>
        </w:rPr>
        <w:t xml:space="preserve">Por último, lo invitamos a seguirnos en las redes sociales en las cuales se difunde información institucional: </w:t>
      </w:r>
    </w:p>
    <w:p w14:paraId="787287A1" w14:textId="77777777" w:rsidR="00E41F8A" w:rsidRPr="00C55BDE" w:rsidRDefault="00E41F8A" w:rsidP="00E41F8A">
      <w:pPr>
        <w:spacing w:after="0" w:line="240" w:lineRule="auto"/>
        <w:jc w:val="both"/>
        <w:rPr>
          <w:rFonts w:ascii="Verdana" w:hAnsi="Verdana"/>
        </w:rPr>
      </w:pPr>
    </w:p>
    <w:p w14:paraId="5CCA25B2" w14:textId="77777777" w:rsidR="00E41F8A" w:rsidRPr="00C55BDE" w:rsidRDefault="00E41F8A" w:rsidP="00E41F8A">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52150165" w14:textId="77777777" w:rsidR="00E41F8A" w:rsidRPr="00C55BDE" w:rsidRDefault="00E41F8A" w:rsidP="00E41F8A">
      <w:pPr>
        <w:spacing w:after="0" w:line="240" w:lineRule="auto"/>
        <w:jc w:val="both"/>
        <w:rPr>
          <w:rFonts w:ascii="Verdana" w:hAnsi="Verdana"/>
        </w:rPr>
      </w:pPr>
      <w:r w:rsidRPr="00C55BDE">
        <w:rPr>
          <w:rFonts w:ascii="Verdana" w:hAnsi="Verdana"/>
        </w:rPr>
        <w:t xml:space="preserve">Facebook: </w:t>
      </w:r>
      <w:proofErr w:type="spellStart"/>
      <w:r w:rsidRPr="00C55BDE">
        <w:rPr>
          <w:rFonts w:ascii="Verdana" w:hAnsi="Verdana"/>
          <w:color w:val="0000FF"/>
          <w:u w:val="single"/>
        </w:rPr>
        <w:t>ColombiaCompraEficiente</w:t>
      </w:r>
      <w:proofErr w:type="spellEnd"/>
    </w:p>
    <w:p w14:paraId="0AE35078" w14:textId="77777777" w:rsidR="00E41F8A" w:rsidRPr="00C55BDE" w:rsidRDefault="00E41F8A" w:rsidP="00E41F8A">
      <w:pPr>
        <w:spacing w:after="0" w:line="240" w:lineRule="auto"/>
        <w:jc w:val="both"/>
        <w:rPr>
          <w:rFonts w:ascii="Verdana" w:hAnsi="Verdana"/>
        </w:rPr>
      </w:pPr>
      <w:r w:rsidRPr="00C55BDE">
        <w:rPr>
          <w:rFonts w:ascii="Verdana" w:hAnsi="Verdana"/>
        </w:rPr>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4D92B7BA" w14:textId="77777777" w:rsidR="00E41F8A" w:rsidRPr="00C55BDE" w:rsidRDefault="00E41F8A" w:rsidP="00E41F8A">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109F33E3" w14:textId="77777777" w:rsidR="00E41F8A" w:rsidRPr="00C55BDE" w:rsidRDefault="00E41F8A" w:rsidP="00E41F8A">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w:t>
      </w:r>
      <w:r w:rsidRPr="00C55BDE">
        <w:rPr>
          <w:rFonts w:ascii="Verdana" w:hAnsi="Verdana" w:cs="Arial"/>
          <w:lang w:val="es-ES_tradnl"/>
        </w:rPr>
        <w:lastRenderedPageBreak/>
        <w:t xml:space="preserve">significado que les otorga el artículo 2.2.1.1.1.3.1. del Decreto 1082 de 2015. </w:t>
      </w:r>
    </w:p>
    <w:p w14:paraId="469652B9" w14:textId="77777777" w:rsidR="00E41F8A" w:rsidRPr="00C55BDE" w:rsidRDefault="00E41F8A" w:rsidP="00E41F8A">
      <w:pPr>
        <w:widowControl w:val="0"/>
        <w:autoSpaceDE w:val="0"/>
        <w:autoSpaceDN w:val="0"/>
        <w:spacing w:after="0" w:line="276" w:lineRule="auto"/>
        <w:jc w:val="both"/>
        <w:rPr>
          <w:rFonts w:ascii="Verdana" w:hAnsi="Verdana" w:cs="Arial"/>
          <w:lang w:val="es-ES_tradnl"/>
        </w:rPr>
      </w:pPr>
    </w:p>
    <w:p w14:paraId="7FC0B60A" w14:textId="58EBAF36" w:rsidR="00E93496" w:rsidRPr="0013611A" w:rsidRDefault="00E41F8A" w:rsidP="0013611A">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7B8982CB" w14:textId="77777777" w:rsidR="00164067" w:rsidRPr="00F21F0B" w:rsidRDefault="00164067" w:rsidP="00164067">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2627CA53" wp14:editId="5F898D6B">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164067" w:rsidRPr="00F21F0B" w14:paraId="1701C212" w14:textId="77777777" w:rsidTr="006417DE">
        <w:trPr>
          <w:trHeight w:val="315"/>
        </w:trPr>
        <w:tc>
          <w:tcPr>
            <w:tcW w:w="893" w:type="dxa"/>
            <w:vAlign w:val="center"/>
            <w:hideMark/>
          </w:tcPr>
          <w:p w14:paraId="656B9A55" w14:textId="77777777" w:rsidR="00164067" w:rsidRPr="00F21F0B" w:rsidRDefault="00164067"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C0CA0FE" w14:textId="77777777" w:rsidR="00164067" w:rsidRPr="00F21F0B" w:rsidRDefault="00164067" w:rsidP="006417DE">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3B89229D" w14:textId="77777777" w:rsidR="00164067" w:rsidRPr="00F21F0B" w:rsidRDefault="00164067" w:rsidP="006417DE">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164067" w:rsidRPr="00F21F0B" w14:paraId="633EC2FF" w14:textId="77777777" w:rsidTr="006417DE">
        <w:trPr>
          <w:trHeight w:val="330"/>
        </w:trPr>
        <w:tc>
          <w:tcPr>
            <w:tcW w:w="893" w:type="dxa"/>
            <w:vAlign w:val="center"/>
            <w:hideMark/>
          </w:tcPr>
          <w:p w14:paraId="397EE8A2" w14:textId="77777777" w:rsidR="00164067" w:rsidRPr="00F21F0B" w:rsidRDefault="00164067"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4AF5C40" w14:textId="77777777" w:rsidR="00164067" w:rsidRPr="00F21F0B" w:rsidRDefault="00164067" w:rsidP="006417DE">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6672F570" w14:textId="77777777" w:rsidR="00164067" w:rsidRPr="00F21F0B" w:rsidRDefault="00164067" w:rsidP="006417DE">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164067" w:rsidRPr="00F21F0B" w14:paraId="168757C4" w14:textId="77777777" w:rsidTr="006417DE">
        <w:trPr>
          <w:trHeight w:val="300"/>
        </w:trPr>
        <w:tc>
          <w:tcPr>
            <w:tcW w:w="893" w:type="dxa"/>
            <w:vAlign w:val="center"/>
            <w:hideMark/>
          </w:tcPr>
          <w:p w14:paraId="79CB8D65" w14:textId="77777777" w:rsidR="00164067" w:rsidRPr="00F21F0B" w:rsidRDefault="00164067"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0FC56F4" w14:textId="77777777" w:rsidR="00164067" w:rsidRPr="00F21F0B" w:rsidRDefault="00164067"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3BA07A79" w14:textId="77777777" w:rsidR="00164067" w:rsidRPr="00F21F0B" w:rsidRDefault="00164067"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11F4E889" w14:textId="77777777" w:rsidR="00164067" w:rsidRDefault="00164067" w:rsidP="00C15139">
      <w:pPr>
        <w:spacing w:after="0"/>
        <w:rPr>
          <w:rFonts w:ascii="Verdana" w:hAnsi="Verdana"/>
        </w:rPr>
      </w:pPr>
    </w:p>
    <w:sectPr w:rsidR="00164067"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B3E43" w14:textId="77777777" w:rsidR="00422709" w:rsidRDefault="00422709" w:rsidP="004A1847">
      <w:pPr>
        <w:spacing w:after="0" w:line="240" w:lineRule="auto"/>
      </w:pPr>
      <w:r>
        <w:separator/>
      </w:r>
    </w:p>
  </w:endnote>
  <w:endnote w:type="continuationSeparator" w:id="0">
    <w:p w14:paraId="3966D3F8" w14:textId="77777777" w:rsidR="00422709" w:rsidRDefault="0042270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C8D06" w14:textId="77777777" w:rsidR="00422709" w:rsidRDefault="00422709" w:rsidP="004A1847">
      <w:pPr>
        <w:spacing w:after="0" w:line="240" w:lineRule="auto"/>
      </w:pPr>
      <w:r>
        <w:separator/>
      </w:r>
    </w:p>
  </w:footnote>
  <w:footnote w:type="continuationSeparator" w:id="0">
    <w:p w14:paraId="008D880B" w14:textId="77777777" w:rsidR="00422709" w:rsidRDefault="00422709" w:rsidP="004A1847">
      <w:pPr>
        <w:spacing w:after="0" w:line="240" w:lineRule="auto"/>
      </w:pPr>
      <w:r>
        <w:continuationSeparator/>
      </w:r>
    </w:p>
  </w:footnote>
  <w:footnote w:id="1">
    <w:p w14:paraId="2EAD5943" w14:textId="77777777" w:rsidR="00E41F8A" w:rsidRPr="001043C6" w:rsidRDefault="00E41F8A" w:rsidP="00E41F8A">
      <w:pPr>
        <w:pStyle w:val="Textonotapie"/>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B463A01" w14:textId="77777777" w:rsidR="00E41F8A" w:rsidRPr="001043C6" w:rsidRDefault="00E41F8A" w:rsidP="00E41F8A">
      <w:pPr>
        <w:pStyle w:val="Textonotapie"/>
        <w:ind w:firstLine="709"/>
        <w:jc w:val="both"/>
        <w:rPr>
          <w:rFonts w:ascii="Verdana" w:hAnsi="Verdana" w:cs="Arial"/>
          <w:sz w:val="16"/>
          <w:szCs w:val="16"/>
        </w:rPr>
      </w:pPr>
      <w:r w:rsidRPr="001043C6">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602C09F5" w14:textId="77777777" w:rsidR="00E41F8A" w:rsidRPr="001043C6" w:rsidRDefault="00E41F8A" w:rsidP="00E41F8A">
      <w:pPr>
        <w:pStyle w:val="Textonotapie"/>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Gaceta del Congreso de la República No. 71 del 2005.</w:t>
      </w:r>
    </w:p>
  </w:footnote>
  <w:footnote w:id="3">
    <w:p w14:paraId="1486F4CB" w14:textId="77777777" w:rsidR="00E41F8A" w:rsidRPr="001043C6" w:rsidRDefault="00E41F8A" w:rsidP="00E41F8A">
      <w:pPr>
        <w:pStyle w:val="Textonotapie"/>
        <w:ind w:firstLine="709"/>
        <w:jc w:val="both"/>
        <w:rPr>
          <w:rFonts w:ascii="Verdana" w:hAnsi="Verdana" w:cs="Arial"/>
          <w:sz w:val="16"/>
          <w:szCs w:val="16"/>
          <w:lang w:val="pt-BR"/>
        </w:rPr>
      </w:pPr>
      <w:r w:rsidRPr="001043C6">
        <w:rPr>
          <w:rStyle w:val="Refdenotaalpie"/>
          <w:rFonts w:ascii="Verdana" w:hAnsi="Verdana" w:cs="Arial"/>
          <w:sz w:val="16"/>
          <w:szCs w:val="16"/>
        </w:rPr>
        <w:footnoteRef/>
      </w:r>
      <w:r w:rsidRPr="001043C6">
        <w:rPr>
          <w:rFonts w:ascii="Verdana" w:hAnsi="Verdana" w:cs="Arial"/>
          <w:sz w:val="16"/>
          <w:szCs w:val="16"/>
          <w:lang w:val="pt-BR"/>
        </w:rPr>
        <w:t xml:space="preserve"> Corte Constitucional, Sentencia C- 1153 de 2005, M.P. Marco Gerardo </w:t>
      </w:r>
      <w:proofErr w:type="spellStart"/>
      <w:r w:rsidRPr="001043C6">
        <w:rPr>
          <w:rFonts w:ascii="Verdana" w:hAnsi="Verdana" w:cs="Arial"/>
          <w:sz w:val="16"/>
          <w:szCs w:val="16"/>
          <w:lang w:val="pt-BR"/>
        </w:rPr>
        <w:t>Monroy</w:t>
      </w:r>
      <w:proofErr w:type="spellEnd"/>
      <w:r w:rsidRPr="001043C6">
        <w:rPr>
          <w:rFonts w:ascii="Verdana" w:hAnsi="Verdana" w:cs="Arial"/>
          <w:sz w:val="16"/>
          <w:szCs w:val="16"/>
          <w:lang w:val="pt-BR"/>
        </w:rPr>
        <w:t xml:space="preserve"> Cabra.</w:t>
      </w:r>
    </w:p>
  </w:footnote>
  <w:footnote w:id="4">
    <w:p w14:paraId="1869BBBB" w14:textId="77777777" w:rsidR="00E41F8A" w:rsidRPr="001043C6" w:rsidRDefault="00E41F8A" w:rsidP="00E41F8A">
      <w:pPr>
        <w:pStyle w:val="Textonotapie"/>
        <w:ind w:firstLine="709"/>
        <w:jc w:val="both"/>
        <w:rPr>
          <w:rFonts w:ascii="Verdana" w:hAnsi="Verdana" w:cs="Arial"/>
          <w:sz w:val="16"/>
          <w:szCs w:val="16"/>
          <w:lang w:val="pt-BR"/>
        </w:rPr>
      </w:pPr>
      <w:r w:rsidRPr="001043C6">
        <w:rPr>
          <w:rStyle w:val="Refdenotaalpie"/>
          <w:rFonts w:ascii="Verdana" w:hAnsi="Verdana" w:cs="Arial"/>
          <w:sz w:val="16"/>
          <w:szCs w:val="16"/>
        </w:rPr>
        <w:footnoteRef/>
      </w:r>
      <w:r w:rsidRPr="001043C6">
        <w:rPr>
          <w:rFonts w:ascii="Verdana" w:hAnsi="Verdana" w:cs="Arial"/>
          <w:sz w:val="16"/>
          <w:szCs w:val="16"/>
          <w:lang w:val="pt-BR"/>
        </w:rPr>
        <w:t xml:space="preserve"> Corte Constitucional. Sentencias: C-233 de 4 de abril de 2002, expediente: D-3704; C-551 de 9 de </w:t>
      </w:r>
      <w:proofErr w:type="spellStart"/>
      <w:r w:rsidRPr="001043C6">
        <w:rPr>
          <w:rFonts w:ascii="Verdana" w:hAnsi="Verdana" w:cs="Arial"/>
          <w:sz w:val="16"/>
          <w:szCs w:val="16"/>
          <w:lang w:val="pt-BR"/>
        </w:rPr>
        <w:t>julio</w:t>
      </w:r>
      <w:proofErr w:type="spellEnd"/>
      <w:r w:rsidRPr="001043C6">
        <w:rPr>
          <w:rFonts w:ascii="Verdana" w:hAnsi="Verdana" w:cs="Arial"/>
          <w:sz w:val="16"/>
          <w:szCs w:val="16"/>
          <w:lang w:val="pt-BR"/>
        </w:rPr>
        <w:t xml:space="preserve"> de 2003, expediente: CRF-001 de 9 de </w:t>
      </w:r>
      <w:proofErr w:type="spellStart"/>
      <w:r w:rsidRPr="001043C6">
        <w:rPr>
          <w:rFonts w:ascii="Verdana" w:hAnsi="Verdana" w:cs="Arial"/>
          <w:sz w:val="16"/>
          <w:szCs w:val="16"/>
          <w:lang w:val="pt-BR"/>
        </w:rPr>
        <w:t>julio</w:t>
      </w:r>
      <w:proofErr w:type="spellEnd"/>
      <w:r w:rsidRPr="001043C6">
        <w:rPr>
          <w:rFonts w:ascii="Verdana" w:hAnsi="Verdana" w:cs="Arial"/>
          <w:sz w:val="16"/>
          <w:szCs w:val="16"/>
          <w:lang w:val="pt-BR"/>
        </w:rPr>
        <w:t xml:space="preserve"> de 2003; C-652 de 5 de agosto de 2003, expediente: D-4330; C-353 de 20 de </w:t>
      </w:r>
      <w:proofErr w:type="spellStart"/>
      <w:r w:rsidRPr="001043C6">
        <w:rPr>
          <w:rFonts w:ascii="Verdana" w:hAnsi="Verdana" w:cs="Arial"/>
          <w:sz w:val="16"/>
          <w:szCs w:val="16"/>
          <w:lang w:val="pt-BR"/>
        </w:rPr>
        <w:t>mayo</w:t>
      </w:r>
      <w:proofErr w:type="spellEnd"/>
      <w:r w:rsidRPr="001043C6">
        <w:rPr>
          <w:rFonts w:ascii="Verdana" w:hAnsi="Verdana" w:cs="Arial"/>
          <w:sz w:val="16"/>
          <w:szCs w:val="16"/>
          <w:lang w:val="pt-BR"/>
        </w:rPr>
        <w:t xml:space="preserve"> de 2009, expediente: D-7518, C-541 de 30 de </w:t>
      </w:r>
      <w:proofErr w:type="spellStart"/>
      <w:r w:rsidRPr="001043C6">
        <w:rPr>
          <w:rFonts w:ascii="Verdana" w:hAnsi="Verdana" w:cs="Arial"/>
          <w:sz w:val="16"/>
          <w:szCs w:val="16"/>
          <w:lang w:val="pt-BR"/>
        </w:rPr>
        <w:t>junio</w:t>
      </w:r>
      <w:proofErr w:type="spellEnd"/>
      <w:r w:rsidRPr="001043C6">
        <w:rPr>
          <w:rFonts w:ascii="Verdana" w:hAnsi="Verdana" w:cs="Arial"/>
          <w:sz w:val="16"/>
          <w:szCs w:val="16"/>
          <w:lang w:val="pt-BR"/>
        </w:rPr>
        <w:t xml:space="preserve"> de 2010, expediente: DD7966; entre </w:t>
      </w:r>
      <w:proofErr w:type="spellStart"/>
      <w:r w:rsidRPr="001043C6">
        <w:rPr>
          <w:rFonts w:ascii="Verdana" w:hAnsi="Verdana" w:cs="Arial"/>
          <w:sz w:val="16"/>
          <w:szCs w:val="16"/>
          <w:lang w:val="pt-BR"/>
        </w:rPr>
        <w:t>otras</w:t>
      </w:r>
      <w:proofErr w:type="spellEnd"/>
      <w:r w:rsidRPr="001043C6">
        <w:rPr>
          <w:rFonts w:ascii="Verdana" w:hAnsi="Verdana" w:cs="Arial"/>
          <w:sz w:val="16"/>
          <w:szCs w:val="16"/>
          <w:lang w:val="pt-BR"/>
        </w:rPr>
        <w:t>.</w:t>
      </w:r>
    </w:p>
  </w:footnote>
  <w:footnote w:id="5">
    <w:p w14:paraId="2B53C050" w14:textId="77777777" w:rsidR="00E41F8A" w:rsidRPr="001043C6" w:rsidRDefault="00E41F8A" w:rsidP="00E41F8A">
      <w:pPr>
        <w:pStyle w:val="Textonotapie"/>
        <w:ind w:firstLine="709"/>
        <w:jc w:val="both"/>
        <w:rPr>
          <w:rFonts w:ascii="Verdana" w:hAnsi="Verdana" w:cs="Arial"/>
          <w:sz w:val="16"/>
          <w:szCs w:val="16"/>
          <w:lang w:val="es-CO"/>
        </w:rPr>
      </w:pPr>
      <w:r w:rsidRPr="001043C6">
        <w:rPr>
          <w:rStyle w:val="Refdenotaalpie"/>
          <w:rFonts w:ascii="Verdana" w:hAnsi="Verdana" w:cs="Arial"/>
          <w:sz w:val="16"/>
          <w:szCs w:val="16"/>
        </w:rPr>
        <w:footnoteRef/>
      </w:r>
      <w:r w:rsidRPr="001043C6">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7058C90" w14:textId="77777777" w:rsidR="00E41F8A" w:rsidRPr="001043C6" w:rsidRDefault="00E41F8A" w:rsidP="00E41F8A">
      <w:pPr>
        <w:pStyle w:val="Textonotapie"/>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de fecha 24 de julio de 2013, radicado 2166, C. P. Álvaro Namén Vargas.  </w:t>
      </w:r>
    </w:p>
  </w:footnote>
  <w:footnote w:id="7">
    <w:p w14:paraId="3AEE3F70" w14:textId="77777777" w:rsidR="00E41F8A" w:rsidRPr="001043C6" w:rsidRDefault="00E41F8A" w:rsidP="00E41F8A">
      <w:pPr>
        <w:spacing w:after="0" w:line="240" w:lineRule="auto"/>
        <w:ind w:firstLine="709"/>
        <w:jc w:val="both"/>
        <w:rPr>
          <w:rFonts w:ascii="Verdana" w:eastAsia="Times New Roman"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w:t>
      </w:r>
      <w:r w:rsidRPr="001043C6">
        <w:rPr>
          <w:rFonts w:ascii="Verdana" w:eastAsia="Calibri" w:hAnsi="Verdana" w:cs="Arial"/>
          <w:color w:val="000000"/>
          <w:sz w:val="16"/>
          <w:szCs w:val="16"/>
        </w:rPr>
        <w:t>“</w:t>
      </w:r>
      <w:bookmarkStart w:id="5" w:name="33"/>
      <w:r w:rsidRPr="001043C6">
        <w:rPr>
          <w:rFonts w:ascii="Verdana" w:eastAsia="Times New Roman" w:hAnsi="Verdana" w:cs="Arial"/>
          <w:sz w:val="16"/>
          <w:szCs w:val="16"/>
        </w:rPr>
        <w:t>Artículo 33. Restricciones a la contratación pública.</w:t>
      </w:r>
      <w:bookmarkEnd w:id="5"/>
      <w:r w:rsidRPr="001043C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1047E55" w14:textId="77777777" w:rsidR="00E41F8A" w:rsidRPr="001043C6" w:rsidRDefault="00E41F8A" w:rsidP="00E41F8A">
      <w:pPr>
        <w:spacing w:after="0" w:line="240" w:lineRule="auto"/>
        <w:ind w:firstLine="709"/>
        <w:jc w:val="both"/>
        <w:rPr>
          <w:rFonts w:ascii="Verdana" w:eastAsia="Times New Roman" w:hAnsi="Verdana" w:cs="Arial"/>
          <w:sz w:val="16"/>
          <w:szCs w:val="16"/>
        </w:rPr>
      </w:pPr>
      <w:r w:rsidRPr="001043C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043C6">
        <w:rPr>
          <w:rFonts w:ascii="Verdana" w:eastAsia="Calibri" w:hAnsi="Verdana" w:cs="Arial"/>
          <w:color w:val="000000"/>
          <w:sz w:val="16"/>
          <w:szCs w:val="16"/>
        </w:rPr>
        <w:t>”</w:t>
      </w:r>
      <w:r w:rsidRPr="001043C6">
        <w:rPr>
          <w:rFonts w:ascii="Verdana" w:eastAsia="Times New Roman" w:hAnsi="Verdana" w:cs="Arial"/>
          <w:sz w:val="16"/>
          <w:szCs w:val="16"/>
        </w:rPr>
        <w:t>.</w:t>
      </w:r>
    </w:p>
  </w:footnote>
  <w:footnote w:id="8">
    <w:p w14:paraId="046F6A22" w14:textId="77777777" w:rsidR="00E41F8A" w:rsidRPr="001043C6" w:rsidRDefault="00E41F8A" w:rsidP="00E41F8A">
      <w:pPr>
        <w:pStyle w:val="NormalWeb"/>
        <w:spacing w:before="0" w:beforeAutospacing="0" w:after="0" w:afterAutospacing="0"/>
        <w:ind w:firstLine="709"/>
        <w:jc w:val="both"/>
        <w:rPr>
          <w:rFonts w:ascii="Verdana" w:hAnsi="Verdana" w:cs="Arial"/>
          <w:sz w:val="16"/>
          <w:szCs w:val="16"/>
          <w:lang w:val="es-MX"/>
        </w:rPr>
      </w:pPr>
      <w:r w:rsidRPr="001043C6">
        <w:rPr>
          <w:rStyle w:val="Refdenotaalpie"/>
          <w:rFonts w:ascii="Verdana" w:hAnsi="Verdana" w:cs="Arial"/>
          <w:sz w:val="16"/>
          <w:szCs w:val="16"/>
        </w:rPr>
        <w:footnoteRef/>
      </w:r>
      <w:r w:rsidRPr="001043C6">
        <w:rPr>
          <w:rFonts w:ascii="Verdana" w:hAnsi="Verdana" w:cs="Arial"/>
          <w:sz w:val="16"/>
          <w:szCs w:val="16"/>
        </w:rPr>
        <w:t xml:space="preserve"> </w:t>
      </w:r>
      <w:r w:rsidRPr="001043C6">
        <w:rPr>
          <w:rFonts w:ascii="Verdana" w:eastAsia="Calibri" w:hAnsi="Verdana" w:cs="Arial"/>
          <w:color w:val="000000"/>
          <w:sz w:val="16"/>
          <w:szCs w:val="16"/>
        </w:rPr>
        <w:t>“</w:t>
      </w:r>
      <w:bookmarkStart w:id="6" w:name="38"/>
      <w:r w:rsidRPr="001043C6">
        <w:rPr>
          <w:rFonts w:ascii="Verdana" w:hAnsi="Verdana" w:cs="Arial"/>
          <w:sz w:val="16"/>
          <w:szCs w:val="16"/>
          <w:lang w:val="es-MX"/>
        </w:rPr>
        <w:t>Artículo 38. Prohibiciones para los servidores públicos. A los empleados del Estado les está prohibido:</w:t>
      </w:r>
      <w:bookmarkEnd w:id="6"/>
      <w:r w:rsidRPr="001043C6">
        <w:rPr>
          <w:rFonts w:ascii="Verdana" w:hAnsi="Verdana" w:cs="Arial"/>
          <w:sz w:val="16"/>
          <w:szCs w:val="16"/>
          <w:lang w:val="es-MX"/>
        </w:rPr>
        <w:t xml:space="preserve"> […]</w:t>
      </w:r>
    </w:p>
    <w:p w14:paraId="4147595E" w14:textId="77777777" w:rsidR="00E41F8A" w:rsidRPr="001043C6" w:rsidRDefault="00E41F8A" w:rsidP="00E41F8A">
      <w:pPr>
        <w:pStyle w:val="NormalWeb"/>
        <w:spacing w:before="0" w:beforeAutospacing="0" w:after="0" w:afterAutospacing="0"/>
        <w:ind w:firstLine="709"/>
        <w:jc w:val="both"/>
        <w:rPr>
          <w:rFonts w:ascii="Verdana" w:hAnsi="Verdana" w:cs="Arial"/>
          <w:sz w:val="16"/>
          <w:szCs w:val="16"/>
          <w:lang w:val="es-MX"/>
        </w:rPr>
      </w:pPr>
      <w:r w:rsidRPr="001043C6">
        <w:rPr>
          <w:rStyle w:val="baj"/>
          <w:rFonts w:ascii="Verdana" w:hAnsi="Verdana" w:cs="Arial"/>
          <w:sz w:val="16"/>
          <w:szCs w:val="16"/>
          <w:lang w:val="es-MX"/>
        </w:rPr>
        <w:t>Parágrafo.</w:t>
      </w:r>
      <w:r w:rsidRPr="001043C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043C6">
        <w:rPr>
          <w:rFonts w:ascii="Verdana" w:eastAsia="Calibri" w:hAnsi="Verdana" w:cs="Arial"/>
          <w:color w:val="000000"/>
          <w:sz w:val="16"/>
          <w:szCs w:val="16"/>
        </w:rPr>
        <w:t>”</w:t>
      </w:r>
      <w:r w:rsidRPr="001043C6">
        <w:rPr>
          <w:rFonts w:ascii="Verdana" w:hAnsi="Verdana" w:cs="Arial"/>
          <w:sz w:val="16"/>
          <w:szCs w:val="16"/>
          <w:lang w:val="es-MX"/>
        </w:rPr>
        <w:t>.</w:t>
      </w:r>
    </w:p>
  </w:footnote>
  <w:footnote w:id="9">
    <w:p w14:paraId="693C3BC5" w14:textId="77777777" w:rsidR="00E41F8A" w:rsidRPr="001043C6" w:rsidRDefault="00E41F8A" w:rsidP="00E41F8A">
      <w:pPr>
        <w:pStyle w:val="Textonotapie"/>
        <w:ind w:firstLine="708"/>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Colombia Compra Eficiente. Circular Externa Única. Numeral 16.5. </w:t>
      </w:r>
    </w:p>
  </w:footnote>
  <w:footnote w:id="10">
    <w:p w14:paraId="46CDDF7D" w14:textId="77777777" w:rsidR="00E41F8A" w:rsidRPr="001043C6" w:rsidRDefault="00E41F8A" w:rsidP="00E41F8A">
      <w:pPr>
        <w:spacing w:after="0" w:line="240" w:lineRule="auto"/>
        <w:ind w:left="100" w:right="244" w:firstLine="608"/>
        <w:jc w:val="both"/>
        <w:rPr>
          <w:rFonts w:ascii="Verdana" w:hAnsi="Verdana" w:cs="Arial"/>
          <w:sz w:val="16"/>
          <w:szCs w:val="16"/>
          <w:lang w:val="es-ES"/>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63039FF7" w14:textId="77777777" w:rsidR="00E41F8A" w:rsidRPr="001043C6" w:rsidRDefault="00E41F8A" w:rsidP="00E41F8A">
      <w:pPr>
        <w:pStyle w:val="Textonotapie"/>
        <w:ind w:right="51"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w:t>
      </w:r>
      <w:r w:rsidRPr="001043C6">
        <w:rPr>
          <w:rFonts w:ascii="Verdana" w:hAnsi="Verdana" w:cs="Arial"/>
          <w:sz w:val="16"/>
          <w:szCs w:val="16"/>
          <w:lang w:val="es-ES"/>
        </w:rPr>
        <w:t xml:space="preserve">[25] </w:t>
      </w:r>
      <w:r w:rsidRPr="001043C6">
        <w:rPr>
          <w:rFonts w:ascii="Verdana" w:hAnsi="Verdana" w:cs="Arial"/>
          <w:sz w:val="16"/>
          <w:szCs w:val="16"/>
        </w:rPr>
        <w:t>Cfr. Consejo de Estado. Sección Tercera. Sentencia de 3 de diciembre de 2007. Radicados: 24.715, 25.206, 25.409, 24.524, 27.834, 25.410, 26.105, 28.244, 31.447 -acumulados-“.</w:t>
      </w:r>
    </w:p>
  </w:footnote>
  <w:footnote w:id="12">
    <w:p w14:paraId="1D1CB39B" w14:textId="77777777" w:rsidR="00E41F8A" w:rsidRPr="001043C6" w:rsidRDefault="00E41F8A" w:rsidP="00E41F8A">
      <w:pPr>
        <w:pStyle w:val="Textonotapie"/>
        <w:ind w:right="51"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w:t>
      </w:r>
      <w:r w:rsidRPr="001043C6">
        <w:rPr>
          <w:rFonts w:ascii="Verdana" w:hAnsi="Verdana" w:cs="Arial"/>
          <w:sz w:val="16"/>
          <w:szCs w:val="16"/>
          <w:lang w:val="es-ES"/>
        </w:rPr>
        <w:t xml:space="preserve">[26] </w:t>
      </w:r>
      <w:r w:rsidRPr="001043C6">
        <w:rPr>
          <w:rFonts w:ascii="Verdana" w:hAnsi="Verdana" w:cs="Arial"/>
          <w:sz w:val="16"/>
          <w:szCs w:val="16"/>
        </w:rPr>
        <w:t>Al respecto ver el concepto 1712 de 2 de febrero de 2006. Consejo de Estado Sala de Consulta y Servicio Civil”.</w:t>
      </w:r>
    </w:p>
  </w:footnote>
  <w:footnote w:id="13">
    <w:p w14:paraId="7122F1DC" w14:textId="77777777" w:rsidR="00E41F8A" w:rsidRPr="001043C6" w:rsidRDefault="00E41F8A" w:rsidP="00E41F8A">
      <w:pPr>
        <w:pStyle w:val="Textonotapie"/>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64A579BC" w14:textId="77777777" w:rsidR="00E41F8A" w:rsidRPr="001043C6" w:rsidRDefault="00E41F8A" w:rsidP="00E41F8A">
      <w:pPr>
        <w:pStyle w:val="Textonotapie"/>
        <w:ind w:firstLine="709"/>
        <w:jc w:val="both"/>
        <w:rPr>
          <w:rFonts w:ascii="Verdana" w:hAnsi="Verdana" w:cs="Arial"/>
          <w:sz w:val="16"/>
          <w:szCs w:val="16"/>
          <w:lang w:val="es-ES"/>
        </w:rPr>
      </w:pPr>
      <w:r w:rsidRPr="001043C6">
        <w:rPr>
          <w:rStyle w:val="Refdenotaalpie"/>
          <w:rFonts w:ascii="Verdana" w:hAnsi="Verdana" w:cs="Arial"/>
          <w:sz w:val="16"/>
          <w:szCs w:val="16"/>
        </w:rPr>
        <w:footnoteRef/>
      </w:r>
      <w:r w:rsidRPr="001043C6">
        <w:rPr>
          <w:rFonts w:ascii="Verdana" w:hAnsi="Verdana" w:cs="Arial"/>
          <w:sz w:val="16"/>
          <w:szCs w:val="16"/>
        </w:rPr>
        <w:t xml:space="preserve"> </w:t>
      </w:r>
      <w:r w:rsidRPr="001043C6">
        <w:rPr>
          <w:rFonts w:ascii="Verdana" w:hAnsi="Verdana" w:cs="Arial"/>
          <w:sz w:val="16"/>
          <w:szCs w:val="16"/>
          <w:lang w:val="es-ES"/>
        </w:rPr>
        <w:t xml:space="preserve">Artículo 2. </w:t>
      </w:r>
    </w:p>
  </w:footnote>
  <w:footnote w:id="15">
    <w:p w14:paraId="3B3C0208" w14:textId="77777777" w:rsidR="00E41F8A" w:rsidRPr="001043C6" w:rsidRDefault="00E41F8A" w:rsidP="00E41F8A">
      <w:pPr>
        <w:pStyle w:val="Textonotapie"/>
        <w:ind w:firstLine="709"/>
        <w:jc w:val="both"/>
        <w:rPr>
          <w:rFonts w:ascii="Verdana" w:hAnsi="Verdana" w:cs="Arial"/>
          <w:sz w:val="16"/>
          <w:szCs w:val="16"/>
          <w:lang w:val="es-ES"/>
        </w:rPr>
      </w:pPr>
      <w:r w:rsidRPr="001043C6">
        <w:rPr>
          <w:rStyle w:val="Refdenotaalpie"/>
          <w:rFonts w:ascii="Verdana" w:hAnsi="Verdana" w:cs="Arial"/>
          <w:sz w:val="16"/>
          <w:szCs w:val="16"/>
        </w:rPr>
        <w:footnoteRef/>
      </w:r>
      <w:r w:rsidRPr="001043C6">
        <w:rPr>
          <w:rFonts w:ascii="Verdana" w:hAnsi="Verdana" w:cs="Arial"/>
          <w:sz w:val="16"/>
          <w:szCs w:val="16"/>
        </w:rPr>
        <w:t xml:space="preserve"> </w:t>
      </w:r>
      <w:r w:rsidRPr="001043C6">
        <w:rPr>
          <w:rFonts w:ascii="Verdana" w:hAnsi="Verdana" w:cs="Arial"/>
          <w:i/>
          <w:sz w:val="16"/>
          <w:szCs w:val="16"/>
          <w:lang w:val="es-ES"/>
        </w:rPr>
        <w:t>Ídem</w:t>
      </w:r>
      <w:r w:rsidRPr="001043C6">
        <w:rPr>
          <w:rFonts w:ascii="Verdana" w:hAnsi="Verdana" w:cs="Arial"/>
          <w:sz w:val="16"/>
          <w:szCs w:val="16"/>
          <w:lang w:val="es-ES"/>
        </w:rPr>
        <w:t>.</w:t>
      </w:r>
    </w:p>
  </w:footnote>
  <w:footnote w:id="16">
    <w:p w14:paraId="0826B37E" w14:textId="77777777" w:rsidR="00E41F8A" w:rsidRPr="001043C6" w:rsidRDefault="00E41F8A" w:rsidP="00E41F8A">
      <w:pPr>
        <w:pStyle w:val="Textonotapie"/>
        <w:ind w:firstLine="709"/>
        <w:jc w:val="both"/>
        <w:rPr>
          <w:rFonts w:ascii="Verdana" w:hAnsi="Verdana" w:cs="Arial"/>
          <w:sz w:val="16"/>
          <w:szCs w:val="16"/>
          <w:lang w:val="es-ES"/>
        </w:rPr>
      </w:pPr>
      <w:r w:rsidRPr="001043C6">
        <w:rPr>
          <w:rStyle w:val="Refdenotaalpie"/>
          <w:rFonts w:ascii="Verdana" w:hAnsi="Verdana" w:cs="Arial"/>
          <w:sz w:val="16"/>
          <w:szCs w:val="16"/>
        </w:rPr>
        <w:footnoteRef/>
      </w:r>
      <w:r w:rsidRPr="001043C6">
        <w:rPr>
          <w:rStyle w:val="Refdenotaalpie"/>
          <w:rFonts w:ascii="Verdana" w:hAnsi="Verdana" w:cs="Arial"/>
          <w:sz w:val="16"/>
          <w:szCs w:val="16"/>
        </w:rPr>
        <w:t xml:space="preserve"> </w:t>
      </w:r>
      <w:r w:rsidRPr="001043C6">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4FC0A04B" w14:textId="77777777" w:rsidR="00E41F8A" w:rsidRPr="001043C6" w:rsidRDefault="00E41F8A" w:rsidP="00E41F8A">
      <w:pPr>
        <w:shd w:val="clear" w:color="auto" w:fill="FFFFFF"/>
        <w:spacing w:after="0" w:line="240" w:lineRule="auto"/>
        <w:ind w:firstLine="709"/>
        <w:jc w:val="both"/>
        <w:rPr>
          <w:rFonts w:ascii="Verdana" w:hAnsi="Verdana" w:cs="Arial"/>
          <w:sz w:val="16"/>
          <w:szCs w:val="16"/>
          <w:lang w:val="es-ES"/>
        </w:rPr>
      </w:pPr>
      <w:r w:rsidRPr="001043C6">
        <w:rPr>
          <w:rStyle w:val="Refdenotaalpie"/>
          <w:rFonts w:ascii="Verdana" w:hAnsi="Verdana" w:cs="Arial"/>
          <w:sz w:val="16"/>
          <w:szCs w:val="16"/>
        </w:rPr>
        <w:footnoteRef/>
      </w:r>
      <w:r w:rsidRPr="001043C6">
        <w:rPr>
          <w:rStyle w:val="Refdenotaalpie"/>
          <w:rFonts w:ascii="Verdana" w:hAnsi="Verdana" w:cs="Arial"/>
          <w:sz w:val="16"/>
          <w:szCs w:val="16"/>
        </w:rPr>
        <w:t xml:space="preserve"> </w:t>
      </w:r>
      <w:r w:rsidRPr="001043C6">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2BD24DF1" w14:textId="77777777" w:rsidR="00E41F8A" w:rsidRPr="001043C6" w:rsidRDefault="00E41F8A" w:rsidP="00E41F8A">
      <w:pPr>
        <w:pStyle w:val="Textonotapie"/>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Concepto del 08 de mayo de 2018. </w:t>
      </w:r>
      <w:proofErr w:type="spellStart"/>
      <w:r w:rsidRPr="001043C6">
        <w:rPr>
          <w:rFonts w:ascii="Verdana" w:hAnsi="Verdana" w:cs="Arial"/>
          <w:sz w:val="16"/>
          <w:szCs w:val="16"/>
        </w:rPr>
        <w:t>Exp</w:t>
      </w:r>
      <w:proofErr w:type="spellEnd"/>
      <w:r w:rsidRPr="001043C6">
        <w:rPr>
          <w:rFonts w:ascii="Verdana" w:hAnsi="Verdana" w:cs="Arial"/>
          <w:sz w:val="16"/>
          <w:szCs w:val="16"/>
        </w:rPr>
        <w:t>. 2.382. C.P. Álvaro Namén Vargas.</w:t>
      </w:r>
    </w:p>
  </w:footnote>
  <w:footnote w:id="19">
    <w:p w14:paraId="3E04D138" w14:textId="77777777" w:rsidR="00E41F8A" w:rsidRPr="001043C6" w:rsidRDefault="00E41F8A" w:rsidP="00E41F8A">
      <w:pPr>
        <w:pStyle w:val="Textonotapie"/>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1043C6">
        <w:rPr>
          <w:rFonts w:ascii="Verdana" w:hAnsi="Verdana" w:cs="Arial"/>
          <w:sz w:val="16"/>
          <w:szCs w:val="16"/>
        </w:rPr>
        <w:t>N°</w:t>
      </w:r>
      <w:proofErr w:type="spellEnd"/>
      <w:r w:rsidRPr="001043C6">
        <w:rPr>
          <w:rFonts w:ascii="Verdana" w:hAnsi="Verdana" w:cs="Arial"/>
          <w:sz w:val="16"/>
          <w:szCs w:val="16"/>
        </w:rPr>
        <w:t xml:space="preserve"> 216/05 Senado, </w:t>
      </w:r>
      <w:proofErr w:type="spellStart"/>
      <w:r w:rsidRPr="001043C6">
        <w:rPr>
          <w:rFonts w:ascii="Verdana" w:hAnsi="Verdana" w:cs="Arial"/>
          <w:sz w:val="16"/>
          <w:szCs w:val="16"/>
        </w:rPr>
        <w:t>N°</w:t>
      </w:r>
      <w:proofErr w:type="spellEnd"/>
      <w:r w:rsidRPr="001043C6">
        <w:rPr>
          <w:rFonts w:ascii="Verdana" w:hAnsi="Verdana" w:cs="Arial"/>
          <w:sz w:val="16"/>
          <w:szCs w:val="16"/>
        </w:rPr>
        <w:t xml:space="preserve"> 235-Cámara que dio lugar a la Ley de Garantías Electorales.</w:t>
      </w:r>
    </w:p>
  </w:footnote>
  <w:footnote w:id="20">
    <w:p w14:paraId="59DB33CC" w14:textId="77777777" w:rsidR="00E41F8A" w:rsidRPr="001043C6" w:rsidRDefault="00E41F8A" w:rsidP="00E41F8A">
      <w:pPr>
        <w:spacing w:after="0" w:line="240" w:lineRule="auto"/>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495F0CE0" w14:textId="77777777" w:rsidR="00E41F8A" w:rsidRPr="001043C6" w:rsidRDefault="00E41F8A" w:rsidP="00E41F8A">
      <w:pPr>
        <w:pStyle w:val="Textonotapie"/>
        <w:ind w:right="51" w:firstLine="709"/>
        <w:jc w:val="both"/>
        <w:rPr>
          <w:rFonts w:ascii="Verdana" w:eastAsia="Times New Roman" w:hAnsi="Verdana" w:cs="Arial"/>
          <w:bCs/>
          <w:sz w:val="16"/>
          <w:szCs w:val="16"/>
          <w:lang w:eastAsia="x-none"/>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1043C6">
        <w:rPr>
          <w:rFonts w:ascii="Verdana" w:eastAsia="Times New Roman" w:hAnsi="Verdana" w:cs="Arial"/>
          <w:bCs/>
          <w:sz w:val="16"/>
          <w:szCs w:val="16"/>
          <w:lang w:eastAsia="x-none"/>
        </w:rPr>
        <w:t xml:space="preserve"> “</w:t>
      </w:r>
      <w:r w:rsidRPr="001043C6">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1043C6">
        <w:rPr>
          <w:rFonts w:ascii="Verdana" w:eastAsia="Times New Roman" w:hAnsi="Verdana" w:cs="Arial"/>
          <w:bCs/>
          <w:sz w:val="16"/>
          <w:szCs w:val="16"/>
          <w:lang w:eastAsia="x-none"/>
        </w:rPr>
        <w:t>”.</w:t>
      </w:r>
    </w:p>
  </w:footnote>
  <w:footnote w:id="22">
    <w:p w14:paraId="5E7DB933" w14:textId="77777777" w:rsidR="00E41F8A" w:rsidRPr="001043C6" w:rsidRDefault="00E41F8A" w:rsidP="00E41F8A">
      <w:pPr>
        <w:spacing w:after="0" w:line="240" w:lineRule="auto"/>
        <w:ind w:firstLine="708"/>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3">
    <w:p w14:paraId="1836D2D7" w14:textId="77777777" w:rsidR="00E41F8A" w:rsidRPr="001043C6" w:rsidRDefault="00E41F8A" w:rsidP="00E41F8A">
      <w:pPr>
        <w:pStyle w:val="Textonotapie"/>
        <w:ind w:right="51"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Consejo de Estado. Sala de Consulta y Servicio Civil, ídem.</w:t>
      </w:r>
    </w:p>
  </w:footnote>
  <w:footnote w:id="24">
    <w:p w14:paraId="0A433882" w14:textId="77777777" w:rsidR="00E41F8A" w:rsidRPr="001043C6" w:rsidRDefault="00E41F8A" w:rsidP="00E41F8A">
      <w:pPr>
        <w:pStyle w:val="Textonotapie"/>
        <w:ind w:firstLine="709"/>
        <w:jc w:val="both"/>
        <w:rPr>
          <w:rFonts w:ascii="Verdana" w:hAnsi="Verdana" w:cs="Arial"/>
          <w:color w:val="000000" w:themeColor="text1"/>
          <w:sz w:val="16"/>
          <w:szCs w:val="16"/>
        </w:rPr>
      </w:pPr>
      <w:r w:rsidRPr="001043C6">
        <w:rPr>
          <w:rStyle w:val="Refdenotaalpie"/>
          <w:rFonts w:ascii="Verdana" w:hAnsi="Verdana" w:cs="Arial"/>
          <w:color w:val="000000" w:themeColor="text1"/>
          <w:sz w:val="16"/>
          <w:szCs w:val="16"/>
        </w:rPr>
        <w:footnoteRef/>
      </w:r>
      <w:r w:rsidRPr="001043C6">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4FDB81C2" w14:textId="77777777" w:rsidR="00E41F8A" w:rsidRPr="001043C6" w:rsidRDefault="00E41F8A" w:rsidP="00E41F8A">
      <w:pPr>
        <w:pStyle w:val="Textonotapie"/>
        <w:ind w:firstLine="709"/>
        <w:jc w:val="both"/>
        <w:rPr>
          <w:rFonts w:ascii="Verdana" w:hAnsi="Verdana" w:cs="Arial"/>
          <w:color w:val="000000" w:themeColor="text1"/>
          <w:sz w:val="16"/>
          <w:szCs w:val="16"/>
        </w:rPr>
      </w:pPr>
      <w:r w:rsidRPr="001043C6">
        <w:rPr>
          <w:rFonts w:ascii="Verdana" w:hAnsi="Verdana" w:cs="Arial"/>
          <w:color w:val="000000" w:themeColor="text1"/>
          <w:sz w:val="16"/>
          <w:szCs w:val="16"/>
        </w:rPr>
        <w:t>Lo anterior, sin perjuicio de las publicaciones previstas en el numeral 3 del artículo 30 de la Ley 80 de 1993.</w:t>
      </w:r>
    </w:p>
    <w:p w14:paraId="330DC199" w14:textId="77777777" w:rsidR="00E41F8A" w:rsidRPr="001043C6" w:rsidRDefault="00E41F8A" w:rsidP="00E41F8A">
      <w:pPr>
        <w:pStyle w:val="Textonotapie"/>
        <w:ind w:firstLine="709"/>
        <w:jc w:val="both"/>
        <w:rPr>
          <w:rFonts w:ascii="Verdana" w:hAnsi="Verdana" w:cs="Arial"/>
          <w:color w:val="000000" w:themeColor="text1"/>
          <w:sz w:val="16"/>
          <w:szCs w:val="16"/>
        </w:rPr>
      </w:pPr>
      <w:r w:rsidRPr="001043C6">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w:t>
      </w:r>
      <w:proofErr w:type="spellStart"/>
      <w:r w:rsidRPr="001043C6">
        <w:rPr>
          <w:rFonts w:ascii="Verdana" w:hAnsi="Verdana" w:cs="Arial"/>
          <w:color w:val="000000" w:themeColor="text1"/>
          <w:sz w:val="16"/>
          <w:szCs w:val="16"/>
        </w:rPr>
        <w:t>Secop</w:t>
      </w:r>
      <w:proofErr w:type="spellEnd"/>
      <w:r w:rsidRPr="001043C6">
        <w:rPr>
          <w:rFonts w:ascii="Verdana" w:hAnsi="Verdana" w:cs="Arial"/>
          <w:color w:val="000000" w:themeColor="text1"/>
          <w:sz w:val="16"/>
          <w:szCs w:val="16"/>
        </w:rPr>
        <w:t xml:space="preserve">, el cual: </w:t>
      </w:r>
    </w:p>
    <w:p w14:paraId="31C8E76B" w14:textId="77777777" w:rsidR="00E41F8A" w:rsidRPr="001043C6" w:rsidRDefault="00E41F8A" w:rsidP="00E41F8A">
      <w:pPr>
        <w:pStyle w:val="Textonotapie"/>
        <w:ind w:firstLine="709"/>
        <w:jc w:val="both"/>
        <w:rPr>
          <w:rFonts w:ascii="Verdana" w:hAnsi="Verdana" w:cs="Arial"/>
          <w:color w:val="000000" w:themeColor="text1"/>
          <w:sz w:val="16"/>
          <w:szCs w:val="16"/>
        </w:rPr>
      </w:pPr>
      <w:r w:rsidRPr="001043C6">
        <w:rPr>
          <w:rFonts w:ascii="Verdana" w:hAnsi="Verdana" w:cs="Arial"/>
          <w:color w:val="000000" w:themeColor="text1"/>
          <w:sz w:val="16"/>
          <w:szCs w:val="16"/>
        </w:rPr>
        <w:t>[…]</w:t>
      </w:r>
    </w:p>
    <w:p w14:paraId="0362CFBD" w14:textId="77777777" w:rsidR="00E41F8A" w:rsidRPr="001043C6" w:rsidRDefault="00E41F8A" w:rsidP="00E41F8A">
      <w:pPr>
        <w:pStyle w:val="Textonotapie"/>
        <w:ind w:firstLine="709"/>
        <w:jc w:val="both"/>
        <w:rPr>
          <w:rFonts w:ascii="Verdana" w:hAnsi="Verdana" w:cs="Arial"/>
          <w:color w:val="000000" w:themeColor="text1"/>
          <w:sz w:val="16"/>
          <w:szCs w:val="16"/>
        </w:rPr>
      </w:pPr>
      <w:r w:rsidRPr="001043C6">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00C82D4D" w14:textId="77777777" w:rsidR="00E41F8A" w:rsidRPr="001043C6" w:rsidRDefault="00E41F8A" w:rsidP="00E41F8A">
      <w:pPr>
        <w:pStyle w:val="Textonotapie"/>
        <w:ind w:firstLine="709"/>
        <w:jc w:val="both"/>
        <w:rPr>
          <w:rFonts w:ascii="Verdana" w:hAnsi="Verdana" w:cs="Arial"/>
          <w:color w:val="000000" w:themeColor="text1"/>
          <w:sz w:val="16"/>
          <w:szCs w:val="16"/>
          <w:lang w:val="es-CO"/>
        </w:rPr>
      </w:pPr>
    </w:p>
  </w:footnote>
  <w:footnote w:id="25">
    <w:p w14:paraId="1A7E99D3" w14:textId="77777777" w:rsidR="00E41F8A" w:rsidRPr="001043C6" w:rsidRDefault="00E41F8A" w:rsidP="00E41F8A">
      <w:pPr>
        <w:pStyle w:val="Textonotapie"/>
        <w:ind w:firstLine="708"/>
        <w:jc w:val="both"/>
        <w:rPr>
          <w:rFonts w:ascii="Verdana" w:hAnsi="Verdana" w:cs="Arial"/>
          <w:color w:val="000000"/>
          <w:sz w:val="16"/>
          <w:szCs w:val="16"/>
        </w:rPr>
      </w:pPr>
      <w:r w:rsidRPr="001043C6">
        <w:rPr>
          <w:rStyle w:val="Refdenotaalpie"/>
          <w:rFonts w:ascii="Verdana" w:hAnsi="Verdana" w:cs="Arial"/>
          <w:color w:val="000000"/>
          <w:sz w:val="16"/>
          <w:szCs w:val="16"/>
        </w:rPr>
        <w:footnoteRef/>
      </w:r>
      <w:r w:rsidRPr="001043C6">
        <w:rPr>
          <w:rFonts w:ascii="Verdana" w:hAnsi="Verdana" w:cs="Arial"/>
          <w:color w:val="000000"/>
          <w:sz w:val="16"/>
          <w:szCs w:val="16"/>
        </w:rPr>
        <w:t xml:space="preserve"> Decreto 4170 de 2011: “Artículo 3. Funciones: La Agencia Nacional de Contratación Pública –Colombia Compra Eficiente– ejercerá las siguientes funciones: [...]</w:t>
      </w:r>
    </w:p>
    <w:p w14:paraId="05DFE5A2" w14:textId="77777777" w:rsidR="00E41F8A" w:rsidRPr="001043C6" w:rsidRDefault="00E41F8A" w:rsidP="00E41F8A">
      <w:pPr>
        <w:pStyle w:val="Textonotapie"/>
        <w:ind w:firstLine="708"/>
        <w:jc w:val="both"/>
        <w:rPr>
          <w:rFonts w:ascii="Verdana" w:hAnsi="Verdana" w:cs="Arial"/>
          <w:color w:val="000000"/>
          <w:sz w:val="16"/>
          <w:szCs w:val="16"/>
        </w:rPr>
      </w:pPr>
      <w:r w:rsidRPr="001043C6">
        <w:rPr>
          <w:rFonts w:ascii="Verdana" w:hAnsi="Verdana" w:cs="Arial"/>
          <w:color w:val="000000"/>
          <w:sz w:val="16"/>
          <w:szCs w:val="16"/>
        </w:rPr>
        <w:t>8.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26">
    <w:p w14:paraId="79793CBF" w14:textId="77777777" w:rsidR="00E41F8A" w:rsidRPr="001043C6" w:rsidRDefault="00E41F8A" w:rsidP="00E41F8A">
      <w:pPr>
        <w:pStyle w:val="Textonotapie"/>
        <w:ind w:firstLine="708"/>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w:t>
      </w:r>
    </w:p>
  </w:footnote>
  <w:footnote w:id="27">
    <w:p w14:paraId="3B1C591F" w14:textId="77777777" w:rsidR="00E41F8A" w:rsidRPr="001043C6" w:rsidRDefault="00E41F8A" w:rsidP="00E41F8A">
      <w:pPr>
        <w:widowControl w:val="0"/>
        <w:autoSpaceDE w:val="0"/>
        <w:autoSpaceDN w:val="0"/>
        <w:spacing w:after="120"/>
        <w:ind w:firstLine="709"/>
        <w:jc w:val="both"/>
        <w:rPr>
          <w:rFonts w:ascii="Verdana" w:hAnsi="Verdana" w:cs="Arial"/>
          <w:sz w:val="16"/>
          <w:szCs w:val="16"/>
        </w:rPr>
      </w:pPr>
      <w:r w:rsidRPr="001043C6">
        <w:rPr>
          <w:rStyle w:val="Refdenotaalpie"/>
          <w:rFonts w:ascii="Verdana" w:hAnsi="Verdana" w:cs="Arial"/>
          <w:sz w:val="16"/>
          <w:szCs w:val="16"/>
        </w:rPr>
        <w:footnoteRef/>
      </w:r>
      <w:r w:rsidRPr="001043C6">
        <w:rPr>
          <w:rFonts w:ascii="Verdana" w:hAnsi="Verdana" w:cs="Arial"/>
          <w:sz w:val="16"/>
          <w:szCs w:val="16"/>
        </w:rPr>
        <w:t xml:space="preserve"> </w:t>
      </w:r>
      <w:r w:rsidRPr="001043C6">
        <w:rPr>
          <w:rFonts w:ascii="Verdana" w:eastAsia="Arial" w:hAnsi="Verdana" w:cs="Arial"/>
          <w:sz w:val="16"/>
          <w:szCs w:val="16"/>
          <w:lang w:val="es-ES"/>
        </w:rPr>
        <w:t>Respecto a la noción de día hábil, son relevantes las consideraciones expuestas por esta Subdirección en el concepto C-160 del 3 de abril de 2020 –radicado No. 2202013000002420–, donde se expuso que “[…] 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al público, los cuales son, por regla general, todos los días de la semana, con excepción de los sábados, domingos y feriados previstos en la generalidad de entidades como días de descanso”.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F5E"/>
    <w:rsid w:val="00002970"/>
    <w:rsid w:val="00005E1E"/>
    <w:rsid w:val="0001112E"/>
    <w:rsid w:val="00013201"/>
    <w:rsid w:val="00014D9E"/>
    <w:rsid w:val="00016F78"/>
    <w:rsid w:val="0002029B"/>
    <w:rsid w:val="00020484"/>
    <w:rsid w:val="000229C3"/>
    <w:rsid w:val="00023ADC"/>
    <w:rsid w:val="00031855"/>
    <w:rsid w:val="00035438"/>
    <w:rsid w:val="00040801"/>
    <w:rsid w:val="000411C6"/>
    <w:rsid w:val="0004183D"/>
    <w:rsid w:val="000466BD"/>
    <w:rsid w:val="00046945"/>
    <w:rsid w:val="0005195F"/>
    <w:rsid w:val="00052B57"/>
    <w:rsid w:val="000547F7"/>
    <w:rsid w:val="0006061C"/>
    <w:rsid w:val="00061547"/>
    <w:rsid w:val="00061A48"/>
    <w:rsid w:val="00061B2A"/>
    <w:rsid w:val="000673BA"/>
    <w:rsid w:val="00071189"/>
    <w:rsid w:val="00071D46"/>
    <w:rsid w:val="000725FE"/>
    <w:rsid w:val="00074CDA"/>
    <w:rsid w:val="0008069C"/>
    <w:rsid w:val="00081B47"/>
    <w:rsid w:val="00082362"/>
    <w:rsid w:val="00082C01"/>
    <w:rsid w:val="00082F90"/>
    <w:rsid w:val="0008354C"/>
    <w:rsid w:val="000838BA"/>
    <w:rsid w:val="0009030A"/>
    <w:rsid w:val="000920EA"/>
    <w:rsid w:val="00092DCC"/>
    <w:rsid w:val="00093A57"/>
    <w:rsid w:val="00095642"/>
    <w:rsid w:val="000A2543"/>
    <w:rsid w:val="000A3CEB"/>
    <w:rsid w:val="000A50F2"/>
    <w:rsid w:val="000A683E"/>
    <w:rsid w:val="000A6D90"/>
    <w:rsid w:val="000B19B9"/>
    <w:rsid w:val="000B3DFD"/>
    <w:rsid w:val="000D0334"/>
    <w:rsid w:val="000D15E3"/>
    <w:rsid w:val="000D4EC2"/>
    <w:rsid w:val="000D5DA7"/>
    <w:rsid w:val="000E3C0C"/>
    <w:rsid w:val="000E4F40"/>
    <w:rsid w:val="000E6090"/>
    <w:rsid w:val="000F6486"/>
    <w:rsid w:val="001043C6"/>
    <w:rsid w:val="001058F2"/>
    <w:rsid w:val="00106C80"/>
    <w:rsid w:val="001078E9"/>
    <w:rsid w:val="001131F7"/>
    <w:rsid w:val="00116940"/>
    <w:rsid w:val="00124A02"/>
    <w:rsid w:val="00125105"/>
    <w:rsid w:val="001263B8"/>
    <w:rsid w:val="00127233"/>
    <w:rsid w:val="001272F5"/>
    <w:rsid w:val="00127865"/>
    <w:rsid w:val="00132DDE"/>
    <w:rsid w:val="00132F35"/>
    <w:rsid w:val="0013611A"/>
    <w:rsid w:val="0013793B"/>
    <w:rsid w:val="0014155F"/>
    <w:rsid w:val="0014185E"/>
    <w:rsid w:val="00151EE6"/>
    <w:rsid w:val="001525FE"/>
    <w:rsid w:val="0015683D"/>
    <w:rsid w:val="0015699B"/>
    <w:rsid w:val="00160992"/>
    <w:rsid w:val="00161946"/>
    <w:rsid w:val="0016386A"/>
    <w:rsid w:val="00164067"/>
    <w:rsid w:val="00175E23"/>
    <w:rsid w:val="00186559"/>
    <w:rsid w:val="00192440"/>
    <w:rsid w:val="00196525"/>
    <w:rsid w:val="001A0022"/>
    <w:rsid w:val="001A2CE0"/>
    <w:rsid w:val="001A33BF"/>
    <w:rsid w:val="001A5569"/>
    <w:rsid w:val="001B04E1"/>
    <w:rsid w:val="001B2220"/>
    <w:rsid w:val="001B3DD5"/>
    <w:rsid w:val="001B40D7"/>
    <w:rsid w:val="001C02BF"/>
    <w:rsid w:val="001C1076"/>
    <w:rsid w:val="001C347D"/>
    <w:rsid w:val="001C4466"/>
    <w:rsid w:val="001C4CF0"/>
    <w:rsid w:val="001C7A3B"/>
    <w:rsid w:val="001E4177"/>
    <w:rsid w:val="001F0A93"/>
    <w:rsid w:val="001F0B24"/>
    <w:rsid w:val="001F34EE"/>
    <w:rsid w:val="001F3BFF"/>
    <w:rsid w:val="001F7DC6"/>
    <w:rsid w:val="0020131C"/>
    <w:rsid w:val="0020697A"/>
    <w:rsid w:val="002112C9"/>
    <w:rsid w:val="0021326C"/>
    <w:rsid w:val="002133AC"/>
    <w:rsid w:val="00214C78"/>
    <w:rsid w:val="002151B7"/>
    <w:rsid w:val="00220E51"/>
    <w:rsid w:val="00222418"/>
    <w:rsid w:val="0022400B"/>
    <w:rsid w:val="00225635"/>
    <w:rsid w:val="0022674B"/>
    <w:rsid w:val="002421BB"/>
    <w:rsid w:val="002439E8"/>
    <w:rsid w:val="002554C2"/>
    <w:rsid w:val="0025796E"/>
    <w:rsid w:val="0026347A"/>
    <w:rsid w:val="002707A2"/>
    <w:rsid w:val="0027500F"/>
    <w:rsid w:val="00275223"/>
    <w:rsid w:val="00285515"/>
    <w:rsid w:val="002951A0"/>
    <w:rsid w:val="002962BC"/>
    <w:rsid w:val="002979E2"/>
    <w:rsid w:val="002A093D"/>
    <w:rsid w:val="002A0DD0"/>
    <w:rsid w:val="002A1EB4"/>
    <w:rsid w:val="002A49AC"/>
    <w:rsid w:val="002A64FD"/>
    <w:rsid w:val="002A7BE9"/>
    <w:rsid w:val="002C1DC7"/>
    <w:rsid w:val="002C3456"/>
    <w:rsid w:val="002C7024"/>
    <w:rsid w:val="002C7A84"/>
    <w:rsid w:val="002D2831"/>
    <w:rsid w:val="002E2BF8"/>
    <w:rsid w:val="002E4FD9"/>
    <w:rsid w:val="002E5CAA"/>
    <w:rsid w:val="002E61CB"/>
    <w:rsid w:val="002F0013"/>
    <w:rsid w:val="002F10C0"/>
    <w:rsid w:val="00301509"/>
    <w:rsid w:val="0030607D"/>
    <w:rsid w:val="0030657A"/>
    <w:rsid w:val="00322A85"/>
    <w:rsid w:val="00322EC5"/>
    <w:rsid w:val="00324168"/>
    <w:rsid w:val="00325D48"/>
    <w:rsid w:val="00330834"/>
    <w:rsid w:val="003434AF"/>
    <w:rsid w:val="003448F4"/>
    <w:rsid w:val="00354826"/>
    <w:rsid w:val="00364792"/>
    <w:rsid w:val="00371077"/>
    <w:rsid w:val="00372C6B"/>
    <w:rsid w:val="00374F5E"/>
    <w:rsid w:val="0037544F"/>
    <w:rsid w:val="0037556D"/>
    <w:rsid w:val="00375627"/>
    <w:rsid w:val="00377E3E"/>
    <w:rsid w:val="003820DF"/>
    <w:rsid w:val="0038750C"/>
    <w:rsid w:val="00390276"/>
    <w:rsid w:val="003948B6"/>
    <w:rsid w:val="003A4E06"/>
    <w:rsid w:val="003A5617"/>
    <w:rsid w:val="003A779E"/>
    <w:rsid w:val="003C6845"/>
    <w:rsid w:val="003D0F4D"/>
    <w:rsid w:val="003D1B64"/>
    <w:rsid w:val="003D5B0D"/>
    <w:rsid w:val="003D6606"/>
    <w:rsid w:val="003D7438"/>
    <w:rsid w:val="003E03BB"/>
    <w:rsid w:val="003E0499"/>
    <w:rsid w:val="003E40E7"/>
    <w:rsid w:val="003E4F80"/>
    <w:rsid w:val="003E5249"/>
    <w:rsid w:val="003E6439"/>
    <w:rsid w:val="003E735B"/>
    <w:rsid w:val="003F0CFC"/>
    <w:rsid w:val="003F3941"/>
    <w:rsid w:val="003F5118"/>
    <w:rsid w:val="003F614D"/>
    <w:rsid w:val="0040603B"/>
    <w:rsid w:val="00406575"/>
    <w:rsid w:val="00407DAB"/>
    <w:rsid w:val="00410798"/>
    <w:rsid w:val="004108C1"/>
    <w:rsid w:val="00411BDC"/>
    <w:rsid w:val="0041308F"/>
    <w:rsid w:val="0041459A"/>
    <w:rsid w:val="0041468A"/>
    <w:rsid w:val="00414C74"/>
    <w:rsid w:val="00421E16"/>
    <w:rsid w:val="00422709"/>
    <w:rsid w:val="0042722E"/>
    <w:rsid w:val="00435588"/>
    <w:rsid w:val="00441CBA"/>
    <w:rsid w:val="00442171"/>
    <w:rsid w:val="00443369"/>
    <w:rsid w:val="0044391D"/>
    <w:rsid w:val="0044528D"/>
    <w:rsid w:val="00446315"/>
    <w:rsid w:val="00447D68"/>
    <w:rsid w:val="00454929"/>
    <w:rsid w:val="00460A3E"/>
    <w:rsid w:val="00466E39"/>
    <w:rsid w:val="00467A2E"/>
    <w:rsid w:val="00476023"/>
    <w:rsid w:val="00477E8C"/>
    <w:rsid w:val="004802F4"/>
    <w:rsid w:val="004826B6"/>
    <w:rsid w:val="00484F26"/>
    <w:rsid w:val="0049280A"/>
    <w:rsid w:val="0049672E"/>
    <w:rsid w:val="004A1847"/>
    <w:rsid w:val="004A305D"/>
    <w:rsid w:val="004A3104"/>
    <w:rsid w:val="004A6106"/>
    <w:rsid w:val="004A7E46"/>
    <w:rsid w:val="004B5927"/>
    <w:rsid w:val="004C0417"/>
    <w:rsid w:val="004D0639"/>
    <w:rsid w:val="004D21F3"/>
    <w:rsid w:val="004D249E"/>
    <w:rsid w:val="004D516B"/>
    <w:rsid w:val="004D7053"/>
    <w:rsid w:val="004E615E"/>
    <w:rsid w:val="004F21C4"/>
    <w:rsid w:val="004F5FF1"/>
    <w:rsid w:val="004F685F"/>
    <w:rsid w:val="00500CF5"/>
    <w:rsid w:val="00504FBE"/>
    <w:rsid w:val="00505F89"/>
    <w:rsid w:val="00511259"/>
    <w:rsid w:val="0051328D"/>
    <w:rsid w:val="005173C4"/>
    <w:rsid w:val="005254E6"/>
    <w:rsid w:val="00530087"/>
    <w:rsid w:val="0053094D"/>
    <w:rsid w:val="0054375A"/>
    <w:rsid w:val="00555728"/>
    <w:rsid w:val="005566E8"/>
    <w:rsid w:val="00556C7F"/>
    <w:rsid w:val="00560E6B"/>
    <w:rsid w:val="00562602"/>
    <w:rsid w:val="00566E26"/>
    <w:rsid w:val="005675BF"/>
    <w:rsid w:val="005725D2"/>
    <w:rsid w:val="00572A8C"/>
    <w:rsid w:val="00574867"/>
    <w:rsid w:val="00576B1A"/>
    <w:rsid w:val="00582210"/>
    <w:rsid w:val="005846EA"/>
    <w:rsid w:val="0058618A"/>
    <w:rsid w:val="0059023C"/>
    <w:rsid w:val="00590E89"/>
    <w:rsid w:val="00591460"/>
    <w:rsid w:val="00591700"/>
    <w:rsid w:val="00591C5C"/>
    <w:rsid w:val="00593286"/>
    <w:rsid w:val="00593BF1"/>
    <w:rsid w:val="005A2AD6"/>
    <w:rsid w:val="005A2F05"/>
    <w:rsid w:val="005A65E0"/>
    <w:rsid w:val="005B098B"/>
    <w:rsid w:val="005B2C0B"/>
    <w:rsid w:val="005B3052"/>
    <w:rsid w:val="005B6132"/>
    <w:rsid w:val="005C3777"/>
    <w:rsid w:val="005C5CDC"/>
    <w:rsid w:val="005D2ED3"/>
    <w:rsid w:val="005D476C"/>
    <w:rsid w:val="005E7D8A"/>
    <w:rsid w:val="005F587B"/>
    <w:rsid w:val="005F61CE"/>
    <w:rsid w:val="006072FB"/>
    <w:rsid w:val="00610829"/>
    <w:rsid w:val="00612C39"/>
    <w:rsid w:val="00613744"/>
    <w:rsid w:val="006142DB"/>
    <w:rsid w:val="006155F7"/>
    <w:rsid w:val="00617654"/>
    <w:rsid w:val="006200BF"/>
    <w:rsid w:val="006204DF"/>
    <w:rsid w:val="00621799"/>
    <w:rsid w:val="006219F8"/>
    <w:rsid w:val="006302F7"/>
    <w:rsid w:val="006369B3"/>
    <w:rsid w:val="006415FB"/>
    <w:rsid w:val="006455F3"/>
    <w:rsid w:val="00646B9F"/>
    <w:rsid w:val="0066174E"/>
    <w:rsid w:val="006638D4"/>
    <w:rsid w:val="00665D70"/>
    <w:rsid w:val="00684307"/>
    <w:rsid w:val="006900D9"/>
    <w:rsid w:val="006918E2"/>
    <w:rsid w:val="00692589"/>
    <w:rsid w:val="00694F2A"/>
    <w:rsid w:val="00697556"/>
    <w:rsid w:val="00697850"/>
    <w:rsid w:val="006A26F6"/>
    <w:rsid w:val="006B1C1F"/>
    <w:rsid w:val="006B1EBD"/>
    <w:rsid w:val="006C2D59"/>
    <w:rsid w:val="006C31C2"/>
    <w:rsid w:val="006C3A0E"/>
    <w:rsid w:val="006C3C02"/>
    <w:rsid w:val="006D2B41"/>
    <w:rsid w:val="006D3665"/>
    <w:rsid w:val="006E2D58"/>
    <w:rsid w:val="006E7646"/>
    <w:rsid w:val="006F3792"/>
    <w:rsid w:val="006F4A5E"/>
    <w:rsid w:val="006F6F2F"/>
    <w:rsid w:val="006F73F6"/>
    <w:rsid w:val="0070048C"/>
    <w:rsid w:val="00700FC1"/>
    <w:rsid w:val="00706A21"/>
    <w:rsid w:val="00706C16"/>
    <w:rsid w:val="00712DFD"/>
    <w:rsid w:val="007173F3"/>
    <w:rsid w:val="00720881"/>
    <w:rsid w:val="00727CD7"/>
    <w:rsid w:val="007340C3"/>
    <w:rsid w:val="00745F3A"/>
    <w:rsid w:val="00746BE7"/>
    <w:rsid w:val="007504DC"/>
    <w:rsid w:val="0075226F"/>
    <w:rsid w:val="0075235A"/>
    <w:rsid w:val="00752E9E"/>
    <w:rsid w:val="0075563F"/>
    <w:rsid w:val="00756841"/>
    <w:rsid w:val="007626C7"/>
    <w:rsid w:val="007649AB"/>
    <w:rsid w:val="00764ED0"/>
    <w:rsid w:val="00765900"/>
    <w:rsid w:val="00766D7E"/>
    <w:rsid w:val="00770786"/>
    <w:rsid w:val="00771CCA"/>
    <w:rsid w:val="00771D0C"/>
    <w:rsid w:val="0077223C"/>
    <w:rsid w:val="007759EA"/>
    <w:rsid w:val="00781B23"/>
    <w:rsid w:val="00782142"/>
    <w:rsid w:val="007833AC"/>
    <w:rsid w:val="00793AC1"/>
    <w:rsid w:val="00794084"/>
    <w:rsid w:val="00795D50"/>
    <w:rsid w:val="0079605D"/>
    <w:rsid w:val="007A0A4B"/>
    <w:rsid w:val="007A7731"/>
    <w:rsid w:val="007B268C"/>
    <w:rsid w:val="007B2BC2"/>
    <w:rsid w:val="007B2C45"/>
    <w:rsid w:val="007B7171"/>
    <w:rsid w:val="007C0C0F"/>
    <w:rsid w:val="007C2D7D"/>
    <w:rsid w:val="007C3DC2"/>
    <w:rsid w:val="007D1115"/>
    <w:rsid w:val="007D4B2E"/>
    <w:rsid w:val="007D57F7"/>
    <w:rsid w:val="007E0520"/>
    <w:rsid w:val="007E0C8D"/>
    <w:rsid w:val="007E1089"/>
    <w:rsid w:val="007E369C"/>
    <w:rsid w:val="007E5497"/>
    <w:rsid w:val="007F431E"/>
    <w:rsid w:val="007F494F"/>
    <w:rsid w:val="007F7F54"/>
    <w:rsid w:val="008036B4"/>
    <w:rsid w:val="00806F5F"/>
    <w:rsid w:val="0081175D"/>
    <w:rsid w:val="0081373F"/>
    <w:rsid w:val="00813B7E"/>
    <w:rsid w:val="00816000"/>
    <w:rsid w:val="00820278"/>
    <w:rsid w:val="0082247A"/>
    <w:rsid w:val="008257C0"/>
    <w:rsid w:val="008258C9"/>
    <w:rsid w:val="008318E9"/>
    <w:rsid w:val="00832214"/>
    <w:rsid w:val="00834510"/>
    <w:rsid w:val="00834C77"/>
    <w:rsid w:val="00835774"/>
    <w:rsid w:val="00840E4B"/>
    <w:rsid w:val="00844AE9"/>
    <w:rsid w:val="00846D07"/>
    <w:rsid w:val="00861E32"/>
    <w:rsid w:val="00865796"/>
    <w:rsid w:val="00867F95"/>
    <w:rsid w:val="008717DA"/>
    <w:rsid w:val="0087320F"/>
    <w:rsid w:val="00877FEE"/>
    <w:rsid w:val="00881A1C"/>
    <w:rsid w:val="008843B6"/>
    <w:rsid w:val="00887563"/>
    <w:rsid w:val="00890CF6"/>
    <w:rsid w:val="00891928"/>
    <w:rsid w:val="008A446D"/>
    <w:rsid w:val="008A45F0"/>
    <w:rsid w:val="008A56A7"/>
    <w:rsid w:val="008B0077"/>
    <w:rsid w:val="008B0E75"/>
    <w:rsid w:val="008B25F1"/>
    <w:rsid w:val="008C17CB"/>
    <w:rsid w:val="008C7945"/>
    <w:rsid w:val="008D180B"/>
    <w:rsid w:val="008D2A2F"/>
    <w:rsid w:val="008D531B"/>
    <w:rsid w:val="008E12F2"/>
    <w:rsid w:val="008E26FE"/>
    <w:rsid w:val="008E492D"/>
    <w:rsid w:val="008E55E5"/>
    <w:rsid w:val="008F0EA7"/>
    <w:rsid w:val="008F2D72"/>
    <w:rsid w:val="008F301B"/>
    <w:rsid w:val="008F436F"/>
    <w:rsid w:val="009054DF"/>
    <w:rsid w:val="00911906"/>
    <w:rsid w:val="0091487B"/>
    <w:rsid w:val="009207CE"/>
    <w:rsid w:val="00920D5B"/>
    <w:rsid w:val="00921EF0"/>
    <w:rsid w:val="00923EEF"/>
    <w:rsid w:val="00926E3D"/>
    <w:rsid w:val="00930075"/>
    <w:rsid w:val="0093137C"/>
    <w:rsid w:val="00934F4F"/>
    <w:rsid w:val="0094099A"/>
    <w:rsid w:val="009419F9"/>
    <w:rsid w:val="009433C7"/>
    <w:rsid w:val="00944446"/>
    <w:rsid w:val="00946246"/>
    <w:rsid w:val="00955709"/>
    <w:rsid w:val="0095685E"/>
    <w:rsid w:val="00957615"/>
    <w:rsid w:val="00961B09"/>
    <w:rsid w:val="00965334"/>
    <w:rsid w:val="0097093E"/>
    <w:rsid w:val="00970FE4"/>
    <w:rsid w:val="00972DF7"/>
    <w:rsid w:val="0097436F"/>
    <w:rsid w:val="00975846"/>
    <w:rsid w:val="009777FA"/>
    <w:rsid w:val="009800F8"/>
    <w:rsid w:val="00985C8C"/>
    <w:rsid w:val="00986210"/>
    <w:rsid w:val="009877D7"/>
    <w:rsid w:val="00987C44"/>
    <w:rsid w:val="009933D4"/>
    <w:rsid w:val="009948A2"/>
    <w:rsid w:val="0099559C"/>
    <w:rsid w:val="00995764"/>
    <w:rsid w:val="009A0DFA"/>
    <w:rsid w:val="009A139E"/>
    <w:rsid w:val="009A1C6F"/>
    <w:rsid w:val="009A6CF9"/>
    <w:rsid w:val="009B02D6"/>
    <w:rsid w:val="009B032F"/>
    <w:rsid w:val="009B0E84"/>
    <w:rsid w:val="009B2D26"/>
    <w:rsid w:val="009B4037"/>
    <w:rsid w:val="009B604C"/>
    <w:rsid w:val="009C0031"/>
    <w:rsid w:val="009C1F94"/>
    <w:rsid w:val="009C71FA"/>
    <w:rsid w:val="009C72E7"/>
    <w:rsid w:val="009C7F7E"/>
    <w:rsid w:val="009D3058"/>
    <w:rsid w:val="009D36B8"/>
    <w:rsid w:val="009F27D8"/>
    <w:rsid w:val="009F3A13"/>
    <w:rsid w:val="009F7AD6"/>
    <w:rsid w:val="00A03375"/>
    <w:rsid w:val="00A04A9E"/>
    <w:rsid w:val="00A060B6"/>
    <w:rsid w:val="00A11160"/>
    <w:rsid w:val="00A122D3"/>
    <w:rsid w:val="00A14468"/>
    <w:rsid w:val="00A17F13"/>
    <w:rsid w:val="00A2030D"/>
    <w:rsid w:val="00A20739"/>
    <w:rsid w:val="00A23AF9"/>
    <w:rsid w:val="00A23DBA"/>
    <w:rsid w:val="00A32BE2"/>
    <w:rsid w:val="00A332C8"/>
    <w:rsid w:val="00A33C78"/>
    <w:rsid w:val="00A3402F"/>
    <w:rsid w:val="00A43116"/>
    <w:rsid w:val="00A43159"/>
    <w:rsid w:val="00A45853"/>
    <w:rsid w:val="00A5328B"/>
    <w:rsid w:val="00A53532"/>
    <w:rsid w:val="00A53FD7"/>
    <w:rsid w:val="00A554C9"/>
    <w:rsid w:val="00A575FE"/>
    <w:rsid w:val="00A7048F"/>
    <w:rsid w:val="00A7422C"/>
    <w:rsid w:val="00A859A8"/>
    <w:rsid w:val="00A92EC3"/>
    <w:rsid w:val="00A960E5"/>
    <w:rsid w:val="00AA0C47"/>
    <w:rsid w:val="00AA4E5A"/>
    <w:rsid w:val="00AA63B5"/>
    <w:rsid w:val="00AB0ADB"/>
    <w:rsid w:val="00AB202A"/>
    <w:rsid w:val="00AB7579"/>
    <w:rsid w:val="00AC3148"/>
    <w:rsid w:val="00AD50C5"/>
    <w:rsid w:val="00AD6C81"/>
    <w:rsid w:val="00AF183B"/>
    <w:rsid w:val="00AF1BE5"/>
    <w:rsid w:val="00B00C0E"/>
    <w:rsid w:val="00B01B1A"/>
    <w:rsid w:val="00B01E03"/>
    <w:rsid w:val="00B0381D"/>
    <w:rsid w:val="00B060A3"/>
    <w:rsid w:val="00B140D0"/>
    <w:rsid w:val="00B23C64"/>
    <w:rsid w:val="00B249E1"/>
    <w:rsid w:val="00B24DA5"/>
    <w:rsid w:val="00B26AA9"/>
    <w:rsid w:val="00B32FE7"/>
    <w:rsid w:val="00B37969"/>
    <w:rsid w:val="00B44A47"/>
    <w:rsid w:val="00B45858"/>
    <w:rsid w:val="00B521DF"/>
    <w:rsid w:val="00B656F8"/>
    <w:rsid w:val="00B7088E"/>
    <w:rsid w:val="00B714B0"/>
    <w:rsid w:val="00B728BA"/>
    <w:rsid w:val="00B72CD3"/>
    <w:rsid w:val="00B72E30"/>
    <w:rsid w:val="00B72FFF"/>
    <w:rsid w:val="00B75E0D"/>
    <w:rsid w:val="00B81EAA"/>
    <w:rsid w:val="00B85A64"/>
    <w:rsid w:val="00BA1D42"/>
    <w:rsid w:val="00BA46C9"/>
    <w:rsid w:val="00BA4C3B"/>
    <w:rsid w:val="00BB4382"/>
    <w:rsid w:val="00BB43C2"/>
    <w:rsid w:val="00BC3C46"/>
    <w:rsid w:val="00BC3D36"/>
    <w:rsid w:val="00BC4B58"/>
    <w:rsid w:val="00BD4350"/>
    <w:rsid w:val="00BD54A6"/>
    <w:rsid w:val="00BD7F72"/>
    <w:rsid w:val="00BE36EC"/>
    <w:rsid w:val="00BF2144"/>
    <w:rsid w:val="00BF7425"/>
    <w:rsid w:val="00C00897"/>
    <w:rsid w:val="00C04FB3"/>
    <w:rsid w:val="00C0526B"/>
    <w:rsid w:val="00C0783E"/>
    <w:rsid w:val="00C103BE"/>
    <w:rsid w:val="00C11D8B"/>
    <w:rsid w:val="00C15139"/>
    <w:rsid w:val="00C16A37"/>
    <w:rsid w:val="00C200AD"/>
    <w:rsid w:val="00C222DC"/>
    <w:rsid w:val="00C2547E"/>
    <w:rsid w:val="00C330EB"/>
    <w:rsid w:val="00C36C03"/>
    <w:rsid w:val="00C413E9"/>
    <w:rsid w:val="00C41DE8"/>
    <w:rsid w:val="00C42F8D"/>
    <w:rsid w:val="00C44F26"/>
    <w:rsid w:val="00C50D69"/>
    <w:rsid w:val="00C5151D"/>
    <w:rsid w:val="00C5365C"/>
    <w:rsid w:val="00C54178"/>
    <w:rsid w:val="00C541CA"/>
    <w:rsid w:val="00C546CC"/>
    <w:rsid w:val="00C55BDE"/>
    <w:rsid w:val="00C60BDB"/>
    <w:rsid w:val="00C61CBB"/>
    <w:rsid w:val="00C66453"/>
    <w:rsid w:val="00C66CCF"/>
    <w:rsid w:val="00C708C9"/>
    <w:rsid w:val="00C72A81"/>
    <w:rsid w:val="00C754BE"/>
    <w:rsid w:val="00C76B1C"/>
    <w:rsid w:val="00C835AD"/>
    <w:rsid w:val="00C851C7"/>
    <w:rsid w:val="00C85FB6"/>
    <w:rsid w:val="00C90AE8"/>
    <w:rsid w:val="00C925AC"/>
    <w:rsid w:val="00CA7C8E"/>
    <w:rsid w:val="00CB1D05"/>
    <w:rsid w:val="00CB24C0"/>
    <w:rsid w:val="00CB2C54"/>
    <w:rsid w:val="00CB6357"/>
    <w:rsid w:val="00CB6E42"/>
    <w:rsid w:val="00CC1B26"/>
    <w:rsid w:val="00CC2634"/>
    <w:rsid w:val="00CC2FD7"/>
    <w:rsid w:val="00CC3788"/>
    <w:rsid w:val="00CC629E"/>
    <w:rsid w:val="00CE38B7"/>
    <w:rsid w:val="00CE3F9C"/>
    <w:rsid w:val="00CE42E8"/>
    <w:rsid w:val="00CE4C69"/>
    <w:rsid w:val="00CE58AD"/>
    <w:rsid w:val="00CF01D4"/>
    <w:rsid w:val="00CF1330"/>
    <w:rsid w:val="00CF2943"/>
    <w:rsid w:val="00CF29BA"/>
    <w:rsid w:val="00CF30AE"/>
    <w:rsid w:val="00CF4966"/>
    <w:rsid w:val="00D00C49"/>
    <w:rsid w:val="00D03E03"/>
    <w:rsid w:val="00D0435F"/>
    <w:rsid w:val="00D100C8"/>
    <w:rsid w:val="00D14BC3"/>
    <w:rsid w:val="00D16B34"/>
    <w:rsid w:val="00D177E6"/>
    <w:rsid w:val="00D201E9"/>
    <w:rsid w:val="00D241F1"/>
    <w:rsid w:val="00D24B6C"/>
    <w:rsid w:val="00D25E73"/>
    <w:rsid w:val="00D26B56"/>
    <w:rsid w:val="00D27094"/>
    <w:rsid w:val="00D276F0"/>
    <w:rsid w:val="00D302D9"/>
    <w:rsid w:val="00D323D9"/>
    <w:rsid w:val="00D361FD"/>
    <w:rsid w:val="00D414FE"/>
    <w:rsid w:val="00D423A2"/>
    <w:rsid w:val="00D42A83"/>
    <w:rsid w:val="00D44844"/>
    <w:rsid w:val="00D44E26"/>
    <w:rsid w:val="00D460D0"/>
    <w:rsid w:val="00D46D5B"/>
    <w:rsid w:val="00D50358"/>
    <w:rsid w:val="00D520D8"/>
    <w:rsid w:val="00D53326"/>
    <w:rsid w:val="00D63AC2"/>
    <w:rsid w:val="00D7383B"/>
    <w:rsid w:val="00D73BAF"/>
    <w:rsid w:val="00D7788A"/>
    <w:rsid w:val="00D82C96"/>
    <w:rsid w:val="00D858E0"/>
    <w:rsid w:val="00D86621"/>
    <w:rsid w:val="00D86A04"/>
    <w:rsid w:val="00D87A3C"/>
    <w:rsid w:val="00D94D01"/>
    <w:rsid w:val="00D94D77"/>
    <w:rsid w:val="00D97CCD"/>
    <w:rsid w:val="00DA02A1"/>
    <w:rsid w:val="00DA1FBF"/>
    <w:rsid w:val="00DA231B"/>
    <w:rsid w:val="00DA3609"/>
    <w:rsid w:val="00DA39A2"/>
    <w:rsid w:val="00DA4A00"/>
    <w:rsid w:val="00DB2058"/>
    <w:rsid w:val="00DB2E63"/>
    <w:rsid w:val="00DB4AFD"/>
    <w:rsid w:val="00DC2676"/>
    <w:rsid w:val="00DC38B2"/>
    <w:rsid w:val="00DC39FC"/>
    <w:rsid w:val="00DC75CA"/>
    <w:rsid w:val="00DE440E"/>
    <w:rsid w:val="00DE4943"/>
    <w:rsid w:val="00DE79ED"/>
    <w:rsid w:val="00DF5254"/>
    <w:rsid w:val="00E02524"/>
    <w:rsid w:val="00E05E4A"/>
    <w:rsid w:val="00E07A6B"/>
    <w:rsid w:val="00E1209B"/>
    <w:rsid w:val="00E13BCD"/>
    <w:rsid w:val="00E151A6"/>
    <w:rsid w:val="00E1552C"/>
    <w:rsid w:val="00E15C40"/>
    <w:rsid w:val="00E16408"/>
    <w:rsid w:val="00E17C98"/>
    <w:rsid w:val="00E20894"/>
    <w:rsid w:val="00E245AB"/>
    <w:rsid w:val="00E26013"/>
    <w:rsid w:val="00E27291"/>
    <w:rsid w:val="00E2764C"/>
    <w:rsid w:val="00E27660"/>
    <w:rsid w:val="00E27F2E"/>
    <w:rsid w:val="00E305EE"/>
    <w:rsid w:val="00E30E78"/>
    <w:rsid w:val="00E32AC2"/>
    <w:rsid w:val="00E36176"/>
    <w:rsid w:val="00E402D5"/>
    <w:rsid w:val="00E41F8A"/>
    <w:rsid w:val="00E42EFA"/>
    <w:rsid w:val="00E46AA3"/>
    <w:rsid w:val="00E46B80"/>
    <w:rsid w:val="00E50AFE"/>
    <w:rsid w:val="00E51371"/>
    <w:rsid w:val="00E70CAF"/>
    <w:rsid w:val="00E75C92"/>
    <w:rsid w:val="00E771DC"/>
    <w:rsid w:val="00E7754D"/>
    <w:rsid w:val="00E8092A"/>
    <w:rsid w:val="00E814E8"/>
    <w:rsid w:val="00E826C6"/>
    <w:rsid w:val="00E84EEF"/>
    <w:rsid w:val="00E86265"/>
    <w:rsid w:val="00E8772A"/>
    <w:rsid w:val="00E90F6B"/>
    <w:rsid w:val="00E91F51"/>
    <w:rsid w:val="00E92C27"/>
    <w:rsid w:val="00E92CEB"/>
    <w:rsid w:val="00E93496"/>
    <w:rsid w:val="00EA0E3D"/>
    <w:rsid w:val="00EA69F6"/>
    <w:rsid w:val="00EB394E"/>
    <w:rsid w:val="00EB5A8E"/>
    <w:rsid w:val="00EC214E"/>
    <w:rsid w:val="00EC38A7"/>
    <w:rsid w:val="00EC74E9"/>
    <w:rsid w:val="00EC7761"/>
    <w:rsid w:val="00ED5F50"/>
    <w:rsid w:val="00EE04B9"/>
    <w:rsid w:val="00EE1AA8"/>
    <w:rsid w:val="00EF2E3F"/>
    <w:rsid w:val="00EF5BD7"/>
    <w:rsid w:val="00EF662F"/>
    <w:rsid w:val="00F013C0"/>
    <w:rsid w:val="00F01EE6"/>
    <w:rsid w:val="00F0382A"/>
    <w:rsid w:val="00F06BC6"/>
    <w:rsid w:val="00F07CE6"/>
    <w:rsid w:val="00F07F01"/>
    <w:rsid w:val="00F10689"/>
    <w:rsid w:val="00F10855"/>
    <w:rsid w:val="00F129EB"/>
    <w:rsid w:val="00F23FEA"/>
    <w:rsid w:val="00F302DC"/>
    <w:rsid w:val="00F30E6B"/>
    <w:rsid w:val="00F30F8D"/>
    <w:rsid w:val="00F31B01"/>
    <w:rsid w:val="00F31EDC"/>
    <w:rsid w:val="00F32232"/>
    <w:rsid w:val="00F34198"/>
    <w:rsid w:val="00F3592C"/>
    <w:rsid w:val="00F4296A"/>
    <w:rsid w:val="00F462B3"/>
    <w:rsid w:val="00F473B2"/>
    <w:rsid w:val="00F5369B"/>
    <w:rsid w:val="00F54998"/>
    <w:rsid w:val="00F5664F"/>
    <w:rsid w:val="00F5666B"/>
    <w:rsid w:val="00F60619"/>
    <w:rsid w:val="00F60C80"/>
    <w:rsid w:val="00F61808"/>
    <w:rsid w:val="00F63C15"/>
    <w:rsid w:val="00F63C18"/>
    <w:rsid w:val="00F65D80"/>
    <w:rsid w:val="00F666C4"/>
    <w:rsid w:val="00F744D4"/>
    <w:rsid w:val="00F76AFC"/>
    <w:rsid w:val="00F775C8"/>
    <w:rsid w:val="00F80590"/>
    <w:rsid w:val="00F81284"/>
    <w:rsid w:val="00F81BC8"/>
    <w:rsid w:val="00F82990"/>
    <w:rsid w:val="00F85BDC"/>
    <w:rsid w:val="00F9237D"/>
    <w:rsid w:val="00F9305C"/>
    <w:rsid w:val="00F96512"/>
    <w:rsid w:val="00FA2A14"/>
    <w:rsid w:val="00FA47C0"/>
    <w:rsid w:val="00FB012D"/>
    <w:rsid w:val="00FB23E4"/>
    <w:rsid w:val="00FB5DD1"/>
    <w:rsid w:val="00FC118D"/>
    <w:rsid w:val="00FC2B5D"/>
    <w:rsid w:val="00FC2CC8"/>
    <w:rsid w:val="00FC403C"/>
    <w:rsid w:val="00FC6BC9"/>
    <w:rsid w:val="00FD16D6"/>
    <w:rsid w:val="00FD1FF0"/>
    <w:rsid w:val="00FD5B9A"/>
    <w:rsid w:val="00FD6717"/>
    <w:rsid w:val="00FD69B9"/>
    <w:rsid w:val="00FE0D31"/>
    <w:rsid w:val="00FE31CD"/>
    <w:rsid w:val="00FE3454"/>
    <w:rsid w:val="00FF1449"/>
    <w:rsid w:val="00FF3C16"/>
    <w:rsid w:val="00FF7157"/>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 w:type="table" w:customStyle="1" w:styleId="Tablaconcuadrcula112">
    <w:name w:val="Tabla con cuadrícula112"/>
    <w:basedOn w:val="Tablanormal"/>
    <w:next w:val="Tablaconcuadrcula"/>
    <w:uiPriority w:val="39"/>
    <w:qFormat/>
    <w:rsid w:val="00164067"/>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oscarlarotha1@g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48D1711-8963-4D61-AC3A-3875AE2EB710}"/>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29</Pages>
  <Words>9619</Words>
  <Characters>52909</Characters>
  <Application>Microsoft Office Word</Application>
  <DocSecurity>0</DocSecurity>
  <Lines>440</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7</cp:revision>
  <cp:lastPrinted>2023-01-10T21:18:00Z</cp:lastPrinted>
  <dcterms:created xsi:type="dcterms:W3CDTF">2026-03-02T13:56:00Z</dcterms:created>
  <dcterms:modified xsi:type="dcterms:W3CDTF">2026-03-02T14:05:00Z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