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CAAE60" w14:textId="77777777" w:rsidR="00DA141D" w:rsidRPr="00DA141D" w:rsidRDefault="00DA141D" w:rsidP="00DA141D">
      <w:pPr>
        <w:snapToGrid w:val="0"/>
        <w:spacing w:after="0" w:line="240" w:lineRule="auto"/>
        <w:jc w:val="both"/>
        <w:rPr>
          <w:rFonts w:ascii="Verdana" w:eastAsia="Calibri" w:hAnsi="Verdana" w:cs="Arial"/>
          <w:b/>
          <w:bCs/>
          <w:lang w:val="es-ES" w:eastAsia="es-ES"/>
        </w:rPr>
      </w:pPr>
      <w:r w:rsidRPr="00DA141D">
        <w:rPr>
          <w:rFonts w:ascii="Verdana" w:eastAsia="Calibri" w:hAnsi="Verdana" w:cs="Arial"/>
          <w:b/>
          <w:bCs/>
          <w:lang w:val="es-ES" w:eastAsia="es-ES"/>
        </w:rPr>
        <w:t>LEY DE GARANTÍAS ELECTORALES – Finalidad</w:t>
      </w:r>
    </w:p>
    <w:p w14:paraId="00905E30" w14:textId="77777777" w:rsidR="00DA141D" w:rsidRPr="00DA141D" w:rsidRDefault="00DA141D" w:rsidP="00DA141D">
      <w:pPr>
        <w:tabs>
          <w:tab w:val="left" w:pos="426"/>
        </w:tabs>
        <w:snapToGrid w:val="0"/>
        <w:spacing w:after="0" w:line="240" w:lineRule="auto"/>
        <w:jc w:val="both"/>
        <w:rPr>
          <w:rFonts w:ascii="Verdana" w:eastAsia="Times New Roman" w:hAnsi="Verdana" w:cs="Arial"/>
          <w:sz w:val="20"/>
          <w:szCs w:val="20"/>
          <w:lang w:val="es-ES" w:eastAsia="es-CO"/>
        </w:rPr>
      </w:pPr>
    </w:p>
    <w:p w14:paraId="3D7A0B97" w14:textId="77777777" w:rsidR="00DA141D" w:rsidRPr="00DA141D" w:rsidRDefault="00DA141D" w:rsidP="00DA141D">
      <w:pPr>
        <w:tabs>
          <w:tab w:val="left" w:pos="426"/>
        </w:tabs>
        <w:snapToGrid w:val="0"/>
        <w:spacing w:after="0" w:line="240" w:lineRule="auto"/>
        <w:jc w:val="both"/>
        <w:rPr>
          <w:rFonts w:ascii="Verdana" w:eastAsia="Calibri" w:hAnsi="Verdana" w:cs="Arial"/>
          <w:sz w:val="20"/>
          <w:szCs w:val="20"/>
          <w:lang w:val="es-ES"/>
        </w:rPr>
      </w:pPr>
      <w:r w:rsidRPr="00DA141D">
        <w:rPr>
          <w:rFonts w:ascii="Verdana" w:eastAsia="Times New Roman" w:hAnsi="Verdana" w:cs="Arial"/>
          <w:sz w:val="20"/>
          <w:szCs w:val="20"/>
          <w:lang w:val="es-ES" w:eastAsia="es-CO"/>
        </w:rPr>
        <w:t>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r w:rsidRPr="00DA141D">
        <w:rPr>
          <w:rFonts w:ascii="Verdana" w:eastAsia="Calibri" w:hAnsi="Verdana" w:cs="Arial"/>
          <w:sz w:val="20"/>
          <w:szCs w:val="20"/>
          <w:lang w:val="es-ES"/>
        </w:rPr>
        <w:t xml:space="preserve"> </w:t>
      </w:r>
    </w:p>
    <w:p w14:paraId="0E1B6385" w14:textId="77777777" w:rsidR="00DA141D" w:rsidRPr="00DA141D" w:rsidRDefault="00DA141D" w:rsidP="00DA141D">
      <w:pPr>
        <w:snapToGrid w:val="0"/>
        <w:spacing w:after="0" w:line="240" w:lineRule="auto"/>
        <w:jc w:val="both"/>
        <w:rPr>
          <w:rFonts w:ascii="Verdana" w:eastAsia="Calibri" w:hAnsi="Verdana" w:cs="Arial"/>
          <w:b/>
          <w:bCs/>
          <w:sz w:val="20"/>
          <w:szCs w:val="20"/>
          <w:lang w:val="es-ES" w:eastAsia="es-ES"/>
        </w:rPr>
      </w:pPr>
    </w:p>
    <w:p w14:paraId="4BC5A514" w14:textId="77777777" w:rsidR="00DA141D" w:rsidRPr="00DA141D" w:rsidRDefault="00DA141D" w:rsidP="00DA141D">
      <w:pPr>
        <w:snapToGrid w:val="0"/>
        <w:spacing w:after="0" w:line="240" w:lineRule="auto"/>
        <w:jc w:val="both"/>
        <w:rPr>
          <w:rFonts w:ascii="Verdana" w:eastAsia="Calibri" w:hAnsi="Verdana" w:cs="Arial"/>
          <w:b/>
          <w:bCs/>
          <w:lang w:val="es-ES" w:eastAsia="es-ES"/>
        </w:rPr>
      </w:pPr>
      <w:r w:rsidRPr="00DA141D">
        <w:rPr>
          <w:rFonts w:ascii="Verdana" w:eastAsia="Calibri" w:hAnsi="Verdana" w:cs="Arial"/>
          <w:b/>
          <w:bCs/>
          <w:lang w:val="es-ES" w:eastAsia="es-ES"/>
        </w:rPr>
        <w:t>LEY DE GARANTÍAS ELECTORALES ‒ Restricciones ‒ Contratación ‒ Tipos de elección</w:t>
      </w:r>
    </w:p>
    <w:p w14:paraId="785AE035" w14:textId="77777777" w:rsidR="00DA141D" w:rsidRPr="00DA141D" w:rsidRDefault="00DA141D" w:rsidP="00DA141D">
      <w:pPr>
        <w:snapToGrid w:val="0"/>
        <w:spacing w:after="0" w:line="240" w:lineRule="auto"/>
        <w:jc w:val="both"/>
        <w:rPr>
          <w:rFonts w:ascii="Verdana" w:eastAsia="Arial" w:hAnsi="Verdana" w:cs="Arial"/>
          <w:sz w:val="20"/>
          <w:szCs w:val="20"/>
          <w:lang w:val="es-ES" w:eastAsia="es-ES" w:bidi="es-ES"/>
        </w:rPr>
      </w:pPr>
    </w:p>
    <w:p w14:paraId="51583954" w14:textId="77777777" w:rsidR="00DA141D" w:rsidRPr="00DA141D" w:rsidRDefault="00DA141D" w:rsidP="00DA141D">
      <w:pPr>
        <w:snapToGrid w:val="0"/>
        <w:spacing w:after="0" w:line="240" w:lineRule="auto"/>
        <w:jc w:val="both"/>
        <w:rPr>
          <w:rFonts w:ascii="Verdana" w:eastAsia="Arial" w:hAnsi="Verdana" w:cs="Arial"/>
          <w:sz w:val="20"/>
          <w:szCs w:val="20"/>
          <w:lang w:val="es-ES" w:eastAsia="es-ES" w:bidi="es-ES"/>
        </w:rPr>
      </w:pPr>
      <w:r w:rsidRPr="00DA141D">
        <w:rPr>
          <w:rFonts w:ascii="Verdana" w:eastAsia="Arial" w:hAnsi="Verdana" w:cs="Arial"/>
          <w:sz w:val="20"/>
          <w:szCs w:val="20"/>
          <w:lang w:val="es-ES" w:eastAsia="es-ES" w:bidi="es-ES"/>
        </w:rPr>
        <w:t xml:space="preserve">De conformidad con lo anterior, la Ley 996 de 2005 establece dos (2) tipos de restricciones en materia de contratación, las cuales coinciden parcialmente. </w:t>
      </w:r>
      <w:r w:rsidRPr="00DA141D">
        <w:rPr>
          <w:rFonts w:ascii="Verdana" w:eastAsia="Arial" w:hAnsi="Verdana" w:cs="Arial"/>
          <w:i/>
          <w:sz w:val="20"/>
          <w:szCs w:val="20"/>
          <w:lang w:val="es-ES" w:eastAsia="es-ES" w:bidi="es-ES"/>
        </w:rPr>
        <w:t>En primer lugar</w:t>
      </w:r>
      <w:r w:rsidRPr="00DA141D">
        <w:rPr>
          <w:rFonts w:ascii="Verdana" w:eastAsia="Arial" w:hAnsi="Verdana" w:cs="Arial"/>
          <w:sz w:val="20"/>
          <w:szCs w:val="20"/>
          <w:lang w:val="es-ES" w:eastAsia="es-ES" w:bidi="es-ES"/>
        </w:rPr>
        <w:t xml:space="preserve">, la del artículo 33 que aplica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DA141D">
        <w:rPr>
          <w:rFonts w:ascii="Verdana" w:eastAsia="Arial" w:hAnsi="Verdana" w:cs="Arial"/>
          <w:i/>
          <w:sz w:val="20"/>
          <w:szCs w:val="20"/>
          <w:lang w:val="es-ES" w:eastAsia="es-ES" w:bidi="es-ES"/>
        </w:rPr>
        <w:t>En segundo lugar</w:t>
      </w:r>
      <w:r w:rsidRPr="00DA141D">
        <w:rPr>
          <w:rFonts w:ascii="Verdana" w:eastAsia="Arial" w:hAnsi="Verdana" w:cs="Arial"/>
          <w:sz w:val="20"/>
          <w:szCs w:val="20"/>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409C30E5" w14:textId="77777777" w:rsidR="00DA141D" w:rsidRPr="00DA141D" w:rsidRDefault="00DA141D" w:rsidP="00DA141D">
      <w:pPr>
        <w:snapToGrid w:val="0"/>
        <w:spacing w:after="0" w:line="240" w:lineRule="auto"/>
        <w:jc w:val="both"/>
        <w:rPr>
          <w:rFonts w:ascii="Verdana" w:eastAsia="Arial" w:hAnsi="Verdana" w:cs="Arial"/>
          <w:sz w:val="20"/>
          <w:szCs w:val="20"/>
          <w:lang w:val="es-ES" w:eastAsia="es-ES" w:bidi="es-ES"/>
        </w:rPr>
      </w:pPr>
    </w:p>
    <w:p w14:paraId="430C91D0" w14:textId="77777777" w:rsidR="00DA141D" w:rsidRPr="00DA141D" w:rsidRDefault="00DA141D" w:rsidP="00DA141D">
      <w:pPr>
        <w:snapToGrid w:val="0"/>
        <w:spacing w:after="0" w:line="240" w:lineRule="auto"/>
        <w:jc w:val="both"/>
        <w:rPr>
          <w:rFonts w:ascii="Verdana" w:eastAsia="Arial" w:hAnsi="Verdana" w:cs="Arial"/>
          <w:sz w:val="20"/>
          <w:szCs w:val="20"/>
          <w:lang w:val="es-ES" w:eastAsia="es-ES" w:bidi="es-ES"/>
        </w:rPr>
      </w:pPr>
      <w:r w:rsidRPr="00DA141D">
        <w:rPr>
          <w:rFonts w:ascii="Verdana" w:eastAsia="Arial" w:hAnsi="Verdana" w:cs="Arial"/>
          <w:sz w:val="20"/>
          <w:szCs w:val="20"/>
          <w:lang w:val="es-ES" w:eastAsia="es-ES" w:bidi="es-ES"/>
        </w:rPr>
        <w:t xml:space="preserve">Ambas restricciones no son excluyentes, lo que permite concluir que, en el período preelectoral para elección de </w:t>
      </w:r>
      <w:proofErr w:type="gramStart"/>
      <w:r w:rsidRPr="00DA141D">
        <w:rPr>
          <w:rFonts w:ascii="Verdana" w:eastAsia="Arial" w:hAnsi="Verdana" w:cs="Arial"/>
          <w:sz w:val="20"/>
          <w:szCs w:val="20"/>
          <w:lang w:val="es-ES" w:eastAsia="es-ES" w:bidi="es-ES"/>
        </w:rPr>
        <w:t>Presidente</w:t>
      </w:r>
      <w:proofErr w:type="gramEnd"/>
      <w:r w:rsidRPr="00DA141D">
        <w:rPr>
          <w:rFonts w:ascii="Verdana" w:eastAsia="Arial" w:hAnsi="Verdana" w:cs="Arial"/>
          <w:sz w:val="20"/>
          <w:szCs w:val="20"/>
          <w:lang w:val="es-ES" w:eastAsia="es-ES" w:bidi="es-ES"/>
        </w:rPr>
        <w:t xml:space="preserve"> de la República, aplican las restricciones del artículo 33 con sus excepciones, así como las del parágrafo del artículo 38, a todos los entes del Estado. En cambio, tratándose de elecciones en general, excluyendo las correspondientes al </w:t>
      </w:r>
      <w:proofErr w:type="gramStart"/>
      <w:r w:rsidRPr="00DA141D">
        <w:rPr>
          <w:rFonts w:ascii="Verdana" w:eastAsia="Arial" w:hAnsi="Verdana" w:cs="Arial"/>
          <w:sz w:val="20"/>
          <w:szCs w:val="20"/>
          <w:lang w:val="es-ES" w:eastAsia="es-ES" w:bidi="es-ES"/>
        </w:rPr>
        <w:t>Presidente</w:t>
      </w:r>
      <w:proofErr w:type="gramEnd"/>
      <w:r w:rsidRPr="00DA141D">
        <w:rPr>
          <w:rFonts w:ascii="Verdana" w:eastAsia="Arial" w:hAnsi="Verdana" w:cs="Arial"/>
          <w:sz w:val="20"/>
          <w:szCs w:val="20"/>
          <w:lang w:val="es-ES" w:eastAsia="es-ES" w:bidi="es-ES"/>
        </w:rPr>
        <w:t xml:space="preserve"> de la República, las autoridades allí mencionadas sólo deben aplicar las restricciones contenidas en el parágrafo del artículo 38.</w:t>
      </w:r>
    </w:p>
    <w:p w14:paraId="5442C37C" w14:textId="77777777" w:rsidR="00DA141D" w:rsidRPr="00DA141D" w:rsidRDefault="00DA141D" w:rsidP="00DA141D">
      <w:pPr>
        <w:snapToGrid w:val="0"/>
        <w:spacing w:after="0" w:line="240" w:lineRule="auto"/>
        <w:jc w:val="both"/>
        <w:rPr>
          <w:rFonts w:ascii="Verdana" w:eastAsia="Calibri" w:hAnsi="Verdana" w:cs="Arial"/>
          <w:b/>
          <w:bCs/>
          <w:sz w:val="20"/>
          <w:szCs w:val="20"/>
          <w:lang w:val="es-ES" w:eastAsia="es-ES"/>
        </w:rPr>
      </w:pPr>
    </w:p>
    <w:p w14:paraId="20524D9B" w14:textId="77777777" w:rsidR="00DA141D" w:rsidRPr="00DA141D" w:rsidRDefault="00DA141D" w:rsidP="00DA141D">
      <w:pPr>
        <w:snapToGrid w:val="0"/>
        <w:spacing w:after="0" w:line="240" w:lineRule="auto"/>
        <w:jc w:val="both"/>
        <w:rPr>
          <w:rFonts w:ascii="Verdana" w:eastAsia="Calibri" w:hAnsi="Verdana" w:cs="Arial"/>
          <w:b/>
          <w:bCs/>
          <w:lang w:val="es-ES" w:eastAsia="es-ES"/>
        </w:rPr>
      </w:pPr>
      <w:r w:rsidRPr="00DA141D">
        <w:rPr>
          <w:rFonts w:ascii="Verdana" w:eastAsia="Calibri" w:hAnsi="Verdana" w:cs="Arial"/>
          <w:b/>
          <w:bCs/>
          <w:lang w:val="es-ES" w:eastAsia="es-ES"/>
        </w:rPr>
        <w:t>LEY DE GARANTÍAS ELECTORALES ‒ Artículo 33 ‒ Contratación directa</w:t>
      </w:r>
    </w:p>
    <w:p w14:paraId="1077F9D2" w14:textId="77777777" w:rsidR="00DA141D" w:rsidRPr="00DA141D" w:rsidRDefault="00DA141D" w:rsidP="00DA141D">
      <w:pPr>
        <w:snapToGrid w:val="0"/>
        <w:spacing w:after="0" w:line="240" w:lineRule="auto"/>
        <w:jc w:val="both"/>
        <w:rPr>
          <w:rFonts w:ascii="Verdana" w:eastAsia="Times New Roman" w:hAnsi="Verdana" w:cs="Arial"/>
          <w:sz w:val="20"/>
          <w:szCs w:val="20"/>
          <w:lang w:val="es-ES"/>
        </w:rPr>
      </w:pPr>
    </w:p>
    <w:p w14:paraId="65B79DD7" w14:textId="77777777" w:rsidR="00DA141D" w:rsidRPr="00DA141D" w:rsidRDefault="00DA141D" w:rsidP="00DA141D">
      <w:pPr>
        <w:snapToGrid w:val="0"/>
        <w:spacing w:after="0" w:line="240" w:lineRule="auto"/>
        <w:jc w:val="both"/>
        <w:rPr>
          <w:rFonts w:ascii="Verdana" w:eastAsia="Times New Roman" w:hAnsi="Verdana" w:cs="Arial"/>
          <w:sz w:val="20"/>
          <w:szCs w:val="20"/>
          <w:lang w:val="es-ES"/>
        </w:rPr>
      </w:pPr>
      <w:r w:rsidRPr="00DA141D">
        <w:rPr>
          <w:rFonts w:ascii="Verdana" w:eastAsia="Times New Roman" w:hAnsi="Verdana" w:cs="Arial"/>
          <w:sz w:val="20"/>
          <w:szCs w:val="20"/>
          <w:lang w:val="es-ES"/>
        </w:rPr>
        <w:t xml:space="preserve">De lo anterior se desprende que la restricción aplica, sin perjuicio de las excepciones establecidas en la misma ley, para celebrar </w:t>
      </w:r>
      <w:r w:rsidRPr="00DA141D">
        <w:rPr>
          <w:rFonts w:ascii="Verdana" w:eastAsia="Times New Roman" w:hAnsi="Verdana" w:cs="Arial"/>
          <w:i/>
          <w:iCs/>
          <w:sz w:val="20"/>
          <w:szCs w:val="20"/>
          <w:lang w:val="es-ES"/>
        </w:rPr>
        <w:t>cualquier contrato o convenio de forma directa</w:t>
      </w:r>
      <w:r w:rsidRPr="00DA141D">
        <w:rPr>
          <w:rFonts w:ascii="Verdana" w:eastAsia="Times New Roman" w:hAnsi="Verdana" w:cs="Arial"/>
          <w:sz w:val="20"/>
          <w:szCs w:val="20"/>
          <w:lang w:val="es-ES"/>
        </w:rPr>
        <w:t xml:space="preserve">, esto es, sin que exista un proceso abierto y competitivo. Por tanto, no son materia de la prohibición los procesos de contratación que se adelanten mediante las demás modalidades de selección previstas en la Ley 1150 de 2007, es decir, la licitación pública, el concurso de méritos, la selección abreviada y la mínima cuantía, razón por la </w:t>
      </w:r>
      <w:r w:rsidRPr="00DA141D">
        <w:rPr>
          <w:rFonts w:ascii="Verdana" w:eastAsia="Times New Roman" w:hAnsi="Verdana" w:cs="Arial"/>
          <w:sz w:val="20"/>
          <w:szCs w:val="20"/>
          <w:lang w:val="es-ES"/>
        </w:rPr>
        <w:lastRenderedPageBreak/>
        <w:t>cual en ese período preelectoral de que trata la disposición las entidades públicas pueden seguir contratando bajo estos sistemas.</w:t>
      </w:r>
    </w:p>
    <w:p w14:paraId="6777DCFB" w14:textId="77777777" w:rsidR="00DA141D" w:rsidRPr="00DA141D" w:rsidRDefault="00DA141D" w:rsidP="00DA141D">
      <w:pPr>
        <w:snapToGrid w:val="0"/>
        <w:spacing w:after="0" w:line="240" w:lineRule="auto"/>
        <w:jc w:val="both"/>
        <w:rPr>
          <w:rFonts w:ascii="Verdana" w:eastAsia="Times New Roman" w:hAnsi="Verdana" w:cs="Arial"/>
          <w:b/>
          <w:bCs/>
          <w:lang w:val="es-ES"/>
        </w:rPr>
      </w:pPr>
    </w:p>
    <w:p w14:paraId="1A7860F8" w14:textId="77777777" w:rsidR="00CF0B5B" w:rsidRPr="00DA141D" w:rsidRDefault="00CF0B5B" w:rsidP="00DA141D">
      <w:pPr>
        <w:snapToGrid w:val="0"/>
        <w:spacing w:after="0" w:line="240" w:lineRule="auto"/>
        <w:jc w:val="both"/>
        <w:rPr>
          <w:rFonts w:ascii="Verdana" w:eastAsia="Calibri" w:hAnsi="Verdana" w:cs="Arial"/>
          <w:b/>
          <w:bCs/>
          <w:lang w:val="es-ES" w:eastAsia="es-ES"/>
        </w:rPr>
      </w:pPr>
      <w:r w:rsidRPr="00DA141D">
        <w:rPr>
          <w:rFonts w:ascii="Verdana" w:eastAsia="Calibri" w:hAnsi="Verdana" w:cs="Arial"/>
          <w:b/>
          <w:bCs/>
          <w:lang w:val="es-ES" w:eastAsia="es-ES"/>
        </w:rPr>
        <w:t>LEY DE GARANTÍAS ELECTORALES ‒ Artículo 33 ‒ Ámbito material</w:t>
      </w:r>
    </w:p>
    <w:p w14:paraId="63D0398D" w14:textId="77777777" w:rsidR="00DA141D" w:rsidRDefault="00DA141D" w:rsidP="00DA141D">
      <w:pPr>
        <w:snapToGrid w:val="0"/>
        <w:spacing w:after="0" w:line="240" w:lineRule="auto"/>
        <w:jc w:val="both"/>
        <w:rPr>
          <w:rFonts w:ascii="Verdana" w:eastAsia="Times New Roman" w:hAnsi="Verdana" w:cs="Arial"/>
          <w:sz w:val="20"/>
          <w:szCs w:val="20"/>
          <w:lang w:val="es-ES"/>
        </w:rPr>
      </w:pPr>
    </w:p>
    <w:p w14:paraId="3A9B2A9C" w14:textId="51451F57" w:rsidR="00DA141D" w:rsidRPr="00DA141D" w:rsidRDefault="00DA141D" w:rsidP="00DA141D">
      <w:pPr>
        <w:snapToGrid w:val="0"/>
        <w:spacing w:after="0" w:line="240" w:lineRule="auto"/>
        <w:jc w:val="both"/>
        <w:rPr>
          <w:rFonts w:ascii="Verdana" w:hAnsi="Verdana" w:cs="Arial"/>
          <w:i/>
          <w:iCs/>
          <w:sz w:val="20"/>
          <w:szCs w:val="20"/>
          <w:lang w:val="es-ES"/>
        </w:rPr>
      </w:pPr>
      <w:r w:rsidRPr="00DA141D">
        <w:rPr>
          <w:rFonts w:ascii="Verdana" w:eastAsia="Times New Roman" w:hAnsi="Verdana" w:cs="Arial"/>
          <w:sz w:val="20"/>
          <w:szCs w:val="20"/>
          <w:lang w:val="es-ES"/>
        </w:rPr>
        <w:t xml:space="preserve">De lo anterior se desprende que la restricción aplica, sin perjuicio de las excepciones establecidas en la misma ley, para celebrar cualquier contrato o convenio de forma directa. Esto incluye la celebración de </w:t>
      </w:r>
      <w:r w:rsidRPr="00DA141D">
        <w:rPr>
          <w:rFonts w:ascii="Verdana" w:hAnsi="Verdana" w:cs="Arial"/>
          <w:sz w:val="20"/>
          <w:szCs w:val="20"/>
          <w:lang w:val="es-ES"/>
        </w:rPr>
        <w:t xml:space="preserve">convenios o contratos para la ejecución de los recursos del subsidio a la oferta asignados a las Empresas Sociales del Estado o administradores de infraestructura pública para la prestación de servicios de salud, a los cuales se refiere el artículo 2.4.2.7 del el Decreto 268 de 2020, cuando no impliquen convocatorias abiertas, ni competencia en la selección. En este supuesto, su celebración estará prohibida </w:t>
      </w:r>
      <w:r w:rsidRPr="00DA141D">
        <w:rPr>
          <w:rFonts w:ascii="Verdana" w:eastAsia="Calibri" w:hAnsi="Verdana" w:cs="Arial"/>
          <w:sz w:val="20"/>
          <w:szCs w:val="20"/>
          <w:lang w:val="es-ES"/>
        </w:rPr>
        <w:t>durante los cuatro (4) meses anteriores a las elecciones presidenciales, es decir, a partir del 31 de enero de 2026.</w:t>
      </w:r>
    </w:p>
    <w:p w14:paraId="21D66081" w14:textId="77777777" w:rsidR="00DA141D" w:rsidRDefault="00DA141D" w:rsidP="00DA141D">
      <w:pPr>
        <w:snapToGrid w:val="0"/>
        <w:spacing w:after="0" w:line="240" w:lineRule="auto"/>
        <w:jc w:val="both"/>
        <w:rPr>
          <w:rFonts w:ascii="Verdana" w:hAnsi="Verdana" w:cs="Arial"/>
          <w:sz w:val="20"/>
          <w:szCs w:val="20"/>
          <w:lang w:val="es-ES"/>
        </w:rPr>
      </w:pPr>
    </w:p>
    <w:p w14:paraId="6DBE66DB" w14:textId="463CB41C" w:rsidR="00DA141D" w:rsidRPr="00DA141D" w:rsidRDefault="00DA141D" w:rsidP="00DA141D">
      <w:pPr>
        <w:snapToGrid w:val="0"/>
        <w:spacing w:after="0" w:line="240" w:lineRule="auto"/>
        <w:jc w:val="both"/>
        <w:rPr>
          <w:rFonts w:ascii="Verdana" w:eastAsia="Times New Roman" w:hAnsi="Verdana" w:cs="Arial"/>
          <w:sz w:val="20"/>
          <w:szCs w:val="20"/>
          <w:lang w:val="es-ES"/>
        </w:rPr>
      </w:pPr>
      <w:r w:rsidRPr="00DA141D">
        <w:rPr>
          <w:rFonts w:ascii="Verdana" w:hAnsi="Verdana" w:cs="Arial"/>
          <w:sz w:val="20"/>
          <w:szCs w:val="20"/>
          <w:lang w:val="es-ES"/>
        </w:rPr>
        <w:t>En contraste,</w:t>
      </w:r>
      <w:r w:rsidRPr="00DA141D">
        <w:rPr>
          <w:rFonts w:ascii="Verdana" w:hAnsi="Verdana" w:cs="Arial"/>
          <w:i/>
          <w:iCs/>
          <w:sz w:val="20"/>
          <w:szCs w:val="20"/>
          <w:lang w:val="es-ES"/>
        </w:rPr>
        <w:t xml:space="preserve"> </w:t>
      </w:r>
      <w:r w:rsidRPr="00DA141D">
        <w:rPr>
          <w:rFonts w:ascii="Verdana" w:eastAsia="Times New Roman" w:hAnsi="Verdana" w:cs="Arial"/>
          <w:sz w:val="20"/>
          <w:szCs w:val="20"/>
          <w:lang w:val="es-ES"/>
        </w:rPr>
        <w:t>no serán materia de la prohibición los procesos de contratación que se adelanten mediante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3194F581" w14:textId="77777777" w:rsidR="00DA141D" w:rsidRPr="00DA141D" w:rsidRDefault="00DA141D" w:rsidP="00DA141D">
      <w:pPr>
        <w:snapToGrid w:val="0"/>
        <w:spacing w:after="0" w:line="240" w:lineRule="auto"/>
        <w:jc w:val="both"/>
        <w:rPr>
          <w:rFonts w:ascii="Verdana" w:eastAsia="Calibri" w:hAnsi="Verdana" w:cs="Arial"/>
          <w:sz w:val="20"/>
          <w:szCs w:val="20"/>
          <w:lang w:val="es-ES" w:eastAsia="es-ES"/>
        </w:rPr>
      </w:pPr>
    </w:p>
    <w:p w14:paraId="7AD3E807" w14:textId="73CCFFA5" w:rsidR="00CF0B5B" w:rsidRPr="00DA141D" w:rsidRDefault="00CF0B5B" w:rsidP="00DA141D">
      <w:pPr>
        <w:snapToGrid w:val="0"/>
        <w:spacing w:after="0" w:line="240" w:lineRule="auto"/>
        <w:jc w:val="both"/>
        <w:rPr>
          <w:rFonts w:ascii="Verdana" w:eastAsia="Verdana" w:hAnsi="Verdana" w:cs="Verdana"/>
          <w:b/>
          <w:bCs/>
          <w:lang w:val="es-ES"/>
        </w:rPr>
      </w:pPr>
      <w:r w:rsidRPr="00DA141D">
        <w:rPr>
          <w:rFonts w:ascii="Verdana" w:eastAsia="Calibri" w:hAnsi="Verdana" w:cs="Arial"/>
          <w:b/>
          <w:bCs/>
          <w:lang w:val="es-ES" w:eastAsia="es-ES"/>
        </w:rPr>
        <w:t>LEY DE GARANTÍAS ELECTORALES ‒ Aplicación ‒ Transferencia d</w:t>
      </w:r>
      <w:r w:rsidRPr="00DA141D">
        <w:rPr>
          <w:rFonts w:ascii="Verdana" w:eastAsia="Verdana" w:hAnsi="Verdana" w:cs="Verdana"/>
          <w:b/>
          <w:bCs/>
          <w:lang w:val="es-ES"/>
        </w:rPr>
        <w:t xml:space="preserve">el subsidio a la oferta </w:t>
      </w:r>
      <w:r w:rsidRPr="00DA141D">
        <w:rPr>
          <w:rFonts w:ascii="Verdana" w:eastAsia="Calibri" w:hAnsi="Verdana" w:cs="Arial"/>
          <w:b/>
          <w:bCs/>
          <w:lang w:val="es-ES" w:eastAsia="es-ES"/>
        </w:rPr>
        <w:t>‒</w:t>
      </w:r>
      <w:r w:rsidRPr="00DA141D">
        <w:rPr>
          <w:rFonts w:ascii="Verdana" w:eastAsia="Verdana" w:hAnsi="Verdana" w:cs="Verdana"/>
          <w:b/>
          <w:bCs/>
          <w:lang w:val="es-ES"/>
        </w:rPr>
        <w:t xml:space="preserve"> Decreto 268 de 2020</w:t>
      </w:r>
    </w:p>
    <w:p w14:paraId="6639785E" w14:textId="77777777" w:rsidR="00DA141D" w:rsidRDefault="00DA141D" w:rsidP="00DA141D">
      <w:pPr>
        <w:snapToGrid w:val="0"/>
        <w:spacing w:after="0"/>
        <w:jc w:val="both"/>
        <w:rPr>
          <w:rFonts w:ascii="Verdana" w:eastAsia="Arial" w:hAnsi="Verdana" w:cs="Arial"/>
          <w:bCs/>
          <w:color w:val="000000" w:themeColor="text1"/>
          <w:sz w:val="20"/>
          <w:szCs w:val="20"/>
          <w:lang w:val="es-ES"/>
        </w:rPr>
      </w:pPr>
    </w:p>
    <w:p w14:paraId="1B4C5D7C" w14:textId="535E5D98" w:rsidR="00DA141D" w:rsidRPr="00DA141D" w:rsidRDefault="00DA141D" w:rsidP="00DA141D">
      <w:pPr>
        <w:snapToGrid w:val="0"/>
        <w:spacing w:after="0" w:line="240" w:lineRule="auto"/>
        <w:jc w:val="both"/>
        <w:rPr>
          <w:rFonts w:ascii="Verdana" w:eastAsia="Arial" w:hAnsi="Verdana" w:cs="Arial"/>
          <w:bCs/>
          <w:color w:val="000000" w:themeColor="text1"/>
          <w:sz w:val="20"/>
          <w:szCs w:val="20"/>
          <w:lang w:val="es-ES"/>
        </w:rPr>
      </w:pPr>
      <w:r w:rsidRPr="00DA141D">
        <w:rPr>
          <w:rFonts w:ascii="Verdana" w:eastAsia="Arial" w:hAnsi="Verdana" w:cs="Arial"/>
          <w:bCs/>
          <w:color w:val="000000" w:themeColor="text1"/>
          <w:sz w:val="20"/>
          <w:szCs w:val="20"/>
          <w:lang w:val="es-ES"/>
        </w:rPr>
        <w:t>Conforme con lo expuesto, las entidades que requieran adelantar procesos de contratación directa durante el periodo de garantías electorales deberán analizar, primero, si se configuran los supuestos establecidos en el artículo 33 de la Ley 996 de 2005, es decir, si se trata de una entidad pública que pretenda adelantar un proceso no competitivo. Adicionalmente, será pertinente analizar si se configura alguna de las excepciones previstas en la norma. En este caso, será relevante determinar si el contrato celebrado para la ejecución del subsidio a la oferta se realiza con ocasión a una “emergencia sanitaria” o si es llevada a cabo por “entidades sanitarias u hospitalarias”, en el marco establecido por la normativa y el Consejo de Estado. De ser así, la entidad podrá contratar directamente, a pesar de que haya iniciado el periodo de garantías electorales correspondiente al artículo 33 de la Ley 996 de 2005.</w:t>
      </w:r>
    </w:p>
    <w:p w14:paraId="7A0E8D37" w14:textId="77777777" w:rsidR="00DA141D" w:rsidRDefault="00DA141D" w:rsidP="00CF0B5B">
      <w:pPr>
        <w:spacing w:line="276" w:lineRule="auto"/>
        <w:jc w:val="both"/>
        <w:rPr>
          <w:rFonts w:ascii="Verdana" w:eastAsia="Arial" w:hAnsi="Verdana" w:cs="Arial"/>
          <w:bCs/>
          <w:color w:val="000000" w:themeColor="text1"/>
          <w:lang w:val="es-ES"/>
        </w:rPr>
      </w:pPr>
    </w:p>
    <w:p w14:paraId="6BBB7665" w14:textId="77777777" w:rsidR="00DA141D" w:rsidRDefault="00DA141D" w:rsidP="00CF0B5B">
      <w:pPr>
        <w:spacing w:line="276" w:lineRule="auto"/>
        <w:jc w:val="both"/>
        <w:rPr>
          <w:rFonts w:ascii="Verdana" w:eastAsia="Arial" w:hAnsi="Verdana" w:cs="Arial"/>
          <w:bCs/>
          <w:color w:val="000000" w:themeColor="text1"/>
          <w:lang w:val="es-ES"/>
        </w:rPr>
      </w:pPr>
    </w:p>
    <w:p w14:paraId="255E4E76" w14:textId="77777777" w:rsidR="00DA141D" w:rsidRDefault="00DA141D" w:rsidP="00CF0B5B">
      <w:pPr>
        <w:spacing w:line="276" w:lineRule="auto"/>
        <w:jc w:val="both"/>
        <w:rPr>
          <w:rFonts w:ascii="Verdana" w:eastAsia="Arial" w:hAnsi="Verdana" w:cs="Arial"/>
          <w:bCs/>
          <w:color w:val="000000" w:themeColor="text1"/>
          <w:lang w:val="es-ES"/>
        </w:rPr>
      </w:pPr>
    </w:p>
    <w:p w14:paraId="20D233D3" w14:textId="77777777" w:rsidR="00DA141D" w:rsidRDefault="00DA141D" w:rsidP="00CF0B5B">
      <w:pPr>
        <w:spacing w:line="276" w:lineRule="auto"/>
        <w:jc w:val="both"/>
        <w:rPr>
          <w:rFonts w:ascii="Verdana" w:eastAsia="Arial" w:hAnsi="Verdana" w:cs="Arial"/>
          <w:bCs/>
          <w:color w:val="000000" w:themeColor="text1"/>
          <w:lang w:val="es-ES"/>
        </w:rPr>
      </w:pPr>
    </w:p>
    <w:p w14:paraId="10EBAE72" w14:textId="77777777" w:rsidR="00DA141D" w:rsidRDefault="00DA141D" w:rsidP="00CF0B5B">
      <w:pPr>
        <w:spacing w:line="276" w:lineRule="auto"/>
        <w:jc w:val="both"/>
        <w:rPr>
          <w:rFonts w:ascii="Verdana" w:eastAsia="Arial" w:hAnsi="Verdana" w:cs="Arial"/>
          <w:bCs/>
          <w:color w:val="000000" w:themeColor="text1"/>
          <w:lang w:val="es-ES"/>
        </w:rPr>
      </w:pPr>
    </w:p>
    <w:p w14:paraId="7E150142" w14:textId="77777777" w:rsidR="00DA141D" w:rsidRPr="00436551" w:rsidRDefault="00DA141D" w:rsidP="00CF0B5B">
      <w:pPr>
        <w:spacing w:line="276" w:lineRule="auto"/>
        <w:jc w:val="both"/>
        <w:rPr>
          <w:rFonts w:ascii="Verdana" w:eastAsia="Arial" w:hAnsi="Verdana" w:cs="Arial"/>
          <w:bCs/>
          <w:color w:val="000000" w:themeColor="text1"/>
          <w:lang w:val="es-ES"/>
        </w:rPr>
      </w:pPr>
    </w:p>
    <w:p w14:paraId="79E013D6" w14:textId="253D2D8D" w:rsidR="009C3042" w:rsidRPr="00436551" w:rsidRDefault="009C3042" w:rsidP="009C3042">
      <w:pPr>
        <w:spacing w:after="0"/>
        <w:rPr>
          <w:rFonts w:ascii="Verdana" w:hAnsi="Verdana"/>
          <w:lang w:val="es-ES"/>
        </w:rPr>
      </w:pPr>
      <w:r w:rsidRPr="00436551">
        <w:rPr>
          <w:rFonts w:ascii="Verdana" w:hAnsi="Verdana"/>
          <w:lang w:val="es-ES"/>
        </w:rPr>
        <w:lastRenderedPageBreak/>
        <w:t xml:space="preserve">Bogotá D.C., </w:t>
      </w:r>
      <w:r w:rsidR="00A771DF">
        <w:rPr>
          <w:rFonts w:ascii="Verdana" w:hAnsi="Verdana"/>
          <w:lang w:val="es-ES"/>
        </w:rPr>
        <w:t>16 de marzo de 2026</w:t>
      </w:r>
    </w:p>
    <w:p w14:paraId="2465F8A6" w14:textId="379BAD9C" w:rsidR="009C3042" w:rsidRPr="00436551" w:rsidRDefault="00FE7F7A" w:rsidP="009C3042">
      <w:pPr>
        <w:spacing w:after="0"/>
        <w:rPr>
          <w:rFonts w:ascii="Verdana" w:hAnsi="Verdana"/>
          <w:lang w:val="es-ES"/>
        </w:rPr>
      </w:pPr>
      <w:r>
        <w:rPr>
          <w:rFonts w:ascii="Verdana" w:eastAsia="Calibri" w:hAnsi="Verdana" w:cs="Arial"/>
          <w:noProof/>
          <w:color w:val="000000" w:themeColor="text1"/>
          <w:lang w:val="es-ES" w:eastAsia="es-ES"/>
        </w:rPr>
        <w:drawing>
          <wp:anchor distT="0" distB="0" distL="114300" distR="114300" simplePos="0" relativeHeight="251660288" behindDoc="0" locked="0" layoutInCell="1" allowOverlap="1" wp14:anchorId="0369FE8E" wp14:editId="035C779B">
            <wp:simplePos x="0" y="0"/>
            <wp:positionH relativeFrom="margin">
              <wp:align>right</wp:align>
            </wp:positionH>
            <wp:positionV relativeFrom="paragraph">
              <wp:posOffset>6350</wp:posOffset>
            </wp:positionV>
            <wp:extent cx="2204720" cy="815340"/>
            <wp:effectExtent l="0" t="0" r="5080" b="3810"/>
            <wp:wrapSquare wrapText="bothSides"/>
            <wp:docPr id="180520666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5206668" name="Picture 1805206668"/>
                    <pic:cNvPicPr/>
                  </pic:nvPicPr>
                  <pic:blipFill>
                    <a:blip r:embed="rId11">
                      <a:extLst>
                        <a:ext uri="{28A0092B-C50C-407E-A947-70E740481C1C}">
                          <a14:useLocalDpi xmlns:a14="http://schemas.microsoft.com/office/drawing/2010/main" val="0"/>
                        </a:ext>
                      </a:extLst>
                    </a:blip>
                    <a:stretch>
                      <a:fillRect/>
                    </a:stretch>
                  </pic:blipFill>
                  <pic:spPr>
                    <a:xfrm>
                      <a:off x="0" y="0"/>
                      <a:ext cx="2204720" cy="815340"/>
                    </a:xfrm>
                    <a:prstGeom prst="rect">
                      <a:avLst/>
                    </a:prstGeom>
                  </pic:spPr>
                </pic:pic>
              </a:graphicData>
            </a:graphic>
            <wp14:sizeRelH relativeFrom="page">
              <wp14:pctWidth>0</wp14:pctWidth>
            </wp14:sizeRelH>
            <wp14:sizeRelV relativeFrom="page">
              <wp14:pctHeight>0</wp14:pctHeight>
            </wp14:sizeRelV>
          </wp:anchor>
        </w:drawing>
      </w:r>
    </w:p>
    <w:p w14:paraId="7700AE2D" w14:textId="131EDB91" w:rsidR="009C3042" w:rsidRPr="00436551" w:rsidRDefault="009C3042" w:rsidP="009C3042">
      <w:pPr>
        <w:spacing w:after="0" w:line="240" w:lineRule="auto"/>
        <w:rPr>
          <w:rFonts w:ascii="Verdana" w:eastAsia="Calibri" w:hAnsi="Verdana" w:cs="Arial"/>
          <w:color w:val="000000" w:themeColor="text1"/>
          <w:lang w:val="es-ES" w:eastAsia="es-ES"/>
        </w:rPr>
      </w:pPr>
      <w:bookmarkStart w:id="0" w:name="_Hlk143780582"/>
      <w:r w:rsidRPr="00436551">
        <w:rPr>
          <w:rFonts w:ascii="Verdana" w:eastAsia="Calibri" w:hAnsi="Verdana" w:cs="Arial"/>
          <w:color w:val="000000" w:themeColor="text1"/>
          <w:lang w:val="es-ES" w:eastAsia="es-ES"/>
        </w:rPr>
        <w:t>Doctora</w:t>
      </w:r>
    </w:p>
    <w:p w14:paraId="7026E530" w14:textId="0A0D344A" w:rsidR="009C3042" w:rsidRPr="00436551" w:rsidRDefault="009C3042" w:rsidP="009C3042">
      <w:pPr>
        <w:spacing w:after="0" w:line="240" w:lineRule="auto"/>
        <w:rPr>
          <w:rFonts w:ascii="Verdana" w:eastAsia="Calibri" w:hAnsi="Verdana" w:cs="Arial"/>
          <w:b/>
          <w:bCs/>
          <w:color w:val="000000" w:themeColor="text1"/>
          <w:lang w:val="es-ES" w:eastAsia="es-ES"/>
        </w:rPr>
      </w:pPr>
      <w:r w:rsidRPr="00436551">
        <w:rPr>
          <w:rFonts w:ascii="Verdana" w:eastAsia="Calibri" w:hAnsi="Verdana" w:cs="Arial"/>
          <w:b/>
          <w:bCs/>
          <w:color w:val="000000" w:themeColor="text1"/>
          <w:lang w:val="es-ES" w:eastAsia="es-ES"/>
        </w:rPr>
        <w:t>Diana Milena Díaz Martínez</w:t>
      </w:r>
    </w:p>
    <w:p w14:paraId="1F33518F" w14:textId="21BD4A25" w:rsidR="009C3042" w:rsidRPr="00436551" w:rsidRDefault="009C3042" w:rsidP="009C3042">
      <w:pPr>
        <w:spacing w:after="0" w:line="240" w:lineRule="auto"/>
        <w:rPr>
          <w:rFonts w:ascii="Verdana" w:eastAsia="Calibri" w:hAnsi="Verdana" w:cs="Arial"/>
          <w:color w:val="000000" w:themeColor="text1"/>
          <w:lang w:val="es-ES" w:eastAsia="es-ES"/>
        </w:rPr>
      </w:pPr>
      <w:r w:rsidRPr="00436551">
        <w:rPr>
          <w:rFonts w:ascii="Verdana" w:eastAsia="Calibri" w:hAnsi="Verdana" w:cs="Arial"/>
          <w:color w:val="000000" w:themeColor="text1"/>
          <w:lang w:val="es-ES" w:eastAsia="es-ES"/>
        </w:rPr>
        <w:t>Secretaria de Salud y Seguridad Social</w:t>
      </w:r>
      <w:r>
        <w:rPr>
          <w:rFonts w:ascii="Verdana" w:eastAsia="Calibri" w:hAnsi="Verdana" w:cs="Arial"/>
          <w:color w:val="000000" w:themeColor="text1"/>
          <w:lang w:val="es-ES" w:eastAsia="es-ES"/>
        </w:rPr>
        <w:t xml:space="preserve"> (E)</w:t>
      </w:r>
    </w:p>
    <w:p w14:paraId="0ECC9CD1" w14:textId="77777777" w:rsidR="009C3042" w:rsidRPr="00436551" w:rsidRDefault="009C3042" w:rsidP="009C3042">
      <w:pPr>
        <w:spacing w:after="0" w:line="240" w:lineRule="auto"/>
        <w:rPr>
          <w:rFonts w:ascii="Verdana" w:eastAsia="Calibri" w:hAnsi="Verdana" w:cs="Arial"/>
          <w:color w:val="000000" w:themeColor="text1"/>
          <w:lang w:val="es-ES" w:eastAsia="es-ES"/>
        </w:rPr>
      </w:pPr>
      <w:r w:rsidRPr="00436551">
        <w:rPr>
          <w:rFonts w:ascii="Verdana" w:eastAsia="Calibri" w:hAnsi="Verdana" w:cs="Arial"/>
          <w:color w:val="000000" w:themeColor="text1"/>
          <w:lang w:val="es-ES" w:eastAsia="es-ES"/>
        </w:rPr>
        <w:t xml:space="preserve">Gobernación del Guainía </w:t>
      </w:r>
    </w:p>
    <w:p w14:paraId="5AA8A470" w14:textId="77777777" w:rsidR="009C3042" w:rsidRPr="005F5CC4" w:rsidRDefault="009C3042" w:rsidP="009C3042">
      <w:pPr>
        <w:spacing w:after="0" w:line="240" w:lineRule="auto"/>
        <w:rPr>
          <w:rFonts w:ascii="Verdana" w:eastAsia="Calibri" w:hAnsi="Verdana" w:cs="Arial"/>
          <w:color w:val="000000" w:themeColor="text1"/>
          <w:lang w:val="es-ES" w:eastAsia="es-ES"/>
        </w:rPr>
      </w:pPr>
      <w:r w:rsidRPr="005F5CC4">
        <w:rPr>
          <w:rFonts w:ascii="Verdana" w:eastAsia="Calibri" w:hAnsi="Verdana" w:cs="Arial"/>
          <w:color w:val="000000" w:themeColor="text1"/>
          <w:lang w:val="es-ES" w:eastAsia="es-ES"/>
        </w:rPr>
        <w:t>Guainía</w:t>
      </w:r>
    </w:p>
    <w:tbl>
      <w:tblPr>
        <w:tblStyle w:val="Tablaconcuadrcula"/>
        <w:tblW w:w="851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100"/>
      </w:tblGrid>
      <w:tr w:rsidR="009C3042" w:rsidRPr="00436551" w14:paraId="7BB69E8B" w14:textId="77777777" w:rsidTr="00994F78">
        <w:trPr>
          <w:trHeight w:val="300"/>
        </w:trPr>
        <w:tc>
          <w:tcPr>
            <w:tcW w:w="2410" w:type="dxa"/>
          </w:tcPr>
          <w:p w14:paraId="12B94477" w14:textId="77777777" w:rsidR="009C3042" w:rsidRPr="00436551" w:rsidRDefault="009C3042" w:rsidP="00994F78">
            <w:pPr>
              <w:ind w:left="-142"/>
              <w:jc w:val="both"/>
              <w:rPr>
                <w:rFonts w:ascii="Verdana" w:eastAsia="Calibri" w:hAnsi="Verdana" w:cs="Arial"/>
                <w:b/>
                <w:bCs/>
                <w:color w:val="000000" w:themeColor="text1"/>
                <w:lang w:val="es-ES" w:eastAsia="es-ES_tradnl"/>
              </w:rPr>
            </w:pPr>
          </w:p>
        </w:tc>
        <w:tc>
          <w:tcPr>
            <w:tcW w:w="6100" w:type="dxa"/>
          </w:tcPr>
          <w:p w14:paraId="688452A8" w14:textId="77777777" w:rsidR="009C3042" w:rsidRPr="00436551" w:rsidRDefault="009C3042" w:rsidP="00994F78">
            <w:pPr>
              <w:ind w:left="3"/>
              <w:jc w:val="both"/>
              <w:rPr>
                <w:rFonts w:ascii="Verdana" w:eastAsia="Calibri" w:hAnsi="Verdana" w:cs="Arial"/>
                <w:b/>
                <w:bCs/>
                <w:color w:val="000000" w:themeColor="text1"/>
                <w:lang w:val="es-ES" w:eastAsia="es-ES"/>
              </w:rPr>
            </w:pPr>
          </w:p>
          <w:p w14:paraId="3763F789" w14:textId="6D3EBA1D" w:rsidR="009C3042" w:rsidRPr="00436551" w:rsidRDefault="009C3042" w:rsidP="00994F78">
            <w:pPr>
              <w:ind w:left="3"/>
              <w:jc w:val="both"/>
              <w:rPr>
                <w:rFonts w:ascii="Verdana" w:eastAsia="Calibri" w:hAnsi="Verdana" w:cs="Arial"/>
                <w:b/>
                <w:bCs/>
                <w:color w:val="000000" w:themeColor="text1"/>
                <w:lang w:val="es-ES" w:eastAsia="es-ES"/>
              </w:rPr>
            </w:pPr>
            <w:r w:rsidRPr="00436551">
              <w:rPr>
                <w:rFonts w:ascii="Verdana" w:eastAsia="Calibri" w:hAnsi="Verdana" w:cs="Arial"/>
                <w:b/>
                <w:bCs/>
                <w:color w:val="000000" w:themeColor="text1"/>
                <w:lang w:val="es-ES" w:eastAsia="es-ES"/>
              </w:rPr>
              <w:t>Concepto C-</w:t>
            </w:r>
            <w:r w:rsidR="001F4F81">
              <w:rPr>
                <w:rFonts w:ascii="Verdana" w:eastAsia="Calibri" w:hAnsi="Verdana" w:cs="Arial"/>
                <w:b/>
                <w:bCs/>
                <w:color w:val="000000" w:themeColor="text1"/>
                <w:lang w:val="es-ES" w:eastAsia="es-ES"/>
              </w:rPr>
              <w:t>178</w:t>
            </w:r>
            <w:r w:rsidRPr="00436551">
              <w:rPr>
                <w:rFonts w:ascii="Verdana" w:eastAsia="Calibri" w:hAnsi="Verdana" w:cs="Arial"/>
                <w:b/>
                <w:bCs/>
                <w:color w:val="000000" w:themeColor="text1"/>
                <w:lang w:val="es-ES" w:eastAsia="es-ES"/>
              </w:rPr>
              <w:t xml:space="preserve"> de 2026</w:t>
            </w:r>
          </w:p>
          <w:p w14:paraId="111C09F4" w14:textId="77777777" w:rsidR="009C3042" w:rsidRPr="00436551" w:rsidRDefault="009C3042" w:rsidP="00994F78">
            <w:pPr>
              <w:ind w:left="3"/>
              <w:jc w:val="both"/>
              <w:rPr>
                <w:rFonts w:ascii="Verdana" w:eastAsia="Calibri" w:hAnsi="Verdana" w:cs="Arial"/>
                <w:b/>
                <w:bCs/>
                <w:color w:val="000000" w:themeColor="text1"/>
                <w:lang w:val="es-ES" w:eastAsia="es-ES"/>
              </w:rPr>
            </w:pPr>
          </w:p>
        </w:tc>
      </w:tr>
      <w:tr w:rsidR="009C3042" w:rsidRPr="00436551" w14:paraId="7BF5EDB8" w14:textId="77777777" w:rsidTr="00994F78">
        <w:trPr>
          <w:trHeight w:val="300"/>
        </w:trPr>
        <w:tc>
          <w:tcPr>
            <w:tcW w:w="2410" w:type="dxa"/>
          </w:tcPr>
          <w:p w14:paraId="27ED3096" w14:textId="77777777" w:rsidR="009C3042" w:rsidRPr="00436551" w:rsidRDefault="009C3042" w:rsidP="00994F78">
            <w:pPr>
              <w:ind w:left="424" w:firstLine="142"/>
              <w:jc w:val="both"/>
              <w:rPr>
                <w:rFonts w:ascii="Verdana" w:eastAsia="Calibri" w:hAnsi="Verdana" w:cs="Arial"/>
                <w:color w:val="000000" w:themeColor="text1"/>
                <w:lang w:val="es-ES" w:eastAsia="es-ES_tradnl"/>
              </w:rPr>
            </w:pPr>
            <w:r w:rsidRPr="00436551">
              <w:rPr>
                <w:rFonts w:ascii="Verdana" w:eastAsia="Calibri" w:hAnsi="Verdana" w:cs="Arial"/>
                <w:b/>
                <w:color w:val="000000" w:themeColor="text1"/>
                <w:lang w:val="es-ES" w:eastAsia="es-ES_tradnl"/>
              </w:rPr>
              <w:t>Temas:</w:t>
            </w:r>
            <w:r w:rsidRPr="00436551">
              <w:rPr>
                <w:rFonts w:ascii="Verdana" w:eastAsia="Calibri" w:hAnsi="Verdana" w:cs="Arial"/>
                <w:color w:val="000000" w:themeColor="text1"/>
                <w:lang w:val="es-ES" w:eastAsia="es-ES_tradnl"/>
              </w:rPr>
              <w:t xml:space="preserve">                  </w:t>
            </w:r>
          </w:p>
        </w:tc>
        <w:tc>
          <w:tcPr>
            <w:tcW w:w="6100" w:type="dxa"/>
          </w:tcPr>
          <w:p w14:paraId="516DA828" w14:textId="31AA1A47" w:rsidR="009C3042" w:rsidRPr="00FE7F7A" w:rsidRDefault="009C3042" w:rsidP="00DA141D">
            <w:pPr>
              <w:snapToGrid w:val="0"/>
              <w:contextualSpacing/>
              <w:jc w:val="both"/>
              <w:rPr>
                <w:rFonts w:ascii="Verdana" w:eastAsia="Calibri" w:hAnsi="Verdana" w:cs="Arial"/>
                <w:lang w:val="es-ES" w:eastAsia="es-ES"/>
              </w:rPr>
            </w:pPr>
            <w:r w:rsidRPr="00FE7F7A">
              <w:rPr>
                <w:rFonts w:ascii="Verdana" w:eastAsia="Calibri" w:hAnsi="Verdana" w:cs="Arial"/>
                <w:lang w:val="es-ES" w:eastAsia="es-ES"/>
              </w:rPr>
              <w:t xml:space="preserve">LEY DE GARANTÍAS ELECTORALES – Finalidad / LEY DE GARANTÍAS ELECTORALES ‒ Restricciones ‒ Contratación ‒ Tipos de elección / </w:t>
            </w:r>
            <w:r w:rsidR="00DA141D" w:rsidRPr="00FE7F7A">
              <w:rPr>
                <w:rFonts w:ascii="Verdana" w:eastAsia="Calibri" w:hAnsi="Verdana" w:cs="Arial"/>
                <w:lang w:val="es-ES" w:eastAsia="es-ES"/>
              </w:rPr>
              <w:t xml:space="preserve">LEY DE GARANTÍAS ELECTORALES ‒ Artículo 33 ‒ Contratación directa / </w:t>
            </w:r>
            <w:r w:rsidRPr="00FE7F7A">
              <w:rPr>
                <w:rFonts w:ascii="Verdana" w:eastAsia="Calibri" w:hAnsi="Verdana" w:cs="Arial"/>
                <w:lang w:val="es-ES" w:eastAsia="es-ES"/>
              </w:rPr>
              <w:t>LEY DE GARANTÍAS ELECTORALES ‒ Artículo 33 ‒ Ámbito material / LEY DE GARANTÍAS ELECTORALES ‒ Aplicación ‒ Transferencia d</w:t>
            </w:r>
            <w:r w:rsidRPr="00FE7F7A">
              <w:rPr>
                <w:rFonts w:ascii="Verdana" w:eastAsia="Verdana" w:hAnsi="Verdana" w:cs="Verdana"/>
                <w:lang w:val="es-ES"/>
              </w:rPr>
              <w:t xml:space="preserve">el subsidio a la oferta </w:t>
            </w:r>
            <w:r w:rsidRPr="00FE7F7A">
              <w:rPr>
                <w:rFonts w:ascii="Verdana" w:eastAsia="Calibri" w:hAnsi="Verdana" w:cs="Arial"/>
                <w:lang w:val="es-ES" w:eastAsia="es-ES"/>
              </w:rPr>
              <w:t>‒</w:t>
            </w:r>
            <w:r w:rsidRPr="00FE7F7A">
              <w:rPr>
                <w:rFonts w:ascii="Verdana" w:eastAsia="Verdana" w:hAnsi="Verdana" w:cs="Verdana"/>
                <w:lang w:val="es-ES"/>
              </w:rPr>
              <w:t xml:space="preserve"> Decreto 268 de 2020</w:t>
            </w:r>
          </w:p>
          <w:p w14:paraId="76D8F32D" w14:textId="77777777" w:rsidR="009C3042" w:rsidRPr="00436551" w:rsidRDefault="009C3042" w:rsidP="00994F78">
            <w:pPr>
              <w:spacing w:line="276" w:lineRule="auto"/>
              <w:jc w:val="both"/>
              <w:rPr>
                <w:rFonts w:ascii="Verdana" w:eastAsia="Calibri" w:hAnsi="Verdana" w:cs="Arial"/>
                <w:color w:val="000000" w:themeColor="text1"/>
                <w:lang w:val="es-ES" w:eastAsia="es-ES"/>
              </w:rPr>
            </w:pPr>
          </w:p>
        </w:tc>
      </w:tr>
      <w:tr w:rsidR="009C3042" w:rsidRPr="00436551" w14:paraId="7B0628A2" w14:textId="77777777" w:rsidTr="00994F78">
        <w:tc>
          <w:tcPr>
            <w:tcW w:w="2410" w:type="dxa"/>
          </w:tcPr>
          <w:p w14:paraId="24ADAD19" w14:textId="77777777" w:rsidR="009C3042" w:rsidRPr="00436551" w:rsidRDefault="009C3042" w:rsidP="00994F78">
            <w:pPr>
              <w:ind w:left="561"/>
              <w:jc w:val="both"/>
              <w:rPr>
                <w:rFonts w:ascii="Verdana" w:eastAsia="Calibri" w:hAnsi="Verdana" w:cs="Arial"/>
                <w:b/>
                <w:color w:val="000000" w:themeColor="text1"/>
                <w:lang w:val="es-ES" w:eastAsia="es-ES_tradnl"/>
              </w:rPr>
            </w:pPr>
            <w:r w:rsidRPr="00436551">
              <w:rPr>
                <w:rFonts w:ascii="Verdana" w:eastAsia="Calibri" w:hAnsi="Verdana" w:cs="Arial"/>
                <w:b/>
                <w:color w:val="000000" w:themeColor="text1"/>
                <w:lang w:val="es-ES" w:eastAsia="es-ES_tradnl"/>
              </w:rPr>
              <w:t>Radicación:</w:t>
            </w:r>
            <w:r w:rsidRPr="00436551">
              <w:rPr>
                <w:rFonts w:ascii="Verdana" w:eastAsia="Calibri" w:hAnsi="Verdana" w:cs="Arial"/>
                <w:color w:val="000000" w:themeColor="text1"/>
                <w:lang w:val="es-ES" w:eastAsia="es-ES_tradnl"/>
              </w:rPr>
              <w:t xml:space="preserve">              </w:t>
            </w:r>
          </w:p>
        </w:tc>
        <w:tc>
          <w:tcPr>
            <w:tcW w:w="6100" w:type="dxa"/>
          </w:tcPr>
          <w:p w14:paraId="35D6584C" w14:textId="77777777" w:rsidR="009C3042" w:rsidRPr="00436551" w:rsidRDefault="009C3042" w:rsidP="00994F78">
            <w:pPr>
              <w:ind w:left="3"/>
              <w:jc w:val="both"/>
              <w:rPr>
                <w:rFonts w:ascii="Verdana" w:hAnsi="Verdana"/>
                <w:color w:val="000000"/>
                <w:lang w:val="es-ES"/>
              </w:rPr>
            </w:pPr>
            <w:r w:rsidRPr="00436551">
              <w:rPr>
                <w:rFonts w:ascii="Verdana" w:eastAsia="Calibri" w:hAnsi="Verdana" w:cs="Arial"/>
                <w:color w:val="000000" w:themeColor="text1"/>
                <w:lang w:val="es-ES" w:eastAsia="es-ES"/>
              </w:rPr>
              <w:t>Respuesta a consulta con radicado No.</w:t>
            </w:r>
            <w:r w:rsidRPr="00DE19A5">
              <w:rPr>
                <w:rFonts w:ascii="Verdana" w:eastAsia="Calibri" w:hAnsi="Verdana" w:cs="Arial"/>
                <w:color w:val="000000" w:themeColor="text1"/>
                <w:lang w:val="es-ES" w:eastAsia="es-ES"/>
              </w:rPr>
              <w:t xml:space="preserve"> 1_2026_02_09_001568</w:t>
            </w:r>
            <w:r w:rsidRPr="00DE19A5">
              <w:rPr>
                <w:rFonts w:ascii="Segoe UI" w:hAnsi="Segoe UI" w:cs="Segoe UI"/>
                <w:b/>
                <w:bCs/>
                <w:color w:val="242424"/>
                <w:sz w:val="21"/>
                <w:szCs w:val="21"/>
                <w:shd w:val="clear" w:color="auto" w:fill="FFFFFF"/>
                <w:lang w:val="es-ES"/>
              </w:rPr>
              <w:t xml:space="preserve"> </w:t>
            </w:r>
            <w:r w:rsidRPr="00436551">
              <w:rPr>
                <w:rFonts w:ascii="Verdana" w:eastAsia="Calibri" w:hAnsi="Verdana" w:cs="Arial"/>
                <w:color w:val="000000" w:themeColor="text1"/>
                <w:lang w:val="es-ES" w:eastAsia="es-ES"/>
              </w:rPr>
              <w:t xml:space="preserve"> </w:t>
            </w:r>
          </w:p>
        </w:tc>
      </w:tr>
    </w:tbl>
    <w:p w14:paraId="3651C491" w14:textId="77777777" w:rsidR="009C3042" w:rsidRPr="00436551" w:rsidRDefault="009C3042" w:rsidP="009C3042">
      <w:pPr>
        <w:spacing w:after="0" w:line="276" w:lineRule="auto"/>
        <w:jc w:val="both"/>
        <w:rPr>
          <w:rFonts w:ascii="Verdana" w:eastAsia="Calibri" w:hAnsi="Verdana" w:cs="Arial"/>
          <w:color w:val="000000" w:themeColor="text1"/>
          <w:lang w:val="es-ES" w:eastAsia="es-ES"/>
        </w:rPr>
      </w:pPr>
    </w:p>
    <w:p w14:paraId="79EEAFEF" w14:textId="77777777" w:rsidR="009C3042" w:rsidRPr="00436551" w:rsidRDefault="009C3042" w:rsidP="009C3042">
      <w:pPr>
        <w:spacing w:after="0" w:line="276" w:lineRule="auto"/>
        <w:jc w:val="both"/>
        <w:rPr>
          <w:rFonts w:ascii="Verdana" w:eastAsia="Calibri" w:hAnsi="Verdana" w:cs="Arial"/>
          <w:color w:val="000000" w:themeColor="text1"/>
          <w:lang w:val="es-ES" w:eastAsia="es-ES"/>
        </w:rPr>
      </w:pPr>
      <w:r w:rsidRPr="00436551">
        <w:rPr>
          <w:rFonts w:ascii="Verdana" w:eastAsia="Calibri" w:hAnsi="Verdana" w:cs="Arial"/>
          <w:color w:val="000000" w:themeColor="text1"/>
          <w:lang w:val="es-ES" w:eastAsia="es-ES"/>
        </w:rPr>
        <w:t>Estimada Doctora Díaz:</w:t>
      </w:r>
    </w:p>
    <w:p w14:paraId="54E06C0B" w14:textId="77777777" w:rsidR="009C3042" w:rsidRPr="00436551" w:rsidRDefault="009C3042" w:rsidP="009C3042">
      <w:pPr>
        <w:tabs>
          <w:tab w:val="left" w:pos="3768"/>
        </w:tabs>
        <w:spacing w:after="0" w:line="276" w:lineRule="auto"/>
        <w:jc w:val="both"/>
        <w:rPr>
          <w:rFonts w:ascii="Verdana" w:eastAsia="Calibri" w:hAnsi="Verdana" w:cs="Arial"/>
          <w:color w:val="000000" w:themeColor="text1"/>
          <w:lang w:val="es-ES" w:eastAsia="es-ES"/>
        </w:rPr>
      </w:pPr>
      <w:r w:rsidRPr="00436551">
        <w:rPr>
          <w:rFonts w:ascii="Verdana" w:eastAsia="Calibri" w:hAnsi="Verdana" w:cs="Arial"/>
          <w:color w:val="000000" w:themeColor="text1"/>
          <w:lang w:val="es-ES" w:eastAsia="es-ES"/>
        </w:rPr>
        <w:tab/>
      </w:r>
    </w:p>
    <w:p w14:paraId="409DC487" w14:textId="77777777" w:rsidR="009C3042" w:rsidRPr="00436551" w:rsidRDefault="009C3042" w:rsidP="009C3042">
      <w:pPr>
        <w:spacing w:after="0" w:line="276" w:lineRule="auto"/>
        <w:jc w:val="both"/>
        <w:rPr>
          <w:rFonts w:ascii="Verdana" w:eastAsia="Calibri" w:hAnsi="Verdana" w:cs="Arial"/>
          <w:color w:val="000000" w:themeColor="text1"/>
          <w:lang w:val="es-ES" w:eastAsia="es-ES"/>
        </w:rPr>
      </w:pPr>
      <w:r w:rsidRPr="00436551">
        <w:rPr>
          <w:rFonts w:ascii="Verdana" w:eastAsia="Calibri" w:hAnsi="Verdana" w:cs="Arial"/>
          <w:color w:val="000000" w:themeColor="text1"/>
          <w:lang w:val="es-ES" w:eastAsia="es-ES"/>
        </w:rPr>
        <w:t>En ejercicio de la competencia otorgada por los artículos 3, numeral 5º, y 11, numeral 8º, del Decreto Ley 4170 de 2011,</w:t>
      </w:r>
      <w:r w:rsidRPr="00436551">
        <w:rPr>
          <w:rFonts w:ascii="Verdana" w:eastAsia="Arial MT" w:hAnsi="Verdana" w:cs="Arial MT"/>
          <w:color w:val="000000" w:themeColor="text1"/>
          <w:lang w:val="es-ES" w:eastAsia="es-ES"/>
        </w:rPr>
        <w:t xml:space="preserve"> </w:t>
      </w:r>
      <w:r w:rsidRPr="00436551">
        <w:rPr>
          <w:rFonts w:ascii="Verdana" w:hAnsi="Verdana" w:cs="Arial"/>
          <w:color w:val="000000" w:themeColor="text1"/>
          <w:lang w:val="es-ES"/>
        </w:rPr>
        <w:t xml:space="preserve">así como lo establecido en el artículo 4 de la Resolución 1707 de 2018 expedida por esta Entidad, </w:t>
      </w:r>
      <w:r w:rsidRPr="00436551">
        <w:rPr>
          <w:rFonts w:ascii="Verdana" w:eastAsia="Calibri" w:hAnsi="Verdana" w:cs="Arial"/>
          <w:color w:val="000000" w:themeColor="text1"/>
          <w:lang w:val="es-ES" w:eastAsia="es-ES"/>
        </w:rPr>
        <w:t xml:space="preserve">la Agencia Nacional de Contratación Pública – Colombia Compra Eficiente– responde su solicitud de consulta remitida a esta entidad por el Ministerio de Salud el 09 de febrero de 2026, en la cual manifiesta lo siguiente: </w:t>
      </w:r>
    </w:p>
    <w:p w14:paraId="7F894369" w14:textId="77777777" w:rsidR="009C3042" w:rsidRPr="00436551" w:rsidRDefault="009C3042" w:rsidP="009C3042">
      <w:pPr>
        <w:tabs>
          <w:tab w:val="left" w:pos="142"/>
          <w:tab w:val="left" w:pos="284"/>
        </w:tabs>
        <w:spacing w:after="0" w:line="276" w:lineRule="auto"/>
        <w:contextualSpacing/>
        <w:jc w:val="both"/>
        <w:rPr>
          <w:rFonts w:ascii="Verdana" w:eastAsia="Century Gothic" w:hAnsi="Verdana" w:cs="Century Gothic"/>
          <w:b/>
          <w:color w:val="000000" w:themeColor="text1"/>
          <w:sz w:val="20"/>
          <w:szCs w:val="20"/>
          <w:lang w:val="es-ES"/>
        </w:rPr>
      </w:pPr>
    </w:p>
    <w:p w14:paraId="4FEC0137" w14:textId="77777777" w:rsidR="009C3042" w:rsidRDefault="009C3042" w:rsidP="009C3042">
      <w:pPr>
        <w:spacing w:after="0"/>
        <w:ind w:left="709" w:right="709"/>
        <w:jc w:val="both"/>
        <w:rPr>
          <w:rFonts w:ascii="Verdana" w:eastAsia="Century Gothic" w:hAnsi="Verdana" w:cs="Century Gothic"/>
          <w:i/>
          <w:iCs/>
          <w:color w:val="000000" w:themeColor="text1"/>
          <w:sz w:val="20"/>
          <w:szCs w:val="20"/>
          <w:lang w:val="es-ES"/>
        </w:rPr>
      </w:pPr>
      <w:proofErr w:type="gramStart"/>
      <w:r w:rsidRPr="00436551">
        <w:rPr>
          <w:rFonts w:ascii="Verdana" w:eastAsia="Century Gothic" w:hAnsi="Verdana" w:cs="Century Gothic"/>
          <w:i/>
          <w:color w:val="000000" w:themeColor="text1"/>
          <w:sz w:val="20"/>
          <w:szCs w:val="20"/>
          <w:lang w:val="es-ES"/>
        </w:rPr>
        <w:t xml:space="preserve">“ </w:t>
      </w:r>
      <w:r w:rsidRPr="00436551">
        <w:rPr>
          <w:rFonts w:ascii="Verdana" w:eastAsia="Century Gothic" w:hAnsi="Verdana" w:cs="Century Gothic"/>
          <w:i/>
          <w:iCs/>
          <w:color w:val="000000" w:themeColor="text1"/>
          <w:sz w:val="20"/>
          <w:szCs w:val="20"/>
          <w:lang w:val="es-ES"/>
        </w:rPr>
        <w:t>“</w:t>
      </w:r>
      <w:proofErr w:type="gramEnd"/>
      <w:r w:rsidRPr="00436551">
        <w:rPr>
          <w:rFonts w:ascii="Verdana" w:eastAsia="Century Gothic" w:hAnsi="Verdana" w:cs="Century Gothic"/>
          <w:i/>
          <w:iCs/>
          <w:color w:val="000000" w:themeColor="text1"/>
          <w:sz w:val="20"/>
          <w:szCs w:val="20"/>
          <w:lang w:val="es-ES"/>
        </w:rPr>
        <w:t xml:space="preserve">(...) Como es de su conocimiento, los contratos interadministrativos destinados a la ejecución de estos recursos solo pueden ser suscritos hasta el 31 de enero de 2026. </w:t>
      </w:r>
      <w:proofErr w:type="gramStart"/>
      <w:r w:rsidRPr="00436551">
        <w:rPr>
          <w:rFonts w:ascii="Verdana" w:eastAsia="Century Gothic" w:hAnsi="Verdana" w:cs="Century Gothic"/>
          <w:i/>
          <w:iCs/>
          <w:color w:val="000000" w:themeColor="text1"/>
          <w:sz w:val="20"/>
          <w:szCs w:val="20"/>
          <w:lang w:val="es-ES"/>
        </w:rPr>
        <w:t xml:space="preserve">Sin </w:t>
      </w:r>
      <w:r w:rsidRPr="00436551">
        <w:rPr>
          <w:rFonts w:ascii="Verdana" w:eastAsia="Century Gothic" w:hAnsi="Verdana" w:cs="Century Gothic"/>
          <w:i/>
          <w:color w:val="000000" w:themeColor="text1"/>
          <w:sz w:val="20"/>
          <w:szCs w:val="20"/>
          <w:lang w:val="es-ES"/>
        </w:rPr>
        <w:t xml:space="preserve"> </w:t>
      </w:r>
      <w:r w:rsidRPr="00436551">
        <w:rPr>
          <w:rFonts w:ascii="Verdana" w:eastAsia="Century Gothic" w:hAnsi="Verdana" w:cs="Century Gothic"/>
          <w:i/>
          <w:iCs/>
          <w:color w:val="000000" w:themeColor="text1"/>
          <w:sz w:val="20"/>
          <w:szCs w:val="20"/>
          <w:lang w:val="es-ES"/>
        </w:rPr>
        <w:t>embargo</w:t>
      </w:r>
      <w:proofErr w:type="gramEnd"/>
      <w:r w:rsidRPr="00436551">
        <w:rPr>
          <w:rFonts w:ascii="Verdana" w:eastAsia="Century Gothic" w:hAnsi="Verdana" w:cs="Century Gothic"/>
          <w:i/>
          <w:iCs/>
          <w:color w:val="000000" w:themeColor="text1"/>
          <w:sz w:val="20"/>
          <w:szCs w:val="20"/>
          <w:lang w:val="es-ES"/>
        </w:rPr>
        <w:t>, la asignación presupuestal a través de documento CONPES se ha realizado en años anteriores con posterioridad a dicha fecha, lo cual genera dificultades para cumplir oportunamente con las obligaciones contractuales y disposición de los recursos a las Empresas Sociales del Estado que prestan servicios trazadores en los municipios del departamento.</w:t>
      </w:r>
    </w:p>
    <w:p w14:paraId="2BF76E61" w14:textId="77777777" w:rsidR="009C3042" w:rsidRPr="00436551" w:rsidRDefault="009C3042" w:rsidP="009C3042">
      <w:pPr>
        <w:spacing w:after="0"/>
        <w:ind w:left="709" w:right="709"/>
        <w:jc w:val="both"/>
        <w:rPr>
          <w:rFonts w:ascii="Verdana" w:eastAsia="Century Gothic" w:hAnsi="Verdana" w:cs="Century Gothic"/>
          <w:i/>
          <w:iCs/>
          <w:color w:val="000000" w:themeColor="text1"/>
          <w:sz w:val="20"/>
          <w:szCs w:val="20"/>
          <w:lang w:val="es-ES"/>
        </w:rPr>
      </w:pPr>
      <w:r w:rsidRPr="00436551">
        <w:rPr>
          <w:rFonts w:ascii="Verdana" w:eastAsia="Century Gothic" w:hAnsi="Verdana" w:cs="Century Gothic"/>
          <w:i/>
          <w:iCs/>
          <w:color w:val="000000" w:themeColor="text1"/>
          <w:sz w:val="20"/>
          <w:szCs w:val="20"/>
          <w:lang w:val="es-ES"/>
        </w:rPr>
        <w:t xml:space="preserve"> </w:t>
      </w:r>
    </w:p>
    <w:p w14:paraId="4E523915" w14:textId="77777777" w:rsidR="009C3042" w:rsidRDefault="009C3042" w:rsidP="009C3042">
      <w:pPr>
        <w:spacing w:after="0"/>
        <w:ind w:left="709" w:right="709"/>
        <w:jc w:val="both"/>
        <w:rPr>
          <w:rFonts w:ascii="Verdana" w:eastAsia="Century Gothic" w:hAnsi="Verdana" w:cs="Century Gothic"/>
          <w:i/>
          <w:iCs/>
          <w:color w:val="000000" w:themeColor="text1"/>
          <w:sz w:val="20"/>
          <w:szCs w:val="20"/>
          <w:lang w:val="es-ES"/>
        </w:rPr>
      </w:pPr>
      <w:r w:rsidRPr="00436551">
        <w:rPr>
          <w:rFonts w:ascii="Verdana" w:eastAsia="Century Gothic" w:hAnsi="Verdana" w:cs="Century Gothic"/>
          <w:i/>
          <w:iCs/>
          <w:color w:val="000000" w:themeColor="text1"/>
          <w:sz w:val="20"/>
          <w:szCs w:val="20"/>
          <w:lang w:val="es-ES"/>
        </w:rPr>
        <w:lastRenderedPageBreak/>
        <w:t xml:space="preserve">Asimismo, en las visitas técnicas realizadas por el Ministerio de Hacienda han evidenciado que la ejecución de estos recursos en las ESE suele iniciarse después del mes de junio de cada vigencia, pero esta cartera ministerial ha indicado que lo ideal es iniciar la ejecución de estos recursos a principio de cada vigencia. </w:t>
      </w:r>
    </w:p>
    <w:p w14:paraId="4364BD29" w14:textId="77777777" w:rsidR="009C3042" w:rsidRPr="00436551" w:rsidRDefault="009C3042" w:rsidP="009C3042">
      <w:pPr>
        <w:spacing w:after="0"/>
        <w:ind w:left="709" w:right="709"/>
        <w:jc w:val="both"/>
        <w:rPr>
          <w:rFonts w:ascii="Verdana" w:eastAsia="Century Gothic" w:hAnsi="Verdana" w:cs="Century Gothic"/>
          <w:i/>
          <w:color w:val="000000" w:themeColor="text1"/>
          <w:sz w:val="20"/>
          <w:szCs w:val="20"/>
          <w:lang w:val="es-ES"/>
        </w:rPr>
      </w:pPr>
    </w:p>
    <w:p w14:paraId="0AB9A244" w14:textId="77777777" w:rsidR="009C3042" w:rsidRDefault="009C3042" w:rsidP="009C3042">
      <w:pPr>
        <w:spacing w:after="0"/>
        <w:ind w:left="709" w:right="709"/>
        <w:jc w:val="both"/>
        <w:rPr>
          <w:rFonts w:ascii="Verdana" w:eastAsia="Century Gothic" w:hAnsi="Verdana" w:cs="Century Gothic"/>
          <w:i/>
          <w:iCs/>
          <w:color w:val="000000" w:themeColor="text1"/>
          <w:sz w:val="20"/>
          <w:szCs w:val="20"/>
          <w:lang w:val="es-ES"/>
        </w:rPr>
      </w:pPr>
      <w:r w:rsidRPr="00436551">
        <w:rPr>
          <w:rFonts w:ascii="Verdana" w:eastAsia="Century Gothic" w:hAnsi="Verdana" w:cs="Century Gothic"/>
          <w:i/>
          <w:iCs/>
          <w:color w:val="000000" w:themeColor="text1"/>
          <w:sz w:val="20"/>
          <w:szCs w:val="20"/>
          <w:lang w:val="es-ES"/>
        </w:rPr>
        <w:t xml:space="preserve">Además, teniendo en cuenta lo señalado en la Resolución 484 de 2024, en la cual se establece que los procesos de distribución y redistribución deben ser autorizados por el Ministerio de Salud y Protección Social, y considerando las observaciones formuladas por </w:t>
      </w:r>
      <w:proofErr w:type="spellStart"/>
      <w:r w:rsidRPr="00436551">
        <w:rPr>
          <w:rFonts w:ascii="Verdana" w:eastAsia="Century Gothic" w:hAnsi="Verdana" w:cs="Century Gothic"/>
          <w:i/>
          <w:iCs/>
          <w:color w:val="000000" w:themeColor="text1"/>
          <w:sz w:val="20"/>
          <w:szCs w:val="20"/>
          <w:lang w:val="es-ES"/>
        </w:rPr>
        <w:t>MinHacienda</w:t>
      </w:r>
      <w:proofErr w:type="spellEnd"/>
      <w:r w:rsidRPr="00436551">
        <w:rPr>
          <w:rFonts w:ascii="Verdana" w:eastAsia="Century Gothic" w:hAnsi="Verdana" w:cs="Century Gothic"/>
          <w:i/>
          <w:iCs/>
          <w:color w:val="000000" w:themeColor="text1"/>
          <w:sz w:val="20"/>
          <w:szCs w:val="20"/>
          <w:lang w:val="es-ES"/>
        </w:rPr>
        <w:t xml:space="preserve">, solicitamos respetuosamente precisar: </w:t>
      </w:r>
    </w:p>
    <w:p w14:paraId="0E92D26A" w14:textId="77777777" w:rsidR="009C3042" w:rsidRPr="00436551" w:rsidRDefault="009C3042" w:rsidP="009C3042">
      <w:pPr>
        <w:spacing w:after="0"/>
        <w:ind w:left="709" w:right="709"/>
        <w:jc w:val="both"/>
        <w:rPr>
          <w:rFonts w:ascii="Verdana" w:eastAsia="Century Gothic" w:hAnsi="Verdana" w:cs="Century Gothic"/>
          <w:i/>
          <w:color w:val="000000" w:themeColor="text1"/>
          <w:sz w:val="20"/>
          <w:szCs w:val="20"/>
          <w:lang w:val="es-ES"/>
        </w:rPr>
      </w:pPr>
    </w:p>
    <w:p w14:paraId="319ED977" w14:textId="77777777" w:rsidR="009C3042" w:rsidRPr="00436551" w:rsidRDefault="009C3042" w:rsidP="009C3042">
      <w:pPr>
        <w:spacing w:after="0"/>
        <w:ind w:left="709" w:right="709"/>
        <w:jc w:val="both"/>
        <w:rPr>
          <w:rFonts w:ascii="Verdana" w:eastAsia="Century Gothic" w:hAnsi="Verdana" w:cs="Century Gothic"/>
          <w:i/>
          <w:color w:val="000000" w:themeColor="text1"/>
          <w:sz w:val="20"/>
          <w:szCs w:val="20"/>
          <w:lang w:val="es-ES"/>
        </w:rPr>
      </w:pPr>
      <w:r w:rsidRPr="00436551">
        <w:rPr>
          <w:rFonts w:ascii="Verdana" w:eastAsia="Century Gothic" w:hAnsi="Verdana" w:cs="Century Gothic"/>
          <w:i/>
          <w:iCs/>
          <w:color w:val="000000" w:themeColor="text1"/>
          <w:sz w:val="20"/>
          <w:szCs w:val="20"/>
          <w:lang w:val="es-ES"/>
        </w:rPr>
        <w:t xml:space="preserve">¿Es viable autorizar la suscripción de los convenios y/o contratos interadministrativos en una fecha posterior al 31 de enero, teniendo en cuenta que la asignación de los recursos se realiza con posterioridad a dicho límite, o necesariamente se debe suscribir posterior a la Ley de Garantías que sería posterior a la segunda vuelta presidencial? </w:t>
      </w:r>
    </w:p>
    <w:p w14:paraId="36098379" w14:textId="77777777" w:rsidR="009C3042" w:rsidRPr="00436551" w:rsidRDefault="009C3042" w:rsidP="009C3042">
      <w:pPr>
        <w:spacing w:after="0"/>
        <w:ind w:left="709" w:right="709"/>
        <w:jc w:val="both"/>
        <w:rPr>
          <w:rFonts w:ascii="Verdana" w:eastAsia="Century Gothic" w:hAnsi="Verdana" w:cs="Century Gothic"/>
          <w:i/>
          <w:color w:val="000000" w:themeColor="text1"/>
          <w:sz w:val="20"/>
          <w:szCs w:val="20"/>
          <w:lang w:val="es-ES"/>
        </w:rPr>
      </w:pPr>
      <w:r w:rsidRPr="00436551">
        <w:rPr>
          <w:rFonts w:ascii="Verdana" w:eastAsia="Century Gothic" w:hAnsi="Verdana" w:cs="Century Gothic"/>
          <w:i/>
          <w:iCs/>
          <w:color w:val="000000" w:themeColor="text1"/>
          <w:sz w:val="20"/>
          <w:szCs w:val="20"/>
          <w:lang w:val="es-ES"/>
        </w:rPr>
        <w:t xml:space="preserve">Agradecemos la atención dispensada y quedamos atentos a la información correspondiente, con el propósito de asegurar la adecuada planeación y ejecución de los recursos en el </w:t>
      </w:r>
      <w:proofErr w:type="gramStart"/>
      <w:r w:rsidRPr="00436551">
        <w:rPr>
          <w:rFonts w:ascii="Verdana" w:eastAsia="Century Gothic" w:hAnsi="Verdana" w:cs="Century Gothic"/>
          <w:i/>
          <w:iCs/>
          <w:color w:val="000000" w:themeColor="text1"/>
          <w:sz w:val="20"/>
          <w:szCs w:val="20"/>
          <w:lang w:val="es-ES"/>
        </w:rPr>
        <w:t>territorio....</w:t>
      </w:r>
      <w:proofErr w:type="gramEnd"/>
      <w:r w:rsidRPr="00436551">
        <w:rPr>
          <w:rFonts w:ascii="Verdana" w:eastAsia="Century Gothic" w:hAnsi="Verdana" w:cs="Century Gothic"/>
          <w:i/>
          <w:iCs/>
          <w:color w:val="000000" w:themeColor="text1"/>
          <w:sz w:val="20"/>
          <w:szCs w:val="20"/>
          <w:lang w:val="es-ES"/>
        </w:rPr>
        <w:t>” (subrayado fuera de texto”</w:t>
      </w:r>
    </w:p>
    <w:p w14:paraId="2605793F" w14:textId="77777777" w:rsidR="009C3042" w:rsidRPr="00436551" w:rsidRDefault="009C3042" w:rsidP="009C3042">
      <w:pPr>
        <w:spacing w:after="0" w:line="276" w:lineRule="auto"/>
        <w:ind w:right="709"/>
        <w:jc w:val="both"/>
        <w:rPr>
          <w:rFonts w:ascii="Verdana" w:eastAsia="Calibri" w:hAnsi="Verdana" w:cs="Arial"/>
          <w:lang w:val="es-ES"/>
        </w:rPr>
      </w:pPr>
    </w:p>
    <w:p w14:paraId="3B0939E2" w14:textId="77777777" w:rsidR="009C3042" w:rsidRPr="00436551" w:rsidRDefault="009C3042" w:rsidP="009C3042">
      <w:pPr>
        <w:spacing w:after="120" w:line="276" w:lineRule="auto"/>
        <w:ind w:firstLine="708"/>
        <w:jc w:val="both"/>
        <w:rPr>
          <w:rFonts w:ascii="Verdana" w:eastAsia="Calibri" w:hAnsi="Verdana" w:cs="Arial"/>
          <w:color w:val="000000" w:themeColor="text1"/>
          <w:lang w:val="es-ES" w:eastAsia="es-ES"/>
        </w:rPr>
      </w:pPr>
      <w:r w:rsidRPr="00436551">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436551">
        <w:rPr>
          <w:lang w:val="es-ES"/>
        </w:rPr>
        <w:tab/>
      </w:r>
    </w:p>
    <w:p w14:paraId="6BFE5E54" w14:textId="77777777" w:rsidR="009C3042" w:rsidRPr="00436551" w:rsidRDefault="009C3042" w:rsidP="009C3042">
      <w:pPr>
        <w:spacing w:after="0" w:line="276" w:lineRule="auto"/>
        <w:ind w:firstLine="709"/>
        <w:jc w:val="both"/>
        <w:rPr>
          <w:rFonts w:ascii="Verdana" w:eastAsia="Calibri" w:hAnsi="Verdana" w:cs="Arial"/>
          <w:color w:val="000000" w:themeColor="text1"/>
          <w:lang w:val="es-ES" w:eastAsia="es-ES"/>
        </w:rPr>
      </w:pPr>
      <w:r w:rsidRPr="00436551">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1875A472" w14:textId="77777777" w:rsidR="009C3042" w:rsidRPr="00436551" w:rsidRDefault="009C3042" w:rsidP="009C3042">
      <w:pPr>
        <w:spacing w:after="0" w:line="276" w:lineRule="auto"/>
        <w:jc w:val="both"/>
        <w:rPr>
          <w:rFonts w:ascii="Verdana" w:eastAsia="Calibri" w:hAnsi="Verdana" w:cs="Arial"/>
          <w:color w:val="000000" w:themeColor="text1"/>
          <w:lang w:val="es-ES" w:eastAsia="es-ES"/>
        </w:rPr>
      </w:pPr>
    </w:p>
    <w:p w14:paraId="74325A7D" w14:textId="77777777" w:rsidR="009C3042" w:rsidRPr="00436551" w:rsidRDefault="009C3042" w:rsidP="009C3042">
      <w:pPr>
        <w:pStyle w:val="Prrafodelista"/>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436551">
        <w:rPr>
          <w:rFonts w:ascii="Verdana" w:eastAsia="Century Gothic" w:hAnsi="Verdana" w:cs="Century Gothic"/>
          <w:b/>
          <w:color w:val="000000" w:themeColor="text1"/>
        </w:rPr>
        <w:lastRenderedPageBreak/>
        <w:t>Problema planteado:</w:t>
      </w:r>
    </w:p>
    <w:p w14:paraId="4AC66CA3" w14:textId="77777777" w:rsidR="009C3042" w:rsidRPr="00436551" w:rsidRDefault="009C3042" w:rsidP="009C3042">
      <w:pPr>
        <w:tabs>
          <w:tab w:val="left" w:pos="426"/>
        </w:tabs>
        <w:spacing w:after="0" w:line="276" w:lineRule="auto"/>
        <w:jc w:val="both"/>
        <w:rPr>
          <w:rFonts w:ascii="Verdana" w:eastAsia="Century Gothic" w:hAnsi="Verdana" w:cs="Century Gothic"/>
          <w:color w:val="000000" w:themeColor="text1"/>
          <w:lang w:val="es-ES"/>
        </w:rPr>
      </w:pPr>
    </w:p>
    <w:p w14:paraId="3942938A" w14:textId="77777777" w:rsidR="009C3042" w:rsidRDefault="009C3042" w:rsidP="009C3042">
      <w:pPr>
        <w:spacing w:after="0" w:line="276" w:lineRule="auto"/>
        <w:jc w:val="both"/>
        <w:rPr>
          <w:rFonts w:ascii="Verdana" w:eastAsia="Century Gothic" w:hAnsi="Verdana" w:cs="Century Gothic"/>
          <w:color w:val="000000" w:themeColor="text1"/>
          <w:lang w:val="es-ES"/>
        </w:rPr>
      </w:pPr>
      <w:r w:rsidRPr="00436551">
        <w:rPr>
          <w:rFonts w:ascii="Verdana" w:eastAsia="Century Gothic" w:hAnsi="Verdana" w:cs="Century Gothic"/>
          <w:color w:val="000000" w:themeColor="text1"/>
          <w:lang w:val="es-ES"/>
        </w:rPr>
        <w:t>De acuerdo con el contenido de su solicitud, esta Agencia resolverá el siguiente problema jurídico: ¿Cuál es el alcance y ámbito de aplicación de la Ley de Garantías Electorales</w:t>
      </w:r>
      <w:r w:rsidRPr="00436551">
        <w:rPr>
          <w:rFonts w:ascii="ArialMT" w:eastAsia="Times New Roman" w:hAnsi="ArialMT" w:cs="Times New Roman"/>
          <w:sz w:val="24"/>
          <w:szCs w:val="24"/>
          <w:lang w:val="es-ES"/>
        </w:rPr>
        <w:t xml:space="preserve"> </w:t>
      </w:r>
      <w:r>
        <w:rPr>
          <w:rFonts w:ascii="Verdana" w:eastAsia="Century Gothic" w:hAnsi="Verdana" w:cs="Century Gothic"/>
          <w:color w:val="000000" w:themeColor="text1"/>
          <w:lang w:val="es-ES"/>
        </w:rPr>
        <w:t xml:space="preserve">frente a </w:t>
      </w:r>
      <w:r w:rsidRPr="00436551">
        <w:rPr>
          <w:rFonts w:ascii="Verdana" w:eastAsia="Century Gothic" w:hAnsi="Verdana" w:cs="Century Gothic"/>
          <w:color w:val="000000" w:themeColor="text1"/>
          <w:lang w:val="es-ES"/>
        </w:rPr>
        <w:t xml:space="preserve">la suscripción de los convenios </w:t>
      </w:r>
      <w:r>
        <w:rPr>
          <w:rFonts w:ascii="Verdana" w:eastAsia="Century Gothic" w:hAnsi="Verdana" w:cs="Century Gothic"/>
          <w:color w:val="000000" w:themeColor="text1"/>
          <w:lang w:val="es-ES"/>
        </w:rPr>
        <w:t>o contratos celebrados para la transferencia del subsidio a la oferta</w:t>
      </w:r>
      <w:r w:rsidRPr="00436551">
        <w:rPr>
          <w:rFonts w:ascii="Verdana" w:eastAsia="Century Gothic" w:hAnsi="Verdana" w:cs="Century Gothic"/>
          <w:color w:val="000000" w:themeColor="text1"/>
          <w:lang w:val="es-ES"/>
        </w:rPr>
        <w:t>?</w:t>
      </w:r>
    </w:p>
    <w:p w14:paraId="4A22E54E" w14:textId="77777777" w:rsidR="009C3042" w:rsidRPr="00436551" w:rsidRDefault="009C3042" w:rsidP="009C3042">
      <w:pPr>
        <w:spacing w:after="0" w:line="276" w:lineRule="auto"/>
        <w:jc w:val="both"/>
        <w:rPr>
          <w:rFonts w:ascii="Verdana" w:eastAsia="Century Gothic" w:hAnsi="Verdana" w:cs="Century Gothic"/>
          <w:color w:val="000000" w:themeColor="text1"/>
          <w:lang w:val="es-ES"/>
        </w:rPr>
      </w:pPr>
    </w:p>
    <w:p w14:paraId="37C3C8D0" w14:textId="77777777" w:rsidR="009C3042" w:rsidRPr="00436551" w:rsidRDefault="009C3042" w:rsidP="009C3042">
      <w:pPr>
        <w:pStyle w:val="Prrafodelista"/>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436551">
        <w:rPr>
          <w:rFonts w:ascii="Verdana" w:eastAsia="Century Gothic" w:hAnsi="Verdana" w:cs="Century Gothic"/>
          <w:b/>
          <w:color w:val="000000" w:themeColor="text1"/>
        </w:rPr>
        <w:t>Respuesta:</w:t>
      </w:r>
    </w:p>
    <w:p w14:paraId="6CFBA77B" w14:textId="77777777" w:rsidR="009C3042" w:rsidRPr="00436551" w:rsidRDefault="009C3042" w:rsidP="009C3042">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9C3042" w:rsidRPr="00436551" w14:paraId="0E9515B2" w14:textId="77777777" w:rsidTr="00994F78">
        <w:tc>
          <w:tcPr>
            <w:tcW w:w="8828" w:type="dxa"/>
          </w:tcPr>
          <w:p w14:paraId="0D55044F" w14:textId="77777777" w:rsidR="009C3042" w:rsidRDefault="009C3042" w:rsidP="00994F78">
            <w:pPr>
              <w:tabs>
                <w:tab w:val="left" w:pos="426"/>
              </w:tabs>
              <w:spacing w:before="120" w:after="120" w:line="276" w:lineRule="auto"/>
              <w:jc w:val="both"/>
              <w:rPr>
                <w:rFonts w:ascii="Verdana" w:eastAsia="Verdana" w:hAnsi="Verdana" w:cs="Verdana"/>
                <w:lang w:val="es-ES"/>
              </w:rPr>
            </w:pPr>
            <w:r w:rsidRPr="00436551">
              <w:rPr>
                <w:rFonts w:ascii="Verdana" w:eastAsia="Verdana" w:hAnsi="Verdana" w:cs="Verdana"/>
                <w:lang w:val="es-ES"/>
              </w:rPr>
              <w:t>De acuerdo con</w:t>
            </w:r>
            <w:r>
              <w:rPr>
                <w:rFonts w:ascii="Verdana" w:eastAsia="Verdana" w:hAnsi="Verdana" w:cs="Verdana"/>
                <w:lang w:val="es-ES"/>
              </w:rPr>
              <w:t xml:space="preserve"> lo dispuesto en los artículos 232 y 235 </w:t>
            </w:r>
            <w:r w:rsidRPr="00436551">
              <w:rPr>
                <w:rFonts w:ascii="Verdana" w:eastAsia="Verdana" w:hAnsi="Verdana" w:cs="Verdana"/>
                <w:lang w:val="es-ES"/>
              </w:rPr>
              <w:t>de la Ley 1955 de 2019</w:t>
            </w:r>
            <w:r>
              <w:rPr>
                <w:rFonts w:ascii="Verdana" w:eastAsia="Verdana" w:hAnsi="Verdana" w:cs="Verdana"/>
                <w:lang w:val="es-ES"/>
              </w:rPr>
              <w:t xml:space="preserve">, así como el artículo </w:t>
            </w:r>
            <w:r w:rsidRPr="00436551">
              <w:rPr>
                <w:rFonts w:ascii="Verdana" w:eastAsia="Verdana" w:hAnsi="Verdana" w:cs="Verdana"/>
                <w:lang w:val="es-ES"/>
              </w:rPr>
              <w:t>2.4.2.7. </w:t>
            </w:r>
            <w:r>
              <w:rPr>
                <w:rFonts w:ascii="Verdana" w:eastAsia="Verdana" w:hAnsi="Verdana" w:cs="Verdana"/>
                <w:lang w:val="es-ES"/>
              </w:rPr>
              <w:t xml:space="preserve">del </w:t>
            </w:r>
            <w:r w:rsidRPr="00436551">
              <w:rPr>
                <w:rFonts w:ascii="Verdana" w:eastAsia="Verdana" w:hAnsi="Verdana" w:cs="Verdana"/>
                <w:lang w:val="es-ES"/>
              </w:rPr>
              <w:t>Decreto 268 de 2020</w:t>
            </w:r>
            <w:r>
              <w:rPr>
                <w:rFonts w:ascii="Verdana" w:eastAsia="Verdana" w:hAnsi="Verdana" w:cs="Verdana"/>
                <w:lang w:val="es-ES"/>
              </w:rPr>
              <w:t>,</w:t>
            </w:r>
            <w:r w:rsidRPr="00436551">
              <w:rPr>
                <w:rFonts w:ascii="Verdana" w:eastAsia="Verdana" w:hAnsi="Verdana" w:cs="Verdana"/>
                <w:lang w:val="es-ES"/>
              </w:rPr>
              <w:t xml:space="preserve"> los departamentos, los distritos que señala el artículo 2.4.1.3 de</w:t>
            </w:r>
            <w:r>
              <w:rPr>
                <w:rFonts w:ascii="Verdana" w:eastAsia="Verdana" w:hAnsi="Verdana" w:cs="Verdana"/>
                <w:lang w:val="es-ES"/>
              </w:rPr>
              <w:t xml:space="preserve"> este</w:t>
            </w:r>
            <w:r w:rsidRPr="00436551">
              <w:rPr>
                <w:rFonts w:ascii="Verdana" w:eastAsia="Verdana" w:hAnsi="Verdana" w:cs="Verdana"/>
                <w:lang w:val="es-ES"/>
              </w:rPr>
              <w:t xml:space="preserve"> Decreto y los municipios certificados deberán suscribir </w:t>
            </w:r>
            <w:r w:rsidRPr="00354317">
              <w:rPr>
                <w:rFonts w:ascii="Verdana" w:eastAsia="Verdana" w:hAnsi="Verdana" w:cs="Verdana"/>
                <w:lang w:val="es-ES"/>
              </w:rPr>
              <w:t>convenios o contratos</w:t>
            </w:r>
            <w:r w:rsidRPr="00436551">
              <w:rPr>
                <w:rFonts w:ascii="Verdana" w:eastAsia="Verdana" w:hAnsi="Verdana" w:cs="Verdana"/>
                <w:lang w:val="es-ES"/>
              </w:rPr>
              <w:t xml:space="preserve"> con </w:t>
            </w:r>
            <w:r>
              <w:rPr>
                <w:rFonts w:ascii="Verdana" w:eastAsia="Verdana" w:hAnsi="Verdana" w:cs="Verdana"/>
                <w:lang w:val="es-ES"/>
              </w:rPr>
              <w:t>E</w:t>
            </w:r>
            <w:r w:rsidRPr="00436551">
              <w:rPr>
                <w:rFonts w:ascii="Verdana" w:eastAsia="Verdana" w:hAnsi="Verdana" w:cs="Verdana"/>
                <w:lang w:val="es-ES"/>
              </w:rPr>
              <w:t xml:space="preserve">mpresas </w:t>
            </w:r>
            <w:r>
              <w:rPr>
                <w:rFonts w:ascii="Verdana" w:eastAsia="Verdana" w:hAnsi="Verdana" w:cs="Verdana"/>
                <w:lang w:val="es-ES"/>
              </w:rPr>
              <w:t>S</w:t>
            </w:r>
            <w:r w:rsidRPr="00436551">
              <w:rPr>
                <w:rFonts w:ascii="Verdana" w:eastAsia="Verdana" w:hAnsi="Verdana" w:cs="Verdana"/>
                <w:lang w:val="es-ES"/>
              </w:rPr>
              <w:t>ociales</w:t>
            </w:r>
            <w:r>
              <w:rPr>
                <w:rFonts w:ascii="Verdana" w:eastAsia="Verdana" w:hAnsi="Verdana" w:cs="Verdana"/>
                <w:lang w:val="es-ES"/>
              </w:rPr>
              <w:t xml:space="preserve"> del Estado</w:t>
            </w:r>
            <w:r w:rsidRPr="00436551">
              <w:rPr>
                <w:rFonts w:ascii="Verdana" w:eastAsia="Verdana" w:hAnsi="Verdana" w:cs="Verdana"/>
                <w:lang w:val="es-ES"/>
              </w:rPr>
              <w:t xml:space="preserve"> o con administradores de infraestructura pública para la prestación de servicios de salud</w:t>
            </w:r>
            <w:r>
              <w:rPr>
                <w:rFonts w:ascii="Verdana" w:eastAsia="Verdana" w:hAnsi="Verdana" w:cs="Verdana"/>
                <w:lang w:val="es-ES"/>
              </w:rPr>
              <w:t xml:space="preserve">, </w:t>
            </w:r>
            <w:r w:rsidRPr="00354317">
              <w:rPr>
                <w:rFonts w:ascii="Verdana" w:eastAsia="Verdana" w:hAnsi="Verdana" w:cs="Verdana"/>
                <w:lang w:val="es-ES"/>
              </w:rPr>
              <w:t>teniendo en cuenta el listado definido por el Ministerio de Salud y Protección Social,</w:t>
            </w:r>
            <w:r w:rsidRPr="00436551">
              <w:rPr>
                <w:rFonts w:ascii="Verdana" w:eastAsia="Verdana" w:hAnsi="Verdana" w:cs="Verdana"/>
                <w:lang w:val="es-ES"/>
              </w:rPr>
              <w:t xml:space="preserve"> con el fin de transferir el subsidio a la oferta</w:t>
            </w:r>
            <w:r>
              <w:rPr>
                <w:rFonts w:ascii="Verdana" w:eastAsia="Verdana" w:hAnsi="Verdana" w:cs="Verdana"/>
                <w:lang w:val="es-ES"/>
              </w:rPr>
              <w:t xml:space="preserve"> al cual se refiere su consulta</w:t>
            </w:r>
            <w:r w:rsidRPr="00436551">
              <w:rPr>
                <w:rFonts w:ascii="Verdana" w:eastAsia="Verdana" w:hAnsi="Verdana" w:cs="Verdana"/>
                <w:lang w:val="es-ES"/>
              </w:rPr>
              <w:t xml:space="preserve">. </w:t>
            </w:r>
          </w:p>
          <w:p w14:paraId="11931076" w14:textId="77777777" w:rsidR="009C3042" w:rsidRDefault="009C3042" w:rsidP="00994F78">
            <w:pPr>
              <w:tabs>
                <w:tab w:val="left" w:pos="426"/>
              </w:tabs>
              <w:spacing w:before="120" w:after="120" w:line="276" w:lineRule="auto"/>
              <w:ind w:firstLine="709"/>
              <w:jc w:val="both"/>
              <w:rPr>
                <w:rFonts w:ascii="Verdana" w:eastAsia="Verdana" w:hAnsi="Verdana" w:cs="Verdana"/>
                <w:lang w:val="es-ES"/>
              </w:rPr>
            </w:pPr>
            <w:r w:rsidRPr="00436551">
              <w:rPr>
                <w:rFonts w:ascii="Verdana" w:eastAsia="Verdana" w:hAnsi="Verdana" w:cs="Verdana"/>
                <w:lang w:val="es-ES"/>
              </w:rPr>
              <w:t xml:space="preserve">La suscripción de estos convenios o contratos estará sujeta a la prohibición del artículo 33 de la Ley de Garantías Electorales en la medida en que se trate de un procedimiento de “contratación directa”, es decir, que el sistema de selección o procedimiento no incluya una convocatoria pública en alguna de sus etapas, ni permita la participación de pluralidad de oferentes. En estos casos, no podrán suscribir dichos contratos o convenios dentro de los cuatro </w:t>
            </w:r>
            <w:r w:rsidRPr="00354317">
              <w:rPr>
                <w:rFonts w:ascii="Verdana" w:eastAsia="Verdana" w:hAnsi="Verdana" w:cs="Verdana"/>
                <w:lang w:val="es-ES"/>
              </w:rPr>
              <w:t xml:space="preserve">(4) </w:t>
            </w:r>
            <w:r w:rsidRPr="00436551">
              <w:rPr>
                <w:rFonts w:ascii="Verdana" w:eastAsia="Verdana" w:hAnsi="Verdana" w:cs="Verdana"/>
                <w:lang w:val="es-ES"/>
              </w:rPr>
              <w:t>meses anteriores a la elección presidencial</w:t>
            </w:r>
            <w:r>
              <w:rPr>
                <w:rFonts w:ascii="Verdana" w:eastAsia="Verdana" w:hAnsi="Verdana" w:cs="Verdana"/>
                <w:lang w:val="es-ES"/>
              </w:rPr>
              <w:t xml:space="preserve">, es decir, a partir del </w:t>
            </w:r>
            <w:r w:rsidRPr="00354317">
              <w:rPr>
                <w:rFonts w:ascii="Verdana" w:eastAsia="Verdana" w:hAnsi="Verdana" w:cs="Verdana"/>
                <w:lang w:val="es-ES"/>
              </w:rPr>
              <w:t>31 de enero de 2026</w:t>
            </w:r>
            <w:r w:rsidRPr="00436551">
              <w:rPr>
                <w:rFonts w:ascii="Verdana" w:eastAsia="Verdana" w:hAnsi="Verdana" w:cs="Verdana"/>
                <w:lang w:val="es-ES"/>
              </w:rPr>
              <w:t>.</w:t>
            </w:r>
          </w:p>
          <w:p w14:paraId="49A02A67" w14:textId="499C0E7D" w:rsidR="00AD0B6E" w:rsidRDefault="00AD0B6E" w:rsidP="00AD0B6E">
            <w:pPr>
              <w:spacing w:before="120" w:after="120" w:line="276" w:lineRule="auto"/>
              <w:ind w:firstLine="742"/>
              <w:jc w:val="both"/>
              <w:rPr>
                <w:rFonts w:ascii="Verdana" w:hAnsi="Verdana" w:cs="Arial"/>
                <w:bCs/>
                <w:color w:val="000000" w:themeColor="text1"/>
                <w:lang w:val="es-ES"/>
              </w:rPr>
            </w:pPr>
            <w:r>
              <w:rPr>
                <w:rFonts w:ascii="Verdana" w:eastAsia="Arial" w:hAnsi="Verdana" w:cs="Arial"/>
                <w:bCs/>
                <w:color w:val="000000" w:themeColor="text1"/>
                <w:lang w:val="es-ES"/>
              </w:rPr>
              <w:t>E</w:t>
            </w:r>
            <w:r w:rsidRPr="00FC6F34">
              <w:rPr>
                <w:rFonts w:ascii="Verdana" w:eastAsia="Arial" w:hAnsi="Verdana" w:cs="Arial"/>
                <w:bCs/>
                <w:color w:val="000000" w:themeColor="text1"/>
                <w:lang w:val="es-ES"/>
              </w:rPr>
              <w:t xml:space="preserve">n principio, todos los entes del Estado están cobijados por la prohibición para contratar directamente </w:t>
            </w:r>
            <w:r>
              <w:rPr>
                <w:rFonts w:ascii="Verdana" w:eastAsia="Arial" w:hAnsi="Verdana" w:cs="Arial"/>
                <w:bCs/>
                <w:color w:val="000000" w:themeColor="text1"/>
                <w:lang w:val="es-ES"/>
              </w:rPr>
              <w:t xml:space="preserve">según </w:t>
            </w:r>
            <w:r w:rsidRPr="00FC6F34">
              <w:rPr>
                <w:rFonts w:ascii="Verdana" w:eastAsia="Arial" w:hAnsi="Verdana" w:cs="Arial"/>
                <w:bCs/>
                <w:color w:val="000000" w:themeColor="text1"/>
                <w:lang w:val="es-ES"/>
              </w:rPr>
              <w:t xml:space="preserve">en el artículo 33 de la Ley de Garantías Electorales. Sin embargo, </w:t>
            </w:r>
            <w:r w:rsidRPr="00FC6F34">
              <w:rPr>
                <w:rFonts w:ascii="Verdana" w:hAnsi="Verdana" w:cs="Arial"/>
                <w:bCs/>
                <w:color w:val="000000" w:themeColor="text1"/>
                <w:lang w:val="es-ES"/>
              </w:rPr>
              <w:t xml:space="preserve">el segundo inciso de la disposición consagró </w:t>
            </w:r>
            <w:r w:rsidR="00344BC1">
              <w:rPr>
                <w:rFonts w:ascii="Verdana" w:hAnsi="Verdana" w:cs="Arial"/>
                <w:bCs/>
                <w:color w:val="000000" w:themeColor="text1"/>
                <w:lang w:val="es-ES"/>
              </w:rPr>
              <w:t>un listado de</w:t>
            </w:r>
            <w:r w:rsidRPr="00FC6F34">
              <w:rPr>
                <w:rFonts w:ascii="Verdana" w:hAnsi="Verdana" w:cs="Arial"/>
                <w:bCs/>
                <w:color w:val="000000" w:themeColor="text1"/>
                <w:lang w:val="es-ES"/>
              </w:rPr>
              <w:t xml:space="preserve"> excepciones aplicables a la prohibición</w:t>
            </w:r>
            <w:r>
              <w:rPr>
                <w:rFonts w:ascii="Verdana" w:hAnsi="Verdana" w:cs="Arial"/>
                <w:bCs/>
                <w:color w:val="000000" w:themeColor="text1"/>
                <w:lang w:val="es-ES"/>
              </w:rPr>
              <w:t>, entre las cuales se incluyen “l</w:t>
            </w:r>
            <w:r w:rsidRPr="00FC6F34">
              <w:rPr>
                <w:rFonts w:ascii="Verdana" w:hAnsi="Verdana" w:cs="Arial"/>
                <w:bCs/>
                <w:color w:val="000000" w:themeColor="text1"/>
                <w:lang w:val="es-ES"/>
              </w:rPr>
              <w:t>os contratos requeridos para cubrir las emergencias educativas, sanitarias y desastres</w:t>
            </w:r>
            <w:r>
              <w:rPr>
                <w:rFonts w:ascii="Verdana" w:hAnsi="Verdana" w:cs="Arial"/>
                <w:bCs/>
                <w:color w:val="000000" w:themeColor="text1"/>
                <w:lang w:val="es-ES"/>
              </w:rPr>
              <w:t>” y “l</w:t>
            </w:r>
            <w:r w:rsidRPr="00FC6F34">
              <w:rPr>
                <w:rFonts w:ascii="Verdana" w:hAnsi="Verdana" w:cs="Arial"/>
                <w:bCs/>
                <w:color w:val="000000" w:themeColor="text1"/>
                <w:lang w:val="es-ES"/>
              </w:rPr>
              <w:t>a contratación que deban realizar las entidades sanitarias y hospitalarias</w:t>
            </w:r>
            <w:r>
              <w:rPr>
                <w:rFonts w:ascii="Verdana" w:hAnsi="Verdana" w:cs="Arial"/>
                <w:bCs/>
                <w:color w:val="000000" w:themeColor="text1"/>
                <w:lang w:val="es-ES"/>
              </w:rPr>
              <w:t>”</w:t>
            </w:r>
            <w:r w:rsidRPr="00FC6F34">
              <w:rPr>
                <w:rFonts w:ascii="Verdana" w:hAnsi="Verdana" w:cs="Arial"/>
                <w:bCs/>
                <w:color w:val="000000" w:themeColor="text1"/>
                <w:lang w:val="es-ES"/>
              </w:rPr>
              <w:t>.</w:t>
            </w:r>
          </w:p>
          <w:p w14:paraId="1D845A52" w14:textId="77777777" w:rsidR="003D739F" w:rsidRDefault="00AD0B6E" w:rsidP="001C0996">
            <w:pPr>
              <w:spacing w:before="120" w:line="276" w:lineRule="auto"/>
              <w:ind w:firstLine="709"/>
              <w:jc w:val="both"/>
              <w:rPr>
                <w:rFonts w:ascii="Verdana" w:eastAsia="Arial" w:hAnsi="Verdana" w:cs="Arial"/>
                <w:bCs/>
                <w:color w:val="000000" w:themeColor="text1"/>
                <w:lang w:val="es-ES"/>
              </w:rPr>
            </w:pPr>
            <w:r w:rsidRPr="00FC6F34">
              <w:rPr>
                <w:rFonts w:ascii="Verdana" w:hAnsi="Verdana" w:cs="Arial"/>
                <w:bCs/>
                <w:color w:val="000000" w:themeColor="text1"/>
                <w:lang w:val="es-ES"/>
              </w:rPr>
              <w:t xml:space="preserve">Teniendo en cuenta el tema de su consulta, es pertinente </w:t>
            </w:r>
            <w:r>
              <w:rPr>
                <w:rFonts w:ascii="Verdana" w:hAnsi="Verdana" w:cs="Arial"/>
                <w:bCs/>
                <w:color w:val="000000" w:themeColor="text1"/>
                <w:lang w:val="es-ES"/>
              </w:rPr>
              <w:t xml:space="preserve">aclarar que, </w:t>
            </w:r>
            <w:r w:rsidRPr="00FC6F34">
              <w:rPr>
                <w:rFonts w:ascii="Verdana" w:hAnsi="Verdana" w:cs="Arial"/>
                <w:color w:val="000000" w:themeColor="text1"/>
                <w:lang w:val="es-ES"/>
              </w:rPr>
              <w:t>dentro de la estructura de la administración pública</w:t>
            </w:r>
            <w:r>
              <w:rPr>
                <w:rFonts w:ascii="Verdana" w:hAnsi="Verdana" w:cs="Arial"/>
                <w:color w:val="000000" w:themeColor="text1"/>
                <w:lang w:val="es-ES"/>
              </w:rPr>
              <w:t>,</w:t>
            </w:r>
            <w:r w:rsidRPr="00FC6F34">
              <w:rPr>
                <w:rFonts w:ascii="Verdana" w:hAnsi="Verdana" w:cs="Arial"/>
                <w:color w:val="000000" w:themeColor="text1"/>
                <w:lang w:val="es-ES"/>
              </w:rPr>
              <w:t xml:space="preserve"> las Empresas Sociales del Estado son las entidades encargadas de prestar el servicio de salud de manera </w:t>
            </w:r>
            <w:r w:rsidRPr="00FC6F34">
              <w:rPr>
                <w:rFonts w:ascii="Verdana" w:hAnsi="Verdana" w:cs="Arial"/>
                <w:color w:val="000000" w:themeColor="text1"/>
                <w:lang w:val="es-ES"/>
              </w:rPr>
              <w:lastRenderedPageBreak/>
              <w:t>directa</w:t>
            </w:r>
            <w:r>
              <w:rPr>
                <w:rFonts w:ascii="Verdana" w:hAnsi="Verdana" w:cs="Arial"/>
                <w:color w:val="000000" w:themeColor="text1"/>
                <w:lang w:val="es-ES"/>
              </w:rPr>
              <w:t xml:space="preserve"> </w:t>
            </w:r>
            <w:r>
              <w:rPr>
                <w:rFonts w:ascii="Verdana" w:hAnsi="Verdana" w:cs="Arial"/>
                <w:bCs/>
                <w:color w:val="000000" w:themeColor="text1"/>
                <w:lang w:val="es-ES"/>
              </w:rPr>
              <w:t>b</w:t>
            </w:r>
            <w:r w:rsidRPr="00FC6F34">
              <w:rPr>
                <w:rFonts w:ascii="Verdana" w:hAnsi="Verdana" w:cs="Arial"/>
                <w:color w:val="000000" w:themeColor="text1"/>
                <w:lang w:val="es-ES"/>
              </w:rPr>
              <w:t>ajo la Ley 100 de 1993</w:t>
            </w:r>
            <w:r>
              <w:rPr>
                <w:rFonts w:ascii="Verdana" w:hAnsi="Verdana" w:cs="Arial"/>
                <w:color w:val="000000" w:themeColor="text1"/>
                <w:lang w:val="es-ES"/>
              </w:rPr>
              <w:t xml:space="preserve">. Adicionalmente, </w:t>
            </w:r>
            <w:r w:rsidRPr="00FC6F34">
              <w:rPr>
                <w:rFonts w:ascii="Verdana" w:eastAsia="Arial" w:hAnsi="Verdana" w:cs="Arial"/>
                <w:bCs/>
                <w:color w:val="000000" w:themeColor="text1"/>
                <w:lang w:val="es-ES"/>
              </w:rPr>
              <w:t xml:space="preserve">el artículo 2.8.8.1.1.3 del Decreto 780 de 2016, Por medio del cual se expide el Decreto Único Reglamentario del Sector Salud y Protección Social, definió a las </w:t>
            </w:r>
            <w:r w:rsidRPr="00FC6F34">
              <w:rPr>
                <w:rFonts w:ascii="Verdana" w:eastAsia="Arial" w:hAnsi="Verdana" w:cs="Arial"/>
                <w:bCs/>
                <w:i/>
                <w:iCs/>
                <w:color w:val="000000" w:themeColor="text1"/>
                <w:lang w:val="es-ES"/>
              </w:rPr>
              <w:t>entidades sanitarias</w:t>
            </w:r>
            <w:r w:rsidRPr="00FC6F34">
              <w:rPr>
                <w:rFonts w:ascii="Verdana" w:eastAsia="Arial" w:hAnsi="Verdana" w:cs="Arial"/>
                <w:bCs/>
                <w:color w:val="000000" w:themeColor="text1"/>
                <w:lang w:val="es-ES"/>
              </w:rPr>
              <w:t xml:space="preserve"> como “Entidades del Estado que prestan servicios sanitarios o de sanidad con el propósito de preservar la salud humana y la salud pública”. De esta forma, </w:t>
            </w:r>
            <w:r>
              <w:rPr>
                <w:rFonts w:ascii="Verdana" w:eastAsia="Arial" w:hAnsi="Verdana" w:cs="Arial"/>
                <w:bCs/>
                <w:color w:val="000000" w:themeColor="text1"/>
                <w:lang w:val="es-ES"/>
              </w:rPr>
              <w:t>p</w:t>
            </w:r>
            <w:r w:rsidRPr="00FC6F34">
              <w:rPr>
                <w:rFonts w:ascii="Verdana" w:eastAsia="Arial" w:hAnsi="Verdana" w:cs="Arial"/>
                <w:bCs/>
                <w:color w:val="000000" w:themeColor="text1"/>
                <w:lang w:val="es-ES"/>
              </w:rPr>
              <w:t xml:space="preserve">ara efectos de la excepción, es indiferente que la </w:t>
            </w:r>
            <w:r>
              <w:rPr>
                <w:rFonts w:ascii="Verdana" w:eastAsia="Arial" w:hAnsi="Verdana" w:cs="Arial"/>
                <w:bCs/>
                <w:color w:val="000000" w:themeColor="text1"/>
                <w:lang w:val="es-ES"/>
              </w:rPr>
              <w:t>E</w:t>
            </w:r>
            <w:r w:rsidRPr="00FC6F34">
              <w:rPr>
                <w:rFonts w:ascii="Verdana" w:eastAsia="Arial" w:hAnsi="Verdana" w:cs="Arial"/>
                <w:bCs/>
                <w:color w:val="000000" w:themeColor="text1"/>
                <w:lang w:val="es-ES"/>
              </w:rPr>
              <w:t xml:space="preserve">ntidad </w:t>
            </w:r>
            <w:r>
              <w:rPr>
                <w:rFonts w:ascii="Verdana" w:eastAsia="Arial" w:hAnsi="Verdana" w:cs="Arial"/>
                <w:bCs/>
                <w:color w:val="000000" w:themeColor="text1"/>
                <w:lang w:val="es-ES"/>
              </w:rPr>
              <w:t>Es</w:t>
            </w:r>
            <w:r w:rsidRPr="00FC6F34">
              <w:rPr>
                <w:rFonts w:ascii="Verdana" w:eastAsia="Arial" w:hAnsi="Verdana" w:cs="Arial"/>
                <w:bCs/>
                <w:color w:val="000000" w:themeColor="text1"/>
                <w:lang w:val="es-ES"/>
              </w:rPr>
              <w:t xml:space="preserve">tatal tenga funciones de </w:t>
            </w:r>
            <w:r w:rsidRPr="00FC6F34">
              <w:rPr>
                <w:rFonts w:ascii="Verdana" w:eastAsia="Arial" w:hAnsi="Verdana" w:cs="Arial"/>
                <w:bCs/>
                <w:i/>
                <w:iCs/>
                <w:color w:val="000000" w:themeColor="text1"/>
                <w:lang w:val="es-ES"/>
              </w:rPr>
              <w:t>autoridad sanitaria</w:t>
            </w:r>
            <w:r w:rsidRPr="00FC6F34">
              <w:rPr>
                <w:rFonts w:ascii="Verdana" w:eastAsia="Arial" w:hAnsi="Verdana" w:cs="Arial"/>
                <w:bCs/>
                <w:color w:val="000000" w:themeColor="text1"/>
                <w:lang w:val="es-ES"/>
              </w:rPr>
              <w:t xml:space="preserve">, pues lo relevante para determinar si la contratación está exceptuada de la prohibición general </w:t>
            </w:r>
            <w:r>
              <w:rPr>
                <w:rFonts w:ascii="Verdana" w:eastAsia="Arial" w:hAnsi="Verdana" w:cs="Arial"/>
                <w:bCs/>
                <w:color w:val="000000" w:themeColor="text1"/>
                <w:lang w:val="es-ES"/>
              </w:rPr>
              <w:t xml:space="preserve">es que </w:t>
            </w:r>
            <w:r w:rsidRPr="00FC6F34">
              <w:rPr>
                <w:rFonts w:ascii="Verdana" w:eastAsia="Arial" w:hAnsi="Verdana" w:cs="Arial"/>
                <w:bCs/>
                <w:color w:val="000000" w:themeColor="text1"/>
                <w:lang w:val="es-ES"/>
              </w:rPr>
              <w:t xml:space="preserve">se trate de una </w:t>
            </w:r>
            <w:r w:rsidRPr="00FC6F34">
              <w:rPr>
                <w:rFonts w:ascii="Verdana" w:eastAsia="Arial" w:hAnsi="Verdana" w:cs="Arial"/>
                <w:bCs/>
                <w:i/>
                <w:iCs/>
                <w:color w:val="000000" w:themeColor="text1"/>
                <w:lang w:val="es-ES"/>
              </w:rPr>
              <w:t>entidad sanitaria</w:t>
            </w:r>
            <w:r w:rsidRPr="00FC6F34">
              <w:rPr>
                <w:rFonts w:ascii="Verdana" w:eastAsia="Arial" w:hAnsi="Verdana" w:cs="Arial"/>
                <w:bCs/>
                <w:color w:val="000000" w:themeColor="text1"/>
                <w:lang w:val="es-ES"/>
              </w:rPr>
              <w:t xml:space="preserve">. </w:t>
            </w:r>
          </w:p>
          <w:p w14:paraId="20877ED2" w14:textId="5E577244" w:rsidR="00AD0B6E" w:rsidRDefault="00AD0B6E" w:rsidP="00892F25">
            <w:pPr>
              <w:spacing w:before="120" w:line="276" w:lineRule="auto"/>
              <w:ind w:firstLine="709"/>
              <w:jc w:val="both"/>
              <w:rPr>
                <w:rFonts w:ascii="Verdana" w:eastAsia="Arial" w:hAnsi="Verdana" w:cs="Arial"/>
                <w:bCs/>
                <w:color w:val="000000" w:themeColor="text1"/>
                <w:lang w:val="es-ES"/>
              </w:rPr>
            </w:pPr>
            <w:r w:rsidRPr="00FC6F34">
              <w:rPr>
                <w:rFonts w:ascii="Verdana" w:eastAsia="Arial" w:hAnsi="Verdana" w:cs="Arial"/>
                <w:bCs/>
                <w:color w:val="000000" w:themeColor="text1"/>
                <w:lang w:val="es-ES"/>
              </w:rPr>
              <w:t>Sobre lo anterior</w:t>
            </w:r>
            <w:r>
              <w:rPr>
                <w:rFonts w:ascii="Verdana" w:eastAsia="Arial" w:hAnsi="Verdana" w:cs="Arial"/>
                <w:bCs/>
                <w:color w:val="000000" w:themeColor="text1"/>
                <w:lang w:val="es-ES"/>
              </w:rPr>
              <w:t>,</w:t>
            </w:r>
            <w:r w:rsidRPr="00FC6F34">
              <w:rPr>
                <w:rFonts w:ascii="Verdana" w:eastAsia="Arial" w:hAnsi="Verdana" w:cs="Arial"/>
                <w:bCs/>
                <w:color w:val="000000" w:themeColor="text1"/>
                <w:lang w:val="es-ES"/>
              </w:rPr>
              <w:t xml:space="preserve"> el Consejo de Estado ha señalado que “las entidades que presten servicios tendientes a preservar la salud pública o humana deben ser consideradas como entidades sanitarias y en principio estarían exceptuadas de la prohibición de contratación directa”.</w:t>
            </w:r>
            <w:r w:rsidR="001C0996" w:rsidRPr="00FC6F34">
              <w:rPr>
                <w:rFonts w:ascii="Verdana" w:eastAsia="Arial" w:hAnsi="Verdana" w:cs="Arial"/>
                <w:bCs/>
                <w:color w:val="000000" w:themeColor="text1"/>
                <w:lang w:val="es-ES"/>
              </w:rPr>
              <w:t xml:space="preserve"> Sobre la excepción dirigida a las entidades hospitalarias de carácter público resaltó que “debe ser entendida solo en aquellos eventos en que ocurran emergencias sanitarias o de salubridad que requieran la atención o prestación inmediata y oportuna de los servicios de salud”, pues las excepciones buscan que la red hospitalaria no limite su actuación en la prestación del servicio de salud en eventos catastróficos o de urgencia que se presenten. En consecuencia, sostuvo que las excepciones no se extienden a “los contratos que habitual y ordinariamente celebran las entidades territoriales con las entidades hospitalarias, ya que dichos órganos deben planear y desarrollar su gestión contractual con suficiente antelación para que no sea cobijada por la prohibición de contratación que establece la ley de garantías”</w:t>
            </w:r>
            <w:r w:rsidR="001C0996" w:rsidRPr="00FC6F34">
              <w:rPr>
                <w:rStyle w:val="Refdenotaalpie"/>
                <w:rFonts w:ascii="Verdana" w:eastAsia="Arial" w:hAnsi="Verdana" w:cs="Arial"/>
                <w:bCs/>
                <w:color w:val="000000" w:themeColor="text1"/>
                <w:lang w:val="es-ES"/>
              </w:rPr>
              <w:footnoteReference w:id="2"/>
            </w:r>
            <w:r w:rsidR="001C0996" w:rsidRPr="00FC6F34">
              <w:rPr>
                <w:rFonts w:ascii="Verdana" w:eastAsia="Arial" w:hAnsi="Verdana" w:cs="Arial"/>
                <w:bCs/>
                <w:color w:val="000000" w:themeColor="text1"/>
                <w:lang w:val="es-ES"/>
              </w:rPr>
              <w:t>.</w:t>
            </w:r>
          </w:p>
          <w:p w14:paraId="09190A1F" w14:textId="2E28AAFE" w:rsidR="00AD0B6E" w:rsidRDefault="00AD0B6E" w:rsidP="00AD0B6E">
            <w:pPr>
              <w:spacing w:before="120" w:after="120" w:line="276" w:lineRule="auto"/>
              <w:ind w:firstLine="742"/>
              <w:jc w:val="both"/>
              <w:rPr>
                <w:rFonts w:ascii="Verdana" w:eastAsia="Arial" w:hAnsi="Verdana" w:cs="Arial"/>
                <w:bCs/>
                <w:color w:val="000000" w:themeColor="text1"/>
                <w:lang w:val="es-ES"/>
              </w:rPr>
            </w:pPr>
            <w:r>
              <w:rPr>
                <w:rFonts w:ascii="Verdana" w:eastAsia="Arial" w:hAnsi="Verdana" w:cs="Arial"/>
                <w:bCs/>
                <w:color w:val="000000" w:themeColor="text1"/>
                <w:lang w:val="es-ES"/>
              </w:rPr>
              <w:t xml:space="preserve">Conforme con lo expuesto, las entidades que requieran adelantar procesos de contratación directa durante el periodo de garantías electorales deberán analizar, primero, si se configuran los supuestos establecidos en </w:t>
            </w:r>
            <w:r w:rsidRPr="00D43D96">
              <w:rPr>
                <w:rFonts w:ascii="Verdana" w:eastAsia="Arial" w:hAnsi="Verdana" w:cs="Arial"/>
                <w:bCs/>
                <w:color w:val="000000" w:themeColor="text1"/>
                <w:lang w:val="es-ES"/>
              </w:rPr>
              <w:t xml:space="preserve">el artículo 33 </w:t>
            </w:r>
            <w:r>
              <w:rPr>
                <w:rFonts w:ascii="Verdana" w:eastAsia="Arial" w:hAnsi="Verdana" w:cs="Arial"/>
                <w:bCs/>
                <w:color w:val="000000" w:themeColor="text1"/>
                <w:lang w:val="es-ES"/>
              </w:rPr>
              <w:t xml:space="preserve">de la Ley 996 de 2005, es decir, si se trata de una entidad pública que pretenda adelantar un proceso no competitivo. Adicionalmente, será pertinente analizar si se configura alguna de las excepciones previstas en la norma. En este caso, será relevante determinar si </w:t>
            </w:r>
            <w:r w:rsidR="00AA561E">
              <w:rPr>
                <w:rFonts w:ascii="Verdana" w:eastAsia="Arial" w:hAnsi="Verdana" w:cs="Arial"/>
                <w:bCs/>
                <w:color w:val="000000" w:themeColor="text1"/>
                <w:lang w:val="es-ES"/>
              </w:rPr>
              <w:t>el contrat</w:t>
            </w:r>
            <w:r w:rsidR="003D739F">
              <w:rPr>
                <w:rFonts w:ascii="Verdana" w:eastAsia="Arial" w:hAnsi="Verdana" w:cs="Arial"/>
                <w:bCs/>
                <w:color w:val="000000" w:themeColor="text1"/>
                <w:lang w:val="es-ES"/>
              </w:rPr>
              <w:t>o</w:t>
            </w:r>
            <w:r w:rsidR="00AA561E">
              <w:rPr>
                <w:rFonts w:ascii="Verdana" w:eastAsia="Arial" w:hAnsi="Verdana" w:cs="Arial"/>
                <w:bCs/>
                <w:color w:val="000000" w:themeColor="text1"/>
                <w:lang w:val="es-ES"/>
              </w:rPr>
              <w:t xml:space="preserve"> celebrado para la ejecución del subsidio a la oferta </w:t>
            </w:r>
            <w:r>
              <w:rPr>
                <w:rFonts w:ascii="Verdana" w:eastAsia="Arial" w:hAnsi="Verdana" w:cs="Arial"/>
                <w:bCs/>
                <w:color w:val="000000" w:themeColor="text1"/>
                <w:lang w:val="es-ES"/>
              </w:rPr>
              <w:t>se realiza con ocasión a una “emergencia sanitaria” o si es llevada a cabo por “entidades sanitarias u hospitalarias”</w:t>
            </w:r>
            <w:r w:rsidR="003D739F">
              <w:rPr>
                <w:rFonts w:ascii="Verdana" w:eastAsia="Arial" w:hAnsi="Verdana" w:cs="Arial"/>
                <w:bCs/>
                <w:color w:val="000000" w:themeColor="text1"/>
                <w:lang w:val="es-ES"/>
              </w:rPr>
              <w:t>, en el marco establecido por la normativa y el Consejo de Estado</w:t>
            </w:r>
            <w:r>
              <w:rPr>
                <w:rFonts w:ascii="Verdana" w:eastAsia="Arial" w:hAnsi="Verdana" w:cs="Arial"/>
                <w:bCs/>
                <w:color w:val="000000" w:themeColor="text1"/>
                <w:lang w:val="es-ES"/>
              </w:rPr>
              <w:t xml:space="preserve">. De ser así, la </w:t>
            </w:r>
            <w:r>
              <w:rPr>
                <w:rFonts w:ascii="Verdana" w:eastAsia="Arial" w:hAnsi="Verdana" w:cs="Arial"/>
                <w:bCs/>
                <w:color w:val="000000" w:themeColor="text1"/>
                <w:lang w:val="es-ES"/>
              </w:rPr>
              <w:lastRenderedPageBreak/>
              <w:t>entidad podrá contratar directamente, a pesar de que haya iniciado el periodo de garantías electorales correspondiente al artículo 33 de la Ley 996 de 2005.</w:t>
            </w:r>
          </w:p>
          <w:p w14:paraId="51EB3677" w14:textId="77777777" w:rsidR="009C3042" w:rsidRPr="00436551" w:rsidRDefault="009C3042" w:rsidP="00892F25">
            <w:pPr>
              <w:tabs>
                <w:tab w:val="left" w:pos="426"/>
              </w:tabs>
              <w:spacing w:before="120" w:after="120" w:line="276" w:lineRule="auto"/>
              <w:ind w:firstLine="735"/>
              <w:jc w:val="both"/>
              <w:rPr>
                <w:rFonts w:ascii="Verdana" w:eastAsia="Verdana" w:hAnsi="Verdana" w:cs="Verdana"/>
                <w:lang w:val="es-ES"/>
              </w:rPr>
            </w:pPr>
            <w:r w:rsidRPr="00436551">
              <w:rPr>
                <w:rFonts w:ascii="Verdana" w:eastAsia="Verdana" w:hAnsi="Verdana" w:cs="Verdana"/>
                <w:lang w:val="es-ES"/>
              </w:rPr>
              <w:t>Por otra parte</w:t>
            </w:r>
            <w:r>
              <w:rPr>
                <w:rFonts w:ascii="Verdana" w:eastAsia="Verdana" w:hAnsi="Verdana" w:cs="Verdana"/>
                <w:lang w:val="es-ES"/>
              </w:rPr>
              <w:t>,</w:t>
            </w:r>
            <w:r w:rsidRPr="00436551">
              <w:rPr>
                <w:rFonts w:ascii="Verdana" w:eastAsia="Verdana" w:hAnsi="Verdana" w:cs="Verdana"/>
                <w:lang w:val="es-ES"/>
              </w:rPr>
              <w:t xml:space="preserve"> la prohibición establecida en el parágrafo del artículo 38 de la Ley de Garantías Electorales será aplicable a los negocios jurídicos suscritos para la ejecución del subsidio a la oferta a los que se refiere el artículo 2.4.2.7.</w:t>
            </w:r>
            <w:r>
              <w:rPr>
                <w:rFonts w:ascii="Verdana" w:eastAsia="Verdana" w:hAnsi="Verdana" w:cs="Verdana"/>
                <w:lang w:val="es-ES"/>
              </w:rPr>
              <w:t xml:space="preserve"> </w:t>
            </w:r>
            <w:r w:rsidRPr="00436551">
              <w:rPr>
                <w:rFonts w:ascii="Verdana" w:eastAsia="Verdana" w:hAnsi="Verdana" w:cs="Verdana"/>
                <w:lang w:val="es-ES"/>
              </w:rPr>
              <w:t xml:space="preserve">del Decreto 268 de 2020 cuando: </w:t>
            </w:r>
          </w:p>
          <w:p w14:paraId="47954487" w14:textId="77777777" w:rsidR="009C3042" w:rsidRPr="00436551" w:rsidRDefault="009C3042" w:rsidP="00994F78">
            <w:pPr>
              <w:tabs>
                <w:tab w:val="left" w:pos="426"/>
              </w:tabs>
              <w:spacing w:before="120" w:after="120" w:line="276" w:lineRule="auto"/>
              <w:ind w:firstLine="709"/>
              <w:jc w:val="both"/>
              <w:rPr>
                <w:rFonts w:ascii="Verdana" w:eastAsia="Verdana" w:hAnsi="Verdana" w:cs="Verdana"/>
                <w:lang w:val="es-ES"/>
              </w:rPr>
            </w:pPr>
            <w:r w:rsidRPr="00436551">
              <w:rPr>
                <w:rFonts w:ascii="Verdana" w:eastAsia="Verdana" w:hAnsi="Verdana" w:cs="Verdana"/>
                <w:lang w:val="es-ES"/>
              </w:rPr>
              <w:t xml:space="preserve">1) </w:t>
            </w:r>
            <w:r w:rsidRPr="00436551">
              <w:rPr>
                <w:rFonts w:ascii="Verdana" w:hAnsi="Verdana" w:cs="Arial"/>
                <w:bCs/>
                <w:lang w:val="es-ES" w:eastAsia="es-CO"/>
              </w:rPr>
              <w:t>Una o ambas partes de la relación sea una entidad de aquellas descritas en el parágrafo, es decir</w:t>
            </w:r>
            <w:r>
              <w:rPr>
                <w:rFonts w:ascii="Verdana" w:hAnsi="Verdana" w:cs="Arial"/>
                <w:bCs/>
                <w:lang w:val="es-ES" w:eastAsia="es-CO"/>
              </w:rPr>
              <w:t>,</w:t>
            </w:r>
            <w:r w:rsidRPr="00436551">
              <w:rPr>
                <w:rFonts w:ascii="Verdana" w:hAnsi="Verdana" w:cs="Arial"/>
                <w:bCs/>
                <w:lang w:val="es-ES" w:eastAsia="es-CO"/>
              </w:rPr>
              <w:t xml:space="preserve"> se trate de: alcaldes, gobernadores, secretarios, gerentes y directores de las entidades del orden municipal, departamental o distrital.</w:t>
            </w:r>
          </w:p>
          <w:p w14:paraId="4472CBF4" w14:textId="77777777" w:rsidR="009C3042" w:rsidRPr="00436551" w:rsidRDefault="009C3042" w:rsidP="00994F78">
            <w:pPr>
              <w:tabs>
                <w:tab w:val="left" w:pos="426"/>
              </w:tabs>
              <w:spacing w:before="120" w:after="120" w:line="276" w:lineRule="auto"/>
              <w:ind w:firstLine="709"/>
              <w:jc w:val="both"/>
              <w:rPr>
                <w:rFonts w:ascii="Verdana" w:hAnsi="Verdana" w:cs="Arial"/>
                <w:lang w:val="es-ES"/>
              </w:rPr>
            </w:pPr>
            <w:r w:rsidRPr="00436551">
              <w:rPr>
                <w:rFonts w:ascii="Verdana" w:eastAsia="Verdana" w:hAnsi="Verdana" w:cs="Verdana"/>
                <w:lang w:val="es-ES"/>
              </w:rPr>
              <w:t xml:space="preserve">2) El negocio jurídico tenga la naturaleza jurídica de un </w:t>
            </w:r>
            <w:r w:rsidRPr="00436551">
              <w:rPr>
                <w:rFonts w:ascii="Verdana" w:eastAsia="Verdana" w:hAnsi="Verdana" w:cs="Verdana"/>
                <w:i/>
                <w:iCs/>
                <w:lang w:val="es-ES"/>
              </w:rPr>
              <w:t>convenio interadministrativo</w:t>
            </w:r>
            <w:r w:rsidRPr="00436551">
              <w:rPr>
                <w:rFonts w:ascii="Verdana" w:eastAsia="Verdana" w:hAnsi="Verdana" w:cs="Verdana"/>
                <w:lang w:val="es-ES"/>
              </w:rPr>
              <w:t xml:space="preserve">, es decir, cumpla con el criterio orgánico según el cual </w:t>
            </w:r>
            <w:r w:rsidRPr="00436551">
              <w:rPr>
                <w:rFonts w:ascii="Verdana" w:hAnsi="Verdana" w:cs="Arial"/>
                <w:lang w:val="es-ES"/>
              </w:rPr>
              <w:t>es necesario que los extremos de la relación contractual sean entidades</w:t>
            </w:r>
            <w:r w:rsidRPr="00436551">
              <w:rPr>
                <w:rFonts w:ascii="Verdana" w:hAnsi="Verdana" w:cs="Arial"/>
                <w:spacing w:val="-6"/>
                <w:lang w:val="es-ES"/>
              </w:rPr>
              <w:t xml:space="preserve"> </w:t>
            </w:r>
            <w:r w:rsidRPr="00436551">
              <w:rPr>
                <w:rFonts w:ascii="Verdana" w:hAnsi="Verdana" w:cs="Arial"/>
                <w:lang w:val="es-ES"/>
              </w:rPr>
              <w:t xml:space="preserve">estatales. Sobre este punto se resalta que la prohibición se refiere de forma expresa a los convenios interadministrativos y no a los contratos. </w:t>
            </w:r>
          </w:p>
          <w:p w14:paraId="0307327A" w14:textId="77777777" w:rsidR="009C3042" w:rsidRPr="00436551" w:rsidRDefault="009C3042" w:rsidP="00994F78">
            <w:pPr>
              <w:tabs>
                <w:tab w:val="left" w:pos="426"/>
              </w:tabs>
              <w:spacing w:before="120" w:after="120" w:line="276" w:lineRule="auto"/>
              <w:ind w:firstLine="709"/>
              <w:jc w:val="both"/>
              <w:rPr>
                <w:rFonts w:ascii="Verdana" w:eastAsia="Verdana" w:hAnsi="Verdana" w:cs="Verdana"/>
                <w:lang w:val="es-ES"/>
              </w:rPr>
            </w:pPr>
            <w:r w:rsidRPr="00436551">
              <w:rPr>
                <w:rFonts w:ascii="Verdana" w:hAnsi="Verdana" w:cs="Arial"/>
                <w:lang w:val="es-ES"/>
              </w:rPr>
              <w:t>3) Se trate de un convenio interadministrativo suscrito para la ejecución de recursos públicos.</w:t>
            </w:r>
          </w:p>
          <w:p w14:paraId="462815D6" w14:textId="77777777" w:rsidR="009C3042" w:rsidRPr="00436551" w:rsidRDefault="009C3042" w:rsidP="00994F78">
            <w:pPr>
              <w:shd w:val="clear" w:color="auto" w:fill="FFFFFF"/>
              <w:spacing w:before="120" w:after="120" w:line="276" w:lineRule="auto"/>
              <w:ind w:firstLine="709"/>
              <w:jc w:val="both"/>
              <w:rPr>
                <w:rFonts w:ascii="Verdana" w:eastAsia="Calibri" w:hAnsi="Verdana" w:cs="Arial"/>
                <w:lang w:val="es-ES"/>
              </w:rPr>
            </w:pPr>
            <w:r w:rsidRPr="00436551">
              <w:rPr>
                <w:rFonts w:ascii="Verdana" w:eastAsia="Calibri" w:hAnsi="Verdana" w:cs="Arial"/>
                <w:lang w:val="es-ES"/>
              </w:rPr>
              <w:t xml:space="preserve">Cuando se cumplan estos supuestos, la celebración de dichos convenios estará prohibida en </w:t>
            </w:r>
            <w:r w:rsidRPr="00436551">
              <w:rPr>
                <w:rFonts w:ascii="Verdana" w:eastAsia="Arial" w:hAnsi="Verdana" w:cs="Arial"/>
                <w:lang w:val="es-ES" w:eastAsia="es-ES" w:bidi="es-ES"/>
              </w:rPr>
              <w:t>los cuatro (4) meses anteriores a cualquier elección</w:t>
            </w:r>
            <w:r>
              <w:rPr>
                <w:rFonts w:ascii="Verdana" w:eastAsia="Arial" w:hAnsi="Verdana" w:cs="Arial"/>
                <w:lang w:val="es-ES" w:eastAsia="es-ES" w:bidi="es-ES"/>
              </w:rPr>
              <w:t xml:space="preserve">, por lo cual resulta aplicable desde el </w:t>
            </w:r>
            <w:r w:rsidRPr="00B6632A">
              <w:rPr>
                <w:rFonts w:ascii="Verdana" w:eastAsia="Arial" w:hAnsi="Verdana" w:cs="Arial"/>
                <w:lang w:val="es-ES" w:eastAsia="es-ES" w:bidi="es-ES"/>
              </w:rPr>
              <w:t>8 de noviembre de 2025</w:t>
            </w:r>
            <w:r>
              <w:rPr>
                <w:rFonts w:ascii="Verdana" w:eastAsia="Arial" w:hAnsi="Verdana" w:cs="Arial"/>
                <w:lang w:val="es-ES" w:eastAsia="es-ES" w:bidi="es-ES"/>
              </w:rPr>
              <w:t>, teniendo en cuenta que las elecciones para el Congreso de la República se realizaron el 8 de marzo de 2026</w:t>
            </w:r>
            <w:r w:rsidRPr="00436551">
              <w:rPr>
                <w:rFonts w:ascii="Verdana" w:eastAsia="Arial" w:hAnsi="Verdana" w:cs="Arial"/>
                <w:lang w:val="es-ES" w:eastAsia="es-ES" w:bidi="es-ES"/>
              </w:rPr>
              <w:t>.</w:t>
            </w:r>
          </w:p>
          <w:p w14:paraId="0ADA9055" w14:textId="77777777" w:rsidR="009C3042" w:rsidRPr="00436551" w:rsidRDefault="009C3042" w:rsidP="00994F78">
            <w:pPr>
              <w:shd w:val="clear" w:color="auto" w:fill="FFFFFF"/>
              <w:spacing w:before="120" w:after="120" w:line="276" w:lineRule="auto"/>
              <w:ind w:firstLine="709"/>
              <w:jc w:val="both"/>
              <w:rPr>
                <w:rFonts w:ascii="Verdana" w:hAnsi="Verdana" w:cs="Arial"/>
                <w:lang w:val="es-ES" w:eastAsia="es-CO"/>
              </w:rPr>
            </w:pPr>
            <w:r w:rsidRPr="00436551">
              <w:rPr>
                <w:rFonts w:ascii="Verdana" w:eastAsia="Calibri" w:hAnsi="Verdana" w:cs="Arial"/>
                <w:lang w:val="es-ES"/>
              </w:rPr>
              <w:t>En cualquier caso, corresponde a cada entidad estatal realizar el análisis para determinar si aplica o no una determinada excepción a la prohibición del artículo 33 de la Ley de Garantías Electorales, según la situación fáctica y jurídica particular del caso concreto, para lo cual las consideraciones expuestas en el presente concepto constituyen un instrumento orientador.</w:t>
            </w:r>
            <w:r w:rsidRPr="00436551">
              <w:rPr>
                <w:rFonts w:ascii="Verdana" w:hAnsi="Verdana" w:cs="Arial"/>
                <w:lang w:val="es-ES" w:eastAsia="es-CO"/>
              </w:rPr>
              <w:t xml:space="preserve"> Igualmente, las entidades podrán considerar la posibilidad de adelantar modalidades distintas a la contratación directa o implementar tipologías distintas a los convenios interadministrativos, es decir, aquellas que no se encuentren restringidas por el artículo 33 o el parágrafo del artículo 38 de la Ley 996 de 2005.</w:t>
            </w:r>
          </w:p>
          <w:p w14:paraId="7DDFD256" w14:textId="77777777" w:rsidR="009C3042" w:rsidRPr="002B7F5C" w:rsidRDefault="009C3042" w:rsidP="00994F78">
            <w:pPr>
              <w:spacing w:before="120" w:after="120" w:line="276" w:lineRule="auto"/>
              <w:ind w:firstLine="708"/>
              <w:jc w:val="both"/>
              <w:rPr>
                <w:rFonts w:ascii="Verdana" w:eastAsia="Times New Roman" w:hAnsi="Verdana" w:cs="Arial"/>
                <w:color w:val="000000" w:themeColor="text1"/>
                <w:lang w:val="es-ES" w:eastAsia="es-ES"/>
              </w:rPr>
            </w:pPr>
            <w:r w:rsidRPr="00436551">
              <w:rPr>
                <w:rFonts w:ascii="Verdana" w:eastAsia="Arial" w:hAnsi="Verdana" w:cs="Arial"/>
                <w:color w:val="000000" w:themeColor="text1"/>
                <w:lang w:val="es-ES"/>
              </w:rPr>
              <w:lastRenderedPageBreak/>
              <w:t xml:space="preserve">Finalmente, es importante advertir que </w:t>
            </w:r>
            <w:r w:rsidRPr="00436551">
              <w:rPr>
                <w:rFonts w:ascii="Verdana" w:eastAsia="Times New Roman" w:hAnsi="Verdana" w:cs="Arial"/>
                <w:lang w:val="es-ES"/>
              </w:rPr>
              <w:t xml:space="preserve">compete a las entidades que consideran celebrar un contrato o convenio específico definir si este se enmarca en alguna de las prohibiciones de la Ley de Garantías Electorales. </w:t>
            </w:r>
            <w:r w:rsidRPr="00436551">
              <w:rPr>
                <w:rFonts w:ascii="Verdana" w:eastAsia="Times New Roman" w:hAnsi="Verdana" w:cs="Arial"/>
                <w:color w:val="000000" w:themeColor="text1"/>
                <w:lang w:val="es-ES" w:eastAsia="es-ES"/>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establecerá la forma de adelantar su gestión contractual, sin que sea atribución de la Agencia Nacional de Contratación Pública - Colombia Compra Eficiente validarla. </w:t>
            </w:r>
          </w:p>
        </w:tc>
      </w:tr>
    </w:tbl>
    <w:p w14:paraId="086E093C" w14:textId="77777777" w:rsidR="009C3042" w:rsidRPr="00436551" w:rsidRDefault="009C3042" w:rsidP="009C3042">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006505C9" w14:textId="77777777" w:rsidR="009C3042" w:rsidRPr="00436551" w:rsidRDefault="009C3042" w:rsidP="009C3042">
      <w:pPr>
        <w:pStyle w:val="Prrafodelista"/>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436551">
        <w:rPr>
          <w:rFonts w:ascii="Verdana" w:eastAsia="Century Gothic" w:hAnsi="Verdana" w:cs="Century Gothic"/>
          <w:b/>
          <w:color w:val="000000" w:themeColor="text1"/>
        </w:rPr>
        <w:t>Razones de la respuesta:</w:t>
      </w:r>
    </w:p>
    <w:p w14:paraId="3E9BB255" w14:textId="77777777" w:rsidR="009C3042" w:rsidRPr="00436551" w:rsidRDefault="009C3042" w:rsidP="009C3042">
      <w:pPr>
        <w:spacing w:after="0" w:line="276" w:lineRule="auto"/>
        <w:jc w:val="both"/>
        <w:rPr>
          <w:rFonts w:ascii="Verdana" w:eastAsia="Calibri" w:hAnsi="Verdana" w:cs="Arial"/>
          <w:color w:val="000000" w:themeColor="text1"/>
          <w:lang w:val="es-ES"/>
        </w:rPr>
      </w:pPr>
    </w:p>
    <w:p w14:paraId="76153733" w14:textId="77777777" w:rsidR="009C3042" w:rsidRPr="00436551" w:rsidRDefault="009C3042" w:rsidP="009C3042">
      <w:pPr>
        <w:tabs>
          <w:tab w:val="left" w:pos="426"/>
        </w:tabs>
        <w:spacing w:after="120" w:line="276" w:lineRule="auto"/>
        <w:jc w:val="both"/>
        <w:rPr>
          <w:rFonts w:ascii="Verdana" w:eastAsia="Times New Roman" w:hAnsi="Verdana" w:cs="Arial"/>
          <w:lang w:val="es-ES" w:eastAsia="es-CO"/>
        </w:rPr>
      </w:pPr>
      <w:bookmarkStart w:id="1" w:name="_Hlk102983874"/>
      <w:bookmarkStart w:id="2" w:name="_Hlk102388095"/>
      <w:r w:rsidRPr="00397870">
        <w:rPr>
          <w:rFonts w:ascii="Verdana" w:eastAsia="Verdana" w:hAnsi="Verdana" w:cs="Verdana"/>
          <w:lang w:val="es-ES"/>
        </w:rPr>
        <w:t>i)</w:t>
      </w:r>
      <w:r w:rsidRPr="00436551">
        <w:rPr>
          <w:rFonts w:ascii="Verdana" w:eastAsia="Verdana" w:hAnsi="Verdana" w:cs="Verdana"/>
          <w:lang w:val="es-ES"/>
        </w:rPr>
        <w:t xml:space="preserve"> </w:t>
      </w:r>
      <w:r w:rsidRPr="00436551">
        <w:rPr>
          <w:rFonts w:ascii="Verdana" w:eastAsia="Calibri" w:hAnsi="Verdana" w:cs="Arial"/>
          <w:lang w:val="es-ES"/>
        </w:rPr>
        <w:t>El ordenamiento jurídico colombiano contempla diversas medidas orientadas a evitar la obtención de beneficios personales en asuntos propios de la administración pública</w:t>
      </w:r>
      <w:r w:rsidRPr="00436551">
        <w:rPr>
          <w:rFonts w:ascii="Verdana" w:eastAsia="Calibri" w:hAnsi="Verdana" w:cs="Arial"/>
          <w:i/>
          <w:lang w:val="es-ES"/>
        </w:rPr>
        <w:t xml:space="preserve">. </w:t>
      </w:r>
      <w:r w:rsidRPr="00436551">
        <w:rPr>
          <w:rFonts w:ascii="Verdana" w:eastAsia="Calibri" w:hAnsi="Verdana" w:cs="Arial"/>
          <w:lang w:val="es-ES"/>
        </w:rPr>
        <w:t>Por ejemplo, el artículo 127 de la Constitución Política establece una prohibición contractual a los servidores públicos y, en cuanto a aspectos políticos, señala restricciones a ciertos empleados del Estado, incluso en época no electoral</w:t>
      </w:r>
      <w:r w:rsidRPr="00436551">
        <w:rPr>
          <w:rFonts w:ascii="Verdana" w:hAnsi="Verdana"/>
          <w:vertAlign w:val="superscript"/>
          <w:lang w:val="es-ES"/>
        </w:rPr>
        <w:footnoteReference w:id="3"/>
      </w:r>
      <w:r w:rsidRPr="00436551">
        <w:rPr>
          <w:rFonts w:ascii="Verdana" w:eastAsia="Calibri" w:hAnsi="Verdana" w:cs="Arial"/>
          <w:lang w:val="es-ES"/>
        </w:rPr>
        <w:t xml:space="preserve">, con el fin de preservar la imparcialidad y la integridad. </w:t>
      </w:r>
    </w:p>
    <w:p w14:paraId="26F3A354" w14:textId="77777777" w:rsidR="009C3042" w:rsidRPr="00436551" w:rsidRDefault="009C3042" w:rsidP="009C3042">
      <w:pPr>
        <w:tabs>
          <w:tab w:val="left" w:pos="426"/>
        </w:tabs>
        <w:spacing w:after="120" w:line="276" w:lineRule="auto"/>
        <w:ind w:firstLine="709"/>
        <w:jc w:val="both"/>
        <w:rPr>
          <w:rFonts w:ascii="Verdana" w:eastAsia="Calibri" w:hAnsi="Verdana" w:cs="Arial"/>
          <w:lang w:val="es-ES"/>
        </w:rPr>
      </w:pPr>
      <w:r w:rsidRPr="00436551">
        <w:rPr>
          <w:rFonts w:ascii="Verdana" w:eastAsia="Times New Roman" w:hAnsi="Verdana" w:cs="Arial"/>
          <w:lang w:val="es-ES" w:eastAsia="es-CO"/>
        </w:rPr>
        <w:t>En concordancia con tales disposiciones constitucionales,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de falta de garantías en la elección presidencial</w:t>
      </w:r>
      <w:r w:rsidRPr="00436551">
        <w:rPr>
          <w:rFonts w:ascii="Verdana" w:eastAsia="Times New Roman" w:hAnsi="Verdana" w:cs="Arial"/>
          <w:vertAlign w:val="superscript"/>
          <w:lang w:val="es-ES" w:eastAsia="es-CO"/>
        </w:rPr>
        <w:footnoteReference w:id="4"/>
      </w:r>
      <w:r w:rsidRPr="00436551">
        <w:rPr>
          <w:rFonts w:ascii="Verdana" w:eastAsia="Times New Roman" w:hAnsi="Verdana" w:cs="Arial"/>
          <w:lang w:val="es-ES" w:eastAsia="es-CO"/>
        </w:rPr>
        <w:t xml:space="preserve">. En esta medida, introduce limitaciones para realizar </w:t>
      </w:r>
      <w:r w:rsidRPr="00436551">
        <w:rPr>
          <w:rFonts w:ascii="Verdana" w:eastAsia="Times New Roman" w:hAnsi="Verdana" w:cs="Arial"/>
          <w:lang w:val="es-ES" w:eastAsia="es-CO"/>
        </w:rPr>
        <w:lastRenderedPageBreak/>
        <w:t>nombramientos, postulaciones, contrataciones o cualquier otro tipo de actividad que implique destinación de recursos públicos bajo el devenir propio de las Entidades Estatales.</w:t>
      </w:r>
      <w:r w:rsidRPr="00436551">
        <w:rPr>
          <w:rFonts w:ascii="Verdana" w:eastAsia="Calibri" w:hAnsi="Verdana" w:cs="Arial"/>
          <w:lang w:val="es-ES"/>
        </w:rPr>
        <w:t xml:space="preserve"> </w:t>
      </w:r>
    </w:p>
    <w:p w14:paraId="6BCD9478" w14:textId="77777777" w:rsidR="009C3042" w:rsidRPr="00436551" w:rsidRDefault="009C3042" w:rsidP="009C3042">
      <w:pPr>
        <w:tabs>
          <w:tab w:val="left" w:pos="426"/>
        </w:tabs>
        <w:spacing w:after="0" w:line="276" w:lineRule="auto"/>
        <w:ind w:firstLine="709"/>
        <w:jc w:val="both"/>
        <w:rPr>
          <w:rFonts w:ascii="Verdana" w:eastAsia="Calibri" w:hAnsi="Verdana" w:cs="Arial"/>
          <w:lang w:val="es-ES"/>
        </w:rPr>
      </w:pPr>
      <w:r w:rsidRPr="00436551">
        <w:rPr>
          <w:rFonts w:ascii="Verdana" w:eastAsia="Times New Roman" w:hAnsi="Verdana" w:cs="Arial"/>
          <w:lang w:val="es-ES" w:eastAsia="es-CO"/>
        </w:rPr>
        <w:t>En armonía con lo anterior, la Corte Constitucional ha abordado la definición de la Ley de Garantías Electorales. De esta manera, explica que tiene como propósito:</w:t>
      </w:r>
    </w:p>
    <w:p w14:paraId="48C5C052" w14:textId="77777777" w:rsidR="009C3042" w:rsidRPr="00436551" w:rsidRDefault="009C3042" w:rsidP="009C3042">
      <w:pPr>
        <w:spacing w:after="0" w:line="276" w:lineRule="auto"/>
        <w:ind w:right="709"/>
        <w:jc w:val="both"/>
        <w:rPr>
          <w:rFonts w:ascii="Verdana" w:eastAsia="Times New Roman" w:hAnsi="Verdana" w:cs="Arial"/>
          <w:lang w:val="es-ES" w:eastAsia="es-CO"/>
        </w:rPr>
      </w:pPr>
    </w:p>
    <w:p w14:paraId="656FE606" w14:textId="77777777" w:rsidR="009C3042" w:rsidRDefault="009C3042" w:rsidP="009C3042">
      <w:pPr>
        <w:spacing w:after="0" w:line="240" w:lineRule="auto"/>
        <w:ind w:left="709" w:right="709"/>
        <w:contextualSpacing/>
        <w:jc w:val="both"/>
        <w:rPr>
          <w:rFonts w:ascii="Verdana" w:eastAsia="Times New Roman" w:hAnsi="Verdana" w:cs="Arial"/>
          <w:sz w:val="20"/>
          <w:szCs w:val="20"/>
          <w:lang w:val="es-ES" w:eastAsia="es-CO"/>
        </w:rPr>
      </w:pPr>
      <w:r w:rsidRPr="00436551">
        <w:rPr>
          <w:rFonts w:ascii="Verdana" w:eastAsia="Times New Roman" w:hAnsi="Verdana" w:cs="Arial"/>
          <w:sz w:val="20"/>
          <w:szCs w:val="20"/>
          <w:lang w:val="es-ES" w:eastAsia="es-CO"/>
        </w:rPr>
        <w:t>“[…] la definición de reglas claras que permitan acceder a los canales de expresión democrática de manera efectiva e igualitaria. El objetivo de una ley de garantías es definir esas reglas.</w:t>
      </w:r>
    </w:p>
    <w:p w14:paraId="10D86506" w14:textId="77777777" w:rsidR="009C3042" w:rsidRPr="00436551" w:rsidRDefault="009C3042" w:rsidP="009C3042">
      <w:pPr>
        <w:spacing w:after="0" w:line="240" w:lineRule="auto"/>
        <w:ind w:left="709" w:right="709"/>
        <w:contextualSpacing/>
        <w:jc w:val="both"/>
        <w:rPr>
          <w:rFonts w:ascii="Verdana" w:eastAsia="Times New Roman" w:hAnsi="Verdana" w:cs="Arial"/>
          <w:sz w:val="20"/>
          <w:szCs w:val="20"/>
          <w:lang w:val="es-ES" w:eastAsia="es-CO"/>
        </w:rPr>
      </w:pPr>
    </w:p>
    <w:p w14:paraId="58A85FC9" w14:textId="77777777" w:rsidR="009C3042" w:rsidRDefault="009C3042" w:rsidP="009C3042">
      <w:pPr>
        <w:spacing w:after="0" w:line="240" w:lineRule="auto"/>
        <w:ind w:left="709" w:right="709"/>
        <w:contextualSpacing/>
        <w:jc w:val="both"/>
        <w:rPr>
          <w:rFonts w:ascii="Verdana" w:eastAsia="Times New Roman" w:hAnsi="Verdana" w:cs="Arial"/>
          <w:sz w:val="20"/>
          <w:szCs w:val="20"/>
          <w:lang w:val="es-ES" w:eastAsia="es-CO"/>
        </w:rPr>
      </w:pPr>
      <w:r w:rsidRPr="00436551">
        <w:rPr>
          <w:rFonts w:ascii="Verdana" w:eastAsia="Times New Roman" w:hAnsi="Verdana" w:cs="Arial"/>
          <w:sz w:val="20"/>
          <w:szCs w:val="20"/>
          <w:lang w:val="es-ES" w:eastAsia="es-CO"/>
        </w:rPr>
        <w:t xml:space="preserve">[…] </w:t>
      </w:r>
    </w:p>
    <w:p w14:paraId="4E6F7C3C" w14:textId="77777777" w:rsidR="009C3042" w:rsidRPr="00436551" w:rsidRDefault="009C3042" w:rsidP="009C3042">
      <w:pPr>
        <w:spacing w:after="0" w:line="240" w:lineRule="auto"/>
        <w:ind w:left="709" w:right="709"/>
        <w:contextualSpacing/>
        <w:jc w:val="both"/>
        <w:rPr>
          <w:rFonts w:ascii="Verdana" w:eastAsia="Times New Roman" w:hAnsi="Verdana" w:cs="Arial"/>
          <w:sz w:val="20"/>
          <w:szCs w:val="20"/>
          <w:lang w:val="es-ES" w:eastAsia="es-CO"/>
        </w:rPr>
      </w:pPr>
    </w:p>
    <w:p w14:paraId="25FDD7F3" w14:textId="77777777" w:rsidR="009C3042" w:rsidRPr="00436551" w:rsidRDefault="009C3042" w:rsidP="009C3042">
      <w:pPr>
        <w:spacing w:after="0" w:line="240" w:lineRule="auto"/>
        <w:ind w:left="709" w:right="709"/>
        <w:contextualSpacing/>
        <w:jc w:val="both"/>
        <w:rPr>
          <w:rFonts w:ascii="Verdana" w:eastAsia="Times New Roman" w:hAnsi="Verdana" w:cs="Arial"/>
          <w:sz w:val="20"/>
          <w:szCs w:val="20"/>
          <w:lang w:val="es-ES" w:eastAsia="es-CO"/>
        </w:rPr>
      </w:pPr>
      <w:r w:rsidRPr="00436551">
        <w:rPr>
          <w:rFonts w:ascii="Verdana" w:eastAsia="Times New Roman" w:hAnsi="Verdana" w:cs="Arial"/>
          <w:sz w:val="20"/>
          <w:szCs w:val="20"/>
          <w:lang w:val="es-ES"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436551">
        <w:rPr>
          <w:rFonts w:ascii="Verdana" w:eastAsia="Calibri" w:hAnsi="Verdana" w:cs="Arial"/>
          <w:sz w:val="20"/>
          <w:szCs w:val="20"/>
          <w:vertAlign w:val="superscript"/>
          <w:lang w:val="es-ES"/>
        </w:rPr>
        <w:footnoteReference w:id="5"/>
      </w:r>
    </w:p>
    <w:p w14:paraId="16524A10" w14:textId="77777777" w:rsidR="009C3042" w:rsidRPr="00436551" w:rsidRDefault="009C3042" w:rsidP="009C3042">
      <w:pPr>
        <w:spacing w:after="0" w:line="276" w:lineRule="auto"/>
        <w:ind w:firstLine="709"/>
        <w:jc w:val="both"/>
        <w:rPr>
          <w:rFonts w:ascii="Verdana" w:eastAsia="Times New Roman" w:hAnsi="Verdana" w:cs="Arial"/>
          <w:lang w:val="es-ES" w:eastAsia="es-CO"/>
        </w:rPr>
      </w:pPr>
    </w:p>
    <w:p w14:paraId="6DF017E9" w14:textId="77777777" w:rsidR="009C3042" w:rsidRPr="00436551" w:rsidRDefault="009C3042" w:rsidP="009C3042">
      <w:pPr>
        <w:spacing w:after="120" w:line="276" w:lineRule="auto"/>
        <w:ind w:firstLine="709"/>
        <w:jc w:val="both"/>
        <w:rPr>
          <w:rFonts w:ascii="Verdana" w:eastAsia="Times New Roman" w:hAnsi="Verdana" w:cs="Arial"/>
          <w:lang w:val="es-ES" w:eastAsia="es-CO"/>
        </w:rPr>
      </w:pPr>
      <w:r w:rsidRPr="00436551">
        <w:rPr>
          <w:rFonts w:ascii="Verdana" w:eastAsia="Times New Roman" w:hAnsi="Verdana" w:cs="Arial"/>
          <w:lang w:val="es-ES" w:eastAsia="es-CO"/>
        </w:rPr>
        <w:t xml:space="preserve">En este contexto, la Ley de Garantías Electorales establece el marco jurídico para el desarrollo de las elecciones, procurando condiciones de igualdad y transparencia para los aspirantes. Paralelamente, incluye restricciones en las actuaciones de los servidores públicos, con el fin de evitar interferencias indebidas en la contienda electoral, así como la posible desviación o utilización irregular de recursos públicos en aspiraciones electorales. </w:t>
      </w:r>
    </w:p>
    <w:p w14:paraId="2ED22627" w14:textId="77777777" w:rsidR="009C3042" w:rsidRPr="00436551" w:rsidRDefault="009C3042" w:rsidP="009C3042">
      <w:pPr>
        <w:spacing w:after="0" w:line="276" w:lineRule="auto"/>
        <w:ind w:firstLine="709"/>
        <w:jc w:val="both"/>
        <w:rPr>
          <w:rFonts w:ascii="Verdana" w:eastAsia="Times New Roman" w:hAnsi="Verdana" w:cs="Arial"/>
          <w:lang w:val="es-ES" w:eastAsia="es-CO"/>
        </w:rPr>
      </w:pPr>
      <w:r w:rsidRPr="00436551">
        <w:rPr>
          <w:rFonts w:ascii="Verdana" w:eastAsia="Times New Roman" w:hAnsi="Verdana" w:cs="Arial"/>
          <w:lang w:val="es-ES" w:eastAsia="es-CO"/>
        </w:rPr>
        <w:t>Dado que varias disposiciones de la Ley 996 de 2005 contiene normas prohibitivas, deben interpretarse restrictivamente. En efecto, la Sala de Consulta y Servicio Civil del Consejo de Estado, precisó:</w:t>
      </w:r>
    </w:p>
    <w:p w14:paraId="4F0E7E35" w14:textId="77777777" w:rsidR="009C3042" w:rsidRPr="00436551" w:rsidRDefault="009C3042" w:rsidP="009C3042">
      <w:pPr>
        <w:spacing w:after="0" w:line="276" w:lineRule="auto"/>
        <w:ind w:firstLine="709"/>
        <w:jc w:val="both"/>
        <w:rPr>
          <w:rFonts w:ascii="Verdana" w:eastAsia="Times New Roman" w:hAnsi="Verdana" w:cs="Arial"/>
          <w:lang w:val="es-ES" w:eastAsia="es-CO"/>
        </w:rPr>
      </w:pPr>
    </w:p>
    <w:p w14:paraId="7A0CA180" w14:textId="77777777" w:rsidR="009C3042" w:rsidRPr="00436551" w:rsidRDefault="009C3042" w:rsidP="009C3042">
      <w:pPr>
        <w:spacing w:after="0" w:line="240" w:lineRule="auto"/>
        <w:ind w:left="709" w:right="709"/>
        <w:jc w:val="both"/>
        <w:rPr>
          <w:rFonts w:ascii="Verdana" w:eastAsia="Times New Roman" w:hAnsi="Verdana" w:cs="Arial"/>
          <w:sz w:val="20"/>
          <w:szCs w:val="20"/>
          <w:lang w:val="es-ES" w:eastAsia="es-CO"/>
        </w:rPr>
      </w:pPr>
      <w:r w:rsidRPr="00436551">
        <w:rPr>
          <w:rFonts w:ascii="Verdana" w:eastAsia="Times New Roman" w:hAnsi="Verdana" w:cs="Arial"/>
          <w:sz w:val="20"/>
          <w:szCs w:val="20"/>
          <w:lang w:val="es-ES"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436551">
        <w:rPr>
          <w:rFonts w:ascii="Verdana" w:eastAsia="Times New Roman" w:hAnsi="Verdana" w:cs="Arial"/>
          <w:sz w:val="20"/>
          <w:szCs w:val="20"/>
          <w:lang w:val="es-ES" w:eastAsia="es-CO"/>
        </w:rPr>
        <w:lastRenderedPageBreak/>
        <w:t>legis</w:t>
      </w:r>
      <w:proofErr w:type="spellEnd"/>
      <w:r w:rsidRPr="00436551">
        <w:rPr>
          <w:rFonts w:ascii="Verdana" w:eastAsia="Times New Roman" w:hAnsi="Verdana" w:cs="Arial"/>
          <w:sz w:val="20"/>
          <w:szCs w:val="20"/>
          <w:lang w:val="es-ES"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519C9B11" w14:textId="77777777" w:rsidR="009C3042" w:rsidRPr="00436551" w:rsidRDefault="009C3042" w:rsidP="009C3042">
      <w:pPr>
        <w:spacing w:after="0" w:line="240" w:lineRule="auto"/>
        <w:ind w:right="709"/>
        <w:jc w:val="both"/>
        <w:rPr>
          <w:rFonts w:ascii="Verdana" w:eastAsia="Times New Roman" w:hAnsi="Verdana" w:cs="Arial"/>
          <w:lang w:val="es-ES" w:eastAsia="es-CO"/>
        </w:rPr>
      </w:pPr>
    </w:p>
    <w:p w14:paraId="7FF5C6D8" w14:textId="77777777" w:rsidR="009C3042" w:rsidRPr="00436551" w:rsidRDefault="009C3042" w:rsidP="009C3042">
      <w:pPr>
        <w:spacing w:after="0" w:line="240" w:lineRule="auto"/>
        <w:ind w:left="709" w:right="709"/>
        <w:jc w:val="both"/>
        <w:rPr>
          <w:rFonts w:ascii="Verdana" w:eastAsia="Times New Roman" w:hAnsi="Verdana" w:cs="Arial"/>
          <w:sz w:val="20"/>
          <w:szCs w:val="20"/>
          <w:lang w:val="es-ES" w:eastAsia="es-CO"/>
        </w:rPr>
      </w:pPr>
      <w:r w:rsidRPr="00436551">
        <w:rPr>
          <w:rFonts w:ascii="Verdana" w:eastAsia="Times New Roman" w:hAnsi="Verdana" w:cs="Arial"/>
          <w:sz w:val="20"/>
          <w:szCs w:val="20"/>
          <w:lang w:val="es-ES" w:eastAsia="es-CO"/>
        </w:rPr>
        <w:t>La jurisprudencia de la Corte Constitucional</w:t>
      </w:r>
      <w:r w:rsidRPr="00436551">
        <w:rPr>
          <w:rFonts w:ascii="Verdana" w:eastAsia="Times New Roman" w:hAnsi="Verdana" w:cs="Arial"/>
          <w:sz w:val="20"/>
          <w:szCs w:val="20"/>
          <w:vertAlign w:val="superscript"/>
          <w:lang w:val="es-ES" w:eastAsia="es-CO"/>
        </w:rPr>
        <w:footnoteReference w:id="6"/>
      </w:r>
      <w:r w:rsidRPr="00436551">
        <w:rPr>
          <w:rFonts w:ascii="Verdana" w:eastAsia="Times New Roman" w:hAnsi="Verdana" w:cs="Arial"/>
          <w:sz w:val="20"/>
          <w:szCs w:val="20"/>
          <w:lang w:val="es-ES" w:eastAsia="es-CO"/>
        </w:rPr>
        <w:t> y del Consejo de Estado</w:t>
      </w:r>
      <w:r w:rsidRPr="00436551">
        <w:rPr>
          <w:rFonts w:ascii="Verdana" w:eastAsia="Times New Roman" w:hAnsi="Verdana" w:cs="Arial"/>
          <w:sz w:val="20"/>
          <w:szCs w:val="20"/>
          <w:vertAlign w:val="superscript"/>
          <w:lang w:val="es-ES" w:eastAsia="es-CO"/>
        </w:rPr>
        <w:footnoteReference w:id="7"/>
      </w:r>
      <w:r w:rsidRPr="00436551">
        <w:rPr>
          <w:rFonts w:ascii="Verdana" w:eastAsia="Times New Roman" w:hAnsi="Verdana" w:cs="Arial"/>
          <w:sz w:val="20"/>
          <w:szCs w:val="20"/>
          <w:lang w:val="es-ES"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436551">
        <w:rPr>
          <w:rFonts w:ascii="Verdana" w:eastAsia="Times New Roman" w:hAnsi="Verdana" w:cs="Arial"/>
          <w:sz w:val="20"/>
          <w:szCs w:val="20"/>
          <w:vertAlign w:val="superscript"/>
          <w:lang w:val="es-ES" w:eastAsia="es-CO"/>
        </w:rPr>
        <w:footnoteReference w:id="8"/>
      </w:r>
      <w:r w:rsidRPr="00436551">
        <w:rPr>
          <w:rFonts w:ascii="Verdana" w:eastAsia="Times New Roman" w:hAnsi="Verdana" w:cs="Arial"/>
          <w:sz w:val="20"/>
          <w:szCs w:val="20"/>
          <w:lang w:val="es-ES" w:eastAsia="es-CO"/>
        </w:rPr>
        <w:t>.</w:t>
      </w:r>
    </w:p>
    <w:p w14:paraId="12DA4D59" w14:textId="77777777" w:rsidR="009C3042" w:rsidRPr="00436551" w:rsidRDefault="009C3042" w:rsidP="009C3042">
      <w:pPr>
        <w:spacing w:after="0" w:line="276" w:lineRule="auto"/>
        <w:jc w:val="both"/>
        <w:rPr>
          <w:rFonts w:ascii="Verdana" w:eastAsia="Calibri" w:hAnsi="Verdana" w:cs="Arial"/>
          <w:bCs/>
          <w:lang w:val="es-ES"/>
        </w:rPr>
      </w:pPr>
    </w:p>
    <w:p w14:paraId="5BD612FE" w14:textId="77777777" w:rsidR="009C3042" w:rsidRPr="00436551" w:rsidRDefault="009C3042" w:rsidP="009C3042">
      <w:pPr>
        <w:spacing w:after="0" w:line="276" w:lineRule="auto"/>
        <w:ind w:firstLine="709"/>
        <w:jc w:val="both"/>
        <w:rPr>
          <w:rFonts w:ascii="Verdana" w:eastAsia="Arial" w:hAnsi="Verdana" w:cs="Arial"/>
          <w:lang w:val="es-ES" w:eastAsia="es-ES" w:bidi="es-ES"/>
        </w:rPr>
      </w:pPr>
      <w:r w:rsidRPr="00436551">
        <w:rPr>
          <w:rFonts w:ascii="Verdana" w:eastAsia="Times New Roman" w:hAnsi="Verdana" w:cs="Arial"/>
          <w:lang w:val="es-ES" w:eastAsia="es-CO"/>
        </w:rPr>
        <w:t>De</w:t>
      </w:r>
      <w:r w:rsidRPr="00436551">
        <w:rPr>
          <w:rFonts w:ascii="Verdana" w:eastAsia="Arial" w:hAnsi="Verdana" w:cs="Arial"/>
          <w:lang w:val="es-ES" w:eastAsia="es-ES" w:bidi="es-ES"/>
        </w:rPr>
        <w:t xml:space="preserve"> conformidad con lo anterior, la Ley de Garantías Electorales estableció una serie de regulaciones y prohibiciones dirigidas a los servidores públicos, entre las que se destacan las restricciones aplicables en materia de contratación pública. Esto con la finalidad de preservar la igualdad entre los candidatos en las elecciones, aumentó las garantías en materia de contratación, de forma que no exista siquiera sospecha de que, por ese medio, en los periodos previos a la contienda electoral, se alteren las condiciones de igualdad entre los candidatos. Teniendo en cuenta el contenido de la consulta y de conformidad con las competencias que le asisten a esta Agencia, a continuación, se realizará el análisis de las prohibiciones dirigidas a la contratación estatal.  </w:t>
      </w:r>
    </w:p>
    <w:p w14:paraId="3EA374F0" w14:textId="77777777" w:rsidR="009C3042" w:rsidRPr="00436551" w:rsidRDefault="009C3042" w:rsidP="009C3042">
      <w:pPr>
        <w:spacing w:after="0" w:line="276" w:lineRule="auto"/>
        <w:ind w:firstLine="709"/>
        <w:jc w:val="both"/>
        <w:rPr>
          <w:rFonts w:ascii="Verdana" w:eastAsia="Arial" w:hAnsi="Verdana" w:cs="Arial"/>
          <w:lang w:val="es-ES" w:eastAsia="es-ES" w:bidi="es-ES"/>
        </w:rPr>
      </w:pPr>
    </w:p>
    <w:p w14:paraId="1FC9ECC9" w14:textId="77777777" w:rsidR="009C3042" w:rsidRPr="00436551" w:rsidRDefault="009C3042" w:rsidP="009C3042">
      <w:pPr>
        <w:spacing w:after="120" w:line="276" w:lineRule="auto"/>
        <w:jc w:val="both"/>
        <w:rPr>
          <w:rFonts w:ascii="Verdana" w:eastAsia="Arial" w:hAnsi="Verdana" w:cs="Arial"/>
          <w:lang w:val="es-ES" w:eastAsia="es-ES" w:bidi="es-ES"/>
        </w:rPr>
      </w:pPr>
      <w:proofErr w:type="spellStart"/>
      <w:r w:rsidRPr="002569AF">
        <w:rPr>
          <w:rFonts w:ascii="Verdana" w:eastAsia="Arial" w:hAnsi="Verdana" w:cs="Arial"/>
          <w:b/>
          <w:bCs/>
          <w:lang w:val="es-ES" w:eastAsia="es-ES" w:bidi="es-ES"/>
        </w:rPr>
        <w:t>ii</w:t>
      </w:r>
      <w:proofErr w:type="spellEnd"/>
      <w:r w:rsidRPr="002569AF">
        <w:rPr>
          <w:rFonts w:ascii="Verdana" w:eastAsia="Arial" w:hAnsi="Verdana" w:cs="Arial"/>
          <w:b/>
          <w:bCs/>
          <w:lang w:val="es-ES" w:eastAsia="es-ES" w:bidi="es-ES"/>
        </w:rPr>
        <w:t>)</w:t>
      </w:r>
      <w:r w:rsidRPr="00436551">
        <w:rPr>
          <w:rFonts w:ascii="Verdana" w:eastAsia="Arial" w:hAnsi="Verdana" w:cs="Arial"/>
          <w:lang w:val="es-ES" w:eastAsia="es-ES" w:bidi="es-ES"/>
        </w:rPr>
        <w:t xml:space="preserve"> Las restricciones consagradas en la Ley de Garantías en materia de contratación pública se dirigen a dos (2) tipos de campañas electorales </w:t>
      </w:r>
      <w:r w:rsidRPr="00436551">
        <w:rPr>
          <w:rFonts w:ascii="Verdana" w:eastAsia="Arial" w:hAnsi="Verdana" w:cs="Arial"/>
          <w:lang w:val="es-ES" w:eastAsia="es-ES" w:bidi="es-ES"/>
        </w:rPr>
        <w:lastRenderedPageBreak/>
        <w:t>diferenciadas: las presidenciales y las que se adelanten para la elección de los demás cargos de elección popular, tanto a nivel nacional como territorial.</w:t>
      </w:r>
    </w:p>
    <w:p w14:paraId="208DAD71" w14:textId="77777777" w:rsidR="009C3042" w:rsidRPr="00436551" w:rsidRDefault="009C3042" w:rsidP="009C3042">
      <w:pPr>
        <w:spacing w:after="120" w:line="276" w:lineRule="auto"/>
        <w:ind w:firstLine="708"/>
        <w:jc w:val="both"/>
        <w:rPr>
          <w:rFonts w:ascii="Verdana" w:eastAsia="Calibri" w:hAnsi="Verdana" w:cs="Arial"/>
          <w:lang w:val="es-ES"/>
        </w:rPr>
      </w:pPr>
      <w:r w:rsidRPr="00436551">
        <w:rPr>
          <w:rFonts w:ascii="Verdana" w:eastAsia="Calibri" w:hAnsi="Verdana" w:cs="Arial"/>
          <w:lang w:val="es-ES"/>
        </w:rPr>
        <w:t xml:space="preserve">Por un lado, el </w:t>
      </w:r>
      <w:r w:rsidRPr="00436551">
        <w:rPr>
          <w:rFonts w:ascii="Verdana" w:eastAsia="Calibri" w:hAnsi="Verdana" w:cs="Arial"/>
          <w:i/>
          <w:iCs/>
          <w:lang w:val="es-ES"/>
        </w:rPr>
        <w:t xml:space="preserve">artículo 33 </w:t>
      </w:r>
      <w:r w:rsidRPr="00436551">
        <w:rPr>
          <w:rFonts w:ascii="Verdana" w:eastAsia="Calibri" w:hAnsi="Verdana" w:cs="Arial"/>
          <w:lang w:val="es-ES"/>
        </w:rPr>
        <w:t xml:space="preserve">de la Ley 996 de 2005 prohíbe “[…] la contratación directa por parte de </w:t>
      </w:r>
      <w:r w:rsidRPr="00436551">
        <w:rPr>
          <w:rFonts w:ascii="Verdana" w:eastAsia="Calibri" w:hAnsi="Verdana" w:cs="Arial"/>
          <w:i/>
          <w:iCs/>
          <w:lang w:val="es-ES"/>
        </w:rPr>
        <w:t>todos los entes del Estado</w:t>
      </w:r>
      <w:r w:rsidRPr="00436551">
        <w:rPr>
          <w:rFonts w:ascii="Verdana" w:eastAsia="Calibri" w:hAnsi="Verdana" w:cs="Arial"/>
          <w:lang w:val="es-ES"/>
        </w:rPr>
        <w:t>”,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436551">
        <w:rPr>
          <w:rFonts w:ascii="Verdana" w:eastAsia="Calibri" w:hAnsi="Verdana" w:cs="Arial"/>
          <w:vertAlign w:val="superscript"/>
          <w:lang w:val="es-ES"/>
        </w:rPr>
        <w:footnoteReference w:id="9"/>
      </w:r>
      <w:r w:rsidRPr="00436551">
        <w:rPr>
          <w:rFonts w:ascii="Verdana" w:eastAsia="Calibri" w:hAnsi="Verdana" w:cs="Arial"/>
          <w:lang w:val="es-ES"/>
        </w:rPr>
        <w:t>.</w:t>
      </w:r>
    </w:p>
    <w:p w14:paraId="76439A65" w14:textId="77777777" w:rsidR="009C3042" w:rsidRPr="00436551" w:rsidRDefault="009C3042" w:rsidP="009C3042">
      <w:pPr>
        <w:widowControl w:val="0"/>
        <w:autoSpaceDE w:val="0"/>
        <w:autoSpaceDN w:val="0"/>
        <w:spacing w:after="120" w:line="276" w:lineRule="auto"/>
        <w:ind w:firstLine="709"/>
        <w:jc w:val="both"/>
        <w:rPr>
          <w:rFonts w:ascii="Verdana" w:eastAsia="Arial" w:hAnsi="Verdana" w:cs="Arial"/>
          <w:lang w:val="es-ES" w:eastAsia="es-ES" w:bidi="es-ES"/>
        </w:rPr>
      </w:pPr>
      <w:r w:rsidRPr="00436551">
        <w:rPr>
          <w:rFonts w:ascii="Verdana" w:eastAsia="Calibri" w:hAnsi="Verdana" w:cs="Arial"/>
          <w:lang w:val="es-ES"/>
        </w:rPr>
        <w:t xml:space="preserve">Por otro lado, </w:t>
      </w:r>
      <w:r w:rsidRPr="00436551">
        <w:rPr>
          <w:rFonts w:ascii="Verdana" w:eastAsia="Calibri" w:hAnsi="Verdana" w:cs="Arial"/>
          <w:i/>
          <w:iCs/>
          <w:lang w:val="es-ES"/>
        </w:rPr>
        <w:t xml:space="preserve">el parágrafo del artículo 38 </w:t>
      </w:r>
      <w:r w:rsidRPr="00436551">
        <w:rPr>
          <w:rFonts w:ascii="Verdana" w:eastAsia="Calibri" w:hAnsi="Verdana" w:cs="Arial"/>
          <w:lang w:val="es-ES"/>
        </w:rPr>
        <w:t xml:space="preserve">de la Ley 996 de 2005 prevé una restricción, aplicable respecto de </w:t>
      </w:r>
      <w:r w:rsidRPr="00436551">
        <w:rPr>
          <w:rFonts w:ascii="Verdana" w:eastAsia="Calibri" w:hAnsi="Verdana" w:cs="Arial"/>
          <w:i/>
          <w:iCs/>
          <w:lang w:val="es-ES"/>
        </w:rPr>
        <w:t>cualquier tipo de contienda electoral</w:t>
      </w:r>
      <w:r w:rsidRPr="00436551">
        <w:rPr>
          <w:rFonts w:ascii="Verdana" w:eastAsia="Calibri" w:hAnsi="Verdana" w:cs="Arial"/>
          <w:lang w:val="es-ES"/>
        </w:rPr>
        <w:t xml:space="preserve">, que prohíbe a los gobernadores, alcaldes municipales o distritales, secretarios, gerentes y directores de entidades descentralizadas del orden municipal, departamental o distrital “[…] celebrar </w:t>
      </w:r>
      <w:r w:rsidRPr="00436551">
        <w:rPr>
          <w:rFonts w:ascii="Verdana" w:eastAsia="Calibri" w:hAnsi="Verdana" w:cs="Arial"/>
          <w:i/>
          <w:iCs/>
          <w:lang w:val="es-ES"/>
        </w:rPr>
        <w:t>convenios interadministrativos</w:t>
      </w:r>
      <w:r w:rsidRPr="00436551">
        <w:rPr>
          <w:rFonts w:ascii="Verdana" w:eastAsia="Calibri" w:hAnsi="Verdana" w:cs="Arial"/>
          <w:lang w:val="es-ES"/>
        </w:rPr>
        <w:t xml:space="preserve"> para la ejecución de recursos públicos, ni participar, promover y destinar recursos públicos de las entidades a su cargo, como tampoco de las que participen como miembros de sus juntas directivas, en o para reuniones de carácter proselitista”</w:t>
      </w:r>
      <w:r w:rsidRPr="00436551">
        <w:rPr>
          <w:rFonts w:ascii="Verdana" w:eastAsia="Calibri" w:hAnsi="Verdana" w:cs="Arial"/>
          <w:vertAlign w:val="superscript"/>
          <w:lang w:val="es-ES"/>
        </w:rPr>
        <w:footnoteReference w:id="10"/>
      </w:r>
      <w:r w:rsidRPr="00436551">
        <w:rPr>
          <w:rFonts w:ascii="Verdana" w:eastAsia="Calibri" w:hAnsi="Verdana" w:cs="Arial"/>
          <w:lang w:val="es-ES"/>
        </w:rPr>
        <w:t>.</w:t>
      </w:r>
      <w:r w:rsidRPr="00436551">
        <w:rPr>
          <w:rFonts w:ascii="Verdana" w:eastAsia="Arial" w:hAnsi="Verdana" w:cs="Arial"/>
          <w:lang w:val="es-ES" w:eastAsia="es-ES" w:bidi="es-ES"/>
        </w:rPr>
        <w:t xml:space="preserve"> </w:t>
      </w:r>
    </w:p>
    <w:p w14:paraId="1A87066F" w14:textId="77777777" w:rsidR="009C3042" w:rsidRPr="00436551" w:rsidRDefault="009C3042" w:rsidP="009C3042">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sidRPr="00436551">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ha señalado:</w:t>
      </w:r>
    </w:p>
    <w:p w14:paraId="490E9FF9" w14:textId="77777777" w:rsidR="009C3042" w:rsidRPr="00436551" w:rsidRDefault="009C3042" w:rsidP="009C3042">
      <w:pPr>
        <w:widowControl w:val="0"/>
        <w:autoSpaceDE w:val="0"/>
        <w:autoSpaceDN w:val="0"/>
        <w:spacing w:after="0" w:line="240" w:lineRule="auto"/>
        <w:ind w:left="805" w:right="812"/>
        <w:contextualSpacing/>
        <w:jc w:val="both"/>
        <w:rPr>
          <w:rFonts w:ascii="Verdana" w:eastAsia="Arial" w:hAnsi="Verdana" w:cs="Arial"/>
          <w:lang w:val="es-ES" w:eastAsia="es-ES" w:bidi="es-ES"/>
        </w:rPr>
      </w:pPr>
    </w:p>
    <w:p w14:paraId="511BF084" w14:textId="77777777" w:rsidR="009C3042" w:rsidRPr="00436551" w:rsidRDefault="009C3042" w:rsidP="009C3042">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sidRPr="00436551">
        <w:rPr>
          <w:rFonts w:ascii="Verdana" w:eastAsia="Arial" w:hAnsi="Verdana" w:cs="Arial"/>
          <w:sz w:val="20"/>
          <w:szCs w:val="20"/>
          <w:lang w:val="es-ES" w:eastAsia="es-ES" w:bidi="es-ES"/>
        </w:rPr>
        <w:t xml:space="preserve">“La interpretación sistemática de las disposiciones consagradas en los artículos 32, 33 y el parágrafo del artículo 38 de la ley 996 de 2.005 lleva </w:t>
      </w:r>
      <w:r w:rsidRPr="00436551">
        <w:rPr>
          <w:rFonts w:ascii="Verdana" w:eastAsia="Arial" w:hAnsi="Verdana" w:cs="Arial"/>
          <w:sz w:val="20"/>
          <w:szCs w:val="20"/>
          <w:lang w:val="es-ES" w:eastAsia="es-ES" w:bidi="es-ES"/>
        </w:rPr>
        <w:lastRenderedPageBreak/>
        <w:t xml:space="preserve">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w:t>
      </w:r>
      <w:proofErr w:type="gramStart"/>
      <w:r w:rsidRPr="00436551">
        <w:rPr>
          <w:rFonts w:ascii="Verdana" w:eastAsia="Arial" w:hAnsi="Verdana" w:cs="Arial"/>
          <w:sz w:val="20"/>
          <w:szCs w:val="20"/>
          <w:lang w:val="es-ES" w:eastAsia="es-ES" w:bidi="es-ES"/>
        </w:rPr>
        <w:t>Presidente</w:t>
      </w:r>
      <w:proofErr w:type="gramEnd"/>
      <w:r w:rsidRPr="00436551">
        <w:rPr>
          <w:rFonts w:ascii="Verdana" w:eastAsia="Arial" w:hAnsi="Verdana" w:cs="Arial"/>
          <w:sz w:val="20"/>
          <w:szCs w:val="20"/>
          <w:lang w:val="es-ES" w:eastAsia="es-ES" w:bidi="es-ES"/>
        </w:rPr>
        <w:t xml:space="preserve"> de la República, a las autoridades territoriales allí mencionadas sólo se aplican las restricciones contenidas en el parágrafo del artículo 38”.</w:t>
      </w:r>
      <w:r w:rsidRPr="00436551">
        <w:rPr>
          <w:rFonts w:ascii="Verdana" w:eastAsia="Arial" w:hAnsi="Verdana" w:cs="Arial"/>
          <w:sz w:val="20"/>
          <w:szCs w:val="20"/>
          <w:vertAlign w:val="superscript"/>
          <w:lang w:val="es-ES" w:eastAsia="es-ES" w:bidi="es-ES"/>
        </w:rPr>
        <w:footnoteReference w:id="11"/>
      </w:r>
    </w:p>
    <w:p w14:paraId="37E6E8B9" w14:textId="77777777" w:rsidR="009C3042" w:rsidRPr="00436551" w:rsidRDefault="009C3042" w:rsidP="009C3042">
      <w:pPr>
        <w:widowControl w:val="0"/>
        <w:autoSpaceDE w:val="0"/>
        <w:autoSpaceDN w:val="0"/>
        <w:spacing w:after="0" w:line="276" w:lineRule="auto"/>
        <w:contextualSpacing/>
        <w:rPr>
          <w:rFonts w:ascii="Verdana" w:eastAsia="Arial" w:hAnsi="Verdana" w:cs="Arial"/>
          <w:lang w:val="es-ES" w:eastAsia="es-ES" w:bidi="es-ES"/>
        </w:rPr>
      </w:pPr>
    </w:p>
    <w:p w14:paraId="307AC2D8" w14:textId="77777777" w:rsidR="009C3042" w:rsidRPr="00436551" w:rsidRDefault="009C3042" w:rsidP="009C3042">
      <w:pPr>
        <w:spacing w:after="120" w:line="276" w:lineRule="auto"/>
        <w:ind w:firstLine="709"/>
        <w:jc w:val="both"/>
        <w:rPr>
          <w:rFonts w:ascii="Verdana" w:eastAsia="Arial" w:hAnsi="Verdana" w:cs="Arial"/>
          <w:lang w:val="es-ES" w:eastAsia="es-ES" w:bidi="es-ES"/>
        </w:rPr>
      </w:pPr>
      <w:r w:rsidRPr="00436551">
        <w:rPr>
          <w:rFonts w:ascii="Verdana" w:eastAsia="Arial" w:hAnsi="Verdana" w:cs="Arial"/>
          <w:lang w:val="es-ES" w:eastAsia="es-ES" w:bidi="es-ES"/>
        </w:rPr>
        <w:t xml:space="preserve">De conformidad con lo anterior, la Ley 996 de 2005 establece dos (2) tipos de restricciones en materia de contratación, las cuales, aunque </w:t>
      </w:r>
      <w:proofErr w:type="gramStart"/>
      <w:r w:rsidRPr="00436551">
        <w:rPr>
          <w:rFonts w:ascii="Verdana" w:eastAsia="Arial" w:hAnsi="Verdana" w:cs="Arial"/>
          <w:lang w:val="es-ES" w:eastAsia="es-ES" w:bidi="es-ES"/>
        </w:rPr>
        <w:t>distintas,  coinciden</w:t>
      </w:r>
      <w:proofErr w:type="gramEnd"/>
      <w:r w:rsidRPr="00436551">
        <w:rPr>
          <w:rFonts w:ascii="Verdana" w:eastAsia="Arial" w:hAnsi="Verdana" w:cs="Arial"/>
          <w:lang w:val="es-ES" w:eastAsia="es-ES" w:bidi="es-ES"/>
        </w:rPr>
        <w:t xml:space="preserve"> parcialmente. </w:t>
      </w:r>
      <w:r w:rsidRPr="00436551">
        <w:rPr>
          <w:rFonts w:ascii="Verdana" w:eastAsia="Arial" w:hAnsi="Verdana" w:cs="Arial"/>
          <w:i/>
          <w:lang w:val="es-ES" w:eastAsia="es-ES" w:bidi="es-ES"/>
        </w:rPr>
        <w:t>En primer lugar</w:t>
      </w:r>
      <w:r w:rsidRPr="00436551">
        <w:rPr>
          <w:rFonts w:ascii="Verdana" w:eastAsia="Arial" w:hAnsi="Verdana" w:cs="Arial"/>
          <w:lang w:val="es-ES" w:eastAsia="es-ES" w:bidi="es-ES"/>
        </w:rPr>
        <w:t xml:space="preserve">, la del artículo 33 que aplica solo respecto de las elecciones presidenciales, en virtud de la cual queda proscrita la </w:t>
      </w:r>
      <w:r w:rsidRPr="00436551">
        <w:rPr>
          <w:rFonts w:ascii="Verdana" w:eastAsia="Arial" w:hAnsi="Verdana" w:cs="Arial"/>
          <w:i/>
          <w:iCs/>
          <w:lang w:val="es-ES" w:eastAsia="es-ES" w:bidi="es-ES"/>
        </w:rPr>
        <w:t>contratación directa</w:t>
      </w:r>
      <w:r w:rsidRPr="00436551">
        <w:rPr>
          <w:rFonts w:ascii="Verdana" w:eastAsia="Arial" w:hAnsi="Verdana" w:cs="Arial"/>
          <w:lang w:val="es-ES" w:eastAsia="es-ES" w:bidi="es-ES"/>
        </w:rPr>
        <w:t xml:space="preserve">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p>
    <w:p w14:paraId="7091B6CD" w14:textId="77777777" w:rsidR="009C3042" w:rsidRPr="00436551" w:rsidRDefault="009C3042" w:rsidP="009C3042">
      <w:pPr>
        <w:spacing w:after="120" w:line="276" w:lineRule="auto"/>
        <w:ind w:firstLine="709"/>
        <w:jc w:val="both"/>
        <w:rPr>
          <w:rFonts w:ascii="Verdana" w:eastAsia="Arial" w:hAnsi="Verdana" w:cs="Arial"/>
          <w:lang w:val="es-ES" w:eastAsia="es-ES" w:bidi="es-ES"/>
        </w:rPr>
      </w:pPr>
      <w:r w:rsidRPr="00436551">
        <w:rPr>
          <w:rFonts w:ascii="Verdana" w:eastAsia="Arial" w:hAnsi="Verdana" w:cs="Arial"/>
          <w:i/>
          <w:lang w:val="es-ES" w:eastAsia="es-ES" w:bidi="es-ES"/>
        </w:rPr>
        <w:t>En segundo lugar</w:t>
      </w:r>
      <w:r w:rsidRPr="00436551">
        <w:rPr>
          <w:rFonts w:ascii="Verdana" w:eastAsia="Arial" w:hAnsi="Verdana" w:cs="Arial"/>
          <w:lang w:val="es-ES" w:eastAsia="es-ES" w:bidi="es-ES"/>
        </w:rPr>
        <w:t xml:space="preserve">, también se encuentra la prohibición del parágrafo del artículo 38, el cual debe aplicarse respecto de cualquier tipo de contienda electoral, y que prohíbe la celebración de </w:t>
      </w:r>
      <w:r w:rsidRPr="00436551">
        <w:rPr>
          <w:rFonts w:ascii="Verdana" w:eastAsia="Arial" w:hAnsi="Verdana" w:cs="Arial"/>
          <w:i/>
          <w:iCs/>
          <w:lang w:val="es-ES" w:eastAsia="es-ES" w:bidi="es-ES"/>
        </w:rPr>
        <w:t>convenios interadministrativos</w:t>
      </w:r>
      <w:r w:rsidRPr="00436551">
        <w:rPr>
          <w:rFonts w:ascii="Verdana" w:eastAsia="Arial" w:hAnsi="Verdana" w:cs="Arial"/>
          <w:lang w:val="es-ES" w:eastAsia="es-ES" w:bidi="es-ES"/>
        </w:rPr>
        <w:t xml:space="preserve"> que impliquen la ejecución de recursos públicos dentro de los cuatro (4) meses anteriores a la respectiva jornada de votaciones.</w:t>
      </w:r>
    </w:p>
    <w:p w14:paraId="211ECA9D" w14:textId="77777777" w:rsidR="009C3042" w:rsidRPr="00436551" w:rsidRDefault="009C3042" w:rsidP="009C3042">
      <w:pPr>
        <w:spacing w:after="0" w:line="276" w:lineRule="auto"/>
        <w:ind w:firstLine="709"/>
        <w:jc w:val="both"/>
        <w:rPr>
          <w:rFonts w:ascii="Verdana" w:eastAsia="Arial" w:hAnsi="Verdana" w:cs="Arial"/>
          <w:lang w:val="es-ES" w:eastAsia="es-ES" w:bidi="es-ES"/>
        </w:rPr>
      </w:pPr>
      <w:r w:rsidRPr="00436551">
        <w:rPr>
          <w:rFonts w:ascii="Verdana" w:eastAsia="Arial" w:hAnsi="Verdana" w:cs="Arial"/>
          <w:lang w:val="es-ES" w:eastAsia="es-ES" w:bidi="es-ES"/>
        </w:rPr>
        <w:t xml:space="preserve">Ambas restricciones no son excluyentes, lo que permite concluir que, en el período preelectoral para elección de </w:t>
      </w:r>
      <w:proofErr w:type="gramStart"/>
      <w:r w:rsidRPr="00436551">
        <w:rPr>
          <w:rFonts w:ascii="Verdana" w:eastAsia="Arial" w:hAnsi="Verdana" w:cs="Arial"/>
          <w:lang w:val="es-ES" w:eastAsia="es-ES" w:bidi="es-ES"/>
        </w:rPr>
        <w:t>Presidente</w:t>
      </w:r>
      <w:proofErr w:type="gramEnd"/>
      <w:r w:rsidRPr="00436551">
        <w:rPr>
          <w:rFonts w:ascii="Verdana" w:eastAsia="Arial" w:hAnsi="Verdana" w:cs="Arial"/>
          <w:lang w:val="es-ES" w:eastAsia="es-ES" w:bidi="es-ES"/>
        </w:rPr>
        <w:t xml:space="preserve"> de la República, aplican las restricciones del artículo 33 con sus excepciones, así como las del parágrafo del artículo 38, a todos los entes del Estado. En cambio, tratándose de elecciones </w:t>
      </w:r>
      <w:r w:rsidRPr="00436551">
        <w:rPr>
          <w:rFonts w:ascii="Verdana" w:eastAsia="Arial" w:hAnsi="Verdana" w:cs="Arial"/>
          <w:lang w:val="es-ES" w:eastAsia="es-ES" w:bidi="es-ES"/>
        </w:rPr>
        <w:lastRenderedPageBreak/>
        <w:t xml:space="preserve">en general, excluyendo las correspondientes al </w:t>
      </w:r>
      <w:proofErr w:type="gramStart"/>
      <w:r w:rsidRPr="00436551">
        <w:rPr>
          <w:rFonts w:ascii="Verdana" w:eastAsia="Arial" w:hAnsi="Verdana" w:cs="Arial"/>
          <w:lang w:val="es-ES" w:eastAsia="es-ES" w:bidi="es-ES"/>
        </w:rPr>
        <w:t>Presidente</w:t>
      </w:r>
      <w:proofErr w:type="gramEnd"/>
      <w:r w:rsidRPr="00436551">
        <w:rPr>
          <w:rFonts w:ascii="Verdana" w:eastAsia="Arial" w:hAnsi="Verdana" w:cs="Arial"/>
          <w:lang w:val="es-ES" w:eastAsia="es-ES" w:bidi="es-ES"/>
        </w:rPr>
        <w:t xml:space="preserve"> de la República, las autoridades allí mencionadas, esto es </w:t>
      </w:r>
      <w:r w:rsidRPr="00436551">
        <w:rPr>
          <w:rFonts w:ascii="Verdana" w:eastAsia="Calibri" w:hAnsi="Verdana" w:cs="Arial"/>
          <w:lang w:val="es-ES"/>
        </w:rPr>
        <w:t>gobernadores, alcaldes municipales o distritales, secretarios, gerentes y directores de entidades descentralizadas del orden municipal, departamental o distrital</w:t>
      </w:r>
      <w:r w:rsidRPr="00436551">
        <w:rPr>
          <w:rFonts w:ascii="Verdana" w:eastAsia="Arial" w:hAnsi="Verdana" w:cs="Arial"/>
          <w:lang w:val="es-ES" w:eastAsia="es-ES" w:bidi="es-ES"/>
        </w:rPr>
        <w:t>, sólo deben aplicar las restricciones contenidas en el parágrafo del artículo 38.</w:t>
      </w:r>
    </w:p>
    <w:p w14:paraId="354FB17E" w14:textId="77777777" w:rsidR="009C3042" w:rsidRPr="00436551" w:rsidRDefault="009C3042" w:rsidP="009C3042">
      <w:pPr>
        <w:spacing w:after="0" w:line="276" w:lineRule="auto"/>
        <w:ind w:firstLine="709"/>
        <w:jc w:val="both"/>
        <w:rPr>
          <w:rFonts w:ascii="Verdana" w:eastAsia="Arial" w:hAnsi="Verdana" w:cs="Arial"/>
          <w:lang w:val="es-ES" w:eastAsia="es-ES" w:bidi="es-ES"/>
        </w:rPr>
      </w:pPr>
    </w:p>
    <w:p w14:paraId="4D58FB0D" w14:textId="77777777" w:rsidR="009C3042" w:rsidRPr="00436551" w:rsidRDefault="009C3042" w:rsidP="009C3042">
      <w:pPr>
        <w:spacing w:after="0" w:line="276" w:lineRule="auto"/>
        <w:jc w:val="both"/>
        <w:rPr>
          <w:rFonts w:ascii="Verdana" w:eastAsia="Times New Roman" w:hAnsi="Verdana" w:cs="Arial"/>
          <w:lang w:val="es-ES" w:eastAsia="es-CO"/>
        </w:rPr>
      </w:pPr>
      <w:proofErr w:type="spellStart"/>
      <w:r w:rsidRPr="002569AF">
        <w:rPr>
          <w:rFonts w:ascii="Verdana" w:eastAsia="Calibri" w:hAnsi="Verdana" w:cs="Arial"/>
          <w:b/>
          <w:bCs/>
          <w:lang w:val="es-ES"/>
        </w:rPr>
        <w:t>iii</w:t>
      </w:r>
      <w:proofErr w:type="spellEnd"/>
      <w:r w:rsidRPr="002569AF">
        <w:rPr>
          <w:rFonts w:ascii="Verdana" w:eastAsia="Calibri" w:hAnsi="Verdana" w:cs="Arial"/>
          <w:b/>
          <w:bCs/>
          <w:lang w:val="es-ES"/>
        </w:rPr>
        <w:t>)</w:t>
      </w:r>
      <w:r w:rsidRPr="00436551">
        <w:rPr>
          <w:rFonts w:ascii="Verdana" w:eastAsia="Calibri" w:hAnsi="Verdana" w:cs="Arial"/>
          <w:lang w:val="es-ES"/>
        </w:rPr>
        <w:t xml:space="preserve"> </w:t>
      </w:r>
      <w:r w:rsidRPr="00436551">
        <w:rPr>
          <w:rFonts w:ascii="Verdana" w:eastAsia="Calibri" w:hAnsi="Verdana" w:cs="Arial"/>
          <w:lang w:val="es-ES" w:eastAsia="es-ES" w:bidi="es-ES"/>
        </w:rPr>
        <w:t xml:space="preserve">Para responder al problema jurídico planteado es necesario precisar el alcance de la prohibición </w:t>
      </w:r>
      <w:r w:rsidRPr="00436551">
        <w:rPr>
          <w:rFonts w:ascii="Verdana" w:eastAsia="Arial" w:hAnsi="Verdana" w:cs="Arial"/>
          <w:lang w:val="es-ES" w:eastAsia="es-ES" w:bidi="es-ES"/>
        </w:rPr>
        <w:t>establecida en e</w:t>
      </w:r>
      <w:r w:rsidRPr="00436551">
        <w:rPr>
          <w:rFonts w:ascii="Verdana" w:eastAsia="Calibri" w:hAnsi="Verdana" w:cs="Arial"/>
          <w:lang w:val="es-ES"/>
        </w:rPr>
        <w:t xml:space="preserve">l </w:t>
      </w:r>
      <w:r w:rsidRPr="00436551">
        <w:rPr>
          <w:rFonts w:ascii="Verdana" w:eastAsia="Times New Roman" w:hAnsi="Verdana" w:cs="Arial"/>
          <w:lang w:val="es-ES"/>
        </w:rPr>
        <w:t xml:space="preserve">artículo 33 de la Ley 996 de 2005. El </w:t>
      </w:r>
      <w:r w:rsidRPr="00436551">
        <w:rPr>
          <w:rFonts w:ascii="Verdana" w:eastAsia="Times New Roman" w:hAnsi="Verdana" w:cs="Arial"/>
          <w:i/>
          <w:iCs/>
          <w:lang w:val="es-ES"/>
        </w:rPr>
        <w:t>ámbito material</w:t>
      </w:r>
      <w:r w:rsidRPr="00436551">
        <w:rPr>
          <w:rFonts w:ascii="Verdana" w:eastAsia="Times New Roman" w:hAnsi="Verdana" w:cs="Arial"/>
          <w:lang w:val="es-ES"/>
        </w:rPr>
        <w:t xml:space="preserve"> de esta prohibición está delimitado por la expresión </w:t>
      </w:r>
      <w:r w:rsidRPr="00436551">
        <w:rPr>
          <w:rFonts w:ascii="Verdana" w:eastAsia="Calibri" w:hAnsi="Verdana" w:cs="Arial"/>
          <w:bCs/>
          <w:lang w:val="es-ES"/>
        </w:rPr>
        <w:t>“</w:t>
      </w:r>
      <w:r w:rsidRPr="00436551">
        <w:rPr>
          <w:rFonts w:ascii="Verdana" w:eastAsia="Times New Roman" w:hAnsi="Verdana" w:cs="Arial"/>
          <w:lang w:val="es-ES"/>
        </w:rPr>
        <w:t>queda prohibida la contratación directa</w:t>
      </w:r>
      <w:r w:rsidRPr="00436551">
        <w:rPr>
          <w:rFonts w:ascii="Verdana" w:eastAsia="Calibri" w:hAnsi="Verdana" w:cs="Arial"/>
          <w:lang w:val="es-ES"/>
        </w:rPr>
        <w:t>”, lo que exige determinar qué debe entenderse por contratación directa para efectos de la Ley de Garantías Electorales</w:t>
      </w:r>
      <w:r w:rsidRPr="00436551">
        <w:rPr>
          <w:rFonts w:ascii="Verdana" w:eastAsia="Times New Roman" w:hAnsi="Verdana" w:cs="Arial"/>
          <w:lang w:val="es-ES"/>
        </w:rPr>
        <w:t xml:space="preserve">. </w:t>
      </w:r>
      <w:r w:rsidRPr="00436551">
        <w:rPr>
          <w:rFonts w:ascii="Verdana" w:eastAsia="Times New Roman" w:hAnsi="Verdana" w:cs="Arial"/>
          <w:lang w:val="es-ES" w:eastAsia="es-CO"/>
        </w:rPr>
        <w:t>Sobre este punto, la Sala de Consulta y Servicio Civil del Consejo de Estado ha considerado que:</w:t>
      </w:r>
    </w:p>
    <w:p w14:paraId="69A3F81D" w14:textId="77777777" w:rsidR="009C3042" w:rsidRPr="00436551" w:rsidRDefault="009C3042" w:rsidP="009C3042">
      <w:pPr>
        <w:spacing w:after="0" w:line="276" w:lineRule="auto"/>
        <w:jc w:val="both"/>
        <w:rPr>
          <w:rFonts w:ascii="Verdana" w:eastAsia="Times New Roman" w:hAnsi="Verdana" w:cs="Arial"/>
          <w:bCs/>
          <w:lang w:val="es-ES" w:eastAsia="es-CO"/>
        </w:rPr>
      </w:pPr>
    </w:p>
    <w:p w14:paraId="52725AEF" w14:textId="77777777" w:rsidR="009C3042" w:rsidRPr="00436551" w:rsidRDefault="009C3042" w:rsidP="009C3042">
      <w:pPr>
        <w:spacing w:after="0" w:line="240" w:lineRule="auto"/>
        <w:ind w:left="709" w:right="709"/>
        <w:jc w:val="both"/>
        <w:rPr>
          <w:rFonts w:ascii="Verdana" w:eastAsia="Calibri" w:hAnsi="Verdana" w:cs="Arial"/>
          <w:sz w:val="20"/>
          <w:szCs w:val="20"/>
          <w:lang w:val="es-ES"/>
        </w:rPr>
      </w:pPr>
      <w:r w:rsidRPr="00436551">
        <w:rPr>
          <w:rFonts w:ascii="Verdana" w:eastAsia="Calibri" w:hAnsi="Verdana" w:cs="Arial"/>
          <w:sz w:val="20"/>
          <w:szCs w:val="20"/>
          <w:lang w:val="es-ES"/>
        </w:rPr>
        <w:t xml:space="preserve">“[…] Esta Sala ha entendido </w:t>
      </w:r>
      <w:proofErr w:type="gramStart"/>
      <w:r w:rsidRPr="00436551">
        <w:rPr>
          <w:rFonts w:ascii="Verdana" w:eastAsia="Calibri" w:hAnsi="Verdana" w:cs="Arial"/>
          <w:sz w:val="20"/>
          <w:szCs w:val="20"/>
          <w:lang w:val="es-ES"/>
        </w:rPr>
        <w:t>que</w:t>
      </w:r>
      <w:proofErr w:type="gramEnd"/>
      <w:r w:rsidRPr="00436551">
        <w:rPr>
          <w:rFonts w:ascii="Verdana" w:eastAsia="Calibri" w:hAnsi="Verdana" w:cs="Arial"/>
          <w:sz w:val="20"/>
          <w:szCs w:val="20"/>
          <w:lang w:val="es-ES"/>
        </w:rPr>
        <w:t xml:space="preserv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Pr="00436551">
        <w:rPr>
          <w:rFonts w:ascii="Verdana" w:eastAsia="Times New Roman" w:hAnsi="Verdana" w:cs="Arial"/>
          <w:sz w:val="20"/>
          <w:szCs w:val="20"/>
          <w:vertAlign w:val="superscript"/>
          <w:lang w:val="es-ES"/>
        </w:rPr>
        <w:footnoteReference w:id="12"/>
      </w:r>
      <w:r w:rsidRPr="00436551">
        <w:rPr>
          <w:rFonts w:ascii="Verdana" w:eastAsia="Times New Roman" w:hAnsi="Verdana" w:cs="Arial"/>
          <w:sz w:val="20"/>
          <w:szCs w:val="20"/>
          <w:vertAlign w:val="superscript"/>
          <w:lang w:val="es-ES"/>
        </w:rPr>
        <w:t>.</w:t>
      </w:r>
      <w:r w:rsidRPr="00436551">
        <w:rPr>
          <w:rFonts w:ascii="Verdana" w:eastAsia="Calibri" w:hAnsi="Verdana" w:cs="Arial"/>
          <w:sz w:val="20"/>
          <w:szCs w:val="20"/>
          <w:lang w:val="es-ES"/>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Pr="00436551">
        <w:rPr>
          <w:rFonts w:ascii="Verdana" w:eastAsia="Times New Roman" w:hAnsi="Verdana" w:cs="Arial"/>
          <w:sz w:val="20"/>
          <w:szCs w:val="20"/>
          <w:vertAlign w:val="superscript"/>
          <w:lang w:val="es-ES" w:eastAsia="es-CO"/>
        </w:rPr>
        <w:footnoteReference w:id="13"/>
      </w:r>
      <w:r w:rsidRPr="00436551">
        <w:rPr>
          <w:rFonts w:ascii="Verdana" w:eastAsia="Calibri" w:hAnsi="Verdana" w:cs="Arial"/>
          <w:sz w:val="20"/>
          <w:szCs w:val="20"/>
          <w:lang w:val="es-ES"/>
        </w:rPr>
        <w:t xml:space="preserve"> .</w:t>
      </w:r>
    </w:p>
    <w:p w14:paraId="081759F8" w14:textId="77777777" w:rsidR="009C3042" w:rsidRPr="00436551" w:rsidRDefault="009C3042" w:rsidP="009C3042">
      <w:pPr>
        <w:shd w:val="clear" w:color="auto" w:fill="FFFFFF" w:themeFill="background1"/>
        <w:spacing w:after="0" w:line="276" w:lineRule="auto"/>
        <w:ind w:firstLine="709"/>
        <w:jc w:val="both"/>
        <w:rPr>
          <w:rFonts w:ascii="Verdana" w:eastAsia="Times New Roman" w:hAnsi="Verdana" w:cs="Arial"/>
          <w:lang w:val="es-ES" w:eastAsia="x-none"/>
        </w:rPr>
      </w:pPr>
    </w:p>
    <w:p w14:paraId="02E33C17" w14:textId="77777777" w:rsidR="009C3042" w:rsidRPr="00436551" w:rsidRDefault="009C3042" w:rsidP="009C3042">
      <w:pPr>
        <w:spacing w:after="120" w:line="276" w:lineRule="auto"/>
        <w:ind w:firstLine="708"/>
        <w:jc w:val="both"/>
        <w:rPr>
          <w:rFonts w:ascii="Verdana" w:eastAsia="Times New Roman" w:hAnsi="Verdana" w:cs="Arial"/>
          <w:bCs/>
          <w:lang w:val="es-ES" w:eastAsia="x-none"/>
        </w:rPr>
      </w:pPr>
      <w:r w:rsidRPr="00436551">
        <w:rPr>
          <w:rFonts w:ascii="Verdana" w:eastAsia="Times New Roman" w:hAnsi="Verdana" w:cs="Arial"/>
          <w:lang w:val="es-ES" w:eastAsia="x-none"/>
        </w:rPr>
        <w:t xml:space="preserve">De acuerdo con este concepto, la prohibición del artículo 33 de la Ley de Garantías Electorales se refiere a </w:t>
      </w:r>
      <w:r w:rsidRPr="00436551">
        <w:rPr>
          <w:rFonts w:ascii="Verdana" w:eastAsia="Times New Roman" w:hAnsi="Verdana" w:cs="Arial"/>
          <w:sz w:val="19"/>
          <w:szCs w:val="19"/>
          <w:lang w:val="es-ES" w:eastAsia="en-GB"/>
        </w:rPr>
        <w:t>“</w:t>
      </w:r>
      <w:r w:rsidRPr="00436551">
        <w:rPr>
          <w:rFonts w:ascii="Verdana" w:eastAsia="Times New Roman" w:hAnsi="Verdana" w:cs="Arial"/>
          <w:i/>
          <w:iCs/>
          <w:lang w:val="es-ES" w:eastAsia="x-none"/>
        </w:rPr>
        <w:t>cualquier sistema</w:t>
      </w:r>
      <w:r w:rsidRPr="00436551">
        <w:rPr>
          <w:rFonts w:ascii="Verdana" w:eastAsia="Times New Roman" w:hAnsi="Verdana" w:cs="Arial"/>
          <w:lang w:val="es-ES" w:eastAsia="x-none"/>
        </w:rPr>
        <w:t xml:space="preserve"> que no implique convocatoria pública y posibilidad de pluralidad de oferentes</w:t>
      </w:r>
      <w:r w:rsidRPr="00436551">
        <w:rPr>
          <w:rFonts w:ascii="Verdana" w:eastAsia="Times New Roman" w:hAnsi="Verdana" w:cs="Arial"/>
          <w:lang w:val="es-ES" w:eastAsia="en-GB"/>
        </w:rPr>
        <w:t>”</w:t>
      </w:r>
      <w:r w:rsidRPr="00436551">
        <w:rPr>
          <w:rFonts w:ascii="Verdana" w:eastAsia="Times New Roman" w:hAnsi="Verdana" w:cs="Arial"/>
          <w:lang w:val="es-ES" w:eastAsia="x-none"/>
        </w:rPr>
        <w:t xml:space="preserve">, por lo que excluye las demás modalidades de contratación previstas en la Ley 1150 de 2007, es decir, la licitación pública, la selección abreviada, el concurso de méritos </w:t>
      </w:r>
      <w:r w:rsidRPr="00436551">
        <w:rPr>
          <w:rFonts w:ascii="Verdana" w:eastAsia="Times New Roman" w:hAnsi="Verdana" w:cs="Arial"/>
          <w:lang w:val="es-ES"/>
        </w:rPr>
        <w:t>y la mínima cuantía, así como otros procesos competitivos</w:t>
      </w:r>
      <w:r w:rsidRPr="00436551" w:rsidDel="00A85D9F">
        <w:rPr>
          <w:rFonts w:ascii="Verdana" w:eastAsia="Times New Roman" w:hAnsi="Verdana" w:cs="Arial"/>
          <w:lang w:val="es-ES" w:eastAsia="x-none"/>
        </w:rPr>
        <w:t xml:space="preserve"> </w:t>
      </w:r>
      <w:r w:rsidRPr="00436551">
        <w:rPr>
          <w:rFonts w:ascii="Verdana" w:eastAsia="Times New Roman" w:hAnsi="Verdana" w:cs="Arial"/>
          <w:lang w:val="es-ES"/>
        </w:rPr>
        <w:t xml:space="preserve">previstos en normas especiales. </w:t>
      </w:r>
      <w:r w:rsidRPr="00436551">
        <w:rPr>
          <w:rFonts w:ascii="Verdana" w:eastAsia="Times New Roman" w:hAnsi="Verdana" w:cs="Arial"/>
          <w:lang w:val="es-ES" w:eastAsia="x-none"/>
        </w:rPr>
        <w:t xml:space="preserve">Esta posición es congruente con la expedición de la Ley 1150 de 2007 que, entre otras reformas, introdujo la selección abreviada, rediseñó el concurso </w:t>
      </w:r>
      <w:r w:rsidRPr="00436551">
        <w:rPr>
          <w:rFonts w:ascii="Verdana" w:eastAsia="Times New Roman" w:hAnsi="Verdana" w:cs="Arial"/>
          <w:lang w:val="es-ES" w:eastAsia="x-none"/>
        </w:rPr>
        <w:lastRenderedPageBreak/>
        <w:t>de méritos</w:t>
      </w:r>
      <w:r w:rsidRPr="00436551">
        <w:rPr>
          <w:rFonts w:ascii="Verdana" w:eastAsia="Times New Roman" w:hAnsi="Verdana" w:cs="Arial"/>
          <w:vertAlign w:val="superscript"/>
          <w:lang w:val="es-ES" w:eastAsia="x-none"/>
        </w:rPr>
        <w:footnoteReference w:id="14"/>
      </w:r>
      <w:r w:rsidRPr="00436551">
        <w:rPr>
          <w:rFonts w:ascii="Verdana" w:eastAsia="Times New Roman" w:hAnsi="Verdana" w:cs="Arial"/>
          <w:lang w:val="es-ES" w:eastAsia="x-none"/>
        </w:rPr>
        <w:t xml:space="preserve"> y sistematizó las causales de contratación directa</w:t>
      </w:r>
      <w:r w:rsidRPr="00436551">
        <w:rPr>
          <w:rFonts w:ascii="Verdana" w:eastAsia="Times New Roman" w:hAnsi="Verdana" w:cs="Arial"/>
          <w:vertAlign w:val="superscript"/>
          <w:lang w:val="es-ES" w:eastAsia="x-none"/>
        </w:rPr>
        <w:footnoteReference w:id="15"/>
      </w:r>
      <w:r w:rsidRPr="00436551">
        <w:rPr>
          <w:rFonts w:ascii="Verdana" w:eastAsia="Times New Roman" w:hAnsi="Verdana" w:cs="Arial"/>
          <w:lang w:val="es-ES" w:eastAsia="x-none"/>
        </w:rPr>
        <w:t xml:space="preserve">, </w:t>
      </w:r>
      <w:r w:rsidRPr="00436551">
        <w:rPr>
          <w:rFonts w:ascii="Verdana" w:eastAsia="Calibri" w:hAnsi="Verdana" w:cs="Arial"/>
          <w:lang w:val="es-ES" w:eastAsia="x-none"/>
        </w:rPr>
        <w:t>además lo es con la posterior creación de la modalidad de mínima cuantía establecida actualmente en el numeral 5 del artículo 2 de la Ley 1150 de 2007, de acuerdo con las modificaciones realizadas por leyes posteriores.</w:t>
      </w:r>
    </w:p>
    <w:p w14:paraId="6284EC49" w14:textId="77777777" w:rsidR="009C3042" w:rsidRPr="00436551" w:rsidRDefault="009C3042" w:rsidP="009C3042">
      <w:pPr>
        <w:spacing w:after="120" w:line="276" w:lineRule="auto"/>
        <w:ind w:firstLine="708"/>
        <w:jc w:val="both"/>
        <w:rPr>
          <w:rFonts w:ascii="Verdana" w:eastAsia="Times New Roman" w:hAnsi="Verdana" w:cs="Arial"/>
          <w:bCs/>
          <w:lang w:val="es-ES" w:eastAsia="es-CO"/>
        </w:rPr>
      </w:pPr>
      <w:r w:rsidRPr="00436551">
        <w:rPr>
          <w:rFonts w:ascii="Verdana" w:eastAsia="Times New Roman" w:hAnsi="Verdana" w:cs="Arial"/>
          <w:bCs/>
          <w:lang w:val="es-ES" w:eastAsia="es-CO"/>
        </w:rPr>
        <w:t xml:space="preserve">Como se advierte de lo anterior, el Consejo de Estado realiza una interpretación amplia de la “contratación directa”, para efectos de aplicar las restricciones establecidas en la Ley de Garantías Electorales,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“contratación directa”. </w:t>
      </w:r>
      <w:r w:rsidRPr="00436551">
        <w:rPr>
          <w:rFonts w:ascii="Verdana" w:eastAsia="Times New Roman" w:hAnsi="Verdana" w:cs="Arial"/>
          <w:lang w:val="es-ES"/>
        </w:rPr>
        <w:t xml:space="preserve">Así, para efectos de la prohibición o restricción temporal contenida en su artículo 33, “contratación directa” es </w:t>
      </w:r>
      <w:r w:rsidRPr="00436551">
        <w:rPr>
          <w:rFonts w:ascii="Verdana" w:eastAsia="Times New Roman" w:hAnsi="Verdana" w:cs="Arial"/>
          <w:i/>
          <w:iCs/>
          <w:lang w:val="es-ES"/>
        </w:rPr>
        <w:t>cualquier</w:t>
      </w:r>
      <w:r w:rsidRPr="00436551">
        <w:rPr>
          <w:rFonts w:ascii="Verdana" w:eastAsia="Times New Roman" w:hAnsi="Verdana" w:cs="Arial"/>
          <w:lang w:val="es-ES"/>
        </w:rPr>
        <w:t xml:space="preserve"> sistema de selección o procedimiento de contratación utilizado por las entidades estatales que no incluya la convocatoria pública en alguna de sus etapas, ni permita la participación de una pluralidad de oferentes</w:t>
      </w:r>
      <w:r w:rsidRPr="00436551">
        <w:rPr>
          <w:rFonts w:ascii="Verdana" w:eastAsia="Times New Roman" w:hAnsi="Verdana" w:cs="Arial"/>
          <w:vertAlign w:val="superscript"/>
          <w:lang w:val="es-ES" w:eastAsia="x-none"/>
        </w:rPr>
        <w:footnoteReference w:id="16"/>
      </w:r>
      <w:r w:rsidRPr="00436551">
        <w:rPr>
          <w:rFonts w:ascii="Verdana" w:eastAsia="Times New Roman" w:hAnsi="Verdana" w:cs="Arial"/>
          <w:lang w:val="es-ES"/>
        </w:rPr>
        <w:t>.</w:t>
      </w:r>
      <w:r w:rsidRPr="00436551">
        <w:rPr>
          <w:rFonts w:ascii="Verdana" w:eastAsia="Times New Roman" w:hAnsi="Verdana" w:cs="Arial"/>
          <w:vertAlign w:val="superscript"/>
          <w:lang w:val="es-ES" w:eastAsia="x-none"/>
        </w:rPr>
        <w:t xml:space="preserve"> </w:t>
      </w:r>
    </w:p>
    <w:p w14:paraId="206993A0" w14:textId="77777777" w:rsidR="009C3042" w:rsidRPr="00436551" w:rsidRDefault="009C3042" w:rsidP="009C3042">
      <w:pPr>
        <w:spacing w:after="0" w:line="276" w:lineRule="auto"/>
        <w:ind w:firstLine="708"/>
        <w:jc w:val="both"/>
        <w:rPr>
          <w:rFonts w:ascii="Verdana" w:hAnsi="Verdana" w:cs="Arial"/>
          <w:i/>
          <w:iCs/>
          <w:lang w:val="es-ES"/>
        </w:rPr>
      </w:pPr>
      <w:r w:rsidRPr="00436551">
        <w:rPr>
          <w:rFonts w:ascii="Verdana" w:eastAsia="Times New Roman" w:hAnsi="Verdana" w:cs="Arial"/>
          <w:lang w:val="es-ES"/>
        </w:rPr>
        <w:t xml:space="preserve">De lo anterior se desprende que la restricción aplica, sin perjuicio de las excepciones establecidas en la misma ley, para celebrar cualquier contrato o convenio de forma directa. Esto incluye la celebración de </w:t>
      </w:r>
      <w:r w:rsidRPr="00436551">
        <w:rPr>
          <w:rFonts w:ascii="Verdana" w:hAnsi="Verdana" w:cs="Arial"/>
          <w:lang w:val="es-ES"/>
        </w:rPr>
        <w:t>convenios o contratos para la ejecución de los recursos del subsidio a la oferta asignados a las Empresas Sociales del Estado o administradores de infraestructura pública para la prestación de servicios de salud, a los cuales se refiere el artículo 2.4.2.7 del el Decreto 268 de 2020</w:t>
      </w:r>
      <w:r>
        <w:rPr>
          <w:rFonts w:ascii="Verdana" w:hAnsi="Verdana" w:cs="Arial"/>
          <w:lang w:val="es-ES"/>
        </w:rPr>
        <w:t>, cuando no impliquen convocatorias abiertas</w:t>
      </w:r>
      <w:r w:rsidRPr="00436551">
        <w:rPr>
          <w:rFonts w:ascii="Verdana" w:hAnsi="Verdana" w:cs="Arial"/>
          <w:lang w:val="es-ES"/>
        </w:rPr>
        <w:t>, ni competencia en la selección</w:t>
      </w:r>
      <w:r>
        <w:rPr>
          <w:rFonts w:ascii="Verdana" w:hAnsi="Verdana" w:cs="Arial"/>
          <w:lang w:val="es-ES"/>
        </w:rPr>
        <w:t xml:space="preserve">. En este supuesto, su </w:t>
      </w:r>
      <w:r w:rsidRPr="00436551">
        <w:rPr>
          <w:rFonts w:ascii="Verdana" w:hAnsi="Verdana" w:cs="Arial"/>
          <w:lang w:val="es-ES"/>
        </w:rPr>
        <w:t xml:space="preserve">celebración </w:t>
      </w:r>
      <w:r>
        <w:rPr>
          <w:rFonts w:ascii="Verdana" w:hAnsi="Verdana" w:cs="Arial"/>
          <w:lang w:val="es-ES"/>
        </w:rPr>
        <w:t xml:space="preserve">estará prohibida </w:t>
      </w:r>
      <w:r w:rsidRPr="00436551">
        <w:rPr>
          <w:rFonts w:ascii="Verdana" w:eastAsia="Calibri" w:hAnsi="Verdana" w:cs="Arial"/>
          <w:lang w:val="es-ES"/>
        </w:rPr>
        <w:t>durante los cuatro (4) meses anteriores a las elecciones presidenciales, es decir, a partir del 31 de enero de 2026.</w:t>
      </w:r>
    </w:p>
    <w:p w14:paraId="0D512936" w14:textId="77777777" w:rsidR="009C3042" w:rsidRPr="00436551" w:rsidRDefault="009C3042" w:rsidP="009C3042">
      <w:pPr>
        <w:spacing w:before="120" w:after="0" w:line="276" w:lineRule="auto"/>
        <w:ind w:firstLine="708"/>
        <w:jc w:val="both"/>
        <w:rPr>
          <w:rFonts w:ascii="Verdana" w:eastAsia="Times New Roman" w:hAnsi="Verdana" w:cs="Arial"/>
          <w:lang w:val="es-ES"/>
        </w:rPr>
      </w:pPr>
      <w:r w:rsidRPr="00436551">
        <w:rPr>
          <w:rFonts w:ascii="Verdana" w:hAnsi="Verdana" w:cs="Arial"/>
          <w:lang w:val="es-ES"/>
        </w:rPr>
        <w:t>En contraste,</w:t>
      </w:r>
      <w:r w:rsidRPr="00436551">
        <w:rPr>
          <w:rFonts w:ascii="Verdana" w:hAnsi="Verdana" w:cs="Arial"/>
          <w:i/>
          <w:iCs/>
          <w:lang w:val="es-ES"/>
        </w:rPr>
        <w:t xml:space="preserve"> </w:t>
      </w:r>
      <w:r w:rsidRPr="00436551">
        <w:rPr>
          <w:rFonts w:ascii="Verdana" w:eastAsia="Times New Roman" w:hAnsi="Verdana" w:cs="Arial"/>
          <w:lang w:val="es-ES"/>
        </w:rPr>
        <w:t xml:space="preserve">no serán materia de la prohibición los procesos de contratación que se adelanten mediante las demás modalidades de selección previstas en la Ley 1150 de 2007, es decir, la licitación pública, el concurso de méritos, la selección abreviada y la mínima cuantía, razón por la cual en ese </w:t>
      </w:r>
      <w:r w:rsidRPr="00436551">
        <w:rPr>
          <w:rFonts w:ascii="Verdana" w:eastAsia="Times New Roman" w:hAnsi="Verdana" w:cs="Arial"/>
          <w:lang w:val="es-ES"/>
        </w:rPr>
        <w:lastRenderedPageBreak/>
        <w:t>período preelectoral de que trata la disposición las entidades públicas pueden seguir contratando bajo estos sistemas.</w:t>
      </w:r>
    </w:p>
    <w:p w14:paraId="7DA6A60D" w14:textId="77777777" w:rsidR="009C3042" w:rsidRPr="00436551" w:rsidRDefault="009C3042" w:rsidP="009C3042">
      <w:pPr>
        <w:spacing w:after="0" w:line="276" w:lineRule="auto"/>
        <w:ind w:firstLine="708"/>
        <w:jc w:val="both"/>
        <w:rPr>
          <w:rFonts w:ascii="Verdana" w:hAnsi="Verdana" w:cs="Arial"/>
          <w:i/>
          <w:iCs/>
          <w:lang w:val="es-ES"/>
        </w:rPr>
      </w:pPr>
    </w:p>
    <w:p w14:paraId="7D3D2BB8" w14:textId="77777777" w:rsidR="009C3042" w:rsidRPr="00436551" w:rsidRDefault="009C3042" w:rsidP="009C3042">
      <w:pPr>
        <w:spacing w:after="0" w:line="276" w:lineRule="auto"/>
        <w:jc w:val="both"/>
        <w:rPr>
          <w:rFonts w:ascii="Verdana" w:hAnsi="Verdana" w:cs="Arial"/>
          <w:i/>
          <w:iCs/>
          <w:lang w:val="es-ES"/>
        </w:rPr>
      </w:pPr>
      <w:proofErr w:type="spellStart"/>
      <w:r w:rsidRPr="003B36D2">
        <w:rPr>
          <w:rFonts w:ascii="Verdana" w:eastAsia="Times New Roman" w:hAnsi="Verdana" w:cs="Arial"/>
          <w:bCs/>
          <w:lang w:val="es-ES" w:eastAsia="es-CO"/>
        </w:rPr>
        <w:t>iv</w:t>
      </w:r>
      <w:proofErr w:type="spellEnd"/>
      <w:r w:rsidRPr="003B36D2">
        <w:rPr>
          <w:rFonts w:ascii="Verdana" w:eastAsia="Times New Roman" w:hAnsi="Verdana" w:cs="Arial"/>
          <w:bCs/>
          <w:lang w:val="es-ES" w:eastAsia="es-CO"/>
        </w:rPr>
        <w:t>)</w:t>
      </w:r>
      <w:r w:rsidRPr="00436551">
        <w:rPr>
          <w:rFonts w:ascii="Verdana" w:eastAsia="Times New Roman" w:hAnsi="Verdana" w:cs="Arial"/>
          <w:bCs/>
          <w:lang w:val="es-ES" w:eastAsia="es-CO"/>
        </w:rPr>
        <w:t xml:space="preserve"> Con respecto a los </w:t>
      </w:r>
      <w:r w:rsidRPr="00436551">
        <w:rPr>
          <w:rFonts w:ascii="Verdana" w:eastAsia="Times New Roman" w:hAnsi="Verdana" w:cs="Arial"/>
          <w:bCs/>
          <w:i/>
          <w:iCs/>
          <w:lang w:val="es-ES" w:eastAsia="es-CO"/>
        </w:rPr>
        <w:t>sujetos</w:t>
      </w:r>
      <w:r w:rsidRPr="00436551">
        <w:rPr>
          <w:rFonts w:ascii="Verdana" w:eastAsia="Times New Roman" w:hAnsi="Verdana" w:cs="Arial"/>
          <w:bCs/>
          <w:lang w:val="es-ES" w:eastAsia="es-CO"/>
        </w:rPr>
        <w:t xml:space="preserve"> que se encuentran comprendidos en la prohibición del artículo 33, </w:t>
      </w:r>
      <w:r w:rsidRPr="00436551">
        <w:rPr>
          <w:rFonts w:ascii="Verdana" w:eastAsia="Times New Roman" w:hAnsi="Verdana" w:cs="Arial"/>
          <w:lang w:val="es-ES"/>
        </w:rPr>
        <w:t>la Ley 996 de 2005 señala expresamente que son “</w:t>
      </w:r>
      <w:r w:rsidRPr="00436551">
        <w:rPr>
          <w:rFonts w:ascii="Verdana" w:eastAsia="Times New Roman" w:hAnsi="Verdana" w:cs="Arial"/>
          <w:i/>
          <w:iCs/>
          <w:u w:val="single"/>
          <w:lang w:val="es-ES"/>
        </w:rPr>
        <w:t>todos</w:t>
      </w:r>
      <w:r w:rsidRPr="00436551">
        <w:rPr>
          <w:rFonts w:ascii="Verdana" w:eastAsia="Times New Roman" w:hAnsi="Verdana" w:cs="Arial"/>
          <w:i/>
          <w:iCs/>
          <w:lang w:val="es-ES"/>
        </w:rPr>
        <w:t xml:space="preserve"> los entes del Estado</w:t>
      </w:r>
      <w:r w:rsidRPr="00436551">
        <w:rPr>
          <w:rFonts w:ascii="Verdana" w:eastAsia="Times New Roman" w:hAnsi="Verdana" w:cs="Arial"/>
          <w:lang w:val="es-ES"/>
        </w:rPr>
        <w:t>” [énfasis propio]. Al respecto, la Sala de Consulta y Servicio Civil del Consejo de Estado señaló lo siguiente:</w:t>
      </w:r>
    </w:p>
    <w:p w14:paraId="2EC31A5F" w14:textId="77777777" w:rsidR="009C3042" w:rsidRPr="00436551" w:rsidRDefault="009C3042" w:rsidP="009C3042">
      <w:pPr>
        <w:spacing w:after="0" w:line="276" w:lineRule="auto"/>
        <w:ind w:firstLine="708"/>
        <w:jc w:val="both"/>
        <w:rPr>
          <w:rFonts w:ascii="Verdana" w:eastAsia="Times New Roman" w:hAnsi="Verdana" w:cs="Arial"/>
          <w:lang w:val="es-ES"/>
        </w:rPr>
      </w:pPr>
    </w:p>
    <w:p w14:paraId="0DD770FA" w14:textId="77777777" w:rsidR="009C3042" w:rsidRPr="00436551" w:rsidRDefault="009C3042" w:rsidP="009C3042">
      <w:pPr>
        <w:spacing w:after="0" w:line="240" w:lineRule="auto"/>
        <w:ind w:left="709" w:right="709"/>
        <w:jc w:val="both"/>
        <w:rPr>
          <w:rFonts w:ascii="Verdana" w:eastAsia="Times New Roman" w:hAnsi="Verdana" w:cs="Arial"/>
          <w:bCs/>
          <w:sz w:val="20"/>
          <w:szCs w:val="20"/>
          <w:lang w:val="es-ES" w:eastAsia="es-CO"/>
        </w:rPr>
      </w:pPr>
      <w:r w:rsidRPr="00436551">
        <w:rPr>
          <w:rFonts w:ascii="Verdana" w:eastAsia="Times New Roman" w:hAnsi="Verdana" w:cs="Arial"/>
          <w:bCs/>
          <w:sz w:val="20"/>
          <w:szCs w:val="20"/>
          <w:lang w:val="es-ES" w:eastAsia="es-CO"/>
        </w:rPr>
        <w:t>“El vocablo "todos" que utilizó el legislador, comprende, en consecuencia, sin distinción del "régimen jurídico, forma de organización o naturaleza, su pertenencia a una u otra rama del poder público o su autonomía, a la totalidad de los entes del Estado. Es decir, la prohibición cobija a cualquier ente público que eventualmente pueda a través de la contratación directa romper el equilibrio entre los partidos y los candidatos a las elecciones presidenciales […]”</w:t>
      </w:r>
      <w:r w:rsidRPr="00436551">
        <w:rPr>
          <w:rStyle w:val="Refdenotaalpie"/>
          <w:rFonts w:ascii="Verdana" w:eastAsia="Times New Roman" w:hAnsi="Verdana" w:cs="Arial"/>
          <w:bCs/>
          <w:sz w:val="20"/>
          <w:szCs w:val="20"/>
          <w:lang w:val="es-ES" w:eastAsia="es-CO"/>
        </w:rPr>
        <w:footnoteReference w:id="17"/>
      </w:r>
      <w:r w:rsidRPr="00436551">
        <w:rPr>
          <w:rFonts w:ascii="Verdana" w:eastAsia="Times New Roman" w:hAnsi="Verdana" w:cs="Arial"/>
          <w:bCs/>
          <w:sz w:val="20"/>
          <w:szCs w:val="20"/>
          <w:lang w:val="es-ES" w:eastAsia="es-CO"/>
        </w:rPr>
        <w:t>.</w:t>
      </w:r>
    </w:p>
    <w:p w14:paraId="1D15DEB8" w14:textId="77777777" w:rsidR="009C3042" w:rsidRPr="00436551" w:rsidRDefault="009C3042" w:rsidP="009C3042">
      <w:pPr>
        <w:spacing w:after="0" w:line="276" w:lineRule="auto"/>
        <w:ind w:left="709" w:right="709"/>
        <w:jc w:val="both"/>
        <w:rPr>
          <w:rFonts w:ascii="Verdana" w:eastAsia="Times New Roman" w:hAnsi="Verdana" w:cs="Arial"/>
          <w:bCs/>
          <w:lang w:val="es-ES" w:eastAsia="es-CO"/>
        </w:rPr>
      </w:pPr>
    </w:p>
    <w:p w14:paraId="6B0DFFA6" w14:textId="77777777" w:rsidR="009C3042" w:rsidRPr="00436551" w:rsidRDefault="009C3042" w:rsidP="009C3042">
      <w:pPr>
        <w:spacing w:after="0" w:line="276" w:lineRule="auto"/>
        <w:ind w:firstLine="708"/>
        <w:jc w:val="both"/>
        <w:rPr>
          <w:rFonts w:ascii="Verdana" w:eastAsia="Times New Roman" w:hAnsi="Verdana" w:cs="Arial"/>
          <w:bCs/>
          <w:lang w:val="es-ES" w:eastAsia="x-none"/>
        </w:rPr>
      </w:pPr>
      <w:r w:rsidRPr="00436551">
        <w:rPr>
          <w:rFonts w:ascii="Verdana" w:eastAsia="Times New Roman" w:hAnsi="Verdana" w:cs="Arial"/>
          <w:bCs/>
          <w:lang w:val="es-ES" w:eastAsia="x-none"/>
        </w:rPr>
        <w:t xml:space="preserve">Igualmente, la Sala de Consulta y Servicio Civil del Consejo de Estado, en Concepto 1727 de fecha 20 de febrero de 2006, consideró que: </w:t>
      </w:r>
    </w:p>
    <w:p w14:paraId="13157619" w14:textId="77777777" w:rsidR="009C3042" w:rsidRPr="00436551" w:rsidRDefault="009C3042" w:rsidP="009C3042">
      <w:pPr>
        <w:spacing w:after="0" w:line="276" w:lineRule="auto"/>
        <w:jc w:val="both"/>
        <w:rPr>
          <w:rFonts w:ascii="Verdana" w:eastAsia="Times New Roman" w:hAnsi="Verdana" w:cs="Arial"/>
          <w:bCs/>
          <w:lang w:val="es-ES" w:eastAsia="x-none"/>
        </w:rPr>
      </w:pPr>
    </w:p>
    <w:p w14:paraId="39605B0C" w14:textId="77777777" w:rsidR="009C3042" w:rsidRPr="00436551" w:rsidRDefault="009C3042" w:rsidP="009C3042">
      <w:pPr>
        <w:spacing w:after="0" w:line="240" w:lineRule="auto"/>
        <w:ind w:left="709" w:right="709"/>
        <w:jc w:val="both"/>
        <w:rPr>
          <w:rFonts w:ascii="Verdana" w:eastAsia="Times New Roman" w:hAnsi="Verdana" w:cs="Arial"/>
          <w:bCs/>
          <w:sz w:val="20"/>
          <w:szCs w:val="20"/>
          <w:lang w:val="es-ES" w:eastAsia="es-CO"/>
        </w:rPr>
      </w:pPr>
      <w:r w:rsidRPr="00436551">
        <w:rPr>
          <w:rFonts w:ascii="Verdana" w:eastAsia="Times New Roman" w:hAnsi="Verdana" w:cs="Arial"/>
          <w:bCs/>
          <w:sz w:val="20"/>
          <w:szCs w:val="20"/>
          <w:lang w:val="es-ES" w:eastAsia="x-none"/>
        </w:rPr>
        <w:t>“El artículo 33 de la ley 996 de 2005, efectivamente se aplica incluso a las entidades estatales con régimen especial de contratación y que están exceptuadas del ámbito de aplicación del Estatuto General de Contratación de la Administración Pública, como por ejemplo los prestadores de servicios públicos domiciliarios (empresas de servicios públicos oficiales y empresas industriales y comerciales del Estado) y a los municipios prestadores directos, incluyendo las excepciones contenidas en el segundo inciso de esta norma”</w:t>
      </w:r>
      <w:r w:rsidRPr="00436551">
        <w:rPr>
          <w:rFonts w:ascii="Verdana" w:eastAsia="Times New Roman" w:hAnsi="Verdana" w:cs="Arial"/>
          <w:bCs/>
          <w:sz w:val="20"/>
          <w:szCs w:val="20"/>
          <w:vertAlign w:val="superscript"/>
          <w:lang w:val="es-ES" w:eastAsia="x-none"/>
        </w:rPr>
        <w:footnoteReference w:id="18"/>
      </w:r>
      <w:r w:rsidRPr="00436551">
        <w:rPr>
          <w:rFonts w:ascii="Verdana" w:eastAsia="Times New Roman" w:hAnsi="Verdana" w:cs="Arial"/>
          <w:bCs/>
          <w:sz w:val="20"/>
          <w:szCs w:val="20"/>
          <w:lang w:val="es-ES" w:eastAsia="x-none"/>
        </w:rPr>
        <w:t>.</w:t>
      </w:r>
      <w:r w:rsidRPr="00436551">
        <w:rPr>
          <w:rFonts w:ascii="Verdana" w:eastAsia="Times New Roman" w:hAnsi="Verdana" w:cs="Arial"/>
          <w:bCs/>
          <w:sz w:val="20"/>
          <w:szCs w:val="20"/>
          <w:lang w:val="es-ES" w:eastAsia="es-CO"/>
        </w:rPr>
        <w:t xml:space="preserve"> </w:t>
      </w:r>
    </w:p>
    <w:p w14:paraId="4091BD84" w14:textId="77777777" w:rsidR="009C3042" w:rsidRPr="00436551" w:rsidRDefault="009C3042" w:rsidP="009C3042">
      <w:pPr>
        <w:spacing w:after="0" w:line="276" w:lineRule="auto"/>
        <w:ind w:firstLine="708"/>
        <w:jc w:val="both"/>
        <w:rPr>
          <w:rFonts w:ascii="Verdana" w:eastAsia="Times New Roman" w:hAnsi="Verdana" w:cs="Arial"/>
          <w:bCs/>
          <w:lang w:val="es-ES" w:eastAsia="es-CO"/>
        </w:rPr>
      </w:pPr>
    </w:p>
    <w:p w14:paraId="322048D8" w14:textId="77777777" w:rsidR="009C3042" w:rsidRPr="00436551" w:rsidRDefault="009C3042" w:rsidP="009C3042">
      <w:pPr>
        <w:spacing w:after="0" w:line="276" w:lineRule="auto"/>
        <w:ind w:firstLine="708"/>
        <w:jc w:val="both"/>
        <w:rPr>
          <w:rFonts w:ascii="Verdana" w:eastAsia="Calibri" w:hAnsi="Verdana" w:cs="Arial"/>
          <w:lang w:val="es-ES"/>
        </w:rPr>
      </w:pPr>
      <w:r w:rsidRPr="00436551">
        <w:rPr>
          <w:rFonts w:ascii="Verdana" w:eastAsia="Times New Roman" w:hAnsi="Verdana" w:cs="Arial"/>
          <w:bCs/>
          <w:lang w:val="es-ES" w:eastAsia="x-none"/>
        </w:rPr>
        <w:t xml:space="preserve">De igual forma, en Concepto con radicado 1738 del 6 de abril de 2006, esa misma Corporación manifestó que “Las restricciones de la Ley de Garantías en materia de contratación directa y celebración de convenios interadministrativos, se aplican a las empresas industriales y comerciales del Estado y a las Sociedades de Economía Mixta, salvo cuando la celebración de un </w:t>
      </w:r>
      <w:r w:rsidRPr="00436551">
        <w:rPr>
          <w:rFonts w:ascii="Verdana" w:eastAsia="Times New Roman" w:hAnsi="Verdana" w:cs="Arial"/>
          <w:bCs/>
          <w:lang w:val="es-ES" w:eastAsia="x-none"/>
        </w:rPr>
        <w:lastRenderedPageBreak/>
        <w:t>convenio interadministrativo sea ordenada, para ambas partes, por el Legislador”</w:t>
      </w:r>
      <w:r w:rsidRPr="00436551">
        <w:rPr>
          <w:rFonts w:ascii="Verdana" w:eastAsia="Calibri" w:hAnsi="Verdana" w:cs="Arial"/>
          <w:vertAlign w:val="superscript"/>
          <w:lang w:val="es-ES"/>
        </w:rPr>
        <w:footnoteReference w:id="19"/>
      </w:r>
      <w:r w:rsidRPr="00436551">
        <w:rPr>
          <w:rFonts w:ascii="Verdana" w:eastAsia="Times New Roman" w:hAnsi="Verdana" w:cs="Arial"/>
          <w:bCs/>
          <w:lang w:val="es-ES" w:eastAsia="x-none"/>
        </w:rPr>
        <w:t>.</w:t>
      </w:r>
      <w:r w:rsidRPr="00436551">
        <w:rPr>
          <w:rFonts w:ascii="Verdana" w:eastAsia="Calibri" w:hAnsi="Verdana" w:cs="Arial"/>
          <w:lang w:val="es-ES"/>
        </w:rPr>
        <w:t xml:space="preserve"> Además, la Sala de Consulta y Servicio Civil del Consejo de Estado realizó la siguiente distinción, retomando el pronunciamiento de la misma sala del 20 de febrero de 2006, citado anteriormente:</w:t>
      </w:r>
    </w:p>
    <w:p w14:paraId="1B9762C8" w14:textId="77777777" w:rsidR="009C3042" w:rsidRPr="00436551" w:rsidRDefault="009C3042" w:rsidP="009C3042">
      <w:pPr>
        <w:spacing w:after="0" w:line="276" w:lineRule="auto"/>
        <w:jc w:val="both"/>
        <w:rPr>
          <w:rFonts w:ascii="Verdana" w:eastAsia="Calibri" w:hAnsi="Verdana" w:cs="Arial"/>
          <w:lang w:val="es-ES"/>
        </w:rPr>
      </w:pPr>
    </w:p>
    <w:p w14:paraId="19B5641B" w14:textId="77777777" w:rsidR="009C3042" w:rsidRPr="00436551" w:rsidRDefault="009C3042" w:rsidP="009C3042">
      <w:pPr>
        <w:spacing w:after="0" w:line="240" w:lineRule="auto"/>
        <w:ind w:left="709" w:right="709"/>
        <w:jc w:val="both"/>
        <w:rPr>
          <w:rFonts w:ascii="Verdana" w:eastAsia="Calibri" w:hAnsi="Verdana" w:cs="Arial"/>
          <w:sz w:val="20"/>
          <w:szCs w:val="20"/>
          <w:lang w:val="es-ES"/>
        </w:rPr>
      </w:pPr>
      <w:r w:rsidRPr="00436551">
        <w:rPr>
          <w:rFonts w:ascii="Verdana" w:eastAsia="Calibri" w:hAnsi="Verdana" w:cs="Arial"/>
          <w:sz w:val="20"/>
          <w:szCs w:val="20"/>
          <w:lang w:val="es-ES"/>
        </w:rPr>
        <w:t>“En el concepto No. 1727 de fecha 20 de febrero de 2006, ésta Sala distinguió dos clases de contratos en relación con las empresas de servicios públicos domiciliarios: unos, en los que la posición de la empresa es la de consumidora de las prestaciones objeto del contrato, que utiliza para la prestación de los servicios a su cargo, y los otros, en los que la empresa entrega esos servicios a los usuarios, conforme a unas reglas uniformes para todos ellos y sin que haya privilegios o tratos desiguales. En los primeros contratos, es claro que la empresa debe adquirir esos bienes previa licitación pública, según se expuso anteriormente, pero en el segundo caso,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p>
    <w:p w14:paraId="5ECE244B" w14:textId="77777777" w:rsidR="009C3042" w:rsidRPr="00436551" w:rsidRDefault="009C3042" w:rsidP="009C3042">
      <w:pPr>
        <w:spacing w:after="0" w:line="240" w:lineRule="auto"/>
        <w:ind w:left="709" w:right="709"/>
        <w:jc w:val="both"/>
        <w:rPr>
          <w:rFonts w:ascii="Verdana" w:eastAsia="Calibri" w:hAnsi="Verdana" w:cs="Arial"/>
          <w:sz w:val="20"/>
          <w:szCs w:val="20"/>
          <w:lang w:val="es-ES"/>
        </w:rPr>
      </w:pPr>
    </w:p>
    <w:p w14:paraId="25532BD6" w14:textId="77777777" w:rsidR="009C3042" w:rsidRPr="00436551" w:rsidRDefault="009C3042" w:rsidP="009C3042">
      <w:pPr>
        <w:spacing w:after="0" w:line="240" w:lineRule="auto"/>
        <w:ind w:left="709" w:right="709"/>
        <w:jc w:val="both"/>
        <w:rPr>
          <w:rFonts w:ascii="Verdana" w:eastAsia="Calibri" w:hAnsi="Verdana" w:cs="Arial"/>
          <w:sz w:val="20"/>
          <w:szCs w:val="20"/>
          <w:lang w:val="es-ES"/>
        </w:rPr>
      </w:pPr>
      <w:r w:rsidRPr="00436551">
        <w:rPr>
          <w:rFonts w:ascii="Verdana" w:eastAsia="Times New Roman" w:hAnsi="Verdana" w:cs="Arial"/>
          <w:bCs/>
          <w:sz w:val="20"/>
          <w:szCs w:val="20"/>
          <w:lang w:val="es-ES" w:eastAsia="x-none"/>
        </w:rPr>
        <w:t>Aplicando este razonamiento a los establecimientos de crédito, a las sociedades de servicios financieros y a las entidades aseguradoras, encontramos que no pueden adquirir los suministros de bienes y servicios necesarios para la realización de su actividad por contratación directa sino por el mecanismo de la licitación pública, pero es obvio que si una de éstas entidades va a prestar un servicio financiero o de seguros a un particular, lo puede hacer, pues éstos se ofrecen a toda la comunidad en condiciones de igualdad. Si se supusiera que está prohibida su contratación directa, significaría la parálisis de tal actividad de interés público, lo que de ninguna manera es lo querido por la ley 996 de 2005”</w:t>
      </w:r>
      <w:r w:rsidRPr="00436551">
        <w:rPr>
          <w:rFonts w:ascii="Verdana" w:eastAsia="Calibri" w:hAnsi="Verdana" w:cs="Arial"/>
          <w:sz w:val="20"/>
          <w:szCs w:val="20"/>
          <w:vertAlign w:val="superscript"/>
          <w:lang w:val="es-ES"/>
        </w:rPr>
        <w:footnoteReference w:id="20"/>
      </w:r>
      <w:r w:rsidRPr="00436551">
        <w:rPr>
          <w:rFonts w:ascii="Verdana" w:eastAsia="Times New Roman" w:hAnsi="Verdana" w:cs="Arial"/>
          <w:bCs/>
          <w:sz w:val="20"/>
          <w:szCs w:val="20"/>
          <w:lang w:val="es-ES" w:eastAsia="x-none"/>
        </w:rPr>
        <w:t>.</w:t>
      </w:r>
    </w:p>
    <w:p w14:paraId="02C57B60" w14:textId="77777777" w:rsidR="009C3042" w:rsidRPr="00436551" w:rsidRDefault="009C3042" w:rsidP="009C3042">
      <w:pPr>
        <w:spacing w:after="0" w:line="276" w:lineRule="auto"/>
        <w:ind w:left="709" w:right="709"/>
        <w:jc w:val="both"/>
        <w:rPr>
          <w:rFonts w:ascii="Verdana" w:eastAsia="Times New Roman" w:hAnsi="Verdana" w:cs="Arial"/>
          <w:bCs/>
          <w:lang w:val="es-ES" w:eastAsia="es-CO"/>
        </w:rPr>
      </w:pPr>
    </w:p>
    <w:p w14:paraId="6D1AC20D" w14:textId="77777777" w:rsidR="009C3042" w:rsidRPr="00436551" w:rsidRDefault="009C3042" w:rsidP="009C3042">
      <w:pPr>
        <w:spacing w:after="120" w:line="276" w:lineRule="auto"/>
        <w:ind w:firstLine="709"/>
        <w:jc w:val="both"/>
        <w:rPr>
          <w:rFonts w:ascii="Verdana" w:eastAsia="Times New Roman" w:hAnsi="Verdana" w:cs="Arial"/>
          <w:lang w:val="es-ES" w:eastAsia="es-CO"/>
        </w:rPr>
      </w:pPr>
      <w:r w:rsidRPr="00436551">
        <w:rPr>
          <w:rFonts w:ascii="Verdana" w:eastAsia="Calibri" w:hAnsi="Verdana" w:cs="Arial"/>
          <w:lang w:val="es-ES"/>
        </w:rPr>
        <w:t xml:space="preserve">De acuerdo con estos pronunciamientos de la Sala de Consulta y Servicio Civil del Consejo de Estado, la prohibición de la contratación directa también aplica frente a las entidades exceptuadas de la aplicación del EGCAP y que se rigen en materia contractual por el derecho privado. Sin embargo, señaló que </w:t>
      </w:r>
      <w:r w:rsidRPr="00436551">
        <w:rPr>
          <w:rFonts w:ascii="Verdana" w:eastAsia="Calibri" w:hAnsi="Verdana" w:cs="Arial"/>
          <w:lang w:val="es-ES"/>
        </w:rPr>
        <w:lastRenderedPageBreak/>
        <w:t xml:space="preserve">algunas de estas entidades, como sucede con las empresas de servicios públicos domiciliarios, los </w:t>
      </w:r>
      <w:r w:rsidRPr="00436551">
        <w:rPr>
          <w:rFonts w:ascii="Verdana" w:eastAsia="Times New Roman" w:hAnsi="Verdana" w:cs="Arial"/>
          <w:bCs/>
          <w:lang w:val="es-ES" w:eastAsia="x-none"/>
        </w:rPr>
        <w:t>establecimientos de crédito, las sociedades de servicios financieros y las entidades aseguradoras</w:t>
      </w:r>
      <w:r w:rsidRPr="00436551">
        <w:rPr>
          <w:rFonts w:ascii="Verdana" w:eastAsia="Calibri" w:hAnsi="Verdana" w:cs="Arial"/>
          <w:lang w:val="es-ES"/>
        </w:rPr>
        <w:t xml:space="preserve">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r w:rsidRPr="00436551">
        <w:rPr>
          <w:rFonts w:ascii="Verdana" w:eastAsia="Calibri" w:hAnsi="Verdana" w:cs="Arial"/>
          <w:vertAlign w:val="superscript"/>
          <w:lang w:val="es-ES"/>
        </w:rPr>
        <w:footnoteReference w:id="21"/>
      </w:r>
      <w:r w:rsidRPr="00436551">
        <w:rPr>
          <w:rFonts w:ascii="Verdana" w:eastAsia="Calibri" w:hAnsi="Verdana" w:cs="Arial"/>
          <w:lang w:val="es-ES"/>
        </w:rPr>
        <w:t>.</w:t>
      </w:r>
      <w:r w:rsidRPr="00436551">
        <w:rPr>
          <w:rFonts w:ascii="Verdana" w:eastAsia="Times New Roman" w:hAnsi="Verdana" w:cs="Arial"/>
          <w:lang w:val="es-ES" w:eastAsia="es-CO"/>
        </w:rPr>
        <w:t xml:space="preserve"> </w:t>
      </w:r>
    </w:p>
    <w:p w14:paraId="36936510" w14:textId="77777777" w:rsidR="009C3042" w:rsidRPr="00436551" w:rsidRDefault="009C3042" w:rsidP="009C3042">
      <w:pPr>
        <w:spacing w:after="120" w:line="276" w:lineRule="auto"/>
        <w:ind w:firstLine="708"/>
        <w:jc w:val="both"/>
        <w:rPr>
          <w:rFonts w:ascii="Verdana" w:hAnsi="Verdana" w:cs="Arial"/>
          <w:bCs/>
          <w:sz w:val="20"/>
          <w:szCs w:val="20"/>
          <w:lang w:val="es-ES" w:eastAsia="es-CO"/>
        </w:rPr>
      </w:pPr>
      <w:r w:rsidRPr="00436551">
        <w:rPr>
          <w:rFonts w:ascii="Verdana" w:hAnsi="Verdana" w:cs="Arial"/>
          <w:bCs/>
          <w:lang w:val="es-ES" w:eastAsia="x-none"/>
        </w:rPr>
        <w:t>En consecuencia, el artículo 33 de la Ley 996 de 2005 señala expresamente que los destinatarios de la prohibición son “todos los entes del Estado”, expresión que contempla a los diferentes organismos o entidades autorizadas por la ley para suscribir contratos.</w:t>
      </w:r>
      <w:r w:rsidRPr="00436551">
        <w:rPr>
          <w:rFonts w:ascii="Verdana" w:hAnsi="Verdana"/>
          <w:lang w:val="es-ES"/>
        </w:rPr>
        <w:t xml:space="preserve"> </w:t>
      </w:r>
      <w:r w:rsidRPr="00436551">
        <w:rPr>
          <w:rFonts w:ascii="Verdana" w:hAnsi="Verdana" w:cs="Arial"/>
          <w:bCs/>
          <w:lang w:val="es-ES" w:eastAsia="x-none"/>
        </w:rPr>
        <w:t>En efecto, tal como lo ha sostenido el Consejo de Estado, el vocablo “todos” utilizado por el legislador comprende</w:t>
      </w:r>
      <w:r w:rsidRPr="00436551">
        <w:rPr>
          <w:rFonts w:ascii="Verdana" w:hAnsi="Verdana"/>
          <w:lang w:val="es-ES"/>
        </w:rPr>
        <w:t xml:space="preserve"> </w:t>
      </w:r>
      <w:r w:rsidRPr="00436551">
        <w:rPr>
          <w:rFonts w:ascii="Verdana" w:hAnsi="Verdana" w:cs="Arial"/>
          <w:bCs/>
          <w:lang w:val="es-ES" w:eastAsia="x-none"/>
        </w:rPr>
        <w:t>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r w:rsidRPr="00436551">
        <w:rPr>
          <w:rStyle w:val="Refdenotaalpie"/>
          <w:rFonts w:ascii="Verdana" w:hAnsi="Verdana" w:cs="Arial"/>
          <w:bCs/>
          <w:sz w:val="20"/>
          <w:szCs w:val="20"/>
          <w:lang w:val="es-ES" w:eastAsia="x-none"/>
        </w:rPr>
        <w:footnoteReference w:id="22"/>
      </w:r>
      <w:r w:rsidRPr="00436551">
        <w:rPr>
          <w:rFonts w:ascii="Verdana" w:hAnsi="Verdana" w:cs="Arial"/>
          <w:bCs/>
          <w:sz w:val="20"/>
          <w:szCs w:val="20"/>
          <w:lang w:val="es-ES" w:eastAsia="x-none"/>
        </w:rPr>
        <w:t>.</w:t>
      </w:r>
    </w:p>
    <w:p w14:paraId="4F98D66D" w14:textId="77777777" w:rsidR="009C3042" w:rsidRPr="00436551" w:rsidRDefault="009C3042" w:rsidP="009C3042">
      <w:pPr>
        <w:spacing w:after="120" w:line="276" w:lineRule="auto"/>
        <w:ind w:firstLine="709"/>
        <w:jc w:val="both"/>
        <w:rPr>
          <w:rFonts w:ascii="Verdana" w:eastAsia="Arial" w:hAnsi="Verdana" w:cs="Arial"/>
          <w:bCs/>
          <w:color w:val="000000" w:themeColor="text1"/>
          <w:lang w:val="es-ES"/>
        </w:rPr>
      </w:pPr>
      <w:r w:rsidRPr="00436551">
        <w:rPr>
          <w:rFonts w:ascii="Verdana" w:eastAsia="Arial" w:hAnsi="Verdana" w:cs="Arial"/>
          <w:color w:val="000000" w:themeColor="text1"/>
          <w:lang w:val="es-ES"/>
        </w:rPr>
        <w:t xml:space="preserve">Por lo tanto, la restricción del artículo 33 prevista en la Ley 996 de 2005, teniendo en cuenta la finalidad de la Ley de Garantías Electorales, cobija a cualquier ente público que, mediante la contratación directa, pueda romper el equilibrio entre los partidos y los candidatos en las elecciones presidenciales. En ese sentido, esta prohibición no contempla un supuesto de exoneración por tener un régimen especial de los actos o contratos, pues, la posibilidad de que los entes del Estado utilicen la contratación con fines políticos, esto es, con la intención de influir a los electores y alterar la voluntad popular en las contiendas </w:t>
      </w:r>
      <w:r w:rsidRPr="00436551">
        <w:rPr>
          <w:rFonts w:ascii="Verdana" w:eastAsia="Arial" w:hAnsi="Verdana" w:cs="Arial"/>
          <w:color w:val="000000" w:themeColor="text1"/>
          <w:lang w:val="es-ES"/>
        </w:rPr>
        <w:lastRenderedPageBreak/>
        <w:t>electorales, se puede presentar tanto en la contratación regulada por la Ley 80 de 1993 como en la regida por el derecho privado o normas especiales.</w:t>
      </w:r>
    </w:p>
    <w:p w14:paraId="3566F59B" w14:textId="77777777" w:rsidR="009C3042" w:rsidRPr="00436551" w:rsidRDefault="009C3042" w:rsidP="009C3042">
      <w:pPr>
        <w:spacing w:after="120" w:line="276" w:lineRule="auto"/>
        <w:ind w:firstLine="709"/>
        <w:jc w:val="both"/>
        <w:rPr>
          <w:rFonts w:ascii="Verdana" w:hAnsi="Verdana" w:cs="Arial"/>
          <w:bCs/>
          <w:color w:val="000000" w:themeColor="text1"/>
          <w:lang w:val="es-ES"/>
        </w:rPr>
      </w:pPr>
      <w:r w:rsidRPr="00436551">
        <w:rPr>
          <w:rFonts w:ascii="Verdana" w:eastAsia="Arial" w:hAnsi="Verdana" w:cs="Arial"/>
          <w:bCs/>
          <w:color w:val="000000" w:themeColor="text1"/>
          <w:lang w:val="es-ES"/>
        </w:rPr>
        <w:t xml:space="preserve">En este punto, debe tenerse en cuenta que, en principio, todos los entes del Estado están cobijados por la prohibición para contratar directamente establecida en el artículo 33 de la Ley de Garantías Electorales. Sin embargo, es importante reiterar que </w:t>
      </w:r>
      <w:r w:rsidRPr="00436551">
        <w:rPr>
          <w:rFonts w:ascii="Verdana" w:hAnsi="Verdana" w:cs="Arial"/>
          <w:bCs/>
          <w:color w:val="000000" w:themeColor="text1"/>
          <w:lang w:val="es-ES"/>
        </w:rPr>
        <w:t>el segundo inciso de la misma disposición consagró las excepciones aplicables a la prohibición de contratación directa establecida en el mismo artículo. Como se indicó, las excepciones a la prohibición del artículo 33 de la norma mencionada son las siguientes:</w:t>
      </w:r>
    </w:p>
    <w:p w14:paraId="49E90543" w14:textId="77777777" w:rsidR="009C3042" w:rsidRPr="00436551" w:rsidRDefault="009C3042" w:rsidP="009C3042">
      <w:pPr>
        <w:tabs>
          <w:tab w:val="left" w:pos="709"/>
        </w:tabs>
        <w:spacing w:after="120" w:line="276" w:lineRule="auto"/>
        <w:jc w:val="both"/>
        <w:rPr>
          <w:rFonts w:ascii="Verdana" w:hAnsi="Verdana" w:cs="Arial"/>
          <w:bCs/>
          <w:color w:val="000000" w:themeColor="text1"/>
          <w:lang w:val="es-ES"/>
        </w:rPr>
      </w:pPr>
      <w:r w:rsidRPr="00436551">
        <w:rPr>
          <w:rFonts w:ascii="Verdana" w:hAnsi="Verdana" w:cs="Arial"/>
          <w:bCs/>
          <w:color w:val="000000" w:themeColor="text1"/>
          <w:lang w:val="es-ES"/>
        </w:rPr>
        <w:tab/>
        <w:t>1) La contratación referente a la defensa y seguridad del Estado;</w:t>
      </w:r>
    </w:p>
    <w:p w14:paraId="0B7BBFE6" w14:textId="77777777" w:rsidR="009C3042" w:rsidRPr="00436551" w:rsidRDefault="009C3042" w:rsidP="009C3042">
      <w:pPr>
        <w:tabs>
          <w:tab w:val="left" w:pos="709"/>
        </w:tabs>
        <w:spacing w:after="120" w:line="276" w:lineRule="auto"/>
        <w:jc w:val="both"/>
        <w:rPr>
          <w:rFonts w:ascii="Verdana" w:hAnsi="Verdana" w:cs="Arial"/>
          <w:bCs/>
          <w:color w:val="000000" w:themeColor="text1"/>
          <w:lang w:val="es-ES"/>
        </w:rPr>
      </w:pPr>
      <w:r w:rsidRPr="00436551">
        <w:rPr>
          <w:rFonts w:ascii="Verdana" w:hAnsi="Verdana" w:cs="Arial"/>
          <w:bCs/>
          <w:color w:val="000000" w:themeColor="text1"/>
          <w:lang w:val="es-ES"/>
        </w:rPr>
        <w:tab/>
        <w:t>2) Los contratos de crédito público;</w:t>
      </w:r>
    </w:p>
    <w:p w14:paraId="257D84E4" w14:textId="77777777" w:rsidR="009C3042" w:rsidRPr="00436551" w:rsidRDefault="009C3042" w:rsidP="009C3042">
      <w:pPr>
        <w:tabs>
          <w:tab w:val="left" w:pos="709"/>
        </w:tabs>
        <w:spacing w:after="120" w:line="276" w:lineRule="auto"/>
        <w:jc w:val="both"/>
        <w:rPr>
          <w:rFonts w:ascii="Verdana" w:hAnsi="Verdana" w:cs="Arial"/>
          <w:bCs/>
          <w:color w:val="000000" w:themeColor="text1"/>
          <w:lang w:val="es-ES"/>
        </w:rPr>
      </w:pPr>
      <w:r w:rsidRPr="00436551">
        <w:rPr>
          <w:rFonts w:ascii="Verdana" w:hAnsi="Verdana" w:cs="Arial"/>
          <w:bCs/>
          <w:color w:val="000000" w:themeColor="text1"/>
          <w:lang w:val="es-ES"/>
        </w:rPr>
        <w:tab/>
        <w:t xml:space="preserve">3) Los contratos requeridos para cubrir las </w:t>
      </w:r>
      <w:r w:rsidRPr="00436551">
        <w:rPr>
          <w:rFonts w:ascii="Verdana" w:hAnsi="Verdana" w:cs="Arial"/>
          <w:bCs/>
          <w:i/>
          <w:iCs/>
          <w:color w:val="000000" w:themeColor="text1"/>
          <w:lang w:val="es-ES"/>
        </w:rPr>
        <w:t>emergencias</w:t>
      </w:r>
      <w:r w:rsidRPr="00436551">
        <w:rPr>
          <w:rFonts w:ascii="Verdana" w:hAnsi="Verdana" w:cs="Arial"/>
          <w:bCs/>
          <w:color w:val="000000" w:themeColor="text1"/>
          <w:lang w:val="es-ES"/>
        </w:rPr>
        <w:t xml:space="preserve"> educativas, sanitarias y desastres; </w:t>
      </w:r>
    </w:p>
    <w:p w14:paraId="5B5FEA5B" w14:textId="77777777" w:rsidR="009C3042" w:rsidRPr="00436551" w:rsidRDefault="009C3042" w:rsidP="009C3042">
      <w:pPr>
        <w:tabs>
          <w:tab w:val="left" w:pos="709"/>
        </w:tabs>
        <w:spacing w:after="120" w:line="276" w:lineRule="auto"/>
        <w:jc w:val="both"/>
        <w:rPr>
          <w:rFonts w:ascii="Verdana" w:hAnsi="Verdana" w:cs="Arial"/>
          <w:bCs/>
          <w:color w:val="000000" w:themeColor="text1"/>
          <w:lang w:val="es-ES"/>
        </w:rPr>
      </w:pPr>
      <w:r w:rsidRPr="00436551">
        <w:rPr>
          <w:rFonts w:ascii="Verdana" w:hAnsi="Verdana" w:cs="Arial"/>
          <w:bCs/>
          <w:color w:val="000000" w:themeColor="text1"/>
          <w:lang w:val="es-ES"/>
        </w:rPr>
        <w:tab/>
        <w:t>4) La contratación para la reconstrucción de vías, puentes, carreteras, infraestructura energética y de comunicaciones, en caso de que hayan sido objeto de atentados, acciones terroristas, desastres naturales o casos de fuerza mayor y;</w:t>
      </w:r>
    </w:p>
    <w:p w14:paraId="09AE827F" w14:textId="77777777" w:rsidR="009C3042" w:rsidRPr="00436551" w:rsidRDefault="009C3042" w:rsidP="009C3042">
      <w:pPr>
        <w:tabs>
          <w:tab w:val="left" w:pos="709"/>
        </w:tabs>
        <w:spacing w:after="120" w:line="276" w:lineRule="auto"/>
        <w:jc w:val="both"/>
        <w:rPr>
          <w:rFonts w:ascii="Verdana" w:hAnsi="Verdana" w:cs="Arial"/>
          <w:bCs/>
          <w:i/>
          <w:iCs/>
          <w:color w:val="000000" w:themeColor="text1"/>
          <w:lang w:val="es-ES"/>
        </w:rPr>
      </w:pPr>
      <w:r w:rsidRPr="00436551">
        <w:rPr>
          <w:rFonts w:ascii="Verdana" w:hAnsi="Verdana" w:cs="Arial"/>
          <w:bCs/>
          <w:color w:val="000000" w:themeColor="text1"/>
          <w:lang w:val="es-ES"/>
        </w:rPr>
        <w:tab/>
        <w:t xml:space="preserve">5) </w:t>
      </w:r>
      <w:r w:rsidRPr="00436551">
        <w:rPr>
          <w:rFonts w:ascii="Verdana" w:hAnsi="Verdana" w:cs="Arial"/>
          <w:bCs/>
          <w:i/>
          <w:iCs/>
          <w:color w:val="000000" w:themeColor="text1"/>
          <w:lang w:val="es-ES"/>
        </w:rPr>
        <w:t xml:space="preserve">La contratación que deban realizar las entidades sanitarias y hospitalarias. </w:t>
      </w:r>
    </w:p>
    <w:p w14:paraId="27E6C2C6" w14:textId="77777777" w:rsidR="00E32C3E" w:rsidRPr="00FC6F34" w:rsidRDefault="00E32C3E" w:rsidP="00E32C3E">
      <w:pPr>
        <w:spacing w:before="240" w:line="276" w:lineRule="auto"/>
        <w:ind w:firstLine="709"/>
        <w:jc w:val="both"/>
        <w:rPr>
          <w:rFonts w:ascii="Verdana" w:hAnsi="Verdana" w:cs="Arial"/>
          <w:lang w:val="es-ES" w:eastAsia="x-none"/>
        </w:rPr>
      </w:pPr>
      <w:r w:rsidRPr="00FC6F34">
        <w:rPr>
          <w:rFonts w:ascii="Verdana" w:hAnsi="Verdana" w:cs="Arial"/>
          <w:lang w:val="es-ES" w:eastAsia="x-none"/>
        </w:rPr>
        <w:t>Como lo anotó la Corte Constitucional, en Sentencia C-1153 de noviembre 11 de 2005, “si bien la limitación garantiza la igualdad de condiciones, también es necesario que tal limitación que pretende la igualdad no termine yendo en detrimento de intereses públicos, cuya garantía está en cabeza del ejecutivo, como son los inmersos en las excepciones para la prohibición de contratación”</w:t>
      </w:r>
      <w:r w:rsidRPr="00FC6F34">
        <w:rPr>
          <w:rFonts w:ascii="Verdana" w:hAnsi="Verdana" w:cs="Arial"/>
          <w:color w:val="000000" w:themeColor="text1"/>
          <w:vertAlign w:val="superscript"/>
          <w:lang w:val="es-ES" w:eastAsia="es-CO"/>
        </w:rPr>
        <w:t xml:space="preserve"> </w:t>
      </w:r>
      <w:r w:rsidRPr="00FC6F34">
        <w:rPr>
          <w:rFonts w:ascii="Verdana" w:hAnsi="Verdana" w:cs="Arial"/>
          <w:color w:val="000000" w:themeColor="text1"/>
          <w:vertAlign w:val="superscript"/>
          <w:lang w:val="es-ES" w:eastAsia="es-CO"/>
        </w:rPr>
        <w:footnoteReference w:id="23"/>
      </w:r>
      <w:r w:rsidRPr="00FC6F34">
        <w:rPr>
          <w:rFonts w:ascii="Verdana" w:hAnsi="Verdana" w:cs="Arial"/>
          <w:lang w:val="es-ES" w:eastAsia="x-none"/>
        </w:rPr>
        <w:t>. De ahí que la Corte haya hecho particular énfasis en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p>
    <w:p w14:paraId="5ACADE0D" w14:textId="77777777" w:rsidR="00E32C3E" w:rsidRPr="00FC6F34" w:rsidRDefault="00E32C3E" w:rsidP="00E32C3E">
      <w:pPr>
        <w:tabs>
          <w:tab w:val="left" w:pos="426"/>
        </w:tabs>
        <w:spacing w:before="120" w:line="276" w:lineRule="auto"/>
        <w:ind w:firstLine="709"/>
        <w:jc w:val="both"/>
        <w:rPr>
          <w:rFonts w:ascii="Verdana" w:hAnsi="Verdana" w:cs="Arial"/>
          <w:bCs/>
          <w:color w:val="000000" w:themeColor="text1"/>
          <w:lang w:val="es-ES"/>
        </w:rPr>
      </w:pPr>
      <w:r w:rsidRPr="00FC6F34">
        <w:rPr>
          <w:rFonts w:ascii="Verdana" w:hAnsi="Verdana" w:cs="Arial"/>
          <w:bCs/>
          <w:color w:val="000000" w:themeColor="text1"/>
          <w:lang w:val="es-ES"/>
        </w:rPr>
        <w:t xml:space="preserve">La Sala de Consulta y Servicio Civil del Consejo de Estado, en concepto del 4 de febrero de 2010, se pronunció frente a las razones por las que el </w:t>
      </w:r>
      <w:r w:rsidRPr="00FC6F34">
        <w:rPr>
          <w:rFonts w:ascii="Verdana" w:hAnsi="Verdana" w:cs="Arial"/>
          <w:bCs/>
          <w:color w:val="000000" w:themeColor="text1"/>
          <w:lang w:val="es-ES"/>
        </w:rPr>
        <w:lastRenderedPageBreak/>
        <w:t xml:space="preserve">legislador consagró excepciones al artículo 33 de la Ley de Garantías Electorales en los siguientes términos: </w:t>
      </w:r>
    </w:p>
    <w:p w14:paraId="33B57470" w14:textId="77777777" w:rsidR="00E32C3E" w:rsidRPr="00FC6F34" w:rsidRDefault="00E32C3E" w:rsidP="00E32C3E">
      <w:pPr>
        <w:shd w:val="clear" w:color="auto" w:fill="FFFFFF"/>
        <w:ind w:left="709" w:right="709"/>
        <w:jc w:val="both"/>
        <w:rPr>
          <w:rFonts w:ascii="Verdana" w:hAnsi="Verdana" w:cs="Arial"/>
          <w:color w:val="000000" w:themeColor="text1"/>
          <w:sz w:val="20"/>
          <w:szCs w:val="20"/>
          <w:lang w:val="es-ES" w:eastAsia="es-CO"/>
        </w:rPr>
      </w:pPr>
      <w:r w:rsidRPr="00FC6F34">
        <w:rPr>
          <w:rFonts w:ascii="Verdana" w:hAnsi="Verdana" w:cs="Arial"/>
          <w:color w:val="000000" w:themeColor="text1"/>
          <w:sz w:val="20"/>
          <w:szCs w:val="20"/>
          <w:lang w:val="es-ES" w:eastAsia="es-CO"/>
        </w:rPr>
        <w:t>“[…] Las excepciones establecidas en los artículos 32 y 33 en comento, guardan relación, exclusivamente, con algunos servicios públicos que por su naturaleza no admiten postergaciones en la atención de sus necesidades de personal, bienes y servicios [...]</w:t>
      </w:r>
      <w:r w:rsidRPr="00FC6F34">
        <w:rPr>
          <w:rFonts w:ascii="Verdana" w:hAnsi="Verdana" w:cs="Arial"/>
          <w:color w:val="000000" w:themeColor="text1"/>
          <w:sz w:val="20"/>
          <w:szCs w:val="20"/>
          <w:vertAlign w:val="superscript"/>
          <w:lang w:val="es-ES" w:eastAsia="es-CO"/>
        </w:rPr>
        <w:footnoteReference w:id="24"/>
      </w:r>
      <w:r w:rsidRPr="00FC6F34">
        <w:rPr>
          <w:rFonts w:ascii="Verdana" w:hAnsi="Verdana" w:cs="Arial"/>
          <w:color w:val="000000" w:themeColor="text1"/>
          <w:sz w:val="20"/>
          <w:szCs w:val="20"/>
          <w:lang w:val="es-ES" w:eastAsia="es-CO"/>
        </w:rPr>
        <w:t xml:space="preserve">”. </w:t>
      </w:r>
    </w:p>
    <w:p w14:paraId="5340ACC0" w14:textId="77777777" w:rsidR="00E32C3E" w:rsidRPr="00FC6F34" w:rsidRDefault="00E32C3E" w:rsidP="00E32C3E">
      <w:pPr>
        <w:tabs>
          <w:tab w:val="left" w:pos="426"/>
        </w:tabs>
        <w:spacing w:before="120" w:after="0" w:line="276" w:lineRule="auto"/>
        <w:ind w:firstLine="709"/>
        <w:jc w:val="both"/>
        <w:rPr>
          <w:rFonts w:ascii="Verdana" w:hAnsi="Verdana" w:cs="Arial"/>
          <w:color w:val="000000" w:themeColor="text1"/>
          <w:lang w:val="es-ES"/>
        </w:rPr>
      </w:pPr>
      <w:r w:rsidRPr="00FC6F34">
        <w:rPr>
          <w:rFonts w:ascii="Verdana" w:hAnsi="Verdana" w:cs="Arial"/>
          <w:bCs/>
          <w:color w:val="000000" w:themeColor="text1"/>
          <w:lang w:val="es-ES"/>
        </w:rPr>
        <w:t>Por tanto, las excepciones a la prohibición contenida en el inciso segundo de artículo 33 de la ley de garantías electorales tienen por finalidad garantizar la realización ininterrumpida de ciertas actividades que, dada su importancia en el orden interno, se verían irrazonablemente afectadas por la restricción. De igual forma, la Sala de Consulta y Servicio Civil del Consejo de Estado, en concepto del 2 de septiembre de 2013</w:t>
      </w:r>
      <w:r w:rsidRPr="00FC6F34">
        <w:rPr>
          <w:rFonts w:ascii="Verdana" w:hAnsi="Verdana" w:cs="Arial"/>
          <w:color w:val="000000" w:themeColor="text1"/>
          <w:lang w:val="es-ES"/>
        </w:rPr>
        <w:t xml:space="preserve">, mencionó las excepciones a la prohibición del artículo 33 de la Ley de Garantías Electorales, resaltando su carácter taxativo, y señalando la independencia de los supuestos, así: </w:t>
      </w:r>
    </w:p>
    <w:p w14:paraId="73302733" w14:textId="77777777" w:rsidR="00E32C3E" w:rsidRPr="00FC6F34" w:rsidRDefault="00E32C3E" w:rsidP="00E32C3E">
      <w:pPr>
        <w:tabs>
          <w:tab w:val="left" w:pos="426"/>
        </w:tabs>
        <w:spacing w:after="0" w:line="276" w:lineRule="auto"/>
        <w:ind w:firstLine="709"/>
        <w:jc w:val="both"/>
        <w:rPr>
          <w:rFonts w:ascii="Verdana" w:hAnsi="Verdana" w:cs="Arial"/>
          <w:color w:val="000000" w:themeColor="text1"/>
          <w:lang w:val="es-ES"/>
        </w:rPr>
      </w:pPr>
    </w:p>
    <w:p w14:paraId="195CCD7C" w14:textId="77777777" w:rsidR="00E32C3E" w:rsidRPr="00FC6F34" w:rsidRDefault="00E32C3E" w:rsidP="00E32C3E">
      <w:pPr>
        <w:tabs>
          <w:tab w:val="left" w:pos="426"/>
        </w:tabs>
        <w:spacing w:after="0"/>
        <w:ind w:right="709"/>
        <w:jc w:val="both"/>
        <w:rPr>
          <w:rFonts w:ascii="Verdana" w:hAnsi="Verdana" w:cs="Arial"/>
          <w:color w:val="000000" w:themeColor="text1"/>
          <w:sz w:val="20"/>
          <w:szCs w:val="20"/>
          <w:lang w:val="es-ES"/>
        </w:rPr>
      </w:pPr>
      <w:r w:rsidRPr="00FC6F34">
        <w:rPr>
          <w:rFonts w:ascii="Arial" w:hAnsi="Arial" w:cs="Arial"/>
          <w:color w:val="000000" w:themeColor="text1"/>
          <w:sz w:val="21"/>
          <w:szCs w:val="21"/>
          <w:lang w:val="es-ES"/>
        </w:rPr>
        <w:tab/>
      </w:r>
      <w:r w:rsidRPr="00FC6F34">
        <w:rPr>
          <w:rFonts w:ascii="Arial" w:hAnsi="Arial" w:cs="Arial"/>
          <w:color w:val="000000" w:themeColor="text1"/>
          <w:sz w:val="21"/>
          <w:szCs w:val="21"/>
          <w:lang w:val="es-ES"/>
        </w:rPr>
        <w:tab/>
        <w:t>“</w:t>
      </w:r>
      <w:r w:rsidRPr="00FC6F34">
        <w:rPr>
          <w:rFonts w:ascii="Verdana" w:hAnsi="Verdana" w:cs="Arial"/>
          <w:color w:val="000000" w:themeColor="text1"/>
          <w:sz w:val="20"/>
          <w:szCs w:val="20"/>
          <w:lang w:val="es-ES"/>
        </w:rPr>
        <w:t xml:space="preserve">[…] </w:t>
      </w:r>
      <w:r w:rsidRPr="00FC6F34">
        <w:rPr>
          <w:rFonts w:ascii="Verdana" w:hAnsi="Verdana" w:cs="Arial"/>
          <w:i/>
          <w:color w:val="000000" w:themeColor="text1"/>
          <w:sz w:val="20"/>
          <w:szCs w:val="20"/>
          <w:lang w:val="es-ES"/>
        </w:rPr>
        <w:t>Las excepciones aplicables a la restricción de contratación pública</w:t>
      </w:r>
    </w:p>
    <w:p w14:paraId="1843CE90" w14:textId="77777777" w:rsidR="00E32C3E" w:rsidRPr="00FC6F34" w:rsidRDefault="00E32C3E" w:rsidP="00E32C3E">
      <w:pPr>
        <w:spacing w:after="0"/>
        <w:ind w:left="709" w:right="709"/>
        <w:jc w:val="both"/>
        <w:rPr>
          <w:rFonts w:ascii="Verdana" w:hAnsi="Verdana" w:cs="Arial"/>
          <w:color w:val="000000" w:themeColor="text1"/>
          <w:sz w:val="20"/>
          <w:szCs w:val="20"/>
          <w:shd w:val="clear" w:color="auto" w:fill="FFFFFF"/>
          <w:lang w:val="es-ES"/>
        </w:rPr>
      </w:pPr>
      <w:r w:rsidRPr="00FC6F34">
        <w:rPr>
          <w:rFonts w:ascii="Verdana" w:hAnsi="Verdana" w:cs="Arial"/>
          <w:color w:val="000000" w:themeColor="text1"/>
          <w:sz w:val="20"/>
          <w:szCs w:val="20"/>
          <w:shd w:val="clear" w:color="auto" w:fill="FFFFFF"/>
          <w:lang w:val="es-ES"/>
        </w:rPr>
        <w:t>Ahora bien, las únicas excepciones a las disposiciones previstas en la Ley de Garantías se encuentran numeradas taxativamente en el último inciso del artículo 33 de la ley 996 de 2005, dentro de las que se encuentran:</w:t>
      </w:r>
    </w:p>
    <w:p w14:paraId="7C582CD8" w14:textId="77777777" w:rsidR="00E32C3E" w:rsidRPr="00FC6F34" w:rsidRDefault="00E32C3E" w:rsidP="00E32C3E">
      <w:pPr>
        <w:spacing w:after="0"/>
        <w:ind w:left="709" w:right="709"/>
        <w:jc w:val="both"/>
        <w:rPr>
          <w:rFonts w:ascii="Verdana" w:hAnsi="Verdana" w:cs="Arial"/>
          <w:color w:val="000000" w:themeColor="text1"/>
          <w:sz w:val="20"/>
          <w:szCs w:val="20"/>
          <w:shd w:val="clear" w:color="auto" w:fill="FFFFFF"/>
          <w:lang w:val="es-ES"/>
        </w:rPr>
      </w:pPr>
      <w:r w:rsidRPr="00FC6F34">
        <w:rPr>
          <w:rFonts w:ascii="Verdana" w:hAnsi="Verdana" w:cs="Arial"/>
          <w:color w:val="000000" w:themeColor="text1"/>
          <w:sz w:val="20"/>
          <w:szCs w:val="20"/>
          <w:shd w:val="clear" w:color="auto" w:fill="FFFFFF"/>
          <w:lang w:val="es-ES"/>
        </w:rPr>
        <w:t xml:space="preserve">[…] </w:t>
      </w:r>
    </w:p>
    <w:p w14:paraId="5DBD660F" w14:textId="77777777" w:rsidR="00E32C3E" w:rsidRPr="00FC6F34" w:rsidRDefault="00E32C3E" w:rsidP="00E32C3E">
      <w:pPr>
        <w:spacing w:after="0"/>
        <w:ind w:left="709" w:right="709"/>
        <w:jc w:val="both"/>
        <w:rPr>
          <w:rFonts w:ascii="Verdana" w:hAnsi="Verdana" w:cs="Arial"/>
          <w:color w:val="000000" w:themeColor="text1"/>
          <w:sz w:val="20"/>
          <w:szCs w:val="20"/>
          <w:shd w:val="clear" w:color="auto" w:fill="FFFFFF"/>
          <w:lang w:val="es-ES"/>
        </w:rPr>
      </w:pPr>
      <w:r w:rsidRPr="00FC6F34">
        <w:rPr>
          <w:rFonts w:ascii="Verdana" w:hAnsi="Verdana" w:cs="Arial"/>
          <w:color w:val="000000" w:themeColor="text1"/>
          <w:sz w:val="20"/>
          <w:szCs w:val="20"/>
          <w:shd w:val="clear" w:color="auto" w:fill="FFFFFF"/>
          <w:lang w:val="es-ES"/>
        </w:rPr>
        <w:t>5. Los que deban realizar las entidades sanitarias y hospitalarias […]</w:t>
      </w:r>
      <w:r w:rsidRPr="00FC6F34">
        <w:rPr>
          <w:rFonts w:ascii="Verdana" w:hAnsi="Verdana" w:cs="Arial"/>
          <w:color w:val="000000" w:themeColor="text1"/>
          <w:sz w:val="20"/>
          <w:szCs w:val="20"/>
          <w:shd w:val="clear" w:color="auto" w:fill="FFFFFF"/>
          <w:vertAlign w:val="superscript"/>
          <w:lang w:val="es-ES"/>
        </w:rPr>
        <w:footnoteReference w:id="25"/>
      </w:r>
      <w:r w:rsidRPr="00FC6F34">
        <w:rPr>
          <w:rFonts w:ascii="Verdana" w:hAnsi="Verdana" w:cs="Arial"/>
          <w:color w:val="000000" w:themeColor="text1"/>
          <w:sz w:val="20"/>
          <w:szCs w:val="20"/>
          <w:shd w:val="clear" w:color="auto" w:fill="FFFFFF"/>
          <w:lang w:val="es-ES"/>
        </w:rPr>
        <w:t>.</w:t>
      </w:r>
    </w:p>
    <w:p w14:paraId="46013693" w14:textId="77777777" w:rsidR="00E32C3E" w:rsidRPr="00FC6F34" w:rsidRDefault="00E32C3E" w:rsidP="00E32C3E">
      <w:pPr>
        <w:spacing w:after="0"/>
        <w:ind w:left="709" w:right="709"/>
        <w:jc w:val="both"/>
        <w:rPr>
          <w:rFonts w:ascii="Verdana" w:hAnsi="Verdana" w:cs="Arial"/>
          <w:color w:val="000000" w:themeColor="text1"/>
          <w:sz w:val="20"/>
          <w:szCs w:val="20"/>
          <w:shd w:val="clear" w:color="auto" w:fill="FFFFFF"/>
          <w:lang w:val="es-ES"/>
        </w:rPr>
      </w:pPr>
    </w:p>
    <w:p w14:paraId="3797792C" w14:textId="77777777" w:rsidR="00E32C3E" w:rsidRPr="00FC6F34" w:rsidRDefault="00E32C3E" w:rsidP="00E32C3E">
      <w:pPr>
        <w:tabs>
          <w:tab w:val="left" w:pos="426"/>
        </w:tabs>
        <w:spacing w:line="276" w:lineRule="auto"/>
        <w:ind w:firstLine="709"/>
        <w:jc w:val="both"/>
        <w:rPr>
          <w:rFonts w:ascii="Verdana" w:hAnsi="Verdana" w:cs="Arial"/>
          <w:bCs/>
          <w:color w:val="000000" w:themeColor="text1"/>
          <w:lang w:val="es-ES"/>
        </w:rPr>
      </w:pPr>
      <w:r w:rsidRPr="00FC6F34">
        <w:rPr>
          <w:rFonts w:ascii="Verdana" w:hAnsi="Verdana" w:cs="Arial"/>
          <w:bCs/>
          <w:color w:val="000000" w:themeColor="text1"/>
          <w:lang w:val="es-ES"/>
        </w:rPr>
        <w:t>Lo anterior implica que las excepciones al artículo 33 en comento deben interpretarse y aplicarse de manera estricta. En otras palabras, no es factible hacer interpretaciones extensivas</w:t>
      </w:r>
      <w:r w:rsidRPr="00FC6F34">
        <w:rPr>
          <w:rFonts w:ascii="Verdana" w:hAnsi="Verdana" w:cs="Arial"/>
          <w:bCs/>
          <w:i/>
          <w:iCs/>
          <w:color w:val="000000" w:themeColor="text1"/>
          <w:lang w:val="es-ES"/>
        </w:rPr>
        <w:t xml:space="preserve"> </w:t>
      </w:r>
      <w:r w:rsidRPr="00FC6F34">
        <w:rPr>
          <w:rFonts w:ascii="Verdana" w:hAnsi="Verdana" w:cs="Arial"/>
          <w:bCs/>
          <w:color w:val="000000" w:themeColor="text1"/>
          <w:lang w:val="es-ES"/>
        </w:rPr>
        <w:t xml:space="preserve">para incluir otros supuestos de hecho similares a las circunstancias previstas en dicho artículo, pues el carácter taxativo implica que solo en los eventos consagrados expresamente en la norma permiten que ciertas entidades estatales se vean exceptuadas de la prohibición. </w:t>
      </w:r>
    </w:p>
    <w:p w14:paraId="491069AC" w14:textId="77777777" w:rsidR="00E32C3E" w:rsidRPr="00FC6F34" w:rsidRDefault="00E32C3E" w:rsidP="00E32C3E">
      <w:pPr>
        <w:tabs>
          <w:tab w:val="left" w:pos="426"/>
        </w:tabs>
        <w:spacing w:before="120" w:line="276" w:lineRule="auto"/>
        <w:ind w:firstLine="709"/>
        <w:jc w:val="both"/>
        <w:rPr>
          <w:rFonts w:ascii="Verdana" w:hAnsi="Verdana" w:cs="Arial"/>
          <w:bCs/>
          <w:color w:val="000000" w:themeColor="text1"/>
          <w:lang w:val="es-ES"/>
        </w:rPr>
      </w:pPr>
      <w:r w:rsidRPr="00FC6F34">
        <w:rPr>
          <w:rFonts w:ascii="Verdana" w:hAnsi="Verdana" w:cs="Arial"/>
          <w:bCs/>
          <w:color w:val="000000" w:themeColor="text1"/>
          <w:lang w:val="es-ES"/>
        </w:rPr>
        <w:t xml:space="preserve">Teniendo en cuenta el tema de su consulta, es pertinente analizar el quinto evento exceptuado de la prohibición, relacionado con la contratación por parte de entidades sanitarias y hospitalarias. Para ello, el artículo 94 de la Ley 100 de 1993 dispone que “la prestación de servicios de salud en forma directa por la nación o por las entidades territoriales, se hará principalmente a través </w:t>
      </w:r>
      <w:r w:rsidRPr="00FC6F34">
        <w:rPr>
          <w:rFonts w:ascii="Verdana" w:hAnsi="Verdana" w:cs="Arial"/>
          <w:bCs/>
          <w:color w:val="000000" w:themeColor="text1"/>
          <w:lang w:val="es-ES"/>
        </w:rPr>
        <w:lastRenderedPageBreak/>
        <w:t xml:space="preserve">de las Empresas Sociales del Estado, que constituyen una categoría especial de entidad pública descentralizada, con personería jurídica, patrimonio propio y autonomía administrativa, creadas por la Ley o por las asambleas o concejos, según el caso, sometidas al régimen jurídico previsto en este capítulo”. </w:t>
      </w:r>
    </w:p>
    <w:p w14:paraId="15B2B96A" w14:textId="77777777" w:rsidR="00E32C3E" w:rsidRPr="00FC6F34" w:rsidRDefault="00E32C3E" w:rsidP="00E32C3E">
      <w:pPr>
        <w:tabs>
          <w:tab w:val="left" w:pos="426"/>
        </w:tabs>
        <w:spacing w:before="120" w:line="276" w:lineRule="auto"/>
        <w:ind w:firstLine="709"/>
        <w:jc w:val="both"/>
        <w:rPr>
          <w:rFonts w:ascii="Verdana" w:hAnsi="Verdana" w:cs="Arial"/>
          <w:color w:val="000000" w:themeColor="text1"/>
          <w:lang w:val="es-ES"/>
        </w:rPr>
      </w:pPr>
      <w:r w:rsidRPr="00FC6F34">
        <w:rPr>
          <w:rFonts w:ascii="Verdana" w:hAnsi="Verdana" w:cs="Arial"/>
          <w:color w:val="000000" w:themeColor="text1"/>
          <w:lang w:val="es-ES"/>
        </w:rPr>
        <w:t>De lo anterior se desprende que, bajo la Ley 100 de 1993, dentro de la estructura de la administración pública las Empresas Sociales del Estado son las entidades encargadas de prestar el servicio de salud de manera directa. Además, el mismo artículo 197</w:t>
      </w:r>
      <w:r w:rsidRPr="00FC6F34">
        <w:rPr>
          <w:rFonts w:ascii="Arial" w:hAnsi="Arial" w:cs="Arial"/>
          <w:color w:val="000000" w:themeColor="text1"/>
          <w:vertAlign w:val="superscript"/>
          <w:lang w:val="es-ES"/>
        </w:rPr>
        <w:footnoteReference w:id="26"/>
      </w:r>
      <w:r w:rsidRPr="00FC6F34">
        <w:rPr>
          <w:rFonts w:ascii="Verdana" w:hAnsi="Verdana" w:cs="Arial"/>
          <w:color w:val="000000" w:themeColor="text1"/>
          <w:lang w:val="es-ES"/>
        </w:rPr>
        <w:t xml:space="preserve"> estableció el deber de reestructurar y transformar en Empresas Sociales del Estado a las entidades descentralizadas que, al momento de entrada en vigor de la ley referida, prestaban directamente este servicio. Así, se observa que la voluntad del legislador fue homogeneizar o unificar la naturaleza jurídica de las entidades públicas descentralizadas prestadoras del servicio de salud en Empresas Sociales del Estado. De ello da cuenta no solo la creación de la institución jurídica referida sino además la imposición del mandato de reestructuración de aquellas entidades. </w:t>
      </w:r>
    </w:p>
    <w:p w14:paraId="047FC764" w14:textId="77777777" w:rsidR="00E32C3E" w:rsidRDefault="00E32C3E" w:rsidP="00E32C3E">
      <w:pPr>
        <w:spacing w:before="120" w:after="120" w:line="276" w:lineRule="auto"/>
        <w:ind w:firstLine="709"/>
        <w:jc w:val="both"/>
        <w:rPr>
          <w:rFonts w:ascii="Verdana" w:eastAsia="Arial" w:hAnsi="Verdana" w:cs="Arial"/>
          <w:bCs/>
          <w:color w:val="000000" w:themeColor="text1"/>
          <w:lang w:val="es-ES"/>
        </w:rPr>
      </w:pPr>
      <w:r w:rsidRPr="00FC6F34">
        <w:rPr>
          <w:rFonts w:ascii="Verdana" w:eastAsia="Arial" w:hAnsi="Verdana" w:cs="Arial"/>
          <w:bCs/>
          <w:color w:val="000000" w:themeColor="text1"/>
          <w:lang w:val="es-ES"/>
        </w:rPr>
        <w:t xml:space="preserve">De otro lado, el artículo 2.8.8.1.1.3 del Decreto 780 de 2016, Por medio del cual se expide el Decreto Único Reglamentario del Sector Salud y Protección Social, definió a las </w:t>
      </w:r>
      <w:r w:rsidRPr="00FC6F34">
        <w:rPr>
          <w:rFonts w:ascii="Verdana" w:eastAsia="Arial" w:hAnsi="Verdana" w:cs="Arial"/>
          <w:bCs/>
          <w:i/>
          <w:iCs/>
          <w:color w:val="000000" w:themeColor="text1"/>
          <w:lang w:val="es-ES"/>
        </w:rPr>
        <w:t>entidades sanitarias</w:t>
      </w:r>
      <w:r w:rsidRPr="00FC6F34">
        <w:rPr>
          <w:rFonts w:ascii="Verdana" w:eastAsia="Arial" w:hAnsi="Verdana" w:cs="Arial"/>
          <w:bCs/>
          <w:color w:val="000000" w:themeColor="text1"/>
          <w:lang w:val="es-ES"/>
        </w:rPr>
        <w:t xml:space="preserve"> como “Entidades del Estado que prestan servicios sanitarios o de sanidad con el propósito de preservar la salud humana y la salud pública”. El artículo citado también define las </w:t>
      </w:r>
      <w:r w:rsidRPr="00FC6F34">
        <w:rPr>
          <w:rFonts w:ascii="Verdana" w:eastAsia="Arial" w:hAnsi="Verdana" w:cs="Arial"/>
          <w:bCs/>
          <w:i/>
          <w:iCs/>
          <w:color w:val="000000" w:themeColor="text1"/>
          <w:lang w:val="es-ES"/>
        </w:rPr>
        <w:t>autoridades sanitarias</w:t>
      </w:r>
      <w:r w:rsidRPr="00FC6F34">
        <w:rPr>
          <w:rFonts w:ascii="Verdana" w:eastAsia="Arial" w:hAnsi="Verdana" w:cs="Arial"/>
          <w:bCs/>
          <w:color w:val="000000" w:themeColor="text1"/>
          <w:lang w:val="es-ES"/>
        </w:rPr>
        <w:t xml:space="preserve"> como “Entidades jurídicas de carácter público con atribuciones para ejercer funciones de rectoría, regulación, inspección, vigilancia y control de los sectores público y privado en salud y adoptar medidas de prevención y seguimiento que garanticen la protección de la salud pública”</w:t>
      </w:r>
      <w:r w:rsidRPr="00FC6F34">
        <w:rPr>
          <w:rFonts w:ascii="Verdana" w:eastAsia="Arial" w:hAnsi="Verdana" w:cs="Arial"/>
          <w:bCs/>
          <w:color w:val="000000" w:themeColor="text1"/>
          <w:vertAlign w:val="superscript"/>
          <w:lang w:val="es-ES"/>
        </w:rPr>
        <w:footnoteReference w:id="27"/>
      </w:r>
      <w:r w:rsidRPr="00FC6F34">
        <w:rPr>
          <w:rFonts w:ascii="Verdana" w:eastAsia="Arial" w:hAnsi="Verdana" w:cs="Arial"/>
          <w:bCs/>
          <w:color w:val="000000" w:themeColor="text1"/>
          <w:lang w:val="es-ES"/>
        </w:rPr>
        <w:t xml:space="preserve">. De esta forma, la excepción del artículo 33 de la Ley de Garantías solo aplica a las </w:t>
      </w:r>
      <w:r w:rsidRPr="00FC6F34">
        <w:rPr>
          <w:rFonts w:ascii="Verdana" w:eastAsia="Arial" w:hAnsi="Verdana" w:cs="Arial"/>
          <w:bCs/>
          <w:i/>
          <w:iCs/>
          <w:color w:val="000000" w:themeColor="text1"/>
          <w:lang w:val="es-ES"/>
        </w:rPr>
        <w:t>entidades sanitarias</w:t>
      </w:r>
      <w:r w:rsidRPr="00FC6F34">
        <w:rPr>
          <w:rFonts w:ascii="Verdana" w:eastAsia="Arial" w:hAnsi="Verdana" w:cs="Arial"/>
          <w:bCs/>
          <w:color w:val="000000" w:themeColor="text1"/>
          <w:lang w:val="es-ES"/>
        </w:rPr>
        <w:t xml:space="preserve">, y no a las </w:t>
      </w:r>
      <w:r w:rsidRPr="00FC6F34">
        <w:rPr>
          <w:rFonts w:ascii="Verdana" w:eastAsia="Arial" w:hAnsi="Verdana" w:cs="Arial"/>
          <w:bCs/>
          <w:i/>
          <w:iCs/>
          <w:color w:val="000000" w:themeColor="text1"/>
          <w:lang w:val="es-ES"/>
        </w:rPr>
        <w:t>autoridades sanitarias</w:t>
      </w:r>
      <w:r w:rsidRPr="00FC6F34">
        <w:rPr>
          <w:rFonts w:ascii="Verdana" w:eastAsia="Arial" w:hAnsi="Verdana" w:cs="Arial"/>
          <w:bCs/>
          <w:color w:val="000000" w:themeColor="text1"/>
          <w:lang w:val="es-ES"/>
        </w:rPr>
        <w:t xml:space="preserve">. Para efectos de la excepción, es indiferente que la entidad estatal tenga funciones de </w:t>
      </w:r>
      <w:r w:rsidRPr="00FC6F34">
        <w:rPr>
          <w:rFonts w:ascii="Verdana" w:eastAsia="Arial" w:hAnsi="Verdana" w:cs="Arial"/>
          <w:bCs/>
          <w:i/>
          <w:iCs/>
          <w:color w:val="000000" w:themeColor="text1"/>
          <w:lang w:val="es-ES"/>
        </w:rPr>
        <w:t>autoridad sanitaria</w:t>
      </w:r>
      <w:r w:rsidRPr="00FC6F34">
        <w:rPr>
          <w:rFonts w:ascii="Verdana" w:eastAsia="Arial" w:hAnsi="Verdana" w:cs="Arial"/>
          <w:bCs/>
          <w:color w:val="000000" w:themeColor="text1"/>
          <w:lang w:val="es-ES"/>
        </w:rPr>
        <w:t xml:space="preserve">, pues lo relevante para </w:t>
      </w:r>
      <w:r w:rsidRPr="00FC6F34">
        <w:rPr>
          <w:rFonts w:ascii="Verdana" w:eastAsia="Arial" w:hAnsi="Verdana" w:cs="Arial"/>
          <w:bCs/>
          <w:color w:val="000000" w:themeColor="text1"/>
          <w:lang w:val="es-ES"/>
        </w:rPr>
        <w:lastRenderedPageBreak/>
        <w:t xml:space="preserve">determinar si la contratación está exceptuada de la prohibición general no es el carácter de autoridad sanitaria, sino que se trate de una </w:t>
      </w:r>
      <w:r w:rsidRPr="00FC6F34">
        <w:rPr>
          <w:rFonts w:ascii="Verdana" w:eastAsia="Arial" w:hAnsi="Verdana" w:cs="Arial"/>
          <w:bCs/>
          <w:i/>
          <w:iCs/>
          <w:color w:val="000000" w:themeColor="text1"/>
          <w:lang w:val="es-ES"/>
        </w:rPr>
        <w:t>entidad sanitaria</w:t>
      </w:r>
      <w:r w:rsidRPr="00FC6F34">
        <w:rPr>
          <w:rFonts w:ascii="Verdana" w:eastAsia="Arial" w:hAnsi="Verdana" w:cs="Arial"/>
          <w:bCs/>
          <w:color w:val="000000" w:themeColor="text1"/>
          <w:lang w:val="es-ES"/>
        </w:rPr>
        <w:t xml:space="preserve">. </w:t>
      </w:r>
    </w:p>
    <w:p w14:paraId="3510FD6D" w14:textId="77777777" w:rsidR="00E32C3E" w:rsidRDefault="00E32C3E" w:rsidP="00E32C3E">
      <w:pPr>
        <w:spacing w:before="120" w:after="0" w:line="276" w:lineRule="auto"/>
        <w:ind w:firstLine="709"/>
        <w:jc w:val="both"/>
        <w:rPr>
          <w:rFonts w:ascii="Verdana" w:eastAsia="Arial" w:hAnsi="Verdana" w:cs="Arial"/>
          <w:bCs/>
          <w:color w:val="000000" w:themeColor="text1"/>
          <w:lang w:val="es-ES"/>
        </w:rPr>
      </w:pPr>
      <w:r w:rsidRPr="00FC6F34">
        <w:rPr>
          <w:rFonts w:ascii="Verdana" w:eastAsia="Arial" w:hAnsi="Verdana" w:cs="Arial"/>
          <w:bCs/>
          <w:color w:val="000000" w:themeColor="text1"/>
          <w:lang w:val="es-ES"/>
        </w:rPr>
        <w:t>Sobre lo anterior</w:t>
      </w:r>
      <w:r>
        <w:rPr>
          <w:rFonts w:ascii="Verdana" w:eastAsia="Arial" w:hAnsi="Verdana" w:cs="Arial"/>
          <w:bCs/>
          <w:color w:val="000000" w:themeColor="text1"/>
          <w:lang w:val="es-ES"/>
        </w:rPr>
        <w:t>,</w:t>
      </w:r>
      <w:r w:rsidRPr="00FC6F34">
        <w:rPr>
          <w:rFonts w:ascii="Verdana" w:eastAsia="Arial" w:hAnsi="Verdana" w:cs="Arial"/>
          <w:bCs/>
          <w:color w:val="000000" w:themeColor="text1"/>
          <w:lang w:val="es-ES"/>
        </w:rPr>
        <w:t xml:space="preserve"> el Consejo de Estado ha señalado que “las entidades que presten servicios tendientes a preservar la salud pública o humana deben ser consideradas como entidades sanitarias y en principio estarían exceptuadas de la prohibición de contratación directa”</w:t>
      </w:r>
      <w:r w:rsidRPr="00FC6F34">
        <w:rPr>
          <w:rStyle w:val="Refdenotaalpie"/>
          <w:rFonts w:ascii="Verdana" w:eastAsia="Arial" w:hAnsi="Verdana" w:cs="Arial"/>
          <w:bCs/>
          <w:color w:val="000000" w:themeColor="text1"/>
          <w:lang w:val="es-ES"/>
        </w:rPr>
        <w:footnoteReference w:id="28"/>
      </w:r>
      <w:r w:rsidRPr="00FC6F34">
        <w:rPr>
          <w:rFonts w:ascii="Verdana" w:eastAsia="Arial" w:hAnsi="Verdana" w:cs="Arial"/>
          <w:bCs/>
          <w:color w:val="000000" w:themeColor="text1"/>
          <w:lang w:val="es-ES"/>
        </w:rPr>
        <w:t>. Sobre la excepción dirigida a las entidades hospitalarias de carácter público resaltó que “debe ser entendida solo en aquellos eventos en que ocurran emergencias sanitarias o de salubridad que requieran la atención o prestación inmediata y oportuna de los servicios de salud”, pues las excepciones buscan que la red hospitalaria no limite su actuación en la prestación del servicio de salud en eventos catastróficos o de urgencia que se presenten. En consecuencia, sostuvo que las excepciones no se extienden a “los contratos que habitual y ordinariamente celebran las entidades territoriales con las entidades hospitalarias, ya que dichos órganos deben planear y desarrollar su gestión contractual con suficiente antelación para que no sea cobijada por la prohibición de contratación que establece la ley de garantías”</w:t>
      </w:r>
      <w:r w:rsidRPr="00FC6F34">
        <w:rPr>
          <w:rStyle w:val="Refdenotaalpie"/>
          <w:rFonts w:ascii="Verdana" w:eastAsia="Arial" w:hAnsi="Verdana" w:cs="Arial"/>
          <w:bCs/>
          <w:color w:val="000000" w:themeColor="text1"/>
          <w:lang w:val="es-ES"/>
        </w:rPr>
        <w:footnoteReference w:id="29"/>
      </w:r>
      <w:r w:rsidRPr="00FC6F34">
        <w:rPr>
          <w:rFonts w:ascii="Verdana" w:eastAsia="Arial" w:hAnsi="Verdana" w:cs="Arial"/>
          <w:bCs/>
          <w:color w:val="000000" w:themeColor="text1"/>
          <w:lang w:val="es-ES"/>
        </w:rPr>
        <w:t xml:space="preserve">. </w:t>
      </w:r>
    </w:p>
    <w:p w14:paraId="493BB95E" w14:textId="77777777" w:rsidR="009C3042" w:rsidRPr="00436551" w:rsidRDefault="009C3042" w:rsidP="009C3042">
      <w:pPr>
        <w:tabs>
          <w:tab w:val="left" w:pos="426"/>
        </w:tabs>
        <w:spacing w:after="0" w:line="276" w:lineRule="auto"/>
        <w:ind w:firstLine="709"/>
        <w:jc w:val="both"/>
        <w:rPr>
          <w:rFonts w:ascii="Verdana" w:hAnsi="Verdana" w:cs="Arial"/>
          <w:bCs/>
          <w:color w:val="000000" w:themeColor="text1"/>
          <w:lang w:val="es-ES"/>
        </w:rPr>
      </w:pPr>
    </w:p>
    <w:p w14:paraId="134331CE" w14:textId="77777777" w:rsidR="009C3042" w:rsidRPr="00436551" w:rsidRDefault="009C3042" w:rsidP="009C3042">
      <w:pPr>
        <w:spacing w:line="276" w:lineRule="auto"/>
        <w:jc w:val="both"/>
        <w:rPr>
          <w:rFonts w:ascii="Verdana" w:hAnsi="Verdana" w:cs="Arial"/>
          <w:lang w:val="es-ES"/>
        </w:rPr>
      </w:pPr>
      <w:r w:rsidRPr="007E1E3D">
        <w:rPr>
          <w:rFonts w:ascii="Verdana" w:eastAsia="Arial" w:hAnsi="Verdana" w:cs="Arial"/>
          <w:b/>
          <w:color w:val="000000" w:themeColor="text1"/>
          <w:lang w:val="es-ES"/>
        </w:rPr>
        <w:t>v)</w:t>
      </w:r>
      <w:r w:rsidRPr="00436551">
        <w:rPr>
          <w:rFonts w:ascii="Verdana" w:eastAsia="Arial" w:hAnsi="Verdana" w:cs="Arial"/>
          <w:bCs/>
          <w:color w:val="000000" w:themeColor="text1"/>
          <w:lang w:val="es-ES"/>
        </w:rPr>
        <w:t xml:space="preserve"> Por su parte, la prohibición establecida en el </w:t>
      </w:r>
      <w:r w:rsidRPr="00436551">
        <w:rPr>
          <w:rFonts w:ascii="Verdana" w:eastAsia="Arial" w:hAnsi="Verdana" w:cs="Arial"/>
          <w:bCs/>
          <w:i/>
          <w:iCs/>
          <w:color w:val="000000" w:themeColor="text1"/>
          <w:lang w:val="es-ES"/>
        </w:rPr>
        <w:t xml:space="preserve">parágrafo del artículo 38 </w:t>
      </w:r>
      <w:r w:rsidRPr="00436551">
        <w:rPr>
          <w:rFonts w:ascii="Verdana" w:eastAsia="Calibri" w:hAnsi="Verdana" w:cs="Arial"/>
          <w:bCs/>
          <w:lang w:val="es-ES"/>
        </w:rPr>
        <w:t xml:space="preserve">de la Ley 996 de 2005 dispone que: “los Gobernadores, </w:t>
      </w:r>
      <w:proofErr w:type="gramStart"/>
      <w:r w:rsidRPr="00436551">
        <w:rPr>
          <w:rFonts w:ascii="Verdana" w:eastAsia="Calibri" w:hAnsi="Verdana" w:cs="Arial"/>
          <w:bCs/>
          <w:lang w:val="es-ES"/>
        </w:rPr>
        <w:t>Alcaldes</w:t>
      </w:r>
      <w:proofErr w:type="gramEnd"/>
      <w:r w:rsidRPr="00436551">
        <w:rPr>
          <w:rFonts w:ascii="Verdana" w:eastAsia="Calibri" w:hAnsi="Verdana" w:cs="Arial"/>
          <w:bCs/>
          <w:lang w:val="es-ES"/>
        </w:rPr>
        <w:t xml:space="preserve"> Municipales y/o Distritales, </w:t>
      </w:r>
      <w:proofErr w:type="gramStart"/>
      <w:r w:rsidRPr="00436551">
        <w:rPr>
          <w:rFonts w:ascii="Verdana" w:eastAsia="Calibri" w:hAnsi="Verdana" w:cs="Arial"/>
          <w:bCs/>
          <w:lang w:val="es-ES"/>
        </w:rPr>
        <w:t>Secretarios</w:t>
      </w:r>
      <w:proofErr w:type="gramEnd"/>
      <w:r w:rsidRPr="00436551">
        <w:rPr>
          <w:rFonts w:ascii="Verdana" w:eastAsia="Calibri" w:hAnsi="Verdana" w:cs="Arial"/>
          <w:bCs/>
          <w:lang w:val="es-ES"/>
        </w:rPr>
        <w:t xml:space="preserve">, Gerentes y directores de Entidades Descentralizadas del orden Municipal, Departamental o Distrital, dentro de los cuatro (4) meses anteriores a las elecciones, no podrán celebrar </w:t>
      </w:r>
      <w:r w:rsidRPr="00436551">
        <w:rPr>
          <w:rFonts w:ascii="Verdana" w:eastAsia="Calibri" w:hAnsi="Verdana" w:cs="Arial"/>
          <w:bCs/>
          <w:i/>
          <w:iCs/>
          <w:lang w:val="es-ES"/>
        </w:rPr>
        <w:t>convenios interadministrativos</w:t>
      </w:r>
      <w:r w:rsidRPr="00436551">
        <w:rPr>
          <w:rFonts w:ascii="Verdana" w:eastAsia="Calibri" w:hAnsi="Verdana" w:cs="Arial"/>
          <w:bCs/>
          <w:lang w:val="es-ES"/>
        </w:rPr>
        <w:t xml:space="preserve"> para la ejecución de recursos públicos”.</w:t>
      </w:r>
      <w:r w:rsidRPr="00436551">
        <w:rPr>
          <w:rFonts w:ascii="Verdana" w:hAnsi="Verdana" w:cs="Arial"/>
          <w:bCs/>
          <w:iCs/>
          <w:lang w:val="es-ES" w:eastAsia="x-none"/>
        </w:rPr>
        <w:t xml:space="preserve"> De la lectura de la norma se desprende que el parágrafo del artículo 38 de la Ley 996 de 2005 restringe la suscripción únicamente de convenios interadministrativos que dispongan la ejecución de recursos públicos, para evitar que mediante la suscripción de estos se comprometa el erario con fines políticos o partidistas</w:t>
      </w:r>
      <w:r w:rsidRPr="00436551">
        <w:rPr>
          <w:rStyle w:val="Refdenotaalpie"/>
          <w:rFonts w:ascii="Verdana" w:hAnsi="Verdana" w:cs="Arial"/>
          <w:bCs/>
          <w:iCs/>
          <w:lang w:val="es-ES" w:eastAsia="x-none"/>
        </w:rPr>
        <w:footnoteReference w:id="30"/>
      </w:r>
      <w:r w:rsidRPr="00436551">
        <w:rPr>
          <w:rFonts w:ascii="Verdana" w:hAnsi="Verdana" w:cs="Arial"/>
          <w:bCs/>
          <w:iCs/>
          <w:lang w:val="es-ES" w:eastAsia="x-none"/>
        </w:rPr>
        <w:t>.</w:t>
      </w:r>
      <w:r w:rsidRPr="00436551">
        <w:rPr>
          <w:rFonts w:ascii="Verdana" w:hAnsi="Verdana" w:cs="Arial"/>
          <w:lang w:val="es-ES"/>
        </w:rPr>
        <w:t xml:space="preserve"> </w:t>
      </w:r>
      <w:bookmarkStart w:id="3" w:name="_Hlk78820161"/>
    </w:p>
    <w:p w14:paraId="13DA5978" w14:textId="77777777" w:rsidR="009C3042" w:rsidRPr="00436551" w:rsidRDefault="009C3042" w:rsidP="009C3042">
      <w:pPr>
        <w:spacing w:before="120" w:after="120" w:line="276" w:lineRule="auto"/>
        <w:ind w:firstLine="708"/>
        <w:jc w:val="both"/>
        <w:rPr>
          <w:rFonts w:ascii="Verdana" w:hAnsi="Verdana" w:cs="Arial"/>
          <w:lang w:val="es-ES"/>
        </w:rPr>
      </w:pPr>
      <w:r w:rsidRPr="00436551">
        <w:rPr>
          <w:rFonts w:ascii="Verdana" w:hAnsi="Verdana" w:cs="Arial"/>
          <w:lang w:val="es-ES"/>
        </w:rPr>
        <w:t xml:space="preserve">Aunque la ley no definió ni desarrolló </w:t>
      </w:r>
      <w:r w:rsidRPr="00436551">
        <w:rPr>
          <w:rFonts w:ascii="Verdana" w:eastAsia="Calibri" w:hAnsi="Verdana" w:cs="Arial"/>
          <w:bCs/>
          <w:lang w:val="es-ES"/>
        </w:rPr>
        <w:t>la tipología de convenios interadministrativos</w:t>
      </w:r>
      <w:r w:rsidRPr="00436551">
        <w:rPr>
          <w:rFonts w:ascii="Verdana" w:hAnsi="Verdana" w:cs="Arial"/>
          <w:lang w:val="es-ES"/>
        </w:rPr>
        <w:t xml:space="preserve">, el Decreto 1082 de 2015 califica a los convenios o contratos </w:t>
      </w:r>
      <w:r w:rsidRPr="00436551">
        <w:rPr>
          <w:rFonts w:ascii="Verdana" w:hAnsi="Verdana" w:cs="Arial"/>
          <w:lang w:val="es-ES"/>
        </w:rPr>
        <w:lastRenderedPageBreak/>
        <w:t>interadministrativos como aquella contratación entre entidades estatales</w:t>
      </w:r>
      <w:r w:rsidRPr="00436551">
        <w:rPr>
          <w:rStyle w:val="Refdenotaalpie"/>
          <w:rFonts w:ascii="Verdana" w:hAnsi="Verdana" w:cs="Arial"/>
          <w:lang w:val="es-ES"/>
        </w:rPr>
        <w:footnoteReference w:id="31"/>
      </w:r>
      <w:r w:rsidRPr="00436551">
        <w:rPr>
          <w:rFonts w:ascii="Verdana" w:hAnsi="Verdana" w:cs="Arial"/>
          <w:lang w:val="es-ES"/>
        </w:rPr>
        <w:t>. De acuerdo con lo anterior, el convenio interadministrativo es el acuerdo donde concurre la voluntad de dos o más personas jurídicas de derecho público con la finalidad de cumplir, en el marco de sus objetivos misionales y sus competencias, con los fines del Estado. Es decir, los convenios interadministrativos están determinados por un criterio orgánico, pues es necesario que los extremos de la relación contractual sean entidades</w:t>
      </w:r>
      <w:r w:rsidRPr="00436551">
        <w:rPr>
          <w:rFonts w:ascii="Verdana" w:hAnsi="Verdana" w:cs="Arial"/>
          <w:spacing w:val="-6"/>
          <w:lang w:val="es-ES"/>
        </w:rPr>
        <w:t xml:space="preserve"> </w:t>
      </w:r>
      <w:r w:rsidRPr="00436551">
        <w:rPr>
          <w:rFonts w:ascii="Verdana" w:hAnsi="Verdana" w:cs="Arial"/>
          <w:lang w:val="es-ES"/>
        </w:rPr>
        <w:t>estatales.</w:t>
      </w:r>
      <w:bookmarkStart w:id="4" w:name="_Hlk78820654"/>
      <w:bookmarkEnd w:id="3"/>
    </w:p>
    <w:p w14:paraId="3AA71BD3" w14:textId="77777777" w:rsidR="009C3042" w:rsidRPr="00436551" w:rsidRDefault="009C3042" w:rsidP="009C3042">
      <w:pPr>
        <w:spacing w:before="120" w:after="120" w:line="276" w:lineRule="auto"/>
        <w:ind w:firstLine="708"/>
        <w:jc w:val="both"/>
        <w:rPr>
          <w:rFonts w:ascii="Verdana" w:hAnsi="Verdana" w:cs="Arial"/>
          <w:lang w:val="es-ES"/>
        </w:rPr>
      </w:pPr>
      <w:r w:rsidRPr="00436551">
        <w:rPr>
          <w:rFonts w:ascii="Verdana" w:hAnsi="Verdana" w:cs="Arial"/>
          <w:lang w:val="es-ES"/>
        </w:rPr>
        <w:t>Si bien los contratos o convenios interadministrativos están previstos en la Ley 80 de 1993, en la Ley 1150 de 2007 y en el Decreto en el 1082 de 2015, no quiere decir que solo puedan celebrarse entre entidades estatales que apliquen el régimen de contratación allí previsto, pues una Entidad Estatal sometida a la Ley 80 de 1993 puede celebrar esta clase de convenios con una de régimen especial y no por ello dejará de ser un contrato o convenio interadministrativo.</w:t>
      </w:r>
      <w:bookmarkEnd w:id="4"/>
      <w:r w:rsidRPr="00436551">
        <w:rPr>
          <w:rFonts w:ascii="Verdana" w:hAnsi="Verdana" w:cs="Arial"/>
          <w:lang w:val="es-ES"/>
        </w:rPr>
        <w:t xml:space="preserve"> Teniendo en cuenta lo anterior, se reitera que los convenios interadministrativos están definidos por la naturaleza de las partes, de manera que se identifican por un criterio orgánico y serán aquellos celebrados entre entidades estatales. </w:t>
      </w:r>
    </w:p>
    <w:p w14:paraId="37E32F37" w14:textId="77777777" w:rsidR="009C3042" w:rsidRPr="00436551" w:rsidRDefault="009C3042" w:rsidP="009C3042">
      <w:pPr>
        <w:spacing w:before="120" w:after="0" w:line="276" w:lineRule="auto"/>
        <w:ind w:firstLine="708"/>
        <w:jc w:val="both"/>
        <w:rPr>
          <w:rFonts w:ascii="Verdana" w:eastAsia="Arial" w:hAnsi="Verdana" w:cs="Arial"/>
          <w:color w:val="000000" w:themeColor="text1"/>
          <w:lang w:val="es-ES"/>
        </w:rPr>
      </w:pPr>
      <w:r w:rsidRPr="00436551">
        <w:rPr>
          <w:rFonts w:ascii="Verdana" w:eastAsia="Calibri" w:hAnsi="Verdana" w:cs="Arial"/>
          <w:bCs/>
          <w:lang w:val="es-ES"/>
        </w:rPr>
        <w:t xml:space="preserve">En consecuencia, </w:t>
      </w:r>
      <w:r w:rsidRPr="00436551">
        <w:rPr>
          <w:rFonts w:ascii="Verdana" w:hAnsi="Verdana" w:cs="Arial"/>
          <w:bCs/>
          <w:lang w:val="es-ES" w:eastAsia="es-CO"/>
        </w:rPr>
        <w:t xml:space="preserve">el parágrafo del artículo 38 de la Ley 996 de 2005 prohíbe a los alcaldes, gobernadores, secretarios, gerentes y directores de las entidades del orden municipal, departamental o distrital celebrar </w:t>
      </w:r>
      <w:r w:rsidRPr="00436551">
        <w:rPr>
          <w:rFonts w:ascii="Verdana" w:hAnsi="Verdana" w:cs="Arial"/>
          <w:bCs/>
          <w:i/>
          <w:iCs/>
          <w:lang w:val="es-ES" w:eastAsia="es-CO"/>
        </w:rPr>
        <w:t>convenios interadministrativos para la ejecución de recursos públicos</w:t>
      </w:r>
      <w:r w:rsidRPr="00436551">
        <w:rPr>
          <w:rFonts w:ascii="Verdana" w:hAnsi="Verdana" w:cs="Arial"/>
          <w:bCs/>
          <w:lang w:val="es-ES" w:eastAsia="es-CO"/>
        </w:rPr>
        <w:t>. En este sentido, si una o ambas partes de la relación contractual es una entidad de aquellas descritas en el parágrafo, no podrá celebrar tales convenios durante la aplicación de la Ley de Garantías Electorales, toda vez que la citada disposición hace referencia a dicha tipología contractual sin que el legislador hubiere contemplado excepción alguna frente a la modalidad de selección o naturaleza de su objeto</w:t>
      </w:r>
      <w:r w:rsidRPr="00436551">
        <w:rPr>
          <w:rFonts w:ascii="Verdana" w:hAnsi="Verdana" w:cs="Arial"/>
          <w:vertAlign w:val="superscript"/>
          <w:lang w:val="es-ES"/>
        </w:rPr>
        <w:footnoteReference w:id="32"/>
      </w:r>
      <w:r w:rsidRPr="00436551">
        <w:rPr>
          <w:rFonts w:ascii="Verdana" w:hAnsi="Verdana" w:cs="Arial"/>
          <w:bCs/>
          <w:lang w:val="es-ES" w:eastAsia="es-CO"/>
        </w:rPr>
        <w:t xml:space="preserve">. </w:t>
      </w:r>
    </w:p>
    <w:p w14:paraId="21972859" w14:textId="77777777" w:rsidR="009C3042" w:rsidRPr="00436551" w:rsidRDefault="009C3042" w:rsidP="009C3042">
      <w:pPr>
        <w:spacing w:before="120" w:after="0" w:line="276" w:lineRule="auto"/>
        <w:jc w:val="both"/>
        <w:rPr>
          <w:rFonts w:ascii="Verdana" w:eastAsia="Arial" w:hAnsi="Verdana" w:cs="Arial"/>
          <w:bCs/>
          <w:color w:val="000000" w:themeColor="text1"/>
          <w:lang w:val="es-ES"/>
        </w:rPr>
      </w:pPr>
      <w:r w:rsidRPr="00436551">
        <w:rPr>
          <w:rFonts w:ascii="Verdana" w:eastAsia="Arial" w:hAnsi="Verdana" w:cs="Arial"/>
          <w:bCs/>
          <w:color w:val="000000" w:themeColor="text1"/>
          <w:lang w:val="es-ES"/>
        </w:rPr>
        <w:tab/>
        <w:t xml:space="preserve">Adicionalmente, con respecto a la prohibición del </w:t>
      </w:r>
      <w:r w:rsidRPr="00436551">
        <w:rPr>
          <w:rFonts w:ascii="Verdana" w:eastAsia="Arial" w:hAnsi="Verdana" w:cs="Arial"/>
          <w:bCs/>
          <w:i/>
          <w:iCs/>
          <w:color w:val="000000" w:themeColor="text1"/>
          <w:lang w:val="es-ES"/>
        </w:rPr>
        <w:t>parágrafo del artículo 38</w:t>
      </w:r>
      <w:r w:rsidRPr="00436551">
        <w:rPr>
          <w:rFonts w:ascii="Verdana" w:eastAsia="Arial" w:hAnsi="Verdana" w:cs="Arial"/>
          <w:bCs/>
          <w:color w:val="000000" w:themeColor="text1"/>
          <w:lang w:val="es-ES"/>
        </w:rPr>
        <w:t>, es necesario verificar si la contratación es llevada a cabo por “</w:t>
      </w:r>
      <w:proofErr w:type="gramStart"/>
      <w:r w:rsidRPr="00436551">
        <w:rPr>
          <w:rFonts w:ascii="Verdana" w:eastAsia="Arial" w:hAnsi="Verdana" w:cs="Arial"/>
          <w:bCs/>
          <w:color w:val="000000" w:themeColor="text1"/>
          <w:lang w:val="es-ES"/>
        </w:rPr>
        <w:t>Alcaldes</w:t>
      </w:r>
      <w:proofErr w:type="gramEnd"/>
      <w:r w:rsidRPr="00436551">
        <w:rPr>
          <w:rFonts w:ascii="Verdana" w:eastAsia="Arial" w:hAnsi="Verdana" w:cs="Arial"/>
          <w:bCs/>
          <w:color w:val="000000" w:themeColor="text1"/>
          <w:lang w:val="es-ES"/>
        </w:rPr>
        <w:t xml:space="preserve">, </w:t>
      </w:r>
      <w:r w:rsidRPr="00436551">
        <w:rPr>
          <w:rFonts w:ascii="Verdana" w:eastAsia="Arial" w:hAnsi="Verdana" w:cs="Arial"/>
          <w:bCs/>
          <w:color w:val="000000" w:themeColor="text1"/>
          <w:lang w:val="es-ES"/>
        </w:rPr>
        <w:lastRenderedPageBreak/>
        <w:t xml:space="preserve">Gobernadores, </w:t>
      </w:r>
      <w:proofErr w:type="gramStart"/>
      <w:r w:rsidRPr="00436551">
        <w:rPr>
          <w:rFonts w:ascii="Verdana" w:eastAsia="Arial" w:hAnsi="Verdana" w:cs="Arial"/>
          <w:bCs/>
          <w:color w:val="000000" w:themeColor="text1"/>
          <w:lang w:val="es-ES"/>
        </w:rPr>
        <w:t>Secretarios</w:t>
      </w:r>
      <w:proofErr w:type="gramEnd"/>
      <w:r w:rsidRPr="00436551">
        <w:rPr>
          <w:rFonts w:ascii="Verdana" w:eastAsia="Arial" w:hAnsi="Verdana" w:cs="Arial"/>
          <w:bCs/>
          <w:color w:val="000000" w:themeColor="text1"/>
          <w:lang w:val="es-ES"/>
        </w:rPr>
        <w:t xml:space="preserve">, Gerentes y </w:t>
      </w:r>
      <w:proofErr w:type="gramStart"/>
      <w:r w:rsidRPr="00436551">
        <w:rPr>
          <w:rFonts w:ascii="Verdana" w:eastAsia="Arial" w:hAnsi="Verdana" w:cs="Arial"/>
          <w:bCs/>
          <w:color w:val="000000" w:themeColor="text1"/>
          <w:lang w:val="es-ES"/>
        </w:rPr>
        <w:t>Directores</w:t>
      </w:r>
      <w:proofErr w:type="gramEnd"/>
      <w:r w:rsidRPr="00436551">
        <w:rPr>
          <w:rFonts w:ascii="Verdana" w:eastAsia="Arial" w:hAnsi="Verdana" w:cs="Arial"/>
          <w:bCs/>
          <w:color w:val="000000" w:themeColor="text1"/>
          <w:lang w:val="es-ES"/>
        </w:rPr>
        <w:t xml:space="preserve"> de las entidades del orden municipal, departamental o distrital”; así como verificar si lo que pretende adelantar es un convenio interadministrativo para la ejecución de recursos públicos. Cuando este sea el caso, operará la restricción señalada en el parágrafo y estará prohibido llevar a cabo la contratación en los cuatro (4) meses anteriores a cualquier contienda electoral. Es importante resaltar que para esta prohibición la norma no contempló ninguna excepción, de modo que aplicará, aunque se configuren las excepciones establecidas para el artículo 33. </w:t>
      </w:r>
    </w:p>
    <w:p w14:paraId="3EF3B03B" w14:textId="77777777" w:rsidR="009C3042" w:rsidRPr="00436551" w:rsidRDefault="009C3042" w:rsidP="009C3042">
      <w:pPr>
        <w:shd w:val="clear" w:color="auto" w:fill="FFFFFF"/>
        <w:spacing w:after="0" w:line="276" w:lineRule="auto"/>
        <w:jc w:val="both"/>
        <w:rPr>
          <w:rFonts w:ascii="Verdana" w:eastAsia="Calibri" w:hAnsi="Verdana" w:cs="Arial"/>
          <w:lang w:val="es-ES"/>
        </w:rPr>
      </w:pPr>
    </w:p>
    <w:p w14:paraId="25BC8F5E" w14:textId="77777777" w:rsidR="009C3042" w:rsidRDefault="009C3042" w:rsidP="009C3042">
      <w:pPr>
        <w:tabs>
          <w:tab w:val="left" w:pos="426"/>
        </w:tabs>
        <w:spacing w:after="0" w:line="276" w:lineRule="auto"/>
        <w:jc w:val="both"/>
        <w:rPr>
          <w:rFonts w:ascii="Verdana" w:eastAsia="Verdana" w:hAnsi="Verdana" w:cs="Verdana"/>
          <w:lang w:val="es-ES"/>
        </w:rPr>
      </w:pPr>
      <w:r w:rsidRPr="007E1E3D">
        <w:rPr>
          <w:rFonts w:ascii="Verdana" w:eastAsia="Calibri" w:hAnsi="Verdana" w:cs="Arial"/>
          <w:b/>
          <w:bCs/>
          <w:lang w:val="es-ES"/>
        </w:rPr>
        <w:t>vi)</w:t>
      </w:r>
      <w:r w:rsidRPr="00436551">
        <w:rPr>
          <w:rFonts w:ascii="Verdana" w:eastAsia="Calibri" w:hAnsi="Verdana" w:cs="Arial"/>
          <w:lang w:val="es-ES"/>
        </w:rPr>
        <w:t xml:space="preserve"> </w:t>
      </w:r>
      <w:r w:rsidRPr="00436551">
        <w:rPr>
          <w:rFonts w:ascii="Verdana" w:eastAsia="Calibri" w:hAnsi="Verdana" w:cs="Arial"/>
          <w:color w:val="000000" w:themeColor="text1"/>
          <w:lang w:val="es-ES"/>
        </w:rPr>
        <w:t>Con respecto a la aplicación de las prohibiciones expuestas al tema objeto de consulta</w:t>
      </w:r>
      <w:r>
        <w:rPr>
          <w:rFonts w:ascii="Verdana" w:eastAsia="Calibri" w:hAnsi="Verdana" w:cs="Arial"/>
          <w:color w:val="000000" w:themeColor="text1"/>
          <w:lang w:val="es-ES"/>
        </w:rPr>
        <w:t>,</w:t>
      </w:r>
      <w:r w:rsidRPr="00436551">
        <w:rPr>
          <w:rFonts w:ascii="Verdana" w:eastAsia="Calibri" w:hAnsi="Verdana" w:cs="Arial"/>
          <w:color w:val="000000" w:themeColor="text1"/>
          <w:lang w:val="es-ES"/>
        </w:rPr>
        <w:t xml:space="preserve"> es necesario establecer que </w:t>
      </w:r>
      <w:r w:rsidRPr="00436551">
        <w:rPr>
          <w:rFonts w:ascii="Verdana" w:eastAsia="Verdana" w:hAnsi="Verdana" w:cs="Verdana"/>
          <w:lang w:val="es-ES"/>
        </w:rPr>
        <w:t>el Artículo 232 de la Ley 1955 de 2019, “Por el cual se expide el Plan Nacional de Desarrollo 2018-2022: Pacto por Colombia, Pacto por la Equidad”, adicionó el numeral 43.2.9</w:t>
      </w:r>
      <w:r w:rsidRPr="00436551">
        <w:rPr>
          <w:rFonts w:ascii="Verdana" w:eastAsia="Verdana" w:hAnsi="Verdana" w:cs="Verdana"/>
          <w:i/>
          <w:iCs/>
          <w:lang w:val="es-ES"/>
        </w:rPr>
        <w:t xml:space="preserve"> </w:t>
      </w:r>
      <w:r w:rsidRPr="00436551">
        <w:rPr>
          <w:rFonts w:ascii="Verdana" w:eastAsia="Verdana" w:hAnsi="Verdana" w:cs="Verdana"/>
          <w:lang w:val="es-ES"/>
        </w:rPr>
        <w:t>al artículo 43 de la Ley 715 de 2001 sobre las competencias de los departamentos con respecto a la prestación de servicios de salud, señalando lo siguiente:</w:t>
      </w:r>
    </w:p>
    <w:p w14:paraId="4DD4CB03" w14:textId="77777777" w:rsidR="009C3042" w:rsidRPr="00436551" w:rsidRDefault="009C3042" w:rsidP="009C3042">
      <w:pPr>
        <w:tabs>
          <w:tab w:val="left" w:pos="426"/>
        </w:tabs>
        <w:spacing w:after="0" w:line="276" w:lineRule="auto"/>
        <w:jc w:val="both"/>
        <w:rPr>
          <w:rFonts w:ascii="Verdana" w:eastAsia="Verdana" w:hAnsi="Verdana" w:cs="Verdana"/>
          <w:lang w:val="es-ES"/>
        </w:rPr>
      </w:pPr>
      <w:r w:rsidRPr="00436551">
        <w:rPr>
          <w:rFonts w:ascii="Verdana" w:eastAsia="Verdana" w:hAnsi="Verdana" w:cs="Verdana"/>
          <w:lang w:val="es-ES"/>
        </w:rPr>
        <w:t xml:space="preserve"> </w:t>
      </w:r>
    </w:p>
    <w:p w14:paraId="777CFEF7" w14:textId="77777777" w:rsidR="009C3042" w:rsidRPr="00436551" w:rsidRDefault="009C3042" w:rsidP="009C3042">
      <w:pPr>
        <w:tabs>
          <w:tab w:val="left" w:pos="426"/>
        </w:tabs>
        <w:spacing w:after="120" w:line="240" w:lineRule="auto"/>
        <w:ind w:left="709" w:right="709"/>
        <w:jc w:val="both"/>
        <w:rPr>
          <w:rFonts w:ascii="Verdana" w:eastAsia="Verdana" w:hAnsi="Verdana" w:cs="Verdana"/>
          <w:sz w:val="20"/>
          <w:szCs w:val="20"/>
          <w:lang w:val="es-ES"/>
        </w:rPr>
      </w:pPr>
      <w:r w:rsidRPr="00436551">
        <w:rPr>
          <w:rFonts w:ascii="Verdana" w:eastAsia="Verdana" w:hAnsi="Verdana" w:cs="Verdana"/>
          <w:sz w:val="20"/>
          <w:szCs w:val="20"/>
          <w:lang w:val="es-ES"/>
        </w:rPr>
        <w:t>“Artículo </w:t>
      </w:r>
      <w:bookmarkStart w:id="5" w:name="43"/>
      <w:bookmarkEnd w:id="5"/>
      <w:r w:rsidRPr="00436551">
        <w:rPr>
          <w:rFonts w:ascii="Verdana" w:eastAsia="Verdana" w:hAnsi="Verdana" w:cs="Verdana"/>
          <w:sz w:val="20"/>
          <w:szCs w:val="20"/>
          <w:lang w:val="es-ES"/>
        </w:rPr>
        <w:t>43. </w:t>
      </w:r>
      <w:r w:rsidRPr="005F5CC4">
        <w:rPr>
          <w:rFonts w:ascii="Verdana" w:eastAsia="Verdana" w:hAnsi="Verdana" w:cs="Verdana"/>
          <w:sz w:val="20"/>
          <w:szCs w:val="20"/>
          <w:lang w:val="es-ES"/>
        </w:rPr>
        <w:t>Competencias de los departamentos en salud</w:t>
      </w:r>
      <w:r w:rsidRPr="00436551">
        <w:rPr>
          <w:rFonts w:ascii="Verdana" w:eastAsia="Verdana" w:hAnsi="Verdana" w:cs="Verdana"/>
          <w:i/>
          <w:iCs/>
          <w:sz w:val="20"/>
          <w:szCs w:val="20"/>
          <w:lang w:val="es-ES"/>
        </w:rPr>
        <w:t>.</w:t>
      </w:r>
      <w:r w:rsidRPr="00436551">
        <w:rPr>
          <w:rFonts w:ascii="Verdana" w:eastAsia="Verdana" w:hAnsi="Verdana" w:cs="Verdana"/>
          <w:sz w:val="20"/>
          <w:szCs w:val="20"/>
          <w:lang w:val="es-ES"/>
        </w:rPr>
        <w:t> Sin perjuicio de las competencias establecidas en otras disposiciones legales, corresponde a los departamentos, dirigir, coordinar y vigilar el sector salud y el Sistema General de Seguridad Social en Salud en el territorio de su jurisdicción, atendiendo las disposiciones nacionales sobre la materia. Para tal efecto, se le asignan las siguientes funciones:</w:t>
      </w:r>
    </w:p>
    <w:p w14:paraId="114E3182" w14:textId="77777777" w:rsidR="009C3042" w:rsidRPr="00436551" w:rsidRDefault="009C3042" w:rsidP="009C3042">
      <w:pPr>
        <w:tabs>
          <w:tab w:val="left" w:pos="426"/>
        </w:tabs>
        <w:spacing w:after="120" w:line="240" w:lineRule="auto"/>
        <w:ind w:left="709" w:right="709"/>
        <w:jc w:val="both"/>
        <w:rPr>
          <w:rFonts w:ascii="Verdana" w:eastAsia="Verdana" w:hAnsi="Verdana" w:cs="Verdana"/>
          <w:sz w:val="20"/>
          <w:szCs w:val="20"/>
          <w:lang w:val="es-ES"/>
        </w:rPr>
      </w:pPr>
      <w:r w:rsidRPr="00436551">
        <w:rPr>
          <w:rFonts w:ascii="Verdana" w:eastAsia="Verdana" w:hAnsi="Verdana" w:cs="Verdana"/>
          <w:sz w:val="20"/>
          <w:szCs w:val="20"/>
          <w:lang w:val="es-ES"/>
        </w:rPr>
        <w:t xml:space="preserve">[…] </w:t>
      </w:r>
    </w:p>
    <w:p w14:paraId="7FCE11BA" w14:textId="77777777" w:rsidR="009C3042" w:rsidRPr="00436551" w:rsidRDefault="009C3042" w:rsidP="009C3042">
      <w:pPr>
        <w:tabs>
          <w:tab w:val="left" w:pos="426"/>
        </w:tabs>
        <w:spacing w:after="120" w:line="240" w:lineRule="auto"/>
        <w:ind w:left="709" w:right="709"/>
        <w:jc w:val="both"/>
        <w:rPr>
          <w:rFonts w:ascii="Verdana" w:eastAsia="Verdana" w:hAnsi="Verdana" w:cs="Verdana"/>
          <w:sz w:val="20"/>
          <w:szCs w:val="20"/>
          <w:lang w:val="es-ES"/>
        </w:rPr>
      </w:pPr>
      <w:r w:rsidRPr="00436551">
        <w:rPr>
          <w:rFonts w:ascii="Verdana" w:eastAsia="Verdana" w:hAnsi="Verdana" w:cs="Verdana"/>
          <w:sz w:val="20"/>
          <w:szCs w:val="20"/>
          <w:lang w:val="es-ES"/>
        </w:rPr>
        <w:t>43.2. De prestación de servicios de salud</w:t>
      </w:r>
    </w:p>
    <w:p w14:paraId="1F8B140B" w14:textId="77777777" w:rsidR="009C3042" w:rsidRPr="00436551" w:rsidRDefault="009C3042" w:rsidP="009C3042">
      <w:pPr>
        <w:tabs>
          <w:tab w:val="left" w:pos="426"/>
        </w:tabs>
        <w:spacing w:after="120" w:line="240" w:lineRule="auto"/>
        <w:ind w:left="709" w:right="709"/>
        <w:jc w:val="both"/>
        <w:rPr>
          <w:rFonts w:ascii="Verdana" w:eastAsia="Verdana" w:hAnsi="Verdana" w:cs="Verdana"/>
          <w:sz w:val="20"/>
          <w:szCs w:val="20"/>
          <w:lang w:val="es-ES"/>
        </w:rPr>
      </w:pPr>
      <w:r w:rsidRPr="00436551">
        <w:rPr>
          <w:rFonts w:ascii="Verdana" w:eastAsia="Verdana" w:hAnsi="Verdana" w:cs="Verdana"/>
          <w:sz w:val="20"/>
          <w:szCs w:val="20"/>
          <w:lang w:val="es-ES"/>
        </w:rPr>
        <w:t xml:space="preserve">[…] </w:t>
      </w:r>
    </w:p>
    <w:p w14:paraId="358CAD0F" w14:textId="77777777" w:rsidR="009C3042" w:rsidRPr="00436551" w:rsidRDefault="009C3042" w:rsidP="009C3042">
      <w:pPr>
        <w:tabs>
          <w:tab w:val="left" w:pos="426"/>
        </w:tabs>
        <w:spacing w:after="0" w:line="240" w:lineRule="auto"/>
        <w:ind w:left="709" w:right="709"/>
        <w:jc w:val="both"/>
        <w:rPr>
          <w:rFonts w:ascii="Verdana" w:eastAsia="Verdana" w:hAnsi="Verdana" w:cs="Verdana"/>
          <w:sz w:val="20"/>
          <w:szCs w:val="20"/>
          <w:lang w:val="es-ES"/>
        </w:rPr>
      </w:pPr>
      <w:r w:rsidRPr="00436551">
        <w:rPr>
          <w:rFonts w:ascii="Verdana" w:eastAsia="Verdana" w:hAnsi="Verdana" w:cs="Verdana"/>
          <w:sz w:val="20"/>
          <w:szCs w:val="20"/>
          <w:lang w:val="es-ES"/>
        </w:rPr>
        <w:t xml:space="preserve">43.2.9. Garantizar la contratación y el seguimiento del subsidio a la oferta, entendido como la cofinanciación de la operación de la prestación de servicios y tecnologías efectuada en zonas alejadas o de difícil acceso, a través de </w:t>
      </w:r>
      <w:proofErr w:type="gramStart"/>
      <w:r w:rsidRPr="00436551">
        <w:rPr>
          <w:rFonts w:ascii="Verdana" w:eastAsia="Verdana" w:hAnsi="Verdana" w:cs="Verdana"/>
          <w:sz w:val="20"/>
          <w:szCs w:val="20"/>
          <w:lang w:val="es-ES"/>
        </w:rPr>
        <w:t>instituciones públicas o infraestructura pública</w:t>
      </w:r>
      <w:proofErr w:type="gramEnd"/>
      <w:r w:rsidRPr="00436551">
        <w:rPr>
          <w:rFonts w:ascii="Verdana" w:eastAsia="Verdana" w:hAnsi="Verdana" w:cs="Verdana"/>
          <w:sz w:val="20"/>
          <w:szCs w:val="20"/>
          <w:lang w:val="es-ES"/>
        </w:rPr>
        <w:t xml:space="preserve"> administrada por terceros ubicadas en esas zonas, que sean monopolio en servicios trazadores y no sostenibles por venta de servicios, de conformidad con los criterios establecidos por el Gobierno nacional. Los subsidios a la oferta se financiarán con recursos del Sistema General de Participaciones y con los recursos propios de la entidad territorial”.</w:t>
      </w:r>
    </w:p>
    <w:p w14:paraId="70D7E1BA" w14:textId="77777777" w:rsidR="009C3042" w:rsidRPr="00436551" w:rsidRDefault="009C3042" w:rsidP="009C3042">
      <w:pPr>
        <w:tabs>
          <w:tab w:val="left" w:pos="426"/>
        </w:tabs>
        <w:spacing w:after="0" w:line="276" w:lineRule="auto"/>
        <w:jc w:val="both"/>
        <w:rPr>
          <w:rFonts w:ascii="Verdana" w:eastAsia="Verdana" w:hAnsi="Verdana" w:cs="Verdana"/>
          <w:sz w:val="20"/>
          <w:szCs w:val="20"/>
          <w:lang w:val="es-ES"/>
        </w:rPr>
      </w:pPr>
      <w:r w:rsidRPr="00436551">
        <w:rPr>
          <w:rFonts w:ascii="Verdana" w:eastAsia="Verdana" w:hAnsi="Verdana" w:cs="Verdana"/>
          <w:sz w:val="20"/>
          <w:szCs w:val="20"/>
          <w:lang w:val="es-ES"/>
        </w:rPr>
        <w:tab/>
      </w:r>
      <w:r w:rsidRPr="00436551">
        <w:rPr>
          <w:rFonts w:ascii="Verdana" w:eastAsia="Verdana" w:hAnsi="Verdana" w:cs="Verdana"/>
          <w:sz w:val="20"/>
          <w:szCs w:val="20"/>
          <w:lang w:val="es-ES"/>
        </w:rPr>
        <w:tab/>
      </w:r>
    </w:p>
    <w:p w14:paraId="24FB8F23" w14:textId="77777777" w:rsidR="009C3042" w:rsidRPr="00436551" w:rsidRDefault="009C3042" w:rsidP="009C3042">
      <w:pPr>
        <w:tabs>
          <w:tab w:val="left" w:pos="426"/>
        </w:tabs>
        <w:spacing w:after="0" w:line="276" w:lineRule="auto"/>
        <w:ind w:firstLine="709"/>
        <w:jc w:val="both"/>
        <w:rPr>
          <w:rFonts w:ascii="Verdana" w:eastAsia="Verdana" w:hAnsi="Verdana" w:cs="Verdana"/>
          <w:lang w:val="es-ES"/>
        </w:rPr>
      </w:pPr>
      <w:r w:rsidRPr="00436551">
        <w:rPr>
          <w:rFonts w:ascii="Verdana" w:eastAsia="Verdana" w:hAnsi="Verdana" w:cs="Verdana"/>
          <w:lang w:val="es-ES"/>
        </w:rPr>
        <w:t>Por su parte, el artículo 23</w:t>
      </w:r>
      <w:r>
        <w:rPr>
          <w:rFonts w:ascii="Verdana" w:eastAsia="Verdana" w:hAnsi="Verdana" w:cs="Verdana"/>
          <w:lang w:val="es-ES"/>
        </w:rPr>
        <w:t>5</w:t>
      </w:r>
      <w:r w:rsidRPr="00436551">
        <w:rPr>
          <w:rFonts w:ascii="Verdana" w:eastAsia="Verdana" w:hAnsi="Verdana" w:cs="Verdana"/>
          <w:lang w:val="es-ES"/>
        </w:rPr>
        <w:t xml:space="preserve"> de la Ley 1955 de 2019 dispuso que los recursos del Sistema General en Participaciones en Salud se destinarían y distribuirían en los siguientes componentes: 1) el 87% para el componente de aseguramiento en salud de los afiliados al Régimen Subsidiado; 2) el 10% para </w:t>
      </w:r>
      <w:r w:rsidRPr="00436551">
        <w:rPr>
          <w:rFonts w:ascii="Verdana" w:eastAsia="Verdana" w:hAnsi="Verdana" w:cs="Verdana"/>
          <w:lang w:val="es-ES"/>
        </w:rPr>
        <w:lastRenderedPageBreak/>
        <w:t xml:space="preserve">el componente de salud pública; y </w:t>
      </w:r>
      <w:r>
        <w:rPr>
          <w:rFonts w:ascii="Verdana" w:eastAsia="Verdana" w:hAnsi="Verdana" w:cs="Verdana"/>
          <w:lang w:val="es-ES"/>
        </w:rPr>
        <w:t>3</w:t>
      </w:r>
      <w:r w:rsidRPr="00436551">
        <w:rPr>
          <w:rFonts w:ascii="Verdana" w:eastAsia="Verdana" w:hAnsi="Verdana" w:cs="Verdana"/>
          <w:lang w:val="es-ES"/>
        </w:rPr>
        <w:t>) el 3% para el subsidio a la oferta, al cual se refiere en su consulta. Sobre la distribución de este último componente, el artículo 235 de la referida ley señala lo siguiente:</w:t>
      </w:r>
    </w:p>
    <w:p w14:paraId="61AF0136" w14:textId="77777777" w:rsidR="009C3042" w:rsidRPr="00436551" w:rsidRDefault="009C3042" w:rsidP="009C3042">
      <w:pPr>
        <w:tabs>
          <w:tab w:val="left" w:pos="426"/>
        </w:tabs>
        <w:spacing w:after="0" w:line="276" w:lineRule="auto"/>
        <w:ind w:firstLine="709"/>
        <w:jc w:val="both"/>
        <w:rPr>
          <w:rFonts w:ascii="Verdana" w:eastAsia="Verdana" w:hAnsi="Verdana" w:cs="Verdana"/>
          <w:lang w:val="es-ES"/>
        </w:rPr>
      </w:pPr>
    </w:p>
    <w:p w14:paraId="11CE6A1C" w14:textId="77777777" w:rsidR="009C3042" w:rsidRPr="00436551" w:rsidRDefault="009C3042" w:rsidP="009C3042">
      <w:pPr>
        <w:tabs>
          <w:tab w:val="left" w:pos="426"/>
        </w:tabs>
        <w:spacing w:after="120" w:line="240" w:lineRule="auto"/>
        <w:ind w:left="709" w:right="709"/>
        <w:jc w:val="both"/>
        <w:rPr>
          <w:rFonts w:ascii="Verdana" w:eastAsia="Verdana" w:hAnsi="Verdana" w:cs="Verdana"/>
          <w:sz w:val="20"/>
          <w:szCs w:val="20"/>
          <w:lang w:val="es-ES"/>
        </w:rPr>
      </w:pPr>
      <w:r w:rsidRPr="00436551">
        <w:rPr>
          <w:rFonts w:ascii="Verdana" w:eastAsia="Verdana" w:hAnsi="Verdana" w:cs="Verdana"/>
          <w:sz w:val="20"/>
          <w:szCs w:val="20"/>
          <w:lang w:val="es-ES"/>
        </w:rPr>
        <w:t>“</w:t>
      </w:r>
      <w:r>
        <w:rPr>
          <w:rFonts w:ascii="Verdana" w:eastAsia="Verdana" w:hAnsi="Verdana" w:cs="Verdana"/>
          <w:sz w:val="20"/>
          <w:szCs w:val="20"/>
          <w:lang w:val="es-ES"/>
        </w:rPr>
        <w:t>A</w:t>
      </w:r>
      <w:r w:rsidRPr="00354317">
        <w:rPr>
          <w:rFonts w:ascii="Verdana" w:eastAsia="Verdana" w:hAnsi="Verdana" w:cs="Verdana"/>
          <w:sz w:val="20"/>
          <w:szCs w:val="20"/>
          <w:lang w:val="es-ES"/>
        </w:rPr>
        <w:t>rtículo 235. Distribución de los recursos del componente de salud pública y subsidios a la oferta.</w:t>
      </w:r>
      <w:r w:rsidRPr="00436551">
        <w:rPr>
          <w:rFonts w:ascii="Verdana" w:eastAsia="Verdana" w:hAnsi="Verdana" w:cs="Verdana"/>
          <w:b/>
          <w:bCs/>
          <w:sz w:val="20"/>
          <w:szCs w:val="20"/>
          <w:lang w:val="es-ES"/>
        </w:rPr>
        <w:t> </w:t>
      </w:r>
      <w:r w:rsidRPr="00436551">
        <w:rPr>
          <w:rFonts w:ascii="Verdana" w:eastAsia="Verdana" w:hAnsi="Verdana" w:cs="Verdana"/>
          <w:sz w:val="20"/>
          <w:szCs w:val="20"/>
          <w:lang w:val="es-ES"/>
        </w:rPr>
        <w:t>Modifíquese el artículo 52 de la Ley 715 de 2001, el cual quedará así: </w:t>
      </w:r>
    </w:p>
    <w:p w14:paraId="36C96075" w14:textId="77777777" w:rsidR="009C3042" w:rsidRPr="00436551" w:rsidRDefault="009C3042" w:rsidP="009C3042">
      <w:pPr>
        <w:tabs>
          <w:tab w:val="left" w:pos="426"/>
        </w:tabs>
        <w:snapToGrid w:val="0"/>
        <w:spacing w:after="0" w:line="240" w:lineRule="auto"/>
        <w:ind w:left="709" w:right="709"/>
        <w:contextualSpacing/>
        <w:jc w:val="both"/>
        <w:rPr>
          <w:rFonts w:ascii="Verdana" w:eastAsia="Verdana" w:hAnsi="Verdana" w:cs="Verdana"/>
          <w:sz w:val="20"/>
          <w:szCs w:val="20"/>
          <w:lang w:val="es-ES"/>
        </w:rPr>
      </w:pPr>
      <w:r w:rsidRPr="00354317">
        <w:rPr>
          <w:rFonts w:ascii="Verdana" w:eastAsia="Verdana" w:hAnsi="Verdana" w:cs="Verdana"/>
          <w:sz w:val="20"/>
          <w:szCs w:val="20"/>
          <w:lang w:val="es-ES"/>
        </w:rPr>
        <w:t>Artículo 52. Distribución de los recursos del componente de sa</w:t>
      </w:r>
      <w:r w:rsidRPr="00354317">
        <w:rPr>
          <w:rFonts w:ascii="Verdana" w:eastAsia="Verdana" w:hAnsi="Verdana" w:cs="Verdana"/>
          <w:sz w:val="20"/>
          <w:szCs w:val="20"/>
          <w:lang w:val="es-ES"/>
        </w:rPr>
        <w:softHyphen/>
        <w:t>lud pública y de subsidio de oferta.</w:t>
      </w:r>
      <w:r w:rsidRPr="00436551">
        <w:rPr>
          <w:rFonts w:ascii="Verdana" w:eastAsia="Verdana" w:hAnsi="Verdana" w:cs="Verdana"/>
          <w:b/>
          <w:bCs/>
          <w:sz w:val="20"/>
          <w:szCs w:val="20"/>
          <w:lang w:val="es-ES"/>
        </w:rPr>
        <w:t> </w:t>
      </w:r>
      <w:r w:rsidRPr="00436551">
        <w:rPr>
          <w:rFonts w:ascii="Verdana" w:eastAsia="Verdana" w:hAnsi="Verdana" w:cs="Verdana"/>
          <w:sz w:val="20"/>
          <w:szCs w:val="20"/>
          <w:lang w:val="es-ES"/>
        </w:rPr>
        <w:t>Este componente comprende dos subcomponentes: el de acciones de salud pública y el de subsidio a la oferta. Los recursos correspondientes a estos subcomponentes se distri</w:t>
      </w:r>
      <w:r w:rsidRPr="00436551">
        <w:rPr>
          <w:rFonts w:ascii="Verdana" w:eastAsia="Verdana" w:hAnsi="Verdana" w:cs="Verdana"/>
          <w:sz w:val="20"/>
          <w:szCs w:val="20"/>
          <w:lang w:val="es-ES"/>
        </w:rPr>
        <w:softHyphen/>
        <w:t>buirán así: </w:t>
      </w:r>
    </w:p>
    <w:p w14:paraId="66862964" w14:textId="77777777" w:rsidR="009C3042" w:rsidRPr="00436551" w:rsidRDefault="009C3042" w:rsidP="009C3042">
      <w:pPr>
        <w:tabs>
          <w:tab w:val="left" w:pos="426"/>
        </w:tabs>
        <w:snapToGrid w:val="0"/>
        <w:spacing w:after="0" w:line="240" w:lineRule="auto"/>
        <w:ind w:left="709" w:right="709"/>
        <w:contextualSpacing/>
        <w:jc w:val="both"/>
        <w:rPr>
          <w:rFonts w:ascii="Verdana" w:eastAsia="Verdana" w:hAnsi="Verdana" w:cs="Verdana"/>
          <w:sz w:val="20"/>
          <w:szCs w:val="20"/>
          <w:lang w:val="es-ES"/>
        </w:rPr>
      </w:pPr>
    </w:p>
    <w:p w14:paraId="43EEC6B5" w14:textId="77777777" w:rsidR="009C3042" w:rsidRPr="00436551" w:rsidRDefault="009C3042" w:rsidP="009C3042">
      <w:pPr>
        <w:tabs>
          <w:tab w:val="left" w:pos="426"/>
        </w:tabs>
        <w:snapToGrid w:val="0"/>
        <w:spacing w:after="0" w:line="240" w:lineRule="auto"/>
        <w:ind w:left="709" w:right="709"/>
        <w:contextualSpacing/>
        <w:jc w:val="both"/>
        <w:rPr>
          <w:rFonts w:ascii="Verdana" w:eastAsia="Verdana" w:hAnsi="Verdana" w:cs="Verdana"/>
          <w:sz w:val="20"/>
          <w:szCs w:val="20"/>
          <w:lang w:val="es-ES"/>
        </w:rPr>
      </w:pPr>
      <w:r w:rsidRPr="00436551">
        <w:rPr>
          <w:rFonts w:ascii="Verdana" w:eastAsia="Verdana" w:hAnsi="Verdana" w:cs="Verdana"/>
          <w:sz w:val="20"/>
          <w:szCs w:val="20"/>
          <w:lang w:val="es-ES"/>
        </w:rPr>
        <w:t>[…]</w:t>
      </w:r>
    </w:p>
    <w:p w14:paraId="3A49DE61" w14:textId="77777777" w:rsidR="009C3042" w:rsidRPr="00436551" w:rsidRDefault="009C3042" w:rsidP="009C3042">
      <w:pPr>
        <w:tabs>
          <w:tab w:val="left" w:pos="426"/>
        </w:tabs>
        <w:snapToGrid w:val="0"/>
        <w:spacing w:after="0" w:line="240" w:lineRule="auto"/>
        <w:ind w:left="709" w:right="709"/>
        <w:contextualSpacing/>
        <w:jc w:val="both"/>
        <w:rPr>
          <w:rFonts w:ascii="Verdana" w:eastAsia="Verdana" w:hAnsi="Verdana" w:cs="Verdana"/>
          <w:sz w:val="20"/>
          <w:szCs w:val="20"/>
          <w:lang w:val="es-ES"/>
        </w:rPr>
      </w:pPr>
    </w:p>
    <w:p w14:paraId="3EE4F3CC" w14:textId="77777777" w:rsidR="009C3042" w:rsidRPr="00436551" w:rsidRDefault="009C3042" w:rsidP="009C3042">
      <w:pPr>
        <w:tabs>
          <w:tab w:val="left" w:pos="426"/>
        </w:tabs>
        <w:snapToGrid w:val="0"/>
        <w:spacing w:after="0" w:line="240" w:lineRule="auto"/>
        <w:ind w:left="709" w:right="709"/>
        <w:contextualSpacing/>
        <w:jc w:val="both"/>
        <w:rPr>
          <w:rFonts w:ascii="Verdana" w:eastAsia="Verdana" w:hAnsi="Verdana" w:cs="Verdana"/>
          <w:sz w:val="20"/>
          <w:szCs w:val="20"/>
          <w:lang w:val="es-ES"/>
        </w:rPr>
      </w:pPr>
      <w:r w:rsidRPr="00436551">
        <w:rPr>
          <w:rFonts w:ascii="Verdana" w:eastAsia="Verdana" w:hAnsi="Verdana" w:cs="Verdana"/>
          <w:sz w:val="20"/>
          <w:szCs w:val="20"/>
          <w:lang w:val="es-ES"/>
        </w:rPr>
        <w:t xml:space="preserve">52.2 El subcomponente de Subsidio a la Oferta se define como una asignación de recursos para concurrir en la financiación de la operación de la prestación de servicios y tecnologías efectuadas por </w:t>
      </w:r>
      <w:proofErr w:type="gramStart"/>
      <w:r w:rsidRPr="00436551">
        <w:rPr>
          <w:rFonts w:ascii="Verdana" w:eastAsia="Verdana" w:hAnsi="Verdana" w:cs="Verdana"/>
          <w:sz w:val="20"/>
          <w:szCs w:val="20"/>
          <w:lang w:val="es-ES"/>
        </w:rPr>
        <w:t>instituciones públicas o infraestructura pública</w:t>
      </w:r>
      <w:proofErr w:type="gramEnd"/>
      <w:r w:rsidRPr="00436551">
        <w:rPr>
          <w:rFonts w:ascii="Verdana" w:eastAsia="Verdana" w:hAnsi="Verdana" w:cs="Verdana"/>
          <w:sz w:val="20"/>
          <w:szCs w:val="20"/>
          <w:lang w:val="es-ES"/>
        </w:rPr>
        <w:t xml:space="preserve"> administrada por terceros, ubicadas en zonas alejadas o de difícil acceso que sean monopolio en servicios trazadores y no sostenibles por venta de servicios. </w:t>
      </w:r>
    </w:p>
    <w:p w14:paraId="7069BAAA" w14:textId="77777777" w:rsidR="009C3042" w:rsidRPr="00436551" w:rsidRDefault="009C3042" w:rsidP="009C3042">
      <w:pPr>
        <w:tabs>
          <w:tab w:val="left" w:pos="426"/>
        </w:tabs>
        <w:snapToGrid w:val="0"/>
        <w:spacing w:after="0" w:line="240" w:lineRule="auto"/>
        <w:ind w:left="709" w:right="709"/>
        <w:contextualSpacing/>
        <w:jc w:val="both"/>
        <w:rPr>
          <w:rFonts w:ascii="Verdana" w:eastAsia="Verdana" w:hAnsi="Verdana" w:cs="Verdana"/>
          <w:sz w:val="20"/>
          <w:szCs w:val="20"/>
          <w:lang w:val="es-ES"/>
        </w:rPr>
      </w:pPr>
    </w:p>
    <w:p w14:paraId="232AF8A1" w14:textId="77777777" w:rsidR="009C3042" w:rsidRPr="00436551" w:rsidRDefault="009C3042" w:rsidP="009C3042">
      <w:pPr>
        <w:tabs>
          <w:tab w:val="left" w:pos="426"/>
        </w:tabs>
        <w:snapToGrid w:val="0"/>
        <w:spacing w:after="0" w:line="240" w:lineRule="auto"/>
        <w:ind w:left="709" w:right="709"/>
        <w:contextualSpacing/>
        <w:jc w:val="both"/>
        <w:rPr>
          <w:rFonts w:ascii="Verdana" w:eastAsia="Verdana" w:hAnsi="Verdana" w:cs="Verdana"/>
          <w:sz w:val="20"/>
          <w:szCs w:val="20"/>
          <w:lang w:val="es-ES"/>
        </w:rPr>
      </w:pPr>
      <w:r w:rsidRPr="00436551">
        <w:rPr>
          <w:rFonts w:ascii="Verdana" w:eastAsia="Verdana" w:hAnsi="Verdana" w:cs="Verdana"/>
          <w:sz w:val="20"/>
          <w:szCs w:val="20"/>
          <w:lang w:val="es-ES"/>
        </w:rPr>
        <w:t xml:space="preserve">Los recursos para financiar este subcomponente se distribuirán </w:t>
      </w:r>
      <w:r w:rsidRPr="00436551">
        <w:rPr>
          <w:rFonts w:ascii="Verdana" w:eastAsia="Verdana" w:hAnsi="Verdana" w:cs="Verdana"/>
          <w:i/>
          <w:iCs/>
          <w:sz w:val="20"/>
          <w:szCs w:val="20"/>
          <w:lang w:val="es-ES"/>
        </w:rPr>
        <w:t>entre los municipios y distritos certificados y los departamentos con insti</w:t>
      </w:r>
      <w:r w:rsidRPr="00436551">
        <w:rPr>
          <w:rFonts w:ascii="Verdana" w:eastAsia="Verdana" w:hAnsi="Verdana" w:cs="Verdana"/>
          <w:i/>
          <w:iCs/>
          <w:sz w:val="20"/>
          <w:szCs w:val="20"/>
          <w:lang w:val="es-ES"/>
        </w:rPr>
        <w:softHyphen/>
        <w:t>tuciones de prestación de servicios de que trata el inciso anterior</w:t>
      </w:r>
      <w:r w:rsidRPr="00436551">
        <w:rPr>
          <w:rFonts w:ascii="Verdana" w:eastAsia="Verdana" w:hAnsi="Verdana" w:cs="Verdana"/>
          <w:sz w:val="20"/>
          <w:szCs w:val="20"/>
          <w:lang w:val="es-ES"/>
        </w:rPr>
        <w:t>, de conformidad con los siguientes criterios: población total, porcentaje de pobreza de cada entidad territorial, ruralidad y densidad poblacional”. [Énfasis Propio]</w:t>
      </w:r>
    </w:p>
    <w:p w14:paraId="42910F7B" w14:textId="77777777" w:rsidR="009C3042" w:rsidRPr="00436551" w:rsidRDefault="009C3042" w:rsidP="009C3042">
      <w:pPr>
        <w:tabs>
          <w:tab w:val="left" w:pos="426"/>
        </w:tabs>
        <w:snapToGrid w:val="0"/>
        <w:spacing w:after="0" w:line="240" w:lineRule="auto"/>
        <w:ind w:left="709" w:right="709"/>
        <w:contextualSpacing/>
        <w:jc w:val="both"/>
        <w:rPr>
          <w:rFonts w:ascii="Verdana" w:eastAsia="Verdana" w:hAnsi="Verdana" w:cs="Verdana"/>
          <w:sz w:val="20"/>
          <w:szCs w:val="20"/>
          <w:lang w:val="es-ES"/>
        </w:rPr>
      </w:pPr>
    </w:p>
    <w:p w14:paraId="520BB71A" w14:textId="77777777" w:rsidR="009C3042" w:rsidRPr="00436551" w:rsidRDefault="009C3042" w:rsidP="009C3042">
      <w:pPr>
        <w:tabs>
          <w:tab w:val="left" w:pos="426"/>
        </w:tabs>
        <w:spacing w:after="0" w:line="276" w:lineRule="auto"/>
        <w:ind w:firstLine="709"/>
        <w:jc w:val="both"/>
        <w:rPr>
          <w:rFonts w:ascii="Verdana" w:eastAsia="Verdana" w:hAnsi="Verdana" w:cs="Verdana"/>
          <w:b/>
          <w:bCs/>
          <w:i/>
          <w:iCs/>
          <w:lang w:val="es-ES"/>
        </w:rPr>
      </w:pPr>
      <w:r w:rsidRPr="00436551">
        <w:rPr>
          <w:rFonts w:ascii="Verdana" w:eastAsia="Verdana" w:hAnsi="Verdana" w:cs="Verdana"/>
          <w:lang w:val="es-ES"/>
        </w:rPr>
        <w:t>Estas disposiciones fueron reglamentadas mediante el Decreto 268 de 2020. El artículo 2.4.2.7. dispuso sobre el uso de los recursos del subsidio a la oferta que:</w:t>
      </w:r>
      <w:r w:rsidRPr="00436551">
        <w:rPr>
          <w:rFonts w:ascii="Verdana" w:eastAsia="Verdana" w:hAnsi="Verdana" w:cs="Verdana"/>
          <w:b/>
          <w:bCs/>
          <w:i/>
          <w:iCs/>
          <w:lang w:val="es-ES"/>
        </w:rPr>
        <w:t xml:space="preserve">  </w:t>
      </w:r>
    </w:p>
    <w:p w14:paraId="267C3CFC" w14:textId="77777777" w:rsidR="009C3042" w:rsidRPr="00436551" w:rsidRDefault="009C3042" w:rsidP="009C3042">
      <w:pPr>
        <w:tabs>
          <w:tab w:val="left" w:pos="426"/>
        </w:tabs>
        <w:spacing w:after="0" w:line="276" w:lineRule="auto"/>
        <w:ind w:firstLine="709"/>
        <w:jc w:val="both"/>
        <w:rPr>
          <w:rFonts w:ascii="Verdana" w:eastAsia="Verdana" w:hAnsi="Verdana" w:cs="Verdana"/>
          <w:lang w:val="es-ES"/>
        </w:rPr>
      </w:pPr>
    </w:p>
    <w:p w14:paraId="073C4F8A" w14:textId="40A23D55" w:rsidR="009C3042" w:rsidRPr="00436551" w:rsidRDefault="00497EB6" w:rsidP="009C3042">
      <w:pPr>
        <w:tabs>
          <w:tab w:val="left" w:pos="426"/>
        </w:tabs>
        <w:snapToGrid w:val="0"/>
        <w:spacing w:after="0" w:line="240" w:lineRule="auto"/>
        <w:ind w:left="709" w:right="709"/>
        <w:contextualSpacing/>
        <w:jc w:val="both"/>
        <w:rPr>
          <w:rFonts w:ascii="Verdana" w:eastAsia="Verdana" w:hAnsi="Verdana" w:cs="Verdana"/>
          <w:sz w:val="20"/>
          <w:szCs w:val="20"/>
          <w:lang w:val="es-ES"/>
        </w:rPr>
      </w:pPr>
      <w:r>
        <w:rPr>
          <w:rFonts w:ascii="Verdana" w:eastAsia="Verdana" w:hAnsi="Verdana" w:cs="Verdana"/>
          <w:sz w:val="20"/>
          <w:szCs w:val="20"/>
          <w:lang w:val="es-ES"/>
        </w:rPr>
        <w:t>“</w:t>
      </w:r>
      <w:r w:rsidR="009C3042" w:rsidRPr="00436551">
        <w:rPr>
          <w:rFonts w:ascii="Verdana" w:eastAsia="Verdana" w:hAnsi="Verdana" w:cs="Verdana"/>
          <w:sz w:val="20"/>
          <w:szCs w:val="20"/>
          <w:lang w:val="es-ES"/>
        </w:rPr>
        <w:t>[…] deberán ser usados por los departamentos, municipios certificados y distritos; referidos en el artículo 2.4.1.3 del presente decreto, para la financiación de los gastos de operación de la prestación de servicios de salud de las Empresas Sociales del Estado o administradores de infraestructura pública destinados a la prestación de servicios de salud, de acuerdo con lo establecido en numeral 52.2 del artículo 52 de la Ley 715 de 2001, modificado por el artículo 235 de la Ley 1955 de 2019. </w:t>
      </w:r>
    </w:p>
    <w:p w14:paraId="2FC41941" w14:textId="77777777" w:rsidR="009C3042" w:rsidRPr="00436551" w:rsidRDefault="009C3042" w:rsidP="009C3042">
      <w:pPr>
        <w:tabs>
          <w:tab w:val="left" w:pos="426"/>
        </w:tabs>
        <w:snapToGrid w:val="0"/>
        <w:spacing w:after="0" w:line="240" w:lineRule="auto"/>
        <w:ind w:left="709" w:right="709"/>
        <w:contextualSpacing/>
        <w:jc w:val="both"/>
        <w:rPr>
          <w:rFonts w:ascii="Verdana" w:eastAsia="Verdana" w:hAnsi="Verdana" w:cs="Verdana"/>
          <w:sz w:val="20"/>
          <w:szCs w:val="20"/>
          <w:lang w:val="es-ES"/>
        </w:rPr>
      </w:pPr>
      <w:r w:rsidRPr="00436551">
        <w:rPr>
          <w:rFonts w:ascii="Verdana" w:eastAsia="Verdana" w:hAnsi="Verdana" w:cs="Verdana"/>
          <w:sz w:val="20"/>
          <w:szCs w:val="20"/>
          <w:lang w:val="es-ES"/>
        </w:rPr>
        <w:t>  </w:t>
      </w:r>
    </w:p>
    <w:p w14:paraId="1109AE54" w14:textId="77777777" w:rsidR="009C3042" w:rsidRPr="00436551" w:rsidRDefault="009C3042" w:rsidP="009C3042">
      <w:pPr>
        <w:tabs>
          <w:tab w:val="left" w:pos="426"/>
        </w:tabs>
        <w:snapToGrid w:val="0"/>
        <w:spacing w:after="0" w:line="240" w:lineRule="auto"/>
        <w:ind w:left="709" w:right="709"/>
        <w:contextualSpacing/>
        <w:jc w:val="both"/>
        <w:rPr>
          <w:rFonts w:ascii="Verdana" w:eastAsia="Verdana" w:hAnsi="Verdana" w:cs="Verdana"/>
          <w:sz w:val="20"/>
          <w:szCs w:val="20"/>
          <w:lang w:val="es-ES"/>
        </w:rPr>
      </w:pPr>
      <w:r w:rsidRPr="00436551">
        <w:rPr>
          <w:rFonts w:ascii="Verdana" w:eastAsia="Verdana" w:hAnsi="Verdana" w:cs="Verdana"/>
          <w:i/>
          <w:iCs/>
          <w:sz w:val="20"/>
          <w:szCs w:val="20"/>
          <w:u w:val="single"/>
          <w:lang w:val="es-ES"/>
        </w:rPr>
        <w:t>Los departamentos, los distritos definidos en el artículo 2.4.1.3 del presente decreto y los municipios certificados</w:t>
      </w:r>
      <w:r w:rsidRPr="00436551">
        <w:rPr>
          <w:rFonts w:ascii="Verdana" w:eastAsia="Verdana" w:hAnsi="Verdana" w:cs="Verdana"/>
          <w:sz w:val="20"/>
          <w:szCs w:val="20"/>
          <w:lang w:val="es-ES"/>
        </w:rPr>
        <w:t xml:space="preserve">, asignarán los recursos del subsidio a la oferta a las </w:t>
      </w:r>
      <w:r w:rsidRPr="00436551">
        <w:rPr>
          <w:rFonts w:ascii="Verdana" w:eastAsia="Verdana" w:hAnsi="Verdana" w:cs="Verdana"/>
          <w:i/>
          <w:iCs/>
          <w:sz w:val="20"/>
          <w:szCs w:val="20"/>
          <w:u w:val="single"/>
          <w:lang w:val="es-ES"/>
        </w:rPr>
        <w:t xml:space="preserve">Empresas Sociales del Estado o administradores </w:t>
      </w:r>
      <w:r w:rsidRPr="00436551">
        <w:rPr>
          <w:rFonts w:ascii="Verdana" w:eastAsia="Verdana" w:hAnsi="Verdana" w:cs="Verdana"/>
          <w:i/>
          <w:iCs/>
          <w:sz w:val="20"/>
          <w:szCs w:val="20"/>
          <w:u w:val="single"/>
          <w:lang w:val="es-ES"/>
        </w:rPr>
        <w:lastRenderedPageBreak/>
        <w:t>de infraestructura pública para la prestación de servicios de salud</w:t>
      </w:r>
      <w:r w:rsidRPr="00436551">
        <w:rPr>
          <w:rFonts w:ascii="Verdana" w:eastAsia="Verdana" w:hAnsi="Verdana" w:cs="Verdana"/>
          <w:sz w:val="20"/>
          <w:szCs w:val="20"/>
          <w:lang w:val="es-ES"/>
        </w:rPr>
        <w:t xml:space="preserve">, teniendo en cuenta el listado definido por el Ministerio de Salud y; Protección Social, </w:t>
      </w:r>
      <w:r w:rsidRPr="00436551">
        <w:rPr>
          <w:rFonts w:ascii="Verdana" w:eastAsia="Verdana" w:hAnsi="Verdana" w:cs="Verdana"/>
          <w:i/>
          <w:iCs/>
          <w:sz w:val="20"/>
          <w:szCs w:val="20"/>
          <w:u w:val="single"/>
          <w:lang w:val="es-ES"/>
        </w:rPr>
        <w:t>y su ejecución deberá realizarse mediante la suscripción de convenios o contratos que garanticen la transferencia del subsidio a dichas entidades</w:t>
      </w:r>
      <w:r w:rsidRPr="00436551">
        <w:rPr>
          <w:rFonts w:ascii="Verdana" w:eastAsia="Verdana" w:hAnsi="Verdana" w:cs="Verdana"/>
          <w:sz w:val="20"/>
          <w:szCs w:val="20"/>
          <w:lang w:val="es-ES"/>
        </w:rPr>
        <w:t>. </w:t>
      </w:r>
    </w:p>
    <w:p w14:paraId="3B718C94" w14:textId="77777777" w:rsidR="009C3042" w:rsidRPr="00436551" w:rsidRDefault="009C3042" w:rsidP="009C3042">
      <w:pPr>
        <w:tabs>
          <w:tab w:val="left" w:pos="426"/>
        </w:tabs>
        <w:snapToGrid w:val="0"/>
        <w:spacing w:after="0" w:line="240" w:lineRule="auto"/>
        <w:ind w:left="709" w:right="709"/>
        <w:contextualSpacing/>
        <w:jc w:val="both"/>
        <w:rPr>
          <w:rFonts w:ascii="Verdana" w:eastAsia="Verdana" w:hAnsi="Verdana" w:cs="Verdana"/>
          <w:sz w:val="20"/>
          <w:szCs w:val="20"/>
          <w:lang w:val="es-ES"/>
        </w:rPr>
      </w:pPr>
      <w:r w:rsidRPr="00436551">
        <w:rPr>
          <w:rFonts w:ascii="Verdana" w:eastAsia="Verdana" w:hAnsi="Verdana" w:cs="Verdana"/>
          <w:sz w:val="20"/>
          <w:szCs w:val="20"/>
          <w:lang w:val="es-ES"/>
        </w:rPr>
        <w:t>  </w:t>
      </w:r>
    </w:p>
    <w:p w14:paraId="0E2AEF39" w14:textId="77777777" w:rsidR="009C3042" w:rsidRPr="00436551" w:rsidRDefault="009C3042" w:rsidP="009C3042">
      <w:pPr>
        <w:tabs>
          <w:tab w:val="left" w:pos="426"/>
        </w:tabs>
        <w:snapToGrid w:val="0"/>
        <w:spacing w:after="0" w:line="240" w:lineRule="auto"/>
        <w:ind w:left="709" w:right="709"/>
        <w:contextualSpacing/>
        <w:jc w:val="both"/>
        <w:rPr>
          <w:rFonts w:ascii="Verdana" w:eastAsia="Verdana" w:hAnsi="Verdana" w:cs="Verdana"/>
          <w:sz w:val="20"/>
          <w:szCs w:val="20"/>
          <w:lang w:val="es-ES"/>
        </w:rPr>
      </w:pPr>
      <w:r w:rsidRPr="00436551">
        <w:rPr>
          <w:rFonts w:ascii="Verdana" w:eastAsia="Verdana" w:hAnsi="Verdana" w:cs="Verdana"/>
          <w:sz w:val="20"/>
          <w:szCs w:val="20"/>
          <w:lang w:val="es-ES"/>
        </w:rPr>
        <w:t xml:space="preserve">El convenio o contrato deberá incluir, entre otros, indicadores y metas de calidad en la prestación de servicios de salud a la población y de gestión financiera y de producción, los cuales deben ser cumplidos durante la vigencia del convenio o contrato. El término de este convenio no debe ser inferior a la vigencia fiscal para la cual se asignan los recursos. El convenio o contrato deberá contar con una supervisión, que efectuará el seguimiento al cumplimiento de los indicadores y metas, así como las obligaciones que hacen parte </w:t>
      </w:r>
      <w:proofErr w:type="gramStart"/>
      <w:r w:rsidRPr="00436551">
        <w:rPr>
          <w:rFonts w:ascii="Verdana" w:eastAsia="Verdana" w:hAnsi="Verdana" w:cs="Verdana"/>
          <w:sz w:val="20"/>
          <w:szCs w:val="20"/>
          <w:lang w:val="es-ES"/>
        </w:rPr>
        <w:t>del mismo</w:t>
      </w:r>
      <w:proofErr w:type="gramEnd"/>
      <w:r w:rsidRPr="00436551">
        <w:rPr>
          <w:rFonts w:ascii="Verdana" w:eastAsia="Verdana" w:hAnsi="Verdana" w:cs="Verdana"/>
          <w:sz w:val="20"/>
          <w:szCs w:val="20"/>
          <w:lang w:val="es-ES"/>
        </w:rPr>
        <w:t>. Cuando se evidencie el incumplimiento de los indicadores y metas establecidas en el convenio o contrato, la entidad territorial deberá adoptar las medidas necesarias con el fin de garantizar la prestación de los servicios y salvaguardar los recursos públicos y deberá establecer, si así llegare a determinarlo, las condiciones que se deben cumplir para continuar efectuando los giros, en el marco de la ejecución del convenio o contrato. </w:t>
      </w:r>
    </w:p>
    <w:p w14:paraId="20280EF0" w14:textId="77777777" w:rsidR="009C3042" w:rsidRPr="00436551" w:rsidRDefault="009C3042" w:rsidP="009C3042">
      <w:pPr>
        <w:tabs>
          <w:tab w:val="left" w:pos="426"/>
        </w:tabs>
        <w:snapToGrid w:val="0"/>
        <w:spacing w:after="0" w:line="240" w:lineRule="auto"/>
        <w:ind w:left="709" w:right="709"/>
        <w:contextualSpacing/>
        <w:jc w:val="both"/>
        <w:rPr>
          <w:rFonts w:ascii="Verdana" w:eastAsia="Verdana" w:hAnsi="Verdana" w:cs="Verdana"/>
          <w:sz w:val="20"/>
          <w:szCs w:val="20"/>
          <w:lang w:val="es-ES"/>
        </w:rPr>
      </w:pPr>
      <w:r w:rsidRPr="00436551">
        <w:rPr>
          <w:rFonts w:ascii="Verdana" w:eastAsia="Verdana" w:hAnsi="Verdana" w:cs="Verdana"/>
          <w:sz w:val="20"/>
          <w:szCs w:val="20"/>
          <w:lang w:val="es-ES"/>
        </w:rPr>
        <w:t>  </w:t>
      </w:r>
    </w:p>
    <w:p w14:paraId="3BD1CDA0" w14:textId="77777777" w:rsidR="009C3042" w:rsidRPr="00436551" w:rsidRDefault="009C3042" w:rsidP="009C3042">
      <w:pPr>
        <w:tabs>
          <w:tab w:val="left" w:pos="426"/>
        </w:tabs>
        <w:snapToGrid w:val="0"/>
        <w:spacing w:after="0" w:line="240" w:lineRule="auto"/>
        <w:ind w:left="709" w:right="709"/>
        <w:contextualSpacing/>
        <w:jc w:val="both"/>
        <w:rPr>
          <w:rFonts w:ascii="Verdana" w:eastAsia="Verdana" w:hAnsi="Verdana" w:cs="Verdana"/>
          <w:sz w:val="20"/>
          <w:szCs w:val="20"/>
          <w:lang w:val="es-ES"/>
        </w:rPr>
      </w:pPr>
      <w:r w:rsidRPr="00436551">
        <w:rPr>
          <w:rFonts w:ascii="Verdana" w:eastAsia="Verdana" w:hAnsi="Verdana" w:cs="Verdana"/>
          <w:sz w:val="20"/>
          <w:szCs w:val="20"/>
          <w:lang w:val="es-ES"/>
        </w:rPr>
        <w:t>El Ministerio de Salud y Protección Social efectuará el monitoreo a los recursos del SGP establecidos en el presente acto administrativo en cumplimiento de lo previsto en el Decreto Ley 028 de 2008 o la norma que lo modifique, adicione o sustituya. </w:t>
      </w:r>
    </w:p>
    <w:p w14:paraId="7ACA550E" w14:textId="77777777" w:rsidR="009C3042" w:rsidRPr="00436551" w:rsidRDefault="009C3042" w:rsidP="009C3042">
      <w:pPr>
        <w:tabs>
          <w:tab w:val="left" w:pos="426"/>
        </w:tabs>
        <w:snapToGrid w:val="0"/>
        <w:spacing w:after="0" w:line="240" w:lineRule="auto"/>
        <w:ind w:left="709" w:right="709"/>
        <w:contextualSpacing/>
        <w:jc w:val="both"/>
        <w:rPr>
          <w:rFonts w:ascii="Verdana" w:eastAsia="Verdana" w:hAnsi="Verdana" w:cs="Verdana"/>
          <w:sz w:val="20"/>
          <w:szCs w:val="20"/>
          <w:lang w:val="es-ES"/>
        </w:rPr>
      </w:pPr>
      <w:r w:rsidRPr="00436551">
        <w:rPr>
          <w:rFonts w:ascii="Verdana" w:eastAsia="Verdana" w:hAnsi="Verdana" w:cs="Verdana"/>
          <w:sz w:val="20"/>
          <w:szCs w:val="20"/>
          <w:lang w:val="es-ES"/>
        </w:rPr>
        <w:t>  </w:t>
      </w:r>
    </w:p>
    <w:p w14:paraId="3F2DE36F" w14:textId="77777777" w:rsidR="009C3042" w:rsidRPr="00436551" w:rsidRDefault="009C3042" w:rsidP="009C3042">
      <w:pPr>
        <w:tabs>
          <w:tab w:val="left" w:pos="426"/>
        </w:tabs>
        <w:snapToGrid w:val="0"/>
        <w:spacing w:after="0" w:line="240" w:lineRule="auto"/>
        <w:ind w:left="709" w:right="709"/>
        <w:contextualSpacing/>
        <w:jc w:val="both"/>
        <w:rPr>
          <w:rFonts w:ascii="Verdana" w:eastAsia="Verdana" w:hAnsi="Verdana" w:cs="Verdana"/>
          <w:sz w:val="20"/>
          <w:szCs w:val="20"/>
          <w:lang w:val="es-ES"/>
        </w:rPr>
      </w:pPr>
      <w:r w:rsidRPr="00436551">
        <w:rPr>
          <w:rFonts w:ascii="Verdana" w:eastAsia="Verdana" w:hAnsi="Verdana" w:cs="Verdana"/>
          <w:b/>
          <w:bCs/>
          <w:sz w:val="20"/>
          <w:szCs w:val="20"/>
          <w:lang w:val="es-ES"/>
        </w:rPr>
        <w:t>Parágrafo</w:t>
      </w:r>
      <w:r w:rsidRPr="00436551">
        <w:rPr>
          <w:rFonts w:ascii="Verdana" w:eastAsia="Verdana" w:hAnsi="Verdana" w:cs="Verdana"/>
          <w:sz w:val="20"/>
          <w:szCs w:val="20"/>
          <w:lang w:val="es-ES"/>
        </w:rPr>
        <w:t>. Las Empresas Sociales del Estado y los administradores de infraestructura pública, a quienes se les asignen recursos del subsidio a la oferta, deberán garantizar la operación de las sedes que sean monopolio en servicios trazadores. </w:t>
      </w:r>
    </w:p>
    <w:p w14:paraId="5E7B0226" w14:textId="77777777" w:rsidR="009C3042" w:rsidRPr="00436551" w:rsidRDefault="009C3042" w:rsidP="009C3042">
      <w:pPr>
        <w:tabs>
          <w:tab w:val="left" w:pos="426"/>
        </w:tabs>
        <w:spacing w:after="120" w:line="276" w:lineRule="auto"/>
        <w:jc w:val="both"/>
        <w:rPr>
          <w:rFonts w:ascii="Verdana" w:eastAsia="Verdana" w:hAnsi="Verdana" w:cs="Verdana"/>
          <w:sz w:val="20"/>
          <w:szCs w:val="20"/>
          <w:lang w:val="es-ES"/>
        </w:rPr>
      </w:pPr>
      <w:r w:rsidRPr="00436551">
        <w:rPr>
          <w:rFonts w:ascii="Verdana" w:eastAsia="Verdana" w:hAnsi="Verdana" w:cs="Verdana"/>
          <w:sz w:val="20"/>
          <w:szCs w:val="20"/>
          <w:lang w:val="es-ES"/>
        </w:rPr>
        <w:t xml:space="preserve"> </w:t>
      </w:r>
    </w:p>
    <w:p w14:paraId="5452039E" w14:textId="77777777" w:rsidR="00B10D8D" w:rsidRDefault="009C3042" w:rsidP="00B10D8D">
      <w:pPr>
        <w:tabs>
          <w:tab w:val="left" w:pos="426"/>
        </w:tabs>
        <w:spacing w:after="120" w:line="276" w:lineRule="auto"/>
        <w:ind w:firstLine="709"/>
        <w:jc w:val="both"/>
        <w:rPr>
          <w:rFonts w:ascii="Verdana" w:eastAsia="Verdana" w:hAnsi="Verdana" w:cs="Verdana"/>
          <w:lang w:val="es-ES"/>
        </w:rPr>
      </w:pPr>
      <w:r w:rsidRPr="00436551">
        <w:rPr>
          <w:rFonts w:ascii="Verdana" w:eastAsia="Verdana" w:hAnsi="Verdana" w:cs="Verdana"/>
          <w:lang w:val="es-ES"/>
        </w:rPr>
        <w:t>De acuerdo con la normativa expuesta, los departamentos, los distritos que señala el artículo 2.4.1.3 del Decreto</w:t>
      </w:r>
      <w:r>
        <w:rPr>
          <w:rFonts w:ascii="Verdana" w:eastAsia="Verdana" w:hAnsi="Verdana" w:cs="Verdana"/>
          <w:lang w:val="es-ES"/>
        </w:rPr>
        <w:t xml:space="preserve"> referido</w:t>
      </w:r>
      <w:r w:rsidRPr="00436551">
        <w:rPr>
          <w:rFonts w:ascii="Verdana" w:eastAsia="Verdana" w:hAnsi="Verdana" w:cs="Verdana"/>
          <w:lang w:val="es-ES"/>
        </w:rPr>
        <w:t xml:space="preserve"> y los municipios certificados deberán suscribir </w:t>
      </w:r>
      <w:r w:rsidRPr="009B100F">
        <w:rPr>
          <w:rFonts w:ascii="Verdana" w:eastAsia="Verdana" w:hAnsi="Verdana" w:cs="Verdana"/>
          <w:i/>
          <w:iCs/>
          <w:lang w:val="es-ES"/>
        </w:rPr>
        <w:t>convenios o contratos</w:t>
      </w:r>
      <w:r w:rsidRPr="00436551">
        <w:rPr>
          <w:rFonts w:ascii="Verdana" w:eastAsia="Verdana" w:hAnsi="Verdana" w:cs="Verdana"/>
          <w:lang w:val="es-ES"/>
        </w:rPr>
        <w:t xml:space="preserve"> con </w:t>
      </w:r>
      <w:r>
        <w:rPr>
          <w:rFonts w:ascii="Verdana" w:eastAsia="Verdana" w:hAnsi="Verdana" w:cs="Verdana"/>
          <w:lang w:val="es-ES"/>
        </w:rPr>
        <w:t>E</w:t>
      </w:r>
      <w:r w:rsidRPr="00436551">
        <w:rPr>
          <w:rFonts w:ascii="Verdana" w:eastAsia="Verdana" w:hAnsi="Verdana" w:cs="Verdana"/>
          <w:lang w:val="es-ES"/>
        </w:rPr>
        <w:t xml:space="preserve">mpresas </w:t>
      </w:r>
      <w:r>
        <w:rPr>
          <w:rFonts w:ascii="Verdana" w:eastAsia="Verdana" w:hAnsi="Verdana" w:cs="Verdana"/>
          <w:lang w:val="es-ES"/>
        </w:rPr>
        <w:t>S</w:t>
      </w:r>
      <w:r w:rsidRPr="00436551">
        <w:rPr>
          <w:rFonts w:ascii="Verdana" w:eastAsia="Verdana" w:hAnsi="Verdana" w:cs="Verdana"/>
          <w:lang w:val="es-ES"/>
        </w:rPr>
        <w:t>ociales</w:t>
      </w:r>
      <w:r>
        <w:rPr>
          <w:rFonts w:ascii="Verdana" w:eastAsia="Verdana" w:hAnsi="Verdana" w:cs="Verdana"/>
          <w:lang w:val="es-ES"/>
        </w:rPr>
        <w:t xml:space="preserve"> del Estado</w:t>
      </w:r>
      <w:r w:rsidRPr="00436551">
        <w:rPr>
          <w:rFonts w:ascii="Verdana" w:eastAsia="Verdana" w:hAnsi="Verdana" w:cs="Verdana"/>
          <w:lang w:val="es-ES"/>
        </w:rPr>
        <w:t xml:space="preserve"> o con los administradores de infraestructura pública para la prestación de servicios de salud </w:t>
      </w:r>
      <w:r>
        <w:rPr>
          <w:rFonts w:ascii="Verdana" w:eastAsia="Verdana" w:hAnsi="Verdana" w:cs="Verdana"/>
          <w:lang w:val="es-ES"/>
        </w:rPr>
        <w:t xml:space="preserve">para </w:t>
      </w:r>
      <w:r w:rsidRPr="00436551">
        <w:rPr>
          <w:rFonts w:ascii="Verdana" w:eastAsia="Verdana" w:hAnsi="Verdana" w:cs="Verdana"/>
          <w:lang w:val="es-ES"/>
        </w:rPr>
        <w:t xml:space="preserve">transferir </w:t>
      </w:r>
      <w:r>
        <w:rPr>
          <w:rFonts w:ascii="Verdana" w:eastAsia="Verdana" w:hAnsi="Verdana" w:cs="Verdana"/>
          <w:lang w:val="es-ES"/>
        </w:rPr>
        <w:t xml:space="preserve">y ejecutar </w:t>
      </w:r>
      <w:r w:rsidRPr="00436551">
        <w:rPr>
          <w:rFonts w:ascii="Verdana" w:eastAsia="Verdana" w:hAnsi="Verdana" w:cs="Verdana"/>
          <w:lang w:val="es-ES"/>
        </w:rPr>
        <w:t xml:space="preserve">el subsidio a la oferta. La suscripción de estos convenios o contratos estará sujeta a la prohibición del artículo 33 de la Ley de Garantías Electorales en la medida en que se trate de un procedimiento de “contratación directa”, es decir, que el sistema de selección o procedimiento no incluya una convocatoria pública en alguna de sus etapas, ni permita la participación de pluralidad de oferentes. En estos casos, no podrán suscribir </w:t>
      </w:r>
      <w:r w:rsidRPr="00436551">
        <w:rPr>
          <w:rFonts w:ascii="Verdana" w:eastAsia="Verdana" w:hAnsi="Verdana" w:cs="Verdana"/>
          <w:lang w:val="es-ES"/>
        </w:rPr>
        <w:lastRenderedPageBreak/>
        <w:t xml:space="preserve">dichos contratos o convenios dentro de los cuatro </w:t>
      </w:r>
      <w:r w:rsidRPr="00436551">
        <w:rPr>
          <w:rFonts w:ascii="Verdana" w:eastAsia="Arial" w:hAnsi="Verdana" w:cs="Arial"/>
          <w:lang w:val="es-ES" w:eastAsia="es-ES" w:bidi="es-ES"/>
        </w:rPr>
        <w:t xml:space="preserve">(4) </w:t>
      </w:r>
      <w:r w:rsidRPr="00436551">
        <w:rPr>
          <w:rFonts w:ascii="Verdana" w:eastAsia="Verdana" w:hAnsi="Verdana" w:cs="Verdana"/>
          <w:lang w:val="es-ES"/>
        </w:rPr>
        <w:t>meses anteriores a la elección presidencial</w:t>
      </w:r>
      <w:r>
        <w:rPr>
          <w:rFonts w:ascii="Verdana" w:eastAsia="Verdana" w:hAnsi="Verdana" w:cs="Verdana"/>
          <w:lang w:val="es-ES"/>
        </w:rPr>
        <w:t xml:space="preserve">, es decir, a partir del </w:t>
      </w:r>
      <w:r>
        <w:rPr>
          <w:rFonts w:ascii="Verdana" w:eastAsia="Verdana" w:hAnsi="Verdana" w:cs="Verdana"/>
        </w:rPr>
        <w:t xml:space="preserve">31 </w:t>
      </w:r>
      <w:r w:rsidRPr="001F0043">
        <w:rPr>
          <w:rFonts w:ascii="Verdana" w:eastAsia="Verdana" w:hAnsi="Verdana" w:cs="Verdana"/>
        </w:rPr>
        <w:t>de enero de 2026</w:t>
      </w:r>
      <w:r w:rsidRPr="00436551">
        <w:rPr>
          <w:rFonts w:ascii="Verdana" w:eastAsia="Verdana" w:hAnsi="Verdana" w:cs="Verdana"/>
          <w:lang w:val="es-ES"/>
        </w:rPr>
        <w:t>.</w:t>
      </w:r>
    </w:p>
    <w:p w14:paraId="5FA677EB" w14:textId="46C295A1" w:rsidR="008F7C65" w:rsidRPr="00436551" w:rsidRDefault="008F7C65" w:rsidP="00B10D8D">
      <w:pPr>
        <w:tabs>
          <w:tab w:val="left" w:pos="426"/>
        </w:tabs>
        <w:spacing w:after="120" w:line="276" w:lineRule="auto"/>
        <w:ind w:firstLine="709"/>
        <w:jc w:val="both"/>
        <w:rPr>
          <w:rFonts w:ascii="Verdana" w:eastAsia="Verdana" w:hAnsi="Verdana" w:cs="Verdana"/>
          <w:lang w:val="es-ES"/>
        </w:rPr>
      </w:pPr>
      <w:r>
        <w:rPr>
          <w:rFonts w:ascii="Verdana" w:eastAsia="Arial" w:hAnsi="Verdana" w:cs="Arial"/>
          <w:bCs/>
          <w:color w:val="000000" w:themeColor="text1"/>
          <w:lang w:val="es-ES"/>
        </w:rPr>
        <w:t>Adicionalmente, será pertinente analizar si se configura alguna de las excepciones previstas en dicha norma. En este caso, será relevante determinar si la contratación se realiza con ocasión a una “emergencia sanitaria” o si es llevada a cabo por “entidades sanitarias u hospitalarias”. De ser así, la entidad podrá llevar a cabo la contratación directa, a pesar de que haya iniciado el periodo de garantías electorales correspondiente al artículo 33 de la Ley 996 de 2005.</w:t>
      </w:r>
    </w:p>
    <w:p w14:paraId="2F3C34FC" w14:textId="77777777" w:rsidR="009C3042" w:rsidRPr="00436551" w:rsidRDefault="009C3042" w:rsidP="009C3042">
      <w:pPr>
        <w:tabs>
          <w:tab w:val="left" w:pos="426"/>
        </w:tabs>
        <w:spacing w:after="120" w:line="276" w:lineRule="auto"/>
        <w:ind w:firstLine="709"/>
        <w:jc w:val="both"/>
        <w:rPr>
          <w:rFonts w:ascii="Verdana" w:eastAsia="Verdana" w:hAnsi="Verdana" w:cs="Verdana"/>
          <w:lang w:val="es-ES"/>
        </w:rPr>
      </w:pPr>
      <w:r w:rsidRPr="00436551">
        <w:rPr>
          <w:rFonts w:ascii="Verdana" w:eastAsia="Verdana" w:hAnsi="Verdana" w:cs="Verdana"/>
          <w:lang w:val="es-ES"/>
        </w:rPr>
        <w:t>Por otra parte</w:t>
      </w:r>
      <w:r>
        <w:rPr>
          <w:rFonts w:ascii="Verdana" w:eastAsia="Verdana" w:hAnsi="Verdana" w:cs="Verdana"/>
          <w:lang w:val="es-ES"/>
        </w:rPr>
        <w:t>,</w:t>
      </w:r>
      <w:r w:rsidRPr="00436551">
        <w:rPr>
          <w:rFonts w:ascii="Verdana" w:eastAsia="Verdana" w:hAnsi="Verdana" w:cs="Verdana"/>
          <w:lang w:val="es-ES"/>
        </w:rPr>
        <w:t xml:space="preserve"> la prohibición establecida en el parágrafo del artículo 38 de la Ley de Garantías Electorales será aplicable a los negocios jurídicos suscritos para la ejecución del subsidio a la oferta a los que se refiere el artículo </w:t>
      </w:r>
      <w:proofErr w:type="gramStart"/>
      <w:r w:rsidRPr="00436551">
        <w:rPr>
          <w:rFonts w:ascii="Verdana" w:eastAsia="Verdana" w:hAnsi="Verdana" w:cs="Verdana"/>
          <w:lang w:val="es-ES"/>
        </w:rPr>
        <w:t>2.4.2.7.del  Decreto</w:t>
      </w:r>
      <w:proofErr w:type="gramEnd"/>
      <w:r w:rsidRPr="00436551">
        <w:rPr>
          <w:rFonts w:ascii="Verdana" w:eastAsia="Verdana" w:hAnsi="Verdana" w:cs="Verdana"/>
          <w:lang w:val="es-ES"/>
        </w:rPr>
        <w:t xml:space="preserve"> 268 de 2020 cuando: </w:t>
      </w:r>
    </w:p>
    <w:p w14:paraId="33C973FA" w14:textId="77777777" w:rsidR="009C3042" w:rsidRPr="00436551" w:rsidRDefault="009C3042" w:rsidP="009C3042">
      <w:pPr>
        <w:tabs>
          <w:tab w:val="left" w:pos="426"/>
        </w:tabs>
        <w:spacing w:after="120" w:line="276" w:lineRule="auto"/>
        <w:ind w:firstLine="709"/>
        <w:jc w:val="both"/>
        <w:rPr>
          <w:rFonts w:ascii="Verdana" w:eastAsia="Verdana" w:hAnsi="Verdana" w:cs="Verdana"/>
          <w:lang w:val="es-ES"/>
        </w:rPr>
      </w:pPr>
      <w:r w:rsidRPr="00436551">
        <w:rPr>
          <w:rFonts w:ascii="Verdana" w:eastAsia="Verdana" w:hAnsi="Verdana" w:cs="Verdana"/>
          <w:lang w:val="es-ES"/>
        </w:rPr>
        <w:t xml:space="preserve">1) </w:t>
      </w:r>
      <w:r w:rsidRPr="00436551">
        <w:rPr>
          <w:rFonts w:ascii="Verdana" w:hAnsi="Verdana" w:cs="Arial"/>
          <w:bCs/>
          <w:lang w:val="es-ES" w:eastAsia="es-CO"/>
        </w:rPr>
        <w:t>Una o ambas partes de la relación sea una entidad de aquellas descritas en el parágrafo, es decir</w:t>
      </w:r>
      <w:r>
        <w:rPr>
          <w:rFonts w:ascii="Verdana" w:hAnsi="Verdana" w:cs="Arial"/>
          <w:bCs/>
          <w:lang w:val="es-ES" w:eastAsia="es-CO"/>
        </w:rPr>
        <w:t>,</w:t>
      </w:r>
      <w:r w:rsidRPr="00436551">
        <w:rPr>
          <w:rFonts w:ascii="Verdana" w:hAnsi="Verdana" w:cs="Arial"/>
          <w:bCs/>
          <w:lang w:val="es-ES" w:eastAsia="es-CO"/>
        </w:rPr>
        <w:t xml:space="preserve"> se trate de: alcaldes, gobernadores, secretarios, gerentes y directores de las entidades del orden municipal, departamental o distrital.</w:t>
      </w:r>
    </w:p>
    <w:p w14:paraId="5272FBC9" w14:textId="77777777" w:rsidR="009C3042" w:rsidRPr="00436551" w:rsidRDefault="009C3042" w:rsidP="009C3042">
      <w:pPr>
        <w:tabs>
          <w:tab w:val="left" w:pos="426"/>
        </w:tabs>
        <w:spacing w:after="120" w:line="276" w:lineRule="auto"/>
        <w:ind w:firstLine="709"/>
        <w:jc w:val="both"/>
        <w:rPr>
          <w:rFonts w:ascii="Verdana" w:hAnsi="Verdana" w:cs="Arial"/>
          <w:lang w:val="es-ES"/>
        </w:rPr>
      </w:pPr>
      <w:r w:rsidRPr="00436551">
        <w:rPr>
          <w:rFonts w:ascii="Verdana" w:eastAsia="Verdana" w:hAnsi="Verdana" w:cs="Verdana"/>
          <w:lang w:val="es-ES"/>
        </w:rPr>
        <w:t xml:space="preserve">2) El negocio jurídico tenga la naturaleza jurídica de un </w:t>
      </w:r>
      <w:r w:rsidRPr="00436551">
        <w:rPr>
          <w:rFonts w:ascii="Verdana" w:eastAsia="Verdana" w:hAnsi="Verdana" w:cs="Verdana"/>
          <w:i/>
          <w:iCs/>
          <w:lang w:val="es-ES"/>
        </w:rPr>
        <w:t>convenio interadministrativo</w:t>
      </w:r>
      <w:r w:rsidRPr="00436551">
        <w:rPr>
          <w:rFonts w:ascii="Verdana" w:eastAsia="Verdana" w:hAnsi="Verdana" w:cs="Verdana"/>
          <w:lang w:val="es-ES"/>
        </w:rPr>
        <w:t xml:space="preserve">, es decir, cumpla con el criterio orgánico según el cual </w:t>
      </w:r>
      <w:r w:rsidRPr="00436551">
        <w:rPr>
          <w:rFonts w:ascii="Verdana" w:hAnsi="Verdana" w:cs="Arial"/>
          <w:lang w:val="es-ES"/>
        </w:rPr>
        <w:t>es necesario que los extremos de la relación contractual sean entidades</w:t>
      </w:r>
      <w:r w:rsidRPr="00436551">
        <w:rPr>
          <w:rFonts w:ascii="Verdana" w:hAnsi="Verdana" w:cs="Arial"/>
          <w:spacing w:val="-6"/>
          <w:lang w:val="es-ES"/>
        </w:rPr>
        <w:t xml:space="preserve"> </w:t>
      </w:r>
      <w:r w:rsidRPr="00436551">
        <w:rPr>
          <w:rFonts w:ascii="Verdana" w:hAnsi="Verdana" w:cs="Arial"/>
          <w:lang w:val="es-ES"/>
        </w:rPr>
        <w:t>estatales. Sobre este punto se resalta que la prohibición se refiere de forma expresa a los convenios interadministrativos y no a los contratos</w:t>
      </w:r>
      <w:r>
        <w:rPr>
          <w:rStyle w:val="Refdenotaalpie"/>
          <w:rFonts w:ascii="Verdana" w:hAnsi="Verdana" w:cs="Arial"/>
          <w:lang w:val="es-ES"/>
        </w:rPr>
        <w:footnoteReference w:id="33"/>
      </w:r>
      <w:r w:rsidRPr="00436551">
        <w:rPr>
          <w:rFonts w:ascii="Verdana" w:hAnsi="Verdana" w:cs="Arial"/>
          <w:lang w:val="es-ES"/>
        </w:rPr>
        <w:t xml:space="preserve">. </w:t>
      </w:r>
    </w:p>
    <w:p w14:paraId="2032302E" w14:textId="77777777" w:rsidR="009C3042" w:rsidRPr="00436551" w:rsidRDefault="009C3042" w:rsidP="009C3042">
      <w:pPr>
        <w:tabs>
          <w:tab w:val="left" w:pos="426"/>
        </w:tabs>
        <w:spacing w:after="120" w:line="276" w:lineRule="auto"/>
        <w:ind w:firstLine="709"/>
        <w:jc w:val="both"/>
        <w:rPr>
          <w:rFonts w:ascii="Verdana" w:eastAsia="Verdana" w:hAnsi="Verdana" w:cs="Verdana"/>
          <w:lang w:val="es-ES"/>
        </w:rPr>
      </w:pPr>
      <w:r w:rsidRPr="00436551">
        <w:rPr>
          <w:rFonts w:ascii="Verdana" w:hAnsi="Verdana" w:cs="Arial"/>
          <w:lang w:val="es-ES"/>
        </w:rPr>
        <w:lastRenderedPageBreak/>
        <w:t>3) Se trate de un convenio interadministrativo suscrito para la ejecución de recursos públicos.</w:t>
      </w:r>
    </w:p>
    <w:p w14:paraId="406F063D" w14:textId="77777777" w:rsidR="009C3042" w:rsidRPr="00436551" w:rsidRDefault="009C3042" w:rsidP="009C3042">
      <w:pPr>
        <w:shd w:val="clear" w:color="auto" w:fill="FFFFFF"/>
        <w:spacing w:after="120" w:line="276" w:lineRule="auto"/>
        <w:ind w:firstLine="709"/>
        <w:jc w:val="both"/>
        <w:rPr>
          <w:rFonts w:ascii="Verdana" w:eastAsia="Calibri" w:hAnsi="Verdana" w:cs="Arial"/>
          <w:lang w:val="es-ES"/>
        </w:rPr>
      </w:pPr>
      <w:r w:rsidRPr="00436551">
        <w:rPr>
          <w:rFonts w:ascii="Verdana" w:eastAsia="Calibri" w:hAnsi="Verdana" w:cs="Arial"/>
          <w:lang w:val="es-ES"/>
        </w:rPr>
        <w:t xml:space="preserve">Cuando se cumplan estos supuestos, la celebración de dichos convenios estará prohibida en </w:t>
      </w:r>
      <w:r w:rsidRPr="00436551">
        <w:rPr>
          <w:rFonts w:ascii="Verdana" w:eastAsia="Arial" w:hAnsi="Verdana" w:cs="Arial"/>
          <w:lang w:val="es-ES" w:eastAsia="es-ES" w:bidi="es-ES"/>
        </w:rPr>
        <w:t>los cuatro (4) meses anteriores a cualquier elección</w:t>
      </w:r>
      <w:r>
        <w:rPr>
          <w:rFonts w:ascii="Verdana" w:eastAsia="Arial" w:hAnsi="Verdana" w:cs="Arial"/>
          <w:lang w:val="es-ES" w:eastAsia="es-ES" w:bidi="es-ES"/>
        </w:rPr>
        <w:t xml:space="preserve">, por lo cual resulta aplicable desde el </w:t>
      </w:r>
      <w:r w:rsidRPr="00B6632A">
        <w:rPr>
          <w:rFonts w:ascii="Verdana" w:eastAsia="Arial" w:hAnsi="Verdana" w:cs="Arial"/>
          <w:lang w:val="es-ES" w:eastAsia="es-ES" w:bidi="es-ES"/>
        </w:rPr>
        <w:t>8 de noviembre de 2025</w:t>
      </w:r>
      <w:r>
        <w:rPr>
          <w:rFonts w:ascii="Verdana" w:eastAsia="Arial" w:hAnsi="Verdana" w:cs="Arial"/>
          <w:lang w:val="es-ES" w:eastAsia="es-ES" w:bidi="es-ES"/>
        </w:rPr>
        <w:t>, teniendo en cuenta que las elecciones para el Congreso de la República se realizaron el 8 de marzo de 2026</w:t>
      </w:r>
      <w:r w:rsidRPr="00436551">
        <w:rPr>
          <w:rFonts w:ascii="Verdana" w:eastAsia="Arial" w:hAnsi="Verdana" w:cs="Arial"/>
          <w:lang w:val="es-ES" w:eastAsia="es-ES" w:bidi="es-ES"/>
        </w:rPr>
        <w:t>.</w:t>
      </w:r>
    </w:p>
    <w:p w14:paraId="7E4F2E78" w14:textId="77777777" w:rsidR="009C3042" w:rsidRPr="00436551" w:rsidRDefault="009C3042" w:rsidP="009C3042">
      <w:pPr>
        <w:shd w:val="clear" w:color="auto" w:fill="FFFFFF"/>
        <w:spacing w:after="120" w:line="276" w:lineRule="auto"/>
        <w:ind w:firstLine="709"/>
        <w:jc w:val="both"/>
        <w:rPr>
          <w:rFonts w:ascii="Verdana" w:hAnsi="Verdana" w:cs="Arial"/>
          <w:lang w:val="es-ES" w:eastAsia="es-CO"/>
        </w:rPr>
      </w:pPr>
      <w:r w:rsidRPr="00436551">
        <w:rPr>
          <w:rFonts w:ascii="Verdana" w:eastAsia="Calibri" w:hAnsi="Verdana" w:cs="Arial"/>
          <w:lang w:val="es-ES"/>
        </w:rPr>
        <w:t>En cualquier caso, corresponde a cada entidad estatal realizar el análisis para determinar si aplica o no una determinada excepción a la prohibición del artículo 33 de la Ley de Garantías Electorales, según la situación fáctica y jurídica particular del caso concreto, para lo cual las consideraciones expuestas en el presente concepto constituyen un instrumento orientador.</w:t>
      </w:r>
      <w:r w:rsidRPr="00436551">
        <w:rPr>
          <w:rFonts w:ascii="Verdana" w:hAnsi="Verdana" w:cs="Arial"/>
          <w:lang w:val="es-ES" w:eastAsia="es-CO"/>
        </w:rPr>
        <w:t xml:space="preserve"> Igualmente, las entidades podrán considerar la posibilidad de adelantar modalidades distintas a la contratación directa o implementar tipologías distintas a los convenios interadministrativos, es decir, aquellas que no se encuentren restringidas por el artículo 33 o el parágrafo del artículo 38 de la Ley 996 de 2005.</w:t>
      </w:r>
    </w:p>
    <w:p w14:paraId="3EB6A968" w14:textId="00DA2FBF" w:rsidR="009C3042" w:rsidRPr="00436551" w:rsidRDefault="009C3042" w:rsidP="009C3042">
      <w:pPr>
        <w:spacing w:after="120" w:line="276" w:lineRule="auto"/>
        <w:ind w:firstLine="708"/>
        <w:jc w:val="both"/>
        <w:rPr>
          <w:rFonts w:ascii="Verdana" w:eastAsia="Times New Roman" w:hAnsi="Verdana" w:cs="Arial"/>
          <w:color w:val="000000" w:themeColor="text1"/>
          <w:lang w:val="es-ES" w:eastAsia="es-ES"/>
        </w:rPr>
      </w:pPr>
      <w:r w:rsidRPr="00436551">
        <w:rPr>
          <w:rFonts w:ascii="Verdana" w:eastAsia="Arial" w:hAnsi="Verdana" w:cs="Arial"/>
          <w:color w:val="000000" w:themeColor="text1"/>
          <w:lang w:val="es-ES"/>
        </w:rPr>
        <w:t xml:space="preserve">Finalmente, es importante advertir que </w:t>
      </w:r>
      <w:r w:rsidRPr="00436551">
        <w:rPr>
          <w:rFonts w:ascii="Verdana" w:eastAsia="Times New Roman" w:hAnsi="Verdana" w:cs="Arial"/>
          <w:lang w:val="es-ES"/>
        </w:rPr>
        <w:t xml:space="preserve">compete a las entidades que consideran celebrar un contrato o convenio específico definir si este se enmarca en alguna de las prohibiciones </w:t>
      </w:r>
      <w:r w:rsidR="0047707D">
        <w:rPr>
          <w:rFonts w:ascii="Verdana" w:eastAsia="Times New Roman" w:hAnsi="Verdana" w:cs="Arial"/>
          <w:lang w:val="es-ES"/>
        </w:rPr>
        <w:t xml:space="preserve">o excepciones </w:t>
      </w:r>
      <w:r w:rsidRPr="00436551">
        <w:rPr>
          <w:rFonts w:ascii="Verdana" w:eastAsia="Times New Roman" w:hAnsi="Verdana" w:cs="Arial"/>
          <w:lang w:val="es-ES"/>
        </w:rPr>
        <w:t xml:space="preserve">de la Ley de Garantías Electorales. </w:t>
      </w:r>
      <w:r w:rsidRPr="00436551">
        <w:rPr>
          <w:rFonts w:ascii="Verdana" w:eastAsia="Times New Roman" w:hAnsi="Verdana" w:cs="Arial"/>
          <w:color w:val="000000" w:themeColor="text1"/>
          <w:lang w:val="es-ES" w:eastAsia="es-ES"/>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establecerá la forma de adelantar su gestión </w:t>
      </w:r>
      <w:r w:rsidRPr="00436551">
        <w:rPr>
          <w:rFonts w:ascii="Verdana" w:eastAsia="Times New Roman" w:hAnsi="Verdana" w:cs="Arial"/>
          <w:color w:val="000000" w:themeColor="text1"/>
          <w:lang w:val="es-ES" w:eastAsia="es-ES"/>
        </w:rPr>
        <w:lastRenderedPageBreak/>
        <w:t xml:space="preserve">contractual, sin que sea atribución de la Agencia Nacional de Contratación Pública - Colombia Compra Eficiente validarla. </w:t>
      </w:r>
    </w:p>
    <w:p w14:paraId="008DBF58" w14:textId="77777777" w:rsidR="009C3042" w:rsidRPr="00436551" w:rsidRDefault="009C3042" w:rsidP="009C3042">
      <w:pPr>
        <w:spacing w:after="0" w:line="276" w:lineRule="auto"/>
        <w:ind w:firstLine="708"/>
        <w:jc w:val="both"/>
        <w:rPr>
          <w:rFonts w:ascii="Verdana" w:eastAsia="Calibri" w:hAnsi="Verdana" w:cs="Arial"/>
          <w:lang w:val="es-ES"/>
        </w:rPr>
      </w:pPr>
    </w:p>
    <w:bookmarkEnd w:id="1"/>
    <w:bookmarkEnd w:id="2"/>
    <w:p w14:paraId="58F24E29" w14:textId="77777777" w:rsidR="009C3042" w:rsidRPr="00436551" w:rsidRDefault="009C3042" w:rsidP="009C3042">
      <w:pPr>
        <w:tabs>
          <w:tab w:val="left" w:pos="142"/>
          <w:tab w:val="left" w:pos="284"/>
        </w:tabs>
        <w:spacing w:after="0" w:line="276" w:lineRule="auto"/>
        <w:jc w:val="both"/>
        <w:rPr>
          <w:rFonts w:ascii="Verdana" w:eastAsia="Century Gothic" w:hAnsi="Verdana" w:cs="Century Gothic"/>
          <w:b/>
          <w:color w:val="000000" w:themeColor="text1"/>
          <w:lang w:val="es-ES"/>
        </w:rPr>
      </w:pPr>
      <w:r w:rsidRPr="00436551">
        <w:rPr>
          <w:rFonts w:ascii="Verdana" w:eastAsia="Century Gothic" w:hAnsi="Verdana" w:cs="Century Gothic"/>
          <w:b/>
          <w:color w:val="000000" w:themeColor="text1"/>
          <w:lang w:val="es-ES"/>
        </w:rPr>
        <w:t>4.Referencias normativas, jurisprudenciales y otras fuentes:</w:t>
      </w:r>
    </w:p>
    <w:p w14:paraId="62AD67C4" w14:textId="77777777" w:rsidR="009C3042" w:rsidRPr="00436551" w:rsidRDefault="009C3042" w:rsidP="009C3042">
      <w:pPr>
        <w:widowControl w:val="0"/>
        <w:autoSpaceDE w:val="0"/>
        <w:autoSpaceDN w:val="0"/>
        <w:spacing w:after="0" w:line="276" w:lineRule="auto"/>
        <w:jc w:val="both"/>
        <w:rPr>
          <w:rFonts w:ascii="Verdana" w:hAnsi="Verdana" w:cs="Arial"/>
          <w:color w:val="000000" w:themeColor="text1"/>
          <w:lang w:val="es-E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9C3042" w:rsidRPr="00436551" w14:paraId="56FE2A65" w14:textId="77777777" w:rsidTr="00994F78">
        <w:trPr>
          <w:trHeight w:val="870"/>
        </w:trPr>
        <w:tc>
          <w:tcPr>
            <w:tcW w:w="8647" w:type="dxa"/>
          </w:tcPr>
          <w:p w14:paraId="3172AC96" w14:textId="77777777" w:rsidR="009C3042" w:rsidRPr="00436551" w:rsidRDefault="009C3042" w:rsidP="00994F78">
            <w:pPr>
              <w:widowControl w:val="0"/>
              <w:numPr>
                <w:ilvl w:val="0"/>
                <w:numId w:val="16"/>
              </w:numPr>
              <w:autoSpaceDE w:val="0"/>
              <w:autoSpaceDN w:val="0"/>
              <w:spacing w:before="120" w:after="120" w:line="276" w:lineRule="auto"/>
              <w:jc w:val="both"/>
              <w:rPr>
                <w:rFonts w:ascii="Verdana" w:eastAsia="Arial MT" w:hAnsi="Verdana" w:cs="Arial"/>
                <w:lang w:val="es-ES" w:eastAsia="es-ES" w:bidi="es-ES"/>
              </w:rPr>
            </w:pPr>
            <w:r w:rsidRPr="00436551">
              <w:rPr>
                <w:rFonts w:ascii="Verdana" w:eastAsia="Arial MT" w:hAnsi="Verdana" w:cs="Arial"/>
                <w:lang w:val="es-ES" w:eastAsia="es-ES" w:bidi="es-ES"/>
              </w:rPr>
              <w:t>Ley 80 de 1993</w:t>
            </w:r>
            <w:r>
              <w:rPr>
                <w:rFonts w:ascii="Verdana" w:eastAsia="Arial MT" w:hAnsi="Verdana" w:cs="Arial"/>
                <w:lang w:val="es-ES" w:eastAsia="es-ES" w:bidi="es-ES"/>
              </w:rPr>
              <w:t>:</w:t>
            </w:r>
            <w:r w:rsidRPr="00436551">
              <w:rPr>
                <w:rFonts w:ascii="Verdana" w:eastAsia="Arial MT" w:hAnsi="Verdana" w:cs="Arial"/>
                <w:lang w:val="es-ES" w:eastAsia="es-ES" w:bidi="es-ES"/>
              </w:rPr>
              <w:t xml:space="preserve"> artículos 39</w:t>
            </w:r>
            <w:r>
              <w:rPr>
                <w:rFonts w:ascii="Verdana" w:eastAsia="Arial MT" w:hAnsi="Verdana" w:cs="Arial"/>
                <w:lang w:val="es-ES" w:eastAsia="es-ES" w:bidi="es-ES"/>
              </w:rPr>
              <w:t xml:space="preserve"> y</w:t>
            </w:r>
            <w:r w:rsidRPr="00436551">
              <w:rPr>
                <w:rFonts w:ascii="Verdana" w:eastAsia="Arial MT" w:hAnsi="Verdana" w:cs="Arial"/>
                <w:lang w:val="es-ES" w:eastAsia="es-ES" w:bidi="es-ES"/>
              </w:rPr>
              <w:t xml:space="preserve"> 41. </w:t>
            </w:r>
          </w:p>
          <w:p w14:paraId="1753BCED" w14:textId="77777777" w:rsidR="009C3042" w:rsidRPr="00436551" w:rsidRDefault="009C3042" w:rsidP="00994F78">
            <w:pPr>
              <w:widowControl w:val="0"/>
              <w:numPr>
                <w:ilvl w:val="0"/>
                <w:numId w:val="16"/>
              </w:numPr>
              <w:autoSpaceDE w:val="0"/>
              <w:autoSpaceDN w:val="0"/>
              <w:spacing w:before="120" w:after="120" w:line="276" w:lineRule="auto"/>
              <w:jc w:val="both"/>
              <w:rPr>
                <w:rFonts w:ascii="Verdana" w:eastAsia="Arial MT" w:hAnsi="Verdana" w:cs="Arial"/>
                <w:lang w:val="es-ES" w:eastAsia="es-ES" w:bidi="es-ES"/>
              </w:rPr>
            </w:pPr>
            <w:r w:rsidRPr="00436551">
              <w:rPr>
                <w:rFonts w:ascii="Verdana" w:eastAsia="Arial MT" w:hAnsi="Verdana" w:cs="Arial"/>
                <w:bCs/>
                <w:lang w:val="es-ES" w:eastAsia="es-ES" w:bidi="es-ES"/>
              </w:rPr>
              <w:t>Ley 996 de 2005: artículos 33 y parágrafo del artículo38.</w:t>
            </w:r>
          </w:p>
          <w:p w14:paraId="0283A00D" w14:textId="77777777" w:rsidR="009C3042" w:rsidRDefault="009C3042" w:rsidP="00994F78">
            <w:pPr>
              <w:widowControl w:val="0"/>
              <w:numPr>
                <w:ilvl w:val="0"/>
                <w:numId w:val="16"/>
              </w:numPr>
              <w:autoSpaceDE w:val="0"/>
              <w:autoSpaceDN w:val="0"/>
              <w:spacing w:before="120" w:after="120" w:line="276" w:lineRule="auto"/>
              <w:jc w:val="both"/>
              <w:rPr>
                <w:rFonts w:ascii="Verdana" w:eastAsia="Arial MT" w:hAnsi="Verdana" w:cs="Arial"/>
                <w:lang w:val="es-ES" w:eastAsia="es-ES" w:bidi="es-ES"/>
              </w:rPr>
            </w:pPr>
            <w:r w:rsidRPr="00436551">
              <w:rPr>
                <w:rFonts w:ascii="Verdana" w:eastAsia="Times New Roman" w:hAnsi="Verdana" w:cs="Times New Roman"/>
                <w:lang w:val="es-ES" w:eastAsia="es-MX"/>
              </w:rPr>
              <w:t xml:space="preserve">Ley 1150 de 2007: </w:t>
            </w:r>
            <w:r w:rsidRPr="00436551">
              <w:rPr>
                <w:rFonts w:ascii="Verdana" w:eastAsia="Arial MT" w:hAnsi="Verdana" w:cs="Arial"/>
                <w:lang w:val="es-ES" w:eastAsia="es-ES" w:bidi="es-ES"/>
              </w:rPr>
              <w:t xml:space="preserve">artículo 2, numeral 4. </w:t>
            </w:r>
          </w:p>
          <w:p w14:paraId="0E9FBEEF" w14:textId="77777777" w:rsidR="009C3042" w:rsidRPr="00F16664" w:rsidRDefault="009C3042" w:rsidP="00994F78">
            <w:pPr>
              <w:widowControl w:val="0"/>
              <w:numPr>
                <w:ilvl w:val="0"/>
                <w:numId w:val="16"/>
              </w:numPr>
              <w:autoSpaceDE w:val="0"/>
              <w:autoSpaceDN w:val="0"/>
              <w:spacing w:before="120" w:after="120" w:line="276" w:lineRule="auto"/>
              <w:jc w:val="both"/>
              <w:rPr>
                <w:rFonts w:ascii="Verdana" w:eastAsia="Arial MT" w:hAnsi="Verdana" w:cs="Arial"/>
                <w:lang w:val="es-ES" w:eastAsia="es-ES" w:bidi="es-ES"/>
              </w:rPr>
            </w:pPr>
            <w:r w:rsidRPr="00436551">
              <w:rPr>
                <w:rFonts w:ascii="Verdana" w:eastAsia="Verdana" w:hAnsi="Verdana" w:cs="Verdana"/>
                <w:lang w:val="es-ES"/>
              </w:rPr>
              <w:t>Ley 1955 de 2019</w:t>
            </w:r>
            <w:r>
              <w:rPr>
                <w:rFonts w:ascii="Verdana" w:eastAsia="Verdana" w:hAnsi="Verdana" w:cs="Verdana"/>
                <w:lang w:val="es-ES"/>
              </w:rPr>
              <w:t>: artículos 232 y 235.</w:t>
            </w:r>
          </w:p>
          <w:p w14:paraId="216C90C0" w14:textId="77777777" w:rsidR="009C3042" w:rsidRPr="00436551" w:rsidRDefault="009C3042" w:rsidP="00994F78">
            <w:pPr>
              <w:widowControl w:val="0"/>
              <w:numPr>
                <w:ilvl w:val="0"/>
                <w:numId w:val="16"/>
              </w:numPr>
              <w:autoSpaceDE w:val="0"/>
              <w:autoSpaceDN w:val="0"/>
              <w:spacing w:before="120" w:after="120" w:line="276" w:lineRule="auto"/>
              <w:jc w:val="both"/>
              <w:rPr>
                <w:rFonts w:ascii="Verdana" w:eastAsia="Arial MT" w:hAnsi="Verdana" w:cs="Arial"/>
                <w:lang w:val="es-ES" w:eastAsia="es-ES" w:bidi="es-ES"/>
              </w:rPr>
            </w:pPr>
            <w:r w:rsidRPr="00436551">
              <w:rPr>
                <w:rFonts w:ascii="Verdana" w:eastAsia="Verdana" w:hAnsi="Verdana" w:cs="Verdana"/>
                <w:lang w:val="es-ES"/>
              </w:rPr>
              <w:t>Decreto 268 de 2020</w:t>
            </w:r>
            <w:r>
              <w:rPr>
                <w:rFonts w:ascii="Verdana" w:eastAsia="Verdana" w:hAnsi="Verdana" w:cs="Verdana"/>
                <w:lang w:val="es-ES"/>
              </w:rPr>
              <w:t>.</w:t>
            </w:r>
          </w:p>
          <w:p w14:paraId="5CF9C986" w14:textId="77777777" w:rsidR="009C3042" w:rsidRPr="00436551" w:rsidRDefault="009C3042" w:rsidP="00994F78">
            <w:pPr>
              <w:widowControl w:val="0"/>
              <w:numPr>
                <w:ilvl w:val="0"/>
                <w:numId w:val="16"/>
              </w:numPr>
              <w:autoSpaceDE w:val="0"/>
              <w:autoSpaceDN w:val="0"/>
              <w:spacing w:before="120" w:after="120" w:line="276" w:lineRule="auto"/>
              <w:jc w:val="both"/>
              <w:rPr>
                <w:rFonts w:ascii="Verdana" w:eastAsia="Calibri" w:hAnsi="Verdana" w:cs="Arial"/>
                <w:lang w:val="es-ES"/>
              </w:rPr>
            </w:pPr>
            <w:r w:rsidRPr="00436551">
              <w:rPr>
                <w:rFonts w:ascii="Verdana" w:eastAsia="Calibri" w:hAnsi="Verdana" w:cs="Arial"/>
                <w:lang w:val="es-ES"/>
              </w:rPr>
              <w:t xml:space="preserve">Consejo de Estado, Sección Primera. Sentencia de 3 de marzo de 2005, </w:t>
            </w:r>
            <w:proofErr w:type="spellStart"/>
            <w:r w:rsidRPr="00436551">
              <w:rPr>
                <w:rFonts w:ascii="Verdana" w:eastAsia="Calibri" w:hAnsi="Verdana" w:cs="Arial"/>
                <w:lang w:val="es-ES"/>
              </w:rPr>
              <w:t>Exp</w:t>
            </w:r>
            <w:proofErr w:type="spellEnd"/>
            <w:r w:rsidRPr="00436551">
              <w:rPr>
                <w:rFonts w:ascii="Verdana" w:eastAsia="Calibri" w:hAnsi="Verdana" w:cs="Arial"/>
                <w:lang w:val="es-ES"/>
              </w:rPr>
              <w:t xml:space="preserve">. 2004-00823-01(PI). </w:t>
            </w:r>
          </w:p>
          <w:p w14:paraId="75B50739" w14:textId="77777777" w:rsidR="009C3042" w:rsidRPr="00436551" w:rsidRDefault="009C3042" w:rsidP="00994F78">
            <w:pPr>
              <w:widowControl w:val="0"/>
              <w:numPr>
                <w:ilvl w:val="0"/>
                <w:numId w:val="16"/>
              </w:numPr>
              <w:autoSpaceDE w:val="0"/>
              <w:autoSpaceDN w:val="0"/>
              <w:spacing w:before="120" w:after="120" w:line="276" w:lineRule="auto"/>
              <w:jc w:val="both"/>
              <w:rPr>
                <w:rFonts w:ascii="Verdana" w:eastAsia="Calibri" w:hAnsi="Verdana" w:cs="Arial"/>
                <w:lang w:val="es-ES"/>
              </w:rPr>
            </w:pPr>
            <w:r w:rsidRPr="00436551">
              <w:rPr>
                <w:rFonts w:ascii="Verdana" w:eastAsia="Calibri" w:hAnsi="Verdana" w:cs="Arial"/>
                <w:lang w:val="es-ES"/>
              </w:rPr>
              <w:t xml:space="preserve">Consejo de Estado, Sala de Consulta y Servicio Civil, Concepto de fecha 24 de julio de 2013, Rad. 2166, C. P. Álvaro Namén Vargas. </w:t>
            </w:r>
          </w:p>
          <w:p w14:paraId="3CE304FA" w14:textId="77777777" w:rsidR="009C3042" w:rsidRPr="00436551" w:rsidRDefault="009C3042" w:rsidP="00994F78">
            <w:pPr>
              <w:pStyle w:val="Prrafodelista"/>
              <w:numPr>
                <w:ilvl w:val="0"/>
                <w:numId w:val="16"/>
              </w:numPr>
              <w:spacing w:before="120" w:after="120" w:line="276" w:lineRule="auto"/>
              <w:contextualSpacing w:val="0"/>
              <w:jc w:val="both"/>
              <w:rPr>
                <w:rFonts w:ascii="Verdana" w:hAnsi="Verdana" w:cs="Arial"/>
              </w:rPr>
            </w:pPr>
            <w:r w:rsidRPr="00436551">
              <w:rPr>
                <w:rFonts w:ascii="Verdana" w:eastAsia="Calibri" w:hAnsi="Verdana" w:cs="Arial"/>
              </w:rPr>
              <w:t>Consejo de Estado. Sala de Consulta y Servicio Civil. Concepto del 17 de febrero de 2015. C.P. William Zambrano Cetina. Radicación No. 11001-03-06-000-2015-00164-00(2269).</w:t>
            </w:r>
          </w:p>
          <w:p w14:paraId="6C42BA9E" w14:textId="77777777" w:rsidR="009C3042" w:rsidRPr="00436551" w:rsidRDefault="009C3042" w:rsidP="00994F78">
            <w:pPr>
              <w:widowControl w:val="0"/>
              <w:numPr>
                <w:ilvl w:val="0"/>
                <w:numId w:val="16"/>
              </w:numPr>
              <w:autoSpaceDE w:val="0"/>
              <w:autoSpaceDN w:val="0"/>
              <w:spacing w:before="120" w:after="120"/>
              <w:jc w:val="both"/>
              <w:rPr>
                <w:rFonts w:ascii="Verdana" w:hAnsi="Verdana" w:cs="Arial"/>
                <w:lang w:val="es-ES"/>
              </w:rPr>
            </w:pPr>
            <w:r w:rsidRPr="00436551">
              <w:rPr>
                <w:rFonts w:ascii="Verdana" w:eastAsia="Calibri" w:hAnsi="Verdana" w:cs="Arial"/>
                <w:lang w:val="es-ES"/>
              </w:rPr>
              <w:t>Consejo de Estado, Sala de Consulta y Servicio Civil, Concepto de fecha 8 de mayo de 2018, No. 2382. C. P. Álvaro Namén Vargas.</w:t>
            </w:r>
          </w:p>
        </w:tc>
      </w:tr>
    </w:tbl>
    <w:p w14:paraId="6FAD4D37" w14:textId="77777777" w:rsidR="009C3042" w:rsidRPr="00436551" w:rsidRDefault="009C3042" w:rsidP="009C3042">
      <w:pPr>
        <w:widowControl w:val="0"/>
        <w:autoSpaceDE w:val="0"/>
        <w:autoSpaceDN w:val="0"/>
        <w:spacing w:after="0" w:line="276" w:lineRule="auto"/>
        <w:jc w:val="both"/>
        <w:rPr>
          <w:rFonts w:ascii="Verdana" w:hAnsi="Verdana" w:cs="Arial"/>
          <w:color w:val="000000" w:themeColor="text1"/>
          <w:lang w:val="es-ES"/>
        </w:rPr>
      </w:pPr>
    </w:p>
    <w:p w14:paraId="66781FBA" w14:textId="77777777" w:rsidR="009C3042" w:rsidRPr="00436551" w:rsidRDefault="009C3042" w:rsidP="009C3042">
      <w:pPr>
        <w:tabs>
          <w:tab w:val="left" w:pos="142"/>
          <w:tab w:val="left" w:pos="284"/>
        </w:tabs>
        <w:spacing w:after="0" w:line="276" w:lineRule="auto"/>
        <w:jc w:val="both"/>
        <w:rPr>
          <w:rFonts w:ascii="Verdana" w:eastAsia="Century Gothic" w:hAnsi="Verdana" w:cs="Century Gothic"/>
          <w:b/>
          <w:color w:val="000000" w:themeColor="text1"/>
          <w:lang w:val="es-ES"/>
        </w:rPr>
      </w:pPr>
      <w:r w:rsidRPr="00436551">
        <w:rPr>
          <w:rFonts w:ascii="Verdana" w:eastAsia="Century Gothic" w:hAnsi="Verdana" w:cs="Century Gothic"/>
          <w:b/>
          <w:color w:val="000000" w:themeColor="text1"/>
          <w:lang w:val="es-ES"/>
        </w:rPr>
        <w:t>5.Doctrina de la Agencia Nacional de Contratación Pública:</w:t>
      </w:r>
    </w:p>
    <w:p w14:paraId="29662060" w14:textId="77777777" w:rsidR="009C3042" w:rsidRPr="00436551" w:rsidRDefault="009C3042" w:rsidP="009C3042">
      <w:pPr>
        <w:widowControl w:val="0"/>
        <w:autoSpaceDE w:val="0"/>
        <w:autoSpaceDN w:val="0"/>
        <w:spacing w:after="0" w:line="276" w:lineRule="auto"/>
        <w:jc w:val="both"/>
        <w:rPr>
          <w:rFonts w:ascii="Verdana" w:hAnsi="Verdana" w:cs="Arial"/>
          <w:color w:val="000000" w:themeColor="text1"/>
          <w:lang w:val="es-ES"/>
        </w:rPr>
      </w:pPr>
    </w:p>
    <w:p w14:paraId="4DF4DBBD" w14:textId="77777777" w:rsidR="009C3042" w:rsidRPr="009F414C" w:rsidRDefault="009C3042" w:rsidP="009C3042">
      <w:pPr>
        <w:spacing w:line="276" w:lineRule="auto"/>
        <w:ind w:left="3"/>
        <w:jc w:val="both"/>
        <w:rPr>
          <w:rFonts w:ascii="Verdana" w:eastAsia="Calibri" w:hAnsi="Verdana" w:cs="Arial"/>
          <w:b/>
          <w:bCs/>
          <w:color w:val="000000" w:themeColor="text1"/>
          <w:lang w:val="es-ES" w:eastAsia="es-ES"/>
        </w:rPr>
      </w:pPr>
      <w:r w:rsidRPr="009F414C">
        <w:rPr>
          <w:rFonts w:ascii="Verdana" w:eastAsia="Calibri" w:hAnsi="Verdana" w:cs="Arial"/>
          <w:lang w:val="es-ES"/>
        </w:rPr>
        <w:t xml:space="preserve">La Agencia Nacional de Contratación Pública – Colombia Compra Eficiente se ha referido </w:t>
      </w:r>
      <w:r w:rsidRPr="009F414C">
        <w:rPr>
          <w:rFonts w:ascii="Verdana" w:hAnsi="Verdana" w:cs="Arial"/>
          <w:shd w:val="clear" w:color="auto" w:fill="FFFFFF"/>
          <w:lang w:val="es-ES"/>
        </w:rPr>
        <w:t>sobre la Ley de Garantías Electorales en los conceptos con radicado 4201913000006306 del 21 de octubre de 2019, 4201912000006552 del 07 de noviembre de 2019, 4201913000006604 del 17 de diciembre de 2019,  C-227 del 24 de mayo de 2021 y 396 del 13 de agosto de 2021, C-439 del 27 de agosto de 2021, C-456 del 3 de septiembre, C-481 del 9 de septiembre de 2021, C- 528 del 27 de septiembre de 2021, C-550 del 5 de octubre de 2021 y C-523 del 10 de octubre de 2021, C-606 del 28 de octubre de 2021 y C-614 del 2 de noviembre de 2021, C-636 del 16 de noviembre de 2021, 681 del 7 de diciembre de 2021, C-686 del 21 de diciembre de 2021, C-697 del 3 de enero de 2022, C-</w:t>
      </w:r>
      <w:r w:rsidRPr="009F414C">
        <w:rPr>
          <w:rFonts w:ascii="Verdana" w:hAnsi="Verdana" w:cs="Arial"/>
          <w:shd w:val="clear" w:color="auto" w:fill="FFFFFF"/>
          <w:lang w:val="es-ES"/>
        </w:rPr>
        <w:lastRenderedPageBreak/>
        <w:t xml:space="preserve">180 del 21 de marzo de 2025, C-317 del 25 de abril de 2025, C-510 del 4 de junio de 2025, C -635 del 27 de junio de 2025, C–750 de 17 de julio 2025, C-729 del 15 de Julio de 2015, C-273-A de 2025 y </w:t>
      </w:r>
      <w:r w:rsidRPr="009F414C">
        <w:rPr>
          <w:rFonts w:ascii="Verdana" w:eastAsia="Calibri" w:hAnsi="Verdana" w:cs="Arial"/>
          <w:color w:val="000000" w:themeColor="text1"/>
          <w:lang w:val="es-ES" w:eastAsia="es-ES"/>
        </w:rPr>
        <w:t>C-110 de 2026,</w:t>
      </w:r>
      <w:r w:rsidRPr="009F414C">
        <w:rPr>
          <w:rFonts w:ascii="Verdana" w:hAnsi="Verdana" w:cs="Arial"/>
          <w:shd w:val="clear" w:color="auto" w:fill="FFFFFF"/>
          <w:lang w:val="es-ES"/>
        </w:rPr>
        <w:t xml:space="preserve"> entre otros. Estos</w:t>
      </w:r>
      <w:r w:rsidRPr="009F414C">
        <w:rPr>
          <w:rFonts w:ascii="Verdana" w:hAnsi="Verdana"/>
          <w:lang w:val="es-ES"/>
        </w:rPr>
        <w:t xml:space="preserve"> y otros se encuentran disponibles para consulta en el Sistema de relatoría de la Agencia, al cual se puede acceder a través del siguiente enlace:</w:t>
      </w:r>
      <w:r w:rsidRPr="009F414C">
        <w:rPr>
          <w:rFonts w:ascii="Verdana" w:hAnsi="Verdana" w:cs="Arial"/>
          <w:shd w:val="clear" w:color="auto" w:fill="FFFFFF"/>
          <w:lang w:val="es-ES"/>
        </w:rPr>
        <w:t xml:space="preserve"> </w:t>
      </w:r>
      <w:hyperlink r:id="rId12" w:history="1">
        <w:r w:rsidRPr="009F414C">
          <w:rPr>
            <w:rFonts w:ascii="Verdana" w:hAnsi="Verdana" w:cs="Arial"/>
            <w:color w:val="0000FF"/>
            <w:u w:val="single"/>
            <w:shd w:val="clear" w:color="auto" w:fill="FFFFFF"/>
            <w:lang w:val="es-ES"/>
          </w:rPr>
          <w:t>https://relatoria.colombiacompra.gov.co/busqueda/concept os</w:t>
        </w:r>
      </w:hyperlink>
      <w:r w:rsidRPr="009F414C">
        <w:rPr>
          <w:rFonts w:ascii="Verdana" w:hAnsi="Verdana" w:cs="Arial"/>
          <w:shd w:val="clear" w:color="auto" w:fill="FFFFFF"/>
          <w:lang w:val="es-ES"/>
        </w:rPr>
        <w:t>.</w:t>
      </w:r>
      <w:r w:rsidRPr="009F414C">
        <w:rPr>
          <w:rFonts w:ascii="Verdana" w:hAnsi="Verdana" w:cs="Arial"/>
          <w:color w:val="FF0000"/>
          <w:shd w:val="clear" w:color="auto" w:fill="FFFFFF"/>
          <w:lang w:val="es-ES"/>
        </w:rPr>
        <w:t xml:space="preserve"> </w:t>
      </w:r>
      <w:r w:rsidRPr="009F414C">
        <w:rPr>
          <w:rFonts w:ascii="Verdana" w:hAnsi="Verdana" w:cs="Arial"/>
          <w:color w:val="000000" w:themeColor="text1"/>
          <w:shd w:val="clear" w:color="auto" w:fill="FFFFFF"/>
          <w:lang w:val="es-ES"/>
        </w:rPr>
        <w:t>  </w:t>
      </w:r>
    </w:p>
    <w:p w14:paraId="459ECBD5" w14:textId="77777777" w:rsidR="009C3042" w:rsidRPr="00436551" w:rsidRDefault="009C3042" w:rsidP="009C3042">
      <w:pPr>
        <w:spacing w:after="0" w:line="276" w:lineRule="auto"/>
        <w:jc w:val="both"/>
        <w:rPr>
          <w:rFonts w:ascii="Verdana" w:hAnsi="Verdana"/>
          <w:lang w:val="es-ES"/>
        </w:rPr>
      </w:pPr>
      <w:r w:rsidRPr="00436551">
        <w:rPr>
          <w:rFonts w:ascii="Verdana" w:hAnsi="Verdana"/>
          <w:lang w:val="es-ES"/>
        </w:rPr>
        <w:t xml:space="preserve">Por último, lo invitamos a seguirnos en las redes sociales en las cuales se difunde información institucional: </w:t>
      </w:r>
    </w:p>
    <w:p w14:paraId="77FE92FA" w14:textId="77777777" w:rsidR="009C3042" w:rsidRPr="00436551" w:rsidRDefault="009C3042" w:rsidP="009C3042">
      <w:pPr>
        <w:spacing w:after="0" w:line="276" w:lineRule="auto"/>
        <w:jc w:val="both"/>
        <w:rPr>
          <w:rFonts w:ascii="Verdana" w:hAnsi="Verdana"/>
          <w:lang w:val="es-ES"/>
        </w:rPr>
      </w:pPr>
    </w:p>
    <w:p w14:paraId="7C597089" w14:textId="77777777" w:rsidR="009C3042" w:rsidRPr="00436551" w:rsidRDefault="009C3042" w:rsidP="009C3042">
      <w:pPr>
        <w:spacing w:after="0" w:line="276" w:lineRule="auto"/>
        <w:jc w:val="both"/>
        <w:rPr>
          <w:rFonts w:ascii="Verdana" w:hAnsi="Verdana"/>
          <w:lang w:val="es-ES"/>
        </w:rPr>
      </w:pPr>
      <w:r w:rsidRPr="00436551">
        <w:rPr>
          <w:rFonts w:ascii="Verdana" w:hAnsi="Verdana"/>
          <w:lang w:val="es-ES"/>
        </w:rPr>
        <w:t xml:space="preserve">Twitter: </w:t>
      </w:r>
      <w:r w:rsidRPr="00436551">
        <w:rPr>
          <w:rStyle w:val="Hipervnculo"/>
          <w:rFonts w:ascii="Verdana" w:hAnsi="Verdana" w:cs="Arial"/>
          <w:shd w:val="clear" w:color="auto" w:fill="FFFFFF"/>
          <w:lang w:val="es-ES"/>
        </w:rPr>
        <w:t>@colombiacompra</w:t>
      </w:r>
      <w:r w:rsidRPr="00436551">
        <w:rPr>
          <w:rFonts w:ascii="Verdana" w:hAnsi="Verdana"/>
          <w:color w:val="4472C4" w:themeColor="accent1"/>
          <w:lang w:val="es-ES"/>
        </w:rPr>
        <w:t xml:space="preserve"> </w:t>
      </w:r>
    </w:p>
    <w:p w14:paraId="0E3F3162" w14:textId="77777777" w:rsidR="009C3042" w:rsidRPr="00436551" w:rsidRDefault="009C3042" w:rsidP="009C3042">
      <w:pPr>
        <w:spacing w:after="0" w:line="276" w:lineRule="auto"/>
        <w:jc w:val="both"/>
        <w:rPr>
          <w:rFonts w:ascii="Verdana" w:hAnsi="Verdana"/>
          <w:lang w:val="es-ES"/>
        </w:rPr>
      </w:pPr>
      <w:r w:rsidRPr="00436551">
        <w:rPr>
          <w:rFonts w:ascii="Verdana" w:hAnsi="Verdana"/>
          <w:lang w:val="es-ES"/>
        </w:rPr>
        <w:t xml:space="preserve">Facebook: </w:t>
      </w:r>
      <w:proofErr w:type="spellStart"/>
      <w:r w:rsidRPr="00436551">
        <w:rPr>
          <w:rStyle w:val="Hipervnculo"/>
          <w:rFonts w:ascii="Verdana" w:hAnsi="Verdana" w:cs="Arial"/>
          <w:shd w:val="clear" w:color="auto" w:fill="FFFFFF"/>
          <w:lang w:val="es-ES"/>
        </w:rPr>
        <w:t>ColombiaCompraEficiente</w:t>
      </w:r>
      <w:proofErr w:type="spellEnd"/>
    </w:p>
    <w:p w14:paraId="29562896" w14:textId="77777777" w:rsidR="009C3042" w:rsidRPr="00436551" w:rsidRDefault="009C3042" w:rsidP="009C3042">
      <w:pPr>
        <w:spacing w:after="0" w:line="276" w:lineRule="auto"/>
        <w:jc w:val="both"/>
        <w:rPr>
          <w:rFonts w:ascii="Verdana" w:hAnsi="Verdana"/>
          <w:lang w:val="es-ES"/>
        </w:rPr>
      </w:pPr>
      <w:r w:rsidRPr="00436551">
        <w:rPr>
          <w:rFonts w:ascii="Verdana" w:hAnsi="Verdana"/>
          <w:lang w:val="es-ES"/>
        </w:rPr>
        <w:t xml:space="preserve">LinkedIn: </w:t>
      </w:r>
      <w:r w:rsidRPr="00436551">
        <w:rPr>
          <w:rStyle w:val="Hipervnculo"/>
          <w:rFonts w:ascii="Verdana" w:hAnsi="Verdana" w:cs="Arial"/>
          <w:shd w:val="clear" w:color="auto" w:fill="FFFFFF"/>
          <w:lang w:val="es-ES"/>
        </w:rPr>
        <w:t xml:space="preserve">Agencia Nacional de Contratación Pública - Colombia Compra Eficiente </w:t>
      </w:r>
      <w:r w:rsidRPr="00436551">
        <w:rPr>
          <w:rFonts w:ascii="Verdana" w:hAnsi="Verdana"/>
          <w:lang w:val="es-ES"/>
        </w:rPr>
        <w:t xml:space="preserve">Instagram: </w:t>
      </w:r>
      <w:r w:rsidRPr="00436551">
        <w:rPr>
          <w:rStyle w:val="Hipervnculo"/>
          <w:rFonts w:ascii="Verdana" w:hAnsi="Verdana" w:cs="Arial"/>
          <w:shd w:val="clear" w:color="auto" w:fill="FFFFFF"/>
          <w:lang w:val="es-ES"/>
        </w:rPr>
        <w:t>@colombiacompraeficiente_cce</w:t>
      </w:r>
    </w:p>
    <w:p w14:paraId="695FCDDE" w14:textId="77777777" w:rsidR="009C3042" w:rsidRPr="00436551" w:rsidRDefault="009C3042" w:rsidP="009C3042">
      <w:pPr>
        <w:widowControl w:val="0"/>
        <w:autoSpaceDE w:val="0"/>
        <w:autoSpaceDN w:val="0"/>
        <w:spacing w:after="0" w:line="276" w:lineRule="auto"/>
        <w:jc w:val="both"/>
        <w:rPr>
          <w:rFonts w:ascii="Verdana" w:hAnsi="Verdana" w:cs="Arial"/>
          <w:lang w:val="es-ES"/>
        </w:rPr>
      </w:pPr>
    </w:p>
    <w:p w14:paraId="1B69B383" w14:textId="77777777" w:rsidR="009C3042" w:rsidRPr="00436551" w:rsidRDefault="009C3042" w:rsidP="009C3042">
      <w:pPr>
        <w:widowControl w:val="0"/>
        <w:autoSpaceDE w:val="0"/>
        <w:autoSpaceDN w:val="0"/>
        <w:spacing w:after="0" w:line="276" w:lineRule="auto"/>
        <w:jc w:val="both"/>
        <w:rPr>
          <w:rFonts w:ascii="Verdana" w:hAnsi="Verdana" w:cs="Arial"/>
          <w:lang w:val="es-ES"/>
        </w:rPr>
      </w:pPr>
      <w:r w:rsidRPr="00436551">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411877B7" w14:textId="77777777" w:rsidR="009C3042" w:rsidRPr="00436551" w:rsidRDefault="009C3042" w:rsidP="009C3042">
      <w:pPr>
        <w:widowControl w:val="0"/>
        <w:autoSpaceDE w:val="0"/>
        <w:autoSpaceDN w:val="0"/>
        <w:spacing w:after="0" w:line="276" w:lineRule="auto"/>
        <w:jc w:val="both"/>
        <w:rPr>
          <w:rFonts w:ascii="Verdana" w:hAnsi="Verdana" w:cs="Arial"/>
          <w:lang w:val="es-ES"/>
        </w:rPr>
      </w:pPr>
    </w:p>
    <w:p w14:paraId="62B57A20" w14:textId="181A3B27" w:rsidR="009C3042" w:rsidRPr="00436551" w:rsidRDefault="009C3042" w:rsidP="009C3042">
      <w:pPr>
        <w:spacing w:after="0" w:line="276" w:lineRule="auto"/>
        <w:rPr>
          <w:rFonts w:ascii="Verdana" w:hAnsi="Verdana" w:cs="Arial"/>
          <w:color w:val="000000" w:themeColor="text1"/>
          <w:lang w:val="es-ES" w:eastAsia="es-CO"/>
        </w:rPr>
      </w:pPr>
      <w:r w:rsidRPr="00436551">
        <w:rPr>
          <w:rFonts w:ascii="Verdana" w:eastAsia="Times New Roman" w:hAnsi="Verdana" w:cs="Arial"/>
          <w:color w:val="000000" w:themeColor="text1"/>
          <w:lang w:val="es-ES" w:eastAsia="es-CO"/>
        </w:rPr>
        <w:t>Atentamente,</w:t>
      </w:r>
      <w:r w:rsidRPr="00436551">
        <w:rPr>
          <w:rFonts w:ascii="Verdana" w:hAnsi="Verdana" w:cs="Arial"/>
          <w:color w:val="000000" w:themeColor="text1"/>
          <w:lang w:val="es-ES" w:eastAsia="es-CO"/>
        </w:rPr>
        <w:t xml:space="preserve"> </w:t>
      </w:r>
    </w:p>
    <w:p w14:paraId="671B04E0" w14:textId="40A4A4E8" w:rsidR="009C3042" w:rsidRPr="00436551" w:rsidRDefault="00A771DF" w:rsidP="009C3042">
      <w:pPr>
        <w:spacing w:after="0" w:line="276" w:lineRule="auto"/>
        <w:rPr>
          <w:rFonts w:ascii="Verdana" w:hAnsi="Verdana" w:cs="Arial"/>
          <w:color w:val="000000" w:themeColor="text1"/>
          <w:lang w:val="es-ES" w:eastAsia="es-CO"/>
        </w:rPr>
      </w:pPr>
      <w:r w:rsidRPr="002C3AD6">
        <w:rPr>
          <w:rFonts w:ascii="Century Gothic" w:hAnsi="Century Gothic"/>
          <w:noProof/>
        </w:rPr>
        <w:drawing>
          <wp:anchor distT="0" distB="0" distL="114300" distR="114300" simplePos="0" relativeHeight="251659264" behindDoc="0" locked="0" layoutInCell="1" allowOverlap="1" wp14:anchorId="40CF57F0" wp14:editId="15A36774">
            <wp:simplePos x="0" y="0"/>
            <wp:positionH relativeFrom="column">
              <wp:posOffset>1002890</wp:posOffset>
            </wp:positionH>
            <wp:positionV relativeFrom="page">
              <wp:posOffset>5614609</wp:posOffset>
            </wp:positionV>
            <wp:extent cx="3406775" cy="1264285"/>
            <wp:effectExtent l="0" t="0" r="0" b="5715"/>
            <wp:wrapSquare wrapText="bothSides"/>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3">
                      <a:extLst>
                        <a:ext uri="{28A0092B-C50C-407E-A947-70E740481C1C}">
                          <a14:useLocalDpi xmlns:a14="http://schemas.microsoft.com/office/drawing/2010/main" val="0"/>
                        </a:ext>
                      </a:extLst>
                    </a:blip>
                    <a:stretch>
                      <a:fillRect/>
                    </a:stretch>
                  </pic:blipFill>
                  <pic:spPr>
                    <a:xfrm>
                      <a:off x="0" y="0"/>
                      <a:ext cx="3406775" cy="1264285"/>
                    </a:xfrm>
                    <a:prstGeom prst="rect">
                      <a:avLst/>
                    </a:prstGeom>
                  </pic:spPr>
                </pic:pic>
              </a:graphicData>
            </a:graphic>
            <wp14:sizeRelH relativeFrom="page">
              <wp14:pctWidth>0</wp14:pctWidth>
            </wp14:sizeRelH>
            <wp14:sizeRelV relativeFrom="page">
              <wp14:pctHeight>0</wp14:pctHeight>
            </wp14:sizeRelV>
          </wp:anchor>
        </w:drawing>
      </w:r>
    </w:p>
    <w:p w14:paraId="1296EAC2" w14:textId="491B8AB2" w:rsidR="009C3042" w:rsidRPr="00436551" w:rsidRDefault="009C3042" w:rsidP="009C3042">
      <w:pPr>
        <w:spacing w:line="276" w:lineRule="auto"/>
        <w:jc w:val="center"/>
        <w:rPr>
          <w:rFonts w:ascii="Verdana" w:hAnsi="Verdana" w:cs="Arial"/>
          <w:color w:val="000000" w:themeColor="text1"/>
          <w:lang w:val="es-ES"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9C3042" w:rsidRPr="00436551" w14:paraId="28713A6D" w14:textId="77777777" w:rsidTr="00994F78">
        <w:trPr>
          <w:trHeight w:val="315"/>
        </w:trPr>
        <w:tc>
          <w:tcPr>
            <w:tcW w:w="893" w:type="dxa"/>
            <w:vAlign w:val="center"/>
            <w:hideMark/>
          </w:tcPr>
          <w:p w14:paraId="42B8BEBC" w14:textId="77777777" w:rsidR="009C3042" w:rsidRPr="00436551" w:rsidRDefault="009C3042" w:rsidP="00994F78">
            <w:pPr>
              <w:contextualSpacing/>
              <w:rPr>
                <w:rFonts w:ascii="Verdana" w:hAnsi="Verdana" w:cs="Arial"/>
                <w:sz w:val="16"/>
                <w:szCs w:val="16"/>
                <w:lang w:val="es-ES" w:eastAsia="es-ES"/>
              </w:rPr>
            </w:pPr>
            <w:r w:rsidRPr="00436551">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447A1D38" w14:textId="77777777" w:rsidR="009C3042" w:rsidRPr="00436551" w:rsidRDefault="009C3042" w:rsidP="00994F78">
            <w:pPr>
              <w:contextualSpacing/>
              <w:rPr>
                <w:rFonts w:ascii="Verdana" w:eastAsia="Arial" w:hAnsi="Verdana" w:cs="Arial"/>
                <w:color w:val="000000" w:themeColor="text1"/>
                <w:sz w:val="16"/>
                <w:szCs w:val="16"/>
                <w:lang w:val="es-ES"/>
              </w:rPr>
            </w:pPr>
            <w:r w:rsidRPr="00436551">
              <w:rPr>
                <w:rFonts w:ascii="Verdana" w:eastAsia="Arial" w:hAnsi="Verdana" w:cs="Arial"/>
                <w:color w:val="000000" w:themeColor="text1"/>
                <w:sz w:val="16"/>
                <w:szCs w:val="16"/>
                <w:lang w:val="es-ES"/>
              </w:rPr>
              <w:t>Anamaría Bonilla Prieto</w:t>
            </w:r>
          </w:p>
          <w:p w14:paraId="1BBFCEE7" w14:textId="77777777" w:rsidR="009C3042" w:rsidRPr="00436551" w:rsidRDefault="009C3042" w:rsidP="00994F78">
            <w:pPr>
              <w:contextualSpacing/>
              <w:rPr>
                <w:rFonts w:ascii="Verdana" w:eastAsia="Arial" w:hAnsi="Verdana" w:cs="Arial"/>
                <w:sz w:val="16"/>
                <w:szCs w:val="16"/>
                <w:lang w:val="es-ES"/>
              </w:rPr>
            </w:pPr>
            <w:r w:rsidRPr="00436551">
              <w:rPr>
                <w:rStyle w:val="normaltextrun"/>
                <w:rFonts w:ascii="Verdana" w:eastAsia="Arial" w:hAnsi="Verdana" w:cs="Arial"/>
                <w:color w:val="000000" w:themeColor="text1"/>
                <w:sz w:val="16"/>
                <w:szCs w:val="16"/>
                <w:lang w:val="es-ES"/>
              </w:rPr>
              <w:t xml:space="preserve">Contratista de la Subdirección </w:t>
            </w:r>
            <w:r w:rsidRPr="00436551">
              <w:rPr>
                <w:rStyle w:val="normaltextrun"/>
                <w:rFonts w:ascii="Verdana" w:eastAsia="Arial" w:hAnsi="Verdana" w:cs="Arial"/>
                <w:sz w:val="16"/>
                <w:szCs w:val="16"/>
                <w:lang w:val="es-ES"/>
              </w:rPr>
              <w:t>de Gestión Contractual</w:t>
            </w:r>
          </w:p>
        </w:tc>
      </w:tr>
      <w:tr w:rsidR="009C3042" w:rsidRPr="00436551" w14:paraId="01207C14" w14:textId="77777777" w:rsidTr="00994F78">
        <w:trPr>
          <w:trHeight w:val="330"/>
        </w:trPr>
        <w:tc>
          <w:tcPr>
            <w:tcW w:w="893" w:type="dxa"/>
            <w:vAlign w:val="center"/>
            <w:hideMark/>
          </w:tcPr>
          <w:p w14:paraId="1ADB3E84" w14:textId="77777777" w:rsidR="009C3042" w:rsidRPr="00436551" w:rsidRDefault="009C3042" w:rsidP="00994F78">
            <w:pPr>
              <w:contextualSpacing/>
              <w:rPr>
                <w:rFonts w:ascii="Verdana" w:hAnsi="Verdana" w:cs="Arial"/>
                <w:sz w:val="16"/>
                <w:szCs w:val="16"/>
                <w:lang w:val="es-ES" w:eastAsia="es-ES"/>
              </w:rPr>
            </w:pPr>
            <w:r w:rsidRPr="00436551">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1DE6083" w14:textId="77777777" w:rsidR="00D1066C" w:rsidRPr="00F252F5" w:rsidRDefault="00D1066C" w:rsidP="00D1066C">
            <w:pPr>
              <w:spacing w:line="276" w:lineRule="auto"/>
              <w:contextualSpacing/>
              <w:textAlignment w:val="baseline"/>
              <w:rPr>
                <w:rStyle w:val="normaltextrun"/>
                <w:rFonts w:ascii="Verdana" w:eastAsia="Arial" w:hAnsi="Verdana"/>
                <w:color w:val="000000" w:themeColor="text1"/>
                <w:sz w:val="16"/>
                <w:szCs w:val="16"/>
              </w:rPr>
            </w:pPr>
            <w:r w:rsidRPr="00F252F5">
              <w:rPr>
                <w:rStyle w:val="normaltextrun"/>
                <w:rFonts w:ascii="Verdana" w:eastAsia="Arial" w:hAnsi="Verdana"/>
                <w:color w:val="000000" w:themeColor="text1"/>
                <w:sz w:val="16"/>
                <w:szCs w:val="16"/>
              </w:rPr>
              <w:t>Alejandro Sarmiento Cantillo</w:t>
            </w:r>
          </w:p>
          <w:p w14:paraId="67FA1C67" w14:textId="0B2947E0" w:rsidR="009C3042" w:rsidRPr="00436551" w:rsidRDefault="00D1066C" w:rsidP="00D1066C">
            <w:pPr>
              <w:pStyle w:val="paragraph"/>
              <w:spacing w:before="0" w:beforeAutospacing="0" w:after="0" w:afterAutospacing="0"/>
              <w:contextualSpacing/>
              <w:textAlignment w:val="baseline"/>
              <w:rPr>
                <w:rFonts w:ascii="Verdana" w:hAnsi="Verdana" w:cs="Segoe UI"/>
                <w:sz w:val="16"/>
                <w:szCs w:val="16"/>
                <w:lang w:val="es-ES"/>
              </w:rPr>
            </w:pPr>
            <w:r w:rsidRPr="00F252F5">
              <w:rPr>
                <w:rStyle w:val="normaltextrun"/>
                <w:rFonts w:ascii="Verdana" w:eastAsia="Arial" w:hAnsi="Verdana"/>
                <w:color w:val="000000" w:themeColor="text1"/>
                <w:sz w:val="16"/>
                <w:szCs w:val="16"/>
                <w:lang w:eastAsia="en-US"/>
              </w:rPr>
              <w:t xml:space="preserve">Gestor T1 – 15 </w:t>
            </w:r>
            <w:r w:rsidRPr="00F252F5">
              <w:rPr>
                <w:rStyle w:val="normaltextrun"/>
                <w:rFonts w:ascii="Verdana" w:eastAsia="Arial" w:hAnsi="Verdana" w:cs="Arial"/>
                <w:color w:val="000000" w:themeColor="text1"/>
                <w:sz w:val="16"/>
                <w:szCs w:val="16"/>
                <w:lang w:val="es-ES" w:eastAsia="en-US"/>
              </w:rPr>
              <w:t>de la Subdirección de Gestión Contractual</w:t>
            </w:r>
            <w:r w:rsidRPr="00F252F5">
              <w:rPr>
                <w:rStyle w:val="eop"/>
                <w:rFonts w:ascii="Verdana" w:hAnsi="Verdana" w:cs="Arial"/>
                <w:sz w:val="16"/>
                <w:szCs w:val="16"/>
                <w:lang w:val="es-ES"/>
              </w:rPr>
              <w:t> </w:t>
            </w:r>
          </w:p>
        </w:tc>
      </w:tr>
      <w:tr w:rsidR="009C3042" w:rsidRPr="00436551" w14:paraId="7125F25F" w14:textId="77777777" w:rsidTr="00994F78">
        <w:trPr>
          <w:trHeight w:val="300"/>
        </w:trPr>
        <w:tc>
          <w:tcPr>
            <w:tcW w:w="893" w:type="dxa"/>
            <w:vAlign w:val="center"/>
          </w:tcPr>
          <w:p w14:paraId="5644CAE1" w14:textId="77777777" w:rsidR="009C3042" w:rsidRPr="00436551" w:rsidRDefault="009C3042" w:rsidP="00994F78">
            <w:pPr>
              <w:contextualSpacing/>
              <w:rPr>
                <w:rFonts w:ascii="Verdana" w:hAnsi="Verdana" w:cs="Arial"/>
                <w:sz w:val="16"/>
                <w:szCs w:val="16"/>
                <w:lang w:val="es-ES" w:eastAsia="es-ES"/>
              </w:rPr>
            </w:pPr>
            <w:r w:rsidRPr="00436551">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2827FBBF" w14:textId="77777777" w:rsidR="009C3042" w:rsidRPr="00436551" w:rsidRDefault="009C3042" w:rsidP="00994F78">
            <w:pPr>
              <w:contextualSpacing/>
              <w:rPr>
                <w:rFonts w:ascii="Verdana" w:eastAsia="Calibri" w:hAnsi="Verdana" w:cs="Arial"/>
                <w:sz w:val="16"/>
                <w:szCs w:val="16"/>
                <w:lang w:val="es-ES" w:eastAsia="es-ES"/>
              </w:rPr>
            </w:pPr>
            <w:r w:rsidRPr="00436551">
              <w:rPr>
                <w:rFonts w:ascii="Verdana" w:eastAsia="Calibri" w:hAnsi="Verdana" w:cs="Arial"/>
                <w:sz w:val="16"/>
                <w:szCs w:val="16"/>
                <w:lang w:val="es-ES" w:eastAsia="es-ES"/>
              </w:rPr>
              <w:t>Carolina Quintero Gacharná</w:t>
            </w:r>
          </w:p>
          <w:p w14:paraId="20F1A3CF" w14:textId="77777777" w:rsidR="009C3042" w:rsidRPr="00436551" w:rsidRDefault="009C3042" w:rsidP="00994F78">
            <w:pPr>
              <w:contextualSpacing/>
              <w:rPr>
                <w:rFonts w:ascii="Verdana" w:eastAsia="Calibri" w:hAnsi="Verdana" w:cs="Arial"/>
                <w:sz w:val="16"/>
                <w:szCs w:val="16"/>
                <w:lang w:val="es-ES" w:eastAsia="es-ES"/>
              </w:rPr>
            </w:pPr>
            <w:r w:rsidRPr="00436551">
              <w:rPr>
                <w:rFonts w:ascii="Verdana" w:eastAsia="Calibri" w:hAnsi="Verdana" w:cs="Arial"/>
                <w:sz w:val="16"/>
                <w:szCs w:val="16"/>
                <w:lang w:val="es-ES" w:eastAsia="es-ES"/>
              </w:rPr>
              <w:t>Subdirectora de Gestión Contractual ANCP – CCE</w:t>
            </w:r>
          </w:p>
        </w:tc>
      </w:tr>
    </w:tbl>
    <w:p w14:paraId="57D00CDD" w14:textId="61C07977" w:rsidR="009C3042" w:rsidRPr="00436551" w:rsidRDefault="009C3042" w:rsidP="009C3042">
      <w:pPr>
        <w:spacing w:after="0" w:line="276" w:lineRule="auto"/>
        <w:jc w:val="center"/>
        <w:rPr>
          <w:lang w:val="es-ES"/>
        </w:rPr>
      </w:pPr>
    </w:p>
    <w:bookmarkEnd w:id="0"/>
    <w:p w14:paraId="0F293BF4" w14:textId="2BDE4D1D" w:rsidR="00127233" w:rsidRPr="002E33E2" w:rsidRDefault="00127233" w:rsidP="002E33E2"/>
    <w:sectPr w:rsidR="00127233" w:rsidRPr="002E33E2"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0C9520" w14:textId="77777777" w:rsidR="00E4568A" w:rsidRDefault="00E4568A" w:rsidP="004A1847">
      <w:pPr>
        <w:spacing w:after="0" w:line="240" w:lineRule="auto"/>
      </w:pPr>
      <w:r>
        <w:separator/>
      </w:r>
    </w:p>
  </w:endnote>
  <w:endnote w:type="continuationSeparator" w:id="0">
    <w:p w14:paraId="24E06544" w14:textId="77777777" w:rsidR="00E4568A" w:rsidRDefault="00E4568A" w:rsidP="004A1847">
      <w:pPr>
        <w:spacing w:after="0" w:line="240" w:lineRule="auto"/>
      </w:pPr>
      <w:r>
        <w:continuationSeparator/>
      </w:r>
    </w:p>
  </w:endnote>
  <w:endnote w:type="continuationNotice" w:id="1">
    <w:p w14:paraId="53FC8BDD" w14:textId="77777777" w:rsidR="00E4568A" w:rsidRDefault="00E4568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Yu Gothic Light">
    <w:panose1 w:val="020B0300000000000000"/>
    <w:charset w:val="80"/>
    <w:family w:val="swiss"/>
    <w:pitch w:val="variable"/>
    <w:sig w:usb0="E00002FF" w:usb1="2AC7FDFF" w:usb2="00000016" w:usb3="00000000" w:csb0="0002009F"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rialMT">
    <w:altName w:val="Klee One"/>
    <w:panose1 w:val="00000000000000000000"/>
    <w:charset w:val="00"/>
    <w:family w:val="auto"/>
    <w:notTrueType/>
    <w:pitch w:val="default"/>
    <w:sig w:usb0="00000003" w:usb1="00000000" w:usb2="00000000" w:usb3="00000000" w:csb0="00000001"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Yu Mincho">
    <w:charset w:val="80"/>
    <w:family w:val="roman"/>
    <w:pitch w:val="variable"/>
    <w:sig w:usb0="800002E7" w:usb1="2AC7FCFF" w:usb2="00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906AC4" w14:textId="77777777" w:rsidR="00E4568A" w:rsidRDefault="00E4568A" w:rsidP="004A1847">
      <w:pPr>
        <w:spacing w:after="0" w:line="240" w:lineRule="auto"/>
      </w:pPr>
      <w:r>
        <w:separator/>
      </w:r>
    </w:p>
  </w:footnote>
  <w:footnote w:type="continuationSeparator" w:id="0">
    <w:p w14:paraId="5A63A7F6" w14:textId="77777777" w:rsidR="00E4568A" w:rsidRDefault="00E4568A" w:rsidP="004A1847">
      <w:pPr>
        <w:spacing w:after="0" w:line="240" w:lineRule="auto"/>
      </w:pPr>
      <w:r>
        <w:continuationSeparator/>
      </w:r>
    </w:p>
  </w:footnote>
  <w:footnote w:type="continuationNotice" w:id="1">
    <w:p w14:paraId="013358CB" w14:textId="77777777" w:rsidR="00E4568A" w:rsidRDefault="00E4568A">
      <w:pPr>
        <w:spacing w:after="0" w:line="240" w:lineRule="auto"/>
      </w:pPr>
    </w:p>
  </w:footnote>
  <w:footnote w:id="2">
    <w:p w14:paraId="0B79ECB4" w14:textId="77777777" w:rsidR="001C0996" w:rsidRPr="0016660C" w:rsidRDefault="001C0996" w:rsidP="001C0996">
      <w:pPr>
        <w:pStyle w:val="Textonotapie"/>
        <w:ind w:firstLine="708"/>
        <w:contextualSpacing/>
        <w:rPr>
          <w:rFonts w:ascii="Verdana" w:hAnsi="Verdana"/>
          <w:sz w:val="16"/>
          <w:szCs w:val="16"/>
          <w:lang w:val="es-ES"/>
        </w:rPr>
      </w:pPr>
      <w:r w:rsidRPr="0016660C">
        <w:rPr>
          <w:rStyle w:val="Refdenotaalpie"/>
          <w:rFonts w:ascii="Verdana" w:hAnsi="Verdana"/>
          <w:sz w:val="16"/>
          <w:szCs w:val="16"/>
        </w:rPr>
        <w:footnoteRef/>
      </w:r>
      <w:r w:rsidRPr="0016660C">
        <w:rPr>
          <w:rFonts w:ascii="Verdana" w:hAnsi="Verdana"/>
          <w:sz w:val="16"/>
          <w:szCs w:val="16"/>
        </w:rPr>
        <w:t xml:space="preserve"> </w:t>
      </w:r>
      <w:r w:rsidRPr="0016660C">
        <w:rPr>
          <w:rFonts w:ascii="Verdana" w:hAnsi="Verdana"/>
          <w:sz w:val="16"/>
          <w:szCs w:val="16"/>
          <w:lang w:val="es-ES"/>
        </w:rPr>
        <w:t>Ibidem</w:t>
      </w:r>
    </w:p>
  </w:footnote>
  <w:footnote w:id="3">
    <w:p w14:paraId="427F6042" w14:textId="77777777" w:rsidR="009C3042" w:rsidRPr="00B869DC" w:rsidRDefault="009C3042" w:rsidP="009C3042">
      <w:pPr>
        <w:pStyle w:val="Textonotapie"/>
        <w:snapToGrid w:val="0"/>
        <w:ind w:firstLine="709"/>
        <w:contextualSpacing/>
        <w:jc w:val="both"/>
        <w:rPr>
          <w:rFonts w:ascii="Verdana" w:hAnsi="Verdana" w:cs="Arial"/>
          <w:sz w:val="16"/>
          <w:szCs w:val="16"/>
        </w:rPr>
      </w:pPr>
      <w:r w:rsidRPr="00B869DC">
        <w:rPr>
          <w:rStyle w:val="Refdenotaalpie"/>
          <w:rFonts w:ascii="Verdana" w:hAnsi="Verdana" w:cs="Arial"/>
          <w:sz w:val="16"/>
          <w:szCs w:val="16"/>
        </w:rPr>
        <w:footnoteRef/>
      </w:r>
      <w:r w:rsidRPr="00B869DC">
        <w:rPr>
          <w:rFonts w:ascii="Verdana" w:hAnsi="Verdana"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2B9CA769" w14:textId="77777777" w:rsidR="009C3042" w:rsidRPr="00B869DC" w:rsidRDefault="009C3042" w:rsidP="009C3042">
      <w:pPr>
        <w:pStyle w:val="Textonotapie"/>
        <w:snapToGrid w:val="0"/>
        <w:ind w:firstLine="709"/>
        <w:contextualSpacing/>
        <w:jc w:val="both"/>
        <w:rPr>
          <w:rFonts w:ascii="Verdana" w:hAnsi="Verdana" w:cs="Arial"/>
          <w:sz w:val="16"/>
          <w:szCs w:val="16"/>
        </w:rPr>
      </w:pPr>
      <w:r w:rsidRPr="00B869DC">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4">
    <w:p w14:paraId="33CF2782" w14:textId="77777777" w:rsidR="009C3042" w:rsidRPr="00B869DC" w:rsidRDefault="009C3042" w:rsidP="009C3042">
      <w:pPr>
        <w:pStyle w:val="Textonotapie"/>
        <w:snapToGrid w:val="0"/>
        <w:ind w:firstLine="709"/>
        <w:contextualSpacing/>
        <w:jc w:val="both"/>
        <w:rPr>
          <w:rFonts w:ascii="Verdana" w:hAnsi="Verdana" w:cs="Arial"/>
          <w:sz w:val="16"/>
          <w:szCs w:val="16"/>
        </w:rPr>
      </w:pPr>
      <w:r w:rsidRPr="00B869DC">
        <w:rPr>
          <w:rStyle w:val="Refdenotaalpie"/>
          <w:rFonts w:ascii="Verdana" w:hAnsi="Verdana" w:cs="Arial"/>
          <w:sz w:val="16"/>
          <w:szCs w:val="16"/>
        </w:rPr>
        <w:footnoteRef/>
      </w:r>
      <w:r w:rsidRPr="00B869DC">
        <w:rPr>
          <w:rFonts w:ascii="Verdana" w:hAnsi="Verdana" w:cs="Arial"/>
          <w:sz w:val="16"/>
          <w:szCs w:val="16"/>
        </w:rPr>
        <w:t xml:space="preserve"> Gaceta del Congreso de la República No. 71 del 2005.</w:t>
      </w:r>
    </w:p>
  </w:footnote>
  <w:footnote w:id="5">
    <w:p w14:paraId="2D2B8131" w14:textId="77777777" w:rsidR="009C3042" w:rsidRPr="00B869DC" w:rsidRDefault="009C3042" w:rsidP="009C3042">
      <w:pPr>
        <w:pStyle w:val="Textonotapie"/>
        <w:snapToGrid w:val="0"/>
        <w:ind w:firstLine="709"/>
        <w:contextualSpacing/>
        <w:jc w:val="both"/>
        <w:rPr>
          <w:rFonts w:ascii="Verdana" w:hAnsi="Verdana" w:cs="Arial"/>
          <w:sz w:val="16"/>
          <w:szCs w:val="16"/>
          <w:lang w:val="pt-BR"/>
        </w:rPr>
      </w:pPr>
      <w:r w:rsidRPr="00B869DC">
        <w:rPr>
          <w:rStyle w:val="Refdenotaalpie"/>
          <w:rFonts w:ascii="Verdana" w:hAnsi="Verdana" w:cs="Arial"/>
          <w:sz w:val="16"/>
          <w:szCs w:val="16"/>
        </w:rPr>
        <w:footnoteRef/>
      </w:r>
      <w:r w:rsidRPr="00B869DC">
        <w:rPr>
          <w:rFonts w:ascii="Verdana" w:hAnsi="Verdana" w:cs="Arial"/>
          <w:sz w:val="16"/>
          <w:szCs w:val="16"/>
          <w:lang w:val="pt-BR"/>
        </w:rPr>
        <w:t xml:space="preserve"> Corte Constitucional. Sentencia C- 1153 de 2005, M.P. Marco Gerardo </w:t>
      </w:r>
      <w:r w:rsidRPr="00B869DC">
        <w:rPr>
          <w:rFonts w:ascii="Verdana" w:hAnsi="Verdana" w:cs="Arial"/>
          <w:sz w:val="16"/>
          <w:szCs w:val="16"/>
          <w:lang w:val="pt-BR"/>
        </w:rPr>
        <w:t>Monroy Cabra.</w:t>
      </w:r>
    </w:p>
  </w:footnote>
  <w:footnote w:id="6">
    <w:p w14:paraId="7907FBE8" w14:textId="77777777" w:rsidR="009C3042" w:rsidRPr="00B869DC" w:rsidRDefault="009C3042" w:rsidP="009C3042">
      <w:pPr>
        <w:pStyle w:val="Textonotapie"/>
        <w:snapToGrid w:val="0"/>
        <w:ind w:firstLine="709"/>
        <w:contextualSpacing/>
        <w:jc w:val="both"/>
        <w:rPr>
          <w:rFonts w:ascii="Verdana" w:hAnsi="Verdana" w:cs="Arial"/>
          <w:sz w:val="16"/>
          <w:szCs w:val="16"/>
          <w:lang w:val="pt-BR"/>
        </w:rPr>
      </w:pPr>
      <w:r w:rsidRPr="00B869DC">
        <w:rPr>
          <w:rStyle w:val="Refdenotaalpie"/>
          <w:rFonts w:ascii="Verdana" w:hAnsi="Verdana" w:cs="Arial"/>
          <w:sz w:val="16"/>
          <w:szCs w:val="16"/>
        </w:rPr>
        <w:footnoteRef/>
      </w:r>
      <w:r w:rsidRPr="00B869DC">
        <w:rPr>
          <w:rFonts w:ascii="Verdana" w:hAnsi="Verdana" w:cs="Arial"/>
          <w:sz w:val="16"/>
          <w:szCs w:val="16"/>
          <w:lang w:val="pt-BR"/>
        </w:rPr>
        <w:t xml:space="preserve"> Corte Constitucional. Sentencias: C-233 de 4 de abril de 2002, expediente: D-3704; C-551 de 9 de </w:t>
      </w:r>
      <w:r w:rsidRPr="00B869DC">
        <w:rPr>
          <w:rFonts w:ascii="Verdana" w:hAnsi="Verdana" w:cs="Arial"/>
          <w:sz w:val="16"/>
          <w:szCs w:val="16"/>
          <w:lang w:val="pt-BR"/>
        </w:rPr>
        <w:t>julio de 2003, expediente: CRF-001 de 9 de julio de 2003; C-652 de 5 de agosto de 2003, expediente: D-4330; C-353 de 20 de mayo de 2009, expediente: D-7518, C-541 de 30 de junio de 2010, expediente: DD7966; entre otras.</w:t>
      </w:r>
    </w:p>
  </w:footnote>
  <w:footnote w:id="7">
    <w:p w14:paraId="4257DB95" w14:textId="77777777" w:rsidR="009C3042" w:rsidRPr="00B869DC" w:rsidRDefault="009C3042" w:rsidP="009C3042">
      <w:pPr>
        <w:pStyle w:val="Textonotapie"/>
        <w:snapToGrid w:val="0"/>
        <w:ind w:firstLine="709"/>
        <w:contextualSpacing/>
        <w:jc w:val="both"/>
        <w:rPr>
          <w:rFonts w:ascii="Verdana" w:hAnsi="Verdana" w:cs="Arial"/>
          <w:sz w:val="16"/>
          <w:szCs w:val="16"/>
          <w:lang w:val="es-CO"/>
        </w:rPr>
      </w:pPr>
      <w:r w:rsidRPr="00B869DC">
        <w:rPr>
          <w:rStyle w:val="Refdenotaalpie"/>
          <w:rFonts w:ascii="Verdana" w:hAnsi="Verdana" w:cs="Arial"/>
          <w:sz w:val="16"/>
          <w:szCs w:val="16"/>
        </w:rPr>
        <w:footnoteRef/>
      </w:r>
      <w:r w:rsidRPr="00B869DC">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8">
    <w:p w14:paraId="3F8FB6F9" w14:textId="77777777" w:rsidR="009C3042" w:rsidRPr="00B869DC" w:rsidRDefault="009C3042" w:rsidP="009C3042">
      <w:pPr>
        <w:pStyle w:val="Textonotapie"/>
        <w:snapToGrid w:val="0"/>
        <w:ind w:firstLine="709"/>
        <w:contextualSpacing/>
        <w:jc w:val="both"/>
        <w:rPr>
          <w:rFonts w:ascii="Verdana" w:hAnsi="Verdana" w:cs="Arial"/>
          <w:sz w:val="16"/>
          <w:szCs w:val="16"/>
        </w:rPr>
      </w:pPr>
      <w:r w:rsidRPr="00B869DC">
        <w:rPr>
          <w:rStyle w:val="Refdenotaalpie"/>
          <w:rFonts w:ascii="Verdana" w:hAnsi="Verdana" w:cs="Arial"/>
          <w:sz w:val="16"/>
          <w:szCs w:val="16"/>
        </w:rPr>
        <w:footnoteRef/>
      </w:r>
      <w:r w:rsidRPr="00B869DC">
        <w:rPr>
          <w:rFonts w:ascii="Verdana" w:hAnsi="Verdana" w:cs="Arial"/>
          <w:sz w:val="16"/>
          <w:szCs w:val="16"/>
        </w:rPr>
        <w:t xml:space="preserve"> Consejo de Estado. Sala de Consulta y Servicio Civil de fecha 24 de julio de 2013, Rad. 2166, C. P. Álvaro Namén Vargas.  </w:t>
      </w:r>
    </w:p>
  </w:footnote>
  <w:footnote w:id="9">
    <w:p w14:paraId="076B521E" w14:textId="77777777" w:rsidR="009C3042" w:rsidRPr="00B869DC" w:rsidRDefault="009C3042" w:rsidP="009C3042">
      <w:pPr>
        <w:snapToGrid w:val="0"/>
        <w:spacing w:after="0" w:line="240" w:lineRule="auto"/>
        <w:ind w:firstLine="709"/>
        <w:contextualSpacing/>
        <w:jc w:val="both"/>
        <w:rPr>
          <w:rFonts w:ascii="Verdana" w:eastAsia="Times New Roman" w:hAnsi="Verdana" w:cs="Arial"/>
          <w:sz w:val="16"/>
          <w:szCs w:val="16"/>
        </w:rPr>
      </w:pPr>
      <w:r w:rsidRPr="00B869DC">
        <w:rPr>
          <w:rStyle w:val="Refdenotaalpie"/>
          <w:rFonts w:ascii="Verdana" w:hAnsi="Verdana" w:cs="Arial"/>
          <w:sz w:val="16"/>
          <w:szCs w:val="16"/>
        </w:rPr>
        <w:footnoteRef/>
      </w:r>
      <w:r w:rsidRPr="00B869DC">
        <w:rPr>
          <w:rFonts w:ascii="Verdana" w:hAnsi="Verdana" w:cs="Arial"/>
          <w:sz w:val="16"/>
          <w:szCs w:val="16"/>
        </w:rPr>
        <w:t xml:space="preserve"> </w:t>
      </w:r>
      <w:r w:rsidRPr="00B869DC">
        <w:rPr>
          <w:rFonts w:ascii="Verdana" w:eastAsia="Calibri" w:hAnsi="Verdana" w:cs="Arial"/>
          <w:color w:val="000000"/>
          <w:sz w:val="16"/>
          <w:szCs w:val="16"/>
        </w:rPr>
        <w:t>“</w:t>
      </w:r>
      <w:r w:rsidRPr="00B869DC">
        <w:rPr>
          <w:rFonts w:ascii="Verdana" w:eastAsia="Times New Roman" w:hAnsi="Verdana" w:cs="Arial"/>
          <w:sz w:val="16"/>
          <w:szCs w:val="16"/>
        </w:rPr>
        <w:t>Artículo 33. Restricciones a la contratación pública. Durante los cuatro (4) meses anteriores a la elección presidencial y hasta la realización de la elección en la segunda vuelta, si fuere el caso, queda prohibida la contratación directa por parte de todos los entes del Estado.</w:t>
      </w:r>
    </w:p>
    <w:p w14:paraId="3B39EC57" w14:textId="77777777" w:rsidR="009C3042" w:rsidRPr="00B869DC" w:rsidRDefault="009C3042" w:rsidP="009C3042">
      <w:pPr>
        <w:snapToGrid w:val="0"/>
        <w:spacing w:after="0" w:line="240" w:lineRule="auto"/>
        <w:ind w:firstLine="709"/>
        <w:contextualSpacing/>
        <w:jc w:val="both"/>
        <w:rPr>
          <w:rFonts w:ascii="Verdana" w:eastAsia="Times New Roman" w:hAnsi="Verdana" w:cs="Arial"/>
          <w:sz w:val="16"/>
          <w:szCs w:val="16"/>
        </w:rPr>
      </w:pPr>
      <w:r w:rsidRPr="00B869DC">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B869DC">
        <w:rPr>
          <w:rFonts w:ascii="Verdana" w:eastAsia="Calibri" w:hAnsi="Verdana" w:cs="Arial"/>
          <w:color w:val="000000"/>
          <w:sz w:val="16"/>
          <w:szCs w:val="16"/>
        </w:rPr>
        <w:t>”</w:t>
      </w:r>
      <w:r w:rsidRPr="00B869DC">
        <w:rPr>
          <w:rFonts w:ascii="Verdana" w:eastAsia="Times New Roman" w:hAnsi="Verdana" w:cs="Arial"/>
          <w:sz w:val="16"/>
          <w:szCs w:val="16"/>
        </w:rPr>
        <w:t>.</w:t>
      </w:r>
    </w:p>
  </w:footnote>
  <w:footnote w:id="10">
    <w:p w14:paraId="382C9C39" w14:textId="77777777" w:rsidR="009C3042" w:rsidRPr="00B869DC" w:rsidRDefault="009C3042" w:rsidP="009C3042">
      <w:pPr>
        <w:pStyle w:val="NormalWeb"/>
        <w:snapToGrid w:val="0"/>
        <w:spacing w:before="0" w:beforeAutospacing="0" w:after="0" w:afterAutospacing="0"/>
        <w:ind w:firstLine="709"/>
        <w:contextualSpacing/>
        <w:jc w:val="both"/>
        <w:rPr>
          <w:rFonts w:ascii="Verdana" w:hAnsi="Verdana" w:cs="Arial"/>
          <w:sz w:val="16"/>
          <w:szCs w:val="16"/>
          <w:lang w:val="es-MX"/>
        </w:rPr>
      </w:pPr>
      <w:r w:rsidRPr="00B869DC">
        <w:rPr>
          <w:rStyle w:val="Refdenotaalpie"/>
          <w:rFonts w:ascii="Verdana" w:hAnsi="Verdana" w:cs="Arial"/>
          <w:sz w:val="16"/>
          <w:szCs w:val="16"/>
        </w:rPr>
        <w:footnoteRef/>
      </w:r>
      <w:r w:rsidRPr="00B869DC">
        <w:rPr>
          <w:rFonts w:ascii="Verdana" w:hAnsi="Verdana" w:cs="Arial"/>
          <w:sz w:val="16"/>
          <w:szCs w:val="16"/>
        </w:rPr>
        <w:t xml:space="preserve"> </w:t>
      </w:r>
      <w:r w:rsidRPr="00B869DC">
        <w:rPr>
          <w:rFonts w:ascii="Verdana" w:eastAsia="Calibri" w:hAnsi="Verdana" w:cs="Arial"/>
          <w:color w:val="000000"/>
          <w:sz w:val="16"/>
          <w:szCs w:val="16"/>
        </w:rPr>
        <w:t>“</w:t>
      </w:r>
      <w:r w:rsidRPr="00B869DC">
        <w:rPr>
          <w:rFonts w:ascii="Verdana" w:hAnsi="Verdana" w:cs="Arial"/>
          <w:sz w:val="16"/>
          <w:szCs w:val="16"/>
          <w:lang w:val="es-MX"/>
        </w:rPr>
        <w:t>Artículo 38. Prohibiciones para los servidores públicos. A los empleados del Estado les está prohibido: […]</w:t>
      </w:r>
    </w:p>
    <w:p w14:paraId="22720FA6" w14:textId="77777777" w:rsidR="009C3042" w:rsidRPr="00B869DC" w:rsidRDefault="009C3042" w:rsidP="009C3042">
      <w:pPr>
        <w:pStyle w:val="NormalWeb"/>
        <w:snapToGrid w:val="0"/>
        <w:spacing w:before="0" w:beforeAutospacing="0" w:after="0" w:afterAutospacing="0"/>
        <w:ind w:firstLine="709"/>
        <w:contextualSpacing/>
        <w:jc w:val="both"/>
        <w:rPr>
          <w:rFonts w:ascii="Verdana" w:hAnsi="Verdana" w:cs="Arial"/>
          <w:sz w:val="16"/>
          <w:szCs w:val="16"/>
          <w:lang w:val="es-MX"/>
        </w:rPr>
      </w:pPr>
      <w:r w:rsidRPr="00B869DC">
        <w:rPr>
          <w:rStyle w:val="baj"/>
          <w:rFonts w:ascii="Verdana" w:hAnsi="Verdana" w:cs="Arial"/>
          <w:sz w:val="16"/>
          <w:szCs w:val="16"/>
          <w:lang w:val="es-MX"/>
        </w:rPr>
        <w:t>Parágrafo.</w:t>
      </w:r>
      <w:r w:rsidRPr="00B869DC">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B869DC">
        <w:rPr>
          <w:rFonts w:ascii="Verdana" w:eastAsia="Calibri" w:hAnsi="Verdana" w:cs="Arial"/>
          <w:color w:val="000000"/>
          <w:sz w:val="16"/>
          <w:szCs w:val="16"/>
        </w:rPr>
        <w:t>”</w:t>
      </w:r>
      <w:r w:rsidRPr="00B869DC">
        <w:rPr>
          <w:rFonts w:ascii="Verdana" w:hAnsi="Verdana" w:cs="Arial"/>
          <w:sz w:val="16"/>
          <w:szCs w:val="16"/>
          <w:lang w:val="es-MX"/>
        </w:rPr>
        <w:t>.</w:t>
      </w:r>
    </w:p>
  </w:footnote>
  <w:footnote w:id="11">
    <w:p w14:paraId="0CCF1E16" w14:textId="77777777" w:rsidR="009C3042" w:rsidRPr="00B869DC" w:rsidRDefault="009C3042" w:rsidP="009C3042">
      <w:pPr>
        <w:snapToGrid w:val="0"/>
        <w:spacing w:after="0" w:line="240" w:lineRule="auto"/>
        <w:ind w:left="100" w:right="244" w:firstLine="709"/>
        <w:contextualSpacing/>
        <w:jc w:val="both"/>
        <w:rPr>
          <w:rFonts w:ascii="Verdana" w:hAnsi="Verdana" w:cs="Arial"/>
          <w:sz w:val="16"/>
          <w:szCs w:val="16"/>
          <w:lang w:val="es-ES"/>
        </w:rPr>
      </w:pPr>
      <w:r w:rsidRPr="00B869DC">
        <w:rPr>
          <w:rStyle w:val="Refdenotaalpie"/>
          <w:rFonts w:ascii="Verdana" w:hAnsi="Verdana" w:cs="Arial"/>
          <w:sz w:val="16"/>
          <w:szCs w:val="16"/>
        </w:rPr>
        <w:footnoteRef/>
      </w:r>
      <w:r w:rsidRPr="00B869DC">
        <w:rPr>
          <w:rFonts w:ascii="Verdana" w:hAnsi="Verdana" w:cs="Arial"/>
          <w:sz w:val="16"/>
          <w:szCs w:val="16"/>
        </w:rPr>
        <w:t xml:space="preserve"> Consejo de Estado. Sala de Consulta y Servicio Civil. Concepto del 17 de febrero de 2015. C.P. William Zambrano Cetina. Radicación No. 11001-03-06-000-2015-00164-00(2269).</w:t>
      </w:r>
    </w:p>
  </w:footnote>
  <w:footnote w:id="12">
    <w:p w14:paraId="00C1F01D" w14:textId="77777777" w:rsidR="009C3042" w:rsidRPr="00B869DC" w:rsidRDefault="009C3042" w:rsidP="009C3042">
      <w:pPr>
        <w:pStyle w:val="Textonotapie"/>
        <w:snapToGrid w:val="0"/>
        <w:ind w:right="51" w:firstLine="709"/>
        <w:contextualSpacing/>
        <w:jc w:val="both"/>
        <w:rPr>
          <w:rFonts w:ascii="Verdana" w:hAnsi="Verdana" w:cs="Arial"/>
          <w:sz w:val="16"/>
          <w:szCs w:val="16"/>
        </w:rPr>
      </w:pPr>
      <w:r w:rsidRPr="00B869DC">
        <w:rPr>
          <w:rStyle w:val="Refdenotaalpie"/>
          <w:rFonts w:ascii="Verdana" w:hAnsi="Verdana" w:cs="Arial"/>
          <w:sz w:val="16"/>
          <w:szCs w:val="16"/>
        </w:rPr>
        <w:footnoteRef/>
      </w:r>
      <w:r w:rsidRPr="00B869DC">
        <w:rPr>
          <w:rFonts w:ascii="Verdana" w:hAnsi="Verdana" w:cs="Arial"/>
          <w:sz w:val="16"/>
          <w:szCs w:val="16"/>
        </w:rPr>
        <w:t xml:space="preserve"> “</w:t>
      </w:r>
      <w:r w:rsidRPr="00B869DC">
        <w:rPr>
          <w:rFonts w:ascii="Verdana" w:hAnsi="Verdana" w:cs="Arial"/>
          <w:sz w:val="16"/>
          <w:szCs w:val="16"/>
          <w:lang w:val="es-ES"/>
        </w:rPr>
        <w:t xml:space="preserve">[26] </w:t>
      </w:r>
      <w:r w:rsidRPr="00B869DC">
        <w:rPr>
          <w:rFonts w:ascii="Verdana" w:hAnsi="Verdana" w:cs="Arial"/>
          <w:sz w:val="16"/>
          <w:szCs w:val="16"/>
        </w:rPr>
        <w:t>Al respecto ver el concepto 1712 de 2 de febrero de 2006. Consejo de Estado Sala de Consulta y Servicio Civil”.</w:t>
      </w:r>
    </w:p>
  </w:footnote>
  <w:footnote w:id="13">
    <w:p w14:paraId="2B252BE7" w14:textId="77777777" w:rsidR="009C3042" w:rsidRPr="00B869DC" w:rsidRDefault="009C3042" w:rsidP="009C3042">
      <w:pPr>
        <w:pStyle w:val="Textonotapie"/>
        <w:snapToGrid w:val="0"/>
        <w:ind w:firstLine="709"/>
        <w:contextualSpacing/>
        <w:jc w:val="both"/>
        <w:rPr>
          <w:rFonts w:ascii="Verdana" w:hAnsi="Verdana" w:cs="Arial"/>
          <w:sz w:val="16"/>
          <w:szCs w:val="16"/>
        </w:rPr>
      </w:pPr>
      <w:r w:rsidRPr="00B869DC">
        <w:rPr>
          <w:rStyle w:val="Refdenotaalpie"/>
          <w:rFonts w:ascii="Verdana" w:hAnsi="Verdana" w:cs="Arial"/>
          <w:sz w:val="16"/>
          <w:szCs w:val="16"/>
        </w:rPr>
        <w:footnoteRef/>
      </w:r>
      <w:r w:rsidRPr="00B869DC">
        <w:rPr>
          <w:rFonts w:ascii="Verdana" w:hAnsi="Verdana" w:cs="Arial"/>
          <w:sz w:val="16"/>
          <w:szCs w:val="16"/>
        </w:rPr>
        <w:t xml:space="preserve"> Consejo de Estado. Sala de Consulta y Servicio Civil. Concepto del 2 de septiembre de 2013. Radicación número: 11001-03-06-000-2013-00412-00 (2168). Consejero Ponente: Álvaro Namén Vargas.</w:t>
      </w:r>
    </w:p>
  </w:footnote>
  <w:footnote w:id="14">
    <w:p w14:paraId="4C120C91" w14:textId="77777777" w:rsidR="009C3042" w:rsidRPr="00B869DC" w:rsidRDefault="009C3042" w:rsidP="009C3042">
      <w:pPr>
        <w:pStyle w:val="Textonotapie"/>
        <w:snapToGrid w:val="0"/>
        <w:ind w:firstLine="709"/>
        <w:contextualSpacing/>
        <w:jc w:val="both"/>
        <w:rPr>
          <w:rFonts w:ascii="Verdana" w:hAnsi="Verdana" w:cs="Arial"/>
          <w:sz w:val="16"/>
          <w:szCs w:val="16"/>
          <w:lang w:val="es-ES"/>
        </w:rPr>
      </w:pPr>
      <w:r w:rsidRPr="00B869DC">
        <w:rPr>
          <w:rStyle w:val="Refdenotaalpie"/>
          <w:rFonts w:ascii="Verdana" w:hAnsi="Verdana" w:cs="Arial"/>
          <w:sz w:val="16"/>
          <w:szCs w:val="16"/>
        </w:rPr>
        <w:footnoteRef/>
      </w:r>
      <w:r w:rsidRPr="00B869DC">
        <w:rPr>
          <w:rFonts w:ascii="Verdana" w:hAnsi="Verdana" w:cs="Arial"/>
          <w:sz w:val="16"/>
          <w:szCs w:val="16"/>
        </w:rPr>
        <w:t xml:space="preserve"> </w:t>
      </w:r>
      <w:r w:rsidRPr="00B869DC">
        <w:rPr>
          <w:rFonts w:ascii="Verdana" w:hAnsi="Verdana" w:cs="Arial"/>
          <w:sz w:val="16"/>
          <w:szCs w:val="16"/>
          <w:lang w:val="es-ES"/>
        </w:rPr>
        <w:t xml:space="preserve">Artículo 2. </w:t>
      </w:r>
    </w:p>
  </w:footnote>
  <w:footnote w:id="15">
    <w:p w14:paraId="6B78FF3C" w14:textId="77777777" w:rsidR="009C3042" w:rsidRPr="00B869DC" w:rsidRDefault="009C3042" w:rsidP="009C3042">
      <w:pPr>
        <w:pStyle w:val="Textonotapie"/>
        <w:snapToGrid w:val="0"/>
        <w:ind w:firstLine="709"/>
        <w:contextualSpacing/>
        <w:jc w:val="both"/>
        <w:rPr>
          <w:rFonts w:ascii="Verdana" w:hAnsi="Verdana" w:cs="Arial"/>
          <w:sz w:val="16"/>
          <w:szCs w:val="16"/>
          <w:lang w:val="es-ES"/>
        </w:rPr>
      </w:pPr>
      <w:r w:rsidRPr="00B869DC">
        <w:rPr>
          <w:rStyle w:val="Refdenotaalpie"/>
          <w:rFonts w:ascii="Verdana" w:hAnsi="Verdana" w:cs="Arial"/>
          <w:sz w:val="16"/>
          <w:szCs w:val="16"/>
        </w:rPr>
        <w:footnoteRef/>
      </w:r>
      <w:r w:rsidRPr="00B869DC">
        <w:rPr>
          <w:rFonts w:ascii="Verdana" w:hAnsi="Verdana" w:cs="Arial"/>
          <w:sz w:val="16"/>
          <w:szCs w:val="16"/>
        </w:rPr>
        <w:t xml:space="preserve"> </w:t>
      </w:r>
      <w:r w:rsidRPr="00B869DC">
        <w:rPr>
          <w:rFonts w:ascii="Verdana" w:hAnsi="Verdana" w:cs="Arial"/>
          <w:i/>
          <w:sz w:val="16"/>
          <w:szCs w:val="16"/>
          <w:lang w:val="es-ES"/>
        </w:rPr>
        <w:t>Ídem</w:t>
      </w:r>
      <w:r w:rsidRPr="00B869DC">
        <w:rPr>
          <w:rFonts w:ascii="Verdana" w:hAnsi="Verdana" w:cs="Arial"/>
          <w:sz w:val="16"/>
          <w:szCs w:val="16"/>
          <w:lang w:val="es-ES"/>
        </w:rPr>
        <w:t>.</w:t>
      </w:r>
    </w:p>
  </w:footnote>
  <w:footnote w:id="16">
    <w:p w14:paraId="1BE4A02D" w14:textId="77777777" w:rsidR="009C3042" w:rsidRPr="00B869DC" w:rsidRDefault="009C3042" w:rsidP="009C3042">
      <w:pPr>
        <w:pStyle w:val="Textonotapie"/>
        <w:snapToGrid w:val="0"/>
        <w:ind w:firstLine="709"/>
        <w:contextualSpacing/>
        <w:jc w:val="both"/>
        <w:rPr>
          <w:rFonts w:ascii="Verdana" w:hAnsi="Verdana" w:cs="Arial"/>
          <w:sz w:val="16"/>
          <w:szCs w:val="16"/>
        </w:rPr>
      </w:pPr>
      <w:r w:rsidRPr="00B869DC">
        <w:rPr>
          <w:rStyle w:val="Refdenotaalpie"/>
          <w:rFonts w:ascii="Verdana" w:hAnsi="Verdana" w:cs="Arial"/>
          <w:sz w:val="16"/>
          <w:szCs w:val="16"/>
        </w:rPr>
        <w:footnoteRef/>
      </w:r>
      <w:r w:rsidRPr="00B869DC">
        <w:rPr>
          <w:rFonts w:ascii="Verdana" w:hAnsi="Verdana" w:cs="Arial"/>
          <w:sz w:val="16"/>
          <w:szCs w:val="16"/>
        </w:rPr>
        <w:t xml:space="preserve"> Consejo de Estado. Sala de Consulta y Servicio Civil. Concepto del 08 de mayo de 2018. Exp. 2.382. C.P. Álvaro Namén Vargas.</w:t>
      </w:r>
    </w:p>
  </w:footnote>
  <w:footnote w:id="17">
    <w:p w14:paraId="2CE1B019" w14:textId="77777777" w:rsidR="009C3042" w:rsidRPr="00B869DC" w:rsidRDefault="009C3042" w:rsidP="009C3042">
      <w:pPr>
        <w:pStyle w:val="Textonotapie"/>
        <w:snapToGrid w:val="0"/>
        <w:ind w:firstLine="708"/>
        <w:contextualSpacing/>
        <w:jc w:val="both"/>
        <w:rPr>
          <w:rFonts w:ascii="Verdana" w:hAnsi="Verdana"/>
          <w:sz w:val="16"/>
          <w:szCs w:val="16"/>
          <w:lang w:val="es-ES"/>
        </w:rPr>
      </w:pPr>
      <w:r w:rsidRPr="00B869DC">
        <w:rPr>
          <w:rStyle w:val="Refdenotaalpie"/>
          <w:rFonts w:ascii="Verdana" w:hAnsi="Verdana"/>
          <w:sz w:val="16"/>
          <w:szCs w:val="16"/>
        </w:rPr>
        <w:footnoteRef/>
      </w:r>
      <w:r w:rsidRPr="00B869DC">
        <w:rPr>
          <w:rFonts w:ascii="Verdana" w:hAnsi="Verdana"/>
          <w:sz w:val="16"/>
          <w:szCs w:val="16"/>
        </w:rPr>
        <w:t xml:space="preserve"> </w:t>
      </w:r>
      <w:r w:rsidRPr="00B869DC">
        <w:rPr>
          <w:rFonts w:ascii="Verdana" w:eastAsia="Calibri" w:hAnsi="Verdana" w:cs="Arial"/>
          <w:sz w:val="16"/>
          <w:szCs w:val="16"/>
          <w:lang w:val="es-ES"/>
        </w:rPr>
        <w:t xml:space="preserve">Consejo de Estado, Sala de Consulta y Servicio Civil, Concepto de fecha 8 de mayo de 2018, No. </w:t>
      </w:r>
      <w:r w:rsidRPr="00B869DC">
        <w:rPr>
          <w:rFonts w:ascii="Verdana" w:hAnsi="Verdana"/>
          <w:sz w:val="16"/>
          <w:szCs w:val="16"/>
          <w:lang w:val="es-CO"/>
        </w:rPr>
        <w:t>2382.</w:t>
      </w:r>
      <w:r w:rsidRPr="00B869DC">
        <w:rPr>
          <w:rFonts w:ascii="Verdana" w:hAnsi="Verdana"/>
          <w:sz w:val="16"/>
          <w:szCs w:val="16"/>
        </w:rPr>
        <w:t xml:space="preserve"> </w:t>
      </w:r>
      <w:r w:rsidRPr="00B869DC">
        <w:rPr>
          <w:rFonts w:ascii="Verdana" w:hAnsi="Verdana"/>
          <w:sz w:val="16"/>
          <w:szCs w:val="16"/>
          <w:lang w:val="es-CO"/>
        </w:rPr>
        <w:t>C. P. Álvaro Namén Vargas.</w:t>
      </w:r>
    </w:p>
  </w:footnote>
  <w:footnote w:id="18">
    <w:p w14:paraId="692D6913" w14:textId="77777777" w:rsidR="009C3042" w:rsidRPr="00B869DC" w:rsidRDefault="009C3042" w:rsidP="009C3042">
      <w:pPr>
        <w:snapToGrid w:val="0"/>
        <w:spacing w:after="0" w:line="240" w:lineRule="auto"/>
        <w:ind w:firstLine="709"/>
        <w:contextualSpacing/>
        <w:jc w:val="both"/>
        <w:rPr>
          <w:rFonts w:ascii="Verdana" w:hAnsi="Verdana" w:cs="Arial"/>
          <w:sz w:val="16"/>
          <w:szCs w:val="16"/>
        </w:rPr>
      </w:pPr>
      <w:r w:rsidRPr="00B869DC">
        <w:rPr>
          <w:rStyle w:val="Refdenotaalpie"/>
          <w:rFonts w:ascii="Verdana" w:hAnsi="Verdana" w:cs="Arial"/>
          <w:sz w:val="16"/>
          <w:szCs w:val="16"/>
        </w:rPr>
        <w:footnoteRef/>
      </w:r>
      <w:r w:rsidRPr="00B869DC">
        <w:rPr>
          <w:rFonts w:ascii="Verdana" w:hAnsi="Verdana" w:cs="Arial"/>
          <w:sz w:val="16"/>
          <w:szCs w:val="16"/>
        </w:rPr>
        <w:t xml:space="preserve"> Consejo de Estado. Sala de Consulta y Servicio Civil. Concepto de 20 de febrero de 2006. C.P. Enrique José Arboleda Perdomo. Rad. 1727.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footnote>
  <w:footnote w:id="19">
    <w:p w14:paraId="0E24EE60" w14:textId="77777777" w:rsidR="009C3042" w:rsidRPr="00B869DC" w:rsidRDefault="009C3042" w:rsidP="009C3042">
      <w:pPr>
        <w:pStyle w:val="Textonotapie"/>
        <w:snapToGrid w:val="0"/>
        <w:ind w:right="51" w:firstLine="709"/>
        <w:contextualSpacing/>
        <w:jc w:val="both"/>
        <w:rPr>
          <w:rFonts w:ascii="Verdana" w:eastAsia="Times New Roman" w:hAnsi="Verdana" w:cs="Arial"/>
          <w:bCs/>
          <w:sz w:val="16"/>
          <w:szCs w:val="16"/>
          <w:lang w:eastAsia="x-none"/>
        </w:rPr>
      </w:pPr>
      <w:r w:rsidRPr="00B869DC">
        <w:rPr>
          <w:rStyle w:val="Refdenotaalpie"/>
          <w:rFonts w:ascii="Verdana" w:hAnsi="Verdana" w:cs="Arial"/>
          <w:sz w:val="16"/>
          <w:szCs w:val="16"/>
        </w:rPr>
        <w:footnoteRef/>
      </w:r>
      <w:r w:rsidRPr="00B869DC">
        <w:rPr>
          <w:rFonts w:ascii="Verdana" w:hAnsi="Verdana" w:cs="Arial"/>
          <w:sz w:val="16"/>
          <w:szCs w:val="16"/>
        </w:rPr>
        <w:t xml:space="preserve"> Consejo de Estado. Sala de Consulta y Servicio Civil. Concepto de 6 de abril de 2006.C.P. Enrique José Arboleda Perdomo. </w:t>
      </w:r>
      <w:r w:rsidRPr="00B869DC">
        <w:rPr>
          <w:rFonts w:ascii="Verdana" w:hAnsi="Verdana" w:cs="Arial"/>
          <w:sz w:val="16"/>
          <w:szCs w:val="16"/>
          <w:lang w:val="es-CO"/>
        </w:rPr>
        <w:t>Rad. 1738</w:t>
      </w:r>
      <w:r w:rsidRPr="00B869DC">
        <w:rPr>
          <w:rFonts w:ascii="Verdana" w:eastAsia="Times New Roman" w:hAnsi="Verdana" w:cs="Arial"/>
          <w:bCs/>
          <w:sz w:val="16"/>
          <w:szCs w:val="16"/>
          <w:lang w:eastAsia="x-none"/>
        </w:rPr>
        <w:t xml:space="preserve"> “</w:t>
      </w:r>
      <w:r w:rsidRPr="00B869DC">
        <w:rPr>
          <w:rFonts w:ascii="Verdana" w:hAnsi="Verdana" w:cs="Arial"/>
          <w:sz w:val="16"/>
          <w:szCs w:val="16"/>
        </w:rPr>
        <w:t>Si bien en el tema del concepto del que se extractaron los párrafos transcritos, se hacía referencia a las empresas de servicios públicos domiciliarios mixtas, la explicación dada cobija también a las empresas industriales y comerciales del estado y a las de crédito, pues todas ellas hacen parte de la definición de administración pública de la ley 489 de 1998, y además encajan dentro de la noción de todos los entes del Estado que trae la ley 996 de 2005 en el artículo 33, de manera que no es lógico pretender exonerarse de ésta prohibición alegando un régimen especial de los actos o contratos</w:t>
      </w:r>
      <w:r w:rsidRPr="00B869DC">
        <w:rPr>
          <w:rFonts w:ascii="Verdana" w:eastAsia="Times New Roman" w:hAnsi="Verdana" w:cs="Arial"/>
          <w:bCs/>
          <w:sz w:val="16"/>
          <w:szCs w:val="16"/>
          <w:lang w:eastAsia="x-none"/>
        </w:rPr>
        <w:t>”.</w:t>
      </w:r>
    </w:p>
  </w:footnote>
  <w:footnote w:id="20">
    <w:p w14:paraId="39D97EA4" w14:textId="77777777" w:rsidR="009C3042" w:rsidRPr="00B869DC" w:rsidRDefault="009C3042" w:rsidP="009C3042">
      <w:pPr>
        <w:snapToGrid w:val="0"/>
        <w:spacing w:after="0" w:line="240" w:lineRule="auto"/>
        <w:ind w:firstLine="708"/>
        <w:contextualSpacing/>
        <w:jc w:val="both"/>
        <w:rPr>
          <w:rFonts w:ascii="Verdana" w:hAnsi="Verdana" w:cs="Arial"/>
          <w:sz w:val="16"/>
          <w:szCs w:val="16"/>
        </w:rPr>
      </w:pPr>
      <w:r w:rsidRPr="00B869DC">
        <w:rPr>
          <w:rStyle w:val="Refdenotaalpie"/>
          <w:rFonts w:ascii="Verdana" w:hAnsi="Verdana" w:cs="Arial"/>
          <w:sz w:val="16"/>
          <w:szCs w:val="16"/>
        </w:rPr>
        <w:footnoteRef/>
      </w:r>
      <w:r w:rsidRPr="00B869DC">
        <w:rPr>
          <w:rFonts w:ascii="Verdana" w:hAnsi="Verdana" w:cs="Arial"/>
          <w:sz w:val="16"/>
          <w:szCs w:val="16"/>
        </w:rPr>
        <w:t xml:space="preserve"> Consejo de Estado. Sala de Consulta y Servicio Civil. Concepto de 6 de abril de 2006. C.P. Enrique José Arboleda Perdomo. Rad. 1738. </w:t>
      </w:r>
    </w:p>
  </w:footnote>
  <w:footnote w:id="21">
    <w:p w14:paraId="67DC2208" w14:textId="77777777" w:rsidR="009C3042" w:rsidRPr="00B869DC" w:rsidRDefault="009C3042" w:rsidP="009C3042">
      <w:pPr>
        <w:pStyle w:val="Textonotapie"/>
        <w:snapToGrid w:val="0"/>
        <w:ind w:right="51" w:firstLine="709"/>
        <w:contextualSpacing/>
        <w:jc w:val="both"/>
        <w:rPr>
          <w:rFonts w:ascii="Verdana" w:hAnsi="Verdana" w:cs="Arial"/>
          <w:sz w:val="16"/>
          <w:szCs w:val="16"/>
        </w:rPr>
      </w:pPr>
      <w:r w:rsidRPr="00B869DC">
        <w:rPr>
          <w:rStyle w:val="Refdenotaalpie"/>
          <w:rFonts w:ascii="Verdana" w:hAnsi="Verdana" w:cs="Arial"/>
          <w:sz w:val="16"/>
          <w:szCs w:val="16"/>
        </w:rPr>
        <w:footnoteRef/>
      </w:r>
      <w:r w:rsidRPr="00B869DC">
        <w:rPr>
          <w:rFonts w:ascii="Verdana" w:hAnsi="Verdana" w:cs="Arial"/>
          <w:sz w:val="16"/>
          <w:szCs w:val="16"/>
        </w:rPr>
        <w:t xml:space="preserve"> Consejo de Estado. Sala de Consulta y Servicio Civil, ídem.</w:t>
      </w:r>
    </w:p>
  </w:footnote>
  <w:footnote w:id="22">
    <w:p w14:paraId="03127F8D" w14:textId="77777777" w:rsidR="009C3042" w:rsidRPr="00B869DC" w:rsidRDefault="009C3042" w:rsidP="009C3042">
      <w:pPr>
        <w:snapToGrid w:val="0"/>
        <w:spacing w:after="0" w:line="240" w:lineRule="auto"/>
        <w:ind w:firstLine="709"/>
        <w:contextualSpacing/>
        <w:jc w:val="both"/>
        <w:rPr>
          <w:rFonts w:ascii="Verdana" w:hAnsi="Verdana" w:cs="Arial"/>
          <w:color w:val="000000" w:themeColor="text1"/>
          <w:sz w:val="16"/>
          <w:szCs w:val="16"/>
        </w:rPr>
      </w:pPr>
      <w:r w:rsidRPr="00B869DC">
        <w:rPr>
          <w:rStyle w:val="Refdenotaalpie"/>
          <w:rFonts w:ascii="Verdana" w:hAnsi="Verdana" w:cs="Arial"/>
          <w:color w:val="000000" w:themeColor="text1"/>
          <w:sz w:val="16"/>
          <w:szCs w:val="16"/>
        </w:rPr>
        <w:footnoteRef/>
      </w:r>
      <w:r w:rsidRPr="00B869DC">
        <w:rPr>
          <w:rFonts w:ascii="Verdana" w:hAnsi="Verdana" w:cs="Arial"/>
          <w:color w:val="000000" w:themeColor="text1"/>
          <w:sz w:val="16"/>
          <w:szCs w:val="16"/>
        </w:rPr>
        <w:t xml:space="preserve"> Consejo de Estado. Sala de Consulta y Servicio Civil. Concepto de 20 de febrero de 2006. Radicación Número: 11001-03-06-000-2006-00026-00(1727). Consejero Ponente: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footnote>
  <w:footnote w:id="23">
    <w:p w14:paraId="67D71DFB" w14:textId="77777777" w:rsidR="00E32C3E" w:rsidRPr="0016660C" w:rsidRDefault="00E32C3E" w:rsidP="00E32C3E">
      <w:pPr>
        <w:pStyle w:val="Textonotapie"/>
        <w:ind w:firstLine="708"/>
        <w:contextualSpacing/>
        <w:jc w:val="both"/>
        <w:rPr>
          <w:rFonts w:ascii="Verdana" w:hAnsi="Verdana" w:cs="Arial"/>
          <w:color w:val="000000" w:themeColor="text1"/>
          <w:sz w:val="16"/>
          <w:szCs w:val="16"/>
        </w:rPr>
      </w:pPr>
      <w:r w:rsidRPr="0016660C">
        <w:rPr>
          <w:rStyle w:val="Refdenotaalpie"/>
          <w:rFonts w:ascii="Verdana" w:hAnsi="Verdana" w:cs="Arial"/>
          <w:color w:val="000000" w:themeColor="text1"/>
          <w:sz w:val="16"/>
          <w:szCs w:val="16"/>
        </w:rPr>
        <w:footnoteRef/>
      </w:r>
      <w:r w:rsidRPr="0016660C">
        <w:rPr>
          <w:rFonts w:ascii="Verdana" w:hAnsi="Verdana" w:cs="Arial"/>
          <w:color w:val="000000" w:themeColor="text1"/>
          <w:sz w:val="16"/>
          <w:szCs w:val="16"/>
        </w:rPr>
        <w:t xml:space="preserve"> Corte Constitucional. Sentencia C-1153 de 2005 M.P. Marco Gerardo Monroy Cabra. </w:t>
      </w:r>
    </w:p>
  </w:footnote>
  <w:footnote w:id="24">
    <w:p w14:paraId="42A608CA" w14:textId="77777777" w:rsidR="00E32C3E" w:rsidRPr="0016660C" w:rsidRDefault="00E32C3E" w:rsidP="00E32C3E">
      <w:pPr>
        <w:pStyle w:val="Textonotapie"/>
        <w:ind w:firstLine="708"/>
        <w:contextualSpacing/>
        <w:jc w:val="both"/>
        <w:rPr>
          <w:rFonts w:ascii="Verdana" w:hAnsi="Verdana" w:cs="Arial"/>
          <w:color w:val="000000" w:themeColor="text1"/>
          <w:sz w:val="16"/>
          <w:szCs w:val="16"/>
        </w:rPr>
      </w:pPr>
      <w:r w:rsidRPr="0016660C">
        <w:rPr>
          <w:rStyle w:val="Refdenotaalpie"/>
          <w:rFonts w:ascii="Verdana" w:hAnsi="Verdana" w:cs="Arial"/>
          <w:color w:val="000000" w:themeColor="text1"/>
          <w:sz w:val="16"/>
          <w:szCs w:val="16"/>
        </w:rPr>
        <w:footnoteRef/>
      </w:r>
      <w:r w:rsidRPr="0016660C">
        <w:rPr>
          <w:rFonts w:ascii="Verdana" w:hAnsi="Verdana" w:cs="Arial"/>
          <w:color w:val="000000" w:themeColor="text1"/>
          <w:sz w:val="16"/>
          <w:szCs w:val="16"/>
        </w:rPr>
        <w:t xml:space="preserve"> Consejo de Estado. Sala de Consulta y Servicio Civil. Concepto del 18 de febrero 2010. Rad. 11001-03-06-000-2010-00006-00 (1985). C.P. Enrique José Arboleda Perdomo.</w:t>
      </w:r>
    </w:p>
  </w:footnote>
  <w:footnote w:id="25">
    <w:p w14:paraId="76AC08B8" w14:textId="77777777" w:rsidR="00E32C3E" w:rsidRPr="0016660C" w:rsidRDefault="00E32C3E" w:rsidP="00E32C3E">
      <w:pPr>
        <w:pStyle w:val="Textonotapie"/>
        <w:ind w:firstLine="708"/>
        <w:contextualSpacing/>
        <w:jc w:val="both"/>
        <w:rPr>
          <w:rFonts w:ascii="Verdana" w:hAnsi="Verdana" w:cs="Arial"/>
          <w:color w:val="000000" w:themeColor="text1"/>
          <w:sz w:val="16"/>
          <w:szCs w:val="16"/>
        </w:rPr>
      </w:pPr>
      <w:r w:rsidRPr="0016660C">
        <w:rPr>
          <w:rStyle w:val="Refdenotaalpie"/>
          <w:rFonts w:ascii="Verdana" w:hAnsi="Verdana" w:cs="Arial"/>
          <w:color w:val="000000" w:themeColor="text1"/>
          <w:sz w:val="16"/>
          <w:szCs w:val="16"/>
        </w:rPr>
        <w:footnoteRef/>
      </w:r>
      <w:r w:rsidRPr="0016660C">
        <w:rPr>
          <w:rFonts w:ascii="Verdana" w:hAnsi="Verdana" w:cs="Arial"/>
          <w:color w:val="000000" w:themeColor="text1"/>
          <w:sz w:val="16"/>
          <w:szCs w:val="16"/>
        </w:rPr>
        <w:t xml:space="preserve"> Consejo de Estado. Sala de Consulta y Servicio Civil. Concepto del 02 de septiembre de 2013. Rad. 11001-03-06-000-2013-00412-00 (2168). C.P. Álvaro Namén Vargas.</w:t>
      </w:r>
    </w:p>
  </w:footnote>
  <w:footnote w:id="26">
    <w:p w14:paraId="40D764CB" w14:textId="77777777" w:rsidR="00E32C3E" w:rsidRPr="0016660C" w:rsidRDefault="00E32C3E" w:rsidP="00E32C3E">
      <w:pPr>
        <w:pStyle w:val="Textonotapie"/>
        <w:ind w:firstLine="708"/>
        <w:contextualSpacing/>
        <w:jc w:val="both"/>
        <w:rPr>
          <w:rFonts w:ascii="Verdana" w:hAnsi="Verdana" w:cs="Arial"/>
          <w:color w:val="000000" w:themeColor="text1"/>
          <w:sz w:val="16"/>
          <w:szCs w:val="16"/>
          <w:lang w:val="es-ES"/>
        </w:rPr>
      </w:pPr>
      <w:r w:rsidRPr="0016660C">
        <w:rPr>
          <w:rStyle w:val="Refdenotaalpie"/>
          <w:rFonts w:ascii="Verdana" w:hAnsi="Verdana" w:cs="Arial"/>
          <w:color w:val="000000" w:themeColor="text1"/>
          <w:sz w:val="16"/>
          <w:szCs w:val="16"/>
        </w:rPr>
        <w:footnoteRef/>
      </w:r>
      <w:r w:rsidRPr="0016660C">
        <w:rPr>
          <w:rFonts w:ascii="Verdana" w:hAnsi="Verdana" w:cs="Arial"/>
          <w:color w:val="000000" w:themeColor="text1"/>
          <w:sz w:val="16"/>
          <w:szCs w:val="16"/>
        </w:rPr>
        <w:t xml:space="preserve"> </w:t>
      </w:r>
      <w:r w:rsidRPr="0016660C">
        <w:rPr>
          <w:rFonts w:ascii="Verdana" w:hAnsi="Verdana" w:cs="Arial"/>
          <w:color w:val="000000" w:themeColor="text1"/>
          <w:sz w:val="16"/>
          <w:szCs w:val="16"/>
          <w:lang w:val="es-CO"/>
        </w:rPr>
        <w:t>“</w:t>
      </w:r>
      <w:r w:rsidRPr="0016660C">
        <w:rPr>
          <w:rFonts w:ascii="Verdana" w:hAnsi="Verdana" w:cs="Arial"/>
          <w:color w:val="000000" w:themeColor="text1"/>
          <w:sz w:val="16"/>
          <w:szCs w:val="16"/>
        </w:rPr>
        <w:t>Artículo 197. Empresas sociales de salud de carácter territorial. Las entidades territoriales deberán disponer, dentro de los seis (6) meses siguientes a la fecha de vigencia de esta Ley, la reestructuración de las entidades descentralizadas cuyo objeto principal sea la prestación de servicios de salud, con el fin de adecuarlas a lo dispuesto en este capítulo”.</w:t>
      </w:r>
    </w:p>
  </w:footnote>
  <w:footnote w:id="27">
    <w:p w14:paraId="22429398" w14:textId="77777777" w:rsidR="00E32C3E" w:rsidRPr="0016660C" w:rsidRDefault="00E32C3E" w:rsidP="00E32C3E">
      <w:pPr>
        <w:pStyle w:val="Textonotapie"/>
        <w:ind w:firstLine="708"/>
        <w:contextualSpacing/>
        <w:jc w:val="both"/>
        <w:rPr>
          <w:rFonts w:ascii="Verdana" w:hAnsi="Verdana" w:cs="Arial"/>
          <w:color w:val="000000" w:themeColor="text1"/>
          <w:sz w:val="16"/>
          <w:szCs w:val="16"/>
        </w:rPr>
      </w:pPr>
      <w:r w:rsidRPr="0016660C">
        <w:rPr>
          <w:rStyle w:val="Refdenotaalpie"/>
          <w:rFonts w:ascii="Verdana" w:hAnsi="Verdana" w:cs="Arial"/>
          <w:color w:val="000000" w:themeColor="text1"/>
          <w:sz w:val="16"/>
          <w:szCs w:val="16"/>
        </w:rPr>
        <w:footnoteRef/>
      </w:r>
      <w:r w:rsidRPr="0016660C">
        <w:rPr>
          <w:rFonts w:ascii="Verdana" w:hAnsi="Verdana" w:cs="Arial"/>
          <w:color w:val="000000" w:themeColor="text1"/>
          <w:sz w:val="16"/>
          <w:szCs w:val="16"/>
        </w:rPr>
        <w:t xml:space="preserve"> El artículo 2.8.8.1.4.2 del Decreto 780 de 2016 dispone que «Para efectos de la aplicación del presente Capítulo, entiéndase por Autoridades Sanitarias del Sivigila, el Ministerio de Salud y Protección Social; el Instituto Nacional de Salud (INS); el Instituto Nacional de Vigilancia de Medicamentos y Alimentos (Invima), las Direcciones Territoriales de Salud, </w:t>
      </w:r>
      <w:r w:rsidRPr="0016660C">
        <w:rPr>
          <w:rFonts w:ascii="Verdana" w:hAnsi="Verdana" w:cs="Arial"/>
          <w:i/>
          <w:iCs/>
          <w:color w:val="000000" w:themeColor="text1"/>
          <w:sz w:val="16"/>
          <w:szCs w:val="16"/>
        </w:rPr>
        <w:t>y todas aquellas entidades que de acuerdo con la ley ejerzan funciones de vigilancia y control sanitario</w:t>
      </w:r>
      <w:r w:rsidRPr="0016660C">
        <w:rPr>
          <w:rFonts w:ascii="Verdana" w:hAnsi="Verdana" w:cs="Arial"/>
          <w:color w:val="000000" w:themeColor="text1"/>
          <w:sz w:val="16"/>
          <w:szCs w:val="16"/>
        </w:rPr>
        <w:t xml:space="preserve">, las cuales deben adoptar medidas sanitarias que garanticen la protección de la salud pública y el cumplimiento de lo dispuesto en esta norma, así como adelantar los procedimientos y aplicar las sanciones a que hubiere lugar» (Énfasis fuera de texto).  </w:t>
      </w:r>
    </w:p>
  </w:footnote>
  <w:footnote w:id="28">
    <w:p w14:paraId="6F24EB82" w14:textId="77777777" w:rsidR="00E32C3E" w:rsidRPr="0016660C" w:rsidRDefault="00E32C3E" w:rsidP="00E32C3E">
      <w:pPr>
        <w:pStyle w:val="Textonotapie"/>
        <w:ind w:firstLine="708"/>
        <w:contextualSpacing/>
        <w:jc w:val="both"/>
        <w:rPr>
          <w:rFonts w:ascii="Verdana" w:hAnsi="Verdana"/>
          <w:sz w:val="16"/>
          <w:szCs w:val="16"/>
        </w:rPr>
      </w:pPr>
      <w:r w:rsidRPr="0016660C">
        <w:rPr>
          <w:rStyle w:val="Refdenotaalpie"/>
          <w:rFonts w:ascii="Verdana" w:hAnsi="Verdana"/>
          <w:sz w:val="16"/>
          <w:szCs w:val="16"/>
        </w:rPr>
        <w:footnoteRef/>
      </w:r>
      <w:r w:rsidRPr="0016660C">
        <w:rPr>
          <w:rFonts w:ascii="Verdana" w:hAnsi="Verdana"/>
          <w:sz w:val="16"/>
          <w:szCs w:val="16"/>
        </w:rPr>
        <w:t xml:space="preserve"> CONSEJO DE ESTADO. Sala de Consulta y Servicio Civil .Concepto del doce (12) de junio de dos mil dieciocho (2018).R adicación Interna: 11001-03-06-000-2018-0043-00. Número Único: 2371. Consejero Ponente: Oscar Darío Amaya Navas </w:t>
      </w:r>
    </w:p>
    <w:p w14:paraId="766BCA64" w14:textId="77777777" w:rsidR="00E32C3E" w:rsidRPr="0016660C" w:rsidRDefault="00E32C3E" w:rsidP="00E32C3E">
      <w:pPr>
        <w:pStyle w:val="Textonotapie"/>
        <w:contextualSpacing/>
        <w:rPr>
          <w:rFonts w:ascii="Verdana" w:hAnsi="Verdana"/>
          <w:sz w:val="16"/>
          <w:szCs w:val="16"/>
          <w:lang w:val="es-ES"/>
        </w:rPr>
      </w:pPr>
    </w:p>
  </w:footnote>
  <w:footnote w:id="29">
    <w:p w14:paraId="20405B63" w14:textId="77777777" w:rsidR="00E32C3E" w:rsidRPr="0016660C" w:rsidRDefault="00E32C3E" w:rsidP="00E32C3E">
      <w:pPr>
        <w:pStyle w:val="Textonotapie"/>
        <w:ind w:firstLine="708"/>
        <w:contextualSpacing/>
        <w:rPr>
          <w:rFonts w:ascii="Verdana" w:hAnsi="Verdana"/>
          <w:sz w:val="16"/>
          <w:szCs w:val="16"/>
          <w:lang w:val="es-ES"/>
        </w:rPr>
      </w:pPr>
      <w:r w:rsidRPr="0016660C">
        <w:rPr>
          <w:rStyle w:val="Refdenotaalpie"/>
          <w:rFonts w:ascii="Verdana" w:hAnsi="Verdana"/>
          <w:sz w:val="16"/>
          <w:szCs w:val="16"/>
        </w:rPr>
        <w:footnoteRef/>
      </w:r>
      <w:r w:rsidRPr="0016660C">
        <w:rPr>
          <w:rFonts w:ascii="Verdana" w:hAnsi="Verdana"/>
          <w:sz w:val="16"/>
          <w:szCs w:val="16"/>
        </w:rPr>
        <w:t xml:space="preserve"> </w:t>
      </w:r>
      <w:r w:rsidRPr="0016660C">
        <w:rPr>
          <w:rFonts w:ascii="Verdana" w:hAnsi="Verdana"/>
          <w:sz w:val="16"/>
          <w:szCs w:val="16"/>
          <w:lang w:val="es-ES"/>
        </w:rPr>
        <w:t>Ibidem</w:t>
      </w:r>
    </w:p>
  </w:footnote>
  <w:footnote w:id="30">
    <w:p w14:paraId="3E7CD8F0" w14:textId="77777777" w:rsidR="009C3042" w:rsidRPr="00B869DC" w:rsidRDefault="009C3042" w:rsidP="009C3042">
      <w:pPr>
        <w:pStyle w:val="Textonotapie"/>
        <w:snapToGrid w:val="0"/>
        <w:ind w:firstLine="709"/>
        <w:contextualSpacing/>
        <w:jc w:val="both"/>
        <w:rPr>
          <w:rFonts w:ascii="Verdana" w:hAnsi="Verdana" w:cs="Arial"/>
          <w:color w:val="000000" w:themeColor="text1"/>
          <w:sz w:val="16"/>
          <w:szCs w:val="16"/>
        </w:rPr>
      </w:pPr>
      <w:r w:rsidRPr="00B869DC">
        <w:rPr>
          <w:rStyle w:val="Refdenotaalpie"/>
          <w:rFonts w:ascii="Verdana" w:hAnsi="Verdana" w:cs="Arial"/>
          <w:color w:val="000000" w:themeColor="text1"/>
          <w:sz w:val="16"/>
          <w:szCs w:val="16"/>
        </w:rPr>
        <w:footnoteRef/>
      </w:r>
      <w:r w:rsidRPr="00B869DC">
        <w:rPr>
          <w:rFonts w:ascii="Verdana" w:hAnsi="Verdana" w:cs="Arial"/>
          <w:color w:val="000000" w:themeColor="text1"/>
          <w:sz w:val="16"/>
          <w:szCs w:val="16"/>
        </w:rPr>
        <w:t xml:space="preserve"> Consejo de Estado. Sala de Consulta y Servicio Civil. Concepto de 20 de febrero de2006. Radicación 11001-03-06-000-2006-00023-00(1724). Consejero Ponente: Flavio Augusto Rodríguez Arce.</w:t>
      </w:r>
    </w:p>
  </w:footnote>
  <w:footnote w:id="31">
    <w:p w14:paraId="569B402F" w14:textId="77777777" w:rsidR="009C3042" w:rsidRPr="00B869DC" w:rsidRDefault="009C3042" w:rsidP="009C3042">
      <w:pPr>
        <w:snapToGrid w:val="0"/>
        <w:spacing w:after="0" w:line="240" w:lineRule="auto"/>
        <w:ind w:firstLine="709"/>
        <w:contextualSpacing/>
        <w:jc w:val="both"/>
        <w:rPr>
          <w:rFonts w:ascii="Verdana" w:hAnsi="Verdana" w:cs="Arial"/>
          <w:color w:val="000000" w:themeColor="text1"/>
          <w:sz w:val="16"/>
          <w:szCs w:val="16"/>
        </w:rPr>
      </w:pPr>
      <w:r w:rsidRPr="00B869DC">
        <w:rPr>
          <w:rStyle w:val="Refdenotaalpie"/>
          <w:rFonts w:ascii="Verdana" w:hAnsi="Verdana" w:cs="Arial"/>
          <w:color w:val="000000" w:themeColor="text1"/>
          <w:sz w:val="16"/>
          <w:szCs w:val="16"/>
        </w:rPr>
        <w:footnoteRef/>
      </w:r>
      <w:r w:rsidRPr="00B869DC">
        <w:rPr>
          <w:rFonts w:ascii="Verdana" w:hAnsi="Verdana" w:cs="Arial"/>
          <w:color w:val="000000" w:themeColor="text1"/>
          <w:sz w:val="16"/>
          <w:szCs w:val="16"/>
        </w:rPr>
        <w:t xml:space="preserve"> Decreto 1082 de 2015: «Artículo 2.2.1.2.1.4.4. Convenios o contratos interadministrativos. La modalidad de selección para la contratación entre Entidades Estatales es la contratación directa; y en consecuencia, le es aplicable lo establecido en el artículo 2.2.1.2.1.4.1 del presente decreto.</w:t>
      </w:r>
    </w:p>
    <w:p w14:paraId="1CFA327A" w14:textId="77777777" w:rsidR="009C3042" w:rsidRPr="00B869DC" w:rsidRDefault="009C3042" w:rsidP="009C3042">
      <w:pPr>
        <w:snapToGrid w:val="0"/>
        <w:spacing w:after="0" w:line="240" w:lineRule="auto"/>
        <w:ind w:firstLine="709"/>
        <w:contextualSpacing/>
        <w:jc w:val="both"/>
        <w:rPr>
          <w:rFonts w:ascii="Verdana" w:hAnsi="Verdana" w:cs="Arial"/>
          <w:color w:val="000000" w:themeColor="text1"/>
          <w:sz w:val="16"/>
          <w:szCs w:val="16"/>
        </w:rPr>
      </w:pPr>
      <w:r w:rsidRPr="00B869DC">
        <w:rPr>
          <w:rFonts w:ascii="Verdana" w:hAnsi="Verdana" w:cs="Arial"/>
          <w:color w:val="000000" w:themeColor="text1"/>
          <w:sz w:val="16"/>
          <w:szCs w:val="16"/>
        </w:rPr>
        <w:t>Cuando la totalidad del presupuesto de una Entidad Estatal hace parte del presupuesto de otra con ocasión de un convenio o contrato interadministrativo, el monto del presupuesto de la primera deberá deducirse del presupuesto de la segunda para determinar la capacidad contractual de las Entidades</w:t>
      </w:r>
      <w:r w:rsidRPr="00B869DC">
        <w:rPr>
          <w:rFonts w:ascii="Verdana" w:hAnsi="Verdana" w:cs="Arial"/>
          <w:color w:val="000000" w:themeColor="text1"/>
          <w:spacing w:val="-1"/>
          <w:sz w:val="16"/>
          <w:szCs w:val="16"/>
        </w:rPr>
        <w:t xml:space="preserve"> </w:t>
      </w:r>
      <w:r w:rsidRPr="00B869DC">
        <w:rPr>
          <w:rFonts w:ascii="Verdana" w:hAnsi="Verdana" w:cs="Arial"/>
          <w:color w:val="000000" w:themeColor="text1"/>
          <w:sz w:val="16"/>
          <w:szCs w:val="16"/>
        </w:rPr>
        <w:t>Estatales».</w:t>
      </w:r>
    </w:p>
  </w:footnote>
  <w:footnote w:id="32">
    <w:p w14:paraId="456F3F46" w14:textId="77777777" w:rsidR="009C3042" w:rsidRPr="00B869DC" w:rsidRDefault="009C3042" w:rsidP="009C3042">
      <w:pPr>
        <w:pStyle w:val="Textonotapie"/>
        <w:snapToGrid w:val="0"/>
        <w:ind w:firstLine="708"/>
        <w:contextualSpacing/>
        <w:jc w:val="both"/>
        <w:rPr>
          <w:rFonts w:ascii="Verdana" w:hAnsi="Verdana" w:cs="Arial"/>
          <w:color w:val="000000" w:themeColor="text1"/>
          <w:sz w:val="16"/>
          <w:szCs w:val="16"/>
        </w:rPr>
      </w:pPr>
      <w:r w:rsidRPr="00B869DC">
        <w:rPr>
          <w:rStyle w:val="Refdenotaalpie"/>
          <w:rFonts w:ascii="Verdana" w:hAnsi="Verdana" w:cs="Arial"/>
          <w:color w:val="000000" w:themeColor="text1"/>
          <w:sz w:val="16"/>
          <w:szCs w:val="16"/>
        </w:rPr>
        <w:footnoteRef/>
      </w:r>
      <w:r w:rsidRPr="00B869DC">
        <w:rPr>
          <w:rFonts w:ascii="Verdana" w:hAnsi="Verdana" w:cs="Arial"/>
          <w:color w:val="000000" w:themeColor="text1"/>
          <w:sz w:val="16"/>
          <w:szCs w:val="16"/>
        </w:rPr>
        <w:t xml:space="preserve"> Lo anterior, salvo que se traten de organismos internacionales que se rijan por normas internacionales y se financien con cargo a recursos de esos organismos (Cfr. Colombia Compra Eficiente. Concepto C-559 del 31 de agosto de 2021). </w:t>
      </w:r>
    </w:p>
  </w:footnote>
  <w:footnote w:id="33">
    <w:p w14:paraId="57DB28CF" w14:textId="77777777" w:rsidR="009C3042" w:rsidRPr="00B869DC" w:rsidRDefault="009C3042" w:rsidP="009C3042">
      <w:pPr>
        <w:pStyle w:val="Sinespaciado"/>
        <w:ind w:firstLine="708"/>
        <w:jc w:val="both"/>
        <w:rPr>
          <w:rFonts w:ascii="Verdana" w:eastAsia="Verdana" w:hAnsi="Verdana" w:cs="Verdana"/>
          <w:sz w:val="16"/>
          <w:szCs w:val="16"/>
        </w:rPr>
      </w:pPr>
      <w:r w:rsidRPr="00B869DC">
        <w:rPr>
          <w:rStyle w:val="Refdenotaalpie"/>
          <w:rFonts w:ascii="Verdana" w:hAnsi="Verdana"/>
          <w:sz w:val="16"/>
          <w:szCs w:val="16"/>
        </w:rPr>
        <w:footnoteRef/>
      </w:r>
      <w:r w:rsidRPr="00B869DC">
        <w:rPr>
          <w:rFonts w:ascii="Verdana" w:eastAsia="Verdana" w:hAnsi="Verdana" w:cs="Verdana"/>
          <w:sz w:val="16"/>
          <w:szCs w:val="16"/>
          <w:lang w:val="es-ES"/>
        </w:rPr>
        <w:t xml:space="preserve"> </w:t>
      </w:r>
      <w:r w:rsidRPr="00B869DC">
        <w:rPr>
          <w:rFonts w:ascii="Verdana" w:eastAsia="Verdana" w:hAnsi="Verdana" w:cs="Verdana"/>
          <w:sz w:val="16"/>
          <w:szCs w:val="16"/>
        </w:rPr>
        <w:t xml:space="preserve">Mediante auto de 4 de octubre del 2024, expediente 70.313, la Sección Tercera del Consejo de Estado decretó medida de suspensión provisional parcial del numeral 16.2 de la Circular Externa Única de 2022 expedida por la Agencia Nacional de Contratación Pública -Colombia Compra Eficiente-, concretamente, respecto de los siguientes apartes normativos: i) el inciso segundo 2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w:t>
      </w:r>
      <w:r w:rsidRPr="00B869DC">
        <w:rPr>
          <w:rFonts w:ascii="Verdana" w:eastAsia="Verdana" w:hAnsi="Verdana" w:cs="Verdana"/>
          <w:sz w:val="16"/>
          <w:szCs w:val="16"/>
        </w:rPr>
        <w:t xml:space="preserve">ii) la expresión y el siguiente párrafo contenidos en el inciso cuarto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 </w:t>
      </w:r>
    </w:p>
    <w:p w14:paraId="0DB978E0" w14:textId="77777777" w:rsidR="009C3042" w:rsidRPr="00B869DC" w:rsidRDefault="009C3042" w:rsidP="009C3042">
      <w:pPr>
        <w:pStyle w:val="Sinespaciado"/>
        <w:spacing w:before="120"/>
        <w:ind w:firstLine="708"/>
        <w:jc w:val="both"/>
        <w:rPr>
          <w:rFonts w:ascii="Verdana" w:hAnsi="Verdana"/>
          <w:sz w:val="16"/>
          <w:szCs w:val="16"/>
          <w:lang w:val="es-ES"/>
        </w:rPr>
      </w:pPr>
      <w:r w:rsidRPr="00B869DC">
        <w:rPr>
          <w:rFonts w:ascii="Verdana" w:eastAsia="Verdana" w:hAnsi="Verdana" w:cs="Verdana"/>
          <w:sz w:val="16"/>
          <w:szCs w:val="16"/>
        </w:rPr>
        <w:t>Dicha providencia parte de la distinción entre los conceptos de “convenio” y “contrato” interadministrativos, para diferenciarlos en su naturaleza, contenido y alcance, lo cual ha servido de fundamento para que tanto la Sección Tercera como también la Sala de Consulta y Servicio Civil de esa Corporación hayan realizado la distinción entre uno y otro negocio jurídico. Bajo este contexto, esta Agencia debe manifestar que, si bien respeta y acata las decisiones proferidas por el Consejo de Estado, como es el caso del auto de suspensión provisional parcial del numeral 16.2 de la Circular Externa Única, no comparte los argumentos expuestos por dicha Corporación. Esto, en la medida que, a juicio de esta Entidad, señalar que la Ley de Garantías Electorales no aplica para el caso de los contratos interadministrativos deja sin efecto el propósito buscado por la norma, que no es otro que evitar cualquier tipo de arbitrariedad, de ventaja injustificada, de uso irregular de los recursos del Estado en las campañas políticas, o que los recursos del Estado se ejecuten para lograr apoyos indebidos mediante la suscripción de contratos y/o convenios, que para efectos de la Ley de Garantías tienen la misma connotación y propósitos. Por esta razón, esta Agencia recomienda que los sujetos señalados en la norma se abstengan de celebrar tanto convenios como contratos interadministrativos durante el periodo previo a esas elecciones.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8pt;height:10.8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8679D0"/>
    <w:multiLevelType w:val="hybridMultilevel"/>
    <w:tmpl w:val="002007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497E2709"/>
    <w:multiLevelType w:val="hybridMultilevel"/>
    <w:tmpl w:val="527A8C5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3"/>
  </w:num>
  <w:num w:numId="7" w16cid:durableId="1946422806">
    <w:abstractNumId w:val="4"/>
  </w:num>
  <w:num w:numId="8" w16cid:durableId="152644682">
    <w:abstractNumId w:val="12"/>
  </w:num>
  <w:num w:numId="9" w16cid:durableId="1317221377">
    <w:abstractNumId w:val="6"/>
  </w:num>
  <w:num w:numId="10" w16cid:durableId="1471245386">
    <w:abstractNumId w:val="11"/>
  </w:num>
  <w:num w:numId="11" w16cid:durableId="289172385">
    <w:abstractNumId w:val="7"/>
  </w:num>
  <w:num w:numId="12" w16cid:durableId="1470781324">
    <w:abstractNumId w:val="0"/>
  </w:num>
  <w:num w:numId="13" w16cid:durableId="1512908409">
    <w:abstractNumId w:val="2"/>
  </w:num>
  <w:num w:numId="14" w16cid:durableId="895897244">
    <w:abstractNumId w:val="14"/>
  </w:num>
  <w:num w:numId="15" w16cid:durableId="390349800">
    <w:abstractNumId w:val="10"/>
  </w:num>
  <w:num w:numId="16" w16cid:durableId="153255849">
    <w:abstractNumId w:val="8"/>
  </w:num>
  <w:num w:numId="17" w16cid:durableId="133768369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0917"/>
    <w:rsid w:val="00061B2A"/>
    <w:rsid w:val="00082362"/>
    <w:rsid w:val="000A683E"/>
    <w:rsid w:val="000B19B9"/>
    <w:rsid w:val="000D0334"/>
    <w:rsid w:val="000D5DA7"/>
    <w:rsid w:val="000F6486"/>
    <w:rsid w:val="00116940"/>
    <w:rsid w:val="00125105"/>
    <w:rsid w:val="00127233"/>
    <w:rsid w:val="00137F6D"/>
    <w:rsid w:val="001467B4"/>
    <w:rsid w:val="00151C1B"/>
    <w:rsid w:val="0015699B"/>
    <w:rsid w:val="001A33BF"/>
    <w:rsid w:val="001C0996"/>
    <w:rsid w:val="001C28D5"/>
    <w:rsid w:val="001E04D3"/>
    <w:rsid w:val="001E4177"/>
    <w:rsid w:val="001F0B24"/>
    <w:rsid w:val="001F2B5A"/>
    <w:rsid w:val="001F4F81"/>
    <w:rsid w:val="001F7DC6"/>
    <w:rsid w:val="0022400B"/>
    <w:rsid w:val="002421BB"/>
    <w:rsid w:val="0025796E"/>
    <w:rsid w:val="002707A2"/>
    <w:rsid w:val="00286C11"/>
    <w:rsid w:val="002951A0"/>
    <w:rsid w:val="002962BC"/>
    <w:rsid w:val="002A093D"/>
    <w:rsid w:val="002A0DD0"/>
    <w:rsid w:val="002A49AC"/>
    <w:rsid w:val="002A64FD"/>
    <w:rsid w:val="002C7A84"/>
    <w:rsid w:val="002E2BF8"/>
    <w:rsid w:val="002E33E2"/>
    <w:rsid w:val="002E4FD9"/>
    <w:rsid w:val="002F0B9F"/>
    <w:rsid w:val="0030657A"/>
    <w:rsid w:val="00322A85"/>
    <w:rsid w:val="00324168"/>
    <w:rsid w:val="00330834"/>
    <w:rsid w:val="003332D7"/>
    <w:rsid w:val="003448F4"/>
    <w:rsid w:val="00344BC1"/>
    <w:rsid w:val="00374F5E"/>
    <w:rsid w:val="00377E3E"/>
    <w:rsid w:val="00382F07"/>
    <w:rsid w:val="00397870"/>
    <w:rsid w:val="003A5562"/>
    <w:rsid w:val="003A779E"/>
    <w:rsid w:val="003B36D2"/>
    <w:rsid w:val="003D0F4D"/>
    <w:rsid w:val="003D5B0D"/>
    <w:rsid w:val="003D739F"/>
    <w:rsid w:val="003E0499"/>
    <w:rsid w:val="003E4F80"/>
    <w:rsid w:val="003E6439"/>
    <w:rsid w:val="003F3941"/>
    <w:rsid w:val="00406575"/>
    <w:rsid w:val="00414C74"/>
    <w:rsid w:val="00416C25"/>
    <w:rsid w:val="0042722E"/>
    <w:rsid w:val="0044528D"/>
    <w:rsid w:val="00466E39"/>
    <w:rsid w:val="0047707D"/>
    <w:rsid w:val="00497EB6"/>
    <w:rsid w:val="004A1847"/>
    <w:rsid w:val="004A305D"/>
    <w:rsid w:val="004D71D7"/>
    <w:rsid w:val="004F21C4"/>
    <w:rsid w:val="004F685F"/>
    <w:rsid w:val="00553098"/>
    <w:rsid w:val="005566E8"/>
    <w:rsid w:val="00574867"/>
    <w:rsid w:val="00591460"/>
    <w:rsid w:val="005A65E0"/>
    <w:rsid w:val="005C3777"/>
    <w:rsid w:val="005C5CDC"/>
    <w:rsid w:val="005D476C"/>
    <w:rsid w:val="006200BF"/>
    <w:rsid w:val="006219F8"/>
    <w:rsid w:val="0062628E"/>
    <w:rsid w:val="006302F7"/>
    <w:rsid w:val="00646B9F"/>
    <w:rsid w:val="00665D70"/>
    <w:rsid w:val="006900D9"/>
    <w:rsid w:val="00706C16"/>
    <w:rsid w:val="0071021E"/>
    <w:rsid w:val="007340C3"/>
    <w:rsid w:val="0075235A"/>
    <w:rsid w:val="00756841"/>
    <w:rsid w:val="007649AB"/>
    <w:rsid w:val="00771D0C"/>
    <w:rsid w:val="007833AC"/>
    <w:rsid w:val="0079171C"/>
    <w:rsid w:val="007B268C"/>
    <w:rsid w:val="007B7171"/>
    <w:rsid w:val="007C0C0F"/>
    <w:rsid w:val="007C3DC2"/>
    <w:rsid w:val="007E5497"/>
    <w:rsid w:val="00806F5F"/>
    <w:rsid w:val="00820278"/>
    <w:rsid w:val="008258C9"/>
    <w:rsid w:val="00834FB0"/>
    <w:rsid w:val="00844AE9"/>
    <w:rsid w:val="00867F95"/>
    <w:rsid w:val="008843B6"/>
    <w:rsid w:val="00891928"/>
    <w:rsid w:val="00892F25"/>
    <w:rsid w:val="008A446D"/>
    <w:rsid w:val="008B25F1"/>
    <w:rsid w:val="008D180B"/>
    <w:rsid w:val="008F0EA7"/>
    <w:rsid w:val="008F7C65"/>
    <w:rsid w:val="00923EEF"/>
    <w:rsid w:val="009419F9"/>
    <w:rsid w:val="0095685E"/>
    <w:rsid w:val="00961B09"/>
    <w:rsid w:val="00965334"/>
    <w:rsid w:val="0097093E"/>
    <w:rsid w:val="00994F78"/>
    <w:rsid w:val="009A0DFA"/>
    <w:rsid w:val="009A1C6F"/>
    <w:rsid w:val="009B2D26"/>
    <w:rsid w:val="009C3042"/>
    <w:rsid w:val="009C71FA"/>
    <w:rsid w:val="009C72E7"/>
    <w:rsid w:val="009C7F7E"/>
    <w:rsid w:val="009D3058"/>
    <w:rsid w:val="009E7628"/>
    <w:rsid w:val="009F3A13"/>
    <w:rsid w:val="00A122D3"/>
    <w:rsid w:val="00A122E7"/>
    <w:rsid w:val="00A14468"/>
    <w:rsid w:val="00A17F13"/>
    <w:rsid w:val="00A20739"/>
    <w:rsid w:val="00A23AF9"/>
    <w:rsid w:val="00A33C78"/>
    <w:rsid w:val="00A554BD"/>
    <w:rsid w:val="00A771DF"/>
    <w:rsid w:val="00A92897"/>
    <w:rsid w:val="00AA561E"/>
    <w:rsid w:val="00AB09B5"/>
    <w:rsid w:val="00AB0ADB"/>
    <w:rsid w:val="00AB3CD5"/>
    <w:rsid w:val="00AD0B6E"/>
    <w:rsid w:val="00B00C0E"/>
    <w:rsid w:val="00B01B1A"/>
    <w:rsid w:val="00B0381D"/>
    <w:rsid w:val="00B10D8D"/>
    <w:rsid w:val="00B1229D"/>
    <w:rsid w:val="00B44A47"/>
    <w:rsid w:val="00B45F9C"/>
    <w:rsid w:val="00B54DF0"/>
    <w:rsid w:val="00B65F2C"/>
    <w:rsid w:val="00B72CD3"/>
    <w:rsid w:val="00B72FFF"/>
    <w:rsid w:val="00BC3D36"/>
    <w:rsid w:val="00BD54A6"/>
    <w:rsid w:val="00BD7F72"/>
    <w:rsid w:val="00BF7425"/>
    <w:rsid w:val="00C04251"/>
    <w:rsid w:val="00C04FB3"/>
    <w:rsid w:val="00C11D8B"/>
    <w:rsid w:val="00C15139"/>
    <w:rsid w:val="00C330EB"/>
    <w:rsid w:val="00C50D69"/>
    <w:rsid w:val="00C51CC2"/>
    <w:rsid w:val="00C5365C"/>
    <w:rsid w:val="00C574AB"/>
    <w:rsid w:val="00C70720"/>
    <w:rsid w:val="00C754BE"/>
    <w:rsid w:val="00C76B1C"/>
    <w:rsid w:val="00C925AC"/>
    <w:rsid w:val="00CB6357"/>
    <w:rsid w:val="00CC1B26"/>
    <w:rsid w:val="00CE64F4"/>
    <w:rsid w:val="00CF0B5B"/>
    <w:rsid w:val="00D1066C"/>
    <w:rsid w:val="00D361FD"/>
    <w:rsid w:val="00D423A2"/>
    <w:rsid w:val="00D44E26"/>
    <w:rsid w:val="00D520D8"/>
    <w:rsid w:val="00D63AC2"/>
    <w:rsid w:val="00D7383B"/>
    <w:rsid w:val="00D7788A"/>
    <w:rsid w:val="00DA141D"/>
    <w:rsid w:val="00DA231B"/>
    <w:rsid w:val="00DC39FC"/>
    <w:rsid w:val="00DF5254"/>
    <w:rsid w:val="00E02524"/>
    <w:rsid w:val="00E16408"/>
    <w:rsid w:val="00E20894"/>
    <w:rsid w:val="00E245AB"/>
    <w:rsid w:val="00E2764C"/>
    <w:rsid w:val="00E27F2E"/>
    <w:rsid w:val="00E32C3E"/>
    <w:rsid w:val="00E4568A"/>
    <w:rsid w:val="00E50AFE"/>
    <w:rsid w:val="00E75C92"/>
    <w:rsid w:val="00E771DC"/>
    <w:rsid w:val="00E8772A"/>
    <w:rsid w:val="00E90F6B"/>
    <w:rsid w:val="00E92C27"/>
    <w:rsid w:val="00EA0E3D"/>
    <w:rsid w:val="00EC38A7"/>
    <w:rsid w:val="00EE1AA8"/>
    <w:rsid w:val="00F23FEA"/>
    <w:rsid w:val="00F303BA"/>
    <w:rsid w:val="00F31EDC"/>
    <w:rsid w:val="00F462B3"/>
    <w:rsid w:val="00F5664F"/>
    <w:rsid w:val="00F666C4"/>
    <w:rsid w:val="00F671EB"/>
    <w:rsid w:val="00F76AFC"/>
    <w:rsid w:val="00F833F3"/>
    <w:rsid w:val="00FA47C0"/>
    <w:rsid w:val="00FB5DD1"/>
    <w:rsid w:val="00FB7A80"/>
    <w:rsid w:val="00FC2B5D"/>
    <w:rsid w:val="00FC7E72"/>
    <w:rsid w:val="00FE7F7A"/>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CC1DA9A0-9DF7-4B85-AC74-4901F000B0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9C3042"/>
    <w:pPr>
      <w:spacing w:line="240" w:lineRule="exact"/>
    </w:pPr>
    <w:rPr>
      <w:vertAlign w:val="superscript"/>
    </w:rPr>
  </w:style>
  <w:style w:type="character" w:customStyle="1" w:styleId="baj">
    <w:name w:val="b_aj"/>
    <w:basedOn w:val="Fuentedeprrafopredeter"/>
    <w:rsid w:val="009C3042"/>
  </w:style>
  <w:style w:type="character" w:customStyle="1" w:styleId="NormalWebCar">
    <w:name w:val="Normal (Web) Car"/>
    <w:link w:val="NormalWeb"/>
    <w:uiPriority w:val="99"/>
    <w:locked/>
    <w:rsid w:val="009C3042"/>
    <w:rPr>
      <w:rFonts w:ascii="Times New Roman" w:eastAsia="Times New Roman" w:hAnsi="Times New Roman" w:cs="Times New Roman"/>
      <w:sz w:val="24"/>
      <w:szCs w:val="24"/>
      <w:lang w:eastAsia="es-CO"/>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9C3042"/>
    <w:rPr>
      <w:rFonts w:ascii="Geomanist Light" w:hAnsi="Geomanist Light"/>
      <w:lang w:val="es-ES"/>
    </w:rPr>
  </w:style>
  <w:style w:type="paragraph" w:styleId="Sinespaciado">
    <w:name w:val="No Spacing"/>
    <w:uiPriority w:val="1"/>
    <w:qFormat/>
    <w:rsid w:val="009C3042"/>
    <w:pPr>
      <w:spacing w:after="0" w:line="240" w:lineRule="auto"/>
    </w:pPr>
  </w:style>
  <w:style w:type="character" w:styleId="Refdecomentario">
    <w:name w:val="annotation reference"/>
    <w:basedOn w:val="Fuentedeprrafopredeter"/>
    <w:uiPriority w:val="99"/>
    <w:semiHidden/>
    <w:unhideWhenUsed/>
    <w:rsid w:val="00A554BD"/>
    <w:rPr>
      <w:sz w:val="16"/>
      <w:szCs w:val="16"/>
    </w:rPr>
  </w:style>
  <w:style w:type="paragraph" w:styleId="Textocomentario">
    <w:name w:val="annotation text"/>
    <w:basedOn w:val="Normal"/>
    <w:link w:val="TextocomentarioCar"/>
    <w:uiPriority w:val="99"/>
    <w:unhideWhenUsed/>
    <w:rsid w:val="00A554BD"/>
    <w:pPr>
      <w:spacing w:line="240" w:lineRule="auto"/>
    </w:pPr>
    <w:rPr>
      <w:sz w:val="20"/>
      <w:szCs w:val="20"/>
    </w:rPr>
  </w:style>
  <w:style w:type="character" w:customStyle="1" w:styleId="TextocomentarioCar">
    <w:name w:val="Texto comentario Car"/>
    <w:basedOn w:val="Fuentedeprrafopredeter"/>
    <w:link w:val="Textocomentario"/>
    <w:uiPriority w:val="99"/>
    <w:rsid w:val="00A554BD"/>
    <w:rPr>
      <w:sz w:val="20"/>
      <w:szCs w:val="20"/>
    </w:rPr>
  </w:style>
  <w:style w:type="paragraph" w:styleId="Asuntodelcomentario">
    <w:name w:val="annotation subject"/>
    <w:basedOn w:val="Textocomentario"/>
    <w:next w:val="Textocomentario"/>
    <w:link w:val="AsuntodelcomentarioCar"/>
    <w:uiPriority w:val="99"/>
    <w:semiHidden/>
    <w:unhideWhenUsed/>
    <w:rsid w:val="00A554BD"/>
    <w:rPr>
      <w:b/>
      <w:bCs/>
    </w:rPr>
  </w:style>
  <w:style w:type="character" w:customStyle="1" w:styleId="AsuntodelcomentarioCar">
    <w:name w:val="Asunto del comentario Car"/>
    <w:basedOn w:val="TextocomentarioCar"/>
    <w:link w:val="Asuntodelcomentario"/>
    <w:uiPriority w:val="99"/>
    <w:semiHidden/>
    <w:rsid w:val="00A554B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relatoria.colombiacompra.gov.co/busqueda/concept%20o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2E0F32964D9B84EA054B84E5D4157A0" ma:contentTypeVersion="20" ma:contentTypeDescription="Create a new document." ma:contentTypeScope="" ma:versionID="2d11913c19decc3d479cc6872ae6112c">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e2487d1a4901a13ef6d3082403ba44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55F39B4A-D15D-4751-9B47-66044963A84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B9C47F7-1562-144A-B755-959B0BD20C40}">
  <ds:schemaRefs>
    <ds:schemaRef ds:uri="http://schemas.openxmlformats.org/officeDocument/2006/bibliography"/>
  </ds:schemaRefs>
</ds:datastoreItem>
</file>

<file path=customXml/itemProps4.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15</TotalTime>
  <Pages>29</Pages>
  <Words>9590</Words>
  <Characters>52747</Characters>
  <Application>Microsoft Office Word</Application>
  <DocSecurity>0</DocSecurity>
  <Lines>439</Lines>
  <Paragraphs>124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62213</CharactersWithSpaces>
  <SharedDoc>false</SharedDoc>
  <HLinks>
    <vt:vector size="6" baseType="variant">
      <vt:variant>
        <vt:i4>7209021</vt:i4>
      </vt:variant>
      <vt:variant>
        <vt:i4>0</vt:i4>
      </vt:variant>
      <vt:variant>
        <vt:i4>0</vt:i4>
      </vt:variant>
      <vt:variant>
        <vt:i4>5</vt:i4>
      </vt:variant>
      <vt:variant>
        <vt:lpwstr>https://relatoria.colombiacompra.gov.co/busqueda/concept os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6</cp:revision>
  <cp:lastPrinted>2023-01-10T21:18:00Z</cp:lastPrinted>
  <dcterms:created xsi:type="dcterms:W3CDTF">2026-03-24T17:23:00Z</dcterms:created>
  <dcterms:modified xsi:type="dcterms:W3CDTF">2026-03-24T22:31:00Z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