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A8445" w14:textId="77777777" w:rsidR="00BA1003" w:rsidRPr="00BA1003" w:rsidRDefault="00BA1003" w:rsidP="00BA1003">
      <w:pPr>
        <w:spacing w:after="0" w:line="276" w:lineRule="auto"/>
        <w:jc w:val="both"/>
        <w:rPr>
          <w:rFonts w:ascii="Verdana" w:eastAsia="Calibri" w:hAnsi="Verdana" w:cs="Arial"/>
          <w:b/>
          <w:bCs/>
          <w:lang w:val="es-ES_tradnl"/>
        </w:rPr>
      </w:pPr>
      <w:bookmarkStart w:id="0" w:name="_Hlk143780582"/>
      <w:r w:rsidRPr="00BA1003">
        <w:rPr>
          <w:rFonts w:ascii="Verdana" w:eastAsia="Calibri" w:hAnsi="Verdana" w:cs="Arial"/>
          <w:b/>
          <w:bCs/>
          <w:lang w:val="es-ES_tradnl"/>
        </w:rPr>
        <w:t xml:space="preserve">DOCUMENTOS TIPO – Fundamento normativo – Obligatoriedad </w:t>
      </w:r>
    </w:p>
    <w:p w14:paraId="0B011147" w14:textId="77777777" w:rsidR="00BA1003" w:rsidRPr="00BA1003" w:rsidRDefault="00BA1003" w:rsidP="00BA1003">
      <w:pPr>
        <w:spacing w:after="0" w:line="276" w:lineRule="auto"/>
        <w:jc w:val="both"/>
        <w:rPr>
          <w:rFonts w:ascii="Verdana" w:eastAsia="Calibri" w:hAnsi="Verdana" w:cs="Arial"/>
          <w:b/>
          <w:bCs/>
          <w:sz w:val="20"/>
          <w:szCs w:val="20"/>
          <w:lang w:val="es-ES_tradnl"/>
        </w:rPr>
      </w:pPr>
    </w:p>
    <w:p w14:paraId="43008BD6" w14:textId="77777777" w:rsidR="00BA1003" w:rsidRPr="00BA1003" w:rsidRDefault="00BA1003" w:rsidP="00BA1003">
      <w:pPr>
        <w:tabs>
          <w:tab w:val="left" w:pos="709"/>
        </w:tabs>
        <w:spacing w:after="0" w:line="240" w:lineRule="auto"/>
        <w:jc w:val="both"/>
        <w:rPr>
          <w:rFonts w:ascii="Verdana" w:eastAsia="Calibri" w:hAnsi="Verdana" w:cs="Arial"/>
          <w:sz w:val="20"/>
          <w:szCs w:val="20"/>
          <w:lang w:val="es-ES"/>
        </w:rPr>
      </w:pPr>
      <w:r w:rsidRPr="00BA1003">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7016FAE" w14:textId="77777777" w:rsidR="00BA1003" w:rsidRPr="00BA1003" w:rsidRDefault="00BA1003" w:rsidP="00BA1003">
      <w:pPr>
        <w:spacing w:after="0" w:line="276" w:lineRule="auto"/>
        <w:jc w:val="both"/>
        <w:rPr>
          <w:rFonts w:ascii="Verdana" w:eastAsia="Calibri" w:hAnsi="Verdana" w:cs="Arial"/>
          <w:b/>
          <w:bCs/>
          <w:lang w:val="es-ES_tradnl"/>
        </w:rPr>
      </w:pPr>
    </w:p>
    <w:p w14:paraId="5D261F01" w14:textId="77777777" w:rsidR="00BA1003" w:rsidRPr="00BA1003" w:rsidRDefault="00BA1003" w:rsidP="00BA1003">
      <w:pPr>
        <w:widowControl w:val="0"/>
        <w:autoSpaceDE w:val="0"/>
        <w:autoSpaceDN w:val="0"/>
        <w:spacing w:after="0" w:line="276" w:lineRule="auto"/>
        <w:jc w:val="both"/>
        <w:rPr>
          <w:rFonts w:ascii="Verdana" w:eastAsia="Calibri" w:hAnsi="Verdana" w:cs="Times New Roman"/>
          <w:b/>
          <w:bCs/>
          <w:lang w:val="es-ES"/>
        </w:rPr>
      </w:pPr>
      <w:r w:rsidRPr="00BA1003">
        <w:rPr>
          <w:rFonts w:ascii="Verdana" w:eastAsia="Calibri" w:hAnsi="Verdana" w:cs="Arial"/>
          <w:b/>
          <w:bCs/>
          <w:lang w:val="es-ES_tradnl"/>
        </w:rPr>
        <w:t>SECTOR SOCIAL</w:t>
      </w:r>
      <w:r w:rsidRPr="00BA1003">
        <w:rPr>
          <w:rFonts w:ascii="Verdana" w:eastAsia="Calibri" w:hAnsi="Verdana" w:cs="Times New Roman"/>
          <w:lang w:val="es-ES"/>
        </w:rPr>
        <w:t xml:space="preserve"> </w:t>
      </w:r>
      <w:r w:rsidRPr="00BA1003">
        <w:rPr>
          <w:rFonts w:ascii="Verdana" w:eastAsia="Calibri" w:hAnsi="Verdana" w:cs="Times New Roman"/>
          <w:b/>
          <w:bCs/>
          <w:lang w:val="es-ES"/>
        </w:rPr>
        <w:t>– Documentos tipo – Vigentes</w:t>
      </w:r>
    </w:p>
    <w:p w14:paraId="1A805D6E" w14:textId="77777777" w:rsidR="00BA1003" w:rsidRPr="00BA1003" w:rsidRDefault="00BA1003" w:rsidP="00BA1003">
      <w:pPr>
        <w:widowControl w:val="0"/>
        <w:autoSpaceDE w:val="0"/>
        <w:autoSpaceDN w:val="0"/>
        <w:spacing w:after="0" w:line="276" w:lineRule="auto"/>
        <w:jc w:val="both"/>
        <w:rPr>
          <w:rFonts w:ascii="Verdana" w:eastAsia="Calibri" w:hAnsi="Verdana" w:cs="Times New Roman"/>
          <w:b/>
          <w:bCs/>
          <w:lang w:val="es-ES"/>
        </w:rPr>
      </w:pPr>
    </w:p>
    <w:p w14:paraId="498D064C" w14:textId="77777777" w:rsidR="00BA1003" w:rsidRPr="00BA1003" w:rsidRDefault="00BA1003" w:rsidP="00BA1003">
      <w:pPr>
        <w:widowControl w:val="0"/>
        <w:autoSpaceDE w:val="0"/>
        <w:autoSpaceDN w:val="0"/>
        <w:spacing w:after="0" w:line="240" w:lineRule="auto"/>
        <w:jc w:val="both"/>
        <w:rPr>
          <w:rFonts w:ascii="Verdana" w:eastAsia="Calibri" w:hAnsi="Verdana" w:cs="Times New Roman"/>
          <w:b/>
          <w:bCs/>
          <w:sz w:val="20"/>
          <w:szCs w:val="20"/>
          <w:lang w:val="es-ES"/>
        </w:rPr>
      </w:pPr>
      <w:r w:rsidRPr="00BA1003">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42377A6F" w14:textId="77777777" w:rsidR="00BA1003" w:rsidRPr="00BA1003" w:rsidRDefault="00BA1003" w:rsidP="00BA1003">
      <w:pPr>
        <w:widowControl w:val="0"/>
        <w:autoSpaceDE w:val="0"/>
        <w:autoSpaceDN w:val="0"/>
        <w:spacing w:after="0" w:line="276" w:lineRule="auto"/>
        <w:jc w:val="both"/>
        <w:rPr>
          <w:rFonts w:ascii="Verdana" w:eastAsia="Calibri" w:hAnsi="Verdana" w:cs="Times New Roman"/>
          <w:lang w:val="es-ES"/>
        </w:rPr>
      </w:pPr>
    </w:p>
    <w:p w14:paraId="6560D295" w14:textId="77777777" w:rsidR="00BA1003" w:rsidRPr="00BA1003" w:rsidRDefault="00BA1003" w:rsidP="00BA1003">
      <w:pPr>
        <w:spacing w:after="0" w:line="276" w:lineRule="auto"/>
        <w:jc w:val="both"/>
        <w:rPr>
          <w:rFonts w:ascii="Verdana" w:eastAsia="Calibri" w:hAnsi="Verdana" w:cs="Times New Roman"/>
          <w:sz w:val="20"/>
          <w:szCs w:val="20"/>
          <w:lang w:val="es-ES"/>
        </w:rPr>
      </w:pPr>
      <w:r w:rsidRPr="00BA1003">
        <w:rPr>
          <w:rFonts w:ascii="Verdana" w:eastAsia="Calibri" w:hAnsi="Verdana" w:cs="Times New Roman"/>
          <w:b/>
          <w:bCs/>
          <w:lang w:val="es-ES"/>
        </w:rPr>
        <w:t xml:space="preserve">DOCUMENTOS TIPO – Aplicación – Matriz de Experiencia </w:t>
      </w:r>
    </w:p>
    <w:p w14:paraId="4E7B8B4D" w14:textId="77777777" w:rsidR="00BA1003" w:rsidRPr="00BA1003" w:rsidRDefault="00BA1003" w:rsidP="00BA1003">
      <w:pPr>
        <w:spacing w:after="0" w:line="240" w:lineRule="auto"/>
        <w:rPr>
          <w:rFonts w:ascii="Verdana" w:eastAsia="Geomanist Light" w:hAnsi="Verdana" w:cs="Arial"/>
          <w:lang w:val="es-MX"/>
        </w:rPr>
      </w:pPr>
    </w:p>
    <w:p w14:paraId="749BD566" w14:textId="77777777" w:rsidR="00BA1003" w:rsidRPr="00BA1003" w:rsidRDefault="00BA1003" w:rsidP="00BA1003">
      <w:pPr>
        <w:widowControl w:val="0"/>
        <w:autoSpaceDE w:val="0"/>
        <w:autoSpaceDN w:val="0"/>
        <w:spacing w:after="0" w:line="240" w:lineRule="auto"/>
        <w:jc w:val="both"/>
        <w:rPr>
          <w:rFonts w:ascii="Verdana" w:eastAsia="Calibri" w:hAnsi="Verdana" w:cs="Times New Roman"/>
          <w:sz w:val="20"/>
          <w:szCs w:val="20"/>
          <w:lang w:val="es-ES"/>
        </w:rPr>
      </w:pPr>
      <w:r w:rsidRPr="00BA1003">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9568E63" w14:textId="77777777" w:rsidR="00BA1003" w:rsidRPr="00BA1003" w:rsidRDefault="00BA1003" w:rsidP="00BA1003">
      <w:pPr>
        <w:widowControl w:val="0"/>
        <w:autoSpaceDE w:val="0"/>
        <w:autoSpaceDN w:val="0"/>
        <w:spacing w:after="0" w:line="240" w:lineRule="auto"/>
        <w:jc w:val="both"/>
        <w:rPr>
          <w:rFonts w:ascii="Verdana" w:eastAsia="Calibri" w:hAnsi="Verdana" w:cs="Times New Roman"/>
          <w:sz w:val="20"/>
          <w:szCs w:val="20"/>
          <w:lang w:val="es-ES"/>
        </w:rPr>
      </w:pPr>
    </w:p>
    <w:p w14:paraId="28A127D6" w14:textId="77777777" w:rsidR="00BA1003" w:rsidRPr="00BA1003" w:rsidRDefault="00BA1003" w:rsidP="00BA1003">
      <w:pPr>
        <w:widowControl w:val="0"/>
        <w:autoSpaceDE w:val="0"/>
        <w:autoSpaceDN w:val="0"/>
        <w:spacing w:after="0" w:line="240" w:lineRule="auto"/>
        <w:jc w:val="both"/>
        <w:rPr>
          <w:rFonts w:ascii="Verdana" w:eastAsia="Calibri" w:hAnsi="Verdana" w:cs="Times New Roman"/>
          <w:sz w:val="20"/>
          <w:szCs w:val="20"/>
          <w:lang w:val="es-ES"/>
        </w:rPr>
      </w:pPr>
      <w:r w:rsidRPr="00BA1003">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981F53D" w14:textId="77777777" w:rsidR="00BA1003" w:rsidRPr="00BA1003" w:rsidRDefault="00BA1003" w:rsidP="00BA1003">
      <w:pPr>
        <w:widowControl w:val="0"/>
        <w:autoSpaceDE w:val="0"/>
        <w:autoSpaceDN w:val="0"/>
        <w:spacing w:after="0" w:line="240" w:lineRule="auto"/>
        <w:jc w:val="both"/>
        <w:rPr>
          <w:rFonts w:ascii="Verdana" w:eastAsia="Calibri" w:hAnsi="Verdana" w:cs="Times New Roman"/>
          <w:sz w:val="20"/>
          <w:szCs w:val="20"/>
          <w:lang w:val="es-ES"/>
        </w:rPr>
      </w:pPr>
    </w:p>
    <w:p w14:paraId="19A9FD5A" w14:textId="77777777" w:rsidR="00BA1003" w:rsidRPr="00BA1003" w:rsidRDefault="00BA1003" w:rsidP="00BA1003">
      <w:pPr>
        <w:widowControl w:val="0"/>
        <w:autoSpaceDE w:val="0"/>
        <w:autoSpaceDN w:val="0"/>
        <w:spacing w:after="0" w:line="240" w:lineRule="auto"/>
        <w:jc w:val="both"/>
        <w:rPr>
          <w:rFonts w:ascii="Verdana" w:eastAsia="Calibri" w:hAnsi="Verdana" w:cs="Times New Roman"/>
          <w:b/>
          <w:bCs/>
          <w:lang w:val="es-ES"/>
        </w:rPr>
      </w:pPr>
      <w:r w:rsidRPr="00BA1003">
        <w:rPr>
          <w:rFonts w:ascii="Verdana" w:eastAsia="Calibri" w:hAnsi="Verdana" w:cs="Times New Roman"/>
          <w:b/>
          <w:bCs/>
          <w:lang w:val="es-ES"/>
        </w:rPr>
        <w:t>DOCUMENTOS TIPO – Sector social – Obra pública</w:t>
      </w:r>
    </w:p>
    <w:p w14:paraId="29693785" w14:textId="77777777" w:rsidR="00BA1003" w:rsidRPr="00BA1003" w:rsidRDefault="00BA1003" w:rsidP="00BA1003">
      <w:pPr>
        <w:widowControl w:val="0"/>
        <w:autoSpaceDE w:val="0"/>
        <w:autoSpaceDN w:val="0"/>
        <w:spacing w:after="0" w:line="240" w:lineRule="auto"/>
        <w:jc w:val="both"/>
        <w:rPr>
          <w:rFonts w:ascii="Verdana" w:eastAsia="Calibri" w:hAnsi="Verdana" w:cs="Times New Roman"/>
          <w:sz w:val="20"/>
          <w:szCs w:val="20"/>
          <w:highlight w:val="yellow"/>
          <w:lang w:val="es-ES"/>
        </w:rPr>
      </w:pPr>
    </w:p>
    <w:p w14:paraId="4483AA47" w14:textId="77777777" w:rsidR="00BA1003" w:rsidRPr="00BA1003" w:rsidRDefault="00BA1003" w:rsidP="00BA1003">
      <w:pPr>
        <w:widowControl w:val="0"/>
        <w:autoSpaceDE w:val="0"/>
        <w:autoSpaceDN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BA1003">
        <w:rPr>
          <w:rFonts w:ascii="Verdana" w:eastAsia="Times New Roman" w:hAnsi="Verdana" w:cs="Arial"/>
          <w:kern w:val="2"/>
          <w:sz w:val="20"/>
          <w:szCs w:val="20"/>
          <w:shd w:val="clear" w:color="auto" w:fill="FFFFFF"/>
          <w:lang w:val="es-ES_tradnl" w:eastAsia="es-ES_tradnl"/>
          <w14:ligatures w14:val="standardContextual"/>
        </w:rPr>
        <w:t xml:space="preserve">Los documentos tipo adoptados por la Agencia Nacional de Contratación Pública </w:t>
      </w:r>
      <w:r w:rsidRPr="00BA1003">
        <w:rPr>
          <w:rFonts w:ascii="Verdana" w:eastAsia="Symbol" w:hAnsi="Verdana" w:cs="Symbol"/>
          <w:kern w:val="2"/>
          <w:sz w:val="20"/>
          <w:szCs w:val="20"/>
          <w:shd w:val="clear" w:color="auto" w:fill="FFFFFF"/>
          <w:lang w:val="es-ES_tradnl" w:eastAsia="es-ES_tradnl"/>
          <w14:ligatures w14:val="standardContextual"/>
        </w:rPr>
        <w:t>–</w:t>
      </w:r>
      <w:r w:rsidRPr="00BA1003">
        <w:rPr>
          <w:rFonts w:ascii="Verdana" w:eastAsia="Times New Roman" w:hAnsi="Verdana" w:cs="Arial"/>
          <w:kern w:val="2"/>
          <w:sz w:val="20"/>
          <w:szCs w:val="20"/>
          <w:shd w:val="clear" w:color="auto" w:fill="FFFFFF"/>
          <w:lang w:val="es-ES_tradnl" w:eastAsia="es-ES_tradnl"/>
          <w14:ligatures w14:val="standardContextual"/>
        </w:rPr>
        <w:t xml:space="preserve"> Colombia Compra eficiente</w:t>
      </w:r>
      <w:r w:rsidRPr="00BA1003">
        <w:rPr>
          <w:rFonts w:ascii="Verdana" w:eastAsia="Aptos" w:hAnsi="Verdana" w:cs="Times New Roman"/>
          <w:kern w:val="2"/>
          <w:sz w:val="20"/>
          <w:szCs w:val="20"/>
          <w:lang w:val="es-ES_tradnl"/>
          <w14:ligatures w14:val="standardContextual"/>
        </w:rPr>
        <w:t xml:space="preserve"> en el sector de infraestructura social</w:t>
      </w:r>
      <w:r w:rsidRPr="00BA1003">
        <w:rPr>
          <w:rFonts w:ascii="Verdana" w:eastAsia="Times New Roman" w:hAnsi="Verdana" w:cs="Arial"/>
          <w:kern w:val="2"/>
          <w:sz w:val="20"/>
          <w:szCs w:val="20"/>
          <w:shd w:val="clear" w:color="auto" w:fill="FFFFFF"/>
          <w:lang w:val="es-ES_tradnl" w:eastAsia="es-ES_tradnl"/>
          <w14:ligatures w14:val="standardContextual"/>
        </w:rPr>
        <w:t>, aplican para los procesos de “</w:t>
      </w:r>
      <w:r w:rsidRPr="00BA1003">
        <w:rPr>
          <w:rFonts w:ascii="Verdana" w:eastAsia="Times New Roman" w:hAnsi="Verdana" w:cs="Arial"/>
          <w:i/>
          <w:iCs/>
          <w:kern w:val="2"/>
          <w:sz w:val="20"/>
          <w:szCs w:val="20"/>
          <w:shd w:val="clear" w:color="auto" w:fill="FFFFFF"/>
          <w:lang w:val="es-ES_tradnl" w:eastAsia="es-ES_tradnl"/>
          <w14:ligatures w14:val="standardContextual"/>
        </w:rPr>
        <w:t>obra pública”</w:t>
      </w:r>
      <w:r w:rsidRPr="00BA1003">
        <w:rPr>
          <w:rFonts w:ascii="Verdana" w:eastAsia="Times New Roman" w:hAnsi="Verdana" w:cs="Arial"/>
          <w:kern w:val="2"/>
          <w:sz w:val="20"/>
          <w:szCs w:val="20"/>
          <w:shd w:val="clear" w:color="auto" w:fill="FFFFFF"/>
          <w:lang w:val="es-ES_tradnl" w:eastAsia="es-ES_tradnl"/>
          <w14:ligatures w14:val="standardContextual"/>
        </w:rPr>
        <w:t xml:space="preserve"> en las modalidades de selección acogidas: licitación pública, selección abreviada de menor cuantía y mínima cuantía.</w:t>
      </w:r>
    </w:p>
    <w:p w14:paraId="0A285225" w14:textId="77777777" w:rsidR="00BA1003" w:rsidRPr="00BA1003" w:rsidRDefault="00BA1003" w:rsidP="00BA1003">
      <w:pPr>
        <w:widowControl w:val="0"/>
        <w:autoSpaceDE w:val="0"/>
        <w:autoSpaceDN w:val="0"/>
        <w:spacing w:after="0" w:line="240" w:lineRule="auto"/>
        <w:jc w:val="both"/>
        <w:rPr>
          <w:rFonts w:ascii="Verdana" w:eastAsia="Calibri" w:hAnsi="Verdana" w:cs="Times New Roman"/>
          <w:sz w:val="20"/>
          <w:szCs w:val="20"/>
          <w:highlight w:val="yellow"/>
          <w:lang w:val="es-ES"/>
        </w:rPr>
      </w:pPr>
    </w:p>
    <w:p w14:paraId="47E3FB94" w14:textId="77777777" w:rsidR="00BA1003" w:rsidRPr="00BA1003" w:rsidRDefault="00BA1003" w:rsidP="00BA1003">
      <w:pPr>
        <w:spacing w:after="0" w:line="278" w:lineRule="auto"/>
        <w:jc w:val="both"/>
        <w:rPr>
          <w:rFonts w:ascii="Verdana" w:eastAsia="Calibri" w:hAnsi="Verdana" w:cs="Arial"/>
          <w:b/>
          <w:bCs/>
          <w:color w:val="000000"/>
          <w:kern w:val="2"/>
          <w:lang w:val="es-ES_tradnl"/>
          <w14:ligatures w14:val="standardContextual"/>
        </w:rPr>
      </w:pPr>
      <w:bookmarkStart w:id="1" w:name="_Hlk81428782"/>
      <w:r w:rsidRPr="00BA1003">
        <w:rPr>
          <w:rFonts w:ascii="Verdana" w:eastAsia="Calibri" w:hAnsi="Verdana" w:cs="Arial"/>
          <w:b/>
          <w:bCs/>
          <w:color w:val="000000"/>
          <w:kern w:val="2"/>
          <w:lang w:val="es-ES_tradnl"/>
          <w14:ligatures w14:val="standardContextual"/>
        </w:rPr>
        <w:t xml:space="preserve">CONTRATO DE OBRA PÚBLICA </w:t>
      </w:r>
      <w:bookmarkEnd w:id="1"/>
      <w:r w:rsidRPr="00BA1003">
        <w:rPr>
          <w:rFonts w:ascii="Verdana" w:eastAsia="Calibri" w:hAnsi="Verdana" w:cs="Arial"/>
          <w:b/>
          <w:bCs/>
          <w:color w:val="000000"/>
          <w:kern w:val="2"/>
          <w:lang w:val="es-ES_tradnl"/>
          <w14:ligatures w14:val="standardContextual"/>
        </w:rPr>
        <w:t xml:space="preserve">– Definición – Bienes inmuebles </w:t>
      </w:r>
    </w:p>
    <w:p w14:paraId="10374811" w14:textId="77777777" w:rsidR="00BA1003" w:rsidRPr="00BA1003" w:rsidRDefault="00BA1003" w:rsidP="00BA1003">
      <w:pPr>
        <w:spacing w:after="0" w:line="278" w:lineRule="auto"/>
        <w:jc w:val="both"/>
        <w:rPr>
          <w:rFonts w:ascii="Verdana" w:eastAsia="Calibri" w:hAnsi="Verdana" w:cs="Arial"/>
          <w:color w:val="000000"/>
          <w:kern w:val="2"/>
          <w:sz w:val="20"/>
          <w:szCs w:val="20"/>
          <w:lang w:val="es-ES_tradnl"/>
          <w14:ligatures w14:val="standardContextual"/>
        </w:rPr>
      </w:pPr>
    </w:p>
    <w:p w14:paraId="33D46BD9" w14:textId="77777777" w:rsidR="00BA1003" w:rsidRPr="00BA1003" w:rsidRDefault="00BA1003" w:rsidP="00BA1003">
      <w:pPr>
        <w:spacing w:after="0" w:line="240" w:lineRule="auto"/>
        <w:jc w:val="both"/>
        <w:rPr>
          <w:rFonts w:ascii="Verdana" w:eastAsia="Calibri" w:hAnsi="Verdana" w:cs="Arial"/>
          <w:color w:val="000000"/>
          <w:kern w:val="2"/>
          <w:sz w:val="20"/>
          <w:szCs w:val="20"/>
          <w:lang w:val="es-ES_tradnl"/>
          <w14:ligatures w14:val="standardContextual"/>
        </w:rPr>
      </w:pPr>
      <w:r w:rsidRPr="00BA1003">
        <w:rPr>
          <w:rFonts w:ascii="Verdana" w:eastAsia="Calibri" w:hAnsi="Verdana" w:cs="Arial"/>
          <w:color w:val="000000"/>
          <w:kern w:val="2"/>
          <w:sz w:val="20"/>
          <w:szCs w:val="20"/>
          <w:lang w:val="es-ES_tradnl"/>
          <w14:ligatures w14:val="standardContextual"/>
        </w:rPr>
        <w:t xml:space="preserve">El numeral 1 del artículo 32 de la Ley 80 de 1993 opta por un </w:t>
      </w:r>
      <w:r w:rsidRPr="00BA1003">
        <w:rPr>
          <w:rFonts w:ascii="Verdana" w:eastAsia="Calibri" w:hAnsi="Verdana" w:cs="Arial"/>
          <w:i/>
          <w:iCs/>
          <w:color w:val="000000"/>
          <w:kern w:val="2"/>
          <w:sz w:val="20"/>
          <w:szCs w:val="20"/>
          <w:lang w:val="es-ES_tradnl"/>
          <w14:ligatures w14:val="standardContextual"/>
        </w:rPr>
        <w:t>sentido restringido</w:t>
      </w:r>
      <w:r w:rsidRPr="00BA1003">
        <w:rPr>
          <w:rFonts w:ascii="Verdana" w:eastAsia="Calibri" w:hAnsi="Verdana" w:cs="Arial"/>
          <w:color w:val="000000"/>
          <w:kern w:val="2"/>
          <w:sz w:val="20"/>
          <w:szCs w:val="20"/>
          <w:lang w:val="es-ES_tradnl"/>
          <w14:ligatures w14:val="standardContextual"/>
        </w:rPr>
        <w:t>,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p>
    <w:p w14:paraId="773A3C18" w14:textId="77777777" w:rsidR="00BA1003" w:rsidRPr="00BA1003" w:rsidRDefault="00BA1003" w:rsidP="00BA1003">
      <w:pPr>
        <w:spacing w:after="0" w:line="278" w:lineRule="auto"/>
        <w:jc w:val="both"/>
        <w:rPr>
          <w:rFonts w:ascii="Verdana" w:eastAsia="Calibri" w:hAnsi="Verdana" w:cs="Arial"/>
          <w:color w:val="000000"/>
          <w:kern w:val="2"/>
          <w:sz w:val="20"/>
          <w:szCs w:val="20"/>
          <w:lang w:val="es-ES_tradnl"/>
          <w14:ligatures w14:val="standardContextual"/>
        </w:rPr>
      </w:pPr>
    </w:p>
    <w:p w14:paraId="102063E0" w14:textId="77777777" w:rsidR="00BA1003" w:rsidRPr="00BA1003" w:rsidRDefault="00BA1003" w:rsidP="00BA1003">
      <w:pPr>
        <w:spacing w:after="0" w:line="278" w:lineRule="auto"/>
        <w:jc w:val="both"/>
        <w:rPr>
          <w:rFonts w:ascii="Verdana" w:eastAsia="Calibri" w:hAnsi="Verdana" w:cs="Arial"/>
          <w:b/>
          <w:bCs/>
          <w:color w:val="000000"/>
          <w:kern w:val="2"/>
          <w:lang w:val="es-ES_tradnl"/>
          <w14:ligatures w14:val="standardContextual"/>
        </w:rPr>
      </w:pPr>
      <w:r w:rsidRPr="00BA1003">
        <w:rPr>
          <w:rFonts w:ascii="Verdana" w:eastAsia="Calibri" w:hAnsi="Verdana" w:cs="Arial"/>
          <w:b/>
          <w:bCs/>
          <w:color w:val="000000"/>
          <w:kern w:val="2"/>
          <w:lang w:val="es-ES_tradnl"/>
          <w14:ligatures w14:val="standardContextual"/>
        </w:rPr>
        <w:t>CONTRATO DE OBRA PÚBLICA – Bienes muebles – Excluidos</w:t>
      </w:r>
    </w:p>
    <w:p w14:paraId="45A4454B" w14:textId="77777777" w:rsidR="00BA1003" w:rsidRPr="00BA1003" w:rsidRDefault="00BA1003" w:rsidP="00BA1003">
      <w:pPr>
        <w:snapToGrid w:val="0"/>
        <w:spacing w:after="0" w:line="240" w:lineRule="auto"/>
        <w:jc w:val="both"/>
        <w:textAlignment w:val="baseline"/>
        <w:rPr>
          <w:rFonts w:ascii="Verdana" w:eastAsia="Times New Roman" w:hAnsi="Verdana" w:cs="Arial"/>
          <w:color w:val="000000"/>
          <w:sz w:val="20"/>
          <w:szCs w:val="20"/>
          <w:lang w:val="es-ES" w:eastAsia="es-MX"/>
        </w:rPr>
      </w:pPr>
    </w:p>
    <w:p w14:paraId="4A031B92" w14:textId="77777777" w:rsidR="00BA1003" w:rsidRPr="00BA1003" w:rsidRDefault="00BA1003" w:rsidP="00BA1003">
      <w:pPr>
        <w:snapToGrid w:val="0"/>
        <w:spacing w:after="0" w:line="240" w:lineRule="auto"/>
        <w:jc w:val="both"/>
        <w:textAlignment w:val="baseline"/>
        <w:rPr>
          <w:rFonts w:ascii="Verdana" w:eastAsia="Times New Roman" w:hAnsi="Verdana" w:cs="Arial"/>
          <w:color w:val="000000"/>
          <w:sz w:val="20"/>
          <w:szCs w:val="20"/>
          <w:lang w:eastAsia="es-MX"/>
        </w:rPr>
      </w:pPr>
      <w:r w:rsidRPr="00BA1003">
        <w:rPr>
          <w:rFonts w:ascii="Verdana" w:eastAsia="Times New Roman" w:hAnsi="Verdana" w:cs="Arial"/>
          <w:color w:val="000000"/>
          <w:sz w:val="20"/>
          <w:szCs w:val="20"/>
          <w:lang w:val="es-ES" w:eastAsia="es-MX"/>
        </w:rPr>
        <w:t>En ese sentido, la naturaleza inmueble del bien sobre el que se realizan las actividades es determinante para saber si está ante un contrato de obra pública, ya que de este tipo contractual se encuentran excluidos trabajos materiales realizados sobre bienes muebles, por lo que estos corresponderían a un tipo contractual diferente. Esto supone que, en caso de que las prestaciones a 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contratista, en los términos de la autonomía de la voluntad de las partes, de acuerdo con lo previsto en los artículos 32 y 40 de la Ley 80 de 1993. </w:t>
      </w:r>
      <w:r w:rsidRPr="00BA1003">
        <w:rPr>
          <w:rFonts w:ascii="Verdana" w:eastAsia="Times New Roman" w:hAnsi="Verdana" w:cs="Arial"/>
          <w:color w:val="000000"/>
          <w:sz w:val="20"/>
          <w:szCs w:val="20"/>
          <w:lang w:eastAsia="es-MX"/>
        </w:rPr>
        <w:t> </w:t>
      </w:r>
    </w:p>
    <w:p w14:paraId="74459B42" w14:textId="77777777" w:rsidR="00BA1003" w:rsidRPr="00BA1003" w:rsidRDefault="00BA1003" w:rsidP="00BA1003">
      <w:pPr>
        <w:spacing w:after="0" w:line="278" w:lineRule="auto"/>
        <w:jc w:val="both"/>
        <w:rPr>
          <w:rFonts w:ascii="Verdana" w:eastAsia="Calibri" w:hAnsi="Verdana" w:cs="Arial"/>
          <w:color w:val="000000"/>
          <w:kern w:val="2"/>
          <w:sz w:val="20"/>
          <w:szCs w:val="20"/>
          <w14:ligatures w14:val="standardContextual"/>
        </w:rPr>
      </w:pPr>
    </w:p>
    <w:p w14:paraId="2D623068" w14:textId="77777777" w:rsidR="00BA1003" w:rsidRPr="00BA1003" w:rsidRDefault="00BA1003" w:rsidP="00BA1003">
      <w:pPr>
        <w:tabs>
          <w:tab w:val="left" w:pos="0"/>
        </w:tabs>
        <w:spacing w:after="0" w:line="240" w:lineRule="auto"/>
        <w:ind w:left="11"/>
        <w:jc w:val="both"/>
        <w:rPr>
          <w:rFonts w:ascii="Verdana" w:eastAsia="Arial" w:hAnsi="Verdana" w:cs="Arial"/>
          <w:b/>
          <w:kern w:val="2"/>
          <w:sz w:val="24"/>
          <w:szCs w:val="24"/>
          <w:lang w:val="es-ES"/>
          <w14:ligatures w14:val="standardContextual"/>
        </w:rPr>
      </w:pPr>
      <w:r w:rsidRPr="00BA1003">
        <w:rPr>
          <w:rFonts w:ascii="Verdana" w:eastAsia="Arial" w:hAnsi="Verdana" w:cs="Arial"/>
          <w:b/>
          <w:kern w:val="2"/>
          <w:sz w:val="24"/>
          <w:szCs w:val="24"/>
          <w:lang w:val="es-ES"/>
          <w14:ligatures w14:val="standardContextual"/>
        </w:rPr>
        <w:t>EXPERIENCIA ADICIONAL – Bienes, obras o servicios adicionales a la obra pública – Infraestructura de social</w:t>
      </w:r>
    </w:p>
    <w:p w14:paraId="2AE7E22B" w14:textId="77777777" w:rsidR="00BA1003" w:rsidRPr="00BA1003" w:rsidRDefault="00BA1003" w:rsidP="00BA1003">
      <w:pPr>
        <w:spacing w:after="0" w:line="276" w:lineRule="auto"/>
        <w:jc w:val="both"/>
        <w:rPr>
          <w:rFonts w:ascii="Verdana" w:eastAsia="Aptos" w:hAnsi="Verdana" w:cs="Times New Roman"/>
          <w:kern w:val="2"/>
          <w:sz w:val="24"/>
          <w:szCs w:val="24"/>
          <w14:ligatures w14:val="standardContextual"/>
        </w:rPr>
      </w:pPr>
    </w:p>
    <w:p w14:paraId="1CDC640A" w14:textId="77777777" w:rsidR="00BA1003" w:rsidRPr="00BA1003" w:rsidRDefault="00BA1003" w:rsidP="00BA1003">
      <w:pPr>
        <w:spacing w:after="0" w:line="240" w:lineRule="auto"/>
        <w:jc w:val="both"/>
        <w:rPr>
          <w:rFonts w:ascii="Verdana" w:eastAsia="Aptos" w:hAnsi="Verdana" w:cs="Times New Roman"/>
          <w:kern w:val="2"/>
          <w:sz w:val="20"/>
          <w:szCs w:val="20"/>
          <w14:ligatures w14:val="standardContextual"/>
        </w:rPr>
      </w:pPr>
      <w:r w:rsidRPr="00BA1003">
        <w:rPr>
          <w:rFonts w:ascii="Verdana" w:eastAsia="Aptos" w:hAnsi="Verdana" w:cs="Times New Roman"/>
          <w:kern w:val="2"/>
          <w:sz w:val="20"/>
          <w:szCs w:val="20"/>
          <w14:ligatures w14:val="standardContextual"/>
        </w:rPr>
        <w:t>(C)</w:t>
      </w:r>
      <w:proofErr w:type="spellStart"/>
      <w:r w:rsidRPr="00BA1003">
        <w:rPr>
          <w:rFonts w:ascii="Verdana" w:eastAsia="Aptos" w:hAnsi="Verdana" w:cs="Times New Roman"/>
          <w:kern w:val="2"/>
          <w:sz w:val="20"/>
          <w:szCs w:val="20"/>
          <w14:ligatures w14:val="standardContextual"/>
        </w:rPr>
        <w:t>uando</w:t>
      </w:r>
      <w:proofErr w:type="spellEnd"/>
      <w:r w:rsidRPr="00BA1003">
        <w:rPr>
          <w:rFonts w:ascii="Verdana" w:eastAsia="Aptos" w:hAnsi="Verdana" w:cs="Times New Roman"/>
          <w:kern w:val="2"/>
          <w:sz w:val="20"/>
          <w:szCs w:val="20"/>
          <w14:ligatures w14:val="standardContextual"/>
        </w:rPr>
        <w:t xml:space="preserve"> la entidad requiere bienes y servicios que no se encuentran incluidos como obra de infraestructura social en la “Matriz – Experiencia” y considera necesario exigir experiencia adicional, se debe aplicar el artículo 4 de la Resolución No. 539 de 2025. Esta norma dispone los eventos en los que el objeto contractual incluye bienes o servicios adicionales a la obra pública de infraestructura social. En este caso, la entidad puede incluir experiencia adicional para evaluar la idoneidad respecto de los bienes o servicios ajenos a la obra pública de infraestructura social.</w:t>
      </w:r>
    </w:p>
    <w:p w14:paraId="4DF693FF" w14:textId="77777777" w:rsidR="00BA1003" w:rsidRPr="00BA1003" w:rsidRDefault="00BA1003" w:rsidP="00BA1003">
      <w:pPr>
        <w:spacing w:after="0" w:line="240" w:lineRule="auto"/>
        <w:jc w:val="both"/>
        <w:rPr>
          <w:rFonts w:ascii="Verdana" w:eastAsia="Aptos" w:hAnsi="Verdana" w:cs="Times New Roman"/>
          <w:kern w:val="2"/>
          <w:sz w:val="20"/>
          <w:szCs w:val="20"/>
          <w14:ligatures w14:val="standardContextual"/>
        </w:rPr>
      </w:pPr>
    </w:p>
    <w:p w14:paraId="0798789A" w14:textId="77777777" w:rsidR="00BA1003" w:rsidRPr="00BA1003" w:rsidRDefault="00BA1003" w:rsidP="00BA1003">
      <w:pPr>
        <w:spacing w:after="0" w:line="240" w:lineRule="auto"/>
        <w:jc w:val="both"/>
        <w:rPr>
          <w:rFonts w:ascii="Verdana" w:eastAsia="Aptos" w:hAnsi="Verdana" w:cs="Times New Roman"/>
          <w:kern w:val="2"/>
          <w:sz w:val="20"/>
          <w:szCs w:val="20"/>
          <w14:ligatures w14:val="standardContextual"/>
        </w:rPr>
      </w:pPr>
      <w:r w:rsidRPr="00BA1003">
        <w:rPr>
          <w:rFonts w:ascii="Verdana" w:eastAsia="Aptos" w:hAnsi="Verdana" w:cs="Times New Roman"/>
          <w:kern w:val="2"/>
          <w:sz w:val="20"/>
          <w:szCs w:val="20"/>
          <w14:ligatures w14:val="standardContextual"/>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w:t>
      </w:r>
      <w:r w:rsidRPr="00BA1003">
        <w:rPr>
          <w:rFonts w:ascii="Verdana" w:eastAsia="Aptos" w:hAnsi="Verdana" w:cs="Times New Roman"/>
          <w:kern w:val="2"/>
          <w:sz w:val="20"/>
          <w:szCs w:val="20"/>
          <w14:ligatures w14:val="standardContextual"/>
        </w:rPr>
        <w:lastRenderedPageBreak/>
        <w:t xml:space="preserve">adicional garantiza la pluralidad de oferentes, </w:t>
      </w:r>
      <w:proofErr w:type="spellStart"/>
      <w:r w:rsidRPr="00BA1003">
        <w:rPr>
          <w:rFonts w:ascii="Verdana" w:eastAsia="Aptos" w:hAnsi="Verdana" w:cs="Times New Roman"/>
          <w:kern w:val="2"/>
          <w:sz w:val="20"/>
          <w:szCs w:val="20"/>
          <w14:ligatures w14:val="standardContextual"/>
        </w:rPr>
        <w:t>ii</w:t>
      </w:r>
      <w:proofErr w:type="spellEnd"/>
      <w:r w:rsidRPr="00BA1003">
        <w:rPr>
          <w:rFonts w:ascii="Verdana" w:eastAsia="Aptos" w:hAnsi="Verdana" w:cs="Times New Roman"/>
          <w:kern w:val="2"/>
          <w:sz w:val="20"/>
          <w:szCs w:val="20"/>
          <w14:ligatures w14:val="standardContextual"/>
        </w:rPr>
        <w:t xml:space="preserve">) conservar los requisitos exigidos en los documentos tipo, </w:t>
      </w:r>
      <w:proofErr w:type="spellStart"/>
      <w:r w:rsidRPr="00BA1003">
        <w:rPr>
          <w:rFonts w:ascii="Verdana" w:eastAsia="Aptos" w:hAnsi="Verdana" w:cs="Times New Roman"/>
          <w:kern w:val="2"/>
          <w:sz w:val="20"/>
          <w:szCs w:val="20"/>
          <w14:ligatures w14:val="standardContextual"/>
        </w:rPr>
        <w:t>iii</w:t>
      </w:r>
      <w:proofErr w:type="spellEnd"/>
      <w:r w:rsidRPr="00BA1003">
        <w:rPr>
          <w:rFonts w:ascii="Verdana" w:eastAsia="Aptos" w:hAnsi="Verdana" w:cs="Times New Roman"/>
          <w:kern w:val="2"/>
          <w:sz w:val="20"/>
          <w:szCs w:val="20"/>
          <w14:ligatures w14:val="standardContextual"/>
        </w:rPr>
        <w:t xml:space="preserve">) abstenerse de pedir experiencia exclusiva con entidades de cualquier naturaleza, experiencia previa en un territorio específico, limitada en el tiempo o que incluya volúmenes o cantidades de obra específica, </w:t>
      </w:r>
      <w:proofErr w:type="spellStart"/>
      <w:r w:rsidRPr="00BA1003">
        <w:rPr>
          <w:rFonts w:ascii="Verdana" w:eastAsia="Aptos" w:hAnsi="Verdana" w:cs="Times New Roman"/>
          <w:kern w:val="2"/>
          <w:sz w:val="20"/>
          <w:szCs w:val="20"/>
          <w14:ligatures w14:val="standardContextual"/>
        </w:rPr>
        <w:t>iv</w:t>
      </w:r>
      <w:proofErr w:type="spellEnd"/>
      <w:r w:rsidRPr="00BA1003">
        <w:rPr>
          <w:rFonts w:ascii="Verdana" w:eastAsia="Aptos" w:hAnsi="Verdana" w:cs="Times New Roman"/>
          <w:kern w:val="2"/>
          <w:sz w:val="20"/>
          <w:szCs w:val="20"/>
          <w14:ligatures w14:val="standardContextual"/>
        </w:rPr>
        <w:t>) clasificar la experiencia requerida solo hasta el tercer nivel del clasificador de bienes y servicios e incluir exclusivamente los códigos que estén relacionados directamente con el objeto a contratar.</w:t>
      </w:r>
    </w:p>
    <w:p w14:paraId="7F57730C" w14:textId="77777777" w:rsidR="00BA1003" w:rsidRPr="00BA1003" w:rsidRDefault="00BA1003" w:rsidP="00BA1003">
      <w:pPr>
        <w:spacing w:after="0" w:line="278" w:lineRule="auto"/>
        <w:jc w:val="both"/>
        <w:rPr>
          <w:rFonts w:ascii="Arial" w:eastAsia="Calibri" w:hAnsi="Arial" w:cs="Arial"/>
          <w:b/>
          <w:bCs/>
          <w:color w:val="000000"/>
          <w:kern w:val="2"/>
          <w:sz w:val="24"/>
          <w:szCs w:val="24"/>
          <w14:ligatures w14:val="standardContextual"/>
        </w:rPr>
      </w:pPr>
    </w:p>
    <w:p w14:paraId="58E5A206" w14:textId="77777777" w:rsidR="00BA1003" w:rsidRPr="00BA1003" w:rsidRDefault="00BA1003" w:rsidP="00BA1003">
      <w:pPr>
        <w:spacing w:after="0" w:line="278" w:lineRule="auto"/>
        <w:jc w:val="both"/>
        <w:rPr>
          <w:rFonts w:ascii="Verdana" w:eastAsia="Calibri" w:hAnsi="Verdana" w:cs="Arial"/>
          <w:b/>
          <w:bCs/>
          <w:kern w:val="2"/>
          <w:szCs w:val="24"/>
          <w14:ligatures w14:val="standardContextual"/>
        </w:rPr>
      </w:pPr>
      <w:r w:rsidRPr="00BA1003">
        <w:rPr>
          <w:rFonts w:ascii="Verdana" w:eastAsia="Calibri" w:hAnsi="Verdana" w:cs="Arial"/>
          <w:b/>
          <w:bCs/>
          <w:kern w:val="2"/>
          <w:szCs w:val="24"/>
          <w14:ligatures w14:val="standardContextual"/>
        </w:rPr>
        <w:t>DOCUMENTOS TIPO – Sector social – Anexo 1 – Anexo Técnico – Condiciones particulares del proyecto</w:t>
      </w:r>
    </w:p>
    <w:p w14:paraId="7C859405" w14:textId="77777777" w:rsidR="00BA1003" w:rsidRPr="00BA1003" w:rsidRDefault="00BA1003" w:rsidP="00BA1003">
      <w:pPr>
        <w:spacing w:after="0" w:line="278" w:lineRule="auto"/>
        <w:jc w:val="both"/>
        <w:rPr>
          <w:rFonts w:ascii="Arial" w:eastAsia="Calibri" w:hAnsi="Arial" w:cs="Arial"/>
          <w:b/>
          <w:bCs/>
          <w:color w:val="000000"/>
          <w:kern w:val="2"/>
          <w:sz w:val="24"/>
          <w:szCs w:val="24"/>
          <w14:ligatures w14:val="standardContextual"/>
        </w:rPr>
      </w:pPr>
    </w:p>
    <w:p w14:paraId="2B8C8DD6" w14:textId="77777777" w:rsidR="00BA1003" w:rsidRPr="00BA1003" w:rsidRDefault="00BA1003" w:rsidP="00BA1003">
      <w:pPr>
        <w:spacing w:after="0" w:line="240" w:lineRule="auto"/>
        <w:jc w:val="both"/>
        <w:rPr>
          <w:rFonts w:ascii="Verdana" w:eastAsia="Calibri" w:hAnsi="Verdana" w:cs="Arial"/>
          <w:kern w:val="2"/>
          <w:sz w:val="20"/>
          <w:szCs w:val="20"/>
          <w14:ligatures w14:val="standardContextual"/>
        </w:rPr>
      </w:pPr>
      <w:r w:rsidRPr="00BA1003">
        <w:rPr>
          <w:rFonts w:ascii="Verdana" w:eastAsia="Calibri" w:hAnsi="Verdana" w:cs="Arial"/>
          <w:kern w:val="2"/>
          <w:sz w:val="20"/>
          <w:szCs w:val="20"/>
          <w14:ligatures w14:val="standardContextual"/>
        </w:rPr>
        <w:t>De conformidad con lo dispuesto en el numeral 6, la entidad que adelanta el proceso podrá incluir condiciones adicionales relacionadas con las normas técnicas aplicables, la normativa y legislación vigente, así como con las obligaciones derivadas de autorizaciones, permisos, licencias, planes y demás instrumentos requeridos para el desarrollo de la obra. Lo anterior comprende también la posibilidad de incorporar lineamientos, cartillas de diseño y/o construcción u otros documentos técnicos que resulten pertinentes para la adecuada ejecución del proyecto, siempre que tales condiciones guarden relación directa con el objeto contractual y se encuentren debidamente justificadas.</w:t>
      </w:r>
    </w:p>
    <w:p w14:paraId="4A2A148C" w14:textId="77777777" w:rsidR="00BA1003" w:rsidRPr="00BA1003" w:rsidRDefault="00BA1003" w:rsidP="00BA1003">
      <w:pPr>
        <w:spacing w:after="0" w:line="240" w:lineRule="auto"/>
        <w:jc w:val="both"/>
        <w:rPr>
          <w:rFonts w:ascii="Verdana" w:eastAsia="Calibri" w:hAnsi="Verdana" w:cs="Arial"/>
          <w:kern w:val="2"/>
          <w:sz w:val="20"/>
          <w:szCs w:val="20"/>
          <w14:ligatures w14:val="standardContextual"/>
        </w:rPr>
      </w:pPr>
    </w:p>
    <w:p w14:paraId="4B63157A" w14:textId="77777777" w:rsidR="00BA1003" w:rsidRPr="00BA1003" w:rsidRDefault="00BA1003" w:rsidP="00BA1003">
      <w:pPr>
        <w:spacing w:after="0" w:line="278" w:lineRule="auto"/>
        <w:jc w:val="both"/>
        <w:rPr>
          <w:rFonts w:ascii="Verdana" w:eastAsia="Calibri" w:hAnsi="Verdana" w:cs="Arial"/>
          <w:b/>
          <w:bCs/>
          <w:kern w:val="2"/>
          <w:szCs w:val="24"/>
          <w14:ligatures w14:val="standardContextual"/>
        </w:rPr>
      </w:pPr>
      <w:r w:rsidRPr="00BA1003">
        <w:rPr>
          <w:rFonts w:ascii="Verdana" w:eastAsia="Calibri" w:hAnsi="Verdana" w:cs="Arial"/>
          <w:b/>
          <w:bCs/>
          <w:kern w:val="2"/>
          <w:szCs w:val="24"/>
          <w14:ligatures w14:val="standardContextual"/>
        </w:rPr>
        <w:t xml:space="preserve">ANEXO 1 – ANEXO TÉCNICO – Numeral 8 – Información sobre el personal profesional </w:t>
      </w:r>
    </w:p>
    <w:p w14:paraId="333BC243" w14:textId="77777777" w:rsidR="00BA1003" w:rsidRPr="00BA1003" w:rsidRDefault="00BA1003" w:rsidP="00BA1003">
      <w:pPr>
        <w:spacing w:after="0" w:line="240" w:lineRule="auto"/>
        <w:jc w:val="both"/>
        <w:rPr>
          <w:rFonts w:ascii="Verdana" w:eastAsia="Calibri" w:hAnsi="Verdana" w:cs="Arial"/>
          <w:kern w:val="2"/>
          <w:sz w:val="20"/>
          <w:szCs w:val="20"/>
          <w14:ligatures w14:val="standardContextual"/>
        </w:rPr>
      </w:pPr>
    </w:p>
    <w:p w14:paraId="16984F1F" w14:textId="77777777" w:rsidR="00BA1003" w:rsidRPr="00BA1003" w:rsidRDefault="00BA1003" w:rsidP="00BA1003">
      <w:pPr>
        <w:spacing w:after="0" w:line="240" w:lineRule="auto"/>
        <w:jc w:val="both"/>
        <w:rPr>
          <w:rFonts w:ascii="Verdana" w:eastAsia="Calibri" w:hAnsi="Verdana" w:cs="Arial"/>
          <w:color w:val="000000"/>
          <w:kern w:val="2"/>
          <w:sz w:val="20"/>
          <w:szCs w:val="20"/>
          <w:lang w:val="es-MX"/>
          <w14:ligatures w14:val="standardContextual"/>
        </w:rPr>
      </w:pPr>
      <w:r w:rsidRPr="00BA1003">
        <w:rPr>
          <w:rFonts w:ascii="Verdana" w:eastAsia="Calibri" w:hAnsi="Verdana" w:cs="Arial"/>
          <w:kern w:val="2"/>
          <w:sz w:val="20"/>
          <w:szCs w:val="20"/>
          <w14:ligatures w14:val="standardContextual"/>
        </w:rPr>
        <w:t>Por otra parte, teniendo en cuenta uno de los problemas jurídicos planteados en este concepto, sobre el personal vinculado al proyecto, debe indicarse que el numeral 8 del “Anexo 1 – Anexo Técnico” señala las condiciones bajo los cuales las entidades analizarán la información del personal profesional. Según lo establece dicho numeral, l</w:t>
      </w:r>
      <w:r w:rsidRPr="00BA1003">
        <w:rPr>
          <w:rFonts w:ascii="Verdana" w:eastAsia="Calibri" w:hAnsi="Verdana" w:cs="Arial"/>
          <w:kern w:val="2"/>
          <w:sz w:val="20"/>
          <w:szCs w:val="20"/>
          <w:lang w:val="es-ES"/>
          <w14:ligatures w14:val="standardContextual"/>
        </w:rPr>
        <w:t>a entidad deberá definir en este anexo el personal requerido para la ejecución de la obra de acuerdo con el objeto del proceso de contratación</w:t>
      </w:r>
      <w:r w:rsidRPr="00BA1003">
        <w:rPr>
          <w:rFonts w:ascii="Verdana" w:eastAsia="Calibri" w:hAnsi="Verdana" w:cs="Arial"/>
          <w:color w:val="000000"/>
          <w:kern w:val="2"/>
          <w:sz w:val="20"/>
          <w:szCs w:val="20"/>
          <w:lang w:val="es-MX"/>
          <w14:ligatures w14:val="standardContextual"/>
        </w:rPr>
        <w:t>. Por lo tanto, la entidad detallará, en los espacios en corchete y resaltado en gris, si se requiere algún título profesional, los años de experiencia general y específica o si se necesita algún título de posgrado y determinará el nombre del cargo del especialista o profesional requerido de acuerdo con la tabla del literal a. Estos requisitos deberán ser proporcionales y adecuados al tipo de obra conforme a lo establecido en los estudios y documentos previos.</w:t>
      </w:r>
    </w:p>
    <w:p w14:paraId="6C201660" w14:textId="77777777" w:rsidR="00BA1003" w:rsidRPr="00BA1003" w:rsidRDefault="00BA1003" w:rsidP="00BA1003">
      <w:pPr>
        <w:spacing w:before="120" w:after="120" w:line="240" w:lineRule="auto"/>
        <w:jc w:val="both"/>
        <w:rPr>
          <w:rFonts w:ascii="Verdana" w:eastAsia="Calibri" w:hAnsi="Verdana" w:cs="Arial"/>
          <w:kern w:val="2"/>
          <w:sz w:val="20"/>
          <w:szCs w:val="20"/>
          <w:lang w:val="es-ES"/>
          <w14:ligatures w14:val="standardContextual"/>
        </w:rPr>
      </w:pPr>
      <w:r w:rsidRPr="00BA1003">
        <w:rPr>
          <w:rFonts w:ascii="Verdana" w:eastAsia="Calibri" w:hAnsi="Verdana" w:cs="Arial"/>
          <w:color w:val="000000"/>
          <w:kern w:val="2"/>
          <w:sz w:val="20"/>
          <w:szCs w:val="20"/>
          <w:lang w:val="es-MX"/>
          <w14:ligatures w14:val="standardContextual"/>
        </w:rPr>
        <w:t xml:space="preserve">(…) </w:t>
      </w:r>
    </w:p>
    <w:p w14:paraId="260750F8" w14:textId="77777777" w:rsidR="00BA1003" w:rsidRPr="00BA1003" w:rsidRDefault="00BA1003" w:rsidP="00BA1003">
      <w:pPr>
        <w:spacing w:after="0" w:line="240" w:lineRule="auto"/>
        <w:jc w:val="both"/>
        <w:rPr>
          <w:rFonts w:ascii="Verdana" w:eastAsia="Calibri" w:hAnsi="Verdana" w:cs="Arial"/>
          <w:kern w:val="2"/>
          <w:sz w:val="20"/>
          <w:szCs w:val="20"/>
          <w14:ligatures w14:val="standardContextual"/>
        </w:rPr>
      </w:pPr>
      <w:r w:rsidRPr="00BA1003">
        <w:rPr>
          <w:rFonts w:ascii="Verdana" w:eastAsia="Calibri" w:hAnsi="Verdana" w:cs="Arial"/>
          <w:kern w:val="2"/>
          <w:sz w:val="20"/>
          <w:szCs w:val="20"/>
          <w14:ligatures w14:val="standardContextual"/>
        </w:rPr>
        <w:t xml:space="preserve">Así, de acuerdo con la información contenida en el numeral 8, “Información sobre el personal profesional”, del “Anexo 1 – Anexo Técnico”, para efectos de su solicitud debe indicarse que la entidad no podrá exigir que el contratista vincule a una persona en específico para la ejecución del contrato; menos aún podrá determinar que esa persona en particular sea objeto de evaluación dentro del proceso o constituya un requisito habilitante. Sin embargo, la entidad sí podrá definir el personal requerido para la ejecución de la obra, de acuerdo con el objeto del proceso de contratación, incluyendo </w:t>
      </w:r>
      <w:r w:rsidRPr="00BA1003">
        <w:rPr>
          <w:rFonts w:ascii="Verdana" w:eastAsia="Calibri" w:hAnsi="Verdana" w:cs="Arial"/>
          <w:kern w:val="2"/>
          <w:sz w:val="20"/>
          <w:szCs w:val="20"/>
          <w14:ligatures w14:val="standardContextual"/>
        </w:rPr>
        <w:lastRenderedPageBreak/>
        <w:t>los requisitos de experiencia general y específica, así como el título profesional. Se reitera que este margen con el que cuenta la entidad para definir el personal del proyecto no debe entenderse como la facultad de establecer una persona determinada.</w:t>
      </w:r>
    </w:p>
    <w:p w14:paraId="01BA09BF"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59149B15"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068E6567"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1FD4D2B2"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42A3CBEF"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20D35E6D"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67DA43D4"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3B68F9C0"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45421D81"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1472C724"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124E6B6D"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657BE2AD"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5CB3FBE2"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7FD302A9"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5D1A0D5F"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4B7FD8A4" w14:textId="77777777" w:rsidR="00BA1003" w:rsidRP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02A6F156" w14:textId="77777777" w:rsidR="00BA1003" w:rsidRDefault="00BA1003" w:rsidP="00BA1003">
      <w:pPr>
        <w:spacing w:line="278" w:lineRule="auto"/>
        <w:jc w:val="both"/>
        <w:rPr>
          <w:rFonts w:ascii="Arial" w:eastAsia="Calibri" w:hAnsi="Arial" w:cs="Arial"/>
          <w:b/>
          <w:bCs/>
          <w:color w:val="000000"/>
          <w:kern w:val="2"/>
          <w:sz w:val="24"/>
          <w:szCs w:val="24"/>
          <w14:ligatures w14:val="standardContextual"/>
        </w:rPr>
      </w:pPr>
    </w:p>
    <w:p w14:paraId="28A97020" w14:textId="77777777" w:rsidR="005918FC" w:rsidRDefault="005918FC" w:rsidP="00BA1003">
      <w:pPr>
        <w:spacing w:line="278" w:lineRule="auto"/>
        <w:jc w:val="both"/>
        <w:rPr>
          <w:rFonts w:ascii="Arial" w:eastAsia="Calibri" w:hAnsi="Arial" w:cs="Arial"/>
          <w:b/>
          <w:bCs/>
          <w:color w:val="000000"/>
          <w:kern w:val="2"/>
          <w:sz w:val="24"/>
          <w:szCs w:val="24"/>
          <w14:ligatures w14:val="standardContextual"/>
        </w:rPr>
      </w:pPr>
    </w:p>
    <w:p w14:paraId="2190E0FE" w14:textId="77777777" w:rsidR="005918FC" w:rsidRDefault="005918FC" w:rsidP="00BA1003">
      <w:pPr>
        <w:spacing w:line="278" w:lineRule="auto"/>
        <w:jc w:val="both"/>
        <w:rPr>
          <w:rFonts w:ascii="Arial" w:eastAsia="Calibri" w:hAnsi="Arial" w:cs="Arial"/>
          <w:b/>
          <w:bCs/>
          <w:color w:val="000000"/>
          <w:kern w:val="2"/>
          <w:sz w:val="24"/>
          <w:szCs w:val="24"/>
          <w14:ligatures w14:val="standardContextual"/>
        </w:rPr>
      </w:pPr>
    </w:p>
    <w:p w14:paraId="7A6F1796" w14:textId="77777777" w:rsidR="005918FC" w:rsidRDefault="005918FC" w:rsidP="00BA1003">
      <w:pPr>
        <w:spacing w:line="278" w:lineRule="auto"/>
        <w:jc w:val="both"/>
        <w:rPr>
          <w:rFonts w:ascii="Arial" w:eastAsia="Calibri" w:hAnsi="Arial" w:cs="Arial"/>
          <w:b/>
          <w:bCs/>
          <w:color w:val="000000"/>
          <w:kern w:val="2"/>
          <w:sz w:val="24"/>
          <w:szCs w:val="24"/>
          <w14:ligatures w14:val="standardContextual"/>
        </w:rPr>
      </w:pPr>
    </w:p>
    <w:p w14:paraId="679E3C56" w14:textId="77777777" w:rsidR="00956CC8" w:rsidRPr="00BA1003" w:rsidRDefault="00956CC8" w:rsidP="00BA1003">
      <w:pPr>
        <w:spacing w:line="278" w:lineRule="auto"/>
        <w:jc w:val="both"/>
        <w:rPr>
          <w:rFonts w:ascii="Arial" w:eastAsia="Calibri" w:hAnsi="Arial" w:cs="Arial"/>
          <w:b/>
          <w:bCs/>
          <w:color w:val="000000"/>
          <w:kern w:val="2"/>
          <w:sz w:val="24"/>
          <w:szCs w:val="24"/>
          <w14:ligatures w14:val="standardContextual"/>
        </w:rPr>
      </w:pPr>
    </w:p>
    <w:p w14:paraId="6E4235EE" w14:textId="77777777" w:rsidR="00BA1003" w:rsidRPr="00BA1003" w:rsidRDefault="00BA1003" w:rsidP="00BA1003">
      <w:pPr>
        <w:spacing w:after="0" w:line="240" w:lineRule="auto"/>
        <w:rPr>
          <w:rFonts w:ascii="Verdana" w:eastAsia="Geomanist Light" w:hAnsi="Verdana" w:cs="Arial"/>
          <w:lang w:val="es-ES_tradnl"/>
        </w:rPr>
      </w:pPr>
    </w:p>
    <w:p w14:paraId="7D1BE404" w14:textId="560D1E09" w:rsidR="00BA1003" w:rsidRDefault="00BA1003" w:rsidP="00BA1003">
      <w:pPr>
        <w:spacing w:after="0" w:line="240" w:lineRule="auto"/>
        <w:rPr>
          <w:rFonts w:ascii="Verdana" w:eastAsia="Aptos" w:hAnsi="Verdana" w:cs="Times New Roman"/>
          <w:kern w:val="2"/>
          <w:sz w:val="24"/>
          <w:szCs w:val="24"/>
          <w14:ligatures w14:val="standardContextual"/>
        </w:rPr>
      </w:pPr>
      <w:r w:rsidRPr="00BA1003">
        <w:rPr>
          <w:rFonts w:ascii="Verdana" w:eastAsia="Aptos" w:hAnsi="Verdana" w:cs="Times New Roman"/>
          <w:kern w:val="2"/>
          <w:sz w:val="24"/>
          <w:szCs w:val="24"/>
          <w14:ligatures w14:val="standardContextual"/>
        </w:rPr>
        <w:lastRenderedPageBreak/>
        <w:t xml:space="preserve">Bogotá D.C., </w:t>
      </w:r>
      <w:r w:rsidR="00374E7D">
        <w:rPr>
          <w:rFonts w:ascii="Verdana" w:eastAsia="Aptos" w:hAnsi="Verdana" w:cs="Times New Roman"/>
          <w:kern w:val="2"/>
          <w:sz w:val="24"/>
          <w:szCs w:val="24"/>
          <w14:ligatures w14:val="standardContextual"/>
        </w:rPr>
        <w:t>19 de marzo de 2026</w:t>
      </w:r>
    </w:p>
    <w:p w14:paraId="14D35F00" w14:textId="504623AC" w:rsidR="00374E7D" w:rsidRDefault="00374E7D" w:rsidP="00BA1003">
      <w:pPr>
        <w:spacing w:after="0" w:line="240" w:lineRule="auto"/>
        <w:rPr>
          <w:rFonts w:ascii="Verdana" w:eastAsia="Aptos" w:hAnsi="Verdana" w:cs="Times New Roman"/>
          <w:kern w:val="2"/>
          <w:sz w:val="24"/>
          <w:szCs w:val="24"/>
          <w14:ligatures w14:val="standardContextual"/>
        </w:rPr>
      </w:pPr>
      <w:r w:rsidRPr="00374E7D">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1218BD8F" wp14:editId="66691715">
            <wp:simplePos x="0" y="0"/>
            <wp:positionH relativeFrom="column">
              <wp:posOffset>3415665</wp:posOffset>
            </wp:positionH>
            <wp:positionV relativeFrom="paragraph">
              <wp:posOffset>12700</wp:posOffset>
            </wp:positionV>
            <wp:extent cx="1972945" cy="807720"/>
            <wp:effectExtent l="0" t="0" r="8255" b="0"/>
            <wp:wrapSquare wrapText="bothSides"/>
            <wp:docPr id="10064841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484163" name=""/>
                    <pic:cNvPicPr/>
                  </pic:nvPicPr>
                  <pic:blipFill>
                    <a:blip r:embed="rId10">
                      <a:extLst>
                        <a:ext uri="{28A0092B-C50C-407E-A947-70E740481C1C}">
                          <a14:useLocalDpi xmlns:a14="http://schemas.microsoft.com/office/drawing/2010/main" val="0"/>
                        </a:ext>
                      </a:extLst>
                    </a:blip>
                    <a:stretch>
                      <a:fillRect/>
                    </a:stretch>
                  </pic:blipFill>
                  <pic:spPr>
                    <a:xfrm>
                      <a:off x="0" y="0"/>
                      <a:ext cx="1972945" cy="807720"/>
                    </a:xfrm>
                    <a:prstGeom prst="rect">
                      <a:avLst/>
                    </a:prstGeom>
                  </pic:spPr>
                </pic:pic>
              </a:graphicData>
            </a:graphic>
            <wp14:sizeRelH relativeFrom="page">
              <wp14:pctWidth>0</wp14:pctWidth>
            </wp14:sizeRelH>
            <wp14:sizeRelV relativeFrom="page">
              <wp14:pctHeight>0</wp14:pctHeight>
            </wp14:sizeRelV>
          </wp:anchor>
        </w:drawing>
      </w:r>
    </w:p>
    <w:p w14:paraId="183EA551" w14:textId="042B7600" w:rsidR="00374E7D" w:rsidRPr="00BA1003" w:rsidRDefault="00374E7D" w:rsidP="00BA1003">
      <w:pPr>
        <w:spacing w:after="0" w:line="240" w:lineRule="auto"/>
        <w:rPr>
          <w:rFonts w:ascii="Verdana" w:eastAsia="Aptos" w:hAnsi="Verdana" w:cs="Times New Roman"/>
          <w:kern w:val="2"/>
          <w:sz w:val="24"/>
          <w:szCs w:val="24"/>
          <w14:ligatures w14:val="standardContextual"/>
        </w:rPr>
      </w:pPr>
    </w:p>
    <w:p w14:paraId="320777B2" w14:textId="77777777" w:rsidR="00BA1003" w:rsidRPr="00BA1003" w:rsidRDefault="00BA1003" w:rsidP="00BA1003">
      <w:pPr>
        <w:spacing w:after="0" w:line="240" w:lineRule="auto"/>
        <w:rPr>
          <w:rFonts w:ascii="Verdana" w:eastAsia="Calibri" w:hAnsi="Verdana" w:cs="Arial"/>
          <w:lang w:val="es-ES" w:eastAsia="es-ES"/>
        </w:rPr>
      </w:pPr>
    </w:p>
    <w:p w14:paraId="6387C672" w14:textId="77777777" w:rsidR="00BA1003" w:rsidRPr="00BA1003" w:rsidRDefault="00BA1003" w:rsidP="00BA1003">
      <w:pPr>
        <w:spacing w:after="0" w:line="240" w:lineRule="auto"/>
        <w:rPr>
          <w:rFonts w:ascii="Verdana" w:eastAsia="Calibri" w:hAnsi="Verdana" w:cs="Arial"/>
          <w:lang w:val="es-ES" w:eastAsia="es-ES"/>
        </w:rPr>
      </w:pPr>
      <w:r w:rsidRPr="00BA1003">
        <w:rPr>
          <w:rFonts w:ascii="Verdana" w:eastAsia="Calibri" w:hAnsi="Verdana" w:cs="Arial"/>
          <w:lang w:val="es-ES" w:eastAsia="es-ES"/>
        </w:rPr>
        <w:t>Señor</w:t>
      </w:r>
    </w:p>
    <w:p w14:paraId="6AD4FAFF" w14:textId="77777777" w:rsidR="00BA1003" w:rsidRPr="00BA1003" w:rsidRDefault="00BA1003" w:rsidP="00BA1003">
      <w:pPr>
        <w:spacing w:after="0" w:line="240" w:lineRule="auto"/>
        <w:rPr>
          <w:rFonts w:ascii="Verdana" w:eastAsia="Aptos" w:hAnsi="Verdana" w:cs="Times New Roman"/>
          <w:b/>
          <w:bCs/>
          <w:kern w:val="2"/>
          <w14:ligatures w14:val="standardContextual"/>
        </w:rPr>
      </w:pPr>
      <w:r w:rsidRPr="00BA1003">
        <w:rPr>
          <w:rFonts w:ascii="Verdana" w:eastAsia="Aptos" w:hAnsi="Verdana" w:cs="Times New Roman"/>
          <w:b/>
          <w:bCs/>
          <w:kern w:val="2"/>
          <w14:ligatures w14:val="standardContextual"/>
        </w:rPr>
        <w:t xml:space="preserve">Andrés Felipe Góez Pareja </w:t>
      </w:r>
    </w:p>
    <w:p w14:paraId="07AE04F2" w14:textId="77777777" w:rsidR="00BA1003" w:rsidRPr="00BA1003" w:rsidRDefault="00BA1003" w:rsidP="00BA1003">
      <w:pPr>
        <w:spacing w:after="0" w:line="240" w:lineRule="auto"/>
        <w:rPr>
          <w:rFonts w:ascii="Verdana" w:eastAsia="Aptos" w:hAnsi="Verdana" w:cs="Times New Roman"/>
          <w:kern w:val="2"/>
          <w14:ligatures w14:val="standardContextual"/>
        </w:rPr>
      </w:pPr>
      <w:r w:rsidRPr="00BA1003">
        <w:rPr>
          <w:rFonts w:ascii="Verdana" w:eastAsia="Aptos" w:hAnsi="Verdana" w:cs="Times New Roman"/>
          <w:kern w:val="2"/>
          <w14:ligatures w14:val="standardContextual"/>
        </w:rPr>
        <w:t>Profesional Universitario − Secretaría de Obras Pública</w:t>
      </w:r>
    </w:p>
    <w:p w14:paraId="3A007894" w14:textId="77777777" w:rsidR="00BA1003" w:rsidRPr="00BA1003" w:rsidRDefault="00BA1003" w:rsidP="00BA1003">
      <w:pPr>
        <w:spacing w:after="0" w:line="240" w:lineRule="auto"/>
        <w:rPr>
          <w:rFonts w:ascii="Verdana" w:eastAsia="Aptos" w:hAnsi="Verdana" w:cs="Times New Roman"/>
          <w:kern w:val="2"/>
          <w14:ligatures w14:val="standardContextual"/>
        </w:rPr>
      </w:pPr>
      <w:r w:rsidRPr="00BA1003">
        <w:rPr>
          <w:rFonts w:ascii="Verdana" w:eastAsia="Aptos" w:hAnsi="Verdana" w:cs="Times New Roman"/>
          <w:kern w:val="2"/>
          <w14:ligatures w14:val="standardContextual"/>
        </w:rPr>
        <w:t>Alcaldía de Envigado</w:t>
      </w:r>
    </w:p>
    <w:p w14:paraId="3F1E963D" w14:textId="77777777" w:rsidR="00BA1003" w:rsidRPr="00BA1003" w:rsidRDefault="00BA1003" w:rsidP="00BA1003">
      <w:pPr>
        <w:spacing w:after="0" w:line="240" w:lineRule="auto"/>
        <w:rPr>
          <w:rFonts w:ascii="Verdana" w:eastAsia="Aptos" w:hAnsi="Verdana" w:cs="Times New Roman"/>
          <w:kern w:val="2"/>
          <w14:ligatures w14:val="standardContextual"/>
        </w:rPr>
      </w:pPr>
      <w:r w:rsidRPr="00BA1003">
        <w:rPr>
          <w:rFonts w:ascii="Verdana" w:eastAsia="Aptos" w:hAnsi="Verdana" w:cs="Times New Roman"/>
          <w:kern w:val="2"/>
          <w14:ligatures w14:val="standardContextual"/>
        </w:rPr>
        <w:t>Envigado, Antioquia</w:t>
      </w:r>
    </w:p>
    <w:p w14:paraId="13767F26" w14:textId="77777777" w:rsidR="00BA1003" w:rsidRPr="00BA1003" w:rsidRDefault="00BA1003" w:rsidP="00BA1003">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BA1003" w:rsidRPr="00BA1003" w14:paraId="4656E032" w14:textId="77777777" w:rsidTr="00312E77">
        <w:trPr>
          <w:trHeight w:val="229"/>
        </w:trPr>
        <w:tc>
          <w:tcPr>
            <w:tcW w:w="2268" w:type="dxa"/>
          </w:tcPr>
          <w:p w14:paraId="43F8983E" w14:textId="77777777" w:rsidR="00BA1003" w:rsidRPr="00BA1003" w:rsidRDefault="00BA1003" w:rsidP="00BA1003">
            <w:pPr>
              <w:jc w:val="both"/>
              <w:rPr>
                <w:rFonts w:ascii="Verdana" w:eastAsia="Calibri" w:hAnsi="Verdana" w:cs="Arial"/>
                <w:b/>
                <w:bCs/>
                <w:lang w:val="es-ES_tradnl" w:eastAsia="es-ES_tradnl"/>
              </w:rPr>
            </w:pPr>
          </w:p>
        </w:tc>
        <w:tc>
          <w:tcPr>
            <w:tcW w:w="6100" w:type="dxa"/>
          </w:tcPr>
          <w:p w14:paraId="32F54848" w14:textId="77777777" w:rsidR="00BA1003" w:rsidRPr="00BA1003" w:rsidRDefault="00BA1003" w:rsidP="00BA1003">
            <w:pPr>
              <w:jc w:val="both"/>
              <w:rPr>
                <w:rFonts w:ascii="Verdana" w:eastAsia="Calibri" w:hAnsi="Verdana" w:cs="Arial"/>
                <w:b/>
                <w:bCs/>
                <w:lang w:val="es-ES" w:eastAsia="es-ES"/>
              </w:rPr>
            </w:pPr>
            <w:r w:rsidRPr="00BA1003">
              <w:rPr>
                <w:rFonts w:ascii="Verdana" w:eastAsia="Calibri" w:hAnsi="Verdana" w:cs="Arial"/>
                <w:b/>
                <w:bCs/>
                <w:lang w:val="es-ES" w:eastAsia="es-ES"/>
              </w:rPr>
              <w:t xml:space="preserve">Concepto </w:t>
            </w:r>
            <w:bookmarkStart w:id="2" w:name="OLE_LINK1"/>
            <w:r w:rsidRPr="00BA1003">
              <w:rPr>
                <w:rFonts w:ascii="Verdana" w:eastAsia="Calibri" w:hAnsi="Verdana" w:cs="Arial"/>
                <w:b/>
                <w:bCs/>
                <w:lang w:val="es-ES" w:eastAsia="es-ES"/>
              </w:rPr>
              <w:t>C-182 de 2026</w:t>
            </w:r>
            <w:bookmarkEnd w:id="2"/>
          </w:p>
          <w:p w14:paraId="06E2D01F" w14:textId="77777777" w:rsidR="00BA1003" w:rsidRPr="00BA1003" w:rsidRDefault="00BA1003" w:rsidP="00BA1003">
            <w:pPr>
              <w:jc w:val="both"/>
              <w:rPr>
                <w:rFonts w:ascii="Verdana" w:eastAsia="Calibri" w:hAnsi="Verdana" w:cs="Arial"/>
                <w:b/>
                <w:bCs/>
                <w:lang w:val="es-ES" w:eastAsia="es-ES"/>
              </w:rPr>
            </w:pPr>
          </w:p>
        </w:tc>
      </w:tr>
      <w:tr w:rsidR="00BA1003" w:rsidRPr="00BA1003" w14:paraId="3F6C73EF" w14:textId="77777777" w:rsidTr="00312E77">
        <w:trPr>
          <w:trHeight w:val="884"/>
        </w:trPr>
        <w:tc>
          <w:tcPr>
            <w:tcW w:w="2268" w:type="dxa"/>
          </w:tcPr>
          <w:p w14:paraId="0DE3BB14" w14:textId="77777777" w:rsidR="00BA1003" w:rsidRPr="00BA1003" w:rsidRDefault="00BA1003" w:rsidP="00BA1003">
            <w:pPr>
              <w:jc w:val="both"/>
              <w:rPr>
                <w:rFonts w:ascii="Verdana" w:eastAsia="Calibri" w:hAnsi="Verdana" w:cs="Arial"/>
                <w:lang w:val="es-ES_tradnl" w:eastAsia="es-ES_tradnl"/>
              </w:rPr>
            </w:pPr>
            <w:r w:rsidRPr="00BA1003">
              <w:rPr>
                <w:rFonts w:ascii="Verdana" w:eastAsia="Calibri" w:hAnsi="Verdana" w:cs="Arial"/>
                <w:b/>
                <w:lang w:val="es-ES_tradnl" w:eastAsia="es-ES_tradnl"/>
              </w:rPr>
              <w:t>Temas:</w:t>
            </w:r>
            <w:r w:rsidRPr="00BA1003">
              <w:rPr>
                <w:rFonts w:ascii="Verdana" w:eastAsia="Calibri" w:hAnsi="Verdana" w:cs="Arial"/>
                <w:lang w:val="es-ES_tradnl" w:eastAsia="es-ES_tradnl"/>
              </w:rPr>
              <w:t xml:space="preserve">                   </w:t>
            </w:r>
          </w:p>
        </w:tc>
        <w:tc>
          <w:tcPr>
            <w:tcW w:w="6100" w:type="dxa"/>
          </w:tcPr>
          <w:p w14:paraId="748CAABB" w14:textId="77777777" w:rsidR="00BA1003" w:rsidRPr="00BA1003" w:rsidRDefault="00BA1003" w:rsidP="00BA1003">
            <w:pPr>
              <w:jc w:val="both"/>
              <w:rPr>
                <w:rFonts w:ascii="Verdana" w:eastAsia="Calibri" w:hAnsi="Verdana" w:cs="Arial"/>
                <w:kern w:val="2"/>
                <w:sz w:val="20"/>
                <w:szCs w:val="20"/>
                <w14:ligatures w14:val="standardContextual"/>
              </w:rPr>
            </w:pPr>
            <w:r w:rsidRPr="00BA1003">
              <w:rPr>
                <w:rFonts w:ascii="Verdana" w:eastAsia="Calibri" w:hAnsi="Verdana" w:cs="Arial"/>
                <w:lang w:val="es-ES_tradnl" w:eastAsia="es-MX"/>
              </w:rPr>
              <w:t>DOCUMENTOS TIPO – Fundamento normativo – Obligatoriedad /  SECTOR SOCIAL</w:t>
            </w:r>
            <w:r w:rsidRPr="00BA1003">
              <w:rPr>
                <w:rFonts w:ascii="Verdana" w:eastAsia="Calibri" w:hAnsi="Verdana" w:cs="Times New Roman"/>
                <w:lang w:val="es-ES" w:eastAsia="es-MX"/>
              </w:rPr>
              <w:t xml:space="preserve"> – Documentos tipo – Vigentes / DOCUMENTOS TIPO – Aplicación – Matriz de Experiencia </w:t>
            </w:r>
            <w:r w:rsidRPr="00BA1003">
              <w:rPr>
                <w:rFonts w:ascii="Verdana" w:eastAsia="Calibri" w:hAnsi="Verdana" w:cs="Times New Roman"/>
                <w:sz w:val="20"/>
                <w:szCs w:val="20"/>
                <w:lang w:val="es-ES" w:eastAsia="es-MX"/>
              </w:rPr>
              <w:t xml:space="preserve"> / </w:t>
            </w:r>
            <w:r w:rsidRPr="00BA1003">
              <w:rPr>
                <w:rFonts w:ascii="Verdana" w:eastAsia="Calibri" w:hAnsi="Verdana" w:cs="Times New Roman"/>
                <w:lang w:val="es-ES" w:eastAsia="es-MX"/>
              </w:rPr>
              <w:t xml:space="preserve">DOCUMENTOS TIPO – Sector social – Obra pública / </w:t>
            </w:r>
            <w:r w:rsidRPr="00BA1003">
              <w:rPr>
                <w:rFonts w:ascii="Verdana" w:eastAsia="Calibri" w:hAnsi="Verdana" w:cs="Arial"/>
                <w:color w:val="000000"/>
                <w:lang w:val="es-ES_tradnl" w:eastAsia="es-MX"/>
              </w:rPr>
              <w:t xml:space="preserve">CONTRATO DE OBRA PÚBLICA – Definición – Bienes inmuebles / CONTRATO DE OBRA PÚBLICA – Bienes muebles – Excluidos / </w:t>
            </w:r>
            <w:r w:rsidRPr="00BA1003">
              <w:rPr>
                <w:rFonts w:ascii="Verdana" w:eastAsia="Arial" w:hAnsi="Verdana" w:cs="Arial"/>
                <w:lang w:val="es-ES" w:eastAsia="es-MX"/>
              </w:rPr>
              <w:t xml:space="preserve">EXPERIENCIA ADICIONAL – Bienes, obras o servicios adicionales a la obra pública – Infraestructura de social / </w:t>
            </w:r>
            <w:r w:rsidRPr="00BA1003">
              <w:rPr>
                <w:rFonts w:ascii="Verdana" w:eastAsia="Calibri" w:hAnsi="Verdana" w:cs="Arial"/>
                <w:lang w:eastAsia="es-MX"/>
              </w:rPr>
              <w:t xml:space="preserve">DOCUMENTOS TIPO – Sector social – Anexo 1 – Anexo Técnico – Condiciones particulares del proyecto /  ANEXO 1 – ANEXO TÉCNICO – Numeral 8 – Información sobre el personal profesional </w:t>
            </w:r>
          </w:p>
          <w:p w14:paraId="537EB82D" w14:textId="77777777" w:rsidR="00BA1003" w:rsidRPr="00BA1003" w:rsidRDefault="00BA1003" w:rsidP="00BA1003">
            <w:pPr>
              <w:jc w:val="both"/>
              <w:rPr>
                <w:rFonts w:ascii="Verdana" w:eastAsia="Calibri" w:hAnsi="Verdana" w:cs="Arial"/>
                <w:bCs/>
                <w:lang w:eastAsia="es-ES"/>
              </w:rPr>
            </w:pPr>
          </w:p>
        </w:tc>
      </w:tr>
      <w:tr w:rsidR="00BA1003" w:rsidRPr="00BA1003" w14:paraId="276896AE" w14:textId="77777777" w:rsidTr="00312E77">
        <w:tc>
          <w:tcPr>
            <w:tcW w:w="2268" w:type="dxa"/>
          </w:tcPr>
          <w:p w14:paraId="3EA86CA5" w14:textId="77777777" w:rsidR="00BA1003" w:rsidRPr="00BA1003" w:rsidRDefault="00BA1003" w:rsidP="00BA1003">
            <w:pPr>
              <w:jc w:val="both"/>
              <w:rPr>
                <w:rFonts w:ascii="Verdana" w:eastAsia="Calibri" w:hAnsi="Verdana" w:cs="Arial"/>
                <w:b/>
                <w:lang w:val="es-ES_tradnl" w:eastAsia="es-ES_tradnl"/>
              </w:rPr>
            </w:pPr>
            <w:r w:rsidRPr="00BA1003">
              <w:rPr>
                <w:rFonts w:ascii="Verdana" w:eastAsia="Calibri" w:hAnsi="Verdana" w:cs="Arial"/>
                <w:b/>
                <w:lang w:val="es-ES_tradnl" w:eastAsia="es-ES_tradnl"/>
              </w:rPr>
              <w:t>Radicación:</w:t>
            </w:r>
            <w:r w:rsidRPr="00BA1003">
              <w:rPr>
                <w:rFonts w:ascii="Verdana" w:eastAsia="Calibri" w:hAnsi="Verdana" w:cs="Arial"/>
                <w:lang w:val="es-ES_tradnl" w:eastAsia="es-ES_tradnl"/>
              </w:rPr>
              <w:t xml:space="preserve">               </w:t>
            </w:r>
          </w:p>
        </w:tc>
        <w:tc>
          <w:tcPr>
            <w:tcW w:w="6100" w:type="dxa"/>
          </w:tcPr>
          <w:p w14:paraId="5E5CC118" w14:textId="77777777" w:rsidR="00BA1003" w:rsidRPr="00BA1003" w:rsidRDefault="00BA1003" w:rsidP="00BA1003">
            <w:pPr>
              <w:ind w:left="3" w:hanging="3"/>
              <w:jc w:val="both"/>
              <w:rPr>
                <w:rFonts w:ascii="Verdana" w:eastAsia="Calibri" w:hAnsi="Verdana" w:cs="Arial"/>
                <w:lang w:val="es-ES_tradnl" w:eastAsia="es-ES_tradnl"/>
              </w:rPr>
            </w:pPr>
            <w:r w:rsidRPr="00BA1003">
              <w:rPr>
                <w:rFonts w:ascii="Verdana" w:eastAsia="Calibri" w:hAnsi="Verdana" w:cs="Arial"/>
                <w:lang w:val="es-ES_tradnl" w:eastAsia="es-ES_tradnl"/>
              </w:rPr>
              <w:t xml:space="preserve">Respuesta a consulta con radicado No. </w:t>
            </w:r>
            <w:r w:rsidRPr="00BA1003">
              <w:rPr>
                <w:rFonts w:ascii="Verdana" w:eastAsia="Aptos" w:hAnsi="Verdana" w:cs="Times New Roman"/>
                <w:lang w:val="es-ES_tradnl"/>
              </w:rPr>
              <w:t>1_2026_02_09_001605</w:t>
            </w:r>
          </w:p>
        </w:tc>
      </w:tr>
    </w:tbl>
    <w:p w14:paraId="72694655" w14:textId="77777777" w:rsidR="00BA1003" w:rsidRPr="00BA1003" w:rsidRDefault="00BA1003" w:rsidP="00BA1003">
      <w:pPr>
        <w:spacing w:after="0" w:line="240" w:lineRule="auto"/>
        <w:jc w:val="both"/>
        <w:rPr>
          <w:rFonts w:ascii="Verdana" w:eastAsia="Calibri" w:hAnsi="Verdana" w:cs="Arial"/>
          <w:lang w:val="es-ES_tradnl" w:eastAsia="es-ES_tradnl"/>
        </w:rPr>
      </w:pPr>
    </w:p>
    <w:p w14:paraId="4BBC22C4" w14:textId="77777777" w:rsidR="00BA1003" w:rsidRPr="00BA1003" w:rsidRDefault="00BA1003" w:rsidP="00BA1003">
      <w:pPr>
        <w:spacing w:after="0" w:line="276" w:lineRule="auto"/>
        <w:jc w:val="both"/>
        <w:rPr>
          <w:rFonts w:ascii="Verdana" w:eastAsia="Calibri" w:hAnsi="Verdana" w:cs="Arial"/>
          <w:lang w:val="es-ES" w:eastAsia="es-ES"/>
        </w:rPr>
      </w:pPr>
      <w:r w:rsidRPr="00BA1003">
        <w:rPr>
          <w:rFonts w:ascii="Verdana" w:eastAsia="Calibri" w:hAnsi="Verdana" w:cs="Arial"/>
          <w:lang w:val="es-ES" w:eastAsia="es-ES"/>
        </w:rPr>
        <w:t xml:space="preserve">Estimado señor </w:t>
      </w:r>
      <w:proofErr w:type="spellStart"/>
      <w:r w:rsidRPr="00BA1003">
        <w:rPr>
          <w:rFonts w:ascii="Verdana" w:eastAsia="Aptos" w:hAnsi="Verdana" w:cs="Times New Roman"/>
          <w:kern w:val="2"/>
          <w14:ligatures w14:val="standardContextual"/>
        </w:rPr>
        <w:t>Góez</w:t>
      </w:r>
      <w:proofErr w:type="spellEnd"/>
      <w:r w:rsidRPr="00BA1003">
        <w:rPr>
          <w:rFonts w:ascii="Verdana" w:eastAsia="Aptos" w:hAnsi="Verdana" w:cs="Times New Roman"/>
          <w:kern w:val="2"/>
          <w14:ligatures w14:val="standardContextual"/>
        </w:rPr>
        <w:t xml:space="preserve"> Pareja</w:t>
      </w:r>
      <w:r w:rsidRPr="00BA1003">
        <w:rPr>
          <w:rFonts w:ascii="Verdana" w:eastAsia="Calibri" w:hAnsi="Verdana" w:cs="Arial"/>
          <w:lang w:val="es-ES" w:eastAsia="es-ES"/>
        </w:rPr>
        <w:t xml:space="preserve">: </w:t>
      </w:r>
    </w:p>
    <w:p w14:paraId="0B8E84A9" w14:textId="77777777" w:rsidR="00BA1003" w:rsidRPr="00BA1003" w:rsidRDefault="00BA1003" w:rsidP="00BA1003">
      <w:pPr>
        <w:tabs>
          <w:tab w:val="left" w:pos="3768"/>
        </w:tabs>
        <w:spacing w:after="0" w:line="276" w:lineRule="auto"/>
        <w:jc w:val="both"/>
        <w:rPr>
          <w:rFonts w:ascii="Verdana" w:eastAsia="Calibri" w:hAnsi="Verdana" w:cs="Arial"/>
          <w:lang w:val="es-ES" w:eastAsia="es-ES"/>
        </w:rPr>
      </w:pPr>
      <w:r w:rsidRPr="00BA1003">
        <w:rPr>
          <w:rFonts w:ascii="Verdana" w:eastAsia="Calibri" w:hAnsi="Verdana" w:cs="Arial"/>
          <w:lang w:val="es-ES" w:eastAsia="es-ES"/>
        </w:rPr>
        <w:tab/>
      </w:r>
    </w:p>
    <w:p w14:paraId="7583F77F" w14:textId="77777777" w:rsidR="00BA1003" w:rsidRPr="00BA1003" w:rsidRDefault="00BA1003" w:rsidP="00BA1003">
      <w:pPr>
        <w:spacing w:after="0" w:line="276" w:lineRule="auto"/>
        <w:jc w:val="both"/>
        <w:rPr>
          <w:rFonts w:ascii="Verdana" w:eastAsia="Calibri" w:hAnsi="Verdana" w:cs="Arial"/>
          <w:lang w:val="es-ES" w:eastAsia="es-ES"/>
        </w:rPr>
      </w:pPr>
      <w:r w:rsidRPr="00BA1003">
        <w:rPr>
          <w:rFonts w:ascii="Verdana" w:eastAsia="Calibri" w:hAnsi="Verdana" w:cs="Arial"/>
          <w:lang w:val="es-ES" w:eastAsia="es-ES"/>
        </w:rPr>
        <w:t>En ejercicio de la competencia otorgada por los artículos 3, numeral 5º, y 11, numeral 8º, del Decreto Ley 4170 de 2011,</w:t>
      </w:r>
      <w:r w:rsidRPr="00BA1003">
        <w:rPr>
          <w:rFonts w:ascii="Verdana" w:eastAsia="Arial MT" w:hAnsi="Verdana" w:cs="Arial MT"/>
          <w:lang w:val="es-ES" w:eastAsia="es-ES"/>
        </w:rPr>
        <w:t xml:space="preserve"> </w:t>
      </w:r>
      <w:r w:rsidRPr="00BA1003">
        <w:rPr>
          <w:rFonts w:ascii="Verdana" w:eastAsia="Calibri" w:hAnsi="Verdana" w:cs="Arial"/>
        </w:rPr>
        <w:t xml:space="preserve">así como lo establecido por la </w:t>
      </w:r>
      <w:r w:rsidRPr="00BA1003">
        <w:rPr>
          <w:rFonts w:ascii="Verdana" w:eastAsia="Aptos" w:hAnsi="Verdana" w:cs="Arial"/>
          <w:bCs/>
          <w:kern w:val="2"/>
          <w:lang w:eastAsia="es-ES" w:bidi="es-ES"/>
          <w14:ligatures w14:val="standardContextual"/>
        </w:rPr>
        <w:t>Resolución 469 de 2025 expedida por esta Entidad</w:t>
      </w:r>
      <w:r w:rsidRPr="00BA1003">
        <w:rPr>
          <w:rFonts w:ascii="Verdana" w:eastAsia="Calibri" w:hAnsi="Verdana" w:cs="Arial"/>
        </w:rPr>
        <w:t xml:space="preserve">, </w:t>
      </w:r>
      <w:r w:rsidRPr="00BA1003">
        <w:rPr>
          <w:rFonts w:ascii="Verdana" w:eastAsia="Calibri" w:hAnsi="Verdana" w:cs="Arial"/>
          <w:lang w:val="es-ES" w:eastAsia="es-ES"/>
        </w:rPr>
        <w:t xml:space="preserve">la Agencia Nacional de Contratación Pública – Colombia Compra Eficiente– responde su solicitud de consulta del 6 de febrero de 2026, en la cual manifiesta lo siguiente: </w:t>
      </w:r>
    </w:p>
    <w:p w14:paraId="62BAB480" w14:textId="77777777" w:rsidR="00BA1003" w:rsidRPr="00BA1003" w:rsidRDefault="00BA1003" w:rsidP="00BA1003">
      <w:pPr>
        <w:tabs>
          <w:tab w:val="left" w:pos="142"/>
          <w:tab w:val="left" w:pos="284"/>
        </w:tabs>
        <w:spacing w:after="0" w:line="276" w:lineRule="auto"/>
        <w:ind w:left="709" w:right="709"/>
        <w:jc w:val="both"/>
        <w:rPr>
          <w:rFonts w:ascii="Verdana" w:eastAsia="Century Gothic" w:hAnsi="Verdana" w:cs="Century Gothic"/>
          <w:b/>
          <w:bCs/>
        </w:rPr>
      </w:pPr>
    </w:p>
    <w:p w14:paraId="2FAB8BF6"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r w:rsidRPr="00BA1003">
        <w:rPr>
          <w:rFonts w:ascii="Verdana" w:eastAsia="Century Gothic" w:hAnsi="Verdana" w:cs="Arial"/>
          <w:sz w:val="21"/>
          <w:szCs w:val="21"/>
          <w:lang w:val="es-ES"/>
        </w:rPr>
        <w:t>“</w:t>
      </w:r>
      <w:r w:rsidRPr="00BA1003">
        <w:rPr>
          <w:rFonts w:ascii="Verdana" w:eastAsia="Century Gothic" w:hAnsi="Verdana" w:cs="Arial"/>
          <w:b/>
          <w:bCs/>
          <w:sz w:val="21"/>
          <w:szCs w:val="21"/>
        </w:rPr>
        <w:t>ANTECENDENTES</w:t>
      </w:r>
    </w:p>
    <w:p w14:paraId="2264660B" w14:textId="5F7F4519" w:rsidR="00BA1003" w:rsidRPr="00460FA1" w:rsidRDefault="00BA1003" w:rsidP="00460FA1">
      <w:pPr>
        <w:numPr>
          <w:ilvl w:val="0"/>
          <w:numId w:val="18"/>
        </w:numPr>
        <w:spacing w:after="120" w:line="240" w:lineRule="auto"/>
        <w:ind w:left="1069" w:right="709"/>
        <w:jc w:val="both"/>
        <w:rPr>
          <w:rFonts w:ascii="Verdana" w:eastAsia="Century Gothic" w:hAnsi="Verdana" w:cs="Arial"/>
          <w:sz w:val="21"/>
          <w:szCs w:val="21"/>
        </w:rPr>
      </w:pPr>
      <w:r w:rsidRPr="00BA1003">
        <w:rPr>
          <w:rFonts w:ascii="Verdana" w:eastAsia="Century Gothic" w:hAnsi="Verdana" w:cs="Arial"/>
          <w:sz w:val="21"/>
          <w:szCs w:val="21"/>
        </w:rPr>
        <w:t xml:space="preserve">El Municipio de Envigado obtuvo autorización del Ministerio de las Culturas, las Artes y los Saberes para intervenir el Bien de Interés </w:t>
      </w:r>
      <w:r w:rsidRPr="00BA1003">
        <w:rPr>
          <w:rFonts w:ascii="Verdana" w:eastAsia="Century Gothic" w:hAnsi="Verdana" w:cs="Arial"/>
          <w:sz w:val="21"/>
          <w:szCs w:val="21"/>
        </w:rPr>
        <w:lastRenderedPageBreak/>
        <w:t>Cultural del ámbito nacional denominado “Casa Museo Débora Arango Pérez”, ubicado en la Carrera 43 No. 32A Sur 73, Envigado (Antioquia), mediante la Resolución No. 0032 del 14 de enero de 2026. La autorización comprende las modalidades de reforzamiento estructural, restauración del inmueble y la conservación–restauración de ocho (8) bienes muebles adosados.</w:t>
      </w:r>
    </w:p>
    <w:p w14:paraId="00AB86DF" w14:textId="77777777" w:rsidR="00BA1003" w:rsidRPr="00BA1003" w:rsidRDefault="00BA1003" w:rsidP="00BA1003">
      <w:pPr>
        <w:numPr>
          <w:ilvl w:val="0"/>
          <w:numId w:val="19"/>
        </w:numPr>
        <w:spacing w:after="120" w:line="240" w:lineRule="auto"/>
        <w:ind w:left="1069" w:right="709"/>
        <w:jc w:val="both"/>
        <w:rPr>
          <w:rFonts w:ascii="Verdana" w:eastAsia="Century Gothic" w:hAnsi="Verdana" w:cs="Arial"/>
          <w:sz w:val="21"/>
          <w:szCs w:val="21"/>
        </w:rPr>
      </w:pPr>
      <w:r w:rsidRPr="00BA1003">
        <w:rPr>
          <w:rFonts w:ascii="Verdana" w:eastAsia="Century Gothic" w:hAnsi="Verdana" w:cs="Arial"/>
          <w:sz w:val="21"/>
          <w:szCs w:val="21"/>
        </w:rPr>
        <w:t xml:space="preserve">En el mismo acto administrativo, el Ministerio identifica expresamente al profesional autorizado del proyecto (Arquitecto </w:t>
      </w:r>
      <w:proofErr w:type="spellStart"/>
      <w:r w:rsidRPr="00BA1003">
        <w:rPr>
          <w:rFonts w:ascii="Verdana" w:eastAsia="Century Gothic" w:hAnsi="Verdana" w:cs="Arial"/>
          <w:sz w:val="21"/>
          <w:szCs w:val="21"/>
        </w:rPr>
        <w:t>Jhon</w:t>
      </w:r>
      <w:proofErr w:type="spellEnd"/>
      <w:r w:rsidRPr="00BA1003">
        <w:rPr>
          <w:rFonts w:ascii="Verdana" w:eastAsia="Century Gothic" w:hAnsi="Verdana" w:cs="Arial"/>
          <w:sz w:val="21"/>
          <w:szCs w:val="21"/>
        </w:rPr>
        <w:t xml:space="preserve"> Edwin García Cardona) y al profesional responsable de la conservación–restauración de bienes muebles (Restaurador Héctor Oswaldo Prieto Gordillo), disponiendo su notificación y estableciendo obligaciones relacionadas con el inicio, cronograma e informe final de intervención para conocimiento del Ministerio. (Se aclara que estas personas no tienen </w:t>
      </w:r>
      <w:proofErr w:type="spellStart"/>
      <w:r w:rsidRPr="00BA1003">
        <w:rPr>
          <w:rFonts w:ascii="Verdana" w:eastAsia="Century Gothic" w:hAnsi="Verdana" w:cs="Arial"/>
          <w:sz w:val="21"/>
          <w:szCs w:val="21"/>
        </w:rPr>
        <w:t>vinculo</w:t>
      </w:r>
      <w:proofErr w:type="spellEnd"/>
      <w:r w:rsidRPr="00BA1003">
        <w:rPr>
          <w:rFonts w:ascii="Verdana" w:eastAsia="Century Gothic" w:hAnsi="Verdana" w:cs="Arial"/>
          <w:sz w:val="21"/>
          <w:szCs w:val="21"/>
        </w:rPr>
        <w:t xml:space="preserve"> con la </w:t>
      </w:r>
      <w:proofErr w:type="gramStart"/>
      <w:r w:rsidRPr="00BA1003">
        <w:rPr>
          <w:rFonts w:ascii="Verdana" w:eastAsia="Century Gothic" w:hAnsi="Verdana" w:cs="Arial"/>
          <w:sz w:val="21"/>
          <w:szCs w:val="21"/>
        </w:rPr>
        <w:t>Secretaria</w:t>
      </w:r>
      <w:proofErr w:type="gramEnd"/>
      <w:r w:rsidRPr="00BA1003">
        <w:rPr>
          <w:rFonts w:ascii="Verdana" w:eastAsia="Century Gothic" w:hAnsi="Verdana" w:cs="Arial"/>
          <w:sz w:val="21"/>
          <w:szCs w:val="21"/>
        </w:rPr>
        <w:t>)</w:t>
      </w:r>
    </w:p>
    <w:p w14:paraId="4F61C871" w14:textId="77777777" w:rsidR="00BA1003" w:rsidRPr="00BA1003" w:rsidRDefault="00BA1003" w:rsidP="00BA1003">
      <w:pPr>
        <w:numPr>
          <w:ilvl w:val="0"/>
          <w:numId w:val="20"/>
        </w:numPr>
        <w:spacing w:after="120" w:line="240" w:lineRule="auto"/>
        <w:ind w:left="1069" w:right="709"/>
        <w:jc w:val="both"/>
        <w:rPr>
          <w:rFonts w:ascii="Verdana" w:eastAsia="Century Gothic" w:hAnsi="Verdana" w:cs="Arial"/>
          <w:sz w:val="21"/>
          <w:szCs w:val="21"/>
        </w:rPr>
      </w:pPr>
      <w:r w:rsidRPr="00BA1003">
        <w:rPr>
          <w:rFonts w:ascii="Verdana" w:eastAsia="Century Gothic" w:hAnsi="Verdana" w:cs="Arial"/>
          <w:sz w:val="21"/>
          <w:szCs w:val="21"/>
        </w:rPr>
        <w:t>Para ejecutar el proyecto, el Municipio prevé adelantar dos procesos contractuales separados:</w:t>
      </w:r>
    </w:p>
    <w:p w14:paraId="75537010"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r w:rsidRPr="00BA1003">
        <w:rPr>
          <w:rFonts w:ascii="Verdana" w:eastAsia="Century Gothic" w:hAnsi="Verdana" w:cs="Arial"/>
          <w:sz w:val="21"/>
          <w:szCs w:val="21"/>
        </w:rPr>
        <w:t>i) Contrato de obra, para la ejecución de las actividades de intervención sobre el inmueble (reforzamiento estructural, restauración y conservación).</w:t>
      </w:r>
    </w:p>
    <w:p w14:paraId="1CFF1964"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proofErr w:type="spellStart"/>
      <w:r w:rsidRPr="00BA1003">
        <w:rPr>
          <w:rFonts w:ascii="Verdana" w:eastAsia="Century Gothic" w:hAnsi="Verdana" w:cs="Arial"/>
          <w:sz w:val="21"/>
          <w:szCs w:val="21"/>
        </w:rPr>
        <w:t>ii</w:t>
      </w:r>
      <w:proofErr w:type="spellEnd"/>
      <w:r w:rsidRPr="00BA1003">
        <w:rPr>
          <w:rFonts w:ascii="Verdana" w:eastAsia="Century Gothic" w:hAnsi="Verdana" w:cs="Arial"/>
          <w:sz w:val="21"/>
          <w:szCs w:val="21"/>
        </w:rPr>
        <w:t>) Contrato de interventoría, para el seguimiento técnico, administrativo, financiero y jurídico de la ejecución del contrato de obra.</w:t>
      </w:r>
    </w:p>
    <w:p w14:paraId="017DC34F"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r w:rsidRPr="00BA1003">
        <w:rPr>
          <w:rFonts w:ascii="Verdana" w:eastAsia="Century Gothic" w:hAnsi="Verdana" w:cs="Arial"/>
          <w:b/>
          <w:bCs/>
          <w:sz w:val="21"/>
          <w:szCs w:val="21"/>
        </w:rPr>
        <w:t>PROBLEMA JURIDICO</w:t>
      </w:r>
    </w:p>
    <w:p w14:paraId="50BA6718"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r w:rsidRPr="00BA1003">
        <w:rPr>
          <w:rFonts w:ascii="Verdana" w:eastAsia="Century Gothic" w:hAnsi="Verdana" w:cs="Arial"/>
          <w:sz w:val="21"/>
          <w:szCs w:val="21"/>
        </w:rPr>
        <w:t>La Resolución 0032 de 2026 del Ministerio de las Culturas, además de autorizar la intervención patrimonial, identifica y vincula funcionalmente al proyecto a un profesional autorizado y a un restaurador responsable de bienes muebles adosados, y exige reportes y documentación asociados a la intervención.</w:t>
      </w:r>
    </w:p>
    <w:p w14:paraId="1A11E2CE"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r w:rsidRPr="00BA1003">
        <w:rPr>
          <w:rFonts w:ascii="Verdana" w:eastAsia="Century Gothic" w:hAnsi="Verdana" w:cs="Arial"/>
          <w:sz w:val="21"/>
          <w:szCs w:val="21"/>
        </w:rPr>
        <w:t>Sin embargo, en la aplicación práctica de los Documentos Tipo para licitación de obra pública de infraestructura social – sector cultura, recreación y deporte, el Municipio advierte que la estandarización del “equipo” y/o condiciones del contrato (según el documento tipo vigente aplicable) no prevé expresamente la inclusión de profesionales nominalmente identificados por una autoridad sectorial como parte del equipo mínimo del contratista o como requisito de la oferta.</w:t>
      </w:r>
    </w:p>
    <w:p w14:paraId="3B36CB08"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r w:rsidRPr="00BA1003">
        <w:rPr>
          <w:rFonts w:ascii="Verdana" w:eastAsia="Century Gothic" w:hAnsi="Verdana" w:cs="Arial"/>
          <w:sz w:val="21"/>
          <w:szCs w:val="21"/>
        </w:rPr>
        <w:t>En ese contexto, la Entidad debe garantizar simultáneamente:</w:t>
      </w:r>
    </w:p>
    <w:p w14:paraId="4017D5B6" w14:textId="77777777" w:rsidR="00BA1003" w:rsidRPr="00BA1003" w:rsidRDefault="00BA1003" w:rsidP="00BA1003">
      <w:pPr>
        <w:numPr>
          <w:ilvl w:val="0"/>
          <w:numId w:val="21"/>
        </w:numPr>
        <w:spacing w:after="120" w:line="240" w:lineRule="auto"/>
        <w:ind w:left="1069" w:right="709"/>
        <w:jc w:val="both"/>
        <w:rPr>
          <w:rFonts w:ascii="Verdana" w:eastAsia="Century Gothic" w:hAnsi="Verdana" w:cs="Arial"/>
          <w:sz w:val="21"/>
          <w:szCs w:val="21"/>
        </w:rPr>
      </w:pPr>
      <w:r w:rsidRPr="00BA1003">
        <w:rPr>
          <w:rFonts w:ascii="Verdana" w:eastAsia="Century Gothic" w:hAnsi="Verdana" w:cs="Arial"/>
          <w:sz w:val="21"/>
          <w:szCs w:val="21"/>
        </w:rPr>
        <w:t>la observancia del régimen especial de protección patrimonial y el cumplimiento de las condiciones del acto administrativo del Ministerio.</w:t>
      </w:r>
    </w:p>
    <w:p w14:paraId="6D6E7EDB" w14:textId="77777777" w:rsidR="00BA1003" w:rsidRPr="00BA1003" w:rsidRDefault="00BA1003" w:rsidP="00BA1003">
      <w:pPr>
        <w:numPr>
          <w:ilvl w:val="0"/>
          <w:numId w:val="21"/>
        </w:numPr>
        <w:spacing w:after="120" w:line="240" w:lineRule="auto"/>
        <w:ind w:left="1069" w:right="709"/>
        <w:jc w:val="both"/>
        <w:rPr>
          <w:rFonts w:ascii="Verdana" w:eastAsia="Century Gothic" w:hAnsi="Verdana" w:cs="Arial"/>
          <w:sz w:val="21"/>
          <w:szCs w:val="21"/>
        </w:rPr>
      </w:pPr>
      <w:r w:rsidRPr="00BA1003">
        <w:rPr>
          <w:rFonts w:ascii="Verdana" w:eastAsia="Century Gothic" w:hAnsi="Verdana" w:cs="Arial"/>
          <w:sz w:val="21"/>
          <w:szCs w:val="21"/>
        </w:rPr>
        <w:lastRenderedPageBreak/>
        <w:t>y la aplicación adecuada de los Documentos Tipo obligatorios del sector cultura, recreación y deporte para obra pública de infraestructura social.</w:t>
      </w:r>
    </w:p>
    <w:p w14:paraId="43058C4C"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r w:rsidRPr="00BA1003">
        <w:rPr>
          <w:rFonts w:ascii="Verdana" w:eastAsia="Century Gothic" w:hAnsi="Verdana" w:cs="Arial"/>
          <w:b/>
          <w:bCs/>
          <w:sz w:val="21"/>
          <w:szCs w:val="21"/>
        </w:rPr>
        <w:t>SOLICITUD DE CONCEPTO</w:t>
      </w:r>
    </w:p>
    <w:p w14:paraId="46E4194C" w14:textId="77777777" w:rsidR="00BA1003" w:rsidRPr="00BA1003" w:rsidRDefault="00BA1003" w:rsidP="00BA1003">
      <w:pPr>
        <w:spacing w:after="120" w:line="240" w:lineRule="auto"/>
        <w:ind w:left="709" w:right="709"/>
        <w:jc w:val="both"/>
        <w:rPr>
          <w:rFonts w:ascii="Verdana" w:eastAsia="Century Gothic" w:hAnsi="Verdana" w:cs="Arial"/>
          <w:sz w:val="21"/>
          <w:szCs w:val="21"/>
        </w:rPr>
      </w:pPr>
      <w:r w:rsidRPr="00BA1003">
        <w:rPr>
          <w:rFonts w:ascii="Verdana" w:eastAsia="Century Gothic" w:hAnsi="Verdana" w:cs="Arial"/>
          <w:sz w:val="21"/>
          <w:szCs w:val="21"/>
        </w:rPr>
        <w:t>Con fundamento en los antecedentes descritos, respetuosamente solicitamos a la ANCP</w:t>
      </w:r>
      <w:r w:rsidRPr="00BA1003">
        <w:rPr>
          <w:rFonts w:ascii="Verdana" w:eastAsia="Century Gothic" w:hAnsi="Verdana" w:cs="Arial"/>
          <w:sz w:val="21"/>
          <w:szCs w:val="21"/>
        </w:rPr>
        <w:noBreakHyphen/>
        <w:t>CCE emitir un concepto de carácter general sobre los siguientes puntos:</w:t>
      </w:r>
    </w:p>
    <w:p w14:paraId="37AB62B5" w14:textId="77777777" w:rsidR="00BA1003" w:rsidRPr="00BA1003" w:rsidRDefault="00BA1003" w:rsidP="00BA1003">
      <w:pPr>
        <w:numPr>
          <w:ilvl w:val="0"/>
          <w:numId w:val="22"/>
        </w:numPr>
        <w:spacing w:after="120" w:line="240" w:lineRule="auto"/>
        <w:ind w:left="1069" w:right="709"/>
        <w:jc w:val="both"/>
        <w:rPr>
          <w:rFonts w:ascii="Verdana" w:eastAsia="Century Gothic" w:hAnsi="Verdana" w:cs="Arial"/>
          <w:sz w:val="21"/>
          <w:szCs w:val="21"/>
        </w:rPr>
      </w:pPr>
      <w:r w:rsidRPr="00BA1003">
        <w:rPr>
          <w:rFonts w:ascii="Verdana" w:eastAsia="Century Gothic" w:hAnsi="Verdana" w:cs="Arial"/>
          <w:sz w:val="21"/>
          <w:szCs w:val="21"/>
        </w:rPr>
        <w:t>¿Debe el Municipio aplicar en el proceso de selección del contrato de obra los Documentos Tipo de infraestructura social – sector cultura, recreación y deporte teniendo en cuenta las consideraciones descritas y que el bien a intervenir es un bien de interés cultural, por lo cual existe tramite de autorización previa ante el Ministerio de Cultura?</w:t>
      </w:r>
    </w:p>
    <w:p w14:paraId="44F69B63" w14:textId="77777777" w:rsidR="00BA1003" w:rsidRPr="00BA1003" w:rsidRDefault="00BA1003" w:rsidP="00BA1003">
      <w:pPr>
        <w:numPr>
          <w:ilvl w:val="0"/>
          <w:numId w:val="23"/>
        </w:numPr>
        <w:spacing w:after="120" w:line="240" w:lineRule="auto"/>
        <w:ind w:left="1069" w:right="709"/>
        <w:jc w:val="both"/>
        <w:rPr>
          <w:rFonts w:ascii="Verdana" w:eastAsia="Century Gothic" w:hAnsi="Verdana" w:cs="Arial"/>
          <w:sz w:val="21"/>
          <w:szCs w:val="21"/>
        </w:rPr>
      </w:pPr>
      <w:r w:rsidRPr="00BA1003">
        <w:rPr>
          <w:rFonts w:ascii="Verdana" w:eastAsia="Century Gothic" w:hAnsi="Verdana" w:cs="Arial"/>
          <w:sz w:val="21"/>
          <w:szCs w:val="21"/>
        </w:rPr>
        <w:t>En caso afirmativo, ¿cuál es el margen permitido de adaptación del pliego/condiciones del proceso (sin alterar componentes inmodificables como matriz de experiencia y glosario sectorial) para incorporar requerimientos derivados de un acto administrativo sectorial de autorización patrimonial, como la Resolución 0032 de 2026?</w:t>
      </w:r>
    </w:p>
    <w:p w14:paraId="43B3F271" w14:textId="77777777" w:rsidR="00BA1003" w:rsidRPr="00BA1003" w:rsidRDefault="00BA1003" w:rsidP="00BA1003">
      <w:pPr>
        <w:numPr>
          <w:ilvl w:val="0"/>
          <w:numId w:val="24"/>
        </w:numPr>
        <w:spacing w:after="120" w:line="240" w:lineRule="auto"/>
        <w:ind w:left="1069" w:right="709"/>
        <w:jc w:val="both"/>
        <w:rPr>
          <w:rFonts w:ascii="Verdana" w:eastAsia="Century Gothic" w:hAnsi="Verdana" w:cs="Arial"/>
          <w:sz w:val="21"/>
          <w:szCs w:val="21"/>
        </w:rPr>
      </w:pPr>
      <w:r w:rsidRPr="00BA1003">
        <w:rPr>
          <w:rFonts w:ascii="Verdana" w:eastAsia="Century Gothic" w:hAnsi="Verdana" w:cs="Arial"/>
          <w:sz w:val="21"/>
          <w:szCs w:val="21"/>
        </w:rPr>
        <w:t xml:space="preserve">¿Es jurídicamente viable que, manteniendo el marco de Documentos Tipo, la Entidad incorpore en el contrato de obra obligaciones de coordinación y de cumplimiento patrimonial frente al profesional autorizado del proyecto y al responsable de restauración de bienes muebles, sin exigir que estos integren el “equipo mínimo del contratista” ni que sean aportados como requisito habilitante de la oferta, sino como terceros designados/identificados por la autoridad competente con los cuales el contratista debe articular la ejecución?”. </w:t>
      </w:r>
    </w:p>
    <w:p w14:paraId="6968ABD8" w14:textId="77777777" w:rsidR="00BA1003" w:rsidRPr="00BA1003" w:rsidRDefault="00BA1003" w:rsidP="00BA1003">
      <w:pPr>
        <w:spacing w:after="0" w:line="240" w:lineRule="auto"/>
        <w:ind w:left="709" w:right="709"/>
        <w:jc w:val="both"/>
        <w:rPr>
          <w:rFonts w:ascii="Arial" w:eastAsia="Aptos" w:hAnsi="Arial" w:cs="Arial"/>
          <w:kern w:val="2"/>
          <w:sz w:val="21"/>
          <w:szCs w:val="21"/>
          <w14:ligatures w14:val="standardContextual"/>
        </w:rPr>
      </w:pPr>
    </w:p>
    <w:p w14:paraId="6F9572A7" w14:textId="77777777" w:rsidR="00BA1003" w:rsidRPr="00BA1003" w:rsidRDefault="00BA1003" w:rsidP="00BA1003">
      <w:pPr>
        <w:spacing w:after="120" w:line="276" w:lineRule="auto"/>
        <w:ind w:firstLine="709"/>
        <w:jc w:val="both"/>
        <w:rPr>
          <w:rFonts w:ascii="Verdana" w:eastAsia="Calibri" w:hAnsi="Verdana" w:cs="Arial"/>
          <w:color w:val="000000"/>
          <w:kern w:val="2"/>
          <w:lang w:val="es-ES" w:eastAsia="es-ES"/>
          <w14:ligatures w14:val="standardContextual"/>
        </w:rPr>
      </w:pPr>
      <w:r w:rsidRPr="00BA1003">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BA1003">
        <w:rPr>
          <w:rFonts w:ascii="Verdana" w:eastAsia="Calibri" w:hAnsi="Verdana" w:cs="Arial"/>
          <w:color w:val="000000"/>
          <w:kern w:val="2"/>
          <w:lang w:val="es-ES" w:eastAsia="es-ES"/>
          <w14:ligatures w14:val="standardContextual"/>
        </w:rPr>
        <w:lastRenderedPageBreak/>
        <w:t xml:space="preserve">interpretación de normas generales, por definición, no puede extenderse a la resolución de controversias ni a brindar asesorías sobre casos puntuales. </w:t>
      </w:r>
      <w:r w:rsidRPr="00BA1003">
        <w:rPr>
          <w:rFonts w:ascii="Verdana" w:eastAsia="Calibri" w:hAnsi="Verdana" w:cs="Arial"/>
          <w:color w:val="000000"/>
          <w:kern w:val="2"/>
          <w:lang w:val="es-ES_tradnl" w:eastAsia="es-ES_tradnl"/>
          <w14:ligatures w14:val="standardContextual"/>
        </w:rPr>
        <w:tab/>
      </w:r>
    </w:p>
    <w:p w14:paraId="535C742B" w14:textId="77777777" w:rsidR="00BA1003" w:rsidRPr="00BA1003" w:rsidRDefault="00BA1003" w:rsidP="00BA1003">
      <w:pPr>
        <w:spacing w:after="0" w:line="276" w:lineRule="auto"/>
        <w:ind w:firstLine="709"/>
        <w:jc w:val="both"/>
        <w:rPr>
          <w:rFonts w:ascii="Verdana" w:eastAsia="Calibri" w:hAnsi="Verdana" w:cs="Arial"/>
          <w:color w:val="000000"/>
          <w:kern w:val="2"/>
          <w:lang w:val="es-ES" w:eastAsia="es-ES"/>
          <w14:ligatures w14:val="standardContextual"/>
        </w:rPr>
      </w:pPr>
      <w:r w:rsidRPr="00BA1003">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BA1003">
        <w:rPr>
          <w:rFonts w:ascii="Verdana" w:eastAsia="Calibri" w:hAnsi="Verdana" w:cs="Arial"/>
          <w:color w:val="7030A0"/>
          <w:kern w:val="2"/>
          <w:lang w:val="es-ES" w:eastAsia="es-ES"/>
          <w14:ligatures w14:val="standardContextual"/>
        </w:rPr>
        <w:t xml:space="preserve"> </w:t>
      </w:r>
      <w:r w:rsidRPr="00BA1003">
        <w:rPr>
          <w:rFonts w:ascii="Verdana" w:eastAsia="Calibri" w:hAnsi="Verdana" w:cs="Arial"/>
          <w:color w:val="000000"/>
          <w:kern w:val="2"/>
          <w:lang w:val="es-ES" w:eastAsia="es-ES"/>
          <w14:ligatures w14:val="standardContextual"/>
        </w:rPr>
        <w:t>problema</w:t>
      </w:r>
      <w:r w:rsidRPr="00BA1003">
        <w:rPr>
          <w:rFonts w:ascii="Verdana" w:eastAsia="Calibri" w:hAnsi="Verdana" w:cs="Arial"/>
          <w:color w:val="7030A0"/>
          <w:kern w:val="2"/>
          <w:lang w:val="es-ES" w:eastAsia="es-ES"/>
          <w14:ligatures w14:val="standardContextual"/>
        </w:rPr>
        <w:t xml:space="preserve"> </w:t>
      </w:r>
      <w:r w:rsidRPr="00BA1003">
        <w:rPr>
          <w:rFonts w:ascii="Verdana" w:eastAsia="Calibri" w:hAnsi="Verdana" w:cs="Arial"/>
          <w:color w:val="000000"/>
          <w:kern w:val="2"/>
          <w:lang w:val="es-ES" w:eastAsia="es-ES"/>
          <w14:ligatures w14:val="standardContextual"/>
        </w:rPr>
        <w:t>jurídico</w:t>
      </w:r>
      <w:r w:rsidRPr="00BA1003">
        <w:rPr>
          <w:rFonts w:ascii="Verdana" w:eastAsia="Calibri" w:hAnsi="Verdana" w:cs="Arial"/>
          <w:color w:val="7030A0"/>
          <w:kern w:val="2"/>
          <w:lang w:val="es-ES" w:eastAsia="es-ES"/>
          <w14:ligatures w14:val="standardContextual"/>
        </w:rPr>
        <w:t xml:space="preserve"> </w:t>
      </w:r>
      <w:r w:rsidRPr="00BA1003">
        <w:rPr>
          <w:rFonts w:ascii="Verdana" w:eastAsia="Calibri" w:hAnsi="Verdana" w:cs="Arial"/>
          <w:color w:val="000000"/>
          <w:kern w:val="2"/>
          <w:lang w:val="es-ES" w:eastAsia="es-ES"/>
          <w14:ligatures w14:val="standardContextual"/>
        </w:rPr>
        <w:t xml:space="preserve">de su consulta. </w:t>
      </w:r>
    </w:p>
    <w:p w14:paraId="1CE16712" w14:textId="77777777" w:rsidR="00BA1003" w:rsidRPr="00BA1003" w:rsidRDefault="00BA1003" w:rsidP="00BA1003">
      <w:pPr>
        <w:spacing w:after="0" w:line="276" w:lineRule="auto"/>
        <w:jc w:val="both"/>
        <w:rPr>
          <w:rFonts w:ascii="Verdana" w:eastAsia="Calibri" w:hAnsi="Verdana" w:cs="Arial"/>
          <w:lang w:val="es-ES" w:eastAsia="es-ES"/>
        </w:rPr>
      </w:pPr>
    </w:p>
    <w:p w14:paraId="0E3BE207" w14:textId="77777777" w:rsidR="00BA1003" w:rsidRPr="00BA1003" w:rsidRDefault="00BA1003" w:rsidP="00BA1003">
      <w:pPr>
        <w:numPr>
          <w:ilvl w:val="0"/>
          <w:numId w:val="17"/>
        </w:numPr>
        <w:tabs>
          <w:tab w:val="left" w:pos="142"/>
          <w:tab w:val="left" w:pos="284"/>
        </w:tabs>
        <w:spacing w:after="0" w:line="276" w:lineRule="auto"/>
        <w:jc w:val="both"/>
        <w:rPr>
          <w:rFonts w:ascii="Verdana" w:eastAsia="Century Gothic" w:hAnsi="Verdana" w:cs="Century Gothic"/>
          <w:b/>
          <w:bCs/>
        </w:rPr>
      </w:pPr>
      <w:r w:rsidRPr="00BA1003">
        <w:rPr>
          <w:rFonts w:ascii="Verdana" w:eastAsia="Century Gothic" w:hAnsi="Verdana" w:cs="Century Gothic"/>
          <w:b/>
          <w:bCs/>
        </w:rPr>
        <w:t>Problema planteado:</w:t>
      </w:r>
    </w:p>
    <w:p w14:paraId="2A5ADAC5" w14:textId="77777777" w:rsidR="00BA1003" w:rsidRPr="00BA1003" w:rsidRDefault="00BA1003" w:rsidP="00BA1003">
      <w:pPr>
        <w:tabs>
          <w:tab w:val="left" w:pos="426"/>
        </w:tabs>
        <w:spacing w:after="0" w:line="276" w:lineRule="auto"/>
        <w:jc w:val="both"/>
        <w:rPr>
          <w:rFonts w:ascii="Verdana" w:eastAsia="Century Gothic" w:hAnsi="Verdana" w:cs="Century Gothic"/>
          <w:lang w:val="es-ES"/>
        </w:rPr>
      </w:pPr>
    </w:p>
    <w:p w14:paraId="7A878231" w14:textId="4A2B1665" w:rsidR="00BA1003" w:rsidRPr="00BA1003" w:rsidRDefault="00BA1003" w:rsidP="00BA1003">
      <w:pPr>
        <w:spacing w:after="0" w:line="276" w:lineRule="auto"/>
        <w:jc w:val="both"/>
        <w:rPr>
          <w:rFonts w:ascii="Verdana" w:eastAsia="Calibri" w:hAnsi="Verdana" w:cs="Arial"/>
          <w:bCs/>
          <w:kern w:val="2"/>
          <w:lang w:val="es-ES_tradnl" w:eastAsia="es-ES_tradnl"/>
          <w14:ligatures w14:val="standardContextual"/>
        </w:rPr>
      </w:pPr>
      <w:r w:rsidRPr="00BA1003">
        <w:rPr>
          <w:rFonts w:ascii="Verdana" w:eastAsia="Century Gothic" w:hAnsi="Verdana" w:cs="Century Gothic"/>
        </w:rPr>
        <w:t xml:space="preserve">De acuerdo con el contenido de su solicitud, en relación con los documentos tipo del sector de infraestructura social, esta Agencia resolverá los siguientes problemas jurídicos: i) </w:t>
      </w:r>
      <w:r w:rsidRPr="00BA1003">
        <w:rPr>
          <w:rFonts w:ascii="Verdana" w:eastAsia="Calibri" w:hAnsi="Verdana" w:cs="Arial"/>
          <w:bCs/>
          <w:kern w:val="2"/>
          <w:lang w:val="es-ES_tradnl" w:eastAsia="es-ES_tradnl"/>
          <w14:ligatures w14:val="standardContextual"/>
        </w:rPr>
        <w:t>¿Aplican los documentos tipo señalados para adelantar la restauración, reforzamiento estructural y conservación de un inmueble declara</w:t>
      </w:r>
      <w:r w:rsidR="00C31473">
        <w:rPr>
          <w:rFonts w:ascii="Verdana" w:eastAsia="Calibri" w:hAnsi="Verdana" w:cs="Arial"/>
          <w:bCs/>
          <w:kern w:val="2"/>
          <w:lang w:val="es-ES_tradnl" w:eastAsia="es-ES_tradnl"/>
          <w14:ligatures w14:val="standardContextual"/>
        </w:rPr>
        <w:t xml:space="preserve">do </w:t>
      </w:r>
      <w:r w:rsidRPr="00BA1003">
        <w:rPr>
          <w:rFonts w:ascii="Verdana" w:eastAsia="Calibri" w:hAnsi="Verdana" w:cs="Arial"/>
          <w:bCs/>
          <w:kern w:val="2"/>
          <w:lang w:val="es-ES_tradnl" w:eastAsia="es-ES_tradnl"/>
          <w14:ligatures w14:val="standardContextual"/>
        </w:rPr>
        <w:t xml:space="preserve"> bien de interés cultural?, </w:t>
      </w:r>
      <w:proofErr w:type="spellStart"/>
      <w:r w:rsidRPr="00BA1003">
        <w:rPr>
          <w:rFonts w:ascii="Verdana" w:eastAsia="Calibri" w:hAnsi="Verdana" w:cs="Arial"/>
          <w:bCs/>
          <w:kern w:val="2"/>
          <w:lang w:val="es-ES_tradnl" w:eastAsia="es-ES_tradnl"/>
          <w14:ligatures w14:val="standardContextual"/>
        </w:rPr>
        <w:t>ii</w:t>
      </w:r>
      <w:proofErr w:type="spellEnd"/>
      <w:r w:rsidRPr="00BA1003">
        <w:rPr>
          <w:rFonts w:ascii="Verdana" w:eastAsia="Calibri" w:hAnsi="Verdana" w:cs="Arial"/>
          <w:bCs/>
          <w:kern w:val="2"/>
          <w:lang w:val="es-ES_tradnl" w:eastAsia="es-ES_tradnl"/>
          <w14:ligatures w14:val="standardContextual"/>
        </w:rPr>
        <w:t xml:space="preserve">) ¿Aplican los documentos tipo señalados para contratar la interventoría sobre las obras señaladas?, </w:t>
      </w:r>
      <w:proofErr w:type="spellStart"/>
      <w:r w:rsidRPr="00BA1003">
        <w:rPr>
          <w:rFonts w:ascii="Verdana" w:eastAsia="Calibri" w:hAnsi="Verdana" w:cs="Arial"/>
          <w:bCs/>
          <w:kern w:val="2"/>
          <w:lang w:val="es-ES_tradnl" w:eastAsia="es-ES_tradnl"/>
          <w14:ligatures w14:val="standardContextual"/>
        </w:rPr>
        <w:t>iii</w:t>
      </w:r>
      <w:proofErr w:type="spellEnd"/>
      <w:r w:rsidRPr="00BA1003">
        <w:rPr>
          <w:rFonts w:ascii="Verdana" w:eastAsia="Calibri" w:hAnsi="Verdana" w:cs="Arial"/>
          <w:bCs/>
          <w:kern w:val="2"/>
          <w:lang w:val="es-ES_tradnl" w:eastAsia="es-ES_tradnl"/>
          <w14:ligatures w14:val="standardContextual"/>
        </w:rPr>
        <w:t xml:space="preserve">) ¿Se pueden establecer definiciones adicionales a las contenidas en el Anexo 5 – Glosario?, </w:t>
      </w:r>
      <w:proofErr w:type="spellStart"/>
      <w:r w:rsidRPr="00BA1003">
        <w:rPr>
          <w:rFonts w:ascii="Verdana" w:eastAsia="Calibri" w:hAnsi="Verdana" w:cs="Arial"/>
          <w:bCs/>
          <w:kern w:val="2"/>
          <w:lang w:val="es-ES_tradnl" w:eastAsia="es-ES_tradnl"/>
          <w14:ligatures w14:val="standardContextual"/>
        </w:rPr>
        <w:t>iv</w:t>
      </w:r>
      <w:proofErr w:type="spellEnd"/>
      <w:r w:rsidRPr="00BA1003">
        <w:rPr>
          <w:rFonts w:ascii="Verdana" w:eastAsia="Calibri" w:hAnsi="Verdana" w:cs="Arial"/>
          <w:bCs/>
          <w:kern w:val="2"/>
          <w:lang w:val="es-ES_tradnl" w:eastAsia="es-ES_tradnl"/>
          <w14:ligatures w14:val="standardContextual"/>
        </w:rPr>
        <w:t>)¿Aplican los documentos tipo señalados para objetos contractuales diferentes a contratos de obra pública? v) ¿Puede la entidad que adelanta el proceso establecer condiciones propias impuestas por autorizaciones o permisos</w:t>
      </w:r>
      <w:r w:rsidR="00FF4459">
        <w:rPr>
          <w:rFonts w:ascii="Verdana" w:eastAsia="Calibri" w:hAnsi="Verdana" w:cs="Arial"/>
          <w:bCs/>
          <w:kern w:val="2"/>
          <w:lang w:val="es-ES_tradnl" w:eastAsia="es-ES_tradnl"/>
          <w14:ligatures w14:val="standardContextual"/>
        </w:rPr>
        <w:t>?</w:t>
      </w:r>
      <w:r w:rsidRPr="00BA1003">
        <w:rPr>
          <w:rFonts w:ascii="Verdana" w:eastAsia="Calibri" w:hAnsi="Verdana" w:cs="Arial"/>
          <w:bCs/>
          <w:kern w:val="2"/>
          <w:lang w:val="es-ES_tradnl" w:eastAsia="es-ES_tradnl"/>
          <w14:ligatures w14:val="standardContextual"/>
        </w:rPr>
        <w:t xml:space="preserve"> vi) ¿Puede la entidad que adelanta el proceso solicitar que el oferente vincule a la ejecución del contrato a una persona determinada?</w:t>
      </w:r>
    </w:p>
    <w:p w14:paraId="3B9A8EB5" w14:textId="77777777" w:rsidR="00BA1003" w:rsidRPr="00BA1003" w:rsidRDefault="00BA1003" w:rsidP="00BA1003">
      <w:pPr>
        <w:spacing w:after="0" w:line="276" w:lineRule="auto"/>
        <w:jc w:val="both"/>
        <w:rPr>
          <w:rFonts w:ascii="Verdana" w:eastAsia="Century Gothic" w:hAnsi="Verdana" w:cs="Century Gothic"/>
          <w:lang w:val="es-ES_tradnl"/>
        </w:rPr>
      </w:pPr>
    </w:p>
    <w:p w14:paraId="336187CD" w14:textId="77777777" w:rsidR="00BA1003" w:rsidRPr="00BA1003" w:rsidRDefault="00BA1003" w:rsidP="00BA1003">
      <w:pPr>
        <w:tabs>
          <w:tab w:val="left" w:pos="142"/>
          <w:tab w:val="left" w:pos="284"/>
        </w:tabs>
        <w:spacing w:after="0" w:line="276" w:lineRule="auto"/>
        <w:contextualSpacing/>
        <w:jc w:val="both"/>
        <w:rPr>
          <w:rFonts w:ascii="Verdana" w:eastAsia="Century Gothic" w:hAnsi="Verdana" w:cs="Century Gothic"/>
          <w:b/>
          <w:bCs/>
          <w:lang w:val="es-ES"/>
        </w:rPr>
      </w:pPr>
      <w:r w:rsidRPr="00BA1003">
        <w:rPr>
          <w:rFonts w:ascii="Verdana" w:eastAsia="Century Gothic" w:hAnsi="Verdana" w:cs="Century Gothic"/>
          <w:b/>
          <w:bCs/>
          <w:lang w:val="es-ES"/>
        </w:rPr>
        <w:t>2. Respuestas:</w:t>
      </w:r>
    </w:p>
    <w:p w14:paraId="3FA39957" w14:textId="77777777" w:rsidR="00BA1003" w:rsidRPr="00BA1003" w:rsidRDefault="00BA1003" w:rsidP="00BA1003">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A1003" w:rsidRPr="00EC51CF" w14:paraId="31D3DDDE" w14:textId="77777777" w:rsidTr="00312E77">
        <w:trPr>
          <w:trHeight w:val="40"/>
        </w:trPr>
        <w:tc>
          <w:tcPr>
            <w:tcW w:w="8828" w:type="dxa"/>
            <w:tcBorders>
              <w:top w:val="dotted" w:sz="4" w:space="0" w:color="auto"/>
              <w:left w:val="dotted" w:sz="4" w:space="0" w:color="auto"/>
              <w:bottom w:val="dotted" w:sz="4" w:space="0" w:color="auto"/>
              <w:right w:val="dotted" w:sz="4" w:space="0" w:color="auto"/>
            </w:tcBorders>
          </w:tcPr>
          <w:p w14:paraId="023E7E98" w14:textId="1FC47141" w:rsidR="00BA1003" w:rsidRPr="0069795D" w:rsidRDefault="00BA1003" w:rsidP="00BA1003">
            <w:pPr>
              <w:spacing w:after="120" w:line="276" w:lineRule="auto"/>
              <w:jc w:val="both"/>
              <w:rPr>
                <w:rFonts w:ascii="Arial" w:eastAsia="Times New Roman" w:hAnsi="Arial" w:cs="Arial"/>
                <w:b/>
                <w:bCs/>
                <w:lang w:eastAsia="es-MX"/>
              </w:rPr>
            </w:pPr>
            <w:r w:rsidRPr="0069795D">
              <w:rPr>
                <w:rFonts w:ascii="Verdana" w:eastAsia="Aptos" w:hAnsi="Verdana" w:cs="Times New Roman"/>
              </w:rPr>
              <w:t xml:space="preserve">i) </w:t>
            </w:r>
            <w:r w:rsidRPr="0069795D">
              <w:rPr>
                <w:rFonts w:ascii="Verdana" w:eastAsia="Times New Roman" w:hAnsi="Verdana" w:cs="Times New Roman"/>
                <w:color w:val="000000"/>
                <w:lang w:eastAsia="es-CO"/>
              </w:rPr>
              <w:t xml:space="preserve">En los documentos tipo complementarios del sector cultura, recreación y deporte, en la modalidad de licitación pública, selección abreviada de menor cuantía y mínima cuantía, en la Matriz 1 se encuentran los siguientes tipos de infraestructura: 1. Obras de infraestructura cultural, 2. Obras de infraestructura </w:t>
            </w:r>
            <w:r w:rsidR="00DD26DB" w:rsidRPr="0069795D">
              <w:rPr>
                <w:rFonts w:ascii="Verdana" w:eastAsia="Times New Roman" w:hAnsi="Verdana" w:cs="Times New Roman"/>
                <w:color w:val="000000"/>
                <w:lang w:eastAsia="es-CO"/>
              </w:rPr>
              <w:t>recreo deportivas</w:t>
            </w:r>
            <w:r w:rsidRPr="0069795D">
              <w:rPr>
                <w:rFonts w:ascii="Verdana" w:eastAsia="Times New Roman" w:hAnsi="Verdana" w:cs="Times New Roman"/>
                <w:color w:val="000000"/>
                <w:lang w:eastAsia="es-CO"/>
              </w:rPr>
              <w:t xml:space="preserve">, 3. Obras en infraestructura del sector cultura, recreación y deporte, 4. Obras en bibliotecas públicas, y </w:t>
            </w:r>
            <w:r w:rsidRPr="0069795D">
              <w:rPr>
                <w:rFonts w:ascii="Verdana" w:eastAsia="Times New Roman" w:hAnsi="Verdana" w:cs="Arial"/>
                <w:lang w:eastAsia="es-MX"/>
              </w:rPr>
              <w:t>5.</w:t>
            </w:r>
            <w:r w:rsidRPr="0069795D">
              <w:rPr>
                <w:rFonts w:ascii="Verdana" w:eastAsia="Times New Roman" w:hAnsi="Verdana" w:cs="Arial"/>
                <w:b/>
                <w:bCs/>
                <w:lang w:eastAsia="es-MX"/>
              </w:rPr>
              <w:t xml:space="preserve"> </w:t>
            </w:r>
            <w:r w:rsidRPr="0069795D">
              <w:rPr>
                <w:rFonts w:ascii="Verdana" w:eastAsia="Times New Roman" w:hAnsi="Verdana" w:cs="Arial"/>
                <w:lang w:eastAsia="es-MX"/>
              </w:rPr>
              <w:t>obras para atención, prevención o mitigación de emergencias diferentes a contratación directa para el sector cultura, recreación y deporte.</w:t>
            </w:r>
            <w:r w:rsidRPr="0069795D">
              <w:rPr>
                <w:rFonts w:ascii="Arial" w:eastAsia="Times New Roman" w:hAnsi="Arial" w:cs="Arial"/>
                <w:lang w:eastAsia="es-MX"/>
              </w:rPr>
              <w:t xml:space="preserve"> </w:t>
            </w:r>
          </w:p>
          <w:p w14:paraId="328B347B" w14:textId="77777777" w:rsidR="00BA1003" w:rsidRPr="0069795D" w:rsidRDefault="00BA1003" w:rsidP="00BA1003">
            <w:pPr>
              <w:spacing w:line="276" w:lineRule="auto"/>
              <w:ind w:firstLine="708"/>
              <w:jc w:val="both"/>
              <w:rPr>
                <w:rFonts w:ascii="Verdana" w:eastAsia="Calibri" w:hAnsi="Verdana" w:cs="Times New Roman"/>
              </w:rPr>
            </w:pPr>
            <w:r w:rsidRPr="0069795D">
              <w:rPr>
                <w:rFonts w:ascii="Verdana" w:eastAsia="Calibri" w:hAnsi="Verdana" w:cs="Times New Roman"/>
              </w:rPr>
              <w:lastRenderedPageBreak/>
              <w:t xml:space="preserve">En los tipos de obras señaladas del sector cultura, recreación y deporte, se disponen las siguientes tres (3) actividades que recaen sobre bienes de interés cultural: </w:t>
            </w:r>
          </w:p>
          <w:p w14:paraId="2169336C" w14:textId="77777777" w:rsidR="00BA1003" w:rsidRPr="0069795D" w:rsidRDefault="00BA1003" w:rsidP="00BA1003">
            <w:pPr>
              <w:spacing w:line="276" w:lineRule="auto"/>
              <w:ind w:firstLine="708"/>
              <w:jc w:val="both"/>
              <w:rPr>
                <w:rFonts w:ascii="Verdana" w:eastAsia="Calibri" w:hAnsi="Verdana" w:cs="Times New Roman"/>
              </w:rPr>
            </w:pPr>
          </w:p>
          <w:p w14:paraId="5BE66D75" w14:textId="77777777" w:rsidR="00BA1003" w:rsidRPr="0069795D" w:rsidRDefault="00BA1003" w:rsidP="00BA1003">
            <w:pPr>
              <w:spacing w:after="120" w:line="276" w:lineRule="auto"/>
              <w:ind w:left="709" w:right="709"/>
              <w:jc w:val="both"/>
              <w:rPr>
                <w:rFonts w:ascii="Verdana" w:eastAsia="Calibri" w:hAnsi="Verdana" w:cs="Times New Roman"/>
                <w:sz w:val="21"/>
                <w:szCs w:val="21"/>
              </w:rPr>
            </w:pPr>
            <w:r w:rsidRPr="0069795D">
              <w:rPr>
                <w:rFonts w:ascii="Verdana" w:eastAsia="Calibri" w:hAnsi="Verdana" w:cs="Times New Roman"/>
                <w:sz w:val="21"/>
                <w:szCs w:val="21"/>
              </w:rPr>
              <w:t>“1.6.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CULTURAL.</w:t>
            </w:r>
          </w:p>
          <w:p w14:paraId="3201F653" w14:textId="77777777" w:rsidR="00BA1003" w:rsidRPr="0069795D" w:rsidRDefault="00BA1003" w:rsidP="00BA1003">
            <w:pPr>
              <w:spacing w:after="120" w:line="276" w:lineRule="auto"/>
              <w:ind w:right="709" w:firstLine="708"/>
              <w:jc w:val="both"/>
              <w:rPr>
                <w:rFonts w:ascii="Verdana" w:eastAsia="Calibri" w:hAnsi="Verdana" w:cs="Times New Roman"/>
                <w:sz w:val="21"/>
                <w:szCs w:val="21"/>
              </w:rPr>
            </w:pPr>
            <w:r w:rsidRPr="0069795D">
              <w:rPr>
                <w:rFonts w:ascii="Verdana" w:eastAsia="Calibri" w:hAnsi="Verdana" w:cs="Times New Roman"/>
                <w:sz w:val="21"/>
                <w:szCs w:val="21"/>
              </w:rPr>
              <w:t xml:space="preserve">(…) </w:t>
            </w:r>
          </w:p>
          <w:p w14:paraId="1053994F" w14:textId="77777777" w:rsidR="00BA1003" w:rsidRPr="0069795D" w:rsidRDefault="00BA1003" w:rsidP="00BA1003">
            <w:pPr>
              <w:spacing w:after="120" w:line="276" w:lineRule="auto"/>
              <w:ind w:left="709" w:right="709"/>
              <w:jc w:val="both"/>
              <w:rPr>
                <w:rFonts w:ascii="Verdana" w:eastAsia="Calibri" w:hAnsi="Verdana" w:cs="Times New Roman"/>
                <w:sz w:val="21"/>
                <w:szCs w:val="21"/>
              </w:rPr>
            </w:pPr>
            <w:r w:rsidRPr="0069795D">
              <w:rPr>
                <w:rFonts w:ascii="Verdana" w:eastAsia="Calibri" w:hAnsi="Verdana" w:cs="Times New Roman"/>
                <w:sz w:val="21"/>
                <w:szCs w:val="21"/>
              </w:rPr>
              <w:t>3.16.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DEL SECTOR DE CULTURA, RECREACIÓN Y DEPORTE.</w:t>
            </w:r>
          </w:p>
          <w:p w14:paraId="722D264A" w14:textId="77777777" w:rsidR="00BA1003" w:rsidRPr="0069795D" w:rsidRDefault="00BA1003" w:rsidP="00BA1003">
            <w:pPr>
              <w:spacing w:after="120" w:line="276" w:lineRule="auto"/>
              <w:ind w:right="709" w:firstLine="708"/>
              <w:jc w:val="both"/>
              <w:rPr>
                <w:rFonts w:ascii="Verdana" w:eastAsia="Calibri" w:hAnsi="Verdana" w:cs="Times New Roman"/>
                <w:sz w:val="21"/>
                <w:szCs w:val="21"/>
              </w:rPr>
            </w:pPr>
            <w:r w:rsidRPr="0069795D">
              <w:rPr>
                <w:rFonts w:ascii="Verdana" w:eastAsia="Calibri" w:hAnsi="Verdana" w:cs="Times New Roman"/>
                <w:sz w:val="21"/>
                <w:szCs w:val="21"/>
              </w:rPr>
              <w:t>(…)</w:t>
            </w:r>
          </w:p>
          <w:p w14:paraId="4922E6BC" w14:textId="77777777" w:rsidR="00BA1003" w:rsidRPr="0069795D" w:rsidRDefault="00BA1003" w:rsidP="00BA1003">
            <w:pPr>
              <w:spacing w:line="276" w:lineRule="auto"/>
              <w:ind w:left="709" w:right="709"/>
              <w:jc w:val="both"/>
              <w:rPr>
                <w:rFonts w:ascii="Verdana" w:eastAsia="Calibri" w:hAnsi="Verdana" w:cs="Times New Roman"/>
                <w:sz w:val="21"/>
                <w:szCs w:val="21"/>
              </w:rPr>
            </w:pPr>
            <w:r w:rsidRPr="0069795D">
              <w:rPr>
                <w:rFonts w:ascii="Verdana" w:eastAsia="Calibri" w:hAnsi="Verdana" w:cs="Times New Roman"/>
                <w:sz w:val="21"/>
                <w:szCs w:val="21"/>
              </w:rPr>
              <w:t xml:space="preserve">4.6.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w:t>
            </w:r>
            <w:r w:rsidRPr="0069795D">
              <w:rPr>
                <w:rFonts w:ascii="Verdana" w:eastAsia="Calibri" w:hAnsi="Verdana" w:cs="Times New Roman"/>
                <w:sz w:val="21"/>
                <w:szCs w:val="21"/>
              </w:rPr>
              <w:lastRenderedPageBreak/>
              <w:t xml:space="preserve">BIENES DE INTERÉS CULTURAL Y/O CONSERVACIÓN PATRIMONIAL ASOCIADA A INFRAESTRUCTURA DE BIBLIOTECAS”. </w:t>
            </w:r>
          </w:p>
          <w:p w14:paraId="5AFA8BE4" w14:textId="77777777" w:rsidR="00BA1003" w:rsidRPr="0069795D" w:rsidRDefault="00BA1003" w:rsidP="00BA1003">
            <w:pPr>
              <w:spacing w:line="276" w:lineRule="auto"/>
              <w:ind w:firstLine="708"/>
              <w:jc w:val="both"/>
              <w:rPr>
                <w:rFonts w:ascii="Verdana" w:eastAsia="Calibri" w:hAnsi="Verdana" w:cs="Times New Roman"/>
              </w:rPr>
            </w:pPr>
          </w:p>
          <w:p w14:paraId="58D5A29D" w14:textId="7364B41D" w:rsidR="00BA1003" w:rsidRPr="0069795D" w:rsidRDefault="00BA1003" w:rsidP="00BA1003">
            <w:pPr>
              <w:spacing w:after="120" w:line="276" w:lineRule="auto"/>
              <w:ind w:firstLine="708"/>
              <w:jc w:val="both"/>
              <w:rPr>
                <w:rFonts w:ascii="Verdana" w:eastAsia="Calibri" w:hAnsi="Verdana" w:cs="Arial"/>
                <w:color w:val="0D0D0D"/>
              </w:rPr>
            </w:pPr>
            <w:r w:rsidRPr="0069795D">
              <w:rPr>
                <w:rFonts w:ascii="Verdana" w:eastAsia="Calibri" w:hAnsi="Verdana" w:cs="Times New Roman"/>
              </w:rPr>
              <w:t>De acuerdo con las actividades que recaen sobre bienes de interés cultura</w:t>
            </w:r>
            <w:r w:rsidR="00F343CD" w:rsidRPr="0069795D">
              <w:rPr>
                <w:rFonts w:ascii="Verdana" w:eastAsia="Calibri" w:hAnsi="Verdana" w:cs="Times New Roman"/>
              </w:rPr>
              <w:t>l</w:t>
            </w:r>
            <w:r w:rsidRPr="0069795D">
              <w:rPr>
                <w:rFonts w:ascii="Verdana" w:eastAsia="Calibri" w:hAnsi="Verdana" w:cs="Times New Roman"/>
              </w:rPr>
              <w:t>, la entidad que adelanta el proceso de selección deberá identificar si los bienes pertenecen al sector cultura -actividad 1.6-; sector cultura, recreación y deporte -actividad 3.16-; o infraestructura asociada a bibliotecas -actividad 4.6-. Ahora bien, sobre el tipo de infraestructura señalado aplican actividades tales</w:t>
            </w:r>
            <w:r w:rsidR="0097431C" w:rsidRPr="0069795D">
              <w:rPr>
                <w:rFonts w:ascii="Verdana" w:eastAsia="Calibri" w:hAnsi="Verdana" w:cs="Times New Roman"/>
              </w:rPr>
              <w:t xml:space="preserve"> como</w:t>
            </w:r>
            <w:r w:rsidR="00000943" w:rsidRPr="0069795D">
              <w:rPr>
                <w:rFonts w:ascii="Verdana" w:eastAsia="Calibri" w:hAnsi="Verdana" w:cs="Times New Roman"/>
              </w:rPr>
              <w:t xml:space="preserve"> </w:t>
            </w:r>
            <w:r w:rsidRPr="0069795D">
              <w:rPr>
                <w:rFonts w:ascii="Verdana" w:eastAsia="Calibri" w:hAnsi="Verdana" w:cs="Times New Roman"/>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w:t>
            </w:r>
          </w:p>
          <w:p w14:paraId="16CC3362" w14:textId="723EA370" w:rsidR="00BA1003" w:rsidRPr="0069795D" w:rsidRDefault="00BA1003" w:rsidP="00BA1003">
            <w:pPr>
              <w:spacing w:line="276" w:lineRule="auto"/>
              <w:ind w:firstLine="708"/>
              <w:jc w:val="both"/>
              <w:rPr>
                <w:rFonts w:ascii="Verdana" w:eastAsia="Calibri" w:hAnsi="Verdana" w:cs="Arial"/>
                <w:lang w:val="es-ES"/>
              </w:rPr>
            </w:pPr>
            <w:r w:rsidRPr="0069795D">
              <w:rPr>
                <w:rFonts w:ascii="Verdana" w:eastAsia="Calibri" w:hAnsi="Verdana" w:cs="Arial"/>
                <w:lang w:val="es-ES"/>
              </w:rPr>
              <w:t>Así las cosas, la Agencia Nacional de Contratación Pública – Colombia Compra Eficiente le informa que a partir del 16 de febrero de 2026, si una entidad de aquellas obligadas a utilizar los documentos tipo expedidos por esta Entidad adelanta un proceso que tenga por objeto las actividades señaladas</w:t>
            </w:r>
            <w:r w:rsidRPr="0069795D">
              <w:rPr>
                <w:rFonts w:ascii="Verdana" w:eastAsia="Calibri" w:hAnsi="Verdana" w:cs="Calibri"/>
              </w:rPr>
              <w:t xml:space="preserve">, en bienes de interés cultural, del </w:t>
            </w:r>
            <w:r w:rsidRPr="0069795D">
              <w:rPr>
                <w:rFonts w:ascii="Verdana" w:eastAsia="Calibri" w:hAnsi="Verdana" w:cs="Times New Roman"/>
              </w:rPr>
              <w:t>sector cultura, recreación y deporte o infraestructura asociada a bibliotecas,</w:t>
            </w:r>
            <w:r w:rsidRPr="0069795D">
              <w:rPr>
                <w:rFonts w:ascii="Verdana" w:eastAsia="Calibri" w:hAnsi="Verdana" w:cs="Calibri"/>
              </w:rPr>
              <w:t xml:space="preserve"> </w:t>
            </w:r>
            <w:r w:rsidRPr="0069795D">
              <w:rPr>
                <w:rFonts w:ascii="Verdana" w:eastAsia="Calibri" w:hAnsi="Verdana" w:cs="Arial"/>
                <w:lang w:val="es-ES"/>
              </w:rPr>
              <w:t xml:space="preserve">deberá aplicar los documentos tipo complementarios del sector cultura, recreación y deporte acogidos por esta Agencia mediante las Resoluciones 539, 540 y 541 de 2025, según el proyecto se adelante por la modalidad de licitación de obra pública, selección abreviada de menor cuantía o mínima cuantía, en donde se encuentran dispuestas las actividades 1.6, 3.16 y 4.6 aplicables a los proyectos por los que se indagan en su solicitud. </w:t>
            </w:r>
          </w:p>
          <w:p w14:paraId="32DC01FB" w14:textId="77777777" w:rsidR="00BA1003" w:rsidRPr="0069795D" w:rsidRDefault="00BA1003" w:rsidP="00BA1003">
            <w:pPr>
              <w:spacing w:line="276" w:lineRule="auto"/>
              <w:ind w:firstLine="708"/>
              <w:jc w:val="both"/>
              <w:rPr>
                <w:rFonts w:ascii="Verdana" w:eastAsia="Calibri" w:hAnsi="Verdana" w:cs="Arial"/>
                <w:lang w:val="es-ES"/>
              </w:rPr>
            </w:pPr>
          </w:p>
          <w:p w14:paraId="12FA0DB4" w14:textId="3E6A9158" w:rsidR="00BA1003" w:rsidRPr="0069795D" w:rsidRDefault="00BA1003" w:rsidP="00BB6BF2">
            <w:pPr>
              <w:snapToGrid w:val="0"/>
              <w:spacing w:after="120" w:line="276" w:lineRule="auto"/>
              <w:jc w:val="both"/>
              <w:rPr>
                <w:rFonts w:ascii="Verdana" w:eastAsia="Aptos" w:hAnsi="Verdana" w:cs="Times New Roman"/>
              </w:rPr>
            </w:pPr>
            <w:proofErr w:type="spellStart"/>
            <w:r w:rsidRPr="0069795D">
              <w:rPr>
                <w:rFonts w:ascii="Verdana" w:eastAsia="Calibri" w:hAnsi="Verdana" w:cs="Arial"/>
                <w:lang w:val="es-ES"/>
              </w:rPr>
              <w:t>ii</w:t>
            </w:r>
            <w:proofErr w:type="spellEnd"/>
            <w:r w:rsidRPr="0069795D">
              <w:rPr>
                <w:rFonts w:ascii="Verdana" w:eastAsia="Calibri" w:hAnsi="Verdana" w:cs="Arial"/>
                <w:lang w:val="es-ES"/>
              </w:rPr>
              <w:t xml:space="preserve">) Sobre los proyectos de obra señalados, si la entidad que adelanta el proceso requiere contratar la interventoría, para el particular, los documentos tipo acogidos por esta Agencia Mediante la Resolución 953 de 2025, </w:t>
            </w:r>
            <w:r w:rsidRPr="0069795D">
              <w:rPr>
                <w:rFonts w:ascii="Verdana" w:eastAsia="Aptos" w:hAnsi="Verdana" w:cs="Times New Roman"/>
              </w:rPr>
              <w:t xml:space="preserve">aplican para los procesos de contratación que se adelantan bajo la modalidad de concurso de méritos para contratar la interventoría de obras públicas de infraestructura social. Particularmente, se encuentran los documentos tipo complementarios del sector cultura, recreación y deporte, que contienen la Matriz 1 – Experiencia, en donde se estandarizan las actividades 1.6, 3.16 y 4.6 </w:t>
            </w:r>
            <w:r w:rsidRPr="0069795D">
              <w:rPr>
                <w:rFonts w:ascii="Verdana" w:eastAsia="Aptos" w:hAnsi="Verdana" w:cs="Times New Roman"/>
              </w:rPr>
              <w:lastRenderedPageBreak/>
              <w:t>aplicables para contratar la interventoría sobre bienes de interés cultural, en ese sector.</w:t>
            </w:r>
          </w:p>
          <w:p w14:paraId="1DEC5EAD" w14:textId="20B19317" w:rsidR="00BA1003" w:rsidRPr="0069795D" w:rsidRDefault="00BA1003" w:rsidP="00BB6BF2">
            <w:pPr>
              <w:spacing w:after="120" w:line="276" w:lineRule="auto"/>
              <w:ind w:firstLine="708"/>
              <w:jc w:val="both"/>
              <w:rPr>
                <w:rFonts w:ascii="Verdana" w:eastAsia="Calibri" w:hAnsi="Verdana" w:cs="Arial"/>
                <w:lang w:val="es-ES"/>
              </w:rPr>
            </w:pPr>
            <w:r w:rsidRPr="0069795D">
              <w:rPr>
                <w:rFonts w:ascii="Verdana" w:eastAsia="Calibri" w:hAnsi="Verdana" w:cs="Arial"/>
                <w:lang w:val="es-ES"/>
              </w:rPr>
              <w:t xml:space="preserve">Así, para realizar la interventoría sobre contratos de obra que tengan por objeto la </w:t>
            </w:r>
            <w:r w:rsidRPr="0069795D">
              <w:rPr>
                <w:rFonts w:ascii="Verdana" w:eastAsia="Calibri" w:hAnsi="Verdana" w:cs="Calibri"/>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del </w:t>
            </w:r>
            <w:r w:rsidRPr="0069795D">
              <w:rPr>
                <w:rFonts w:ascii="Verdana" w:eastAsia="Calibri" w:hAnsi="Verdana" w:cs="Times New Roman"/>
              </w:rPr>
              <w:t xml:space="preserve">sector cultura, recreación y deporte o infraestructura asociada a bibliotecas, mediante los documentos tipo acogidos por esta Agencia mediante la Resolución 953 de 2025 se estandarizan las condiciones de experiencia general y específica que debe solicitar la entidad en esos procesos de selección. Por lo tanto, estos documentos serán obligatorios para adelantar las interventorías señaladas, para aquellas entidades obligadas a utilizar los documentos tipo a </w:t>
            </w:r>
            <w:r w:rsidRPr="0069795D">
              <w:rPr>
                <w:rFonts w:ascii="Verdana" w:eastAsia="Calibri" w:hAnsi="Verdana" w:cs="Arial"/>
                <w:lang w:val="es-ES"/>
              </w:rPr>
              <w:t xml:space="preserve">partir del 16 de febrero de 2026. </w:t>
            </w:r>
          </w:p>
          <w:p w14:paraId="0FF8D3BD" w14:textId="77777777" w:rsidR="00BA1003" w:rsidRPr="0069795D" w:rsidRDefault="00BA1003" w:rsidP="00BA1003">
            <w:pPr>
              <w:spacing w:line="276" w:lineRule="auto"/>
              <w:ind w:firstLine="708"/>
              <w:jc w:val="both"/>
              <w:rPr>
                <w:rFonts w:ascii="Verdana" w:eastAsia="Calibri" w:hAnsi="Verdana" w:cs="Arial"/>
                <w:lang w:val="es-ES"/>
              </w:rPr>
            </w:pPr>
          </w:p>
          <w:p w14:paraId="57DFB8AC" w14:textId="77777777" w:rsidR="00BA1003" w:rsidRPr="0069795D" w:rsidRDefault="00BA1003" w:rsidP="00BA1003">
            <w:pPr>
              <w:spacing w:line="276" w:lineRule="auto"/>
              <w:jc w:val="both"/>
              <w:rPr>
                <w:rFonts w:ascii="Verdana" w:eastAsia="Aptos" w:hAnsi="Verdana" w:cs="Times New Roman"/>
              </w:rPr>
            </w:pPr>
            <w:proofErr w:type="spellStart"/>
            <w:r w:rsidRPr="0069795D">
              <w:rPr>
                <w:rFonts w:ascii="Verdana" w:eastAsia="Calibri" w:hAnsi="Verdana" w:cs="Arial"/>
                <w:lang w:val="es-ES"/>
              </w:rPr>
              <w:t>iii</w:t>
            </w:r>
            <w:proofErr w:type="spellEnd"/>
            <w:r w:rsidRPr="0069795D">
              <w:rPr>
                <w:rFonts w:ascii="Verdana" w:eastAsia="Calibri" w:hAnsi="Verdana" w:cs="Arial"/>
                <w:lang w:val="es-ES"/>
              </w:rPr>
              <w:t xml:space="preserve">) El Anexo 5 – Glosario de los documentos tipo de licitación de obra pública de infraestructura social – versión 2, en la parte introductoria de este documento para efectos de interpretación del pliego de condiciones, indica </w:t>
            </w:r>
            <w:r w:rsidRPr="0069795D">
              <w:rPr>
                <w:rFonts w:ascii="Verdana" w:eastAsia="Aptos" w:hAnsi="Verdana" w:cs="Times New Roman"/>
                <w:lang w:val="es-ES"/>
              </w:rPr>
              <w:t xml:space="preserve">que la entidad deberá incluir </w:t>
            </w:r>
            <w:r w:rsidRPr="0069795D">
              <w:rPr>
                <w:rFonts w:ascii="Verdana" w:eastAsia="Aptos" w:hAnsi="Verdana" w:cs="Times New Roman"/>
              </w:rPr>
              <w:t>en orden alfabético, los conceptos y/o definiciones adicionales que apliquen al proceso de contratación y que no se encuentren en el anexo, siempre que estén establecidos en una norma de mayor jerarquía que el pliego de condiciones, los cuales serán obligatorios aunque no estén expresamente detallados. Asimismo, señala que la entidad puede incorporar definiciones propias o que no estén reguladas en normas superiores, siempre que las redacte de manera clara, amplia y precisa, evitando ambigüedades o contradicciones con el significado técnico y jurídico comúnmente aceptado. Finalmente, se permite que la entidad utilice las definiciones contenidas en los glosarios de los documentos tipo vigentes expedidos por esta Agencia cuando sea necesario.</w:t>
            </w:r>
          </w:p>
          <w:p w14:paraId="3CBC9579" w14:textId="77777777" w:rsidR="00BA1003" w:rsidRPr="0069795D" w:rsidRDefault="00BA1003" w:rsidP="00BA1003">
            <w:pPr>
              <w:spacing w:line="276" w:lineRule="auto"/>
              <w:jc w:val="both"/>
              <w:rPr>
                <w:rFonts w:ascii="Verdana" w:eastAsia="Aptos" w:hAnsi="Verdana" w:cs="Times New Roman"/>
              </w:rPr>
            </w:pPr>
          </w:p>
          <w:p w14:paraId="29BF0785" w14:textId="77777777" w:rsidR="00BA1003" w:rsidRPr="0069795D" w:rsidRDefault="00BA1003" w:rsidP="00BA1003">
            <w:pPr>
              <w:spacing w:after="120" w:line="276" w:lineRule="auto"/>
              <w:jc w:val="both"/>
              <w:rPr>
                <w:rFonts w:ascii="Verdana" w:eastAsia="Times New Roman" w:hAnsi="Verdana" w:cs="Arial"/>
                <w:shd w:val="clear" w:color="auto" w:fill="FFFFFF"/>
                <w:lang w:val="es-ES_tradnl" w:eastAsia="es-ES_tradnl"/>
              </w:rPr>
            </w:pPr>
            <w:proofErr w:type="spellStart"/>
            <w:r w:rsidRPr="0069795D">
              <w:rPr>
                <w:rFonts w:ascii="Verdana" w:eastAsia="Aptos" w:hAnsi="Verdana" w:cs="Times New Roman"/>
              </w:rPr>
              <w:t>iv</w:t>
            </w:r>
            <w:proofErr w:type="spellEnd"/>
            <w:r w:rsidRPr="0069795D">
              <w:rPr>
                <w:rFonts w:ascii="Verdana" w:eastAsia="Aptos" w:hAnsi="Verdana" w:cs="Times New Roman"/>
              </w:rPr>
              <w:t xml:space="preserve">) </w:t>
            </w:r>
            <w:r w:rsidRPr="0069795D">
              <w:rPr>
                <w:rFonts w:ascii="Verdana" w:eastAsia="Times New Roman" w:hAnsi="Verdana" w:cs="Arial"/>
                <w:shd w:val="clear" w:color="auto" w:fill="FFFFFF"/>
                <w:lang w:val="es-ES_tradnl" w:eastAsia="es-ES_tradnl"/>
              </w:rPr>
              <w:t xml:space="preserve">Los documentos tipo adoptados por la Agencia Nacional de Contratación Pública </w:t>
            </w:r>
            <w:r w:rsidRPr="0069795D">
              <w:rPr>
                <w:rFonts w:ascii="Verdana" w:eastAsia="Symbol" w:hAnsi="Verdana" w:cs="Symbol"/>
                <w:shd w:val="clear" w:color="auto" w:fill="FFFFFF"/>
                <w:lang w:val="es-ES_tradnl" w:eastAsia="es-ES_tradnl"/>
              </w:rPr>
              <w:t>–</w:t>
            </w:r>
            <w:r w:rsidRPr="0069795D">
              <w:rPr>
                <w:rFonts w:ascii="Verdana" w:eastAsia="Times New Roman" w:hAnsi="Verdana" w:cs="Arial"/>
                <w:shd w:val="clear" w:color="auto" w:fill="FFFFFF"/>
                <w:lang w:val="es-ES_tradnl" w:eastAsia="es-ES_tradnl"/>
              </w:rPr>
              <w:t xml:space="preserve"> Colombia Compra eficiente</w:t>
            </w:r>
            <w:r w:rsidRPr="0069795D">
              <w:rPr>
                <w:rFonts w:ascii="Verdana" w:eastAsia="Aptos" w:hAnsi="Verdana" w:cs="Times New Roman"/>
                <w:lang w:val="es-ES_tradnl"/>
              </w:rPr>
              <w:t xml:space="preserve"> en el sector de infraestructura social</w:t>
            </w:r>
            <w:r w:rsidRPr="0069795D">
              <w:rPr>
                <w:rFonts w:ascii="Verdana" w:eastAsia="Times New Roman" w:hAnsi="Verdana" w:cs="Arial"/>
                <w:shd w:val="clear" w:color="auto" w:fill="FFFFFF"/>
                <w:lang w:val="es-ES_tradnl" w:eastAsia="es-ES_tradnl"/>
              </w:rPr>
              <w:t>, aplican para los procesos de “</w:t>
            </w:r>
            <w:r w:rsidRPr="0069795D">
              <w:rPr>
                <w:rFonts w:ascii="Verdana" w:eastAsia="Times New Roman" w:hAnsi="Verdana" w:cs="Arial"/>
                <w:i/>
                <w:iCs/>
                <w:shd w:val="clear" w:color="auto" w:fill="FFFFFF"/>
                <w:lang w:val="es-ES_tradnl" w:eastAsia="es-ES_tradnl"/>
              </w:rPr>
              <w:t>obra pública”</w:t>
            </w:r>
            <w:r w:rsidRPr="0069795D">
              <w:rPr>
                <w:rFonts w:ascii="Verdana" w:eastAsia="Times New Roman" w:hAnsi="Verdana" w:cs="Arial"/>
                <w:shd w:val="clear" w:color="auto" w:fill="FFFFFF"/>
                <w:lang w:val="es-ES_tradnl" w:eastAsia="es-ES_tradnl"/>
              </w:rPr>
              <w:t xml:space="preserve"> en las modalidades de selección </w:t>
            </w:r>
            <w:r w:rsidRPr="0069795D">
              <w:rPr>
                <w:rFonts w:ascii="Verdana" w:eastAsia="Times New Roman" w:hAnsi="Verdana" w:cs="Arial"/>
                <w:shd w:val="clear" w:color="auto" w:fill="FFFFFF"/>
                <w:lang w:val="es-ES_tradnl" w:eastAsia="es-ES_tradnl"/>
              </w:rPr>
              <w:lastRenderedPageBreak/>
              <w:t>acogidas: licitación pública, selección abreviada de menor cuantía y mínima cuantía.</w:t>
            </w:r>
          </w:p>
          <w:p w14:paraId="20903483" w14:textId="77777777" w:rsidR="00BA1003" w:rsidRPr="0069795D" w:rsidRDefault="00BA1003" w:rsidP="00BA1003">
            <w:pPr>
              <w:spacing w:after="120" w:line="276" w:lineRule="auto"/>
              <w:ind w:firstLine="708"/>
              <w:jc w:val="both"/>
              <w:rPr>
                <w:rFonts w:ascii="Verdana" w:eastAsia="Calibri" w:hAnsi="Verdana" w:cs="Times New Roman"/>
              </w:rPr>
            </w:pPr>
            <w:r w:rsidRPr="0069795D">
              <w:rPr>
                <w:rFonts w:ascii="Verdana" w:eastAsia="Calibri" w:hAnsi="Verdana" w:cs="Times New Roman"/>
              </w:rPr>
              <w:t>En sentido amplio, dado que la “obra” es un bien que crea la actividad humana, el hecho de que sea “pública” significa que es todo trabajo material en cuya creación o realización interviene el Estado. No obstante, el numeral 1 del artículo 32 de la Ley 80 de 1993 opta por un sentido restringido,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p>
          <w:p w14:paraId="573B4C19" w14:textId="77777777" w:rsidR="00BA1003" w:rsidRPr="0069795D" w:rsidRDefault="00BA1003" w:rsidP="00BA1003">
            <w:pPr>
              <w:snapToGrid w:val="0"/>
              <w:spacing w:after="120" w:line="276" w:lineRule="auto"/>
              <w:ind w:firstLine="705"/>
              <w:jc w:val="both"/>
              <w:textAlignment w:val="baseline"/>
              <w:rPr>
                <w:rFonts w:ascii="Verdana" w:eastAsia="Times New Roman" w:hAnsi="Verdana" w:cs="Arial"/>
                <w:color w:val="000000"/>
                <w:lang w:eastAsia="es-MX"/>
              </w:rPr>
            </w:pPr>
            <w:r w:rsidRPr="0069795D">
              <w:rPr>
                <w:rFonts w:ascii="Verdana" w:eastAsia="Times New Roman" w:hAnsi="Verdana" w:cs="Arial"/>
                <w:color w:val="000000"/>
                <w:lang w:val="es-ES" w:eastAsia="es-MX"/>
              </w:rPr>
              <w:t>La naturaleza inmueble del bien sobre el que se realizan las actividades es determinante para saber si está ante un contrato de obra pública, ya que de este tipo contractual se encuentran excluidos trabajos materiales realizados sobre bienes muebles, por lo que estos corresponderían a un tipo contractual diferente. Esto supone que, en caso de que las prestaciones a 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contratista, en los términos de la autonomía de la voluntad de las partes, de acuerdo con lo previsto en los artículos 32 y 40 de la Ley 80 de 1993. </w:t>
            </w:r>
            <w:r w:rsidRPr="0069795D">
              <w:rPr>
                <w:rFonts w:ascii="Verdana" w:eastAsia="Times New Roman" w:hAnsi="Verdana" w:cs="Arial"/>
                <w:color w:val="000000"/>
                <w:lang w:eastAsia="es-MX"/>
              </w:rPr>
              <w:t> </w:t>
            </w:r>
          </w:p>
          <w:p w14:paraId="18E33200" w14:textId="77777777" w:rsidR="00BA1003" w:rsidRPr="0069795D" w:rsidRDefault="00BA1003" w:rsidP="00BA1003">
            <w:pPr>
              <w:snapToGrid w:val="0"/>
              <w:spacing w:after="120" w:line="276" w:lineRule="auto"/>
              <w:ind w:firstLine="705"/>
              <w:jc w:val="both"/>
              <w:textAlignment w:val="baseline"/>
              <w:rPr>
                <w:rFonts w:ascii="Verdana" w:eastAsia="Times New Roman" w:hAnsi="Verdana" w:cs="Arial"/>
                <w:color w:val="000000"/>
                <w:lang w:val="es-ES" w:eastAsia="es-MX"/>
              </w:rPr>
            </w:pPr>
            <w:r w:rsidRPr="0069795D">
              <w:rPr>
                <w:rFonts w:ascii="Verdana" w:eastAsia="Times New Roman" w:hAnsi="Verdana" w:cs="Arial"/>
                <w:b/>
                <w:bCs/>
                <w:color w:val="000000"/>
                <w:lang w:val="es-ES" w:eastAsia="es-MX"/>
              </w:rPr>
              <w:t xml:space="preserve">Con todo, es pertinente resaltar que la determinación de celebrar o no un contrato de obra pública depende exclusivamente del análisis, caso a caso, efectuado por cada entidad estatal. </w:t>
            </w:r>
            <w:r w:rsidRPr="0069795D">
              <w:rPr>
                <w:rFonts w:ascii="Verdana" w:eastAsia="Times New Roman" w:hAnsi="Verdana" w:cs="Arial"/>
                <w:color w:val="000000"/>
                <w:lang w:val="es-ES" w:eastAsia="es-MX"/>
              </w:rPr>
              <w:t>Es</w:t>
            </w:r>
            <w:r w:rsidRPr="0069795D">
              <w:rPr>
                <w:rFonts w:ascii="Verdana" w:eastAsia="Times New Roman" w:hAnsi="Verdana" w:cs="Arial"/>
                <w:b/>
                <w:bCs/>
                <w:color w:val="000000"/>
                <w:lang w:val="es-ES" w:eastAsia="es-MX"/>
              </w:rPr>
              <w:t xml:space="preserve"> </w:t>
            </w:r>
            <w:r w:rsidRPr="0069795D">
              <w:rPr>
                <w:rFonts w:ascii="Verdana" w:eastAsia="Times New Roman" w:hAnsi="Verdana" w:cs="Arial"/>
                <w:color w:val="000000"/>
                <w:lang w:val="es-ES" w:eastAsia="es-MX"/>
              </w:rPr>
              <w:t xml:space="preserve">decir, utilizar esta tipología contractual dependerá de la necesidad específica que pretenda satisfacer la entidad pública. Lo anterior, porque en ejercicio de su </w:t>
            </w:r>
            <w:r w:rsidRPr="0069795D">
              <w:rPr>
                <w:rFonts w:ascii="Verdana" w:eastAsia="Times New Roman" w:hAnsi="Verdana" w:cs="Arial"/>
                <w:color w:val="000000"/>
                <w:lang w:val="es-ES" w:eastAsia="es-MX"/>
              </w:rPr>
              <w:lastRenderedPageBreak/>
              <w:t>autonomía negocial y discrecionalidad, la entidad estatal puede considerar que la necesidad a satisfacer encuadra más en determinada tipología contractual.</w:t>
            </w:r>
          </w:p>
          <w:p w14:paraId="5F01F873" w14:textId="77777777" w:rsidR="00BA1003" w:rsidRPr="0069795D" w:rsidRDefault="00BA1003" w:rsidP="00BA1003">
            <w:pPr>
              <w:snapToGrid w:val="0"/>
              <w:spacing w:line="276" w:lineRule="auto"/>
              <w:ind w:firstLine="705"/>
              <w:jc w:val="both"/>
              <w:textAlignment w:val="baseline"/>
              <w:rPr>
                <w:rFonts w:ascii="Verdana" w:eastAsia="Times New Roman" w:hAnsi="Verdana" w:cs="Arial"/>
                <w:color w:val="000000"/>
                <w:lang w:val="es-ES" w:eastAsia="es-MX"/>
              </w:rPr>
            </w:pPr>
            <w:r w:rsidRPr="0069795D">
              <w:rPr>
                <w:rFonts w:ascii="Verdana" w:eastAsia="Times New Roman" w:hAnsi="Verdana" w:cs="Arial"/>
                <w:color w:val="000000"/>
                <w:lang w:val="es-ES" w:eastAsia="es-MX"/>
              </w:rPr>
              <w:t xml:space="preserve">Sin perjuicio de lo anterior, debe tenerse en cuenta por parte de la entidad que adelanta el proceso de contratación con los documentos tipo expedidos por esta Agencia, la posibilidad de solicitar experiencia adicional cuando la entidad requiere obras, bienes o servicios que no se encuentran incluidos como obra de infraestructura social. Estas consideraciones se desarrollan en el punto </w:t>
            </w:r>
            <w:proofErr w:type="spellStart"/>
            <w:r w:rsidRPr="0069795D">
              <w:rPr>
                <w:rFonts w:ascii="Verdana" w:eastAsia="Times New Roman" w:hAnsi="Verdana" w:cs="Arial"/>
                <w:color w:val="000000"/>
                <w:lang w:val="es-ES" w:eastAsia="es-MX"/>
              </w:rPr>
              <w:t>iv</w:t>
            </w:r>
            <w:proofErr w:type="spellEnd"/>
            <w:r w:rsidRPr="0069795D">
              <w:rPr>
                <w:rFonts w:ascii="Verdana" w:eastAsia="Times New Roman" w:hAnsi="Verdana" w:cs="Arial"/>
                <w:color w:val="000000"/>
                <w:lang w:val="es-ES" w:eastAsia="es-MX"/>
              </w:rPr>
              <w:t xml:space="preserve"> de este concepto. </w:t>
            </w:r>
          </w:p>
          <w:p w14:paraId="69A5346F" w14:textId="77777777" w:rsidR="00BA1003" w:rsidRPr="0069795D" w:rsidRDefault="00BA1003" w:rsidP="00BA1003">
            <w:pPr>
              <w:spacing w:line="276" w:lineRule="auto"/>
              <w:jc w:val="both"/>
              <w:rPr>
                <w:rFonts w:ascii="Verdana" w:eastAsia="Calibri" w:hAnsi="Verdana" w:cs="Arial"/>
              </w:rPr>
            </w:pPr>
          </w:p>
          <w:p w14:paraId="01D96C4E" w14:textId="78ECE7C9" w:rsidR="00BA1003" w:rsidRPr="0069795D" w:rsidRDefault="00BA1003" w:rsidP="00BA1003">
            <w:pPr>
              <w:spacing w:after="120" w:line="276" w:lineRule="auto"/>
              <w:jc w:val="both"/>
              <w:textAlignment w:val="baseline"/>
              <w:rPr>
                <w:rFonts w:ascii="Arial" w:eastAsia="Calibri" w:hAnsi="Arial" w:cs="Arial"/>
              </w:rPr>
            </w:pPr>
            <w:r w:rsidRPr="0069795D">
              <w:rPr>
                <w:rFonts w:ascii="Aptos" w:eastAsia="Calibri" w:hAnsi="Aptos" w:cs="Times New Roman"/>
              </w:rPr>
              <w:t xml:space="preserve">v) </w:t>
            </w:r>
            <w:r w:rsidRPr="0069795D">
              <w:rPr>
                <w:rFonts w:ascii="Verdana" w:eastAsia="Calibri" w:hAnsi="Verdana" w:cs="Arial"/>
              </w:rPr>
              <w:t>El “Anexo 1 – Anexo Técnico” hace parte de los documentos tipo de obra de infraestructura social. Este contiene parámetros obligatorios para las entidades estatales sometidas al Estatuto General de Contratación de la Administración Pública que adelanten estos contratos. Este documento es inalterable y las entidades estatales no pueden incluir, modificar o exigir en ese anexo requisitos adicionales, condiciones habilitantes o factores técnicos y económicos, diferentes a los señalados, salvo cuando de forma expresa lo determine el documento, es decir, en los aspectos incluidos en corchetes y resaltados en gris.</w:t>
            </w:r>
            <w:r w:rsidRPr="0069795D">
              <w:rPr>
                <w:rFonts w:ascii="Arial" w:eastAsia="Calibri" w:hAnsi="Arial" w:cs="Arial"/>
              </w:rPr>
              <w:t xml:space="preserve"> </w:t>
            </w:r>
          </w:p>
          <w:p w14:paraId="0D1CA7FB" w14:textId="77777777" w:rsidR="00BA1003" w:rsidRPr="0069795D" w:rsidRDefault="00BA1003" w:rsidP="00BA1003">
            <w:pPr>
              <w:spacing w:before="120" w:after="120" w:line="276" w:lineRule="auto"/>
              <w:ind w:firstLine="709"/>
              <w:jc w:val="both"/>
              <w:rPr>
                <w:rFonts w:ascii="Aptos" w:eastAsia="Aptos" w:hAnsi="Aptos" w:cs="Times New Roman"/>
              </w:rPr>
            </w:pPr>
            <w:r w:rsidRPr="0069795D">
              <w:rPr>
                <w:rFonts w:ascii="Verdana" w:eastAsia="Calibri" w:hAnsi="Verdana" w:cs="Arial"/>
              </w:rPr>
              <w:t xml:space="preserve">El numeral 6 “Condiciones particulares del proyecto”, establece unas indicaciones entre corchetes y resaltadas en gris que deben ser atendidas por la entidad que adelanta el proceso para su diligenciamiento. </w:t>
            </w:r>
          </w:p>
          <w:p w14:paraId="1F651224" w14:textId="77777777" w:rsidR="00BA1003" w:rsidRPr="0069795D" w:rsidRDefault="00BA1003" w:rsidP="00BA1003">
            <w:pPr>
              <w:spacing w:line="276" w:lineRule="auto"/>
              <w:ind w:firstLine="708"/>
              <w:jc w:val="both"/>
              <w:rPr>
                <w:rFonts w:ascii="Verdana" w:eastAsia="Calibri" w:hAnsi="Verdana" w:cs="Arial"/>
                <w:kern w:val="2"/>
                <w14:ligatures w14:val="standardContextual"/>
              </w:rPr>
            </w:pPr>
            <w:r w:rsidRPr="0069795D">
              <w:rPr>
                <w:rFonts w:ascii="Verdana" w:eastAsia="Calibri" w:hAnsi="Verdana" w:cs="Arial"/>
                <w:kern w:val="2"/>
                <w14:ligatures w14:val="standardContextual"/>
              </w:rPr>
              <w:t>De conformidad con lo dispuesto en el numeral 6, la entidad que adelanta el proceso podrá incluir condiciones adicionales relacionadas con las normas técnicas aplicables, la normativa y legislación vigente, así como con las obligaciones derivadas de autorizaciones, permisos, licencias, planes y demás instrumentos requeridos para el desarrollo de la obra. Lo anterior comprende también la posibilidad de incorporar lineamientos, cartillas de diseño y/o construcción u otros documentos técnicos que resulten pertinentes para la adecuada ejecución del proyecto, siempre que tales condiciones guarden relación directa con el objeto contractual y se encuentren debidamente justificadas.</w:t>
            </w:r>
          </w:p>
          <w:p w14:paraId="0375C444" w14:textId="77777777" w:rsidR="00BA1003" w:rsidRPr="0069795D" w:rsidRDefault="00BA1003" w:rsidP="00BA1003">
            <w:pPr>
              <w:spacing w:line="276" w:lineRule="auto"/>
              <w:ind w:firstLine="708"/>
              <w:jc w:val="both"/>
              <w:rPr>
                <w:rFonts w:ascii="Verdana" w:eastAsia="Calibri" w:hAnsi="Verdana" w:cs="Arial"/>
                <w:kern w:val="2"/>
                <w14:ligatures w14:val="standardContextual"/>
              </w:rPr>
            </w:pPr>
          </w:p>
          <w:p w14:paraId="57F71D16" w14:textId="77777777" w:rsidR="00BA1003" w:rsidRPr="0069795D" w:rsidRDefault="00BA1003" w:rsidP="00BA1003">
            <w:pPr>
              <w:spacing w:line="276" w:lineRule="auto"/>
              <w:jc w:val="both"/>
              <w:rPr>
                <w:rFonts w:ascii="Verdana" w:eastAsia="Calibri" w:hAnsi="Verdana" w:cs="Arial"/>
                <w:color w:val="000000"/>
                <w:lang w:val="es-MX"/>
              </w:rPr>
            </w:pPr>
            <w:r w:rsidRPr="0069795D">
              <w:rPr>
                <w:rFonts w:ascii="Verdana" w:eastAsia="Calibri" w:hAnsi="Verdana" w:cs="Arial"/>
                <w:kern w:val="2"/>
                <w14:ligatures w14:val="standardContextual"/>
              </w:rPr>
              <w:t xml:space="preserve">vi) </w:t>
            </w:r>
            <w:r w:rsidRPr="0069795D">
              <w:rPr>
                <w:rFonts w:ascii="Verdana" w:eastAsia="Calibri" w:hAnsi="Verdana" w:cs="Arial"/>
              </w:rPr>
              <w:t xml:space="preserve">Sobre el personal vinculado al proyecto, debe indicarse que el numeral 8 del “Anexo 1 – Anexo Técnico” señala las condiciones bajo los cuales las entidades analizarán la información del personal profesional. Según lo </w:t>
            </w:r>
            <w:r w:rsidRPr="0069795D">
              <w:rPr>
                <w:rFonts w:ascii="Verdana" w:eastAsia="Calibri" w:hAnsi="Verdana" w:cs="Arial"/>
              </w:rPr>
              <w:lastRenderedPageBreak/>
              <w:t>establece dicho numeral, l</w:t>
            </w:r>
            <w:r w:rsidRPr="0069795D">
              <w:rPr>
                <w:rFonts w:ascii="Verdana" w:eastAsia="Calibri" w:hAnsi="Verdana" w:cs="Arial"/>
                <w:lang w:val="es-ES"/>
              </w:rPr>
              <w:t>a entidad deberá definir en este anexo el personal requerido para la ejecución de la obra de acuerdo con el objeto del proceso de contratación</w:t>
            </w:r>
            <w:r w:rsidRPr="0069795D">
              <w:rPr>
                <w:rFonts w:ascii="Verdana" w:eastAsia="Calibri" w:hAnsi="Verdana" w:cs="Arial"/>
                <w:color w:val="000000"/>
                <w:lang w:val="es-MX"/>
              </w:rPr>
              <w:t>. Por lo tanto, la entidad detallará, en los espacios en corchete y resaltado en gris, si se requiere algún título profesional, los años de experiencia general y específica o si se necesita algún título de posgrado y determinará el nombre del cargo del especialista o profesional requerido de acuerdo con la tabla del literal a. Estos requisitos deberán ser proporcionales y adecuados al tipo de obra conforme a lo establecido en los estudios y documentos previos.</w:t>
            </w:r>
          </w:p>
          <w:p w14:paraId="3E23B5EA" w14:textId="77777777" w:rsidR="00BA1003" w:rsidRPr="0069795D" w:rsidRDefault="00BA1003" w:rsidP="00BA1003">
            <w:pPr>
              <w:spacing w:before="120" w:line="276" w:lineRule="auto"/>
              <w:ind w:firstLine="709"/>
              <w:jc w:val="both"/>
              <w:rPr>
                <w:rFonts w:ascii="Verdana" w:eastAsia="Calibri" w:hAnsi="Verdana" w:cs="Arial"/>
              </w:rPr>
            </w:pPr>
            <w:r w:rsidRPr="0069795D">
              <w:rPr>
                <w:rFonts w:ascii="Verdana" w:eastAsia="Calibri" w:hAnsi="Verdana" w:cs="Arial"/>
              </w:rPr>
              <w:t xml:space="preserve">Sin embargo, el numeral 8 del “Anexo 1 – Anexo Técnico” es claro al señalar que la información del personal no será determinada como un requisito habilitante, ni podrá ser evaluada durante el proceso de contratación. A este respecto, dispone lo siguiente: “Las hojas de vida y soportes del personal vinculado al proyecto serán verificadas una vez se adjudique el contrato y no podrán ser pedidas durante la selección del contratista para efectos de otorgar puntaje o como criterio habilitante”. </w:t>
            </w:r>
          </w:p>
          <w:p w14:paraId="7B0696DD" w14:textId="77777777" w:rsidR="00BA1003" w:rsidRPr="0069795D" w:rsidRDefault="00BA1003" w:rsidP="00BA1003">
            <w:pPr>
              <w:spacing w:before="120" w:after="120" w:line="276" w:lineRule="auto"/>
              <w:ind w:firstLine="709"/>
              <w:jc w:val="both"/>
              <w:rPr>
                <w:rFonts w:ascii="Verdana" w:eastAsia="Calibri" w:hAnsi="Verdana" w:cs="Arial"/>
                <w:color w:val="000000"/>
                <w:lang w:val="es-MX"/>
              </w:rPr>
            </w:pPr>
            <w:r w:rsidRPr="0069795D">
              <w:rPr>
                <w:rFonts w:ascii="Verdana" w:eastAsia="Calibri" w:hAnsi="Verdana" w:cs="Arial"/>
              </w:rPr>
              <w:t xml:space="preserve">De lo expuesto, se concluye palmariamente que, aunque el personal profesional requerido para ejecutar el proyecto de obra debe definirse en el “Anexo 1 – Anexo Técnico” del proceso de contratación, su evaluación no podrá realizarse durante esta etapa, ni mucho menos establecerse como un requisito habilitante de participación o como criterio para otorgar puntaje. Tal y como lo establece el numeral 8, la verificación de esta información se realizará una vez sea adjudicado el contrato. </w:t>
            </w:r>
          </w:p>
          <w:p w14:paraId="46D699B7" w14:textId="77777777" w:rsidR="00BA1003" w:rsidRPr="00EC51CF" w:rsidRDefault="00BA1003" w:rsidP="00BA1003">
            <w:pPr>
              <w:spacing w:after="120" w:line="276" w:lineRule="auto"/>
              <w:ind w:firstLine="709"/>
              <w:jc w:val="both"/>
              <w:rPr>
                <w:rFonts w:ascii="Verdana" w:eastAsia="Calibri" w:hAnsi="Verdana" w:cs="Arial"/>
                <w:highlight w:val="yellow"/>
              </w:rPr>
            </w:pPr>
            <w:r w:rsidRPr="0069795D">
              <w:rPr>
                <w:rFonts w:ascii="Verdana" w:eastAsia="Calibri" w:hAnsi="Verdana" w:cs="Arial"/>
              </w:rPr>
              <w:t>Así, de acuerdo con la información contenida en el numeral 8, “Información sobre el personal profesional”, del “Anexo 1 – Anexo Técnico”, para efectos de su solicitud debe indicarse que la entidad no podrá exigir que el contratista vincule a una persona en específico para la ejecución del contrato; menos aún podrá determinar que esa persona en particular sea objeto de evaluación dentro del proceso o constituya un requisito habilitante. Sin embargo, la entidad sí podrá definir el personal requerido para la ejecución de la obra, de acuerdo con el objeto del proceso de contratación, incluyendo los requisitos de experiencia general y específica, así como el título profesional. Se reitera que este margen con el que cuenta la entidad para definir el personal del proyecto no debe entenderse como la facultad de establecer una persona determinada.</w:t>
            </w:r>
          </w:p>
        </w:tc>
      </w:tr>
    </w:tbl>
    <w:p w14:paraId="27F36611" w14:textId="77777777" w:rsidR="00BA1003" w:rsidRPr="00BA1003" w:rsidRDefault="00BA1003" w:rsidP="00BA1003">
      <w:pPr>
        <w:tabs>
          <w:tab w:val="left" w:pos="142"/>
          <w:tab w:val="left" w:pos="284"/>
        </w:tabs>
        <w:spacing w:after="0" w:line="276" w:lineRule="auto"/>
        <w:jc w:val="both"/>
        <w:rPr>
          <w:rFonts w:ascii="Verdana" w:eastAsia="Century Gothic" w:hAnsi="Verdana" w:cs="Century Gothic"/>
          <w:b/>
          <w:bCs/>
          <w:lang w:val="es-ES"/>
        </w:rPr>
      </w:pPr>
    </w:p>
    <w:p w14:paraId="3F9F5A8A" w14:textId="77777777" w:rsidR="00BA1003" w:rsidRPr="00BA1003" w:rsidRDefault="00BA1003" w:rsidP="00BA1003">
      <w:pPr>
        <w:tabs>
          <w:tab w:val="left" w:pos="142"/>
          <w:tab w:val="left" w:pos="284"/>
        </w:tabs>
        <w:spacing w:after="0" w:line="276" w:lineRule="auto"/>
        <w:jc w:val="both"/>
        <w:rPr>
          <w:rFonts w:ascii="Verdana" w:eastAsia="Century Gothic" w:hAnsi="Verdana" w:cs="Century Gothic"/>
          <w:b/>
          <w:bCs/>
          <w:lang w:val="es-ES"/>
        </w:rPr>
      </w:pPr>
      <w:r w:rsidRPr="00BA1003">
        <w:rPr>
          <w:rFonts w:ascii="Verdana" w:eastAsia="Century Gothic" w:hAnsi="Verdana" w:cs="Century Gothic"/>
          <w:b/>
          <w:bCs/>
          <w:lang w:val="es-ES"/>
        </w:rPr>
        <w:t>3. Razones de la respuesta:</w:t>
      </w:r>
    </w:p>
    <w:p w14:paraId="5F613B18" w14:textId="77777777" w:rsidR="00BA1003" w:rsidRPr="00BA1003" w:rsidRDefault="00BA1003" w:rsidP="00BA1003">
      <w:pPr>
        <w:spacing w:after="0" w:line="276" w:lineRule="auto"/>
        <w:jc w:val="both"/>
        <w:rPr>
          <w:rFonts w:ascii="Verdana" w:eastAsia="Calibri" w:hAnsi="Verdana" w:cs="Arial"/>
          <w:lang w:val="es-ES"/>
        </w:rPr>
      </w:pPr>
    </w:p>
    <w:p w14:paraId="3024F531" w14:textId="77777777" w:rsidR="00BA1003" w:rsidRPr="00BA1003" w:rsidRDefault="00BA1003" w:rsidP="00BA1003">
      <w:pPr>
        <w:spacing w:after="0" w:line="276" w:lineRule="auto"/>
        <w:jc w:val="both"/>
        <w:rPr>
          <w:rFonts w:ascii="Verdana" w:eastAsia="Calibri" w:hAnsi="Verdana" w:cs="Arial"/>
          <w:lang w:val="es-ES"/>
        </w:rPr>
      </w:pPr>
      <w:r w:rsidRPr="00BA1003">
        <w:rPr>
          <w:rFonts w:ascii="Verdana" w:eastAsia="Calibri" w:hAnsi="Verdana" w:cs="Arial"/>
          <w:lang w:val="es-ES"/>
        </w:rPr>
        <w:t xml:space="preserve">Lo anterior se sustenta en las siguientes consideraciones: </w:t>
      </w:r>
    </w:p>
    <w:p w14:paraId="14DF1ABE" w14:textId="77777777" w:rsidR="00BA1003" w:rsidRPr="00BA1003" w:rsidRDefault="00BA1003" w:rsidP="00BA1003">
      <w:pPr>
        <w:spacing w:after="0" w:line="276" w:lineRule="auto"/>
        <w:jc w:val="both"/>
        <w:rPr>
          <w:rFonts w:ascii="Verdana" w:eastAsia="Calibri" w:hAnsi="Verdana" w:cs="Arial"/>
          <w:lang w:val="es-ES"/>
        </w:rPr>
      </w:pPr>
    </w:p>
    <w:p w14:paraId="4E119881" w14:textId="77777777" w:rsidR="00BA1003" w:rsidRPr="00BA1003" w:rsidRDefault="00BA1003" w:rsidP="00BA1003">
      <w:pPr>
        <w:spacing w:after="120" w:line="276" w:lineRule="auto"/>
        <w:jc w:val="both"/>
        <w:rPr>
          <w:rFonts w:ascii="Verdana" w:eastAsia="Aptos" w:hAnsi="Verdana" w:cs="Arial"/>
        </w:rPr>
      </w:pPr>
      <w:r w:rsidRPr="00BA1003">
        <w:rPr>
          <w:rFonts w:ascii="Verdana" w:eastAsia="Aptos" w:hAnsi="Verdana" w:cs="Arial"/>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4147085" w14:textId="77777777" w:rsidR="00BA1003" w:rsidRPr="00BA1003" w:rsidRDefault="00BA1003" w:rsidP="00BA1003">
      <w:pPr>
        <w:spacing w:after="120" w:line="276" w:lineRule="auto"/>
        <w:ind w:firstLine="708"/>
        <w:jc w:val="both"/>
        <w:rPr>
          <w:rFonts w:ascii="Verdana" w:eastAsia="Aptos" w:hAnsi="Verdana" w:cs="Arial"/>
        </w:rPr>
      </w:pPr>
      <w:r w:rsidRPr="00BA1003">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F2D681E" w14:textId="77777777" w:rsidR="00BA1003" w:rsidRPr="00BA1003" w:rsidRDefault="00BA1003" w:rsidP="00BA1003">
      <w:pPr>
        <w:spacing w:after="120" w:line="276" w:lineRule="auto"/>
        <w:ind w:firstLine="708"/>
        <w:jc w:val="both"/>
        <w:rPr>
          <w:rFonts w:ascii="Verdana" w:eastAsia="Times New Roman" w:hAnsi="Verdana" w:cs="Times New Roman"/>
          <w:color w:val="000000"/>
          <w:lang w:eastAsia="es-CO"/>
        </w:rPr>
      </w:pPr>
      <w:r w:rsidRPr="00BA1003">
        <w:rPr>
          <w:rFonts w:ascii="Verdana" w:eastAsia="Aptos" w:hAnsi="Verdana" w:cs="Arial"/>
        </w:rPr>
        <w:t xml:space="preserve">En el sector social, </w:t>
      </w:r>
      <w:r w:rsidRPr="00BA1003">
        <w:rPr>
          <w:rFonts w:ascii="Verdana" w:eastAsia="Calibri" w:hAnsi="Verdana" w:cs="Arial"/>
          <w:lang w:val="es-MX"/>
        </w:rPr>
        <w:t xml:space="preserve">la Agencia Nacional de Contratación Pública – Colombia Compra </w:t>
      </w:r>
      <w:r w:rsidRPr="00BA1003">
        <w:rPr>
          <w:rFonts w:ascii="Verdana" w:eastAsia="Calibri" w:hAnsi="Verdana" w:cs="Arial"/>
        </w:rPr>
        <w:t xml:space="preserve">Eficiente </w:t>
      </w:r>
      <w:r w:rsidRPr="00BA1003">
        <w:rPr>
          <w:rFonts w:ascii="Verdana" w:eastAsia="Times New Roman" w:hAnsi="Verdana" w:cs="Times New Roman"/>
          <w:color w:val="000000"/>
          <w:lang w:eastAsia="es-CO"/>
        </w:rPr>
        <w:t>en el segundo semestre del año 2025 adoptó las siguientes Resoluciones para contratar obra pública y concurso de méritos:</w:t>
      </w:r>
    </w:p>
    <w:p w14:paraId="3C0043E1" w14:textId="77777777" w:rsidR="00BA1003" w:rsidRPr="00BA1003" w:rsidRDefault="00BA1003" w:rsidP="00BA1003">
      <w:pPr>
        <w:spacing w:after="120" w:line="276" w:lineRule="auto"/>
        <w:ind w:firstLine="708"/>
        <w:jc w:val="both"/>
        <w:rPr>
          <w:rFonts w:ascii="Verdana" w:eastAsia="Times New Roman" w:hAnsi="Verdana" w:cs="Times New Roman"/>
          <w:color w:val="000000"/>
          <w:lang w:eastAsia="es-CO"/>
        </w:rPr>
      </w:pPr>
      <w:r w:rsidRPr="00BA1003">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138E7AD" w14:textId="77777777" w:rsidR="00BA1003" w:rsidRPr="00BA1003" w:rsidRDefault="00BA1003" w:rsidP="00BA1003">
      <w:pPr>
        <w:spacing w:after="120" w:line="276" w:lineRule="auto"/>
        <w:ind w:firstLine="708"/>
        <w:jc w:val="both"/>
        <w:rPr>
          <w:rFonts w:ascii="Verdana" w:eastAsia="Times New Roman" w:hAnsi="Verdana" w:cs="Times New Roman"/>
          <w:color w:val="000000"/>
          <w:lang w:eastAsia="es-CO"/>
        </w:rPr>
      </w:pPr>
      <w:r w:rsidRPr="00BA1003">
        <w:rPr>
          <w:rFonts w:ascii="Verdana" w:eastAsia="Times New Roman" w:hAnsi="Verdana" w:cs="Times New Roman"/>
          <w:color w:val="000000"/>
          <w:lang w:eastAsia="es-CO"/>
        </w:rPr>
        <w:t xml:space="preserve"> </w:t>
      </w:r>
      <w:proofErr w:type="spellStart"/>
      <w:r w:rsidRPr="00BA1003">
        <w:rPr>
          <w:rFonts w:ascii="Verdana" w:eastAsia="Times New Roman" w:hAnsi="Verdana" w:cs="Times New Roman"/>
          <w:color w:val="000000"/>
          <w:lang w:eastAsia="es-CO"/>
        </w:rPr>
        <w:t>ii</w:t>
      </w:r>
      <w:proofErr w:type="spellEnd"/>
      <w:r w:rsidRPr="00BA1003">
        <w:rPr>
          <w:rFonts w:ascii="Verdana" w:eastAsia="Times New Roman" w:hAnsi="Verdana" w:cs="Times New Roman"/>
          <w:color w:val="000000"/>
          <w:lang w:eastAsia="es-CO"/>
        </w:rPr>
        <w:t xml:space="preserve">) Resolución 540 del 21 de agosto de 2025 "Por la cual se adoptan los documentos tipo para los procesos de selección abreviada de menor cuantía de </w:t>
      </w:r>
      <w:r w:rsidRPr="00BA1003">
        <w:rPr>
          <w:rFonts w:ascii="Verdana" w:eastAsia="Times New Roman" w:hAnsi="Verdana" w:cs="Times New Roman"/>
          <w:color w:val="000000"/>
          <w:lang w:eastAsia="es-CO"/>
        </w:rPr>
        <w:lastRenderedPageBreak/>
        <w:t>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2F1CC8FE" w14:textId="77777777" w:rsidR="00BA1003" w:rsidRPr="00BA1003" w:rsidRDefault="00BA1003" w:rsidP="00BA1003">
      <w:pPr>
        <w:spacing w:after="120" w:line="276" w:lineRule="auto"/>
        <w:ind w:firstLine="708"/>
        <w:jc w:val="both"/>
        <w:rPr>
          <w:rFonts w:ascii="Verdana" w:eastAsia="Times New Roman" w:hAnsi="Verdana" w:cs="Times New Roman"/>
          <w:color w:val="000000"/>
          <w:lang w:eastAsia="es-CO"/>
        </w:rPr>
      </w:pPr>
      <w:proofErr w:type="spellStart"/>
      <w:r w:rsidRPr="00BA1003">
        <w:rPr>
          <w:rFonts w:ascii="Verdana" w:eastAsia="Times New Roman" w:hAnsi="Verdana" w:cs="Times New Roman"/>
          <w:color w:val="000000"/>
          <w:lang w:eastAsia="es-CO"/>
        </w:rPr>
        <w:t>iii</w:t>
      </w:r>
      <w:proofErr w:type="spellEnd"/>
      <w:r w:rsidRPr="00BA1003">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7E577663" w14:textId="77777777" w:rsidR="00BA1003" w:rsidRPr="00BA1003" w:rsidRDefault="00BA1003" w:rsidP="00BA1003">
      <w:pPr>
        <w:spacing w:after="120" w:line="276" w:lineRule="auto"/>
        <w:ind w:firstLine="708"/>
        <w:jc w:val="both"/>
        <w:rPr>
          <w:rFonts w:ascii="Verdana" w:eastAsia="Times New Roman" w:hAnsi="Verdana" w:cs="Times New Roman"/>
          <w:color w:val="000000"/>
          <w:lang w:eastAsia="es-CO"/>
        </w:rPr>
      </w:pPr>
      <w:proofErr w:type="spellStart"/>
      <w:r w:rsidRPr="00BA1003">
        <w:rPr>
          <w:rFonts w:ascii="Verdana" w:eastAsia="Times New Roman" w:hAnsi="Verdana" w:cs="Times New Roman"/>
          <w:color w:val="000000"/>
          <w:lang w:eastAsia="es-CO"/>
        </w:rPr>
        <w:t>iv</w:t>
      </w:r>
      <w:proofErr w:type="spellEnd"/>
      <w:r w:rsidRPr="00BA1003">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C65A40E" w14:textId="77777777" w:rsidR="00BA1003" w:rsidRPr="00BA1003" w:rsidRDefault="00BA1003" w:rsidP="00BA1003">
      <w:pPr>
        <w:spacing w:after="120" w:line="276" w:lineRule="auto"/>
        <w:ind w:firstLine="708"/>
        <w:jc w:val="both"/>
        <w:rPr>
          <w:rFonts w:ascii="Verdana" w:eastAsia="Times New Roman" w:hAnsi="Verdana" w:cs="Times New Roman"/>
          <w:color w:val="000000"/>
          <w:lang w:eastAsia="es-CO"/>
        </w:rPr>
      </w:pPr>
      <w:r w:rsidRPr="00BA1003">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BA1003">
        <w:rPr>
          <w:rFonts w:ascii="Verdana" w:eastAsia="Aptos" w:hAnsi="Verdana" w:cs="Times New Roman"/>
          <w:kern w:val="2"/>
          <w14:ligatures w14:val="standardContextual"/>
        </w:rPr>
        <w:t xml:space="preserve"> </w:t>
      </w:r>
    </w:p>
    <w:p w14:paraId="6253A319" w14:textId="77777777" w:rsidR="00BA1003" w:rsidRPr="00BA1003" w:rsidRDefault="00BA1003" w:rsidP="00BA1003">
      <w:pPr>
        <w:spacing w:after="120" w:line="276" w:lineRule="auto"/>
        <w:ind w:firstLine="708"/>
        <w:jc w:val="both"/>
        <w:textAlignment w:val="baseline"/>
        <w:rPr>
          <w:rFonts w:ascii="Verdana" w:eastAsia="Calibri" w:hAnsi="Verdana" w:cs="Arial"/>
        </w:rPr>
      </w:pPr>
      <w:r w:rsidRPr="00BA1003">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BA1003">
        <w:rPr>
          <w:rFonts w:ascii="Verdana" w:eastAsia="Calibri" w:hAnsi="Verdana" w:cs="Arial"/>
          <w:vertAlign w:val="superscript"/>
        </w:rPr>
        <w:footnoteReference w:id="2"/>
      </w:r>
      <w:r w:rsidRPr="00BA1003">
        <w:rPr>
          <w:rFonts w:ascii="Verdana" w:eastAsia="Calibri" w:hAnsi="Verdana" w:cs="Arial"/>
        </w:rPr>
        <w:t>.</w:t>
      </w:r>
    </w:p>
    <w:p w14:paraId="3DA4D338"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lang w:val="es-ES"/>
        </w:rPr>
      </w:pPr>
      <w:r w:rsidRPr="00BA1003">
        <w:rPr>
          <w:rFonts w:ascii="Verdana" w:eastAsia="Calibri" w:hAnsi="Verdana" w:cs="Times New Roman"/>
          <w:lang w:val="es-ES"/>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BA1003">
        <w:rPr>
          <w:rFonts w:ascii="Verdana" w:eastAsia="Calibri" w:hAnsi="Verdana" w:cs="Times New Roman"/>
          <w:shd w:val="clear" w:color="auto" w:fill="E8E8E8"/>
          <w:lang w:val="es-ES"/>
        </w:rPr>
        <w:t>–[texto]–,</w:t>
      </w:r>
      <w:r w:rsidRPr="00BA1003">
        <w:rPr>
          <w:rFonts w:ascii="Verdana" w:eastAsia="Calibri" w:hAnsi="Verdana" w:cs="Times New Roman"/>
          <w:lang w:val="es-ES"/>
        </w:rPr>
        <w:t xml:space="preserve"> para lo cual deberán observarse las instrucciones contenidas en los mismos para su diligenciamiento.</w:t>
      </w:r>
    </w:p>
    <w:p w14:paraId="7747DCB6"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lang w:val="es-ES"/>
        </w:rPr>
      </w:pPr>
      <w:r w:rsidRPr="00BA1003">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AEB3C5D"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lang w:val="es-ES"/>
        </w:rPr>
      </w:pPr>
      <w:r w:rsidRPr="00BA1003">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w:t>
      </w:r>
      <w:r w:rsidRPr="00BA1003">
        <w:rPr>
          <w:rFonts w:ascii="Verdana" w:eastAsia="Calibri" w:hAnsi="Verdana" w:cs="Times New Roman"/>
          <w:lang w:val="es-ES"/>
        </w:rPr>
        <w:lastRenderedPageBreak/>
        <w:t>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D777435"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lang w:val="es-ES"/>
        </w:rPr>
      </w:pPr>
      <w:r w:rsidRPr="00BA1003">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AB1E679"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lang w:val="es-ES"/>
        </w:rPr>
      </w:pPr>
      <w:r w:rsidRPr="00BA1003">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5E3AC44" w14:textId="77777777" w:rsidR="00BA1003" w:rsidRPr="00BA1003" w:rsidRDefault="00BA1003" w:rsidP="00BA1003">
      <w:pPr>
        <w:widowControl w:val="0"/>
        <w:autoSpaceDE w:val="0"/>
        <w:autoSpaceDN w:val="0"/>
        <w:spacing w:after="0" w:line="276" w:lineRule="auto"/>
        <w:ind w:firstLine="708"/>
        <w:jc w:val="both"/>
        <w:rPr>
          <w:rFonts w:ascii="Verdana" w:eastAsia="Calibri" w:hAnsi="Verdana" w:cs="Times New Roman"/>
          <w:lang w:val="es-ES"/>
        </w:rPr>
      </w:pPr>
      <w:r w:rsidRPr="00BA1003">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5A546D5D" w14:textId="77777777" w:rsidR="00BA1003" w:rsidRPr="00BA1003" w:rsidRDefault="00BA1003" w:rsidP="00BA1003">
      <w:pPr>
        <w:widowControl w:val="0"/>
        <w:autoSpaceDE w:val="0"/>
        <w:autoSpaceDN w:val="0"/>
        <w:spacing w:after="0" w:line="276" w:lineRule="auto"/>
        <w:ind w:firstLine="708"/>
        <w:jc w:val="both"/>
        <w:rPr>
          <w:rFonts w:ascii="Verdana" w:eastAsia="Calibri" w:hAnsi="Verdana" w:cs="Times New Roman"/>
          <w:lang w:val="es-ES"/>
        </w:rPr>
      </w:pPr>
    </w:p>
    <w:p w14:paraId="73F47F9E" w14:textId="48FBCFFF" w:rsidR="00BA1003" w:rsidRPr="00BA1003" w:rsidRDefault="00BA1003" w:rsidP="00BA1003">
      <w:pPr>
        <w:spacing w:after="120" w:line="278" w:lineRule="auto"/>
        <w:jc w:val="both"/>
        <w:rPr>
          <w:rFonts w:ascii="Verdana" w:eastAsia="Calibri" w:hAnsi="Verdana" w:cs="Times New Roman"/>
        </w:rPr>
      </w:pPr>
      <w:proofErr w:type="spellStart"/>
      <w:r w:rsidRPr="00BA1003">
        <w:rPr>
          <w:rFonts w:ascii="Verdana" w:eastAsia="Calibri" w:hAnsi="Verdana" w:cs="Times New Roman"/>
          <w:lang w:val="es-ES"/>
        </w:rPr>
        <w:t>ii</w:t>
      </w:r>
      <w:proofErr w:type="spellEnd"/>
      <w:r w:rsidRPr="00BA1003">
        <w:rPr>
          <w:rFonts w:ascii="Verdana" w:eastAsia="Calibri" w:hAnsi="Verdana" w:cs="Times New Roman"/>
          <w:lang w:val="es-ES"/>
        </w:rPr>
        <w:t xml:space="preserve">. </w:t>
      </w:r>
      <w:r w:rsidRPr="00BA1003">
        <w:rPr>
          <w:rFonts w:ascii="Verdana" w:eastAsia="Times New Roman" w:hAnsi="Verdana" w:cs="Times New Roman"/>
          <w:color w:val="000000"/>
          <w:lang w:eastAsia="es-CO"/>
        </w:rPr>
        <w:t xml:space="preserve">En los documentos tipo complementarios del sector cultura, recreación y deporte, en la modalidad de licitación pública, selección abreviada de menor cuantía y mínima cuantía, en la Matriz 1 se encuentran los siguientes tipos de infraestructura: 1. Obras de infraestructura cultural, 2. Obras de infraestructura </w:t>
      </w:r>
      <w:r w:rsidR="00556E88" w:rsidRPr="00BA1003">
        <w:rPr>
          <w:rFonts w:ascii="Verdana" w:eastAsia="Times New Roman" w:hAnsi="Verdana" w:cs="Times New Roman"/>
          <w:color w:val="000000"/>
          <w:lang w:eastAsia="es-CO"/>
        </w:rPr>
        <w:t>recreo deportivas</w:t>
      </w:r>
      <w:r w:rsidRPr="00BA1003">
        <w:rPr>
          <w:rFonts w:ascii="Verdana" w:eastAsia="Times New Roman" w:hAnsi="Verdana" w:cs="Times New Roman"/>
          <w:color w:val="000000"/>
          <w:lang w:eastAsia="es-CO"/>
        </w:rPr>
        <w:t xml:space="preserve">, 3. Obras en infraestructura del sector cultura, recreación y deporte, 4. Obras en bibliotecas públicas, y </w:t>
      </w:r>
      <w:r w:rsidRPr="00BA1003">
        <w:rPr>
          <w:rFonts w:ascii="Verdana" w:eastAsia="Times New Roman" w:hAnsi="Verdana" w:cs="Arial"/>
          <w:lang w:eastAsia="es-MX"/>
        </w:rPr>
        <w:t>5.</w:t>
      </w:r>
      <w:r w:rsidRPr="00BA1003">
        <w:rPr>
          <w:rFonts w:ascii="Verdana" w:eastAsia="Times New Roman" w:hAnsi="Verdana" w:cs="Arial"/>
          <w:b/>
          <w:bCs/>
          <w:lang w:eastAsia="es-MX"/>
        </w:rPr>
        <w:t xml:space="preserve"> </w:t>
      </w:r>
      <w:r w:rsidRPr="00BA1003">
        <w:rPr>
          <w:rFonts w:ascii="Verdana" w:eastAsia="Times New Roman" w:hAnsi="Verdana" w:cs="Arial"/>
          <w:lang w:eastAsia="es-MX"/>
        </w:rPr>
        <w:t xml:space="preserve">obras para atención, prevención </w:t>
      </w:r>
      <w:r w:rsidRPr="00BA1003">
        <w:rPr>
          <w:rFonts w:ascii="Verdana" w:eastAsia="Times New Roman" w:hAnsi="Verdana" w:cs="Arial"/>
          <w:lang w:eastAsia="es-MX"/>
        </w:rPr>
        <w:lastRenderedPageBreak/>
        <w:t>o mitigación de emergencias diferentes a contratación directa para el sector cultura, recreación y deporte.</w:t>
      </w:r>
      <w:r w:rsidRPr="00BA1003">
        <w:rPr>
          <w:rFonts w:ascii="Arial" w:eastAsia="Times New Roman" w:hAnsi="Arial" w:cs="Arial"/>
          <w:sz w:val="24"/>
          <w:szCs w:val="24"/>
          <w:lang w:eastAsia="es-MX"/>
        </w:rPr>
        <w:t xml:space="preserve"> </w:t>
      </w:r>
      <w:r w:rsidRPr="00BA1003">
        <w:rPr>
          <w:rFonts w:ascii="Verdana" w:eastAsia="Calibri" w:hAnsi="Verdana" w:cs="Times New Roman"/>
        </w:rPr>
        <w:t xml:space="preserve">En los tipos de obras señaladas del sector cultura, recreación y deporte, se disponen las siguientes tres (3) actividades que recaen sobre bienes de interés cultural: </w:t>
      </w:r>
    </w:p>
    <w:p w14:paraId="05D0D3C0" w14:textId="77777777" w:rsidR="00BA1003" w:rsidRPr="00BA1003" w:rsidRDefault="00BA1003" w:rsidP="00BA1003">
      <w:pPr>
        <w:spacing w:after="0" w:line="276" w:lineRule="auto"/>
        <w:ind w:firstLine="708"/>
        <w:jc w:val="both"/>
        <w:rPr>
          <w:rFonts w:ascii="Verdana" w:eastAsia="Calibri" w:hAnsi="Verdana" w:cs="Times New Roman"/>
        </w:rPr>
      </w:pPr>
    </w:p>
    <w:p w14:paraId="37583043" w14:textId="77777777" w:rsidR="00BA1003" w:rsidRPr="00BA1003" w:rsidRDefault="00BA1003" w:rsidP="00BA1003">
      <w:pPr>
        <w:spacing w:after="120" w:line="276" w:lineRule="auto"/>
        <w:ind w:left="709" w:right="709"/>
        <w:jc w:val="both"/>
        <w:rPr>
          <w:rFonts w:ascii="Verdana" w:eastAsia="Calibri" w:hAnsi="Verdana" w:cs="Times New Roman"/>
          <w:sz w:val="21"/>
          <w:szCs w:val="21"/>
        </w:rPr>
      </w:pPr>
      <w:r w:rsidRPr="00BA1003">
        <w:rPr>
          <w:rFonts w:ascii="Verdana" w:eastAsia="Calibri" w:hAnsi="Verdana" w:cs="Times New Roman"/>
          <w:sz w:val="21"/>
          <w:szCs w:val="21"/>
        </w:rPr>
        <w:t>“1.6.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CULTURAL.</w:t>
      </w:r>
    </w:p>
    <w:p w14:paraId="4D404711" w14:textId="77777777" w:rsidR="00BA1003" w:rsidRPr="00BA1003" w:rsidRDefault="00BA1003" w:rsidP="00BA1003">
      <w:pPr>
        <w:spacing w:after="120" w:line="276" w:lineRule="auto"/>
        <w:ind w:right="709" w:firstLine="708"/>
        <w:jc w:val="both"/>
        <w:rPr>
          <w:rFonts w:ascii="Verdana" w:eastAsia="Calibri" w:hAnsi="Verdana" w:cs="Times New Roman"/>
          <w:sz w:val="21"/>
          <w:szCs w:val="21"/>
        </w:rPr>
      </w:pPr>
      <w:r w:rsidRPr="00BA1003">
        <w:rPr>
          <w:rFonts w:ascii="Verdana" w:eastAsia="Calibri" w:hAnsi="Verdana" w:cs="Times New Roman"/>
          <w:sz w:val="21"/>
          <w:szCs w:val="21"/>
        </w:rPr>
        <w:t xml:space="preserve">(…) </w:t>
      </w:r>
    </w:p>
    <w:p w14:paraId="35F33104" w14:textId="77777777" w:rsidR="00BA1003" w:rsidRPr="00BA1003" w:rsidRDefault="00BA1003" w:rsidP="00BA1003">
      <w:pPr>
        <w:spacing w:after="120" w:line="276" w:lineRule="auto"/>
        <w:ind w:left="709" w:right="709"/>
        <w:jc w:val="both"/>
        <w:rPr>
          <w:rFonts w:ascii="Verdana" w:eastAsia="Calibri" w:hAnsi="Verdana" w:cs="Times New Roman"/>
          <w:sz w:val="21"/>
          <w:szCs w:val="21"/>
        </w:rPr>
      </w:pPr>
      <w:r w:rsidRPr="00BA1003">
        <w:rPr>
          <w:rFonts w:ascii="Verdana" w:eastAsia="Calibri" w:hAnsi="Verdana" w:cs="Times New Roman"/>
          <w:sz w:val="21"/>
          <w:szCs w:val="21"/>
        </w:rPr>
        <w:t>3.16.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DEL SECTOR DE CULTURA, RECREACIÓN Y DEPORTE.</w:t>
      </w:r>
    </w:p>
    <w:p w14:paraId="4DAC3820" w14:textId="77777777" w:rsidR="00BA1003" w:rsidRPr="00BA1003" w:rsidRDefault="00BA1003" w:rsidP="00BA1003">
      <w:pPr>
        <w:spacing w:after="120" w:line="276" w:lineRule="auto"/>
        <w:ind w:right="709" w:firstLine="708"/>
        <w:jc w:val="both"/>
        <w:rPr>
          <w:rFonts w:ascii="Verdana" w:eastAsia="Calibri" w:hAnsi="Verdana" w:cs="Times New Roman"/>
          <w:sz w:val="21"/>
          <w:szCs w:val="21"/>
        </w:rPr>
      </w:pPr>
      <w:r w:rsidRPr="00BA1003">
        <w:rPr>
          <w:rFonts w:ascii="Verdana" w:eastAsia="Calibri" w:hAnsi="Verdana" w:cs="Times New Roman"/>
          <w:sz w:val="21"/>
          <w:szCs w:val="21"/>
        </w:rPr>
        <w:t>(…)</w:t>
      </w:r>
    </w:p>
    <w:p w14:paraId="62F1FD03" w14:textId="77777777" w:rsidR="00BA1003" w:rsidRPr="00BA1003" w:rsidRDefault="00BA1003" w:rsidP="00BA1003">
      <w:pPr>
        <w:spacing w:after="0" w:line="276" w:lineRule="auto"/>
        <w:ind w:left="709" w:right="709"/>
        <w:jc w:val="both"/>
        <w:rPr>
          <w:rFonts w:ascii="Verdana" w:eastAsia="Calibri" w:hAnsi="Verdana" w:cs="Times New Roman"/>
          <w:sz w:val="21"/>
          <w:szCs w:val="21"/>
        </w:rPr>
      </w:pPr>
      <w:r w:rsidRPr="00BA1003">
        <w:rPr>
          <w:rFonts w:ascii="Verdana" w:eastAsia="Calibri" w:hAnsi="Verdana" w:cs="Times New Roman"/>
          <w:sz w:val="21"/>
          <w:szCs w:val="21"/>
        </w:rPr>
        <w:t xml:space="preserve">4.6.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w:t>
      </w:r>
      <w:r w:rsidRPr="00BA1003">
        <w:rPr>
          <w:rFonts w:ascii="Verdana" w:eastAsia="Calibri" w:hAnsi="Verdana" w:cs="Times New Roman"/>
          <w:sz w:val="21"/>
          <w:szCs w:val="21"/>
        </w:rPr>
        <w:lastRenderedPageBreak/>
        <w:t xml:space="preserve">BIENES DE INTERÉS CULTURAL Y/O CONSERVACIÓN PATRIMONIAL ASOCIADA A INFRAESTRUCTURA DE BIBLIOTECAS”. </w:t>
      </w:r>
    </w:p>
    <w:p w14:paraId="788450AD" w14:textId="77777777" w:rsidR="00BA1003" w:rsidRPr="00BA1003" w:rsidRDefault="00BA1003" w:rsidP="00BA1003">
      <w:pPr>
        <w:spacing w:after="0" w:line="276" w:lineRule="auto"/>
        <w:ind w:firstLine="708"/>
        <w:jc w:val="both"/>
        <w:rPr>
          <w:rFonts w:ascii="Verdana" w:eastAsia="Calibri" w:hAnsi="Verdana" w:cs="Times New Roman"/>
        </w:rPr>
      </w:pPr>
    </w:p>
    <w:p w14:paraId="0717EEF8" w14:textId="77777777" w:rsidR="00BA1003" w:rsidRPr="00BA1003" w:rsidRDefault="00BA1003" w:rsidP="00BA1003">
      <w:pPr>
        <w:spacing w:after="120" w:line="276" w:lineRule="auto"/>
        <w:ind w:firstLine="708"/>
        <w:jc w:val="both"/>
        <w:rPr>
          <w:rFonts w:ascii="Verdana" w:eastAsia="Calibri" w:hAnsi="Verdana" w:cs="Arial"/>
          <w:color w:val="0D0D0D"/>
        </w:rPr>
      </w:pPr>
      <w:r w:rsidRPr="00BA1003">
        <w:rPr>
          <w:rFonts w:ascii="Verdana" w:eastAsia="Calibri" w:hAnsi="Verdana" w:cs="Times New Roman"/>
        </w:rPr>
        <w:t xml:space="preserve">De acuerdo con las actividades que recaen sobre bienes de interés cultura, la entidad que adelanta el proceso de selección deberá identificar si los bienes pertenecen al sector cultura -actividad 1.6-; sector cultura, recreación y deporte -actividad 3.16-; o infraestructura asociada a bibliotecas -actividad 4.6-. Ahora bien, sobre el tipo de infraestructura señalado aplican actividades </w:t>
      </w:r>
      <w:proofErr w:type="gramStart"/>
      <w:r w:rsidRPr="00BA1003">
        <w:rPr>
          <w:rFonts w:ascii="Verdana" w:eastAsia="Calibri" w:hAnsi="Verdana" w:cs="Times New Roman"/>
        </w:rPr>
        <w:t xml:space="preserve">tales </w:t>
      </w:r>
      <w:r w:rsidRPr="00BA1003">
        <w:rPr>
          <w:rFonts w:ascii="Verdana" w:eastAsia="Calibri" w:hAnsi="Verdana" w:cs="Times New Roman"/>
          <w:sz w:val="21"/>
          <w:szCs w:val="21"/>
        </w:rPr>
        <w:t>construcción</w:t>
      </w:r>
      <w:proofErr w:type="gramEnd"/>
      <w:r w:rsidRPr="00BA1003">
        <w:rPr>
          <w:rFonts w:ascii="Verdana" w:eastAsia="Calibri" w:hAnsi="Verdana" w:cs="Times New Roman"/>
          <w:sz w:val="21"/>
          <w:szCs w:val="21"/>
        </w:rPr>
        <w:t xml:space="preserve">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w:t>
      </w:r>
    </w:p>
    <w:p w14:paraId="3C3745C9" w14:textId="77777777" w:rsidR="00BA1003" w:rsidRPr="00BA1003" w:rsidRDefault="00BA1003" w:rsidP="00BA1003">
      <w:pPr>
        <w:spacing w:after="120" w:line="276" w:lineRule="auto"/>
        <w:ind w:firstLine="708"/>
        <w:jc w:val="both"/>
        <w:rPr>
          <w:rFonts w:ascii="Verdana" w:eastAsia="Calibri" w:hAnsi="Verdana" w:cs="Arial"/>
          <w:color w:val="0D0D0D"/>
          <w:lang w:val="es-MX"/>
        </w:rPr>
      </w:pPr>
      <w:r w:rsidRPr="00BA1003">
        <w:rPr>
          <w:rFonts w:ascii="Verdana" w:eastAsia="Calibri" w:hAnsi="Verdana" w:cs="Arial"/>
          <w:color w:val="0D0D0D"/>
        </w:rPr>
        <w:t xml:space="preserve">Para </w:t>
      </w:r>
      <w:r w:rsidRPr="00BA1003">
        <w:rPr>
          <w:rFonts w:ascii="Verdana" w:eastAsia="Calibri" w:hAnsi="Verdana" w:cs="Arial"/>
          <w:color w:val="0D0D0D"/>
          <w:lang w:val="es-MX"/>
        </w:rPr>
        <w:t xml:space="preserve">interpretar el alcance y aplicación de estas actividades, se debe tener en cuenta las </w:t>
      </w:r>
      <w:r w:rsidRPr="00BA1003">
        <w:rPr>
          <w:rFonts w:ascii="Verdana" w:eastAsia="Calibri" w:hAnsi="Verdana" w:cs="Arial"/>
          <w:lang w:val="es-ES_tradnl"/>
        </w:rPr>
        <w:t>definiciones del “Anexo – Glosario” de los documentos tipo indicados. Esto, en razón a que el numeral 1.10 del documento base dispone que “</w:t>
      </w:r>
      <w:r w:rsidRPr="00BA1003">
        <w:rPr>
          <w:rFonts w:ascii="Verdana" w:eastAsia="Calibri" w:hAnsi="Verdana" w:cs="Arial"/>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BA1003">
        <w:rPr>
          <w:rFonts w:ascii="Verdana" w:eastAsia="Calibri" w:hAnsi="Verdana" w:cs="Arial"/>
          <w:lang w:val="es-ES_tradnl"/>
        </w:rPr>
        <w:t>”.</w:t>
      </w:r>
    </w:p>
    <w:p w14:paraId="2F7CF182" w14:textId="77777777" w:rsidR="00BA1003" w:rsidRPr="00BA1003" w:rsidRDefault="00BA1003" w:rsidP="00BA1003">
      <w:pPr>
        <w:spacing w:after="0" w:line="276" w:lineRule="auto"/>
        <w:ind w:firstLine="708"/>
        <w:jc w:val="both"/>
        <w:rPr>
          <w:rFonts w:ascii="Verdana" w:eastAsia="Calibri" w:hAnsi="Verdana" w:cs="Arial"/>
          <w:lang w:val="es-ES_tradnl"/>
        </w:rPr>
      </w:pPr>
      <w:r w:rsidRPr="00BA1003">
        <w:rPr>
          <w:rFonts w:ascii="Verdana" w:eastAsia="Calibri" w:hAnsi="Verdana" w:cs="Arial"/>
          <w:lang w:val="es-ES_tradnl"/>
        </w:rPr>
        <w:t>De esta forma, de acuerdo con el Anexo 5 – Glosario de los documentos tipo de licitación de obra pública de infraestructura social – versión 2, el numeral 2.19 señala la definición de “Bien de interés cultural” lo cual, es importante para comprender el alcance de las actividades mencionadas y enmarcar el objeto de su solicitud en esta actividad. Así, en el numeral se dispone lo siguiente:</w:t>
      </w:r>
    </w:p>
    <w:p w14:paraId="6749D89F" w14:textId="77777777" w:rsidR="00BA1003" w:rsidRPr="00BA1003" w:rsidRDefault="00BA1003" w:rsidP="00BA1003">
      <w:pPr>
        <w:spacing w:after="0" w:line="276" w:lineRule="auto"/>
        <w:ind w:firstLine="708"/>
        <w:jc w:val="both"/>
        <w:rPr>
          <w:rFonts w:ascii="Verdana" w:eastAsia="Calibri" w:hAnsi="Verdana" w:cs="Arial"/>
          <w:lang w:val="es-ES_tradnl"/>
        </w:rPr>
      </w:pPr>
    </w:p>
    <w:p w14:paraId="17084825" w14:textId="77777777" w:rsidR="00BA1003" w:rsidRPr="00BA1003" w:rsidRDefault="00BA1003" w:rsidP="00BA1003">
      <w:pPr>
        <w:numPr>
          <w:ilvl w:val="1"/>
          <w:numId w:val="25"/>
        </w:numPr>
        <w:spacing w:after="120" w:line="240" w:lineRule="auto"/>
        <w:ind w:left="1145" w:right="709" w:hanging="436"/>
        <w:jc w:val="both"/>
        <w:rPr>
          <w:rFonts w:ascii="Verdana" w:eastAsia="Roboto" w:hAnsi="Verdana" w:cs="Roboto"/>
          <w:sz w:val="21"/>
          <w:szCs w:val="21"/>
          <w:lang w:val="es-ES"/>
        </w:rPr>
      </w:pPr>
      <w:r w:rsidRPr="00BA1003">
        <w:rPr>
          <w:rFonts w:ascii="Verdana" w:eastAsia="Calibri" w:hAnsi="Verdana" w:cs="Arial"/>
          <w:b/>
          <w:bCs/>
          <w:sz w:val="21"/>
          <w:szCs w:val="21"/>
          <w:lang w:val="es-ES"/>
        </w:rPr>
        <w:t>Bien de interés Cultural (BIC):</w:t>
      </w:r>
      <w:r w:rsidRPr="00BA1003">
        <w:rPr>
          <w:rFonts w:ascii="Verdana" w:eastAsia="Calibri" w:hAnsi="Verdana" w:cs="Arial"/>
          <w:sz w:val="21"/>
          <w:szCs w:val="21"/>
          <w:lang w:val="es-ES"/>
        </w:rPr>
        <w:t xml:space="preserve"> Son aquellos que por sus valores y criterios representan la identidad nacional, declarados mediante acto administrativo por la entidad competente, quedando sometidos al régimen especial de protección definido en la ley; estos pueden ser de naturaleza mueble, inmueble o paisajes culturales. (artículo 12, ley 2358 de 2019).</w:t>
      </w:r>
    </w:p>
    <w:p w14:paraId="33C47B00" w14:textId="77777777" w:rsidR="00BA1003" w:rsidRPr="00BA1003" w:rsidRDefault="00BA1003" w:rsidP="00BA1003">
      <w:pPr>
        <w:spacing w:after="120" w:line="240" w:lineRule="auto"/>
        <w:ind w:left="1145" w:right="709"/>
        <w:jc w:val="both"/>
        <w:rPr>
          <w:rFonts w:ascii="Verdana" w:eastAsia="Calibri" w:hAnsi="Verdana" w:cs="Arial"/>
          <w:sz w:val="21"/>
          <w:szCs w:val="21"/>
          <w:lang w:val="es-ES"/>
        </w:rPr>
      </w:pPr>
      <w:r w:rsidRPr="00BA1003">
        <w:rPr>
          <w:rFonts w:ascii="Verdana" w:eastAsia="Calibri" w:hAnsi="Verdana" w:cs="Arial"/>
          <w:sz w:val="21"/>
          <w:szCs w:val="21"/>
          <w:lang w:val="es-ES"/>
        </w:rPr>
        <w:t xml:space="preserve">Los bienes del patrimonio arqueológico se consideran bienes de interés cultural de la nación de conformidad con lo estipulado en la Ley 397 de 1997 modificada por la Ley 1185 de 2008. </w:t>
      </w:r>
    </w:p>
    <w:p w14:paraId="13AF7463" w14:textId="77777777" w:rsidR="00BA1003" w:rsidRPr="00BA1003" w:rsidRDefault="00BA1003" w:rsidP="00BA1003">
      <w:pPr>
        <w:spacing w:after="120" w:line="240" w:lineRule="auto"/>
        <w:ind w:left="1145" w:right="709"/>
        <w:jc w:val="both"/>
        <w:rPr>
          <w:rFonts w:ascii="Verdana" w:eastAsia="Roboto" w:hAnsi="Verdana" w:cs="Roboto"/>
          <w:sz w:val="21"/>
          <w:szCs w:val="21"/>
          <w:lang w:val="es-ES"/>
        </w:rPr>
      </w:pPr>
      <w:r w:rsidRPr="00BA1003">
        <w:rPr>
          <w:rFonts w:ascii="Verdana" w:eastAsia="Roboto" w:hAnsi="Verdana" w:cs="Roboto"/>
          <w:sz w:val="21"/>
          <w:szCs w:val="21"/>
          <w:lang w:val="es-ES"/>
        </w:rPr>
        <w:lastRenderedPageBreak/>
        <w:t>Los Bienes de Interés Cultural - BIC declarados pueden ser de interés municipal, departamental o nacional. Esta categoría está conformada por las Subcategorías o Grupos: Arquitectónico, Urbanístico, Paisajístico y Arqueológico. Hace parte del Subsistema de Patrimonio Cultural Inmueble.</w:t>
      </w:r>
    </w:p>
    <w:p w14:paraId="4D10B515" w14:textId="77777777" w:rsidR="00BA1003" w:rsidRPr="00BA1003" w:rsidRDefault="00BA1003" w:rsidP="00BA1003">
      <w:pPr>
        <w:spacing w:after="0" w:line="240" w:lineRule="auto"/>
        <w:ind w:left="1145" w:right="709"/>
        <w:jc w:val="both"/>
        <w:rPr>
          <w:rFonts w:ascii="Verdana" w:eastAsia="Roboto" w:hAnsi="Verdana" w:cs="Roboto"/>
          <w:sz w:val="21"/>
          <w:szCs w:val="21"/>
          <w:lang w:val="es-ES"/>
        </w:rPr>
      </w:pPr>
      <w:r w:rsidRPr="00BA1003">
        <w:rPr>
          <w:rFonts w:ascii="Verdana" w:eastAsia="Roboto" w:hAnsi="Verdana" w:cs="Roboto"/>
          <w:sz w:val="21"/>
          <w:szCs w:val="21"/>
          <w:lang w:val="es-ES"/>
        </w:rPr>
        <w:t>La declaratoria de interés cultural podrá recaer sobre un bien material en particular, o sobre una determinada colección o conjunto caso en el cual la declaratoria contendrá las medidas pertinentes para conservarlos como una unidad indivisible.</w:t>
      </w:r>
    </w:p>
    <w:p w14:paraId="14FFCC89" w14:textId="77777777" w:rsidR="00BA1003" w:rsidRPr="00BA1003" w:rsidRDefault="00BA1003" w:rsidP="00BA1003">
      <w:pPr>
        <w:spacing w:after="0" w:line="240" w:lineRule="auto"/>
        <w:ind w:left="1145" w:right="709"/>
        <w:jc w:val="both"/>
        <w:rPr>
          <w:rFonts w:ascii="Verdana" w:eastAsia="Roboto" w:hAnsi="Verdana" w:cs="Roboto"/>
          <w:sz w:val="21"/>
          <w:szCs w:val="21"/>
          <w:lang w:val="es-ES"/>
        </w:rPr>
      </w:pPr>
    </w:p>
    <w:p w14:paraId="34565872" w14:textId="77777777" w:rsidR="00BA1003" w:rsidRPr="00BA1003" w:rsidRDefault="00BA1003" w:rsidP="00BA1003">
      <w:pPr>
        <w:spacing w:after="120" w:line="276" w:lineRule="auto"/>
        <w:ind w:firstLine="708"/>
        <w:jc w:val="both"/>
        <w:rPr>
          <w:rFonts w:ascii="Verdana" w:eastAsia="Calibri" w:hAnsi="Verdana" w:cs="Arial"/>
          <w:lang w:val="es-ES"/>
        </w:rPr>
      </w:pPr>
      <w:r w:rsidRPr="00BA1003">
        <w:rPr>
          <w:rFonts w:ascii="Verdana" w:eastAsia="Calibri" w:hAnsi="Verdana" w:cs="Arial"/>
          <w:lang w:val="es-ES"/>
        </w:rPr>
        <w:t xml:space="preserve">De acuerdo con la definición, un bien de interés cultural es un bien material que, por sus valores históricos, simbólicos, arquitectónicos, urbanísticos, paisajísticos o arqueológicos, representa de manera significativa la identidad nacional y, </w:t>
      </w:r>
      <w:proofErr w:type="gramStart"/>
      <w:r w:rsidRPr="00BA1003">
        <w:rPr>
          <w:rFonts w:ascii="Verdana" w:eastAsia="Calibri" w:hAnsi="Verdana" w:cs="Arial"/>
          <w:lang w:val="es-ES"/>
        </w:rPr>
        <w:t>en razón de</w:t>
      </w:r>
      <w:proofErr w:type="gramEnd"/>
      <w:r w:rsidRPr="00BA1003">
        <w:rPr>
          <w:rFonts w:ascii="Verdana" w:eastAsia="Calibri" w:hAnsi="Verdana" w:cs="Arial"/>
          <w:lang w:val="es-ES"/>
        </w:rPr>
        <w:t xml:space="preserve"> ello, es declarado formalmente mediante acto administrativo por la autoridad competente. Dicha declaratoria implica su incorporación a un régimen especial de protección legal, orientado a garantizar su conservación, integridad y permanencia, independientemente de su naturaleza mueble, inmueble o de paisaje cultural, y de su ámbito de interés municipal, departamental o nacional. Asimismo, la protección puede extenderse tanto a bienes individuales como a conjuntos o colecciones, los cuales deben preservarse como unidades indivisibles dentro del Subsistema de Patrimonio Cultural Inmueble.</w:t>
      </w:r>
    </w:p>
    <w:p w14:paraId="6F8BDB7D" w14:textId="77777777" w:rsidR="00BA1003" w:rsidRPr="00BA1003" w:rsidRDefault="00BA1003" w:rsidP="00BA1003">
      <w:pPr>
        <w:spacing w:after="0" w:line="276" w:lineRule="auto"/>
        <w:ind w:firstLine="708"/>
        <w:jc w:val="both"/>
        <w:rPr>
          <w:rFonts w:ascii="Verdana" w:eastAsia="Calibri" w:hAnsi="Verdana" w:cs="Arial"/>
          <w:lang w:val="es-ES_tradnl"/>
        </w:rPr>
      </w:pPr>
      <w:r w:rsidRPr="00BA1003">
        <w:rPr>
          <w:rFonts w:ascii="Verdana" w:eastAsia="Calibri" w:hAnsi="Verdana" w:cs="Arial"/>
          <w:lang w:val="es-ES_tradnl"/>
        </w:rPr>
        <w:t>El Anexo 5 – Glosario de los documentos tipo de licitación de obra pública de infraestructura social – versión 2, también establece la definición de las actividades por las cuales indaga en su solicitud, esto es, conservación, reforzamiento estructural y restauración. Respectivamente, los numerales 3.24, 2.180 y 2.186, señalan lo siguiente:</w:t>
      </w:r>
    </w:p>
    <w:p w14:paraId="63702E96" w14:textId="77777777" w:rsidR="00BA1003" w:rsidRPr="00BA1003" w:rsidRDefault="00BA1003" w:rsidP="00BA1003">
      <w:pPr>
        <w:spacing w:after="0" w:line="276" w:lineRule="auto"/>
        <w:ind w:firstLine="708"/>
        <w:jc w:val="both"/>
        <w:rPr>
          <w:rFonts w:ascii="Verdana" w:eastAsia="Calibri" w:hAnsi="Verdana" w:cs="Arial"/>
          <w:lang w:val="es-ES_tradnl"/>
        </w:rPr>
      </w:pPr>
    </w:p>
    <w:p w14:paraId="61B82B26" w14:textId="77777777" w:rsidR="00BA1003" w:rsidRPr="00BA1003" w:rsidRDefault="00BA1003" w:rsidP="00BA1003">
      <w:pPr>
        <w:snapToGrid w:val="0"/>
        <w:spacing w:after="120" w:line="240" w:lineRule="auto"/>
        <w:ind w:left="709" w:right="709"/>
        <w:jc w:val="both"/>
        <w:rPr>
          <w:rFonts w:ascii="Verdana" w:eastAsia="Times New Roman" w:hAnsi="Verdana" w:cs="Times New Roman"/>
          <w:kern w:val="2"/>
          <w:sz w:val="21"/>
          <w:szCs w:val="21"/>
          <w:lang w:val="es-ES" w:eastAsia="es-ES"/>
          <w14:ligatures w14:val="standardContextual"/>
        </w:rPr>
      </w:pPr>
      <w:r w:rsidRPr="00BA1003">
        <w:rPr>
          <w:rFonts w:ascii="Verdana" w:eastAsia="Times New Roman" w:hAnsi="Verdana" w:cs="Times New Roman"/>
          <w:b/>
          <w:bCs/>
          <w:kern w:val="2"/>
          <w:sz w:val="21"/>
          <w:szCs w:val="21"/>
          <w:lang w:val="es-ES" w:eastAsia="es-ES"/>
          <w14:ligatures w14:val="standardContextual"/>
        </w:rPr>
        <w:t>“3.24 Conservación:</w:t>
      </w:r>
      <w:r w:rsidRPr="00BA1003">
        <w:rPr>
          <w:rFonts w:ascii="Verdana" w:eastAsia="Times New Roman" w:hAnsi="Verdana" w:cs="Times New Roman"/>
          <w:kern w:val="2"/>
          <w:sz w:val="21"/>
          <w:szCs w:val="21"/>
          <w:lang w:val="es-ES" w:eastAsia="es-ES"/>
          <w14:ligatures w14:val="standardContextual"/>
        </w:rPr>
        <w:t xml:space="preserve"> Es la conservación in situ de los ecosistemas y los hábitats naturales y el mantenimiento y recuperación de poblaciones viables de especies en su entorno natural y, en el caso de las especies domesticadas y cultivadas, en los entornos en que hayan desarrollado sus propiedades específicas. La conservación in situ hace referencia a la preservación, restauración, uso sostenible y conocimiento de la biodiversidad. (</w:t>
      </w:r>
      <w:proofErr w:type="spellStart"/>
      <w:r w:rsidRPr="00BA1003">
        <w:rPr>
          <w:rFonts w:ascii="Verdana" w:eastAsia="Times New Roman" w:hAnsi="Verdana" w:cs="Times New Roman"/>
          <w:kern w:val="2"/>
          <w:sz w:val="21"/>
          <w:szCs w:val="21"/>
          <w:lang w:val="es-ES" w:eastAsia="es-ES"/>
          <w14:ligatures w14:val="standardContextual"/>
        </w:rPr>
        <w:t>Dec</w:t>
      </w:r>
      <w:proofErr w:type="spellEnd"/>
      <w:r w:rsidRPr="00BA1003">
        <w:rPr>
          <w:rFonts w:ascii="Verdana" w:eastAsia="Times New Roman" w:hAnsi="Verdana" w:cs="Times New Roman"/>
          <w:kern w:val="2"/>
          <w:sz w:val="21"/>
          <w:szCs w:val="21"/>
          <w:lang w:val="es-ES" w:eastAsia="es-ES"/>
          <w14:ligatures w14:val="standardContextual"/>
        </w:rPr>
        <w:t xml:space="preserve"> 2372-2010, compilado en el </w:t>
      </w:r>
      <w:proofErr w:type="spellStart"/>
      <w:r w:rsidRPr="00BA1003">
        <w:rPr>
          <w:rFonts w:ascii="Verdana" w:eastAsia="Times New Roman" w:hAnsi="Verdana" w:cs="Times New Roman"/>
          <w:kern w:val="2"/>
          <w:sz w:val="21"/>
          <w:szCs w:val="21"/>
          <w:lang w:val="es-ES" w:eastAsia="es-ES"/>
          <w14:ligatures w14:val="standardContextual"/>
        </w:rPr>
        <w:t>Dec</w:t>
      </w:r>
      <w:proofErr w:type="spellEnd"/>
      <w:r w:rsidRPr="00BA1003">
        <w:rPr>
          <w:rFonts w:ascii="Verdana" w:eastAsia="Times New Roman" w:hAnsi="Verdana" w:cs="Times New Roman"/>
          <w:kern w:val="2"/>
          <w:sz w:val="21"/>
          <w:szCs w:val="21"/>
          <w:lang w:val="es-ES" w:eastAsia="es-ES"/>
          <w14:ligatures w14:val="standardContextual"/>
        </w:rPr>
        <w:t xml:space="preserve"> 1076-2015, art. 2.2.2.1.4.2.)</w:t>
      </w:r>
    </w:p>
    <w:p w14:paraId="715C37E7" w14:textId="77777777" w:rsidR="00BA1003" w:rsidRPr="00BA1003" w:rsidRDefault="00BA1003" w:rsidP="00BA1003">
      <w:pPr>
        <w:snapToGrid w:val="0"/>
        <w:spacing w:after="120" w:line="240" w:lineRule="auto"/>
        <w:ind w:left="709" w:right="709"/>
        <w:jc w:val="both"/>
        <w:rPr>
          <w:rFonts w:ascii="Verdana" w:eastAsia="Arial" w:hAnsi="Verdana" w:cs="Arial"/>
          <w:b/>
          <w:bCs/>
          <w:kern w:val="2"/>
          <w:sz w:val="21"/>
          <w:szCs w:val="21"/>
          <w:lang w:val="es-ES"/>
          <w14:ligatures w14:val="standardContextual"/>
        </w:rPr>
      </w:pPr>
      <w:r w:rsidRPr="00BA1003">
        <w:rPr>
          <w:rFonts w:ascii="Verdana" w:eastAsia="Arial" w:hAnsi="Verdana" w:cs="Arial"/>
          <w:b/>
          <w:bCs/>
          <w:kern w:val="2"/>
          <w:sz w:val="21"/>
          <w:szCs w:val="21"/>
          <w:lang w:val="es-ES"/>
          <w14:ligatures w14:val="standardContextual"/>
        </w:rPr>
        <w:t>2.180. Reforzamiento Estructural o Rehabilitación Estructural:</w:t>
      </w:r>
      <w:r w:rsidRPr="00BA1003">
        <w:rPr>
          <w:rFonts w:ascii="Verdana" w:eastAsia="Arial" w:hAnsi="Verdana" w:cs="Arial"/>
          <w:kern w:val="2"/>
          <w:sz w:val="21"/>
          <w:szCs w:val="21"/>
          <w:lang w:val="es-ES"/>
          <w14:ligatures w14:val="standardContextual"/>
        </w:rPr>
        <w:t xml:space="preserve"> Adición de fuerza o capacidad de carga a un elemento estructural que hace parte de un todo ya sea definido como superestructura, </w:t>
      </w:r>
      <w:r w:rsidRPr="00BA1003">
        <w:rPr>
          <w:rFonts w:ascii="Verdana" w:eastAsia="Arial" w:hAnsi="Verdana" w:cs="Arial"/>
          <w:kern w:val="2"/>
          <w:sz w:val="21"/>
          <w:szCs w:val="21"/>
          <w:lang w:val="es-ES"/>
          <w14:ligatures w14:val="standardContextual"/>
        </w:rPr>
        <w:lastRenderedPageBreak/>
        <w:t>subestructura o fundación.  Los ejemplos incluyen la instalación de barras de refuerzo de metal debidamente ancladas al elemento existente  en la forma establecida en los estudios y diseños antes de verter el hormigón; o instalar las placas de refuerzo metálicos  en la intersección de varios elementos; o realizar el reforzamiento mediante la implementación de sistemas compuestos como el refuerzo con fibra de carbono; o utilización de aceros estructurales; o implementación de reforzamiento mediante tensionamiento exterior de los elementos  requeridos</w:t>
      </w:r>
      <w:r w:rsidRPr="00BA1003">
        <w:rPr>
          <w:rFonts w:ascii="Verdana" w:eastAsia="Arial" w:hAnsi="Verdana" w:cs="Arial"/>
          <w:b/>
          <w:bCs/>
          <w:kern w:val="2"/>
          <w:sz w:val="21"/>
          <w:szCs w:val="21"/>
          <w:lang w:val="es-ES"/>
          <w14:ligatures w14:val="standardContextual"/>
        </w:rPr>
        <w:t xml:space="preserve">.  </w:t>
      </w:r>
    </w:p>
    <w:p w14:paraId="79D996B8" w14:textId="77777777" w:rsidR="00BA1003" w:rsidRPr="00BA1003" w:rsidRDefault="00BA1003" w:rsidP="00BA1003">
      <w:pPr>
        <w:snapToGrid w:val="0"/>
        <w:spacing w:after="0" w:line="240" w:lineRule="auto"/>
        <w:ind w:left="709" w:right="709"/>
        <w:jc w:val="both"/>
        <w:rPr>
          <w:rFonts w:ascii="Verdana" w:eastAsia="Arial" w:hAnsi="Verdana" w:cs="Arial"/>
          <w:kern w:val="2"/>
          <w:sz w:val="21"/>
          <w:szCs w:val="21"/>
          <w:lang w:val="es-ES"/>
          <w14:ligatures w14:val="standardContextual"/>
        </w:rPr>
      </w:pPr>
      <w:r w:rsidRPr="00BA1003">
        <w:rPr>
          <w:rFonts w:ascii="Verdana" w:eastAsia="Arial" w:hAnsi="Verdana" w:cs="Arial"/>
          <w:b/>
          <w:bCs/>
          <w:kern w:val="2"/>
          <w:sz w:val="21"/>
          <w:szCs w:val="21"/>
          <w:lang w:val="es-ES"/>
          <w14:ligatures w14:val="standardContextual"/>
        </w:rPr>
        <w:t xml:space="preserve">2.186 </w:t>
      </w:r>
      <w:proofErr w:type="gramStart"/>
      <w:r w:rsidRPr="00BA1003">
        <w:rPr>
          <w:rFonts w:ascii="Verdana" w:eastAsia="Arial" w:hAnsi="Verdana" w:cs="Arial"/>
          <w:b/>
          <w:bCs/>
          <w:kern w:val="2"/>
          <w:sz w:val="21"/>
          <w:szCs w:val="21"/>
          <w:lang w:val="es-ES"/>
          <w14:ligatures w14:val="standardContextual"/>
        </w:rPr>
        <w:t>Restauración</w:t>
      </w:r>
      <w:proofErr w:type="gramEnd"/>
      <w:r w:rsidRPr="00BA1003">
        <w:rPr>
          <w:rFonts w:ascii="Verdana" w:eastAsia="Arial" w:hAnsi="Verdana" w:cs="Arial"/>
          <w:b/>
          <w:bCs/>
          <w:kern w:val="2"/>
          <w:sz w:val="21"/>
          <w:szCs w:val="21"/>
          <w:lang w:val="es-ES"/>
          <w14:ligatures w14:val="standardContextual"/>
        </w:rPr>
        <w:t xml:space="preserve">: </w:t>
      </w:r>
      <w:r w:rsidRPr="00BA1003">
        <w:rPr>
          <w:rFonts w:ascii="Verdana" w:eastAsia="Arial" w:hAnsi="Verdana" w:cs="Arial"/>
          <w:kern w:val="2"/>
          <w:sz w:val="21"/>
          <w:szCs w:val="21"/>
          <w:lang w:val="es-ES"/>
          <w14:ligatures w14:val="standardContextual"/>
        </w:rPr>
        <w:t>Obras o intervenciones tendientes a recuperar y adaptar un inmueble o parte de este, con el fin de conservar y revelar sus valores estéticos, históricos y simbólicos. Se fundamenta en el respeto por su integridad y autenticidad”.</w:t>
      </w:r>
    </w:p>
    <w:p w14:paraId="2B781026" w14:textId="77777777" w:rsidR="00BA1003" w:rsidRPr="00BA1003" w:rsidRDefault="00BA1003" w:rsidP="00BA1003">
      <w:pPr>
        <w:snapToGrid w:val="0"/>
        <w:spacing w:after="0" w:line="240" w:lineRule="auto"/>
        <w:ind w:left="709" w:right="709"/>
        <w:jc w:val="both"/>
        <w:rPr>
          <w:rFonts w:ascii="Verdana" w:eastAsia="Arial" w:hAnsi="Verdana" w:cs="Arial"/>
          <w:b/>
          <w:bCs/>
          <w:kern w:val="2"/>
          <w:sz w:val="21"/>
          <w:szCs w:val="21"/>
          <w:lang w:val="es-ES"/>
          <w14:ligatures w14:val="standardContextual"/>
        </w:rPr>
      </w:pPr>
    </w:p>
    <w:p w14:paraId="38104CA9" w14:textId="77777777" w:rsidR="00BA1003" w:rsidRPr="00BA1003" w:rsidRDefault="00BA1003" w:rsidP="00BA1003">
      <w:pPr>
        <w:spacing w:after="0" w:line="278" w:lineRule="auto"/>
        <w:ind w:firstLine="708"/>
        <w:jc w:val="both"/>
        <w:rPr>
          <w:rFonts w:ascii="Verdana" w:eastAsia="Calibri" w:hAnsi="Verdana" w:cs="Arial"/>
          <w:lang w:val="es-ES"/>
        </w:rPr>
      </w:pPr>
      <w:r w:rsidRPr="00BA1003">
        <w:rPr>
          <w:rFonts w:ascii="Verdana" w:eastAsia="Calibri" w:hAnsi="Verdana" w:cs="Arial"/>
          <w:lang w:val="es-ES"/>
        </w:rPr>
        <w:t>Sin perjuicio de las definiciones indicadas para las actividades de conservación, reforzamiento estructural y restauración, contenidas en el Anexo 5 – Glosario de los documentos tipo de licitación de obra pública de infraestructura social – versión 2, la parte introductoria de este documento para efectos de interpretación del pliego de condiciones, indica lo siguiente:</w:t>
      </w:r>
    </w:p>
    <w:p w14:paraId="6459B47A" w14:textId="77777777" w:rsidR="00BA1003" w:rsidRPr="00BA1003" w:rsidRDefault="00BA1003" w:rsidP="00BA1003">
      <w:pPr>
        <w:spacing w:after="0" w:line="278" w:lineRule="auto"/>
        <w:ind w:firstLine="708"/>
        <w:jc w:val="both"/>
        <w:rPr>
          <w:rFonts w:ascii="Verdana" w:eastAsia="Calibri" w:hAnsi="Verdana" w:cs="Arial"/>
          <w:lang w:val="es-ES"/>
        </w:rPr>
      </w:pPr>
    </w:p>
    <w:p w14:paraId="606D984A" w14:textId="77777777" w:rsidR="00BA1003" w:rsidRPr="00BA1003" w:rsidRDefault="00BA1003" w:rsidP="00BA1003">
      <w:pPr>
        <w:spacing w:after="120" w:line="278" w:lineRule="auto"/>
        <w:ind w:left="709" w:right="709"/>
        <w:jc w:val="both"/>
        <w:rPr>
          <w:rFonts w:ascii="Verdana" w:eastAsia="Aptos" w:hAnsi="Verdana" w:cs="Arial"/>
          <w:kern w:val="2"/>
          <w:sz w:val="21"/>
          <w:szCs w:val="21"/>
          <w:highlight w:val="lightGray"/>
          <w:lang w:val="es-ES"/>
          <w14:ligatures w14:val="standardContextual"/>
        </w:rPr>
      </w:pPr>
      <w:r w:rsidRPr="00BA1003">
        <w:rPr>
          <w:rFonts w:ascii="Verdana" w:eastAsia="Aptos" w:hAnsi="Verdana" w:cs="Arial"/>
          <w:kern w:val="2"/>
          <w:sz w:val="21"/>
          <w:szCs w:val="21"/>
          <w:lang w:val="es-ES"/>
          <w14:ligatures w14:val="standardContextual"/>
        </w:rPr>
        <w:t>“[</w:t>
      </w:r>
      <w:r w:rsidRPr="00BA1003">
        <w:rPr>
          <w:rFonts w:ascii="Verdana" w:eastAsia="Aptos" w:hAnsi="Verdana" w:cs="Arial"/>
          <w:kern w:val="2"/>
          <w:sz w:val="21"/>
          <w:szCs w:val="21"/>
          <w:highlight w:val="lightGray"/>
          <w:lang w:val="es-ES"/>
          <w14:ligatures w14:val="standardContextual"/>
        </w:rPr>
        <w:t xml:space="preserve">La </w:t>
      </w:r>
      <w:r w:rsidRPr="00BA1003">
        <w:rPr>
          <w:rFonts w:ascii="Verdana" w:eastAsia="Arial" w:hAnsi="Verdana" w:cs="Arial"/>
          <w:kern w:val="2"/>
          <w:sz w:val="21"/>
          <w:szCs w:val="21"/>
          <w:highlight w:val="lightGray"/>
          <w:lang w:val="es-ES"/>
          <w14:ligatures w14:val="standardContextual"/>
        </w:rPr>
        <w:t>Entidad</w:t>
      </w:r>
      <w:r w:rsidRPr="00BA1003">
        <w:rPr>
          <w:rFonts w:ascii="Verdana" w:eastAsia="Aptos" w:hAnsi="Verdana" w:cs="Arial"/>
          <w:kern w:val="2"/>
          <w:sz w:val="21"/>
          <w:szCs w:val="21"/>
          <w:highlight w:val="lightGray"/>
          <w:lang w:val="es-ES"/>
          <w14:ligatures w14:val="standardContextual"/>
        </w:rPr>
        <w:t xml:space="preserve"> deberá incluir en orden alfabético los conceptos y/o definiciones adicionales que apliquen al </w:t>
      </w:r>
      <w:r w:rsidRPr="00BA1003">
        <w:rPr>
          <w:rFonts w:ascii="Verdana" w:eastAsia="Arial" w:hAnsi="Verdana" w:cs="Arial"/>
          <w:kern w:val="2"/>
          <w:sz w:val="21"/>
          <w:szCs w:val="21"/>
          <w:highlight w:val="lightGray"/>
          <w:lang w:val="es-ES"/>
          <w14:ligatures w14:val="standardContextual"/>
        </w:rPr>
        <w:t>Proceso</w:t>
      </w:r>
      <w:r w:rsidRPr="00BA1003">
        <w:rPr>
          <w:rFonts w:ascii="Verdana" w:eastAsia="Aptos" w:hAnsi="Verdana" w:cs="Arial"/>
          <w:kern w:val="2"/>
          <w:sz w:val="21"/>
          <w:szCs w:val="21"/>
          <w:highlight w:val="lightGray"/>
          <w:lang w:val="es-ES"/>
          <w14:ligatures w14:val="standardContextual"/>
        </w:rPr>
        <w:t xml:space="preserve"> de </w:t>
      </w:r>
      <w:r w:rsidRPr="00BA1003">
        <w:rPr>
          <w:rFonts w:ascii="Verdana" w:eastAsia="Arial" w:hAnsi="Verdana" w:cs="Arial"/>
          <w:kern w:val="2"/>
          <w:sz w:val="21"/>
          <w:szCs w:val="21"/>
          <w:highlight w:val="lightGray"/>
          <w:lang w:val="es-ES"/>
          <w14:ligatures w14:val="standardContextual"/>
        </w:rPr>
        <w:t>Contratación</w:t>
      </w:r>
      <w:r w:rsidRPr="00BA1003">
        <w:rPr>
          <w:rFonts w:ascii="Verdana" w:eastAsia="Aptos" w:hAnsi="Verdana" w:cs="Arial"/>
          <w:kern w:val="2"/>
          <w:sz w:val="21"/>
          <w:szCs w:val="21"/>
          <w:highlight w:val="lightGray"/>
          <w:lang w:val="es-ES"/>
          <w14:ligatures w14:val="standardContextual"/>
        </w:rPr>
        <w:t xml:space="preserve"> que no estén incorporados en el presente anexo y se definan en una ley o normativa que en orden de jerarquía esté por encima del pliego de condiciones, siendo estos obligatorios con independencia de que se encuentren detallados, o no.</w:t>
      </w:r>
    </w:p>
    <w:p w14:paraId="67784544" w14:textId="77777777" w:rsidR="00BA1003" w:rsidRPr="00BA1003" w:rsidRDefault="00BA1003" w:rsidP="00BA1003">
      <w:pPr>
        <w:spacing w:after="120" w:line="278" w:lineRule="auto"/>
        <w:ind w:left="709" w:right="709"/>
        <w:jc w:val="both"/>
        <w:rPr>
          <w:rFonts w:ascii="Verdana" w:eastAsia="Aptos" w:hAnsi="Verdana" w:cs="Arial"/>
          <w:kern w:val="2"/>
          <w:sz w:val="21"/>
          <w:szCs w:val="21"/>
          <w:lang w:val="es-ES"/>
          <w14:ligatures w14:val="standardContextual"/>
        </w:rPr>
      </w:pPr>
      <w:r w:rsidRPr="00BA1003">
        <w:rPr>
          <w:rFonts w:ascii="Verdana" w:eastAsia="Aptos" w:hAnsi="Verdana" w:cs="Arial"/>
          <w:kern w:val="2"/>
          <w:sz w:val="21"/>
          <w:szCs w:val="21"/>
          <w:highlight w:val="lightGray"/>
          <w:lang w:val="es-ES"/>
          <w14:ligatures w14:val="standardContextual"/>
        </w:rPr>
        <w:t xml:space="preserve">En caso de definiciones propias de la entidad o que no se encuentren definidas en una ley o normativa de mayor jerarquía al pliego de condiciones, la </w:t>
      </w:r>
      <w:r w:rsidRPr="00BA1003">
        <w:rPr>
          <w:rFonts w:ascii="Verdana" w:eastAsia="Arial" w:hAnsi="Verdana" w:cs="Arial"/>
          <w:kern w:val="2"/>
          <w:sz w:val="21"/>
          <w:szCs w:val="21"/>
          <w:highlight w:val="lightGray"/>
          <w:lang w:val="es-ES"/>
          <w14:ligatures w14:val="standardContextual"/>
        </w:rPr>
        <w:t>Entidad</w:t>
      </w:r>
      <w:r w:rsidRPr="00BA1003">
        <w:rPr>
          <w:rFonts w:ascii="Verdana" w:eastAsia="Aptos" w:hAnsi="Verdana" w:cs="Arial"/>
          <w:kern w:val="2"/>
          <w:sz w:val="21"/>
          <w:szCs w:val="21"/>
          <w:highlight w:val="lightGray"/>
          <w:lang w:val="es-ES"/>
          <w14:ligatures w14:val="standardContextual"/>
        </w:rPr>
        <w:t xml:space="preserve"> podrá incluir en orden alfabético los conceptos y/o definiciones adicionales para lo cual deberá definir de manera amplia, clara y suficiente cada uno de ellos, sin que se preste a ambigüedades o sea contraria a la definición técnica y jurídica comúnmente utilizada.</w:t>
      </w:r>
      <w:r w:rsidRPr="00BA1003">
        <w:rPr>
          <w:rFonts w:ascii="Verdana" w:eastAsia="Aptos" w:hAnsi="Verdana" w:cs="Arial"/>
          <w:kern w:val="2"/>
          <w:sz w:val="21"/>
          <w:szCs w:val="21"/>
          <w:lang w:val="es-ES"/>
          <w14:ligatures w14:val="standardContextual"/>
        </w:rPr>
        <w:t xml:space="preserve"> </w:t>
      </w:r>
    </w:p>
    <w:p w14:paraId="0C06419C" w14:textId="77777777" w:rsidR="00BA1003" w:rsidRPr="00BA1003" w:rsidRDefault="00BA1003" w:rsidP="00BA1003">
      <w:pPr>
        <w:spacing w:after="0" w:line="278" w:lineRule="auto"/>
        <w:ind w:left="709" w:right="709"/>
        <w:jc w:val="both"/>
        <w:rPr>
          <w:rFonts w:ascii="Verdana" w:eastAsia="Aptos" w:hAnsi="Verdana" w:cs="Arial"/>
          <w:kern w:val="2"/>
          <w:sz w:val="21"/>
          <w:szCs w:val="21"/>
          <w:lang w:val="es-ES"/>
          <w14:ligatures w14:val="standardContextual"/>
        </w:rPr>
      </w:pPr>
      <w:r w:rsidRPr="00BA1003">
        <w:rPr>
          <w:rFonts w:ascii="Verdana" w:eastAsia="Aptos" w:hAnsi="Verdana" w:cs="Arial"/>
          <w:kern w:val="2"/>
          <w:sz w:val="21"/>
          <w:szCs w:val="21"/>
          <w:highlight w:val="lightGray"/>
          <w:lang w:val="es-ES"/>
          <w14:ligatures w14:val="standardContextual"/>
        </w:rPr>
        <w:t>La entidad podrá hacer uso de las definiciones establecidas en cualquiera de los glosarios que hagan parte de los Documentos Tipo vigentes expedidos por parte de la ANCP-CCE en caso de ser requerido]</w:t>
      </w:r>
      <w:r w:rsidRPr="00BA1003">
        <w:rPr>
          <w:rFonts w:ascii="Verdana" w:eastAsia="Aptos" w:hAnsi="Verdana" w:cs="Arial"/>
          <w:kern w:val="2"/>
          <w:sz w:val="21"/>
          <w:szCs w:val="21"/>
          <w:lang w:val="es-ES"/>
          <w14:ligatures w14:val="standardContextual"/>
        </w:rPr>
        <w:t xml:space="preserve">”. </w:t>
      </w:r>
    </w:p>
    <w:p w14:paraId="670FB378" w14:textId="77777777" w:rsidR="00BA1003" w:rsidRPr="00BA1003" w:rsidRDefault="00BA1003" w:rsidP="00BA1003">
      <w:pPr>
        <w:snapToGrid w:val="0"/>
        <w:spacing w:after="0" w:line="276" w:lineRule="auto"/>
        <w:jc w:val="both"/>
        <w:rPr>
          <w:rFonts w:ascii="Verdana" w:eastAsia="Calibri" w:hAnsi="Verdana" w:cs="Arial"/>
          <w:lang w:val="es-ES"/>
        </w:rPr>
      </w:pPr>
    </w:p>
    <w:p w14:paraId="6064EC77" w14:textId="77777777" w:rsidR="00BA1003" w:rsidRPr="00BA1003" w:rsidRDefault="00BA1003" w:rsidP="00BA1003">
      <w:pPr>
        <w:snapToGrid w:val="0"/>
        <w:spacing w:after="120" w:line="276" w:lineRule="auto"/>
        <w:ind w:firstLine="708"/>
        <w:jc w:val="both"/>
        <w:rPr>
          <w:rFonts w:ascii="Verdana" w:eastAsia="Calibri" w:hAnsi="Verdana" w:cs="Arial"/>
          <w:lang w:val="es-ES"/>
        </w:rPr>
      </w:pPr>
      <w:r w:rsidRPr="00BA1003">
        <w:rPr>
          <w:rFonts w:ascii="Verdana" w:eastAsia="Aptos" w:hAnsi="Verdana" w:cs="Times New Roman"/>
          <w:kern w:val="2"/>
          <w:lang w:val="es-ES"/>
          <w14:ligatures w14:val="standardContextual"/>
        </w:rPr>
        <w:lastRenderedPageBreak/>
        <w:t xml:space="preserve">Así, el aparte señalado indica que la entidad deberá incluir </w:t>
      </w:r>
      <w:r w:rsidRPr="00BA1003">
        <w:rPr>
          <w:rFonts w:ascii="Verdana" w:eastAsia="Aptos" w:hAnsi="Verdana" w:cs="Times New Roman"/>
          <w:kern w:val="2"/>
          <w14:ligatures w14:val="standardContextual"/>
        </w:rPr>
        <w:t xml:space="preserve">en orden alfabético, los conceptos y/o definiciones adicionales que apliquen al proceso de contratación y que no se encuentren en el anexo, siempre que estén establecidos en una norma de mayor jerarquía que el pliego de condiciones, los cuales serán </w:t>
      </w:r>
      <w:proofErr w:type="gramStart"/>
      <w:r w:rsidRPr="00BA1003">
        <w:rPr>
          <w:rFonts w:ascii="Verdana" w:eastAsia="Aptos" w:hAnsi="Verdana" w:cs="Times New Roman"/>
          <w:kern w:val="2"/>
          <w14:ligatures w14:val="standardContextual"/>
        </w:rPr>
        <w:t>obligatorios</w:t>
      </w:r>
      <w:proofErr w:type="gramEnd"/>
      <w:r w:rsidRPr="00BA1003">
        <w:rPr>
          <w:rFonts w:ascii="Verdana" w:eastAsia="Aptos" w:hAnsi="Verdana" w:cs="Times New Roman"/>
          <w:kern w:val="2"/>
          <w14:ligatures w14:val="standardContextual"/>
        </w:rPr>
        <w:t xml:space="preserve"> aunque no estén expresamente detallados. Asimismo, señala que la entidad puede incorporar definiciones propias o que no estén reguladas en normas superiores, siempre que las redacte de manera clara, amplia y precisa, evitando ambigüedades o contradicciones con el significado técnico y jurídico comúnmente aceptado. Finalmente, se permite que la entidad utilice las definiciones contenidas en los glosarios de los documentos tipo vigentes expedidos por esta Agencia cuando sea necesario.</w:t>
      </w:r>
    </w:p>
    <w:p w14:paraId="1AD08453" w14:textId="77777777" w:rsidR="00BA1003" w:rsidRPr="00BA1003" w:rsidRDefault="00BA1003" w:rsidP="00BA1003">
      <w:pPr>
        <w:spacing w:after="120" w:line="276" w:lineRule="auto"/>
        <w:ind w:firstLine="708"/>
        <w:jc w:val="both"/>
        <w:rPr>
          <w:rFonts w:ascii="Verdana" w:eastAsia="Calibri" w:hAnsi="Verdana" w:cs="Arial"/>
          <w:lang w:val="es-ES"/>
        </w:rPr>
      </w:pPr>
      <w:r w:rsidRPr="00BA1003">
        <w:rPr>
          <w:rFonts w:ascii="Verdana" w:eastAsia="Calibri" w:hAnsi="Verdana" w:cs="Arial"/>
          <w:lang w:val="es-ES"/>
        </w:rPr>
        <w:t xml:space="preserve">Así las cosas, la Agencia Nacional de Contratación Pública – Colombia Compra Eficiente le informa que a partir del 16 de febrero de 2026, si una entidad de aquellas obligadas a utilizar los documentos tipo expedidos por esta Entidad adelanta un proceso que tenga por objeto la </w:t>
      </w:r>
      <w:r w:rsidRPr="00BA1003">
        <w:rPr>
          <w:rFonts w:ascii="Verdana" w:eastAsia="Calibri" w:hAnsi="Verdana" w:cs="Calibri"/>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del </w:t>
      </w:r>
      <w:r w:rsidRPr="00BA1003">
        <w:rPr>
          <w:rFonts w:ascii="Verdana" w:eastAsia="Calibri" w:hAnsi="Verdana" w:cs="Times New Roman"/>
        </w:rPr>
        <w:t>sector cultura, sector cultura, recreación y deporte o infraestructura asociada a bibliotecas,</w:t>
      </w:r>
      <w:r w:rsidRPr="00BA1003">
        <w:rPr>
          <w:rFonts w:ascii="Verdana" w:eastAsia="Calibri" w:hAnsi="Verdana" w:cs="Calibri"/>
        </w:rPr>
        <w:t xml:space="preserve"> </w:t>
      </w:r>
      <w:r w:rsidRPr="00BA1003">
        <w:rPr>
          <w:rFonts w:ascii="Verdana" w:eastAsia="Calibri" w:hAnsi="Verdana" w:cs="Arial"/>
          <w:lang w:val="es-ES"/>
        </w:rPr>
        <w:t xml:space="preserve">deberá aplicar los documentos tipo complementarios del sector cultura, recreación y deporte acogidos por esta Agencia mediante las Resoluciones 539, 540 y 541 de 2025, según el proyecto se adelante por la modalidad de licitación de obra pública, selección abreviada de menor cuantía o mínima cuantía, en donde se encuentran dispuestas las actividades 1.6, 3.16 y 4.6 aplicables a los proyectos por los que se indagan en su solicitud. </w:t>
      </w:r>
    </w:p>
    <w:p w14:paraId="4C7117A1" w14:textId="77777777" w:rsidR="00BA1003" w:rsidRPr="00BA1003" w:rsidRDefault="00BA1003" w:rsidP="00BA1003">
      <w:pPr>
        <w:snapToGrid w:val="0"/>
        <w:spacing w:after="0" w:line="276" w:lineRule="auto"/>
        <w:ind w:firstLine="708"/>
        <w:jc w:val="both"/>
        <w:rPr>
          <w:rFonts w:ascii="Verdana" w:eastAsia="Aptos" w:hAnsi="Verdana" w:cs="Times New Roman"/>
          <w:kern w:val="2"/>
          <w14:ligatures w14:val="standardContextual"/>
        </w:rPr>
      </w:pPr>
      <w:r w:rsidRPr="00BA1003">
        <w:rPr>
          <w:rFonts w:ascii="Verdana" w:eastAsia="Calibri" w:hAnsi="Verdana" w:cs="Arial"/>
          <w:lang w:val="es-ES"/>
        </w:rPr>
        <w:t xml:space="preserve">Ahora bien, sobre los proyectos de obra señalados, si la entidad que adelanta el proceso requiere contratar la interventoría, para el particular, los documentos tipo acogidos por esta Agencia Mediante la Resolución 953 de 2025, </w:t>
      </w:r>
      <w:r w:rsidRPr="00BA1003">
        <w:rPr>
          <w:rFonts w:ascii="Verdana" w:eastAsia="Aptos" w:hAnsi="Verdana" w:cs="Times New Roman"/>
          <w:kern w:val="2"/>
          <w14:ligatures w14:val="standardContextual"/>
        </w:rPr>
        <w:t xml:space="preserve">aplican para los procesos de contratación que se adelantan bajo la modalidad de concurso de méritos para contratar la interventoría de obras públicas de infraestructura social. Particularmente, se encuentran los documentos tipo complementarios del sector cultura, recreación y deporte, que contienen la Matriz 1 – Experiencia, en donde se estandarizan las siguientes actividades </w:t>
      </w:r>
      <w:r w:rsidRPr="00BA1003">
        <w:rPr>
          <w:rFonts w:ascii="Verdana" w:eastAsia="Aptos" w:hAnsi="Verdana" w:cs="Times New Roman"/>
          <w:kern w:val="2"/>
          <w14:ligatures w14:val="standardContextual"/>
        </w:rPr>
        <w:lastRenderedPageBreak/>
        <w:t>aplicables para contratar la interventoría sobre bienes de interés cultural, en ese sector:</w:t>
      </w:r>
    </w:p>
    <w:p w14:paraId="29A44D29" w14:textId="77777777" w:rsidR="00BA1003" w:rsidRPr="00BA1003" w:rsidRDefault="00BA1003" w:rsidP="00BA1003">
      <w:pPr>
        <w:snapToGrid w:val="0"/>
        <w:spacing w:after="0" w:line="276" w:lineRule="auto"/>
        <w:ind w:firstLine="708"/>
        <w:jc w:val="both"/>
        <w:rPr>
          <w:rFonts w:ascii="Aptos" w:eastAsia="Aptos" w:hAnsi="Aptos" w:cs="Times New Roman"/>
          <w:kern w:val="2"/>
          <w:sz w:val="24"/>
          <w:szCs w:val="24"/>
          <w14:ligatures w14:val="standardContextual"/>
        </w:rPr>
      </w:pPr>
    </w:p>
    <w:p w14:paraId="1F30F749" w14:textId="77777777" w:rsidR="00BA1003" w:rsidRPr="00BA1003" w:rsidRDefault="00BA1003" w:rsidP="00BA1003">
      <w:pPr>
        <w:snapToGrid w:val="0"/>
        <w:spacing w:after="120" w:line="240" w:lineRule="auto"/>
        <w:ind w:left="709" w:right="709"/>
        <w:jc w:val="both"/>
        <w:rPr>
          <w:rFonts w:ascii="Verdana" w:eastAsia="Calibri" w:hAnsi="Verdana" w:cs="Times New Roman"/>
          <w:sz w:val="21"/>
          <w:szCs w:val="21"/>
        </w:rPr>
      </w:pPr>
      <w:r w:rsidRPr="00BA1003">
        <w:rPr>
          <w:rFonts w:ascii="Verdana" w:eastAsia="Calibri" w:hAnsi="Verdana" w:cs="Times New Roman"/>
          <w:sz w:val="21"/>
          <w:szCs w:val="21"/>
        </w:rPr>
        <w:t>“1.6. INTERVENTORÍA A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CULTURAL.</w:t>
      </w:r>
    </w:p>
    <w:p w14:paraId="348B79BF" w14:textId="77777777" w:rsidR="00BA1003" w:rsidRPr="00BA1003" w:rsidRDefault="00BA1003" w:rsidP="00BA1003">
      <w:pPr>
        <w:spacing w:after="120" w:line="240" w:lineRule="auto"/>
        <w:ind w:left="709" w:right="709"/>
        <w:jc w:val="both"/>
        <w:rPr>
          <w:rFonts w:ascii="Verdana" w:eastAsia="Calibri" w:hAnsi="Verdana" w:cs="Times New Roman"/>
          <w:sz w:val="21"/>
          <w:szCs w:val="21"/>
        </w:rPr>
      </w:pPr>
      <w:r w:rsidRPr="00BA1003">
        <w:rPr>
          <w:rFonts w:ascii="Verdana" w:eastAsia="Calibri" w:hAnsi="Verdana" w:cs="Times New Roman"/>
          <w:sz w:val="21"/>
          <w:szCs w:val="21"/>
        </w:rPr>
        <w:t>(…)</w:t>
      </w:r>
    </w:p>
    <w:p w14:paraId="65CA6023" w14:textId="77777777" w:rsidR="00BA1003" w:rsidRPr="00BA1003" w:rsidRDefault="00BA1003" w:rsidP="00BA1003">
      <w:pPr>
        <w:spacing w:after="120" w:line="240" w:lineRule="auto"/>
        <w:ind w:left="709" w:right="709"/>
        <w:jc w:val="both"/>
        <w:rPr>
          <w:rFonts w:ascii="Verdana" w:eastAsia="Calibri" w:hAnsi="Verdana" w:cs="Times New Roman"/>
          <w:sz w:val="21"/>
          <w:szCs w:val="21"/>
        </w:rPr>
      </w:pPr>
      <w:r w:rsidRPr="00BA1003">
        <w:rPr>
          <w:rFonts w:ascii="Verdana" w:eastAsia="Calibri" w:hAnsi="Verdana" w:cs="Times New Roman"/>
          <w:sz w:val="21"/>
          <w:szCs w:val="21"/>
        </w:rPr>
        <w:t>3.16. INTERVENTORÍA A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ASOCIADOS A  INFRAESTRUCTURA DEL SECTOR DE CULTURA, RECREACIÓN Y DEPORTE.</w:t>
      </w:r>
    </w:p>
    <w:p w14:paraId="1FD7110F" w14:textId="77777777" w:rsidR="00BA1003" w:rsidRPr="00BA1003" w:rsidRDefault="00BA1003" w:rsidP="00BA1003">
      <w:pPr>
        <w:spacing w:after="120" w:line="240" w:lineRule="auto"/>
        <w:ind w:left="709" w:right="709"/>
        <w:jc w:val="both"/>
        <w:rPr>
          <w:rFonts w:ascii="Verdana" w:eastAsia="Calibri" w:hAnsi="Verdana" w:cs="Times New Roman"/>
          <w:sz w:val="21"/>
          <w:szCs w:val="21"/>
        </w:rPr>
      </w:pPr>
      <w:r w:rsidRPr="00BA1003">
        <w:rPr>
          <w:rFonts w:ascii="Verdana" w:eastAsia="Calibri" w:hAnsi="Verdana" w:cs="Times New Roman"/>
          <w:sz w:val="21"/>
          <w:szCs w:val="21"/>
        </w:rPr>
        <w:t>(…)</w:t>
      </w:r>
    </w:p>
    <w:p w14:paraId="18B626F9" w14:textId="77777777" w:rsidR="00BA1003" w:rsidRPr="00BA1003" w:rsidRDefault="00BA1003" w:rsidP="00BA1003">
      <w:pPr>
        <w:spacing w:after="0" w:line="240" w:lineRule="auto"/>
        <w:ind w:left="709" w:right="709"/>
        <w:jc w:val="both"/>
        <w:rPr>
          <w:rFonts w:ascii="Verdana" w:eastAsia="Calibri" w:hAnsi="Verdana" w:cs="Times New Roman"/>
          <w:sz w:val="21"/>
          <w:szCs w:val="21"/>
        </w:rPr>
      </w:pPr>
      <w:r w:rsidRPr="00BA1003">
        <w:rPr>
          <w:rFonts w:ascii="Verdana" w:eastAsia="Calibri" w:hAnsi="Verdana" w:cs="Times New Roman"/>
          <w:sz w:val="21"/>
          <w:szCs w:val="21"/>
        </w:rPr>
        <w:t>4.6. INTERVENTORÍA A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ASOCIADA A INFRAESTRUCTURA DE BIBLIOTECAS”.</w:t>
      </w:r>
    </w:p>
    <w:p w14:paraId="1F01CC9D" w14:textId="77777777" w:rsidR="00BA1003" w:rsidRPr="00BA1003" w:rsidRDefault="00BA1003" w:rsidP="00BA1003">
      <w:pPr>
        <w:spacing w:after="0" w:line="276" w:lineRule="auto"/>
        <w:ind w:left="709" w:right="709"/>
        <w:jc w:val="both"/>
        <w:rPr>
          <w:rFonts w:ascii="Verdana" w:eastAsia="Calibri" w:hAnsi="Verdana" w:cs="Times New Roman"/>
          <w:sz w:val="21"/>
          <w:szCs w:val="21"/>
        </w:rPr>
      </w:pPr>
    </w:p>
    <w:p w14:paraId="231378AE" w14:textId="77777777" w:rsidR="00BA1003" w:rsidRPr="00BA1003" w:rsidRDefault="00BA1003" w:rsidP="00BA1003">
      <w:pPr>
        <w:spacing w:after="120" w:line="276" w:lineRule="auto"/>
        <w:ind w:firstLine="708"/>
        <w:jc w:val="both"/>
        <w:rPr>
          <w:rFonts w:ascii="Verdana" w:eastAsia="Calibri" w:hAnsi="Verdana" w:cs="Times New Roman"/>
          <w:sz w:val="21"/>
          <w:szCs w:val="21"/>
        </w:rPr>
      </w:pPr>
      <w:r w:rsidRPr="00BA1003">
        <w:rPr>
          <w:rFonts w:ascii="Verdana" w:eastAsia="Calibri" w:hAnsi="Verdana" w:cs="Arial"/>
          <w:lang w:val="es-ES"/>
        </w:rPr>
        <w:t xml:space="preserve">Como se aprecia, para realizar la interventoría sobre contratos de obra que tengan por objeto la </w:t>
      </w:r>
      <w:r w:rsidRPr="00BA1003">
        <w:rPr>
          <w:rFonts w:ascii="Verdana" w:eastAsia="Calibri" w:hAnsi="Verdana" w:cs="Calibri"/>
        </w:rPr>
        <w:t xml:space="preserve">construcción y/o ampliación y/o reconstrucción y/o </w:t>
      </w:r>
      <w:r w:rsidRPr="00BA1003">
        <w:rPr>
          <w:rFonts w:ascii="Verdana" w:eastAsia="Calibri" w:hAnsi="Verdana" w:cs="Calibri"/>
        </w:rPr>
        <w:lastRenderedPageBreak/>
        <w:t xml:space="preserve">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del </w:t>
      </w:r>
      <w:r w:rsidRPr="00BA1003">
        <w:rPr>
          <w:rFonts w:ascii="Verdana" w:eastAsia="Calibri" w:hAnsi="Verdana" w:cs="Times New Roman"/>
        </w:rPr>
        <w:t xml:space="preserve">sector cultura, sector cultura, recreación y deporte o infraestructura asociada a bibliotecas, mediante los documentos tipo acogidos por esta Agencia mediante la Resolución 953 de 2025 se estandarizan las condiciones de experiencia general y específica que debe solicitar la entidad en esos procesos de selección. Por lo tanto, estos documentos serán obligatorios para adelantar las interventorías señaladas, para aquellas entidades obligadas a utilizar los documentos tipo a </w:t>
      </w:r>
      <w:r w:rsidRPr="00BA1003">
        <w:rPr>
          <w:rFonts w:ascii="Verdana" w:eastAsia="Calibri" w:hAnsi="Verdana" w:cs="Arial"/>
          <w:lang w:val="es-ES"/>
        </w:rPr>
        <w:t xml:space="preserve">partir del 16 de febrero de 2026. </w:t>
      </w:r>
    </w:p>
    <w:p w14:paraId="3D09764A" w14:textId="77777777" w:rsidR="00BA1003" w:rsidRPr="00BA1003" w:rsidRDefault="00BA1003" w:rsidP="00BA1003">
      <w:pPr>
        <w:spacing w:after="0" w:line="276" w:lineRule="auto"/>
        <w:ind w:firstLine="708"/>
        <w:jc w:val="both"/>
        <w:rPr>
          <w:rFonts w:ascii="Verdana" w:eastAsia="Calibri" w:hAnsi="Verdana" w:cs="Arial"/>
          <w:lang w:val="es-ES"/>
        </w:rPr>
      </w:pPr>
      <w:r w:rsidRPr="00BA1003">
        <w:rPr>
          <w:rFonts w:ascii="Verdana" w:eastAsia="Calibri" w:hAnsi="Verdana" w:cs="Arial"/>
          <w:lang w:val="es-ES"/>
        </w:rPr>
        <w:t xml:space="preserve">Finalmente, 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“Matriz – Experiencia” de los documentos tipo del sector cultura, recreación y deporte. </w:t>
      </w:r>
    </w:p>
    <w:p w14:paraId="2F0BCEE0" w14:textId="77777777" w:rsidR="00BA1003" w:rsidRPr="00BA1003" w:rsidRDefault="00BA1003" w:rsidP="00BA1003">
      <w:pPr>
        <w:spacing w:after="0" w:line="276" w:lineRule="auto"/>
        <w:jc w:val="both"/>
        <w:rPr>
          <w:rFonts w:ascii="Verdana" w:eastAsia="Calibri" w:hAnsi="Verdana" w:cs="Arial"/>
          <w:lang w:val="es-ES"/>
        </w:rPr>
      </w:pPr>
    </w:p>
    <w:p w14:paraId="730C209E" w14:textId="77777777" w:rsidR="00BA1003" w:rsidRPr="00BA1003" w:rsidRDefault="00BA1003" w:rsidP="00BA1003">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BA1003">
        <w:rPr>
          <w:rFonts w:ascii="Verdana" w:eastAsia="Calibri" w:hAnsi="Verdana" w:cs="Arial"/>
          <w:lang w:val="es-ES"/>
        </w:rPr>
        <w:t>iii</w:t>
      </w:r>
      <w:proofErr w:type="spellEnd"/>
      <w:r w:rsidRPr="00BA1003">
        <w:rPr>
          <w:rFonts w:ascii="Verdana" w:eastAsia="Calibri" w:hAnsi="Verdana" w:cs="Arial"/>
          <w:lang w:val="es-ES"/>
        </w:rPr>
        <w:t xml:space="preserve">. </w:t>
      </w:r>
      <w:r w:rsidRPr="00BA1003">
        <w:rPr>
          <w:rFonts w:ascii="Verdana" w:eastAsia="Times New Roman" w:hAnsi="Verdana" w:cs="Arial"/>
          <w:kern w:val="2"/>
          <w:shd w:val="clear" w:color="auto" w:fill="FFFFFF"/>
          <w:lang w:val="es-ES_tradnl" w:eastAsia="es-ES_tradnl"/>
          <w14:ligatures w14:val="standardContextual"/>
        </w:rPr>
        <w:t xml:space="preserve">Los documentos tipo adoptados por la Agencia Nacional de Contratación Pública </w:t>
      </w:r>
      <w:r w:rsidRPr="00BA1003">
        <w:rPr>
          <w:rFonts w:ascii="Verdana" w:eastAsia="Symbol" w:hAnsi="Verdana" w:cs="Symbol"/>
          <w:kern w:val="2"/>
          <w:shd w:val="clear" w:color="auto" w:fill="FFFFFF"/>
          <w:lang w:val="es-ES_tradnl" w:eastAsia="es-ES_tradnl"/>
          <w14:ligatures w14:val="standardContextual"/>
        </w:rPr>
        <w:t>–</w:t>
      </w:r>
      <w:r w:rsidRPr="00BA1003">
        <w:rPr>
          <w:rFonts w:ascii="Verdana" w:eastAsia="Times New Roman" w:hAnsi="Verdana" w:cs="Arial"/>
          <w:kern w:val="2"/>
          <w:shd w:val="clear" w:color="auto" w:fill="FFFFFF"/>
          <w:lang w:val="es-ES_tradnl" w:eastAsia="es-ES_tradnl"/>
          <w14:ligatures w14:val="standardContextual"/>
        </w:rPr>
        <w:t xml:space="preserve"> Colombia Compra eficiente</w:t>
      </w:r>
      <w:r w:rsidRPr="00BA1003">
        <w:rPr>
          <w:rFonts w:ascii="Verdana" w:eastAsia="Aptos" w:hAnsi="Verdana" w:cs="Times New Roman"/>
          <w:kern w:val="2"/>
          <w:lang w:val="es-ES_tradnl"/>
          <w14:ligatures w14:val="standardContextual"/>
        </w:rPr>
        <w:t xml:space="preserve"> en el sector de infraestructura social</w:t>
      </w:r>
      <w:r w:rsidRPr="00BA1003">
        <w:rPr>
          <w:rFonts w:ascii="Verdana" w:eastAsia="Times New Roman" w:hAnsi="Verdana" w:cs="Arial"/>
          <w:kern w:val="2"/>
          <w:shd w:val="clear" w:color="auto" w:fill="FFFFFF"/>
          <w:lang w:val="es-ES_tradnl" w:eastAsia="es-ES_tradnl"/>
          <w14:ligatures w14:val="standardContextual"/>
        </w:rPr>
        <w:t>, aplican para los procesos de “</w:t>
      </w:r>
      <w:r w:rsidRPr="00BA1003">
        <w:rPr>
          <w:rFonts w:ascii="Verdana" w:eastAsia="Times New Roman" w:hAnsi="Verdana" w:cs="Arial"/>
          <w:i/>
          <w:iCs/>
          <w:kern w:val="2"/>
          <w:shd w:val="clear" w:color="auto" w:fill="FFFFFF"/>
          <w:lang w:val="es-ES_tradnl" w:eastAsia="es-ES_tradnl"/>
          <w14:ligatures w14:val="standardContextual"/>
        </w:rPr>
        <w:t>obra pública”</w:t>
      </w:r>
      <w:r w:rsidRPr="00BA1003">
        <w:rPr>
          <w:rFonts w:ascii="Verdana" w:eastAsia="Times New Roman" w:hAnsi="Verdana" w:cs="Arial"/>
          <w:kern w:val="2"/>
          <w:shd w:val="clear" w:color="auto" w:fill="FFFFFF"/>
          <w:lang w:val="es-ES_tradnl" w:eastAsia="es-ES_tradnl"/>
          <w14:ligatures w14:val="standardContextual"/>
        </w:rPr>
        <w:t xml:space="preserve"> en las modalidades de selección acogidas: licitación pública, selección abreviada de menor cuantía y mínima cuantía.</w:t>
      </w:r>
    </w:p>
    <w:p w14:paraId="334C44E9"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val="es-ES" w:eastAsia="es-MX"/>
        </w:rPr>
        <w:t>La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r w:rsidRPr="00BA1003">
        <w:rPr>
          <w:rFonts w:ascii="Verdana" w:eastAsia="Times New Roman" w:hAnsi="Verdana" w:cs="Arial"/>
          <w:color w:val="000000"/>
          <w:lang w:eastAsia="es-MX"/>
        </w:rPr>
        <w:t> </w:t>
      </w:r>
    </w:p>
    <w:p w14:paraId="0FFC6DB2" w14:textId="77777777" w:rsidR="00BA1003" w:rsidRPr="00BA1003" w:rsidRDefault="00BA1003" w:rsidP="00BA1003">
      <w:pPr>
        <w:snapToGrid w:val="0"/>
        <w:spacing w:after="0" w:line="276" w:lineRule="auto"/>
        <w:ind w:firstLine="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val="es-ES" w:eastAsia="es-MX"/>
        </w:rPr>
        <w:t xml:space="preserve">En efecto, 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w:t>
      </w:r>
      <w:r w:rsidRPr="00BA1003">
        <w:rPr>
          <w:rFonts w:ascii="Verdana" w:eastAsia="Times New Roman" w:hAnsi="Verdana" w:cs="Arial"/>
          <w:color w:val="000000"/>
          <w:lang w:val="es-ES" w:eastAsia="es-MX"/>
        </w:rPr>
        <w:lastRenderedPageBreak/>
        <w:t>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Así, la doctrina considera que:</w:t>
      </w:r>
      <w:r w:rsidRPr="00BA1003">
        <w:rPr>
          <w:rFonts w:ascii="Verdana" w:eastAsia="Times New Roman" w:hAnsi="Verdana" w:cs="Arial"/>
          <w:color w:val="000000"/>
          <w:lang w:eastAsia="es-MX"/>
        </w:rPr>
        <w:t> </w:t>
      </w:r>
    </w:p>
    <w:p w14:paraId="62091157" w14:textId="77777777" w:rsidR="00BA1003" w:rsidRPr="00BA1003" w:rsidRDefault="00BA1003" w:rsidP="00BA1003">
      <w:pPr>
        <w:snapToGrid w:val="0"/>
        <w:spacing w:after="0" w:line="240" w:lineRule="auto"/>
        <w:ind w:left="705" w:right="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eastAsia="es-MX"/>
        </w:rPr>
        <w:t> </w:t>
      </w:r>
    </w:p>
    <w:p w14:paraId="10EB21FB" w14:textId="77777777" w:rsidR="00BA1003" w:rsidRPr="00BA1003" w:rsidRDefault="00BA1003" w:rsidP="00BA1003">
      <w:pPr>
        <w:snapToGrid w:val="0"/>
        <w:spacing w:after="120" w:line="240" w:lineRule="auto"/>
        <w:ind w:left="705" w:right="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sz w:val="21"/>
          <w:szCs w:val="21"/>
          <w:lang w:val="es-ES" w:eastAsia="es-MX"/>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r w:rsidRPr="00BA1003">
        <w:rPr>
          <w:rFonts w:ascii="Verdana" w:eastAsia="Times New Roman" w:hAnsi="Verdana" w:cs="Arial"/>
          <w:color w:val="000000"/>
          <w:sz w:val="21"/>
          <w:szCs w:val="21"/>
          <w:lang w:eastAsia="es-MX"/>
        </w:rPr>
        <w:t> </w:t>
      </w:r>
    </w:p>
    <w:p w14:paraId="278358D3" w14:textId="77777777" w:rsidR="00BA1003" w:rsidRPr="00BA1003" w:rsidRDefault="00BA1003" w:rsidP="00BA1003">
      <w:pPr>
        <w:snapToGrid w:val="0"/>
        <w:spacing w:after="0" w:line="240" w:lineRule="auto"/>
        <w:ind w:left="705" w:right="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sz w:val="21"/>
          <w:szCs w:val="21"/>
          <w:lang w:val="es-ES" w:eastAsia="es-MX"/>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BA1003">
        <w:rPr>
          <w:rFonts w:ascii="Verdana" w:eastAsia="Times New Roman" w:hAnsi="Verdana" w:cs="Arial"/>
          <w:color w:val="000000"/>
          <w:sz w:val="16"/>
          <w:szCs w:val="16"/>
          <w:lang w:val="es-ES" w:eastAsia="es-MX"/>
        </w:rPr>
        <w:t>”</w:t>
      </w:r>
      <w:r w:rsidRPr="00BA1003">
        <w:rPr>
          <w:rFonts w:ascii="Verdana" w:eastAsia="Times New Roman" w:hAnsi="Verdana" w:cs="Arial"/>
          <w:color w:val="000000"/>
          <w:sz w:val="16"/>
          <w:szCs w:val="16"/>
          <w:vertAlign w:val="superscript"/>
          <w:lang w:val="es-ES" w:eastAsia="es-MX"/>
        </w:rPr>
        <w:footnoteReference w:id="3"/>
      </w:r>
      <w:r w:rsidRPr="00BA1003">
        <w:rPr>
          <w:rFonts w:ascii="Verdana" w:eastAsia="Times New Roman" w:hAnsi="Verdana" w:cs="Arial"/>
          <w:color w:val="000000"/>
          <w:sz w:val="21"/>
          <w:szCs w:val="21"/>
          <w:lang w:val="es-ES" w:eastAsia="es-MX"/>
        </w:rPr>
        <w:t>.  </w:t>
      </w:r>
      <w:r w:rsidRPr="00BA1003">
        <w:rPr>
          <w:rFonts w:ascii="Verdana" w:eastAsia="Times New Roman" w:hAnsi="Verdana" w:cs="Arial"/>
          <w:color w:val="000000"/>
          <w:sz w:val="21"/>
          <w:szCs w:val="21"/>
          <w:lang w:eastAsia="es-MX"/>
        </w:rPr>
        <w:t> </w:t>
      </w:r>
    </w:p>
    <w:p w14:paraId="74F36ACB" w14:textId="77777777" w:rsidR="00BA1003" w:rsidRPr="00BA1003" w:rsidRDefault="00BA1003" w:rsidP="00BA1003">
      <w:pPr>
        <w:snapToGrid w:val="0"/>
        <w:spacing w:after="0" w:line="240" w:lineRule="auto"/>
        <w:ind w:left="705" w:right="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sz w:val="21"/>
          <w:szCs w:val="21"/>
          <w:lang w:val="es-ES" w:eastAsia="es-MX"/>
        </w:rPr>
        <w:t>    </w:t>
      </w:r>
      <w:r w:rsidRPr="00BA1003">
        <w:rPr>
          <w:rFonts w:ascii="Verdana" w:eastAsia="Times New Roman" w:hAnsi="Verdana" w:cs="Arial"/>
          <w:color w:val="000000"/>
          <w:sz w:val="21"/>
          <w:szCs w:val="21"/>
          <w:lang w:eastAsia="es-MX"/>
        </w:rPr>
        <w:t> </w:t>
      </w:r>
    </w:p>
    <w:p w14:paraId="3954ED46" w14:textId="77777777" w:rsidR="00BA1003" w:rsidRPr="00BA1003" w:rsidRDefault="00BA1003" w:rsidP="00BA1003">
      <w:pPr>
        <w:snapToGrid w:val="0"/>
        <w:spacing w:after="0" w:line="276" w:lineRule="auto"/>
        <w:ind w:firstLine="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val="es-ES" w:eastAsia="es-MX"/>
        </w:rPr>
        <w:t>En </w:t>
      </w:r>
      <w:r w:rsidRPr="00BA1003">
        <w:rPr>
          <w:rFonts w:ascii="Verdana" w:eastAsia="Times New Roman" w:hAnsi="Verdana" w:cs="Arial"/>
          <w:i/>
          <w:iCs/>
          <w:color w:val="000000"/>
          <w:lang w:val="es-ES" w:eastAsia="es-MX"/>
        </w:rPr>
        <w:t>sentido amplio</w:t>
      </w:r>
      <w:r w:rsidRPr="00BA1003">
        <w:rPr>
          <w:rFonts w:ascii="Verdana" w:eastAsia="Times New Roman" w:hAnsi="Verdana" w:cs="Arial"/>
          <w:color w:val="000000"/>
          <w:lang w:val="es-ES" w:eastAsia="es-MX"/>
        </w:rPr>
        <w:t>, dado que la “obra” es un bien que crea la actividad humana, el hecho de que sea “pública” significa que es todo trabajo material en cuya creación o realización interviene el Estado. No obstante, el numeral 1 del artículo 32 de la Ley 80 de 1993 opta por un </w:t>
      </w:r>
      <w:r w:rsidRPr="00BA1003">
        <w:rPr>
          <w:rFonts w:ascii="Verdana" w:eastAsia="Times New Roman" w:hAnsi="Verdana" w:cs="Arial"/>
          <w:i/>
          <w:iCs/>
          <w:color w:val="000000"/>
          <w:lang w:val="es-ES" w:eastAsia="es-MX"/>
        </w:rPr>
        <w:t>sentido restringido</w:t>
      </w:r>
      <w:r w:rsidRPr="00BA1003">
        <w:rPr>
          <w:rFonts w:ascii="Verdana" w:eastAsia="Times New Roman" w:hAnsi="Verdana" w:cs="Arial"/>
          <w:color w:val="000000"/>
          <w:lang w:val="es-ES" w:eastAsia="es-MX"/>
        </w:rPr>
        <w:t xml:space="preserve">,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w:t>
      </w:r>
      <w:r w:rsidRPr="00BA1003">
        <w:rPr>
          <w:rFonts w:ascii="Verdana" w:eastAsia="Times New Roman" w:hAnsi="Verdana" w:cs="Arial"/>
          <w:color w:val="000000"/>
          <w:lang w:val="es-ES" w:eastAsia="es-MX"/>
        </w:rPr>
        <w:lastRenderedPageBreak/>
        <w:t>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r w:rsidRPr="00BA1003">
        <w:rPr>
          <w:rFonts w:ascii="Verdana" w:eastAsia="Times New Roman" w:hAnsi="Verdana" w:cs="Arial"/>
          <w:color w:val="000000"/>
          <w:vertAlign w:val="superscript"/>
          <w:lang w:val="es-ES" w:eastAsia="es-MX"/>
        </w:rPr>
        <w:footnoteReference w:id="4"/>
      </w:r>
      <w:r w:rsidRPr="00BA1003">
        <w:rPr>
          <w:rFonts w:ascii="Verdana" w:eastAsia="Times New Roman" w:hAnsi="Verdana" w:cs="Arial"/>
          <w:color w:val="000000"/>
          <w:lang w:val="es-ES" w:eastAsia="es-MX"/>
        </w:rPr>
        <w:t>. De esta manera:</w:t>
      </w:r>
      <w:r w:rsidRPr="00BA1003">
        <w:rPr>
          <w:rFonts w:ascii="Verdana" w:eastAsia="Times New Roman" w:hAnsi="Verdana" w:cs="Arial"/>
          <w:color w:val="000000"/>
          <w:lang w:eastAsia="es-MX"/>
        </w:rPr>
        <w:t> </w:t>
      </w:r>
    </w:p>
    <w:p w14:paraId="0A1F761E" w14:textId="77777777" w:rsidR="00BA1003" w:rsidRPr="00BA1003" w:rsidRDefault="00BA1003" w:rsidP="00BA1003">
      <w:pPr>
        <w:snapToGrid w:val="0"/>
        <w:spacing w:after="120" w:line="240" w:lineRule="auto"/>
        <w:ind w:firstLine="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eastAsia="es-MX"/>
        </w:rPr>
        <w:t> </w:t>
      </w:r>
    </w:p>
    <w:p w14:paraId="74030EA6" w14:textId="77777777" w:rsidR="00BA1003" w:rsidRPr="00BA1003" w:rsidRDefault="00BA1003" w:rsidP="00BA1003">
      <w:pPr>
        <w:snapToGrid w:val="0"/>
        <w:spacing w:after="120" w:line="240" w:lineRule="auto"/>
        <w:ind w:left="705" w:right="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sz w:val="21"/>
          <w:szCs w:val="21"/>
          <w:lang w:val="es-ES" w:eastAsia="es-MX"/>
        </w:rPr>
        <w:t>“(…)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r w:rsidRPr="00BA1003">
        <w:rPr>
          <w:rFonts w:ascii="Verdana" w:eastAsia="Times New Roman" w:hAnsi="Verdana" w:cs="Arial"/>
          <w:color w:val="000000"/>
          <w:sz w:val="21"/>
          <w:szCs w:val="21"/>
          <w:lang w:eastAsia="es-MX"/>
        </w:rPr>
        <w:t> </w:t>
      </w:r>
    </w:p>
    <w:p w14:paraId="3455E786" w14:textId="77777777" w:rsidR="00BA1003" w:rsidRPr="00BA1003" w:rsidRDefault="00BA1003" w:rsidP="00BA1003">
      <w:pPr>
        <w:snapToGrid w:val="0"/>
        <w:spacing w:after="0" w:line="240" w:lineRule="auto"/>
        <w:ind w:left="705" w:right="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sz w:val="21"/>
          <w:szCs w:val="21"/>
          <w:lang w:val="es-ES" w:eastAsia="es-MX"/>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BA1003">
        <w:rPr>
          <w:rFonts w:ascii="Verdana" w:eastAsia="Times New Roman" w:hAnsi="Verdana" w:cs="Arial"/>
          <w:color w:val="000000"/>
          <w:sz w:val="21"/>
          <w:szCs w:val="21"/>
          <w:vertAlign w:val="superscript"/>
          <w:lang w:val="es-ES" w:eastAsia="es-MX"/>
        </w:rPr>
        <w:footnoteReference w:id="5"/>
      </w:r>
      <w:r w:rsidRPr="00BA1003">
        <w:rPr>
          <w:rFonts w:ascii="Verdana" w:eastAsia="Times New Roman" w:hAnsi="Verdana" w:cs="Arial"/>
          <w:color w:val="000000"/>
          <w:sz w:val="21"/>
          <w:szCs w:val="21"/>
          <w:lang w:val="es-ES" w:eastAsia="es-MX"/>
        </w:rPr>
        <w:t>.</w:t>
      </w:r>
      <w:r w:rsidRPr="00BA1003">
        <w:rPr>
          <w:rFonts w:ascii="Verdana" w:eastAsia="Times New Roman" w:hAnsi="Verdana" w:cs="Arial"/>
          <w:color w:val="000000"/>
          <w:sz w:val="21"/>
          <w:szCs w:val="21"/>
          <w:lang w:eastAsia="es-MX"/>
        </w:rPr>
        <w:t> </w:t>
      </w:r>
    </w:p>
    <w:p w14:paraId="5E9FC4D6" w14:textId="77777777" w:rsidR="00BA1003" w:rsidRPr="00BA1003" w:rsidRDefault="00BA1003" w:rsidP="00BA1003">
      <w:pPr>
        <w:snapToGrid w:val="0"/>
        <w:spacing w:after="0" w:line="240" w:lineRule="auto"/>
        <w:ind w:left="705" w:right="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sz w:val="21"/>
          <w:szCs w:val="21"/>
          <w:lang w:eastAsia="es-MX"/>
        </w:rPr>
        <w:t> </w:t>
      </w:r>
    </w:p>
    <w:p w14:paraId="324F38AF"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Times New Roman"/>
          <w:color w:val="000000"/>
          <w:lang w:val="es-ES" w:eastAsia="es-MX"/>
        </w:rPr>
      </w:pPr>
      <w:r w:rsidRPr="00BA1003">
        <w:rPr>
          <w:rFonts w:ascii="Verdana" w:eastAsia="Times New Roman" w:hAnsi="Verdana" w:cs="Times New Roman"/>
          <w:color w:val="000000"/>
          <w:lang w:val="es-ES" w:eastAsia="es-MX"/>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 entre otros.</w:t>
      </w:r>
    </w:p>
    <w:p w14:paraId="243E5D7B"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val="es-ES" w:eastAsia="es-MX"/>
        </w:rPr>
        <w:t xml:space="preserve">Respecto a la referencia a los bienes inmuebles, se debe considerar la definición de los artículos 656 y 658 del Código Civil, que incluye en esa categoría </w:t>
      </w:r>
      <w:r w:rsidRPr="00BA1003">
        <w:rPr>
          <w:rFonts w:ascii="Verdana" w:eastAsia="Times New Roman" w:hAnsi="Verdana" w:cs="Arial"/>
          <w:color w:val="000000"/>
          <w:lang w:val="es-ES" w:eastAsia="es-MX"/>
        </w:rPr>
        <w:lastRenderedPageBreak/>
        <w:t>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r w:rsidRPr="00BA1003">
        <w:rPr>
          <w:rFonts w:ascii="Verdana" w:eastAsia="Times New Roman" w:hAnsi="Verdana" w:cs="Arial"/>
          <w:color w:val="000000"/>
          <w:lang w:eastAsia="es-MX"/>
        </w:rPr>
        <w:t> </w:t>
      </w:r>
    </w:p>
    <w:p w14:paraId="0794EB3D"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val="es-ES" w:eastAsia="es-MX"/>
        </w:rPr>
        <w:t>Teniendo en cuenta la remisión de los artículos 13, 32 y 40 del Estatuto General de Contratación al Código Civil, el artículo 656 dispone que “inmuebles o fincas o bienes raíces son las cosas que no pueden transportarse de un lugar a otro; como las tierras y minas, y las que adhieren permanentemente a ellas, como los edificios, los árboles”. En concordancia, el artículo 657 prescribe lo siguiente: “Las plantas son inmuebles, mientras adhieren al suelo por sus raíces, a menos que estén en macetas o cajones que puedan transportarse de un lugar a otro”. Estos bienes se denominan </w:t>
      </w:r>
      <w:r w:rsidRPr="00BA1003">
        <w:rPr>
          <w:rFonts w:ascii="Verdana" w:eastAsia="Times New Roman" w:hAnsi="Verdana" w:cs="Arial"/>
          <w:i/>
          <w:iCs/>
          <w:color w:val="000000"/>
          <w:lang w:val="es-ES" w:eastAsia="es-MX"/>
        </w:rPr>
        <w:t>inmuebles por adhesión</w:t>
      </w:r>
      <w:r w:rsidRPr="00BA1003">
        <w:rPr>
          <w:rFonts w:ascii="Verdana" w:eastAsia="Times New Roman" w:hAnsi="Verdana" w:cs="Arial"/>
          <w:color w:val="000000"/>
          <w:lang w:val="es-ES" w:eastAsia="es-MX"/>
        </w:rPr>
        <w:t> y la doctrina los caracteriza como “(…) bienes muebles por naturaleza, adheridos permanente y materialmente a un inmueble, incorporados por el propietario o por una persona distinta de él, que por una ficción jurídica del legislador se transforman en bienes inmuebles”</w:t>
      </w:r>
      <w:r w:rsidRPr="00BA1003">
        <w:rPr>
          <w:rFonts w:ascii="Verdana" w:eastAsia="Times New Roman" w:hAnsi="Verdana" w:cs="Arial"/>
          <w:color w:val="000000"/>
          <w:vertAlign w:val="superscript"/>
          <w:lang w:val="es-ES" w:eastAsia="es-MX"/>
        </w:rPr>
        <w:footnoteReference w:id="6"/>
      </w:r>
      <w:r w:rsidRPr="00BA1003">
        <w:rPr>
          <w:rFonts w:ascii="Verdana" w:eastAsia="Times New Roman" w:hAnsi="Verdana" w:cs="Arial"/>
          <w:color w:val="000000"/>
          <w:lang w:val="es-ES" w:eastAsia="es-MX"/>
        </w:rPr>
        <w:t>.   </w:t>
      </w:r>
      <w:r w:rsidRPr="00BA1003">
        <w:rPr>
          <w:rFonts w:ascii="Verdana" w:eastAsia="Times New Roman" w:hAnsi="Verdana" w:cs="Arial"/>
          <w:color w:val="000000"/>
          <w:lang w:eastAsia="es-MX"/>
        </w:rPr>
        <w:t> </w:t>
      </w:r>
    </w:p>
    <w:p w14:paraId="7711356F"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val="es-ES" w:eastAsia="es-MX"/>
        </w:rPr>
        <w:t>Por otra parte, el artículo 658 del Código Civil crea la categoría de </w:t>
      </w:r>
      <w:r w:rsidRPr="00BA1003">
        <w:rPr>
          <w:rFonts w:ascii="Verdana" w:eastAsia="Times New Roman" w:hAnsi="Verdana" w:cs="Arial"/>
          <w:i/>
          <w:iCs/>
          <w:color w:val="000000"/>
          <w:lang w:val="es-ES" w:eastAsia="es-MX"/>
        </w:rPr>
        <w:t>inmuebles por destinación</w:t>
      </w:r>
      <w:r w:rsidRPr="00BA1003">
        <w:rPr>
          <w:rFonts w:ascii="Verdana" w:eastAsia="Times New Roman" w:hAnsi="Verdana" w:cs="Arial"/>
          <w:color w:val="000000"/>
          <w:lang w:val="es-ES" w:eastAsia="es-MX"/>
        </w:rPr>
        <w:t>, disponiendo que “Se reputan inmuebles, aunque por su naturaleza no lo sean, las cosas que están permanentemente destinadas al uso, cultivo y beneficio de un inmueble, sin embargo, de que puedan separarse sin detrimento”. El mismo artículo crea una lista enunciativa de estos bienes, dentro de los cuales se encuentran: i) las losas de un pavimento; </w:t>
      </w:r>
      <w:proofErr w:type="spellStart"/>
      <w:r w:rsidRPr="00BA1003">
        <w:rPr>
          <w:rFonts w:ascii="Verdana" w:eastAsia="Times New Roman" w:hAnsi="Verdana" w:cs="Arial"/>
          <w:color w:val="000000"/>
          <w:lang w:val="es-ES" w:eastAsia="es-MX"/>
        </w:rPr>
        <w:t>ii</w:t>
      </w:r>
      <w:proofErr w:type="spellEnd"/>
      <w:r w:rsidRPr="00BA1003">
        <w:rPr>
          <w:rFonts w:ascii="Verdana" w:eastAsia="Times New Roman" w:hAnsi="Verdana" w:cs="Arial"/>
          <w:color w:val="000000"/>
          <w:lang w:val="es-ES" w:eastAsia="es-MX"/>
        </w:rPr>
        <w:t>) los tubos de las cañerías; </w:t>
      </w:r>
      <w:proofErr w:type="spellStart"/>
      <w:r w:rsidRPr="00BA1003">
        <w:rPr>
          <w:rFonts w:ascii="Verdana" w:eastAsia="Times New Roman" w:hAnsi="Verdana" w:cs="Arial"/>
          <w:color w:val="000000"/>
          <w:lang w:val="es-ES" w:eastAsia="es-MX"/>
        </w:rPr>
        <w:t>iii</w:t>
      </w:r>
      <w:proofErr w:type="spellEnd"/>
      <w:r w:rsidRPr="00BA1003">
        <w:rPr>
          <w:rFonts w:ascii="Verdana" w:eastAsia="Times New Roman" w:hAnsi="Verdana" w:cs="Arial"/>
          <w:color w:val="000000"/>
          <w:lang w:val="es-ES" w:eastAsia="es-MX"/>
        </w:rPr>
        <w:t>) los utensilios de labranza o minería, y los animales actualmente destinados al cultivo o beneficio de una finca, con tal que hayan sido puestos en ella por el dueño de la finca; </w:t>
      </w:r>
      <w:proofErr w:type="spellStart"/>
      <w:r w:rsidRPr="00BA1003">
        <w:rPr>
          <w:rFonts w:ascii="Verdana" w:eastAsia="Times New Roman" w:hAnsi="Verdana" w:cs="Arial"/>
          <w:color w:val="000000"/>
          <w:lang w:val="es-ES" w:eastAsia="es-MX"/>
        </w:rPr>
        <w:t>iv</w:t>
      </w:r>
      <w:proofErr w:type="spellEnd"/>
      <w:r w:rsidRPr="00BA1003">
        <w:rPr>
          <w:rFonts w:ascii="Verdana" w:eastAsia="Times New Roman" w:hAnsi="Verdana" w:cs="Arial"/>
          <w:color w:val="000000"/>
          <w:lang w:val="es-ES" w:eastAsia="es-MX"/>
        </w:rPr>
        <w:t>) los abonos existentes en ella y destinados por el dueño de la finca a mejorarla; v) las prensas, calderas, cubas, alambiques, toneles y máquinas, que forman parte de un establecimiento industrial adherente al suelo y pertenecen al dueño de éste; y vi) los animales que se guardan en conejeras, pajareras, estanques, colmenas y cualesquiera otros vivares, con tal que éstos adhieran al suelo, o sean parte del suelo mismo o de un edificio. </w:t>
      </w:r>
      <w:r w:rsidRPr="00BA1003">
        <w:rPr>
          <w:rFonts w:ascii="Verdana" w:eastAsia="Times New Roman" w:hAnsi="Verdana" w:cs="Arial"/>
          <w:color w:val="000000"/>
          <w:lang w:eastAsia="es-MX"/>
        </w:rPr>
        <w:t> </w:t>
      </w:r>
    </w:p>
    <w:p w14:paraId="6A3BDEF4"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Segoe UI"/>
          <w:lang w:eastAsia="es-MX"/>
        </w:rPr>
      </w:pPr>
      <w:r w:rsidRPr="00BA1003">
        <w:rPr>
          <w:rFonts w:ascii="Verdana" w:eastAsia="Times New Roman" w:hAnsi="Verdana" w:cs="Arial"/>
          <w:color w:val="000000"/>
          <w:lang w:val="es-ES" w:eastAsia="es-MX"/>
        </w:rPr>
        <w:lastRenderedPageBreak/>
        <w:t>Así las cosas, para que clasifiquen dentro de esta categoría se requiere que los muebles sirvan para prestar un servicio útil al inmueble por naturaleza, que el servicio sea permanente, además de que ambos sean del mismo propietario. En esta medida: “Por excepción al criterio extraído de la naturaleza física de las cosas, los redactores del Código Civil han considerado como inmuebles las cosas trasladables: las clasifican entre los inmuebles </w:t>
      </w:r>
      <w:proofErr w:type="gramStart"/>
      <w:r w:rsidRPr="00BA1003">
        <w:rPr>
          <w:rFonts w:ascii="Verdana" w:eastAsia="Times New Roman" w:hAnsi="Verdana" w:cs="Arial"/>
          <w:color w:val="000000"/>
          <w:lang w:val="es-ES" w:eastAsia="es-MX"/>
        </w:rPr>
        <w:t>en razón de</w:t>
      </w:r>
      <w:proofErr w:type="gramEnd"/>
      <w:r w:rsidRPr="00BA1003">
        <w:rPr>
          <w:rFonts w:ascii="Verdana" w:eastAsia="Times New Roman" w:hAnsi="Verdana" w:cs="Arial"/>
          <w:color w:val="000000"/>
          <w:lang w:val="es-ES" w:eastAsia="es-MX"/>
        </w:rPr>
        <w:t> su destino, porque están afectadas a un inmueble por naturaleza. No han querido que estos muebles, unidos o afectados al inmueble, sigan un régimen jurídico distinto del inmueble mismo (…) El inmueble y todo lo destinado a él forman un conjunto, una suerte de universalidad: el legislador ha querido someter esa unidad económica al mismo régimen”</w:t>
      </w:r>
      <w:r w:rsidRPr="00BA1003">
        <w:rPr>
          <w:rFonts w:ascii="Verdana" w:eastAsia="Times New Roman" w:hAnsi="Verdana" w:cs="Arial"/>
          <w:color w:val="000000"/>
          <w:vertAlign w:val="superscript"/>
          <w:lang w:val="es-ES" w:eastAsia="es-MX"/>
        </w:rPr>
        <w:footnoteReference w:id="7"/>
      </w:r>
      <w:r w:rsidRPr="00BA1003">
        <w:rPr>
          <w:rFonts w:ascii="Verdana" w:eastAsia="Times New Roman" w:hAnsi="Verdana" w:cs="Arial"/>
          <w:color w:val="000000"/>
          <w:lang w:val="es-ES" w:eastAsia="es-MX"/>
        </w:rPr>
        <w:t>.  </w:t>
      </w:r>
      <w:r w:rsidRPr="00BA1003">
        <w:rPr>
          <w:rFonts w:ascii="Verdana" w:eastAsia="Times New Roman" w:hAnsi="Verdana" w:cs="Arial"/>
          <w:color w:val="000000"/>
          <w:lang w:eastAsia="es-MX"/>
        </w:rPr>
        <w:t> </w:t>
      </w:r>
    </w:p>
    <w:p w14:paraId="15E52B9B"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Segoe UI"/>
          <w:sz w:val="18"/>
          <w:szCs w:val="18"/>
          <w:lang w:eastAsia="es-MX"/>
        </w:rPr>
      </w:pPr>
      <w:r w:rsidRPr="00BA1003">
        <w:rPr>
          <w:rFonts w:ascii="Verdana" w:eastAsia="Times New Roman" w:hAnsi="Verdana" w:cs="Arial"/>
          <w:color w:val="000000"/>
          <w:lang w:val="es-ES" w:eastAsia="es-MX"/>
        </w:rPr>
        <w:t>Las diferencias entre ambos tipos de bienes se derivan de que: i) mientras la incorporación de los </w:t>
      </w:r>
      <w:r w:rsidRPr="00BA1003">
        <w:rPr>
          <w:rFonts w:ascii="Verdana" w:eastAsia="Times New Roman" w:hAnsi="Verdana" w:cs="Arial"/>
          <w:i/>
          <w:iCs/>
          <w:color w:val="000000"/>
          <w:lang w:val="es-ES" w:eastAsia="es-MX"/>
        </w:rPr>
        <w:t>inmuebles por adhesión</w:t>
      </w:r>
      <w:r w:rsidRPr="00BA1003">
        <w:rPr>
          <w:rFonts w:ascii="Verdana" w:eastAsia="Times New Roman" w:hAnsi="Verdana" w:cs="Arial"/>
          <w:color w:val="000000"/>
          <w:lang w:val="es-ES" w:eastAsia="es-MX"/>
        </w:rPr>
        <w:t> es material, la de los </w:t>
      </w:r>
      <w:r w:rsidRPr="00BA1003">
        <w:rPr>
          <w:rFonts w:ascii="Verdana" w:eastAsia="Times New Roman" w:hAnsi="Verdana" w:cs="Arial"/>
          <w:i/>
          <w:iCs/>
          <w:color w:val="000000"/>
          <w:lang w:val="es-ES" w:eastAsia="es-MX"/>
        </w:rPr>
        <w:t>inmuebles por destinación </w:t>
      </w:r>
      <w:r w:rsidRPr="00BA1003">
        <w:rPr>
          <w:rFonts w:ascii="Verdana" w:eastAsia="Times New Roman" w:hAnsi="Verdana" w:cs="Arial"/>
          <w:color w:val="000000"/>
          <w:lang w:val="es-ES" w:eastAsia="es-MX"/>
        </w:rPr>
        <w:t>es intelectual; </w:t>
      </w:r>
      <w:proofErr w:type="spellStart"/>
      <w:r w:rsidRPr="00BA1003">
        <w:rPr>
          <w:rFonts w:ascii="Verdana" w:eastAsia="Times New Roman" w:hAnsi="Verdana" w:cs="Arial"/>
          <w:color w:val="000000"/>
          <w:lang w:val="es-ES" w:eastAsia="es-MX"/>
        </w:rPr>
        <w:t>ii</w:t>
      </w:r>
      <w:proofErr w:type="spellEnd"/>
      <w:r w:rsidRPr="00BA1003">
        <w:rPr>
          <w:rFonts w:ascii="Verdana" w:eastAsia="Times New Roman" w:hAnsi="Verdana" w:cs="Arial"/>
          <w:color w:val="000000"/>
          <w:lang w:val="es-ES" w:eastAsia="es-MX"/>
        </w:rPr>
        <w:t>) mientras los primeros son incorporados por el dueño o por terceras personas, en los segundos es necesaria la identidad del propietario; finalmente, </w:t>
      </w:r>
      <w:proofErr w:type="spellStart"/>
      <w:r w:rsidRPr="00BA1003">
        <w:rPr>
          <w:rFonts w:ascii="Verdana" w:eastAsia="Times New Roman" w:hAnsi="Verdana" w:cs="Arial"/>
          <w:color w:val="000000"/>
          <w:lang w:val="es-ES" w:eastAsia="es-MX"/>
        </w:rPr>
        <w:t>iii</w:t>
      </w:r>
      <w:proofErr w:type="spellEnd"/>
      <w:r w:rsidRPr="00BA1003">
        <w:rPr>
          <w:rFonts w:ascii="Verdana" w:eastAsia="Times New Roman" w:hAnsi="Verdana" w:cs="Arial"/>
          <w:color w:val="000000"/>
          <w:lang w:val="es-ES" w:eastAsia="es-MX"/>
        </w:rPr>
        <w:t>) mientras que aquellos pierden individualidad por la incorporación al inmueble, no sucede lo mismo con los segundos, los cuales conservan su autonomía pese a estar destinados al cultivo de aquel. De esta manera, la distinción del Código Civil entre bienes muebles e inmuebles influye en la identificación de una actividad material como parte de un contrato de obra pública en los términos del Estatuto General de Contratación de la Administración Pública. </w:t>
      </w:r>
      <w:r w:rsidRPr="00BA1003">
        <w:rPr>
          <w:rFonts w:ascii="Verdana" w:eastAsia="Times New Roman" w:hAnsi="Verdana" w:cs="Arial"/>
          <w:color w:val="000000"/>
          <w:lang w:eastAsia="es-MX"/>
        </w:rPr>
        <w:t> </w:t>
      </w:r>
    </w:p>
    <w:p w14:paraId="13C6A18B"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Arial"/>
          <w:color w:val="000000"/>
          <w:lang w:eastAsia="es-MX"/>
        </w:rPr>
      </w:pPr>
      <w:r w:rsidRPr="00BA1003">
        <w:rPr>
          <w:rFonts w:ascii="Verdana" w:eastAsia="Times New Roman" w:hAnsi="Verdana" w:cs="Arial"/>
          <w:color w:val="000000"/>
          <w:lang w:val="es-ES" w:eastAsia="es-MX"/>
        </w:rPr>
        <w:t xml:space="preserve">En ese sentido, la naturaleza inmueble del bien sobre el que se realizan las actividades es determinante para saber si está ante un contrato de obra pública, ya que de este tipo contractual se encuentran excluidos trabajos materiales realizados sobre bienes muebles, por lo que estos corresponderían a un tipo contractual diferente. Esto supone que, en caso de que las prestaciones a 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w:t>
      </w:r>
      <w:r w:rsidRPr="00BA1003">
        <w:rPr>
          <w:rFonts w:ascii="Verdana" w:eastAsia="Times New Roman" w:hAnsi="Verdana" w:cs="Arial"/>
          <w:color w:val="000000"/>
          <w:lang w:val="es-ES" w:eastAsia="es-MX"/>
        </w:rPr>
        <w:lastRenderedPageBreak/>
        <w:t>contratista, en los términos de la autonomía de la voluntad de las partes, de acuerdo con lo previsto en los artículos 32 y 40 de la Ley 80 de 1993. </w:t>
      </w:r>
      <w:r w:rsidRPr="00BA1003">
        <w:rPr>
          <w:rFonts w:ascii="Verdana" w:eastAsia="Times New Roman" w:hAnsi="Verdana" w:cs="Arial"/>
          <w:color w:val="000000"/>
          <w:lang w:eastAsia="es-MX"/>
        </w:rPr>
        <w:t> </w:t>
      </w:r>
    </w:p>
    <w:p w14:paraId="463008DE" w14:textId="77777777" w:rsidR="00BA1003" w:rsidRPr="00BA1003" w:rsidRDefault="00BA1003" w:rsidP="00BA1003">
      <w:pPr>
        <w:snapToGrid w:val="0"/>
        <w:spacing w:after="120" w:line="276" w:lineRule="auto"/>
        <w:ind w:firstLine="705"/>
        <w:jc w:val="both"/>
        <w:textAlignment w:val="baseline"/>
        <w:rPr>
          <w:rFonts w:ascii="Verdana" w:eastAsia="Times New Roman" w:hAnsi="Verdana" w:cs="Arial"/>
          <w:color w:val="000000"/>
          <w:lang w:val="es-ES" w:eastAsia="es-MX"/>
        </w:rPr>
      </w:pPr>
      <w:r w:rsidRPr="00BA1003">
        <w:rPr>
          <w:rFonts w:ascii="Verdana" w:eastAsia="Times New Roman" w:hAnsi="Verdana" w:cs="Arial"/>
          <w:color w:val="000000"/>
          <w:lang w:val="es-ES" w:eastAsia="es-MX"/>
        </w:rPr>
        <w:t>Con todo, es pertinente resaltar que la determinación de celebrar o no un contrato de obra pública depende exclusivamente del análisis, caso a caso, efectuado por cada entidad estatal. Es decir, utilizar esta tipología contractual dependerá de la necesidad específica que pretenda satisfacer la entidad pública. Lo anterior, porque en ejercicio de su autonomía negocial y discrecionalidad, la entidad estatal puede considerar que la necesidad a satisfacer encuadra más en determinada tipología contractual.</w:t>
      </w:r>
    </w:p>
    <w:p w14:paraId="3BD10F68" w14:textId="77777777" w:rsidR="00BA1003" w:rsidRPr="00BA1003" w:rsidRDefault="00BA1003" w:rsidP="00BA1003">
      <w:pPr>
        <w:snapToGrid w:val="0"/>
        <w:spacing w:after="0" w:line="276" w:lineRule="auto"/>
        <w:ind w:firstLine="705"/>
        <w:jc w:val="both"/>
        <w:textAlignment w:val="baseline"/>
        <w:rPr>
          <w:rFonts w:ascii="Verdana" w:eastAsia="Times New Roman" w:hAnsi="Verdana" w:cs="Arial"/>
          <w:color w:val="000000"/>
          <w:lang w:val="es-ES" w:eastAsia="es-MX"/>
        </w:rPr>
      </w:pPr>
      <w:r w:rsidRPr="00BA1003">
        <w:rPr>
          <w:rFonts w:ascii="Verdana" w:eastAsia="Times New Roman" w:hAnsi="Verdana" w:cs="Arial"/>
          <w:color w:val="000000"/>
          <w:lang w:val="es-ES" w:eastAsia="es-MX"/>
        </w:rPr>
        <w:t xml:space="preserve">Sin perjuicio de lo anterior, debe tenerse en cuenta por parte de la entidad que adelanta el proceso de contratación con los documentos tipo expedidos por esta Agencia, la posibilidad de solicitar experiencia adicional cuando la entidad requiere obras, bienes o servicios que no se encuentran incluidos como obra de infraestructura social. Estas consideraciones se desarrollarán en el siguiente punto de este concepto. </w:t>
      </w:r>
    </w:p>
    <w:p w14:paraId="5E48CBB1" w14:textId="77777777" w:rsidR="00BA1003" w:rsidRPr="00BA1003" w:rsidRDefault="00BA1003" w:rsidP="00BA1003">
      <w:pPr>
        <w:snapToGrid w:val="0"/>
        <w:spacing w:after="0" w:line="240" w:lineRule="auto"/>
        <w:jc w:val="both"/>
        <w:textAlignment w:val="baseline"/>
        <w:rPr>
          <w:rFonts w:ascii="Verdana" w:eastAsia="Times New Roman" w:hAnsi="Verdana" w:cs="Arial"/>
          <w:color w:val="000000"/>
          <w:lang w:val="es-ES" w:eastAsia="es-MX"/>
        </w:rPr>
      </w:pPr>
    </w:p>
    <w:p w14:paraId="29BB2702" w14:textId="77777777" w:rsidR="00BA1003" w:rsidRPr="00BA1003" w:rsidRDefault="00BA1003" w:rsidP="00BA1003">
      <w:pPr>
        <w:widowControl w:val="0"/>
        <w:autoSpaceDE w:val="0"/>
        <w:autoSpaceDN w:val="0"/>
        <w:spacing w:after="0" w:line="276" w:lineRule="auto"/>
        <w:jc w:val="both"/>
        <w:rPr>
          <w:rFonts w:ascii="Verdana" w:eastAsia="Calibri" w:hAnsi="Verdana" w:cs="Times New Roman"/>
          <w:kern w:val="2"/>
          <w:lang w:val="es-ES"/>
          <w14:ligatures w14:val="standardContextual"/>
        </w:rPr>
      </w:pPr>
      <w:proofErr w:type="spellStart"/>
      <w:r w:rsidRPr="00BA1003">
        <w:rPr>
          <w:rFonts w:ascii="Verdana" w:eastAsia="Times New Roman" w:hAnsi="Verdana" w:cs="Times New Roman"/>
          <w:color w:val="000000"/>
          <w:kern w:val="2"/>
          <w:lang w:val="es-ES"/>
          <w14:ligatures w14:val="standardContextual"/>
        </w:rPr>
        <w:t>iv</w:t>
      </w:r>
      <w:proofErr w:type="spellEnd"/>
      <w:r w:rsidRPr="00BA1003">
        <w:rPr>
          <w:rFonts w:ascii="Verdana" w:eastAsia="Times New Roman" w:hAnsi="Verdana" w:cs="Times New Roman"/>
          <w:color w:val="000000"/>
          <w:kern w:val="2"/>
          <w:lang w:val="es-ES"/>
          <w14:ligatures w14:val="standardContextual"/>
        </w:rPr>
        <w:t xml:space="preserve">. </w:t>
      </w:r>
      <w:r w:rsidRPr="00BA1003">
        <w:rPr>
          <w:rFonts w:ascii="Verdana" w:eastAsia="Aptos" w:hAnsi="Verdana" w:cs="Times New Roman"/>
          <w:kern w:val="2"/>
          <w14:ligatures w14:val="standardContextual"/>
        </w:rPr>
        <w:t>Cuando la entidad requiere obras, bienes o servicios que no se encuentran incluidos como obra de infraestructura social en la “Matriz – Experiencia” y considera necesario exigir experiencia adicional, se debe aplicar el artículo 4 de la Resolución No. 539 de 2025</w:t>
      </w:r>
      <w:r w:rsidRPr="00BA1003">
        <w:rPr>
          <w:rFonts w:ascii="Verdana" w:eastAsia="Aptos" w:hAnsi="Verdana" w:cs="Times New Roman"/>
          <w:kern w:val="2"/>
          <w:vertAlign w:val="superscript"/>
          <w14:ligatures w14:val="standardContextual"/>
        </w:rPr>
        <w:footnoteReference w:id="8"/>
      </w:r>
      <w:r w:rsidRPr="00BA1003">
        <w:rPr>
          <w:rFonts w:ascii="Verdana" w:eastAsia="Aptos" w:hAnsi="Verdana" w:cs="Times New Roman"/>
          <w:kern w:val="2"/>
          <w14:ligatures w14:val="standardContextual"/>
        </w:rPr>
        <w:t xml:space="preserve">. Esta norma dispone los eventos en los que el </w:t>
      </w:r>
      <w:r w:rsidRPr="00BA1003">
        <w:rPr>
          <w:rFonts w:ascii="Verdana" w:eastAsia="Aptos" w:hAnsi="Verdana" w:cs="Times New Roman"/>
          <w:kern w:val="2"/>
          <w14:ligatures w14:val="standardContextual"/>
        </w:rPr>
        <w:lastRenderedPageBreak/>
        <w:t>objeto contractual incluye obras, bienes o servicios adicionales a la obra pública de infraestructura social. En este caso, la entidad puede incluir experiencia adicional para evaluar la idoneidad respecto de las obras, bienes o servicios ajenos a la obra pública de infraestructura social.</w:t>
      </w:r>
    </w:p>
    <w:p w14:paraId="0BD44C2D"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kern w:val="2"/>
          <w:lang w:val="es-ES"/>
          <w14:ligatures w14:val="standardContextual"/>
        </w:rPr>
      </w:pPr>
      <w:r w:rsidRPr="00BA1003">
        <w:rPr>
          <w:rFonts w:ascii="Verdana" w:eastAsia="Aptos" w:hAnsi="Verdana" w:cs="Times New Roman"/>
          <w:kern w:val="2"/>
          <w14:ligatures w14:val="standardContextual"/>
        </w:rPr>
        <w:t xml:space="preserve">Para ello, se deben seguir los siguientes parámetros: i) demostrar en los estudios previos que han verificado las condiciones de mercado para la </w:t>
      </w:r>
      <w:r w:rsidRPr="00BA1003">
        <w:rPr>
          <w:rFonts w:ascii="Verdana" w:eastAsia="Aptos" w:hAnsi="Verdana" w:cs="Times New Roman"/>
          <w:kern w:val="2"/>
          <w14:ligatures w14:val="standardContextual"/>
        </w:rPr>
        <w:lastRenderedPageBreak/>
        <w:t xml:space="preserve">adquisición de las obras, bienes o servicios adicionales al componente de obra pública, de tal forma que la experiencia adicional garantiza la pluralidad de oferentes, </w:t>
      </w:r>
      <w:proofErr w:type="spellStart"/>
      <w:r w:rsidRPr="00BA1003">
        <w:rPr>
          <w:rFonts w:ascii="Verdana" w:eastAsia="Aptos" w:hAnsi="Verdana" w:cs="Times New Roman"/>
          <w:kern w:val="2"/>
          <w14:ligatures w14:val="standardContextual"/>
        </w:rPr>
        <w:t>ii</w:t>
      </w:r>
      <w:proofErr w:type="spellEnd"/>
      <w:r w:rsidRPr="00BA1003">
        <w:rPr>
          <w:rFonts w:ascii="Verdana" w:eastAsia="Aptos" w:hAnsi="Verdana" w:cs="Times New Roman"/>
          <w:kern w:val="2"/>
          <w14:ligatures w14:val="standardContextual"/>
        </w:rPr>
        <w:t xml:space="preserve">) conservar los requisitos exigidos en los documentos tipo, </w:t>
      </w:r>
      <w:proofErr w:type="spellStart"/>
      <w:r w:rsidRPr="00BA1003">
        <w:rPr>
          <w:rFonts w:ascii="Verdana" w:eastAsia="Aptos" w:hAnsi="Verdana" w:cs="Times New Roman"/>
          <w:kern w:val="2"/>
          <w14:ligatures w14:val="standardContextual"/>
        </w:rPr>
        <w:t>iii</w:t>
      </w:r>
      <w:proofErr w:type="spellEnd"/>
      <w:r w:rsidRPr="00BA1003">
        <w:rPr>
          <w:rFonts w:ascii="Verdana" w:eastAsia="Aptos" w:hAnsi="Verdana" w:cs="Times New Roman"/>
          <w:kern w:val="2"/>
          <w14:ligatures w14:val="standardContextual"/>
        </w:rPr>
        <w:t xml:space="preserve">) abstenerse de pedir experiencia exclusiva con entidades de cualquier naturaleza, experiencia previa en un territorio específico, limitada en el tiempo o que incluya volúmenes o cantidades de obra específica, </w:t>
      </w:r>
      <w:proofErr w:type="spellStart"/>
      <w:r w:rsidRPr="00BA1003">
        <w:rPr>
          <w:rFonts w:ascii="Verdana" w:eastAsia="Aptos" w:hAnsi="Verdana" w:cs="Times New Roman"/>
          <w:kern w:val="2"/>
          <w14:ligatures w14:val="standardContextual"/>
        </w:rPr>
        <w:t>iv</w:t>
      </w:r>
      <w:proofErr w:type="spellEnd"/>
      <w:r w:rsidRPr="00BA1003">
        <w:rPr>
          <w:rFonts w:ascii="Verdana" w:eastAsia="Aptos" w:hAnsi="Verdana" w:cs="Times New Roman"/>
          <w:kern w:val="2"/>
          <w14:ligatures w14:val="standardContextual"/>
        </w:rPr>
        <w:t>) clasificar la experiencia requerida solo hasta el tercer nivel del clasificador de bienes y servicios e incluir exclusivamente los códigos que estén relacionados directamente con el objeto a contratar.</w:t>
      </w:r>
    </w:p>
    <w:p w14:paraId="6A7B02A8"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kern w:val="2"/>
          <w14:ligatures w14:val="standardContextual"/>
        </w:rPr>
      </w:pPr>
      <w:r w:rsidRPr="00BA1003">
        <w:rPr>
          <w:rFonts w:ascii="Verdana" w:eastAsia="Aptos" w:hAnsi="Verdana" w:cs="Times New Roman"/>
          <w:kern w:val="2"/>
          <w14:ligatures w14:val="standardContextual"/>
        </w:rPr>
        <w:t>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las obras, bienes o servicios no afecta significativamente la pluralidad de oferentes. Es decir, la entidad debe revisar que al solicitar esta experiencia existen suficientes potenciales proponentes que puedan acreditar estas condiciones.</w:t>
      </w:r>
    </w:p>
    <w:p w14:paraId="0C21DC99"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kern w:val="2"/>
          <w:lang w:val="es-ES"/>
          <w14:ligatures w14:val="standardContextual"/>
        </w:rPr>
      </w:pPr>
      <w:r w:rsidRPr="00BA1003">
        <w:rPr>
          <w:rFonts w:ascii="Verdana" w:eastAsia="Aptos" w:hAnsi="Verdana" w:cs="Times New Roman"/>
          <w:kern w:val="2"/>
          <w14:ligatures w14:val="standardContextual"/>
        </w:rPr>
        <w:t>En segundo lugar, la solicitud de esta experiencia no permite que la entidad modifique los requisitos habilitantes y de ponderación de la propuesta, por lo cual se deben mantener los establecidos en los documentos tipo.</w:t>
      </w:r>
    </w:p>
    <w:p w14:paraId="0A188CD6"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kern w:val="2"/>
          <w14:ligatures w14:val="standardContextual"/>
        </w:rPr>
      </w:pPr>
      <w:r w:rsidRPr="00BA1003">
        <w:rPr>
          <w:rFonts w:ascii="Verdana" w:eastAsia="Aptos" w:hAnsi="Verdana" w:cs="Times New Roman"/>
          <w:kern w:val="2"/>
          <w14:ligatures w14:val="standardContextual"/>
        </w:rPr>
        <w:t>En tercer lugar, la experiencia adicional solicitada debe relacionarse con las obras, bienes y servicios sobre los cuales la entidad requiere que se demuestre idoneidad por parte de los proponentes. Esta experiencia no puede estar limitada o referida a que se haya adquirido en un territorio o 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p>
    <w:p w14:paraId="6ADFAA82"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kern w:val="2"/>
          <w:lang w:val="es-ES"/>
          <w14:ligatures w14:val="standardContextual"/>
        </w:rPr>
      </w:pPr>
      <w:r w:rsidRPr="00BA1003">
        <w:rPr>
          <w:rFonts w:ascii="Verdana" w:eastAsia="Aptos" w:hAnsi="Verdana" w:cs="Times New Roman"/>
          <w:kern w:val="2"/>
          <w14:ligatures w14:val="standardContextual"/>
        </w:rPr>
        <w:t>Por último, la experiencia requerida debe clasificarse hasta el tercer nivel del clasificador de bienes y servicios. Por lo tanto, la entidad no puede requerir que se acredite el “producto” de este clasificador.</w:t>
      </w:r>
    </w:p>
    <w:p w14:paraId="219D22FB"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kern w:val="2"/>
          <w:lang w:val="es-ES"/>
          <w14:ligatures w14:val="standardContextual"/>
        </w:rPr>
      </w:pPr>
      <w:r w:rsidRPr="00BA1003">
        <w:rPr>
          <w:rFonts w:ascii="Verdana" w:eastAsia="Aptos" w:hAnsi="Verdana" w:cs="Times New Roman"/>
          <w:kern w:val="2"/>
          <w14:ligatures w14:val="standardContextual"/>
        </w:rPr>
        <w:t xml:space="preserve">La posibilidad de solicitar experiencia adicional solo ocurre cuando el objeto contractual incluye obras, bienes o servicios adicionales a la obra pública </w:t>
      </w:r>
      <w:r w:rsidRPr="00BA1003">
        <w:rPr>
          <w:rFonts w:ascii="Verdana" w:eastAsia="Aptos" w:hAnsi="Verdana" w:cs="Times New Roman"/>
          <w:kern w:val="2"/>
          <w14:ligatures w14:val="standardContextual"/>
        </w:rPr>
        <w:lastRenderedPageBreak/>
        <w:t xml:space="preserve">de infraestructura social. Esto implica que: i) la actividad que se </w:t>
      </w:r>
      <w:proofErr w:type="gramStart"/>
      <w:r w:rsidRPr="00BA1003">
        <w:rPr>
          <w:rFonts w:ascii="Verdana" w:eastAsia="Aptos" w:hAnsi="Verdana" w:cs="Times New Roman"/>
          <w:kern w:val="2"/>
          <w14:ligatures w14:val="standardContextual"/>
        </w:rPr>
        <w:t>requiere,</w:t>
      </w:r>
      <w:proofErr w:type="gramEnd"/>
      <w:r w:rsidRPr="00BA1003">
        <w:rPr>
          <w:rFonts w:ascii="Verdana" w:eastAsia="Aptos" w:hAnsi="Verdana" w:cs="Times New Roman"/>
          <w:kern w:val="2"/>
          <w14:ligatures w14:val="standardContextual"/>
        </w:rPr>
        <w:t xml:space="preserve"> no está incluida en la matriz de experiencia de los documentos tipo de infraestructura social aplicable ni en las matrices de experiencia de los demás sectores expedidos por la agencia, pero está relacionada con el contrato a ejecutar.</w:t>
      </w:r>
    </w:p>
    <w:p w14:paraId="2453C449" w14:textId="77777777" w:rsidR="00BA1003" w:rsidRPr="00BA1003" w:rsidRDefault="00BA1003" w:rsidP="00BA1003">
      <w:pPr>
        <w:widowControl w:val="0"/>
        <w:autoSpaceDE w:val="0"/>
        <w:autoSpaceDN w:val="0"/>
        <w:spacing w:after="120" w:line="276" w:lineRule="auto"/>
        <w:ind w:firstLine="708"/>
        <w:jc w:val="both"/>
        <w:rPr>
          <w:rFonts w:ascii="Verdana" w:eastAsia="Calibri" w:hAnsi="Verdana" w:cs="Times New Roman"/>
          <w:kern w:val="2"/>
          <w:lang w:val="es-ES"/>
          <w14:ligatures w14:val="standardContextual"/>
        </w:rPr>
      </w:pPr>
      <w:r w:rsidRPr="00BA1003">
        <w:rPr>
          <w:rFonts w:ascii="Verdana" w:eastAsia="Aptos" w:hAnsi="Verdana" w:cs="Times New Roman"/>
          <w:kern w:val="2"/>
          <w14:ligatures w14:val="standardContextual"/>
        </w:rPr>
        <w:t>Para solicitar experiencia frente a obras, bienes o servicios adicionales que no se encuentren contemplados en la “Matriz – Experiencia”, el documento base, de los documentos tipo de licitación de obra pública de infraestructura social – versión 2, en los literales M), N) y O) del numeral “3.5.1. CARACTERÍSTICAS DE LOS CONTRATOS PRESENTADOS PARA ACREDITAR LA EXPERIENCIA EXIGIDA”, señala los requisitos que debe seguir la Entidad para incluir obras, bienes o servicio adicionales a la obra pública de infraestructura social. Al respecto el documento señala lo siguiente:</w:t>
      </w:r>
    </w:p>
    <w:p w14:paraId="3C9DFAD6" w14:textId="77777777" w:rsidR="00BA1003" w:rsidRPr="00BA1003" w:rsidRDefault="00BA1003" w:rsidP="00BA1003">
      <w:pPr>
        <w:spacing w:line="278" w:lineRule="auto"/>
        <w:ind w:left="720"/>
        <w:contextualSpacing/>
        <w:rPr>
          <w:rFonts w:ascii="Verdana" w:eastAsia="Aptos" w:hAnsi="Verdana" w:cs="Times New Roman"/>
          <w:kern w:val="2"/>
          <w:sz w:val="24"/>
          <w:szCs w:val="24"/>
          <w14:ligatures w14:val="standardContextual"/>
        </w:rPr>
      </w:pPr>
    </w:p>
    <w:p w14:paraId="13ACC72D" w14:textId="77777777" w:rsidR="00BA1003" w:rsidRPr="00BA1003" w:rsidRDefault="00BA1003" w:rsidP="00BA1003">
      <w:pPr>
        <w:spacing w:after="120" w:line="240" w:lineRule="auto"/>
        <w:ind w:left="709" w:right="709"/>
        <w:jc w:val="both"/>
        <w:rPr>
          <w:rFonts w:ascii="Verdana" w:eastAsia="Arial" w:hAnsi="Verdana" w:cs="Arial"/>
          <w:kern w:val="2"/>
          <w:sz w:val="21"/>
          <w:szCs w:val="21"/>
          <w:lang w:val="es-MX"/>
          <w14:ligatures w14:val="standardContextual"/>
        </w:rPr>
      </w:pPr>
      <w:r w:rsidRPr="00BA1003">
        <w:rPr>
          <w:rFonts w:ascii="Verdana" w:eastAsia="Arial" w:hAnsi="Verdana" w:cs="Arial"/>
          <w:kern w:val="2"/>
          <w:sz w:val="21"/>
          <w:szCs w:val="21"/>
          <w:lang w:val="es-MX"/>
          <w14:ligatures w14:val="standardContextual"/>
        </w:rPr>
        <w:t xml:space="preserve">M. </w:t>
      </w:r>
      <w:r w:rsidRPr="00BA1003">
        <w:rPr>
          <w:rFonts w:ascii="Verdana" w:eastAsia="Arial" w:hAnsi="Verdana" w:cs="Arial"/>
          <w:kern w:val="2"/>
          <w:sz w:val="21"/>
          <w:szCs w:val="21"/>
          <w:highlight w:val="lightGray"/>
          <w:lang w:val="es-MX"/>
          <w14:ligatures w14:val="standardContextual"/>
        </w:rPr>
        <w:t>[Cuando el objeto contractual incluya obras, bienes o servicios adicionales a la obra pública de infraestructura social</w:t>
      </w:r>
      <w:r w:rsidRPr="00BA1003">
        <w:rPr>
          <w:rFonts w:ascii="Verdana" w:eastAsia="Arial" w:hAnsi="Verdana" w:cs="Arial"/>
          <w:kern w:val="2"/>
          <w:sz w:val="21"/>
          <w:szCs w:val="21"/>
          <w:highlight w:val="lightGray"/>
          <w:u w:val="single"/>
          <w:lang w:val="es-MX"/>
          <w14:ligatures w14:val="standardContextual"/>
        </w:rPr>
        <w:t xml:space="preserve"> </w:t>
      </w:r>
      <w:r w:rsidRPr="00BA1003">
        <w:rPr>
          <w:rFonts w:ascii="Verdana" w:eastAsia="Arial" w:hAnsi="Verdana" w:cs="Arial"/>
          <w:kern w:val="2"/>
          <w:sz w:val="21"/>
          <w:szCs w:val="21"/>
          <w:highlight w:val="lightGray"/>
          <w:lang w:val="es-MX"/>
          <w14:ligatures w14:val="standardContextual"/>
        </w:rPr>
        <w:t xml:space="preserve">y de manera excepcional se requiere incluir experiencia adicional para evaluar la idoneidad respecto de dichas obras, bienes o servicios, la Entidad </w:t>
      </w:r>
      <w:r w:rsidRPr="00BA1003">
        <w:rPr>
          <w:rFonts w:ascii="Verdana" w:eastAsia="Arial" w:hAnsi="Verdana" w:cs="Arial"/>
          <w:kern w:val="2"/>
          <w:sz w:val="21"/>
          <w:szCs w:val="21"/>
          <w:highlight w:val="lightGray"/>
          <w14:ligatures w14:val="standardContextual"/>
        </w:rPr>
        <w:t>verificará si estos están incorporados en otros Documentos Tipo. En este caso, la Entidad observará las reglas de combinación de experiencia definidas en el literal A) de este numeral y, por tanto, la Entidad no podrá definir requisitos de experiencia distintos a los determinados por esta Agencia.</w:t>
      </w:r>
      <w:r w:rsidRPr="00BA1003">
        <w:rPr>
          <w:rFonts w:ascii="Verdana" w:eastAsia="Arial" w:hAnsi="Verdana" w:cs="Arial"/>
          <w:kern w:val="2"/>
          <w:sz w:val="21"/>
          <w:szCs w:val="21"/>
          <w:highlight w:val="lightGray"/>
          <w:lang w:val="es-MX"/>
          <w14:ligatures w14:val="standardContextual"/>
        </w:rPr>
        <w:t xml:space="preserve"> En todo caso, si el objeto contractual contempla bienes o servicios ajenos que no están regulados en los Documentos Tipo, la Entidad aplicará los parámetros del artículo 4 de la Resolución 539 de 2025.</w:t>
      </w:r>
    </w:p>
    <w:p w14:paraId="6661BE3F" w14:textId="77777777" w:rsidR="00BA1003" w:rsidRPr="00BA1003" w:rsidRDefault="00BA1003" w:rsidP="00BA1003">
      <w:pPr>
        <w:spacing w:after="120" w:line="240" w:lineRule="auto"/>
        <w:ind w:left="709" w:right="709"/>
        <w:jc w:val="both"/>
        <w:rPr>
          <w:rFonts w:ascii="Verdana" w:eastAsia="Aptos" w:hAnsi="Verdana" w:cs="Times New Roman"/>
          <w:kern w:val="2"/>
          <w:sz w:val="21"/>
          <w:szCs w:val="21"/>
          <w:lang w:val="es-MX"/>
          <w14:ligatures w14:val="standardContextual"/>
        </w:rPr>
      </w:pPr>
      <w:r w:rsidRPr="00BA1003">
        <w:rPr>
          <w:rFonts w:ascii="Verdana" w:eastAsia="Aptos" w:hAnsi="Verdana" w:cs="Times New Roman"/>
          <w:kern w:val="2"/>
          <w:sz w:val="21"/>
          <w:szCs w:val="21"/>
          <w:lang w:val="es-MX"/>
          <w14:ligatures w14:val="standardContextual"/>
        </w:rPr>
        <w:t>N. (…)</w:t>
      </w:r>
    </w:p>
    <w:p w14:paraId="4ECC59DE" w14:textId="77777777" w:rsidR="00BA1003" w:rsidRPr="00BA1003" w:rsidRDefault="00BA1003" w:rsidP="00BA1003">
      <w:pPr>
        <w:spacing w:after="120" w:line="240" w:lineRule="auto"/>
        <w:ind w:left="709" w:right="709"/>
        <w:jc w:val="both"/>
        <w:rPr>
          <w:rFonts w:ascii="Verdana" w:eastAsia="Aptos" w:hAnsi="Verdana" w:cs="Times New Roman"/>
          <w:kern w:val="2"/>
          <w:sz w:val="21"/>
          <w:szCs w:val="21"/>
          <w14:ligatures w14:val="standardContextual"/>
        </w:rPr>
      </w:pPr>
      <w:r w:rsidRPr="00BA1003">
        <w:rPr>
          <w:rFonts w:ascii="Verdana" w:eastAsia="Aptos" w:hAnsi="Verdana" w:cs="Times New Roman"/>
          <w:b/>
          <w:bCs/>
          <w:kern w:val="2"/>
          <w:sz w:val="21"/>
          <w:szCs w:val="21"/>
          <w14:ligatures w14:val="standardContextual"/>
        </w:rPr>
        <w:t>Nota 12:</w:t>
      </w:r>
      <w:r w:rsidRPr="00BA1003">
        <w:rPr>
          <w:rFonts w:ascii="Verdana" w:eastAsia="Aptos" w:hAnsi="Verdana" w:cs="Times New Roman"/>
          <w:kern w:val="2"/>
          <w:sz w:val="21"/>
          <w:szCs w:val="21"/>
          <w14:ligatures w14:val="standardContextual"/>
        </w:rPr>
        <w:t xml:space="preserve">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en el presente numeral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w:t>
      </w:r>
    </w:p>
    <w:p w14:paraId="10A07178" w14:textId="77777777" w:rsidR="00BA1003" w:rsidRPr="00BA1003" w:rsidRDefault="00BA1003" w:rsidP="00BA1003">
      <w:pPr>
        <w:spacing w:after="120" w:line="240" w:lineRule="auto"/>
        <w:ind w:left="709" w:right="709"/>
        <w:jc w:val="both"/>
        <w:rPr>
          <w:rFonts w:ascii="Verdana" w:eastAsia="Aptos" w:hAnsi="Verdana" w:cs="Times New Roman"/>
          <w:kern w:val="2"/>
          <w:sz w:val="21"/>
          <w:szCs w:val="21"/>
          <w14:ligatures w14:val="standardContextual"/>
        </w:rPr>
      </w:pPr>
      <w:r w:rsidRPr="00BA1003">
        <w:rPr>
          <w:rFonts w:ascii="Verdana" w:eastAsia="Aptos" w:hAnsi="Verdana" w:cs="Times New Roman"/>
          <w:kern w:val="2"/>
          <w:sz w:val="21"/>
          <w:szCs w:val="21"/>
          <w14:ligatures w14:val="standardContextual"/>
        </w:rPr>
        <w:lastRenderedPageBreak/>
        <w:t>En ningún caso deberá entenderse que la inclusión de una actividad adicional equivale al procedimiento establecido para la combinación de experiencia. Para este último caso, se deberá aplicar lo establecido en el numeral 1 del literal A del presente numeral</w:t>
      </w:r>
      <w:r w:rsidRPr="00BA1003">
        <w:rPr>
          <w:rFonts w:ascii="Verdana" w:eastAsia="Aptos" w:hAnsi="Verdana" w:cs="Times New Roman"/>
          <w:kern w:val="2"/>
          <w:sz w:val="21"/>
          <w:szCs w:val="21"/>
          <w:vertAlign w:val="superscript"/>
          <w14:ligatures w14:val="standardContextual"/>
        </w:rPr>
        <w:footnoteReference w:id="9"/>
      </w:r>
      <w:r w:rsidRPr="00BA1003">
        <w:rPr>
          <w:rFonts w:ascii="Verdana" w:eastAsia="Aptos" w:hAnsi="Verdana" w:cs="Times New Roman"/>
          <w:kern w:val="2"/>
          <w:sz w:val="21"/>
          <w:szCs w:val="21"/>
          <w14:ligatures w14:val="standardContextual"/>
        </w:rPr>
        <w:t>.</w:t>
      </w:r>
    </w:p>
    <w:p w14:paraId="762DB792" w14:textId="77777777" w:rsidR="00BA1003" w:rsidRPr="00BA1003" w:rsidRDefault="00BA1003" w:rsidP="00BA1003">
      <w:pPr>
        <w:spacing w:after="120" w:line="240" w:lineRule="auto"/>
        <w:ind w:left="709" w:right="709"/>
        <w:contextualSpacing/>
        <w:jc w:val="both"/>
        <w:rPr>
          <w:rFonts w:ascii="Verdana" w:eastAsia="Aptos" w:hAnsi="Verdana" w:cs="Times New Roman"/>
          <w:kern w:val="2"/>
          <w:sz w:val="21"/>
          <w:szCs w:val="21"/>
          <w:highlight w:val="lightGray"/>
          <w:lang w:val="es-MX"/>
          <w14:ligatures w14:val="standardContextual"/>
        </w:rPr>
      </w:pPr>
      <w:r w:rsidRPr="00BA1003">
        <w:rPr>
          <w:rFonts w:ascii="Verdana" w:eastAsia="Aptos" w:hAnsi="Verdana" w:cs="Times New Roman"/>
          <w:kern w:val="2"/>
          <w:sz w:val="21"/>
          <w:szCs w:val="21"/>
          <w:highlight w:val="lightGray"/>
          <w:lang w:val="es-MX"/>
          <w14:ligatures w14:val="standardContextual"/>
        </w:rPr>
        <w:t xml:space="preserve">Conforme con esta disposición, la </w:t>
      </w:r>
      <w:r w:rsidRPr="00BA1003" w:rsidDel="162B8239">
        <w:rPr>
          <w:rFonts w:ascii="Verdana" w:eastAsia="Aptos" w:hAnsi="Verdana" w:cs="Times New Roman"/>
          <w:kern w:val="2"/>
          <w:sz w:val="21"/>
          <w:szCs w:val="21"/>
          <w:highlight w:val="lightGray"/>
          <w:lang w:val="es-MX"/>
          <w14:ligatures w14:val="standardContextual"/>
        </w:rPr>
        <w:t>E</w:t>
      </w:r>
      <w:r w:rsidRPr="00BA1003">
        <w:rPr>
          <w:rFonts w:ascii="Verdana" w:eastAsia="Aptos" w:hAnsi="Verdana" w:cs="Times New Roman"/>
          <w:kern w:val="2"/>
          <w:sz w:val="21"/>
          <w:szCs w:val="21"/>
          <w:highlight w:val="lightGray"/>
          <w:lang w:val="es-MX"/>
          <w14:ligatures w14:val="standardContextual"/>
        </w:rPr>
        <w:t>ntidad no puede requerir experiencia adicional que incluya volúmenes o cantidades de obra específica expresada en SMMLV.</w:t>
      </w:r>
    </w:p>
    <w:p w14:paraId="52E857F8" w14:textId="77777777" w:rsidR="00BA1003" w:rsidRPr="00BA1003" w:rsidRDefault="00BA1003" w:rsidP="00BA1003">
      <w:pPr>
        <w:spacing w:after="120" w:line="240" w:lineRule="auto"/>
        <w:ind w:left="709" w:right="709"/>
        <w:contextualSpacing/>
        <w:jc w:val="both"/>
        <w:rPr>
          <w:rFonts w:ascii="Verdana" w:eastAsia="Aptos" w:hAnsi="Verdana" w:cs="Times New Roman"/>
          <w:kern w:val="2"/>
          <w:sz w:val="21"/>
          <w:szCs w:val="21"/>
          <w:highlight w:val="lightGray"/>
          <w:lang w:val="es-MX"/>
          <w14:ligatures w14:val="standardContextual"/>
        </w:rPr>
      </w:pPr>
    </w:p>
    <w:p w14:paraId="3683AF91" w14:textId="77777777" w:rsidR="00BA1003" w:rsidRPr="00BA1003" w:rsidRDefault="00BA1003" w:rsidP="00BA1003">
      <w:pPr>
        <w:spacing w:after="120" w:line="240" w:lineRule="auto"/>
        <w:ind w:left="709" w:right="709"/>
        <w:contextualSpacing/>
        <w:jc w:val="both"/>
        <w:rPr>
          <w:rFonts w:ascii="Verdana" w:eastAsia="Aptos" w:hAnsi="Verdana" w:cs="Times New Roman"/>
          <w:kern w:val="2"/>
          <w:sz w:val="21"/>
          <w:szCs w:val="21"/>
          <w:lang w:val="es-MX"/>
          <w14:ligatures w14:val="standardContextual"/>
        </w:rPr>
      </w:pPr>
      <w:r w:rsidRPr="00BA1003">
        <w:rPr>
          <w:rFonts w:ascii="Verdana" w:eastAsia="Aptos" w:hAnsi="Verdana" w:cs="Times New Roman"/>
          <w:kern w:val="2"/>
          <w:sz w:val="21"/>
          <w:szCs w:val="21"/>
          <w:highlight w:val="lightGray"/>
          <w:lang w:val="es-MX"/>
          <w14:ligatures w14:val="standardContextual"/>
        </w:rPr>
        <w:t>En el escenario en el cual la Entidad requiera y considere adecuado y proporcional exigir experiencia relacionada con esta, según su etapa previa de planeación, deberá exigirla como un bien o servicio adicional a la obra pública de infraestructura social, según las actividades a contratar de la Matriz 1 - Experiencia aplicable</w:t>
      </w:r>
      <w:r w:rsidRPr="00BA1003">
        <w:rPr>
          <w:rFonts w:ascii="Verdana" w:eastAsia="Aptos" w:hAnsi="Verdana" w:cs="Times New Roman"/>
          <w:kern w:val="2"/>
          <w:sz w:val="21"/>
          <w:szCs w:val="21"/>
          <w:lang w:val="es-MX"/>
          <w14:ligatures w14:val="standardContextual"/>
        </w:rPr>
        <w:t>]</w:t>
      </w:r>
    </w:p>
    <w:p w14:paraId="74F32BC8" w14:textId="77777777" w:rsidR="00BA1003" w:rsidRPr="00BA1003" w:rsidRDefault="00BA1003" w:rsidP="00BA1003">
      <w:pPr>
        <w:spacing w:after="120" w:line="240" w:lineRule="auto"/>
        <w:ind w:left="709" w:right="709"/>
        <w:jc w:val="both"/>
        <w:rPr>
          <w:rFonts w:ascii="Verdana" w:eastAsia="Aptos" w:hAnsi="Verdana" w:cs="Times New Roman"/>
          <w:kern w:val="2"/>
          <w:sz w:val="21"/>
          <w:szCs w:val="21"/>
          <w14:ligatures w14:val="standardContextual"/>
        </w:rPr>
      </w:pPr>
      <w:r w:rsidRPr="00BA1003">
        <w:rPr>
          <w:rFonts w:ascii="Verdana" w:eastAsia="Aptos" w:hAnsi="Verdana" w:cs="Times New Roman"/>
          <w:kern w:val="2"/>
          <w:sz w:val="21"/>
          <w:szCs w:val="21"/>
          <w14:ligatures w14:val="standardContextual"/>
        </w:rPr>
        <w:t xml:space="preserve">O. </w:t>
      </w:r>
      <w:r w:rsidRPr="00BA1003">
        <w:rPr>
          <w:rFonts w:ascii="Verdana" w:eastAsia="Aptos" w:hAnsi="Verdana" w:cs="Times New Roman"/>
          <w:kern w:val="2"/>
          <w:sz w:val="21"/>
          <w:szCs w:val="21"/>
          <w:highlight w:val="lightGray"/>
          <w14:ligatures w14:val="standardContextual"/>
        </w:rPr>
        <w:t>[La Entidad no puede establecer requisitos de experiencia general o específica, adicionales a los establecidos en la Matriz 1 - Experiencia aplicable en el proyecto de infraestructura social bien sea de salud, educación, institucional, vivienda, cultura, recreación y deporte, relacionados con el cumplimiento de Planes de Manejo Ambiental, Planes de Manejo de Tránsito o el Plan de Adaptación de la Guía Ambiental, porque estas actividades no son ajenas a la obra pública de infraestructura social. Por esto, cuando el objeto contractual incluya obras, bienes y/o servicios adicionales a la obra pública de infraestructura social la Entidad deberá incluir el presente literal con el siguiente texto, que en caso contrario deberá eliminarse]</w:t>
      </w:r>
    </w:p>
    <w:p w14:paraId="2FE39D41" w14:textId="77777777" w:rsidR="00BA1003" w:rsidRPr="00BA1003" w:rsidRDefault="00BA1003" w:rsidP="00BA1003">
      <w:pPr>
        <w:spacing w:after="120" w:line="240" w:lineRule="auto"/>
        <w:ind w:left="709" w:right="709"/>
        <w:jc w:val="both"/>
        <w:rPr>
          <w:rFonts w:ascii="Verdana" w:eastAsia="Aptos" w:hAnsi="Verdana" w:cs="Times New Roman"/>
          <w:kern w:val="2"/>
          <w:sz w:val="21"/>
          <w:szCs w:val="21"/>
          <w:highlight w:val="lightGray"/>
          <w14:ligatures w14:val="standardContextual"/>
        </w:rPr>
      </w:pPr>
      <w:r w:rsidRPr="00BA1003">
        <w:rPr>
          <w:rFonts w:ascii="Verdana" w:eastAsia="Aptos" w:hAnsi="Verdana" w:cs="Times New Roman"/>
          <w:kern w:val="2"/>
          <w:sz w:val="21"/>
          <w:szCs w:val="21"/>
          <w:highlight w:val="lightGray"/>
          <w14:ligatures w14:val="standardContextual"/>
        </w:rPr>
        <w:t xml:space="preserve">Nota 13: Lo anterior sin perjuicio de la obligación que tienen las Entidades de cumplir con unos requisitos mínimos frente a las “obras ajenas a la infraestructura Social”, los cuales deben ser claramente consignados en los estudios previos, en caso que se considere su pertinencia y con fundamento en aspectos de conveniencia técnicos y económicos suficientes que determinen que la experiencia incluida en </w:t>
      </w:r>
      <w:r w:rsidRPr="00BA1003">
        <w:rPr>
          <w:rFonts w:ascii="Verdana" w:eastAsia="Aptos" w:hAnsi="Verdana" w:cs="Times New Roman"/>
          <w:kern w:val="2"/>
          <w:sz w:val="21"/>
          <w:szCs w:val="21"/>
          <w:highlight w:val="lightGray"/>
          <w14:ligatures w14:val="standardContextual"/>
        </w:rPr>
        <w:lastRenderedPageBreak/>
        <w:t xml:space="preserve">documentos tipo existentes es insuficiente de cara a la complejidad o grado de especialidad que comporta el objeto a contratar. </w:t>
      </w:r>
    </w:p>
    <w:p w14:paraId="4A149B5B" w14:textId="77777777" w:rsidR="00BA1003" w:rsidRPr="00BA1003" w:rsidRDefault="00BA1003" w:rsidP="00BA1003">
      <w:pPr>
        <w:spacing w:after="0" w:line="240" w:lineRule="auto"/>
        <w:ind w:left="709" w:right="709"/>
        <w:jc w:val="both"/>
        <w:rPr>
          <w:rFonts w:ascii="Verdana" w:eastAsia="Aptos" w:hAnsi="Verdana" w:cs="Times New Roman"/>
          <w:kern w:val="2"/>
          <w:sz w:val="21"/>
          <w:szCs w:val="21"/>
          <w:highlight w:val="lightGray"/>
          <w14:ligatures w14:val="standardContextual"/>
        </w:rPr>
      </w:pPr>
      <w:r w:rsidRPr="00BA1003">
        <w:rPr>
          <w:rFonts w:ascii="Verdana" w:eastAsia="Aptos" w:hAnsi="Verdana" w:cs="Times New Roman"/>
          <w:kern w:val="2"/>
          <w:sz w:val="21"/>
          <w:szCs w:val="21"/>
          <w:highlight w:val="lightGray"/>
          <w14:ligatures w14:val="standardContextual"/>
        </w:rPr>
        <w:t>La Entidad debe demostrar que la experiencia adicional, “obra ajena a la infraestructura Social”, no se encuentra incluida en las matrices de los sectores adoptados por la Agencia y adicionalmente, que esta experiencia requerida responde a las condiciones de mercado, específicamente a las características del proceso de selección a contratar, las cuales deberían estar consignadas en el respectivo estudio de sector y con la consideración de usar los Documentos Tipo.</w:t>
      </w:r>
    </w:p>
    <w:p w14:paraId="1398DC9C" w14:textId="77777777" w:rsidR="00BA1003" w:rsidRPr="00BA1003" w:rsidRDefault="00BA1003" w:rsidP="00BA1003">
      <w:pPr>
        <w:spacing w:after="0" w:line="240" w:lineRule="auto"/>
        <w:ind w:left="709" w:right="709"/>
        <w:jc w:val="both"/>
        <w:rPr>
          <w:rFonts w:ascii="Verdana" w:eastAsia="Aptos" w:hAnsi="Verdana" w:cs="Times New Roman"/>
          <w:kern w:val="2"/>
          <w:sz w:val="21"/>
          <w:szCs w:val="21"/>
          <w:highlight w:val="lightGray"/>
          <w14:ligatures w14:val="standardContextual"/>
        </w:rPr>
      </w:pPr>
    </w:p>
    <w:p w14:paraId="6A540B62" w14:textId="77777777" w:rsidR="00BA1003" w:rsidRPr="00BA1003" w:rsidRDefault="00BA1003" w:rsidP="00BA1003">
      <w:pPr>
        <w:widowControl w:val="0"/>
        <w:autoSpaceDE w:val="0"/>
        <w:autoSpaceDN w:val="0"/>
        <w:spacing w:after="120" w:line="276" w:lineRule="auto"/>
        <w:ind w:firstLine="708"/>
        <w:jc w:val="both"/>
        <w:rPr>
          <w:rFonts w:ascii="Verdana" w:eastAsia="Arial" w:hAnsi="Verdana" w:cs="Arial"/>
          <w:kern w:val="2"/>
          <w:lang w:val="es-ES"/>
          <w14:ligatures w14:val="standardContextual"/>
        </w:rPr>
      </w:pPr>
      <w:r w:rsidRPr="00BA1003">
        <w:rPr>
          <w:rFonts w:ascii="Verdana" w:eastAsia="Arial" w:hAnsi="Verdana" w:cs="Arial"/>
          <w:kern w:val="2"/>
          <w:lang w:val="es-ES"/>
          <w14:ligatures w14:val="standardContextual"/>
        </w:rPr>
        <w:t>De</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esta</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manera,</w:t>
      </w:r>
      <w:r w:rsidRPr="00BA1003">
        <w:rPr>
          <w:rFonts w:ascii="Verdana" w:eastAsia="Arial" w:hAnsi="Verdana" w:cs="Arial"/>
          <w:spacing w:val="-11"/>
          <w:kern w:val="2"/>
          <w:lang w:val="es-ES"/>
          <w14:ligatures w14:val="standardContextual"/>
        </w:rPr>
        <w:t xml:space="preserve"> </w:t>
      </w:r>
      <w:bookmarkStart w:id="4" w:name="_Hlk100312268"/>
      <w:r w:rsidRPr="00BA1003">
        <w:rPr>
          <w:rFonts w:ascii="Verdana" w:eastAsia="Arial" w:hAnsi="Verdana" w:cs="Arial"/>
          <w:kern w:val="2"/>
          <w:lang w:val="es-ES"/>
          <w14:ligatures w14:val="standardContextual"/>
        </w:rPr>
        <w:t>la</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regla</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general</w:t>
      </w:r>
      <w:r w:rsidRPr="00BA1003">
        <w:rPr>
          <w:rFonts w:ascii="Verdana" w:eastAsia="Arial" w:hAnsi="Verdana" w:cs="Arial"/>
          <w:spacing w:val="-11"/>
          <w:kern w:val="2"/>
          <w:lang w:val="es-ES"/>
          <w14:ligatures w14:val="standardContextual"/>
        </w:rPr>
        <w:t xml:space="preserve"> </w:t>
      </w:r>
      <w:r w:rsidRPr="00BA1003">
        <w:rPr>
          <w:rFonts w:ascii="Verdana" w:eastAsia="Arial" w:hAnsi="Verdana" w:cs="Arial"/>
          <w:kern w:val="2"/>
          <w:lang w:val="es-ES"/>
          <w14:ligatures w14:val="standardContextual"/>
        </w:rPr>
        <w:t>frente</w:t>
      </w:r>
      <w:r w:rsidRPr="00BA1003">
        <w:rPr>
          <w:rFonts w:ascii="Verdana" w:eastAsia="Arial" w:hAnsi="Verdana" w:cs="Arial"/>
          <w:spacing w:val="-11"/>
          <w:kern w:val="2"/>
          <w:lang w:val="es-ES"/>
          <w14:ligatures w14:val="standardContextual"/>
        </w:rPr>
        <w:t xml:space="preserve"> </w:t>
      </w:r>
      <w:r w:rsidRPr="00BA1003">
        <w:rPr>
          <w:rFonts w:ascii="Verdana" w:eastAsia="Arial" w:hAnsi="Verdana" w:cs="Arial"/>
          <w:kern w:val="2"/>
          <w:lang w:val="es-ES"/>
          <w14:ligatures w14:val="standardContextual"/>
        </w:rPr>
        <w:t>a</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la</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aplicación</w:t>
      </w:r>
      <w:r w:rsidRPr="00BA1003">
        <w:rPr>
          <w:rFonts w:ascii="Verdana" w:eastAsia="Arial" w:hAnsi="Verdana" w:cs="Arial"/>
          <w:spacing w:val="-11"/>
          <w:kern w:val="2"/>
          <w:lang w:val="es-ES"/>
          <w14:ligatures w14:val="standardContextual"/>
        </w:rPr>
        <w:t xml:space="preserve"> </w:t>
      </w:r>
      <w:r w:rsidRPr="00BA1003">
        <w:rPr>
          <w:rFonts w:ascii="Verdana" w:eastAsia="Arial" w:hAnsi="Verdana" w:cs="Arial"/>
          <w:kern w:val="2"/>
          <w:lang w:val="es-ES"/>
          <w14:ligatures w14:val="standardContextual"/>
        </w:rPr>
        <w:t>del</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documento</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base</w:t>
      </w:r>
      <w:r w:rsidRPr="00BA1003">
        <w:rPr>
          <w:rFonts w:ascii="Verdana" w:eastAsia="Arial" w:hAnsi="Verdana" w:cs="Arial"/>
          <w:spacing w:val="-11"/>
          <w:kern w:val="2"/>
          <w:lang w:val="es-ES"/>
          <w14:ligatures w14:val="standardContextual"/>
        </w:rPr>
        <w:t xml:space="preserve"> </w:t>
      </w:r>
      <w:r w:rsidRPr="00BA1003">
        <w:rPr>
          <w:rFonts w:ascii="Verdana" w:eastAsia="Arial" w:hAnsi="Verdana" w:cs="Arial"/>
          <w:kern w:val="2"/>
          <w:lang w:val="es-ES"/>
          <w14:ligatures w14:val="standardContextual"/>
        </w:rPr>
        <w:t>es</w:t>
      </w:r>
      <w:r w:rsidRPr="00BA1003">
        <w:rPr>
          <w:rFonts w:ascii="Verdana" w:eastAsia="Arial" w:hAnsi="Verdana" w:cs="Arial"/>
          <w:spacing w:val="-12"/>
          <w:kern w:val="2"/>
          <w:lang w:val="es-ES"/>
          <w14:ligatures w14:val="standardContextual"/>
        </w:rPr>
        <w:t xml:space="preserve"> </w:t>
      </w:r>
      <w:r w:rsidRPr="00BA1003">
        <w:rPr>
          <w:rFonts w:ascii="Verdana" w:eastAsia="Arial" w:hAnsi="Verdana" w:cs="Arial"/>
          <w:kern w:val="2"/>
          <w:lang w:val="es-ES"/>
          <w14:ligatures w14:val="standardContextual"/>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4</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de</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la</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Resolución</w:t>
      </w:r>
      <w:r w:rsidRPr="00BA1003">
        <w:rPr>
          <w:rFonts w:ascii="Verdana" w:eastAsia="Arial" w:hAnsi="Verdana" w:cs="Arial"/>
          <w:spacing w:val="-13"/>
          <w:kern w:val="2"/>
          <w:lang w:val="es-ES"/>
          <w14:ligatures w14:val="standardContextual"/>
        </w:rPr>
        <w:t xml:space="preserve"> No. </w:t>
      </w:r>
      <w:r w:rsidRPr="00BA1003">
        <w:rPr>
          <w:rFonts w:ascii="Verdana" w:eastAsia="Arial" w:hAnsi="Verdana" w:cs="Arial"/>
          <w:kern w:val="2"/>
          <w:lang w:val="es-ES"/>
          <w14:ligatures w14:val="standardContextual"/>
        </w:rPr>
        <w:t>539</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de</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2025.</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Por</w:t>
      </w:r>
      <w:r w:rsidRPr="00BA1003">
        <w:rPr>
          <w:rFonts w:ascii="Verdana" w:eastAsia="Arial" w:hAnsi="Verdana" w:cs="Arial"/>
          <w:spacing w:val="-13"/>
          <w:kern w:val="2"/>
          <w:lang w:val="es-ES"/>
          <w14:ligatures w14:val="standardContextual"/>
        </w:rPr>
        <w:t xml:space="preserve"> </w:t>
      </w:r>
      <w:r w:rsidRPr="00BA1003">
        <w:rPr>
          <w:rFonts w:ascii="Verdana" w:eastAsia="Arial" w:hAnsi="Verdana" w:cs="Arial"/>
          <w:kern w:val="2"/>
          <w:lang w:val="es-ES"/>
          <w14:ligatures w14:val="standardContextual"/>
        </w:rPr>
        <w:t>tanto,</w:t>
      </w:r>
      <w:r w:rsidRPr="00BA1003">
        <w:rPr>
          <w:rFonts w:ascii="Verdana" w:eastAsia="Arial" w:hAnsi="Verdana" w:cs="Arial"/>
          <w:spacing w:val="-13"/>
          <w:kern w:val="2"/>
          <w:lang w:val="es-ES"/>
          <w14:ligatures w14:val="standardContextual"/>
        </w:rPr>
        <w:t xml:space="preserve"> </w:t>
      </w:r>
      <w:r w:rsidRPr="00BA1003">
        <w:rPr>
          <w:rFonts w:ascii="Verdana" w:eastAsia="Arial" w:hAnsi="Verdana" w:cs="Arial"/>
          <w:kern w:val="2"/>
          <w:lang w:val="es-ES"/>
          <w14:ligatures w14:val="standardContextual"/>
        </w:rPr>
        <w:t>si</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el</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objeto</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contractual</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incluye</w:t>
      </w:r>
      <w:r w:rsidRPr="00BA1003">
        <w:rPr>
          <w:rFonts w:ascii="Verdana" w:eastAsia="Arial" w:hAnsi="Verdana" w:cs="Arial"/>
          <w:spacing w:val="-14"/>
          <w:kern w:val="2"/>
          <w:lang w:val="es-ES"/>
          <w14:ligatures w14:val="standardContextual"/>
        </w:rPr>
        <w:t xml:space="preserve"> obras, </w:t>
      </w:r>
      <w:r w:rsidRPr="00BA1003">
        <w:rPr>
          <w:rFonts w:ascii="Verdana" w:eastAsia="Arial" w:hAnsi="Verdana" w:cs="Arial"/>
          <w:kern w:val="2"/>
          <w:lang w:val="es-ES"/>
          <w14:ligatures w14:val="standardContextual"/>
        </w:rPr>
        <w:t>bienes o</w:t>
      </w:r>
      <w:r w:rsidRPr="00BA1003">
        <w:rPr>
          <w:rFonts w:ascii="Verdana" w:eastAsia="Arial" w:hAnsi="Verdana" w:cs="Arial"/>
          <w:spacing w:val="-16"/>
          <w:kern w:val="2"/>
          <w:lang w:val="es-ES"/>
          <w14:ligatures w14:val="standardContextual"/>
        </w:rPr>
        <w:t xml:space="preserve"> </w:t>
      </w:r>
      <w:r w:rsidRPr="00BA1003">
        <w:rPr>
          <w:rFonts w:ascii="Verdana" w:eastAsia="Arial" w:hAnsi="Verdana" w:cs="Arial"/>
          <w:kern w:val="2"/>
          <w:lang w:val="es-ES"/>
          <w14:ligatures w14:val="standardContextual"/>
        </w:rPr>
        <w:t>servicios</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ajenos</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a</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la</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obra</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pública</w:t>
      </w:r>
      <w:r w:rsidRPr="00BA1003">
        <w:rPr>
          <w:rFonts w:ascii="Verdana" w:eastAsia="Arial" w:hAnsi="Verdana" w:cs="Arial"/>
          <w:spacing w:val="-16"/>
          <w:kern w:val="2"/>
          <w:lang w:val="es-ES"/>
          <w14:ligatures w14:val="standardContextual"/>
        </w:rPr>
        <w:t xml:space="preserve"> </w:t>
      </w:r>
      <w:r w:rsidRPr="00BA1003">
        <w:rPr>
          <w:rFonts w:ascii="Verdana" w:eastAsia="Arial" w:hAnsi="Verdana" w:cs="Arial"/>
          <w:kern w:val="2"/>
          <w:lang w:val="es-ES"/>
          <w14:ligatures w14:val="standardContextual"/>
        </w:rPr>
        <w:t>de</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infraestructura social,</w:t>
      </w:r>
      <w:r w:rsidRPr="00BA1003">
        <w:rPr>
          <w:rFonts w:ascii="Verdana" w:eastAsia="Arial" w:hAnsi="Verdana" w:cs="Arial"/>
          <w:spacing w:val="-14"/>
          <w:kern w:val="2"/>
          <w:lang w:val="es-ES"/>
          <w14:ligatures w14:val="standardContextual"/>
        </w:rPr>
        <w:t xml:space="preserve"> </w:t>
      </w:r>
      <w:r w:rsidRPr="00BA1003">
        <w:rPr>
          <w:rFonts w:ascii="Verdana" w:eastAsia="Arial" w:hAnsi="Verdana" w:cs="Arial"/>
          <w:kern w:val="2"/>
          <w:lang w:val="es-ES"/>
          <w14:ligatures w14:val="standardContextual"/>
        </w:rPr>
        <w:t>de</w:t>
      </w:r>
      <w:r w:rsidRPr="00BA1003">
        <w:rPr>
          <w:rFonts w:ascii="Verdana" w:eastAsia="Arial" w:hAnsi="Verdana" w:cs="Arial"/>
          <w:spacing w:val="-16"/>
          <w:kern w:val="2"/>
          <w:lang w:val="es-ES"/>
          <w14:ligatures w14:val="standardContextual"/>
        </w:rPr>
        <w:t xml:space="preserve"> </w:t>
      </w:r>
      <w:r w:rsidRPr="00BA1003">
        <w:rPr>
          <w:rFonts w:ascii="Verdana" w:eastAsia="Arial" w:hAnsi="Verdana" w:cs="Arial"/>
          <w:kern w:val="2"/>
          <w:lang w:val="es-ES"/>
          <w14:ligatures w14:val="standardContextual"/>
        </w:rPr>
        <w:t>allí</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solo</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se</w:t>
      </w:r>
      <w:r w:rsidRPr="00BA1003">
        <w:rPr>
          <w:rFonts w:ascii="Verdana" w:eastAsia="Arial" w:hAnsi="Verdana" w:cs="Arial"/>
          <w:spacing w:val="-15"/>
          <w:kern w:val="2"/>
          <w:lang w:val="es-ES"/>
          <w14:ligatures w14:val="standardContextual"/>
        </w:rPr>
        <w:t xml:space="preserve"> </w:t>
      </w:r>
      <w:r w:rsidRPr="00BA1003">
        <w:rPr>
          <w:rFonts w:ascii="Verdana" w:eastAsia="Arial" w:hAnsi="Verdana" w:cs="Arial"/>
          <w:kern w:val="2"/>
          <w:lang w:val="es-ES"/>
          <w14:ligatures w14:val="standardContextual"/>
        </w:rPr>
        <w:t>deriva que podrá incluirse la experiencia adicional que se considere conveniente, atendiendo a las reglas explicadas con</w:t>
      </w:r>
      <w:r w:rsidRPr="00BA1003">
        <w:rPr>
          <w:rFonts w:ascii="Verdana" w:eastAsia="Arial" w:hAnsi="Verdana" w:cs="Arial"/>
          <w:spacing w:val="-7"/>
          <w:kern w:val="2"/>
          <w:lang w:val="es-ES"/>
          <w14:ligatures w14:val="standardContextual"/>
        </w:rPr>
        <w:t xml:space="preserve"> </w:t>
      </w:r>
      <w:r w:rsidRPr="00BA1003">
        <w:rPr>
          <w:rFonts w:ascii="Verdana" w:eastAsia="Arial" w:hAnsi="Verdana" w:cs="Arial"/>
          <w:kern w:val="2"/>
          <w:lang w:val="es-ES"/>
          <w14:ligatures w14:val="standardContextual"/>
        </w:rPr>
        <w:t>anterioridad.</w:t>
      </w:r>
      <w:bookmarkEnd w:id="4"/>
    </w:p>
    <w:p w14:paraId="3545B014" w14:textId="77777777" w:rsidR="00BA1003" w:rsidRPr="00BA1003" w:rsidRDefault="00BA1003" w:rsidP="00BA1003">
      <w:pPr>
        <w:widowControl w:val="0"/>
        <w:autoSpaceDE w:val="0"/>
        <w:autoSpaceDN w:val="0"/>
        <w:spacing w:after="0" w:line="276" w:lineRule="auto"/>
        <w:ind w:firstLine="708"/>
        <w:jc w:val="both"/>
        <w:rPr>
          <w:rFonts w:ascii="Verdana" w:eastAsia="Arial" w:hAnsi="Verdana" w:cs="Arial"/>
          <w:kern w:val="2"/>
          <w:lang w:val="es-ES"/>
          <w14:ligatures w14:val="standardContextual"/>
        </w:rPr>
      </w:pPr>
      <w:r w:rsidRPr="00BA1003">
        <w:rPr>
          <w:rFonts w:ascii="Verdana" w:eastAsia="Arial" w:hAnsi="Verdana" w:cs="Arial"/>
          <w:kern w:val="2"/>
          <w:lang w:val="es-ES"/>
          <w14:ligatures w14:val="standardContextual"/>
        </w:rPr>
        <w:t>En este sentido, cuando se pretenda ejecutar una de las actividades establecidas en la “Matriz – Experiencia” de los documentos tipo adoptados en el sector social y adicionalmente se requiera contratar otro tipo de obras, bienes y servicios adicionales a la obra pública de infraestructura social, los documentos tipo adoptados son obligatorios.</w:t>
      </w:r>
    </w:p>
    <w:p w14:paraId="4D80C44F" w14:textId="77777777" w:rsidR="00BA1003" w:rsidRPr="00BA1003" w:rsidRDefault="00BA1003" w:rsidP="00BA1003">
      <w:pPr>
        <w:widowControl w:val="0"/>
        <w:autoSpaceDE w:val="0"/>
        <w:autoSpaceDN w:val="0"/>
        <w:spacing w:after="0" w:line="276" w:lineRule="auto"/>
        <w:ind w:firstLine="708"/>
        <w:jc w:val="both"/>
        <w:rPr>
          <w:rFonts w:ascii="Verdana" w:eastAsia="Arial" w:hAnsi="Verdana" w:cs="Arial"/>
          <w:kern w:val="2"/>
          <w:lang w:val="es-ES"/>
          <w14:ligatures w14:val="standardContextual"/>
        </w:rPr>
      </w:pPr>
    </w:p>
    <w:p w14:paraId="5FF7EAC1" w14:textId="77777777" w:rsidR="00BA1003" w:rsidRPr="00BA1003" w:rsidRDefault="00BA1003" w:rsidP="00BA1003">
      <w:pPr>
        <w:spacing w:after="120" w:line="276" w:lineRule="auto"/>
        <w:jc w:val="both"/>
        <w:textAlignment w:val="baseline"/>
        <w:rPr>
          <w:rFonts w:ascii="Arial" w:eastAsia="Calibri" w:hAnsi="Arial" w:cs="Arial"/>
          <w:kern w:val="2"/>
          <w:szCs w:val="24"/>
          <w14:ligatures w14:val="standardContextual"/>
        </w:rPr>
      </w:pPr>
      <w:r w:rsidRPr="00BA1003">
        <w:rPr>
          <w:rFonts w:ascii="Verdana" w:eastAsia="Times New Roman" w:hAnsi="Verdana" w:cs="Times New Roman"/>
          <w:color w:val="000000"/>
          <w:kern w:val="2"/>
          <w:lang w:val="es-ES"/>
          <w14:ligatures w14:val="standardContextual"/>
        </w:rPr>
        <w:t xml:space="preserve">v. </w:t>
      </w:r>
      <w:r w:rsidRPr="00BA1003">
        <w:rPr>
          <w:rFonts w:ascii="Verdana" w:eastAsia="Calibri" w:hAnsi="Verdana" w:cs="Arial"/>
          <w:kern w:val="2"/>
          <w:szCs w:val="24"/>
          <w14:ligatures w14:val="standardContextual"/>
        </w:rPr>
        <w:t xml:space="preserve">El “Anexo 1 – Anexo Técnico” hace parte de los documentos tipo de obra de infraestructura social. </w:t>
      </w:r>
      <w:proofErr w:type="gramStart"/>
      <w:r w:rsidRPr="00BA1003">
        <w:rPr>
          <w:rFonts w:ascii="Verdana" w:eastAsia="Calibri" w:hAnsi="Verdana" w:cs="Arial"/>
          <w:kern w:val="2"/>
          <w:szCs w:val="24"/>
          <w14:ligatures w14:val="standardContextual"/>
        </w:rPr>
        <w:t>Este contienen</w:t>
      </w:r>
      <w:proofErr w:type="gramEnd"/>
      <w:r w:rsidRPr="00BA1003">
        <w:rPr>
          <w:rFonts w:ascii="Verdana" w:eastAsia="Calibri" w:hAnsi="Verdana" w:cs="Arial"/>
          <w:kern w:val="2"/>
          <w:szCs w:val="24"/>
          <w14:ligatures w14:val="standardContextual"/>
        </w:rPr>
        <w:t xml:space="preserve"> parámetros obligatorios para las entidades estatales sometidas al Estatuto General de Contratación de la Administración Pública que adelanten estos contratos. Este documento es inalterable y las entidades estatales no pueden incluir, modificar o exigir en ese anexo requisitos adicionales, condiciones habilitantes o factores técnicos y económicos, diferentes a los señalados, salvo cuando de forma expresa lo determine el documento, es decir, en los aspectos incluidos en corchetes y resaltados en gris.</w:t>
      </w:r>
      <w:r w:rsidRPr="00BA1003">
        <w:rPr>
          <w:rFonts w:ascii="Arial" w:eastAsia="Calibri" w:hAnsi="Arial" w:cs="Arial"/>
          <w:kern w:val="2"/>
          <w:szCs w:val="24"/>
          <w14:ligatures w14:val="standardContextual"/>
        </w:rPr>
        <w:t xml:space="preserve"> </w:t>
      </w:r>
    </w:p>
    <w:p w14:paraId="44F5E912" w14:textId="77777777" w:rsidR="00BA1003" w:rsidRPr="00BA1003" w:rsidRDefault="00BA1003" w:rsidP="00BA1003">
      <w:pPr>
        <w:spacing w:after="120" w:line="276" w:lineRule="auto"/>
        <w:ind w:firstLine="709"/>
        <w:jc w:val="both"/>
        <w:rPr>
          <w:rFonts w:ascii="Verdana" w:eastAsia="Calibri" w:hAnsi="Verdana" w:cs="Arial"/>
          <w:kern w:val="2"/>
          <w14:ligatures w14:val="standardContextual"/>
        </w:rPr>
      </w:pPr>
      <w:r w:rsidRPr="00BA1003">
        <w:rPr>
          <w:rFonts w:ascii="Verdana" w:eastAsia="Calibri" w:hAnsi="Verdana" w:cs="Arial"/>
          <w:kern w:val="2"/>
          <w14:ligatures w14:val="standardContextual"/>
        </w:rPr>
        <w:t xml:space="preserve">El Anexo 1 de los documentos tipo de licitación de obra pública de infraestructura social – versión 2 contiene los siguientes elementos: i) descripción del proyecto, </w:t>
      </w:r>
      <w:proofErr w:type="spellStart"/>
      <w:r w:rsidRPr="00BA1003">
        <w:rPr>
          <w:rFonts w:ascii="Verdana" w:eastAsia="Calibri" w:hAnsi="Verdana" w:cs="Arial"/>
          <w:kern w:val="2"/>
          <w14:ligatures w14:val="standardContextual"/>
        </w:rPr>
        <w:t>ii</w:t>
      </w:r>
      <w:proofErr w:type="spellEnd"/>
      <w:r w:rsidRPr="00BA1003">
        <w:rPr>
          <w:rFonts w:ascii="Verdana" w:eastAsia="Calibri" w:hAnsi="Verdana" w:cs="Arial"/>
          <w:kern w:val="2"/>
          <w14:ligatures w14:val="standardContextual"/>
        </w:rPr>
        <w:t xml:space="preserve">) descripción de las condiciones actuales a intervenir, </w:t>
      </w:r>
      <w:proofErr w:type="spellStart"/>
      <w:r w:rsidRPr="00BA1003">
        <w:rPr>
          <w:rFonts w:ascii="Verdana" w:eastAsia="Calibri" w:hAnsi="Verdana" w:cs="Arial"/>
          <w:kern w:val="2"/>
          <w14:ligatures w14:val="standardContextual"/>
        </w:rPr>
        <w:t>iii</w:t>
      </w:r>
      <w:proofErr w:type="spellEnd"/>
      <w:r w:rsidRPr="00BA1003">
        <w:rPr>
          <w:rFonts w:ascii="Verdana" w:eastAsia="Calibri" w:hAnsi="Verdana" w:cs="Arial"/>
          <w:kern w:val="2"/>
          <w14:ligatures w14:val="standardContextual"/>
        </w:rPr>
        <w:t xml:space="preserve">) actividades a ejecutar y alcance, </w:t>
      </w:r>
      <w:proofErr w:type="spellStart"/>
      <w:r w:rsidRPr="00BA1003">
        <w:rPr>
          <w:rFonts w:ascii="Verdana" w:eastAsia="Calibri" w:hAnsi="Verdana" w:cs="Arial"/>
          <w:kern w:val="2"/>
          <w14:ligatures w14:val="standardContextual"/>
        </w:rPr>
        <w:t>iv</w:t>
      </w:r>
      <w:proofErr w:type="spellEnd"/>
      <w:r w:rsidRPr="00BA1003">
        <w:rPr>
          <w:rFonts w:ascii="Verdana" w:eastAsia="Calibri" w:hAnsi="Verdana" w:cs="Arial"/>
          <w:kern w:val="2"/>
          <w14:ligatures w14:val="standardContextual"/>
        </w:rPr>
        <w:t xml:space="preserve">) plazo para la ejecución del contrato, v) </w:t>
      </w:r>
      <w:r w:rsidRPr="00BA1003">
        <w:rPr>
          <w:rFonts w:ascii="Verdana" w:eastAsia="Calibri" w:hAnsi="Verdana" w:cs="Arial"/>
          <w:kern w:val="2"/>
          <w14:ligatures w14:val="standardContextual"/>
        </w:rPr>
        <w:lastRenderedPageBreak/>
        <w:t xml:space="preserve">forma de pago, vi) condiciones particulares del proyecto, </w:t>
      </w:r>
      <w:proofErr w:type="spellStart"/>
      <w:r w:rsidRPr="00BA1003">
        <w:rPr>
          <w:rFonts w:ascii="Verdana" w:eastAsia="Calibri" w:hAnsi="Verdana" w:cs="Arial"/>
          <w:kern w:val="2"/>
          <w14:ligatures w14:val="standardContextual"/>
        </w:rPr>
        <w:t>vii</w:t>
      </w:r>
      <w:proofErr w:type="spellEnd"/>
      <w:r w:rsidRPr="00BA1003">
        <w:rPr>
          <w:rFonts w:ascii="Verdana" w:eastAsia="Calibri" w:hAnsi="Verdana" w:cs="Arial"/>
          <w:kern w:val="2"/>
          <w14:ligatures w14:val="standardContextual"/>
        </w:rPr>
        <w:t xml:space="preserve">) aspectos relacionados con sostenibilidad técnico ambiental, </w:t>
      </w:r>
      <w:proofErr w:type="spellStart"/>
      <w:r w:rsidRPr="00BA1003">
        <w:rPr>
          <w:rFonts w:ascii="Verdana" w:eastAsia="Calibri" w:hAnsi="Verdana" w:cs="Arial"/>
          <w:kern w:val="2"/>
          <w14:ligatures w14:val="standardContextual"/>
        </w:rPr>
        <w:t>viii</w:t>
      </w:r>
      <w:proofErr w:type="spellEnd"/>
      <w:r w:rsidRPr="00BA1003">
        <w:rPr>
          <w:rFonts w:ascii="Verdana" w:eastAsia="Calibri" w:hAnsi="Verdana" w:cs="Arial"/>
          <w:kern w:val="2"/>
          <w14:ligatures w14:val="standardContextual"/>
        </w:rPr>
        <w:t xml:space="preserve">) información sobre el personal profesional, </w:t>
      </w:r>
      <w:proofErr w:type="spellStart"/>
      <w:r w:rsidRPr="00BA1003">
        <w:rPr>
          <w:rFonts w:ascii="Verdana" w:eastAsia="Calibri" w:hAnsi="Verdana" w:cs="Arial"/>
          <w:kern w:val="2"/>
          <w14:ligatures w14:val="standardContextual"/>
        </w:rPr>
        <w:t>ix</w:t>
      </w:r>
      <w:proofErr w:type="spellEnd"/>
      <w:r w:rsidRPr="00BA1003">
        <w:rPr>
          <w:rFonts w:ascii="Verdana" w:eastAsia="Calibri" w:hAnsi="Verdana" w:cs="Arial"/>
          <w:kern w:val="2"/>
          <w14:ligatures w14:val="standardContextual"/>
        </w:rPr>
        <w:t xml:space="preserve">) maquinaria mínima del proyecto, x) posibles fuentes de materiales para el proyecto, xi) obras provisionales, </w:t>
      </w:r>
      <w:proofErr w:type="spellStart"/>
      <w:r w:rsidRPr="00BA1003">
        <w:rPr>
          <w:rFonts w:ascii="Verdana" w:eastAsia="Calibri" w:hAnsi="Verdana" w:cs="Arial"/>
          <w:kern w:val="2"/>
          <w14:ligatures w14:val="standardContextual"/>
        </w:rPr>
        <w:t>xii</w:t>
      </w:r>
      <w:proofErr w:type="spellEnd"/>
      <w:r w:rsidRPr="00BA1003">
        <w:rPr>
          <w:rFonts w:ascii="Verdana" w:eastAsia="Calibri" w:hAnsi="Verdana" w:cs="Arial"/>
          <w:kern w:val="2"/>
          <w14:ligatures w14:val="standardContextual"/>
        </w:rPr>
        <w:t xml:space="preserve">) señalización, </w:t>
      </w:r>
      <w:proofErr w:type="spellStart"/>
      <w:r w:rsidRPr="00BA1003">
        <w:rPr>
          <w:rFonts w:ascii="Verdana" w:eastAsia="Calibri" w:hAnsi="Verdana" w:cs="Arial"/>
          <w:kern w:val="2"/>
          <w14:ligatures w14:val="standardContextual"/>
        </w:rPr>
        <w:t>xiii</w:t>
      </w:r>
      <w:proofErr w:type="spellEnd"/>
      <w:r w:rsidRPr="00BA1003">
        <w:rPr>
          <w:rFonts w:ascii="Verdana" w:eastAsia="Calibri" w:hAnsi="Verdana" w:cs="Arial"/>
          <w:kern w:val="2"/>
          <w14:ligatures w14:val="standardContextual"/>
        </w:rPr>
        <w:t xml:space="preserve">) permisos, licencias y autorizaciones, </w:t>
      </w:r>
      <w:proofErr w:type="spellStart"/>
      <w:r w:rsidRPr="00BA1003">
        <w:rPr>
          <w:rFonts w:ascii="Verdana" w:eastAsia="Calibri" w:hAnsi="Verdana" w:cs="Arial"/>
          <w:kern w:val="2"/>
          <w14:ligatures w14:val="standardContextual"/>
        </w:rPr>
        <w:t>xiv</w:t>
      </w:r>
      <w:proofErr w:type="spellEnd"/>
      <w:r w:rsidRPr="00BA1003">
        <w:rPr>
          <w:rFonts w:ascii="Verdana" w:eastAsia="Calibri" w:hAnsi="Verdana" w:cs="Arial"/>
          <w:kern w:val="2"/>
          <w14:ligatures w14:val="standardContextual"/>
        </w:rPr>
        <w:t xml:space="preserve">) notas técnicas específicas para el proyecto, y </w:t>
      </w:r>
      <w:proofErr w:type="spellStart"/>
      <w:r w:rsidRPr="00BA1003">
        <w:rPr>
          <w:rFonts w:ascii="Verdana" w:eastAsia="Calibri" w:hAnsi="Verdana" w:cs="Arial"/>
          <w:kern w:val="2"/>
          <w14:ligatures w14:val="standardContextual"/>
        </w:rPr>
        <w:t>xv</w:t>
      </w:r>
      <w:proofErr w:type="spellEnd"/>
      <w:r w:rsidRPr="00BA1003">
        <w:rPr>
          <w:rFonts w:ascii="Verdana" w:eastAsia="Calibri" w:hAnsi="Verdana" w:cs="Arial"/>
          <w:kern w:val="2"/>
          <w14:ligatures w14:val="standardContextual"/>
        </w:rPr>
        <w:t>) documentos técnicos adicionales.</w:t>
      </w:r>
    </w:p>
    <w:p w14:paraId="28FB3427" w14:textId="77777777" w:rsidR="00BA1003" w:rsidRPr="00BA1003" w:rsidRDefault="00BA1003" w:rsidP="00BA1003">
      <w:pPr>
        <w:spacing w:after="120" w:line="276" w:lineRule="auto"/>
        <w:ind w:firstLine="709"/>
        <w:jc w:val="both"/>
        <w:rPr>
          <w:rFonts w:ascii="Verdana" w:eastAsia="Calibri" w:hAnsi="Verdana" w:cs="Arial"/>
          <w:kern w:val="2"/>
          <w14:ligatures w14:val="standardContextual"/>
        </w:rPr>
      </w:pPr>
      <w:r w:rsidRPr="00BA1003">
        <w:rPr>
          <w:rFonts w:ascii="Verdana" w:eastAsia="Calibri" w:hAnsi="Verdana" w:cs="Arial"/>
          <w:kern w:val="2"/>
          <w14:ligatures w14:val="standardContextual"/>
        </w:rPr>
        <w:t xml:space="preserve">Además de los </w:t>
      </w:r>
      <w:proofErr w:type="gramStart"/>
      <w:r w:rsidRPr="00BA1003">
        <w:rPr>
          <w:rFonts w:ascii="Verdana" w:eastAsia="Calibri" w:hAnsi="Verdana" w:cs="Arial"/>
          <w:kern w:val="2"/>
          <w14:ligatures w14:val="standardContextual"/>
        </w:rPr>
        <w:t>elemento señalados</w:t>
      </w:r>
      <w:proofErr w:type="gramEnd"/>
      <w:r w:rsidRPr="00BA1003">
        <w:rPr>
          <w:rFonts w:ascii="Verdana" w:eastAsia="Calibri" w:hAnsi="Verdana" w:cs="Arial"/>
          <w:kern w:val="2"/>
          <w14:ligatures w14:val="standardContextual"/>
        </w:rPr>
        <w:t xml:space="preserve">, la parte introductoria del Anexo 1 – Anexo Técnico, dispone que en caso de que la entidad lo requiera podrá incluir otros -títulos o subtítulos- que apliquen al proyecto de infraestructura social. Sin embargo, la entidad no podrá introducir requisitos de participación o ponderación en ese documento. </w:t>
      </w:r>
    </w:p>
    <w:p w14:paraId="480C8320" w14:textId="77777777" w:rsidR="00BA1003" w:rsidRPr="00BA1003" w:rsidRDefault="00BA1003" w:rsidP="00BA1003">
      <w:pPr>
        <w:spacing w:after="0" w:line="276" w:lineRule="auto"/>
        <w:ind w:firstLine="709"/>
        <w:jc w:val="both"/>
        <w:rPr>
          <w:rFonts w:ascii="Verdana" w:eastAsia="Calibri" w:hAnsi="Verdana" w:cs="Arial"/>
          <w:kern w:val="2"/>
          <w14:ligatures w14:val="standardContextual"/>
        </w:rPr>
      </w:pPr>
      <w:r w:rsidRPr="00BA1003">
        <w:rPr>
          <w:rFonts w:ascii="Verdana" w:eastAsia="Calibri" w:hAnsi="Verdana" w:cs="Arial"/>
          <w:kern w:val="2"/>
          <w14:ligatures w14:val="standardContextual"/>
        </w:rPr>
        <w:t>Por su parte, el numeral 6 “Condiciones particulares del proyecto”, establece unas indicaciones entre corchetes y resaltadas en gris que deben ser atendidas por la entidad que adelanta el proceso para su diligenciamiento. Al respecto se indica lo siguiente:</w:t>
      </w:r>
    </w:p>
    <w:p w14:paraId="230F3CFE" w14:textId="77777777" w:rsidR="00BA1003" w:rsidRPr="00BA1003" w:rsidRDefault="00BA1003" w:rsidP="00BA1003">
      <w:pPr>
        <w:spacing w:after="0" w:line="276" w:lineRule="auto"/>
        <w:ind w:firstLine="709"/>
        <w:jc w:val="both"/>
        <w:rPr>
          <w:rFonts w:ascii="Verdana" w:eastAsia="Calibri" w:hAnsi="Verdana" w:cs="Arial"/>
          <w:kern w:val="2"/>
          <w14:ligatures w14:val="standardContextual"/>
        </w:rPr>
      </w:pPr>
    </w:p>
    <w:p w14:paraId="1AA39200" w14:textId="77777777" w:rsidR="00BA1003" w:rsidRPr="00BA1003" w:rsidRDefault="00BA1003" w:rsidP="00BA1003">
      <w:pPr>
        <w:spacing w:after="0" w:line="240" w:lineRule="auto"/>
        <w:ind w:left="709" w:right="709"/>
        <w:jc w:val="both"/>
        <w:rPr>
          <w:rFonts w:ascii="Verdana" w:eastAsia="Aptos" w:hAnsi="Verdana" w:cs="Times New Roman"/>
          <w:b/>
          <w:bCs/>
          <w:kern w:val="2"/>
          <w:sz w:val="21"/>
          <w:szCs w:val="21"/>
          <w14:ligatures w14:val="standardContextual"/>
        </w:rPr>
      </w:pPr>
      <w:r w:rsidRPr="00BA1003">
        <w:rPr>
          <w:rFonts w:ascii="Verdana" w:eastAsia="Aptos" w:hAnsi="Verdana" w:cs="Times New Roman"/>
          <w:b/>
          <w:bCs/>
          <w:kern w:val="2"/>
          <w:sz w:val="21"/>
          <w:szCs w:val="21"/>
          <w:highlight w:val="lightGray"/>
          <w14:ligatures w14:val="standardContextual"/>
        </w:rPr>
        <w:t>“[Adaptar de acuerdo con el proyecto y el sector social al que pertenezca]</w:t>
      </w:r>
      <w:r w:rsidRPr="00BA1003">
        <w:rPr>
          <w:rFonts w:ascii="Verdana" w:eastAsia="Aptos" w:hAnsi="Verdana" w:cs="Times New Roman"/>
          <w:b/>
          <w:bCs/>
          <w:kern w:val="2"/>
          <w:sz w:val="21"/>
          <w:szCs w:val="21"/>
          <w14:ligatures w14:val="standardContextual"/>
        </w:rPr>
        <w:t xml:space="preserve"> </w:t>
      </w:r>
    </w:p>
    <w:p w14:paraId="1024C68C" w14:textId="77777777" w:rsidR="00BA1003" w:rsidRPr="00BA1003" w:rsidRDefault="00BA1003" w:rsidP="00BA1003">
      <w:pPr>
        <w:spacing w:line="240" w:lineRule="auto"/>
        <w:ind w:left="709" w:right="709"/>
        <w:jc w:val="both"/>
        <w:rPr>
          <w:rFonts w:ascii="Verdana" w:eastAsia="Aptos" w:hAnsi="Verdana" w:cs="Times New Roman"/>
          <w:kern w:val="2"/>
          <w:sz w:val="21"/>
          <w:szCs w:val="21"/>
          <w14:ligatures w14:val="standardContextual"/>
        </w:rPr>
      </w:pPr>
    </w:p>
    <w:p w14:paraId="6DE19357" w14:textId="77777777" w:rsidR="00BA1003" w:rsidRPr="00BA1003" w:rsidRDefault="00BA1003" w:rsidP="00BA1003">
      <w:pPr>
        <w:spacing w:line="240" w:lineRule="auto"/>
        <w:ind w:left="709" w:right="709"/>
        <w:jc w:val="both"/>
        <w:rPr>
          <w:rFonts w:ascii="Verdana" w:eastAsia="Aptos" w:hAnsi="Verdana" w:cs="Times New Roman"/>
          <w:kern w:val="2"/>
          <w:sz w:val="21"/>
          <w:szCs w:val="21"/>
          <w:highlight w:val="lightGray"/>
          <w14:ligatures w14:val="standardContextual"/>
        </w:rPr>
      </w:pPr>
      <w:r w:rsidRPr="00BA1003">
        <w:rPr>
          <w:rFonts w:ascii="Verdana" w:eastAsia="Aptos" w:hAnsi="Verdana" w:cs="Times New Roman"/>
          <w:kern w:val="2"/>
          <w:sz w:val="21"/>
          <w:szCs w:val="21"/>
          <w:highlight w:val="lightGray"/>
          <w14:ligatures w14:val="standardContextual"/>
        </w:rPr>
        <w:t xml:space="preserve">[Incluir y describir las condiciones particulares del proyecto de infraestructura social, así como las condiciones propias de normas técnicas aplicables, normativa, legislación y </w:t>
      </w:r>
      <w:r w:rsidRPr="00BA1003">
        <w:rPr>
          <w:rFonts w:ascii="Verdana" w:eastAsia="Arial" w:hAnsi="Verdana" w:cs="Arial"/>
          <w:color w:val="000000"/>
          <w:kern w:val="2"/>
          <w:sz w:val="21"/>
          <w:szCs w:val="21"/>
          <w:highlight w:val="lightGray"/>
          <w14:ligatures w14:val="standardContextual"/>
        </w:rPr>
        <w:t>obligaciones impuestas por las autorizaciones, permisos, licencias ambientales, licencias de construcción, planes de manejo ambiental, planes de ordenamiento territorial, consultas previas y/o audiencias públicas, requeridos para el desarrollo de la obra.</w:t>
      </w:r>
    </w:p>
    <w:p w14:paraId="01DE7070" w14:textId="77777777" w:rsidR="00BA1003" w:rsidRPr="00BA1003" w:rsidRDefault="00BA1003" w:rsidP="00BA1003">
      <w:pPr>
        <w:spacing w:after="0" w:line="240" w:lineRule="auto"/>
        <w:ind w:left="709" w:right="709"/>
        <w:jc w:val="both"/>
        <w:rPr>
          <w:rFonts w:ascii="Verdana" w:eastAsia="Aptos" w:hAnsi="Verdana" w:cs="Times New Roman"/>
          <w:kern w:val="2"/>
          <w:sz w:val="21"/>
          <w:szCs w:val="21"/>
          <w:highlight w:val="lightGray"/>
          <w14:ligatures w14:val="standardContextual"/>
        </w:rPr>
      </w:pPr>
      <w:r w:rsidRPr="00BA1003">
        <w:rPr>
          <w:rFonts w:ascii="Verdana" w:eastAsia="Aptos" w:hAnsi="Verdana" w:cs="Times New Roman"/>
          <w:kern w:val="2"/>
          <w:sz w:val="21"/>
          <w:szCs w:val="21"/>
          <w:highlight w:val="lightGray"/>
          <w14:ligatures w14:val="standardContextual"/>
        </w:rPr>
        <w:t>En caso de contar con lineamientos, cartillas de diseño y/o construcción por parte de la Entidad Estatal o de algún ente rector en la materia, se deberá relacionar en este numeral y sub numerales, al igual que hacer la entrega de éstos en la ejecución del Contrato al Contratista.]”.</w:t>
      </w:r>
    </w:p>
    <w:p w14:paraId="4D8C2784" w14:textId="77777777" w:rsidR="00BA1003" w:rsidRPr="00BA1003" w:rsidRDefault="00BA1003" w:rsidP="00BA1003">
      <w:pPr>
        <w:spacing w:after="0" w:line="240" w:lineRule="auto"/>
        <w:ind w:left="709" w:right="709"/>
        <w:jc w:val="both"/>
        <w:rPr>
          <w:rFonts w:ascii="Verdana" w:eastAsia="Aptos" w:hAnsi="Verdana" w:cs="Times New Roman"/>
          <w:kern w:val="2"/>
          <w:sz w:val="21"/>
          <w:szCs w:val="21"/>
          <w:highlight w:val="lightGray"/>
          <w14:ligatures w14:val="standardContextual"/>
        </w:rPr>
      </w:pPr>
    </w:p>
    <w:p w14:paraId="14D4E0F4" w14:textId="77777777" w:rsidR="00BA1003" w:rsidRPr="00BA1003" w:rsidRDefault="00BA1003" w:rsidP="00BA1003">
      <w:pPr>
        <w:spacing w:after="0" w:line="276" w:lineRule="auto"/>
        <w:ind w:firstLine="708"/>
        <w:jc w:val="both"/>
        <w:rPr>
          <w:rFonts w:ascii="Verdana" w:eastAsia="Calibri" w:hAnsi="Verdana" w:cs="Arial"/>
          <w:kern w:val="2"/>
          <w14:ligatures w14:val="standardContextual"/>
        </w:rPr>
      </w:pPr>
      <w:r w:rsidRPr="00BA1003">
        <w:rPr>
          <w:rFonts w:ascii="Verdana" w:eastAsia="Calibri" w:hAnsi="Verdana" w:cs="Arial"/>
          <w:kern w:val="2"/>
          <w14:ligatures w14:val="standardContextual"/>
        </w:rPr>
        <w:t xml:space="preserve">De conformidad con lo dispuesto en el numeral 6, la entidad que adelanta el proceso podrá incluir condiciones adicionales relacionadas con las normas técnicas aplicables, la normativa y legislación vigente, así como con las obligaciones derivadas de autorizaciones, permisos, licencias, planes y demás instrumentos requeridos para el desarrollo de la obra. Lo anterior comprende </w:t>
      </w:r>
      <w:r w:rsidRPr="00BA1003">
        <w:rPr>
          <w:rFonts w:ascii="Verdana" w:eastAsia="Calibri" w:hAnsi="Verdana" w:cs="Arial"/>
          <w:kern w:val="2"/>
          <w14:ligatures w14:val="standardContextual"/>
        </w:rPr>
        <w:lastRenderedPageBreak/>
        <w:t>también la posibilidad de incorporar lineamientos, cartillas de diseño y/o construcción u otros documentos técnicos que resulten pertinentes para la adecuada ejecución del proyecto, siempre que tales condiciones guarden relación directa con el objeto contractual y se encuentren debidamente justificadas.</w:t>
      </w:r>
    </w:p>
    <w:p w14:paraId="45C6ADA2" w14:textId="77777777" w:rsidR="00BA1003" w:rsidRPr="00BA1003" w:rsidRDefault="00BA1003" w:rsidP="00BA1003">
      <w:pPr>
        <w:spacing w:before="120" w:after="120" w:line="276" w:lineRule="auto"/>
        <w:ind w:firstLine="709"/>
        <w:jc w:val="both"/>
        <w:rPr>
          <w:rFonts w:ascii="Verdana" w:eastAsia="Calibri" w:hAnsi="Verdana" w:cs="Arial"/>
          <w:kern w:val="2"/>
          <w:szCs w:val="24"/>
          <w:lang w:val="es-ES"/>
          <w14:ligatures w14:val="standardContextual"/>
        </w:rPr>
      </w:pPr>
      <w:r w:rsidRPr="00BA1003">
        <w:rPr>
          <w:rFonts w:ascii="Verdana" w:eastAsia="Calibri" w:hAnsi="Verdana" w:cs="Arial"/>
          <w:kern w:val="2"/>
          <w:szCs w:val="24"/>
          <w14:ligatures w14:val="standardContextual"/>
        </w:rPr>
        <w:t>Por otra parte, teniendo en cuenta uno de los problemas jurídicos planteados en este concepto, sobre el personal vinculado al proyecto, debe indicarse que el numeral 8 del “Anexo 1 – Anexo Técnico” señala las condiciones bajo los cuales las entidades analizarán la información del personal profesional. Según lo establece dicho numeral, l</w:t>
      </w:r>
      <w:r w:rsidRPr="00BA1003">
        <w:rPr>
          <w:rFonts w:ascii="Verdana" w:eastAsia="Calibri" w:hAnsi="Verdana" w:cs="Arial"/>
          <w:kern w:val="2"/>
          <w:szCs w:val="24"/>
          <w:lang w:val="es-ES"/>
          <w14:ligatures w14:val="standardContextual"/>
        </w:rPr>
        <w:t>a entidad deberá definir en este anexo el personal requerido para la ejecución de la obra de acuerdo con el objeto del proceso de contratación</w:t>
      </w:r>
      <w:r w:rsidRPr="00BA1003">
        <w:rPr>
          <w:rFonts w:ascii="Verdana" w:eastAsia="Calibri" w:hAnsi="Verdana" w:cs="Arial"/>
          <w:color w:val="000000"/>
          <w:kern w:val="2"/>
          <w:lang w:val="es-MX"/>
          <w14:ligatures w14:val="standardContextual"/>
        </w:rPr>
        <w:t>. Por lo tanto, la entidad detallará, en los espacios en corchete y resaltado en gris, si se requiere algún título profesional, los años de experiencia general y específica o si se necesita algún título de posgrado y determinará el nombre del cargo del especialista o profesional requerido de acuerdo con la tabla del literal a. Estos requisitos deberán ser proporcionales y adecuados al tipo de obra conforme a lo establecido en los estudios y documentos previos.</w:t>
      </w:r>
    </w:p>
    <w:p w14:paraId="71FFF425" w14:textId="77777777" w:rsidR="00BA1003" w:rsidRPr="00BA1003" w:rsidRDefault="00BA1003" w:rsidP="00BA1003">
      <w:pPr>
        <w:spacing w:before="120" w:line="276" w:lineRule="auto"/>
        <w:ind w:firstLine="709"/>
        <w:jc w:val="both"/>
        <w:rPr>
          <w:rFonts w:ascii="Verdana" w:eastAsia="Calibri" w:hAnsi="Verdana" w:cs="Arial"/>
          <w:kern w:val="2"/>
          <w:szCs w:val="24"/>
          <w14:ligatures w14:val="standardContextual"/>
        </w:rPr>
      </w:pPr>
      <w:r w:rsidRPr="00BA1003">
        <w:rPr>
          <w:rFonts w:ascii="Verdana" w:eastAsia="Calibri" w:hAnsi="Verdana" w:cs="Arial"/>
          <w:kern w:val="2"/>
          <w:szCs w:val="24"/>
          <w14:ligatures w14:val="standardContextual"/>
        </w:rPr>
        <w:t xml:space="preserve">Sin embargo, el numeral 8 del “Anexo 1 – Anexo Técnico” es claro al señalar que la información del personal no será determinada como un requisito habilitante, ni podrá ser evaluada durante el proceso de contratación. A este respecto, dispone lo siguiente: “Las hojas de vida y soportes del personal vinculado al proyecto serán verificadas una vez se adjudique el contrato y no podrán ser pedidas durante la selección del contratista para efectos de otorgar puntaje o como criterio habilitante”. </w:t>
      </w:r>
    </w:p>
    <w:p w14:paraId="0346168C" w14:textId="77777777" w:rsidR="00BA1003" w:rsidRPr="00BA1003" w:rsidRDefault="00BA1003" w:rsidP="00BA1003">
      <w:pPr>
        <w:spacing w:before="120" w:line="276" w:lineRule="auto"/>
        <w:ind w:firstLine="709"/>
        <w:jc w:val="both"/>
        <w:rPr>
          <w:rFonts w:ascii="Verdana" w:eastAsia="Calibri" w:hAnsi="Verdana" w:cs="Arial"/>
          <w:color w:val="000000"/>
          <w:kern w:val="2"/>
          <w:lang w:val="es-MX"/>
          <w14:ligatures w14:val="standardContextual"/>
        </w:rPr>
      </w:pPr>
      <w:r w:rsidRPr="00BA1003">
        <w:rPr>
          <w:rFonts w:ascii="Verdana" w:eastAsia="Calibri" w:hAnsi="Verdana" w:cs="Arial"/>
          <w:kern w:val="2"/>
          <w:szCs w:val="24"/>
          <w14:ligatures w14:val="standardContextual"/>
        </w:rPr>
        <w:t xml:space="preserve">De lo expuesto, se concluye palmariamente que, aunque el personal profesional requerido para ejecutar el proyecto de obra debe definirse en el “Anexo 1 – Anexo Técnico” del proceso de contratación, su evaluación no podrá realizarse durante esta etapa, ni mucho menos establecerse como un requisito habilitante de participación o como criterio para otorgar puntaje. Tal y como lo establece el numeral 8, la verificación de esta información se realizará una vez sea adjudicado el contrato. </w:t>
      </w:r>
    </w:p>
    <w:p w14:paraId="32DBA9F0" w14:textId="77777777" w:rsidR="00BA1003" w:rsidRPr="00BA1003" w:rsidRDefault="00BA1003" w:rsidP="00BA1003">
      <w:pPr>
        <w:spacing w:after="0" w:line="276" w:lineRule="auto"/>
        <w:ind w:firstLine="709"/>
        <w:jc w:val="both"/>
        <w:rPr>
          <w:rFonts w:ascii="Verdana" w:eastAsia="Calibri" w:hAnsi="Verdana" w:cs="Arial"/>
          <w:kern w:val="2"/>
          <w:szCs w:val="24"/>
          <w14:ligatures w14:val="standardContextual"/>
        </w:rPr>
      </w:pPr>
      <w:r w:rsidRPr="00BA1003">
        <w:rPr>
          <w:rFonts w:ascii="Verdana" w:eastAsia="Calibri" w:hAnsi="Verdana" w:cs="Arial"/>
          <w:kern w:val="2"/>
          <w:szCs w:val="24"/>
          <w14:ligatures w14:val="standardContextual"/>
        </w:rPr>
        <w:t xml:space="preserve">Así, de acuerdo con la información contenida en el numeral 8, “Información sobre el personal profesional”, del “Anexo 1 – Anexo Técnico”, para </w:t>
      </w:r>
      <w:r w:rsidRPr="00BA1003">
        <w:rPr>
          <w:rFonts w:ascii="Verdana" w:eastAsia="Calibri" w:hAnsi="Verdana" w:cs="Arial"/>
          <w:kern w:val="2"/>
          <w:szCs w:val="24"/>
          <w14:ligatures w14:val="standardContextual"/>
        </w:rPr>
        <w:lastRenderedPageBreak/>
        <w:t>efectos de su solicitud debe indicarse que la entidad no podrá exigir que el contratista vincule a una persona en específico para la ejecución del contrato; menos aún podrá determinar que esa persona en particular sea objeto de evaluación dentro del proceso o constituya un requisito habilitante. Sin embargo, la entidad sí podrá definir el personal requerido para la ejecución de la obra, de acuerdo con el objeto del proceso de contratación, incluyendo los requisitos de experiencia general y específica, así como el título profesional. Se reitera que este margen con el que cuenta la entidad para definir el personal del proyecto no debe entenderse como la facultad de establecer una persona determinada.</w:t>
      </w:r>
    </w:p>
    <w:p w14:paraId="3013350E" w14:textId="77777777" w:rsidR="00BA1003" w:rsidRPr="00BA1003" w:rsidRDefault="00BA1003" w:rsidP="00BA1003">
      <w:pPr>
        <w:spacing w:after="0" w:line="276" w:lineRule="auto"/>
        <w:jc w:val="both"/>
        <w:rPr>
          <w:rFonts w:ascii="Verdana" w:eastAsia="Calibri" w:hAnsi="Verdana" w:cs="Arial"/>
          <w:lang w:val="es-ES"/>
        </w:rPr>
      </w:pPr>
    </w:p>
    <w:p w14:paraId="6BE734E6" w14:textId="77777777" w:rsidR="00BA1003" w:rsidRPr="00BA1003" w:rsidRDefault="00BA1003" w:rsidP="00BA1003">
      <w:pPr>
        <w:spacing w:after="120" w:line="276" w:lineRule="auto"/>
        <w:jc w:val="both"/>
        <w:rPr>
          <w:rFonts w:ascii="Verdana" w:eastAsia="Aptos" w:hAnsi="Verdana" w:cs="Times New Roman"/>
          <w:kern w:val="2"/>
          <w14:ligatures w14:val="standardContextual"/>
        </w:rPr>
      </w:pPr>
      <w:r w:rsidRPr="00BA1003">
        <w:rPr>
          <w:rFonts w:ascii="Verdana" w:eastAsia="Calibri" w:hAnsi="Verdana" w:cs="Arial"/>
        </w:rPr>
        <w:t xml:space="preserve">vi. </w:t>
      </w:r>
      <w:r w:rsidRPr="00BA1003">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FE53B17" w14:textId="77777777" w:rsidR="00BA1003" w:rsidRPr="00BA1003" w:rsidRDefault="00BA1003" w:rsidP="00BA1003">
      <w:pPr>
        <w:spacing w:after="120" w:line="276" w:lineRule="auto"/>
        <w:ind w:firstLine="708"/>
        <w:jc w:val="both"/>
        <w:rPr>
          <w:rFonts w:ascii="Verdana" w:eastAsia="Calibri" w:hAnsi="Verdana" w:cs="Arial"/>
          <w:bCs/>
          <w:color w:val="000000"/>
          <w:kern w:val="2"/>
          <w14:ligatures w14:val="standardContextual"/>
        </w:rPr>
      </w:pPr>
      <w:r w:rsidRPr="00BA1003">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818AB9C" w14:textId="77777777" w:rsidR="00BA1003" w:rsidRPr="00BA1003" w:rsidRDefault="00BA1003" w:rsidP="00BA1003">
      <w:pPr>
        <w:spacing w:after="0" w:line="276" w:lineRule="auto"/>
        <w:jc w:val="both"/>
        <w:rPr>
          <w:rFonts w:ascii="Verdana" w:eastAsia="Calibri" w:hAnsi="Verdana" w:cs="Times New Roman"/>
        </w:rPr>
      </w:pPr>
    </w:p>
    <w:p w14:paraId="257C59BD" w14:textId="77777777" w:rsidR="00BA1003" w:rsidRPr="00BA1003" w:rsidRDefault="00BA1003" w:rsidP="00BA1003">
      <w:pPr>
        <w:tabs>
          <w:tab w:val="left" w:pos="142"/>
          <w:tab w:val="left" w:pos="284"/>
        </w:tabs>
        <w:spacing w:after="0" w:line="276" w:lineRule="auto"/>
        <w:jc w:val="both"/>
        <w:rPr>
          <w:rFonts w:ascii="Verdana" w:eastAsia="Century Gothic" w:hAnsi="Verdana" w:cs="Century Gothic"/>
          <w:b/>
          <w:bCs/>
          <w:lang w:val="es-ES_tradnl"/>
        </w:rPr>
      </w:pPr>
      <w:r w:rsidRPr="00BA1003">
        <w:rPr>
          <w:rFonts w:ascii="Verdana" w:eastAsia="Century Gothic" w:hAnsi="Verdana" w:cs="Century Gothic"/>
          <w:b/>
          <w:bCs/>
          <w:lang w:val="es-ES_tradnl"/>
        </w:rPr>
        <w:t>4. Referencias normativas, jurisprudenciales y otras fuentes:</w:t>
      </w:r>
    </w:p>
    <w:p w14:paraId="2E8B67E0" w14:textId="77777777" w:rsidR="00BA1003" w:rsidRPr="00BA1003" w:rsidRDefault="00BA1003" w:rsidP="00BA1003">
      <w:pPr>
        <w:spacing w:after="0"/>
        <w:ind w:left="-15840"/>
        <w:jc w:val="both"/>
        <w:rPr>
          <w:rFonts w:ascii="Verdana" w:eastAsia="Calibri" w:hAnsi="Verdana" w:cs="Arial"/>
          <w:b/>
          <w:bCs/>
        </w:rPr>
      </w:pPr>
      <w:r w:rsidRPr="00BA1003">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A1003" w:rsidRPr="00BA1003" w14:paraId="652F003C" w14:textId="77777777" w:rsidTr="00312E77">
        <w:trPr>
          <w:trHeight w:val="870"/>
        </w:trPr>
        <w:tc>
          <w:tcPr>
            <w:tcW w:w="8647" w:type="dxa"/>
            <w:tcBorders>
              <w:top w:val="dotted" w:sz="4" w:space="0" w:color="auto"/>
              <w:left w:val="dotted" w:sz="4" w:space="0" w:color="auto"/>
              <w:bottom w:val="dotted" w:sz="4" w:space="0" w:color="auto"/>
              <w:right w:val="dotted" w:sz="4" w:space="0" w:color="auto"/>
            </w:tcBorders>
          </w:tcPr>
          <w:p w14:paraId="351CC967" w14:textId="77777777" w:rsidR="00BA1003" w:rsidRPr="00BA1003" w:rsidRDefault="00BA1003" w:rsidP="00BA1003">
            <w:pPr>
              <w:contextualSpacing/>
              <w:jc w:val="both"/>
              <w:rPr>
                <w:rFonts w:ascii="Verdana" w:eastAsia="Calibri" w:hAnsi="Verdana" w:cs="Arial"/>
                <w:bCs/>
              </w:rPr>
            </w:pPr>
          </w:p>
          <w:p w14:paraId="2C6743C5" w14:textId="77777777" w:rsidR="00BA1003" w:rsidRPr="00BA1003" w:rsidRDefault="00BA1003" w:rsidP="00BA1003">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BA1003">
              <w:rPr>
                <w:rFonts w:ascii="Verdana" w:eastAsia="Calibri" w:hAnsi="Verdana" w:cs="Arial"/>
                <w:lang w:val="es-ES_tradnl"/>
              </w:rPr>
              <w:t xml:space="preserve">Ley 2022 de 2020, artículo 1. </w:t>
            </w:r>
          </w:p>
          <w:p w14:paraId="109F9DC2" w14:textId="77777777" w:rsidR="00BA1003" w:rsidRPr="00BA1003" w:rsidRDefault="00BA1003" w:rsidP="00BA1003">
            <w:pPr>
              <w:widowControl w:val="0"/>
              <w:numPr>
                <w:ilvl w:val="0"/>
                <w:numId w:val="16"/>
              </w:numPr>
              <w:autoSpaceDE w:val="0"/>
              <w:autoSpaceDN w:val="0"/>
              <w:spacing w:line="276" w:lineRule="auto"/>
              <w:jc w:val="both"/>
              <w:rPr>
                <w:rFonts w:ascii="Verdana" w:eastAsia="Calibri" w:hAnsi="Verdana" w:cs="Arial"/>
              </w:rPr>
            </w:pPr>
            <w:r w:rsidRPr="00BA1003">
              <w:rPr>
                <w:rFonts w:ascii="Verdana" w:eastAsia="Calibri" w:hAnsi="Verdana" w:cs="Arial"/>
              </w:rPr>
              <w:t>Ley 1150 de 2007, artículo 2.</w:t>
            </w:r>
          </w:p>
          <w:p w14:paraId="5673D000" w14:textId="77777777" w:rsidR="00BA1003" w:rsidRPr="00BA1003" w:rsidRDefault="00BA1003" w:rsidP="00BA1003">
            <w:pPr>
              <w:widowControl w:val="0"/>
              <w:numPr>
                <w:ilvl w:val="0"/>
                <w:numId w:val="16"/>
              </w:numPr>
              <w:autoSpaceDE w:val="0"/>
              <w:autoSpaceDN w:val="0"/>
              <w:spacing w:line="276" w:lineRule="auto"/>
              <w:contextualSpacing/>
              <w:jc w:val="both"/>
              <w:rPr>
                <w:rFonts w:ascii="Verdana" w:eastAsia="Calibri" w:hAnsi="Verdana" w:cs="Arial"/>
              </w:rPr>
            </w:pPr>
            <w:r w:rsidRPr="00BA1003">
              <w:rPr>
                <w:rFonts w:ascii="Verdana" w:eastAsia="Calibri" w:hAnsi="Verdana" w:cs="Arial"/>
                <w:lang w:val="es-ES_tradnl"/>
              </w:rPr>
              <w:t xml:space="preserve">Documentos Tipo. Disponibles en: </w:t>
            </w:r>
            <w:hyperlink r:id="rId11" w:history="1">
              <w:r w:rsidRPr="00BA1003">
                <w:rPr>
                  <w:rFonts w:ascii="Verdana" w:eastAsia="Calibri" w:hAnsi="Verdana" w:cs="Arial"/>
                  <w:color w:val="0000FF"/>
                  <w:u w:val="single"/>
                  <w:lang w:val="es-ES_tradnl"/>
                </w:rPr>
                <w:t>https://www.colombiacompra.gov.co/documentos-tipo/documentos-tipo</w:t>
              </w:r>
            </w:hyperlink>
            <w:r w:rsidRPr="00BA1003">
              <w:rPr>
                <w:rFonts w:ascii="Verdana" w:eastAsia="Calibri" w:hAnsi="Verdana" w:cs="Arial"/>
                <w:lang w:val="es-ES_tradnl"/>
              </w:rPr>
              <w:t>.</w:t>
            </w:r>
          </w:p>
          <w:p w14:paraId="33FF7681" w14:textId="77777777" w:rsidR="00BA1003" w:rsidRPr="00BA1003" w:rsidRDefault="00BA1003" w:rsidP="00BA1003">
            <w:pPr>
              <w:widowControl w:val="0"/>
              <w:numPr>
                <w:ilvl w:val="0"/>
                <w:numId w:val="16"/>
              </w:numPr>
              <w:autoSpaceDE w:val="0"/>
              <w:autoSpaceDN w:val="0"/>
              <w:spacing w:line="276" w:lineRule="auto"/>
              <w:contextualSpacing/>
              <w:jc w:val="both"/>
              <w:rPr>
                <w:rFonts w:ascii="Verdana" w:eastAsia="Calibri" w:hAnsi="Verdana" w:cs="Arial"/>
              </w:rPr>
            </w:pPr>
            <w:r w:rsidRPr="00BA1003">
              <w:rPr>
                <w:rFonts w:ascii="Verdana" w:eastAsia="Aptos" w:hAnsi="Verdana" w:cs="Arial"/>
                <w:color w:val="000000"/>
              </w:rPr>
              <w:t xml:space="preserve">ALESSANDRI RODRÍGUEZ, Arturo. De los contratos. Santiago de Chile: Editorial Jurídica EDIAR-CONOCSUR LTDA, 1988. p. 182. </w:t>
            </w:r>
          </w:p>
          <w:p w14:paraId="6A71F8EB" w14:textId="77777777" w:rsidR="00BA1003" w:rsidRPr="00BA1003" w:rsidRDefault="00BA1003" w:rsidP="00BA1003">
            <w:pPr>
              <w:widowControl w:val="0"/>
              <w:numPr>
                <w:ilvl w:val="0"/>
                <w:numId w:val="16"/>
              </w:numPr>
              <w:autoSpaceDE w:val="0"/>
              <w:autoSpaceDN w:val="0"/>
              <w:spacing w:line="276" w:lineRule="auto"/>
              <w:contextualSpacing/>
              <w:jc w:val="both"/>
              <w:rPr>
                <w:rFonts w:ascii="Verdana" w:eastAsia="Calibri" w:hAnsi="Verdana" w:cs="Arial"/>
              </w:rPr>
            </w:pPr>
            <w:r w:rsidRPr="00BA1003">
              <w:rPr>
                <w:rFonts w:ascii="Verdana" w:eastAsia="Aptos" w:hAnsi="Verdana" w:cs="Arial"/>
                <w:color w:val="000000"/>
              </w:rPr>
              <w:t>OSPINA MENA, Jesús Marino. Régimen de la Contratación Estatal. Un salto a la contratación liquida. Bogotá: Dike, 2020. p. 168.</w:t>
            </w:r>
          </w:p>
          <w:p w14:paraId="31674935" w14:textId="77777777" w:rsidR="00BA1003" w:rsidRPr="00BA1003" w:rsidRDefault="00BA1003" w:rsidP="00BA1003">
            <w:pPr>
              <w:widowControl w:val="0"/>
              <w:numPr>
                <w:ilvl w:val="0"/>
                <w:numId w:val="16"/>
              </w:numPr>
              <w:autoSpaceDE w:val="0"/>
              <w:autoSpaceDN w:val="0"/>
              <w:spacing w:line="276" w:lineRule="auto"/>
              <w:contextualSpacing/>
              <w:jc w:val="both"/>
              <w:rPr>
                <w:rFonts w:ascii="Verdana" w:eastAsia="Calibri" w:hAnsi="Verdana" w:cs="Arial"/>
              </w:rPr>
            </w:pPr>
            <w:r w:rsidRPr="00BA1003">
              <w:rPr>
                <w:rFonts w:ascii="Verdana" w:eastAsia="Aptos" w:hAnsi="Verdana" w:cs="Arial"/>
                <w:color w:val="000000"/>
              </w:rPr>
              <w:t>CONSEJO DE ESTADO. Sala de Consulta y Servicio Civil. Concepto del 5 de septiembre de 2018. Rad. 2.386. C.P. Edgar González López.</w:t>
            </w:r>
          </w:p>
          <w:p w14:paraId="62703711" w14:textId="77777777" w:rsidR="00BA1003" w:rsidRPr="00BA1003" w:rsidRDefault="00BA1003" w:rsidP="00BA1003">
            <w:pPr>
              <w:widowControl w:val="0"/>
              <w:numPr>
                <w:ilvl w:val="0"/>
                <w:numId w:val="16"/>
              </w:numPr>
              <w:autoSpaceDE w:val="0"/>
              <w:autoSpaceDN w:val="0"/>
              <w:spacing w:line="276" w:lineRule="auto"/>
              <w:contextualSpacing/>
              <w:jc w:val="both"/>
              <w:rPr>
                <w:rFonts w:ascii="Verdana" w:eastAsia="Calibri" w:hAnsi="Verdana" w:cs="Arial"/>
              </w:rPr>
            </w:pPr>
            <w:r w:rsidRPr="00BA1003">
              <w:rPr>
                <w:rFonts w:ascii="Verdana" w:eastAsia="Aptos" w:hAnsi="Verdana" w:cs="Arial"/>
                <w:color w:val="000000"/>
              </w:rPr>
              <w:t>VELÁSQUEZ JARAMILLO, Luis Guillermo. Bienes. Duodécima edición. Bogotá: Temis, 2010. p. 22.</w:t>
            </w:r>
          </w:p>
          <w:p w14:paraId="05FD6597" w14:textId="77777777" w:rsidR="00BA1003" w:rsidRPr="00BA1003" w:rsidRDefault="00BA1003" w:rsidP="00BA1003">
            <w:pPr>
              <w:widowControl w:val="0"/>
              <w:numPr>
                <w:ilvl w:val="0"/>
                <w:numId w:val="16"/>
              </w:numPr>
              <w:autoSpaceDE w:val="0"/>
              <w:autoSpaceDN w:val="0"/>
              <w:spacing w:line="276" w:lineRule="auto"/>
              <w:contextualSpacing/>
              <w:jc w:val="both"/>
              <w:rPr>
                <w:rFonts w:ascii="Verdana" w:eastAsia="Calibri" w:hAnsi="Verdana" w:cs="Arial"/>
              </w:rPr>
            </w:pPr>
            <w:r w:rsidRPr="00BA1003">
              <w:rPr>
                <w:rFonts w:ascii="Verdana" w:eastAsia="Aptos" w:hAnsi="Verdana" w:cs="Arial"/>
                <w:color w:val="000000"/>
              </w:rPr>
              <w:t>MAZEUD, Henri, MAZEUD, León y MAZEUD, Jean. Lecciones de derecho civil. Parte Primera. Volumen I. Buenos Aires: EJEA, 1976. p. 305-306.</w:t>
            </w:r>
          </w:p>
        </w:tc>
      </w:tr>
    </w:tbl>
    <w:p w14:paraId="5728E858" w14:textId="77777777" w:rsidR="00BA1003" w:rsidRPr="00BA1003" w:rsidRDefault="00BA1003" w:rsidP="00BA1003">
      <w:pPr>
        <w:tabs>
          <w:tab w:val="left" w:pos="142"/>
          <w:tab w:val="left" w:pos="284"/>
        </w:tabs>
        <w:spacing w:after="0" w:line="276" w:lineRule="auto"/>
        <w:jc w:val="both"/>
        <w:rPr>
          <w:rFonts w:ascii="Verdana" w:eastAsia="Calibri" w:hAnsi="Verdana" w:cs="Arial"/>
        </w:rPr>
      </w:pPr>
    </w:p>
    <w:p w14:paraId="57665D0C" w14:textId="77777777" w:rsidR="00BA1003" w:rsidRPr="00BA1003" w:rsidRDefault="00BA1003" w:rsidP="00BA1003">
      <w:pPr>
        <w:tabs>
          <w:tab w:val="left" w:pos="142"/>
          <w:tab w:val="left" w:pos="284"/>
        </w:tabs>
        <w:spacing w:after="0" w:line="276" w:lineRule="auto"/>
        <w:jc w:val="both"/>
        <w:rPr>
          <w:rFonts w:ascii="Verdana" w:eastAsia="Century Gothic" w:hAnsi="Verdana" w:cs="Century Gothic"/>
          <w:b/>
          <w:bCs/>
          <w:lang w:val="es-ES"/>
        </w:rPr>
      </w:pPr>
      <w:r w:rsidRPr="00BA1003">
        <w:rPr>
          <w:rFonts w:ascii="Verdana" w:eastAsia="Calibri" w:hAnsi="Verdana" w:cs="Arial"/>
          <w:b/>
          <w:bCs/>
        </w:rPr>
        <w:t>5</w:t>
      </w:r>
      <w:r w:rsidRPr="00BA1003">
        <w:rPr>
          <w:rFonts w:ascii="Verdana" w:eastAsia="Calibri" w:hAnsi="Verdana" w:cs="Arial"/>
        </w:rPr>
        <w:t>.</w:t>
      </w:r>
      <w:r w:rsidRPr="00BA1003">
        <w:rPr>
          <w:rFonts w:ascii="Verdana" w:eastAsia="Century Gothic" w:hAnsi="Verdana" w:cs="Century Gothic"/>
          <w:b/>
          <w:bCs/>
          <w:lang w:val="es-ES"/>
        </w:rPr>
        <w:t>Doctrina de la Agencia Nacional de Contratación Pública:</w:t>
      </w:r>
    </w:p>
    <w:p w14:paraId="0D0C707A" w14:textId="77777777" w:rsidR="00BA1003" w:rsidRPr="00BA1003" w:rsidRDefault="00BA1003" w:rsidP="00BA1003">
      <w:pPr>
        <w:widowControl w:val="0"/>
        <w:autoSpaceDE w:val="0"/>
        <w:autoSpaceDN w:val="0"/>
        <w:spacing w:after="0" w:line="276" w:lineRule="auto"/>
        <w:jc w:val="both"/>
        <w:rPr>
          <w:rFonts w:ascii="Verdana" w:eastAsia="Calibri" w:hAnsi="Verdana" w:cs="Arial"/>
        </w:rPr>
      </w:pPr>
    </w:p>
    <w:p w14:paraId="3143A700" w14:textId="77777777" w:rsidR="00BA1003" w:rsidRPr="00BA1003" w:rsidRDefault="00BA1003" w:rsidP="00BA1003">
      <w:pPr>
        <w:spacing w:after="0" w:line="276" w:lineRule="auto"/>
        <w:jc w:val="both"/>
        <w:rPr>
          <w:rFonts w:ascii="Verdana" w:eastAsia="Calibri" w:hAnsi="Verdana" w:cs="Arial"/>
          <w:kern w:val="2"/>
          <w:shd w:val="clear" w:color="auto" w:fill="FFFFFF"/>
          <w:lang w:val="es-ES"/>
          <w14:ligatures w14:val="standardContextual"/>
        </w:rPr>
      </w:pPr>
      <w:r w:rsidRPr="00BA1003">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BA1003">
        <w:rPr>
          <w:rFonts w:ascii="Verdana" w:eastAsia="Calibri" w:hAnsi="Verdana" w:cs="Times New Roman"/>
          <w:kern w:val="2"/>
          <w14:ligatures w14:val="standardContextual"/>
        </w:rPr>
        <w:t xml:space="preserve"> </w:t>
      </w:r>
      <w:r w:rsidRPr="00BA1003">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BA1003">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0B6A8B10" w14:textId="77777777" w:rsidR="00BA1003" w:rsidRPr="00BA1003" w:rsidRDefault="00BA1003" w:rsidP="00BA1003">
      <w:pPr>
        <w:spacing w:after="0" w:line="276" w:lineRule="auto"/>
        <w:jc w:val="both"/>
        <w:rPr>
          <w:rFonts w:ascii="Verdana" w:eastAsia="Calibri" w:hAnsi="Verdana" w:cs="Arial"/>
          <w:kern w:val="2"/>
          <w:shd w:val="clear" w:color="auto" w:fill="FFFFFF"/>
          <w:lang w:val="es-ES"/>
          <w14:ligatures w14:val="standardContextual"/>
        </w:rPr>
      </w:pPr>
    </w:p>
    <w:p w14:paraId="1165930C" w14:textId="77777777" w:rsidR="00BA1003" w:rsidRPr="00BA1003" w:rsidRDefault="00BA1003" w:rsidP="00BA1003">
      <w:pPr>
        <w:spacing w:after="0" w:line="276" w:lineRule="auto"/>
        <w:jc w:val="both"/>
        <w:rPr>
          <w:rFonts w:ascii="Verdana" w:eastAsia="Calibri" w:hAnsi="Verdana" w:cs="Arial"/>
          <w:kern w:val="2"/>
          <w:shd w:val="clear" w:color="auto" w:fill="FFFFFF"/>
          <w:lang w:val="es-ES"/>
          <w14:ligatures w14:val="standardContextual"/>
        </w:rPr>
      </w:pPr>
      <w:r w:rsidRPr="00BA1003">
        <w:rPr>
          <w:rFonts w:ascii="Verdana" w:eastAsia="Calibri" w:hAnsi="Verdana" w:cs="Arial"/>
          <w:kern w:val="2"/>
          <w:shd w:val="clear" w:color="auto" w:fill="FFFFFF"/>
          <w:lang w:val="es-ES"/>
          <w14:ligatures w14:val="standardContextual"/>
        </w:rPr>
        <w:t xml:space="preserve">Así mismo, esta Subdirección se ha pronunciado sobre el objeto y las características del contrato de obra pública en los Conceptos 4201913000008014 del 24 de diciembre del año 2019, C-530 del 13 de agosto de 2020, C-038 del 5 de abril de 2021, C-110 del 7 de marzo de 2025 y C-915 del 15 de julio de 2025, entre </w:t>
      </w:r>
      <w:proofErr w:type="gramStart"/>
      <w:r w:rsidRPr="00BA1003">
        <w:rPr>
          <w:rFonts w:ascii="Verdana" w:eastAsia="Calibri" w:hAnsi="Verdana" w:cs="Arial"/>
          <w:kern w:val="2"/>
          <w:shd w:val="clear" w:color="auto" w:fill="FFFFFF"/>
          <w:lang w:val="es-ES"/>
          <w14:ligatures w14:val="standardContextual"/>
        </w:rPr>
        <w:t>otros .</w:t>
      </w:r>
      <w:proofErr w:type="gramEnd"/>
      <w:r w:rsidRPr="00BA1003">
        <w:rPr>
          <w:rFonts w:ascii="Verdana" w:eastAsia="Calibri" w:hAnsi="Verdana" w:cs="Arial"/>
          <w:kern w:val="2"/>
          <w:shd w:val="clear" w:color="auto" w:fill="FFFFFF"/>
          <w:lang w:val="es-ES"/>
          <w14:ligatures w14:val="standardContextual"/>
        </w:rPr>
        <w:t xml:space="preserve"> </w:t>
      </w:r>
    </w:p>
    <w:p w14:paraId="00C6E99D" w14:textId="77777777" w:rsidR="00BA1003" w:rsidRPr="00BA1003" w:rsidRDefault="00BA1003" w:rsidP="00BA1003">
      <w:pPr>
        <w:spacing w:after="0" w:line="240" w:lineRule="auto"/>
        <w:jc w:val="both"/>
        <w:rPr>
          <w:rFonts w:ascii="Verdana" w:eastAsia="Calibri" w:hAnsi="Verdana" w:cs="Arial"/>
          <w:color w:val="000000"/>
          <w:shd w:val="clear" w:color="auto" w:fill="FFFFFF"/>
        </w:rPr>
      </w:pPr>
    </w:p>
    <w:p w14:paraId="69FCCCA0" w14:textId="77777777" w:rsidR="00BA1003" w:rsidRPr="00BA1003" w:rsidRDefault="00BA1003" w:rsidP="00BA1003">
      <w:pPr>
        <w:widowControl w:val="0"/>
        <w:autoSpaceDE w:val="0"/>
        <w:autoSpaceDN w:val="0"/>
        <w:spacing w:after="0" w:line="276" w:lineRule="auto"/>
        <w:jc w:val="both"/>
        <w:rPr>
          <w:rFonts w:ascii="Verdana" w:eastAsia="Calibri" w:hAnsi="Verdana" w:cs="Arial"/>
          <w:color w:val="0000FF"/>
          <w:u w:val="single"/>
          <w:shd w:val="clear" w:color="auto" w:fill="FFFFFF"/>
        </w:rPr>
      </w:pPr>
      <w:r w:rsidRPr="00BA1003">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w:t>
      </w:r>
      <w:r w:rsidRPr="00BA1003">
        <w:rPr>
          <w:rFonts w:ascii="Verdana" w:eastAsia="Calibri" w:hAnsi="Verdana" w:cs="Arial"/>
          <w:color w:val="000000"/>
          <w:shd w:val="clear" w:color="auto" w:fill="FFFFFF"/>
        </w:rPr>
        <w:lastRenderedPageBreak/>
        <w:t>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BA1003">
          <w:rPr>
            <w:rFonts w:ascii="Verdana" w:eastAsia="Calibri" w:hAnsi="Verdana" w:cs="Arial"/>
            <w:color w:val="0000FF"/>
            <w:u w:val="single"/>
            <w:shd w:val="clear" w:color="auto" w:fill="FFFFFF"/>
          </w:rPr>
          <w:t>https://relatoria.colombiacompra.gov.co/</w:t>
        </w:r>
      </w:hyperlink>
      <w:r w:rsidRPr="00BA1003">
        <w:rPr>
          <w:rFonts w:ascii="Verdana" w:eastAsia="Calibri" w:hAnsi="Verdana" w:cs="Arial"/>
          <w:color w:val="0000FF"/>
          <w:u w:val="single"/>
          <w:shd w:val="clear" w:color="auto" w:fill="FFFFFF"/>
        </w:rPr>
        <w:t> .</w:t>
      </w:r>
    </w:p>
    <w:p w14:paraId="224316DB" w14:textId="77777777" w:rsidR="00BA1003" w:rsidRPr="00BA1003" w:rsidRDefault="00BA1003" w:rsidP="00BA1003">
      <w:pPr>
        <w:widowControl w:val="0"/>
        <w:autoSpaceDE w:val="0"/>
        <w:autoSpaceDN w:val="0"/>
        <w:spacing w:after="0" w:line="276" w:lineRule="auto"/>
        <w:jc w:val="both"/>
        <w:rPr>
          <w:rFonts w:ascii="Verdana" w:eastAsia="Calibri" w:hAnsi="Verdana" w:cs="Arial"/>
          <w:color w:val="0000FF"/>
          <w:u w:val="single"/>
          <w:shd w:val="clear" w:color="auto" w:fill="FFFFFF"/>
        </w:rPr>
      </w:pPr>
    </w:p>
    <w:p w14:paraId="02D090C0" w14:textId="77777777" w:rsidR="00BA1003" w:rsidRPr="00BA1003" w:rsidRDefault="00BA1003" w:rsidP="00BA1003">
      <w:pPr>
        <w:spacing w:after="0" w:line="276" w:lineRule="auto"/>
        <w:jc w:val="both"/>
        <w:rPr>
          <w:rFonts w:ascii="Verdana" w:eastAsia="Aptos" w:hAnsi="Verdana" w:cs="Arial"/>
          <w:kern w:val="2"/>
          <w14:ligatures w14:val="standardContextual"/>
        </w:rPr>
      </w:pPr>
      <w:r w:rsidRPr="00BA1003">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BA1003">
        <w:rPr>
          <w:rFonts w:ascii="Verdana" w:eastAsia="Aptos" w:hAnsi="Verdana" w:cs="Arial"/>
          <w:b/>
          <w:bCs/>
          <w:kern w:val="2"/>
          <w14:ligatures w14:val="standardContextual"/>
        </w:rPr>
        <w:t>Curso de Contratación Pública Sostenible y Socialmente Responsable</w:t>
      </w:r>
      <w:r w:rsidRPr="00BA1003">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BA1003">
        <w:rPr>
          <w:rFonts w:ascii="Verdana" w:eastAsia="Aptos" w:hAnsi="Verdana" w:cs="Arial"/>
          <w:kern w:val="2"/>
          <w14:ligatures w14:val="standardContextual"/>
        </w:rPr>
        <w:br/>
      </w:r>
      <w:hyperlink r:id="rId13" w:tgtFrame="_new" w:history="1">
        <w:r w:rsidRPr="00BA1003">
          <w:rPr>
            <w:rFonts w:ascii="Verdana" w:eastAsia="Aptos" w:hAnsi="Verdana" w:cs="Arial"/>
            <w:color w:val="0000FF"/>
            <w:kern w:val="2"/>
            <w:u w:val="single"/>
            <w14:ligatures w14:val="standardContextual"/>
          </w:rPr>
          <w:t>https://formacionvirtual.colombiacompra.gov.co/mod/page/view.php?id=3718</w:t>
        </w:r>
      </w:hyperlink>
    </w:p>
    <w:p w14:paraId="164DCA47" w14:textId="77777777" w:rsidR="00BA1003" w:rsidRPr="00BA1003" w:rsidRDefault="00BA1003" w:rsidP="00BA1003">
      <w:pPr>
        <w:spacing w:after="0" w:line="276" w:lineRule="auto"/>
        <w:jc w:val="both"/>
        <w:rPr>
          <w:rFonts w:ascii="Verdana" w:eastAsia="Aptos" w:hAnsi="Verdana" w:cs="Arial"/>
          <w:kern w:val="2"/>
          <w14:ligatures w14:val="standardContextual"/>
        </w:rPr>
      </w:pPr>
      <w:r w:rsidRPr="00BA1003">
        <w:rPr>
          <w:rFonts w:ascii="Verdana" w:eastAsia="Aptos" w:hAnsi="Verdana" w:cs="Arial"/>
          <w:kern w:val="2"/>
          <w14:ligatures w14:val="standardContextual"/>
        </w:rPr>
        <w:t xml:space="preserve">De otro lado, te contamos que esta Agencia ha da un paso decisivo en la estandarización y modernización del </w:t>
      </w:r>
      <w:r w:rsidRPr="00BA1003">
        <w:rPr>
          <w:rFonts w:ascii="Verdana" w:eastAsia="Aptos" w:hAnsi="Verdana" w:cs="Arial"/>
          <w:b/>
          <w:bCs/>
          <w:kern w:val="2"/>
          <w14:ligatures w14:val="standardContextual"/>
        </w:rPr>
        <w:t>sector  social</w:t>
      </w:r>
      <w:r w:rsidRPr="00BA1003">
        <w:rPr>
          <w:rFonts w:ascii="Verdana" w:eastAsia="Aptos" w:hAnsi="Verdana" w:cs="Arial"/>
          <w:kern w:val="2"/>
          <w14:ligatures w14:val="standardContextual"/>
        </w:rPr>
        <w:t xml:space="preserve"> con la expedición de las </w:t>
      </w:r>
      <w:r w:rsidRPr="00BA1003">
        <w:rPr>
          <w:rFonts w:ascii="Verdana" w:eastAsia="Aptos" w:hAnsi="Verdana" w:cs="Arial"/>
          <w:b/>
          <w:bCs/>
          <w:kern w:val="2"/>
          <w14:ligatures w14:val="standardContextual"/>
        </w:rPr>
        <w:t>Resoluciones 539, 540, 541, 952 y 953 de 2025</w:t>
      </w:r>
      <w:r w:rsidRPr="00BA1003">
        <w:rPr>
          <w:rFonts w:ascii="Verdana" w:eastAsia="Aptos" w:hAnsi="Verdana" w:cs="Arial"/>
          <w:kern w:val="2"/>
          <w14:ligatures w14:val="standardContextual"/>
        </w:rPr>
        <w:t xml:space="preserve">, </w:t>
      </w:r>
      <w:r w:rsidRPr="00BA1003">
        <w:rPr>
          <w:rFonts w:ascii="Verdana" w:eastAsia="Aptos" w:hAnsi="Verdana" w:cs="Arial"/>
          <w:b/>
          <w:bCs/>
          <w:kern w:val="2"/>
          <w14:ligatures w14:val="standardContextual"/>
        </w:rPr>
        <w:t>mediante las cuales adoptó Documentos Tipo</w:t>
      </w:r>
      <w:r w:rsidRPr="00BA1003">
        <w:rPr>
          <w:rFonts w:ascii="Verdana" w:eastAsia="Aptos" w:hAnsi="Verdana" w:cs="Arial"/>
          <w:kern w:val="2"/>
          <w14:ligatures w14:val="standardContextual"/>
        </w:rPr>
        <w:t xml:space="preserve"> para las modalidades de selección de</w:t>
      </w:r>
      <w:r w:rsidRPr="00BA1003">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BA1003">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BA1003">
          <w:rPr>
            <w:rFonts w:ascii="Verdana" w:eastAsia="Aptos" w:hAnsi="Verdana" w:cs="Arial"/>
            <w:color w:val="0000FF"/>
            <w:kern w:val="2"/>
            <w:u w:val="single"/>
            <w14:ligatures w14:val="standardContextual"/>
          </w:rPr>
          <w:t>https://www.colombiacompra.gov.co/normativa-y-relatoria/documentos-tipo</w:t>
        </w:r>
      </w:hyperlink>
    </w:p>
    <w:p w14:paraId="4155C5EF" w14:textId="77777777" w:rsidR="00BA1003" w:rsidRPr="00BA1003" w:rsidRDefault="00BA1003" w:rsidP="00BA1003">
      <w:pPr>
        <w:spacing w:after="0" w:line="276" w:lineRule="auto"/>
        <w:jc w:val="both"/>
        <w:rPr>
          <w:rFonts w:ascii="Verdana" w:eastAsia="Aptos" w:hAnsi="Verdana" w:cs="Arial"/>
          <w:kern w:val="2"/>
          <w14:ligatures w14:val="standardContextual"/>
        </w:rPr>
      </w:pPr>
    </w:p>
    <w:p w14:paraId="12973EE3" w14:textId="77777777" w:rsidR="00BA1003" w:rsidRPr="00BA1003" w:rsidRDefault="00BA1003" w:rsidP="00BA1003">
      <w:pPr>
        <w:spacing w:after="0" w:line="276" w:lineRule="auto"/>
        <w:jc w:val="both"/>
        <w:rPr>
          <w:rFonts w:ascii="Verdana" w:eastAsia="Aptos" w:hAnsi="Verdana" w:cs="Arial"/>
          <w:kern w:val="2"/>
          <w14:ligatures w14:val="standardContextual"/>
        </w:rPr>
      </w:pPr>
      <w:r w:rsidRPr="00BA1003">
        <w:rPr>
          <w:rFonts w:ascii="Verdana" w:eastAsia="Aptos" w:hAnsi="Verdana" w:cs="Arial"/>
          <w:kern w:val="2"/>
          <w14:ligatures w14:val="standardContextual"/>
        </w:rPr>
        <w:t xml:space="preserve">Si quieres conocer más sobre la aplicación de Documentos Tipo puedes consultar la última versión de la </w:t>
      </w:r>
      <w:r w:rsidRPr="00BA1003">
        <w:rPr>
          <w:rFonts w:ascii="Verdana" w:eastAsia="Aptos" w:hAnsi="Verdana" w:cs="Arial"/>
          <w:b/>
          <w:bCs/>
          <w:kern w:val="2"/>
          <w14:ligatures w14:val="standardContextual"/>
        </w:rPr>
        <w:t>Guía para la comprensión e implementación de los Documentos Tipo de obra pública de infraestructura de transporte</w:t>
      </w:r>
      <w:r w:rsidRPr="00BA1003">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A1003">
        <w:rPr>
          <w:rFonts w:ascii="Verdana" w:eastAsia="Aptos" w:hAnsi="Verdana" w:cs="Arial"/>
          <w:kern w:val="2"/>
          <w14:ligatures w14:val="standardContextual"/>
        </w:rPr>
        <w:br/>
      </w:r>
      <w:hyperlink r:id="rId15" w:tgtFrame="_new" w:history="1">
        <w:r w:rsidRPr="00BA1003">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4F5454DE" w14:textId="77777777" w:rsidR="00BA1003" w:rsidRPr="00BA1003" w:rsidRDefault="00BA1003" w:rsidP="00BA1003">
      <w:pPr>
        <w:spacing w:after="0"/>
        <w:jc w:val="both"/>
        <w:rPr>
          <w:rFonts w:ascii="Verdana" w:eastAsia="Aptos" w:hAnsi="Verdana" w:cs="Times New Roman"/>
          <w:color w:val="212121"/>
        </w:rPr>
      </w:pPr>
    </w:p>
    <w:p w14:paraId="7148B0A5" w14:textId="77777777" w:rsidR="00BA1003" w:rsidRPr="00BA1003" w:rsidRDefault="00BA1003" w:rsidP="00BA1003">
      <w:pPr>
        <w:spacing w:after="0" w:line="240" w:lineRule="auto"/>
        <w:jc w:val="both"/>
        <w:rPr>
          <w:rFonts w:ascii="Verdana" w:eastAsia="Calibri" w:hAnsi="Verdana" w:cs="Times New Roman"/>
        </w:rPr>
      </w:pPr>
      <w:r w:rsidRPr="00BA1003">
        <w:rPr>
          <w:rFonts w:ascii="Verdana" w:eastAsia="Aptos" w:hAnsi="Verdana" w:cs="Times New Roman"/>
        </w:rPr>
        <w:lastRenderedPageBreak/>
        <w:t xml:space="preserve">Por último, lo invitamos a seguirnos en las redes sociales en las cuales se difunde información institucional: </w:t>
      </w:r>
    </w:p>
    <w:p w14:paraId="0CADAEA5" w14:textId="77777777" w:rsidR="00BA1003" w:rsidRPr="00BA1003" w:rsidRDefault="00BA1003" w:rsidP="00BA1003">
      <w:pPr>
        <w:spacing w:after="0" w:line="240" w:lineRule="auto"/>
        <w:jc w:val="both"/>
        <w:rPr>
          <w:rFonts w:ascii="Verdana" w:eastAsia="Aptos" w:hAnsi="Verdana" w:cs="Times New Roman"/>
        </w:rPr>
      </w:pPr>
    </w:p>
    <w:p w14:paraId="7E11976D" w14:textId="77777777" w:rsidR="00BA1003" w:rsidRPr="00BA1003" w:rsidRDefault="00BA1003" w:rsidP="00BA1003">
      <w:pPr>
        <w:spacing w:after="0" w:line="240" w:lineRule="auto"/>
        <w:jc w:val="both"/>
        <w:rPr>
          <w:rFonts w:ascii="Verdana" w:eastAsia="Aptos" w:hAnsi="Verdana" w:cs="Times New Roman"/>
        </w:rPr>
      </w:pPr>
      <w:r w:rsidRPr="00BA1003">
        <w:rPr>
          <w:rFonts w:ascii="Verdana" w:eastAsia="Aptos" w:hAnsi="Verdana" w:cs="Times New Roman"/>
        </w:rPr>
        <w:t xml:space="preserve">Twitter: </w:t>
      </w:r>
      <w:r w:rsidRPr="00BA1003">
        <w:rPr>
          <w:rFonts w:ascii="Verdana" w:eastAsia="Calibri" w:hAnsi="Verdana" w:cs="Times New Roman"/>
          <w:color w:val="156082"/>
          <w:u w:val="single"/>
        </w:rPr>
        <w:t>@colombiacompra</w:t>
      </w:r>
      <w:r w:rsidRPr="00BA1003">
        <w:rPr>
          <w:rFonts w:ascii="Verdana" w:eastAsia="Calibri" w:hAnsi="Verdana" w:cs="Times New Roman"/>
          <w:color w:val="156082"/>
        </w:rPr>
        <w:t xml:space="preserve"> </w:t>
      </w:r>
    </w:p>
    <w:p w14:paraId="03EB263D" w14:textId="77777777" w:rsidR="00BA1003" w:rsidRPr="00BA1003" w:rsidRDefault="00BA1003" w:rsidP="00BA1003">
      <w:pPr>
        <w:spacing w:after="0" w:line="240" w:lineRule="auto"/>
        <w:jc w:val="both"/>
        <w:rPr>
          <w:rFonts w:ascii="Verdana" w:eastAsia="Aptos" w:hAnsi="Verdana" w:cs="Times New Roman"/>
        </w:rPr>
      </w:pPr>
      <w:r w:rsidRPr="00BA1003">
        <w:rPr>
          <w:rFonts w:ascii="Verdana" w:eastAsia="Aptos" w:hAnsi="Verdana" w:cs="Times New Roman"/>
        </w:rPr>
        <w:t xml:space="preserve">Facebook: </w:t>
      </w:r>
      <w:proofErr w:type="spellStart"/>
      <w:r w:rsidRPr="00BA1003">
        <w:rPr>
          <w:rFonts w:ascii="Verdana" w:eastAsia="Calibri" w:hAnsi="Verdana" w:cs="Times New Roman"/>
          <w:color w:val="156082"/>
          <w:u w:val="single"/>
        </w:rPr>
        <w:t>ColombiaCompraEficiente</w:t>
      </w:r>
      <w:proofErr w:type="spellEnd"/>
    </w:p>
    <w:p w14:paraId="6F26AC60" w14:textId="77777777" w:rsidR="00BA1003" w:rsidRPr="00BA1003" w:rsidRDefault="00BA1003" w:rsidP="00BA1003">
      <w:pPr>
        <w:spacing w:after="0" w:line="240" w:lineRule="auto"/>
        <w:jc w:val="both"/>
        <w:rPr>
          <w:rFonts w:ascii="Verdana" w:eastAsia="Aptos" w:hAnsi="Verdana" w:cs="Times New Roman"/>
        </w:rPr>
      </w:pPr>
      <w:r w:rsidRPr="00BA1003">
        <w:rPr>
          <w:rFonts w:ascii="Verdana" w:eastAsia="Aptos" w:hAnsi="Verdana" w:cs="Times New Roman"/>
        </w:rPr>
        <w:t xml:space="preserve">LinkedIn: </w:t>
      </w:r>
      <w:r w:rsidRPr="00BA1003">
        <w:rPr>
          <w:rFonts w:ascii="Verdana" w:eastAsia="Calibri" w:hAnsi="Verdana" w:cs="Times New Roman"/>
          <w:color w:val="156082"/>
          <w:u w:val="single"/>
        </w:rPr>
        <w:t>Agencia Nacional de Contratación Pública - Colombia Compra Eficiente</w:t>
      </w:r>
      <w:r w:rsidRPr="00BA1003">
        <w:rPr>
          <w:rFonts w:ascii="Verdana" w:eastAsia="Calibri" w:hAnsi="Verdana" w:cs="Times New Roman"/>
          <w:color w:val="156082"/>
        </w:rPr>
        <w:t xml:space="preserve"> </w:t>
      </w:r>
      <w:r w:rsidRPr="00BA1003">
        <w:rPr>
          <w:rFonts w:ascii="Verdana" w:eastAsia="Aptos" w:hAnsi="Verdana" w:cs="Times New Roman"/>
        </w:rPr>
        <w:t xml:space="preserve">Instagram: </w:t>
      </w:r>
      <w:r w:rsidRPr="00BA1003">
        <w:rPr>
          <w:rFonts w:ascii="Verdana" w:eastAsia="Calibri" w:hAnsi="Verdana" w:cs="Times New Roman"/>
          <w:color w:val="156082"/>
          <w:u w:val="single"/>
        </w:rPr>
        <w:t>@colombiacompraeficiente_cce</w:t>
      </w:r>
    </w:p>
    <w:p w14:paraId="39AFE440" w14:textId="77777777" w:rsidR="00BA1003" w:rsidRPr="00BA1003" w:rsidRDefault="00BA1003" w:rsidP="00BA1003">
      <w:pPr>
        <w:spacing w:after="0" w:line="276" w:lineRule="auto"/>
        <w:jc w:val="both"/>
        <w:rPr>
          <w:rFonts w:ascii="Verdana" w:eastAsia="Aptos" w:hAnsi="Verdana" w:cs="Times New Roman"/>
        </w:rPr>
      </w:pPr>
    </w:p>
    <w:p w14:paraId="2BD42B04" w14:textId="77777777" w:rsidR="00BA1003" w:rsidRPr="00BA1003" w:rsidRDefault="00BA1003" w:rsidP="00BA1003">
      <w:pPr>
        <w:spacing w:after="0" w:line="276" w:lineRule="auto"/>
        <w:jc w:val="both"/>
        <w:rPr>
          <w:rFonts w:ascii="Verdana" w:eastAsia="Calibri" w:hAnsi="Verdana" w:cs="Times New Roman"/>
          <w:bCs/>
          <w:lang w:val="es-ES_tradnl"/>
        </w:rPr>
      </w:pPr>
      <w:r w:rsidRPr="00BA100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5830209" w14:textId="77777777" w:rsidR="00BA1003" w:rsidRPr="00BA1003" w:rsidRDefault="00BA1003" w:rsidP="00BA1003">
      <w:pPr>
        <w:spacing w:after="0" w:line="276" w:lineRule="auto"/>
        <w:jc w:val="both"/>
        <w:rPr>
          <w:rFonts w:ascii="Verdana" w:eastAsia="Calibri" w:hAnsi="Verdana" w:cs="Times New Roman"/>
        </w:rPr>
      </w:pPr>
    </w:p>
    <w:p w14:paraId="0DF1D4FC" w14:textId="77777777" w:rsidR="00BA1003" w:rsidRPr="00BA1003" w:rsidRDefault="00BA1003" w:rsidP="00BA1003">
      <w:pPr>
        <w:spacing w:after="0" w:line="276" w:lineRule="auto"/>
        <w:jc w:val="both"/>
        <w:rPr>
          <w:rFonts w:ascii="Verdana" w:eastAsia="Calibri" w:hAnsi="Verdana" w:cs="Times New Roman"/>
        </w:rPr>
      </w:pPr>
      <w:r w:rsidRPr="00BA1003">
        <w:rPr>
          <w:rFonts w:ascii="Verdana" w:eastAsia="Calibri" w:hAnsi="Verdana" w:cs="Times New Roman"/>
        </w:rPr>
        <w:t>Atentamente,</w:t>
      </w:r>
    </w:p>
    <w:p w14:paraId="1184867D" w14:textId="27A20DC0" w:rsidR="00BA1003" w:rsidRPr="00BA1003" w:rsidRDefault="004C5C3E" w:rsidP="00BA1003">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0EF63740" wp14:editId="16B24415">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BA1003" w:rsidRPr="00BA1003" w14:paraId="488C3E3F" w14:textId="77777777" w:rsidTr="64628636">
        <w:trPr>
          <w:trHeight w:val="323"/>
        </w:trPr>
        <w:tc>
          <w:tcPr>
            <w:tcW w:w="1041" w:type="dxa"/>
            <w:vAlign w:val="center"/>
            <w:hideMark/>
          </w:tcPr>
          <w:p w14:paraId="24283311" w14:textId="77777777" w:rsidR="00BA1003" w:rsidRPr="00BA1003" w:rsidRDefault="00BA1003" w:rsidP="00BA1003">
            <w:pPr>
              <w:rPr>
                <w:rFonts w:ascii="Verdana" w:eastAsia="Calibri" w:hAnsi="Verdana" w:cs="Arial"/>
                <w:sz w:val="16"/>
                <w:szCs w:val="16"/>
                <w:lang w:val="es-ES_tradnl" w:eastAsia="es-ES"/>
              </w:rPr>
            </w:pPr>
            <w:r w:rsidRPr="00BA1003">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353BDBDB" w14:textId="77777777" w:rsidR="00BA1003" w:rsidRPr="00BA1003" w:rsidRDefault="00BA1003" w:rsidP="00BA1003">
            <w:pPr>
              <w:rPr>
                <w:rFonts w:ascii="Verdana" w:eastAsia="Arial" w:hAnsi="Verdana" w:cs="Arial"/>
                <w:sz w:val="16"/>
                <w:szCs w:val="16"/>
                <w:lang w:val="es-ES"/>
              </w:rPr>
            </w:pPr>
            <w:r w:rsidRPr="00BA1003">
              <w:rPr>
                <w:rFonts w:ascii="Verdana" w:eastAsia="Arial" w:hAnsi="Verdana" w:cs="Arial"/>
                <w:sz w:val="16"/>
                <w:szCs w:val="16"/>
                <w:lang w:val="es-ES"/>
              </w:rPr>
              <w:t xml:space="preserve">Carlos Mario Castrillón Endo </w:t>
            </w:r>
          </w:p>
          <w:p w14:paraId="546E41BD" w14:textId="77777777" w:rsidR="00BA1003" w:rsidRPr="00BA1003" w:rsidRDefault="00BA1003" w:rsidP="00BA1003">
            <w:pPr>
              <w:rPr>
                <w:rFonts w:ascii="Verdana" w:eastAsia="Arial" w:hAnsi="Verdana" w:cs="Arial"/>
                <w:sz w:val="16"/>
                <w:szCs w:val="16"/>
                <w:lang w:val="es-ES_tradnl"/>
              </w:rPr>
            </w:pPr>
            <w:r w:rsidRPr="00BA1003">
              <w:rPr>
                <w:rFonts w:ascii="Verdana" w:eastAsia="Arial" w:hAnsi="Verdana" w:cs="Arial"/>
                <w:sz w:val="16"/>
                <w:szCs w:val="16"/>
                <w:lang w:val="es-ES_tradnl"/>
              </w:rPr>
              <w:t>Contratista de la Subdirección de Gestión Contractual</w:t>
            </w:r>
          </w:p>
          <w:p w14:paraId="24DCE00E" w14:textId="77777777" w:rsidR="00BA1003" w:rsidRPr="00BA1003" w:rsidRDefault="00BA1003" w:rsidP="00BA1003">
            <w:pPr>
              <w:rPr>
                <w:rFonts w:ascii="Verdana" w:eastAsia="Arial" w:hAnsi="Verdana" w:cs="Arial"/>
                <w:sz w:val="16"/>
                <w:szCs w:val="16"/>
                <w:lang w:val="es-ES_tradnl"/>
              </w:rPr>
            </w:pPr>
          </w:p>
        </w:tc>
      </w:tr>
      <w:tr w:rsidR="00BA1003" w:rsidRPr="00BA1003" w14:paraId="056152FA" w14:textId="77777777" w:rsidTr="64628636">
        <w:trPr>
          <w:trHeight w:val="338"/>
        </w:trPr>
        <w:tc>
          <w:tcPr>
            <w:tcW w:w="1041" w:type="dxa"/>
            <w:vAlign w:val="center"/>
            <w:hideMark/>
          </w:tcPr>
          <w:p w14:paraId="473CC377" w14:textId="77777777" w:rsidR="00BA1003" w:rsidRPr="00BA1003" w:rsidRDefault="00BA1003" w:rsidP="00BA1003">
            <w:pPr>
              <w:rPr>
                <w:rFonts w:ascii="Verdana" w:eastAsia="Calibri" w:hAnsi="Verdana" w:cs="Arial"/>
                <w:sz w:val="16"/>
                <w:szCs w:val="16"/>
                <w:lang w:val="es-ES_tradnl" w:eastAsia="es-ES"/>
              </w:rPr>
            </w:pPr>
            <w:r w:rsidRPr="00BA1003">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01237823" w14:textId="77777777" w:rsidR="00BA1003" w:rsidRPr="00BA1003" w:rsidRDefault="00BA1003" w:rsidP="64628636">
            <w:pPr>
              <w:rPr>
                <w:rFonts w:ascii="Verdana" w:eastAsia="Arial" w:hAnsi="Verdana" w:cs="Arial"/>
                <w:sz w:val="16"/>
                <w:szCs w:val="16"/>
                <w:lang w:val="es-ES"/>
              </w:rPr>
            </w:pPr>
            <w:r w:rsidRPr="64628636">
              <w:rPr>
                <w:rFonts w:ascii="Verdana" w:eastAsia="Arial" w:hAnsi="Verdana" w:cs="Arial"/>
                <w:sz w:val="16"/>
                <w:szCs w:val="16"/>
                <w:lang w:val="es-ES"/>
              </w:rPr>
              <w:t xml:space="preserve">Lida Milena </w:t>
            </w:r>
            <w:proofErr w:type="spellStart"/>
            <w:r w:rsidRPr="64628636">
              <w:rPr>
                <w:rFonts w:ascii="Verdana" w:eastAsia="Arial" w:hAnsi="Verdana" w:cs="Arial"/>
                <w:sz w:val="16"/>
                <w:szCs w:val="16"/>
                <w:lang w:val="es-ES"/>
              </w:rPr>
              <w:t>Guanumen</w:t>
            </w:r>
            <w:proofErr w:type="spellEnd"/>
            <w:r w:rsidRPr="64628636">
              <w:rPr>
                <w:rFonts w:ascii="Verdana" w:eastAsia="Arial" w:hAnsi="Verdana" w:cs="Arial"/>
                <w:sz w:val="16"/>
                <w:szCs w:val="16"/>
                <w:lang w:val="es-ES"/>
              </w:rPr>
              <w:t xml:space="preserve"> Pacheco</w:t>
            </w:r>
          </w:p>
          <w:p w14:paraId="48C48A44" w14:textId="77777777" w:rsidR="00BA1003" w:rsidRPr="00BA1003" w:rsidRDefault="00BA1003" w:rsidP="00BA1003">
            <w:pPr>
              <w:rPr>
                <w:rFonts w:ascii="Verdana" w:eastAsia="Arial" w:hAnsi="Verdana" w:cs="Arial"/>
                <w:sz w:val="16"/>
                <w:szCs w:val="16"/>
                <w:lang w:val="es-ES"/>
              </w:rPr>
            </w:pPr>
            <w:r w:rsidRPr="00BA1003">
              <w:rPr>
                <w:rFonts w:ascii="Verdana" w:eastAsia="Arial" w:hAnsi="Verdana" w:cs="Arial"/>
                <w:sz w:val="16"/>
                <w:szCs w:val="16"/>
                <w:lang w:val="es-ES_tradnl"/>
              </w:rPr>
              <w:t>Contratista de la Subdirección de Gestión Contractual</w:t>
            </w:r>
          </w:p>
          <w:p w14:paraId="36F92B58" w14:textId="77777777" w:rsidR="00BA1003" w:rsidRPr="00BA1003" w:rsidRDefault="00BA1003" w:rsidP="00BA1003">
            <w:pPr>
              <w:rPr>
                <w:rFonts w:ascii="Verdana" w:eastAsia="Arial" w:hAnsi="Verdana" w:cs="Arial"/>
                <w:sz w:val="16"/>
                <w:szCs w:val="16"/>
                <w:lang w:val="es-ES"/>
              </w:rPr>
            </w:pPr>
            <w:r w:rsidRPr="00BA1003">
              <w:rPr>
                <w:rFonts w:ascii="Verdana" w:eastAsia="Arial" w:hAnsi="Verdana" w:cs="Arial"/>
                <w:sz w:val="16"/>
                <w:szCs w:val="16"/>
                <w:lang w:val="es-ES"/>
              </w:rPr>
              <w:t xml:space="preserve">Adriana Katherine López Rodríguez </w:t>
            </w:r>
          </w:p>
          <w:p w14:paraId="1000AFB4" w14:textId="77777777" w:rsidR="00BA1003" w:rsidRPr="00BA1003" w:rsidRDefault="00BA1003" w:rsidP="00BA1003">
            <w:pPr>
              <w:rPr>
                <w:rFonts w:ascii="Verdana" w:eastAsia="Arial" w:hAnsi="Verdana" w:cs="Arial"/>
                <w:sz w:val="16"/>
                <w:szCs w:val="16"/>
                <w:lang w:val="es-ES_tradnl"/>
              </w:rPr>
            </w:pPr>
            <w:r w:rsidRPr="00BA1003">
              <w:rPr>
                <w:rFonts w:ascii="Verdana" w:eastAsia="Arial" w:hAnsi="Verdana" w:cs="Arial"/>
                <w:sz w:val="16"/>
                <w:szCs w:val="16"/>
                <w:lang w:val="es-ES_tradnl"/>
              </w:rPr>
              <w:t>Contratista de la Subdirección de Gestión Contractual</w:t>
            </w:r>
          </w:p>
        </w:tc>
      </w:tr>
      <w:tr w:rsidR="00BA1003" w:rsidRPr="00BA1003" w14:paraId="7A626309" w14:textId="77777777" w:rsidTr="64628636">
        <w:trPr>
          <w:trHeight w:val="308"/>
        </w:trPr>
        <w:tc>
          <w:tcPr>
            <w:tcW w:w="1041" w:type="dxa"/>
            <w:vAlign w:val="center"/>
          </w:tcPr>
          <w:p w14:paraId="01B8F859" w14:textId="77777777" w:rsidR="00BA1003" w:rsidRPr="00BA1003" w:rsidRDefault="00BA1003" w:rsidP="00BA1003">
            <w:pPr>
              <w:rPr>
                <w:rFonts w:ascii="Verdana" w:eastAsia="Calibri" w:hAnsi="Verdana" w:cs="Arial"/>
                <w:sz w:val="16"/>
                <w:szCs w:val="16"/>
                <w:lang w:val="es-ES_tradnl" w:eastAsia="es-ES"/>
              </w:rPr>
            </w:pPr>
            <w:r w:rsidRPr="00BA1003">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301C124D" w14:textId="77777777" w:rsidR="00BA1003" w:rsidRPr="00BA1003" w:rsidRDefault="00BA1003" w:rsidP="00BA1003">
            <w:pPr>
              <w:rPr>
                <w:rFonts w:ascii="Verdana" w:eastAsia="Calibri" w:hAnsi="Verdana" w:cs="Arial"/>
                <w:sz w:val="16"/>
                <w:szCs w:val="16"/>
                <w:lang w:val="es-ES" w:eastAsia="es-ES"/>
              </w:rPr>
            </w:pPr>
            <w:r w:rsidRPr="00BA1003">
              <w:rPr>
                <w:rFonts w:ascii="Verdana" w:eastAsia="Calibri" w:hAnsi="Verdana" w:cs="Arial"/>
                <w:sz w:val="16"/>
                <w:szCs w:val="16"/>
                <w:lang w:val="es-ES" w:eastAsia="es-ES"/>
              </w:rPr>
              <w:t>Carolina Quintero Gacharná</w:t>
            </w:r>
          </w:p>
          <w:p w14:paraId="3FF6CEA5" w14:textId="77777777" w:rsidR="00BA1003" w:rsidRPr="00BA1003" w:rsidRDefault="00BA1003" w:rsidP="00BA1003">
            <w:pPr>
              <w:rPr>
                <w:rFonts w:ascii="Verdana" w:eastAsia="Calibri" w:hAnsi="Verdana" w:cs="Arial"/>
                <w:sz w:val="16"/>
                <w:szCs w:val="16"/>
                <w:lang w:val="es-ES_tradnl" w:eastAsia="es-ES"/>
              </w:rPr>
            </w:pPr>
            <w:r w:rsidRPr="00BA1003">
              <w:rPr>
                <w:rFonts w:ascii="Verdana" w:eastAsia="Calibri" w:hAnsi="Verdana" w:cs="Arial"/>
                <w:sz w:val="16"/>
                <w:szCs w:val="16"/>
                <w:lang w:val="es-ES_tradnl" w:eastAsia="es-ES"/>
              </w:rPr>
              <w:t>Subdirectora de Gestión Contractual ANCP – CCE</w:t>
            </w:r>
          </w:p>
        </w:tc>
      </w:tr>
    </w:tbl>
    <w:p w14:paraId="2B7E3AF8" w14:textId="77777777" w:rsidR="00BA1003" w:rsidRPr="00BA1003" w:rsidRDefault="00BA1003" w:rsidP="00BA1003">
      <w:pPr>
        <w:rPr>
          <w:rFonts w:ascii="Calibri" w:eastAsia="Calibri" w:hAnsi="Calibri" w:cs="Times New Roman"/>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4F51AA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D65AB" w14:textId="77777777" w:rsidR="00AD20C9" w:rsidRDefault="00AD20C9" w:rsidP="004A1847">
      <w:pPr>
        <w:spacing w:after="0" w:line="240" w:lineRule="auto"/>
      </w:pPr>
      <w:r>
        <w:separator/>
      </w:r>
    </w:p>
  </w:endnote>
  <w:endnote w:type="continuationSeparator" w:id="0">
    <w:p w14:paraId="041CC597" w14:textId="77777777" w:rsidR="00AD20C9" w:rsidRDefault="00AD20C9" w:rsidP="004A1847">
      <w:pPr>
        <w:spacing w:after="0" w:line="240" w:lineRule="auto"/>
      </w:pPr>
      <w:r>
        <w:continuationSeparator/>
      </w:r>
    </w:p>
  </w:endnote>
  <w:endnote w:type="continuationNotice" w:id="1">
    <w:p w14:paraId="27D94647" w14:textId="77777777" w:rsidR="00AD20C9" w:rsidRDefault="00AD20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956CC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956CC8">
      <w:rPr>
        <w:rFonts w:ascii="Verdana" w:eastAsia="Verdana" w:hAnsi="Verdana" w:cs="Verdana"/>
        <w:b/>
        <w:bCs/>
        <w:color w:val="000000"/>
        <w:sz w:val="18"/>
        <w:szCs w:val="18"/>
        <w:lang w:val="pt-BR" w:eastAsia="es-CO"/>
      </w:rPr>
      <w:t xml:space="preserve">Código: </w:t>
    </w:r>
    <w:r w:rsidRPr="00956CC8">
      <w:rPr>
        <w:rFonts w:ascii="Verdana" w:eastAsia="Verdana" w:hAnsi="Verdana" w:cs="Verdana"/>
        <w:color w:val="000000"/>
        <w:sz w:val="18"/>
        <w:szCs w:val="18"/>
        <w:lang w:val="pt-BR" w:eastAsia="es-CO"/>
      </w:rPr>
      <w:t xml:space="preserve">CCE-REC-FM-17 </w:t>
    </w:r>
    <w:r w:rsidRPr="00956CC8">
      <w:rPr>
        <w:rFonts w:ascii="Verdana" w:eastAsia="Verdana" w:hAnsi="Verdana" w:cs="Verdana"/>
        <w:b/>
        <w:bCs/>
        <w:color w:val="000000"/>
        <w:sz w:val="18"/>
        <w:szCs w:val="18"/>
        <w:lang w:val="pt-BR" w:eastAsia="es-CO"/>
      </w:rPr>
      <w:t xml:space="preserve">V: </w:t>
    </w:r>
    <w:r w:rsidRPr="00956CC8">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D0461" w14:textId="77777777" w:rsidR="00AD20C9" w:rsidRDefault="00AD20C9" w:rsidP="004A1847">
      <w:pPr>
        <w:spacing w:after="0" w:line="240" w:lineRule="auto"/>
      </w:pPr>
      <w:r>
        <w:separator/>
      </w:r>
    </w:p>
  </w:footnote>
  <w:footnote w:type="continuationSeparator" w:id="0">
    <w:p w14:paraId="6741BD96" w14:textId="77777777" w:rsidR="00AD20C9" w:rsidRDefault="00AD20C9" w:rsidP="004A1847">
      <w:pPr>
        <w:spacing w:after="0" w:line="240" w:lineRule="auto"/>
      </w:pPr>
      <w:r>
        <w:continuationSeparator/>
      </w:r>
    </w:p>
  </w:footnote>
  <w:footnote w:type="continuationNotice" w:id="1">
    <w:p w14:paraId="5467EDB9" w14:textId="77777777" w:rsidR="00AD20C9" w:rsidRDefault="00AD20C9">
      <w:pPr>
        <w:spacing w:after="0" w:line="240" w:lineRule="auto"/>
      </w:pPr>
    </w:p>
  </w:footnote>
  <w:footnote w:id="2">
    <w:p w14:paraId="781C3B50" w14:textId="77777777" w:rsidR="00BA1003" w:rsidRPr="00753D0A" w:rsidRDefault="00BA1003" w:rsidP="00BA1003">
      <w:pPr>
        <w:pStyle w:val="Textonotapie"/>
        <w:ind w:firstLine="708"/>
        <w:jc w:val="both"/>
        <w:rPr>
          <w:rFonts w:ascii="Verdana" w:hAnsi="Verdana"/>
          <w:sz w:val="19"/>
          <w:szCs w:val="19"/>
        </w:rPr>
      </w:pPr>
      <w:r w:rsidRPr="00753D0A">
        <w:rPr>
          <w:rStyle w:val="Refdenotaalpie"/>
          <w:rFonts w:ascii="Verdana" w:hAnsi="Verdana"/>
          <w:sz w:val="19"/>
          <w:szCs w:val="19"/>
        </w:rPr>
        <w:footnoteRef/>
      </w:r>
      <w:r w:rsidRPr="00753D0A">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6E1C5EB3" w14:textId="77777777" w:rsidR="00BA1003" w:rsidRPr="00753D0A" w:rsidRDefault="00BA1003" w:rsidP="00BA1003">
      <w:pPr>
        <w:pStyle w:val="Textonotapie"/>
        <w:ind w:firstLine="708"/>
        <w:jc w:val="both"/>
        <w:rPr>
          <w:rFonts w:ascii="Verdana" w:hAnsi="Verdana"/>
          <w:sz w:val="19"/>
          <w:szCs w:val="19"/>
        </w:rPr>
      </w:pPr>
    </w:p>
    <w:p w14:paraId="5169F5C8" w14:textId="77777777" w:rsidR="00BA1003" w:rsidRPr="00753D0A" w:rsidRDefault="00BA1003" w:rsidP="00BA1003">
      <w:pPr>
        <w:pStyle w:val="Textonotapie"/>
        <w:ind w:firstLine="708"/>
        <w:jc w:val="both"/>
        <w:rPr>
          <w:rFonts w:ascii="Verdana" w:hAnsi="Verdana"/>
          <w:sz w:val="19"/>
          <w:szCs w:val="19"/>
        </w:rPr>
      </w:pPr>
      <w:r w:rsidRPr="00753D0A">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906E421" w14:textId="77777777" w:rsidR="00BA1003" w:rsidRPr="00753D0A" w:rsidRDefault="00BA1003" w:rsidP="00BA1003">
      <w:pPr>
        <w:pStyle w:val="Textonotapie"/>
        <w:ind w:firstLine="708"/>
        <w:jc w:val="both"/>
        <w:rPr>
          <w:rFonts w:ascii="Verdana" w:hAnsi="Verdana"/>
          <w:sz w:val="19"/>
          <w:szCs w:val="19"/>
        </w:rPr>
      </w:pPr>
    </w:p>
    <w:p w14:paraId="486AA419" w14:textId="77777777" w:rsidR="00BA1003" w:rsidRDefault="00BA1003" w:rsidP="00BA1003">
      <w:pPr>
        <w:pStyle w:val="Textonotapie"/>
        <w:ind w:firstLine="708"/>
        <w:jc w:val="both"/>
        <w:rPr>
          <w:rFonts w:ascii="Verdana" w:hAnsi="Verdana"/>
          <w:sz w:val="19"/>
          <w:szCs w:val="19"/>
        </w:rPr>
      </w:pPr>
      <w:r w:rsidRPr="00753D0A">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3E263251" w14:textId="77777777" w:rsidR="00BA1003" w:rsidRDefault="00BA1003" w:rsidP="00BA1003">
      <w:pPr>
        <w:pStyle w:val="Textonotapie"/>
        <w:ind w:firstLine="708"/>
        <w:jc w:val="both"/>
        <w:rPr>
          <w:rFonts w:ascii="Verdana" w:hAnsi="Verdana"/>
          <w:sz w:val="19"/>
          <w:szCs w:val="19"/>
        </w:rPr>
      </w:pPr>
    </w:p>
    <w:p w14:paraId="5A652218" w14:textId="77777777" w:rsidR="00BA1003" w:rsidRDefault="00BA1003" w:rsidP="00BA1003">
      <w:pPr>
        <w:pStyle w:val="Textonotapie"/>
        <w:ind w:firstLine="708"/>
        <w:jc w:val="both"/>
        <w:rPr>
          <w:rFonts w:ascii="Verdana" w:hAnsi="Verdana"/>
          <w:sz w:val="19"/>
          <w:szCs w:val="19"/>
        </w:rPr>
      </w:pPr>
      <w:r w:rsidRPr="003B0770">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74D9D64C" w14:textId="77777777" w:rsidR="00BA1003" w:rsidRDefault="00BA1003" w:rsidP="00BA1003">
      <w:pPr>
        <w:pStyle w:val="Textonotapie"/>
        <w:ind w:firstLine="708"/>
        <w:jc w:val="both"/>
        <w:rPr>
          <w:rFonts w:ascii="Verdana" w:hAnsi="Verdana"/>
          <w:sz w:val="19"/>
          <w:szCs w:val="19"/>
        </w:rPr>
      </w:pPr>
    </w:p>
    <w:p w14:paraId="63FF0ACF" w14:textId="77777777" w:rsidR="00BA1003" w:rsidRPr="00753D0A" w:rsidRDefault="00BA1003" w:rsidP="00BA1003">
      <w:pPr>
        <w:pStyle w:val="Textonotapie"/>
        <w:ind w:firstLine="708"/>
        <w:jc w:val="both"/>
        <w:rPr>
          <w:rFonts w:ascii="Verdana" w:hAnsi="Verdana"/>
          <w:sz w:val="19"/>
          <w:szCs w:val="19"/>
        </w:rPr>
      </w:pPr>
      <w:r w:rsidRPr="003B0770">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4A4E81F0" w14:textId="77777777" w:rsidR="00BA1003" w:rsidRPr="009A3A0D" w:rsidRDefault="00BA1003" w:rsidP="00BA1003">
      <w:pPr>
        <w:pStyle w:val="Textonotapie"/>
        <w:ind w:firstLine="709"/>
        <w:jc w:val="both"/>
        <w:rPr>
          <w:rFonts w:ascii="Arial" w:hAnsi="Arial" w:cs="Arial"/>
          <w:color w:val="000000"/>
          <w:sz w:val="19"/>
          <w:szCs w:val="19"/>
        </w:rPr>
      </w:pPr>
      <w:r>
        <w:rPr>
          <w:rStyle w:val="Refdenotaalpie"/>
        </w:rPr>
        <w:footnoteRef/>
      </w:r>
      <w:r>
        <w:t xml:space="preserve"> </w:t>
      </w:r>
      <w:r w:rsidRPr="009A3A0D">
        <w:rPr>
          <w:rFonts w:ascii="Arial" w:hAnsi="Arial" w:cs="Arial"/>
          <w:color w:val="000000"/>
          <w:sz w:val="19"/>
          <w:szCs w:val="19"/>
        </w:rPr>
        <w:t xml:space="preserve">ALESSANDRI RODRÍGUEZ, Arturo. De los contratos. Santiago de Chile: Editorial Jurídica EDIAR-CONOCSUR LTDA, 1988. p. 182. </w:t>
      </w:r>
    </w:p>
    <w:p w14:paraId="40DBACC1" w14:textId="77777777" w:rsidR="00BA1003" w:rsidRPr="00376676" w:rsidRDefault="00BA1003" w:rsidP="00BA1003">
      <w:pPr>
        <w:pStyle w:val="Textonotapie"/>
      </w:pPr>
    </w:p>
  </w:footnote>
  <w:footnote w:id="4">
    <w:p w14:paraId="467F366A" w14:textId="77777777" w:rsidR="00BA1003" w:rsidRDefault="00BA1003" w:rsidP="00BA1003">
      <w:pPr>
        <w:pStyle w:val="Textonotapie"/>
        <w:ind w:firstLine="708"/>
        <w:rPr>
          <w:rFonts w:ascii="Arial" w:hAnsi="Arial" w:cs="Arial"/>
          <w:color w:val="000000"/>
          <w:sz w:val="19"/>
          <w:szCs w:val="19"/>
        </w:rPr>
      </w:pPr>
      <w:r>
        <w:rPr>
          <w:rStyle w:val="Refdenotaalpie"/>
        </w:rPr>
        <w:footnoteRef/>
      </w:r>
      <w:r>
        <w:t xml:space="preserve"> </w:t>
      </w:r>
      <w:r w:rsidRPr="009A3A0D">
        <w:rPr>
          <w:rFonts w:ascii="Arial" w:hAnsi="Arial" w:cs="Arial"/>
          <w:color w:val="000000"/>
          <w:sz w:val="19"/>
          <w:szCs w:val="19"/>
        </w:rPr>
        <w:t>OSPINA MENA, Jesús Marino. Régimen de la Contratación Estatal. Un salto a la contratación liquida. Bogotá: Dike, 2020. p. 168.</w:t>
      </w:r>
    </w:p>
    <w:p w14:paraId="1957533B" w14:textId="77777777" w:rsidR="00BA1003" w:rsidRPr="00BC6F2D" w:rsidRDefault="00BA1003" w:rsidP="00BA1003">
      <w:pPr>
        <w:pStyle w:val="Textonotapie"/>
        <w:ind w:firstLine="708"/>
        <w:rPr>
          <w:lang w:val="es-ES_tradnl"/>
        </w:rPr>
      </w:pPr>
    </w:p>
  </w:footnote>
  <w:footnote w:id="5">
    <w:p w14:paraId="4620C64A" w14:textId="77777777" w:rsidR="00BA1003" w:rsidRPr="008F670B" w:rsidRDefault="00BA1003" w:rsidP="00BA1003">
      <w:pPr>
        <w:pStyle w:val="Textonotapie"/>
        <w:ind w:firstLine="708"/>
        <w:rPr>
          <w:lang w:val="es-ES_tradnl"/>
        </w:rPr>
      </w:pPr>
      <w:r>
        <w:rPr>
          <w:rStyle w:val="Refdenotaalpie"/>
        </w:rPr>
        <w:footnoteRef/>
      </w:r>
      <w:r>
        <w:t xml:space="preserve"> </w:t>
      </w:r>
      <w:r w:rsidRPr="009A3A0D">
        <w:rPr>
          <w:rFonts w:ascii="Arial" w:hAnsi="Arial" w:cs="Arial"/>
          <w:color w:val="000000"/>
          <w:sz w:val="19"/>
          <w:szCs w:val="19"/>
        </w:rPr>
        <w:t>CONSEJO DE ESTADO. Sala de Consulta y Servicio Civil. Concepto del 5 de septiembre de 2018. Rad. 2.386. C.P. Edgar González López.</w:t>
      </w:r>
    </w:p>
  </w:footnote>
  <w:footnote w:id="6">
    <w:p w14:paraId="7263E623" w14:textId="77777777" w:rsidR="00BA1003" w:rsidRPr="009A3A0D" w:rsidRDefault="00BA1003" w:rsidP="00BA1003">
      <w:pPr>
        <w:pStyle w:val="Textonotapie"/>
        <w:ind w:firstLine="709"/>
        <w:jc w:val="both"/>
        <w:rPr>
          <w:rFonts w:ascii="Arial" w:hAnsi="Arial" w:cs="Arial"/>
          <w:color w:val="000000"/>
          <w:sz w:val="19"/>
          <w:szCs w:val="19"/>
        </w:rPr>
      </w:pPr>
      <w:r>
        <w:rPr>
          <w:rStyle w:val="Refdenotaalpie"/>
        </w:rPr>
        <w:footnoteRef/>
      </w:r>
      <w:r>
        <w:t xml:space="preserve"> </w:t>
      </w:r>
      <w:bookmarkStart w:id="3" w:name="_Hlk35341897"/>
      <w:r w:rsidRPr="009A3A0D">
        <w:rPr>
          <w:rFonts w:ascii="Arial" w:hAnsi="Arial" w:cs="Arial"/>
          <w:color w:val="000000"/>
          <w:sz w:val="19"/>
          <w:szCs w:val="19"/>
        </w:rPr>
        <w:t>VELÁSQUEZ JARAMILLO, Luis Guillermo. Bienes. Duodécima edición. Bogotá: Temis, 2010. p. 22</w:t>
      </w:r>
      <w:bookmarkEnd w:id="3"/>
      <w:r w:rsidRPr="009A3A0D">
        <w:rPr>
          <w:rFonts w:ascii="Arial" w:hAnsi="Arial" w:cs="Arial"/>
          <w:color w:val="000000"/>
          <w:sz w:val="19"/>
          <w:szCs w:val="19"/>
        </w:rPr>
        <w:t>.</w:t>
      </w:r>
    </w:p>
    <w:p w14:paraId="7D80C412" w14:textId="77777777" w:rsidR="00BA1003" w:rsidRPr="0032273B" w:rsidRDefault="00BA1003" w:rsidP="00BA1003">
      <w:pPr>
        <w:pStyle w:val="Textonotapie"/>
      </w:pPr>
    </w:p>
  </w:footnote>
  <w:footnote w:id="7">
    <w:p w14:paraId="4FEEF461" w14:textId="77777777" w:rsidR="00BA1003" w:rsidRPr="00AB7419" w:rsidRDefault="00BA1003" w:rsidP="00BA1003">
      <w:pPr>
        <w:pStyle w:val="Textonotapie"/>
        <w:ind w:firstLine="708"/>
        <w:rPr>
          <w:lang w:val="es-ES_tradnl"/>
        </w:rPr>
      </w:pPr>
      <w:r>
        <w:rPr>
          <w:rStyle w:val="Refdenotaalpie"/>
        </w:rPr>
        <w:footnoteRef/>
      </w:r>
      <w:r>
        <w:t xml:space="preserve"> </w:t>
      </w:r>
      <w:r w:rsidRPr="009A3A0D">
        <w:rPr>
          <w:rFonts w:ascii="Arial" w:hAnsi="Arial" w:cs="Arial"/>
          <w:color w:val="000000"/>
          <w:sz w:val="19"/>
          <w:szCs w:val="19"/>
        </w:rPr>
        <w:t>MAZEUD, Henri, MAZEUD, León y MAZEUD, Jean. Lecciones de derecho civil. Parte Primera. Volumen I. Buenos Aires: EJEA, 1976. p. 305-306.</w:t>
      </w:r>
    </w:p>
  </w:footnote>
  <w:footnote w:id="8">
    <w:p w14:paraId="1D22013C" w14:textId="77777777" w:rsidR="00BA1003" w:rsidRDefault="00BA1003" w:rsidP="00BA1003">
      <w:pPr>
        <w:pStyle w:val="Textonotapie"/>
        <w:spacing w:after="120"/>
        <w:ind w:firstLine="708"/>
        <w:jc w:val="both"/>
        <w:rPr>
          <w:rFonts w:ascii="Verdana" w:hAnsi="Verdana"/>
          <w:sz w:val="19"/>
          <w:szCs w:val="19"/>
        </w:rPr>
      </w:pPr>
      <w:r w:rsidRPr="005F4467">
        <w:rPr>
          <w:rStyle w:val="Refdenotaalpie"/>
          <w:rFonts w:ascii="Verdana" w:hAnsi="Verdana"/>
          <w:sz w:val="19"/>
          <w:szCs w:val="19"/>
        </w:rPr>
        <w:footnoteRef/>
      </w:r>
      <w:r w:rsidRPr="005F4467">
        <w:rPr>
          <w:rFonts w:ascii="Verdana" w:hAnsi="Verdana"/>
          <w:sz w:val="19"/>
          <w:szCs w:val="19"/>
        </w:rPr>
        <w:t xml:space="preserve"> </w:t>
      </w:r>
      <w:r>
        <w:rPr>
          <w:rFonts w:ascii="Verdana" w:hAnsi="Verdana"/>
          <w:sz w:val="19"/>
          <w:szCs w:val="19"/>
        </w:rPr>
        <w:t>“</w:t>
      </w:r>
      <w:r w:rsidRPr="005F4467">
        <w:rPr>
          <w:rFonts w:ascii="Verdana" w:hAnsi="Verdana"/>
          <w:sz w:val="19"/>
          <w:szCs w:val="19"/>
        </w:rPr>
        <w:t xml:space="preserve">Artículo 4. Obras, bienes o servicios adicionales a la obra pública de infraestructura social. Cuando el objeto contractual incluya obras, bienes o servicios adicionales a la de obra pública de infraestructura social, la entidad estatal deberá aplicar los documentos tipo. Si de manera excepcional requiere incluir experiencia adicional para evaluar la idoneidad respecto de las obras, bienes o servicios adicionales a la obra pública de infraestructura social, deberá seguir los siguientes parámetros: </w:t>
      </w:r>
    </w:p>
    <w:p w14:paraId="3C962607" w14:textId="77777777" w:rsidR="00BA1003"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 xml:space="preserve">1. Demostrar en los estudios previos que ha verificado las condiciones de mercado para la adquisición de las obras, bienes o servicios adicionales al componente de obra pública, de tal manera que la experiencia adicional que se exija para tales obras, bienes o servicios procure la pluralidad de oferentes y no limite la concurrencia al proceso de contratación. Para tal efecto, la entidad realizará el estudio previo y el análisis del sector en los términos de los artículos 2.2.1.1.1.6.1 y 2.2.1.1.1.6.2 del Decreto 1082 de 2015, о la norma que los adicione, complemente o sustituya. </w:t>
      </w:r>
    </w:p>
    <w:p w14:paraId="673D9C1A" w14:textId="77777777" w:rsidR="00BA1003"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 xml:space="preserve">2. Conservar los requisitos exigidos en los documentos tipo. </w:t>
      </w:r>
    </w:p>
    <w:p w14:paraId="419A8F2D" w14:textId="77777777" w:rsidR="00BA1003"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 xml:space="preserve">3. Abstenerse de pedir experiencia exclusiva con entidades estatales, experiencia previa en un territorio específico, limitada en el tiempo o que incluya volúmenes o cantidades de obra específica. </w:t>
      </w:r>
    </w:p>
    <w:p w14:paraId="6173833E" w14:textId="77777777" w:rsidR="00BA1003" w:rsidRPr="005F4467"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4. Clasificar la experiencia requerida solo hasta el tercer nivel del Clasificador de Bienes y Servicios e incluir exclusivamente los códigos que estén relacionados directamente con el objeto a contratar.</w:t>
      </w:r>
    </w:p>
    <w:p w14:paraId="277ECFD2" w14:textId="77777777" w:rsidR="00BA1003"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 xml:space="preserve">Parágrafo 1°. En los casos que el objeto contractual incluya actividades abarcadas por otros documentos tipo, la Entidad Estatal aplicará las reglas de combinación de experiencia previstas en el numeral 3.5.1 del documento base. </w:t>
      </w:r>
    </w:p>
    <w:p w14:paraId="46F76D27" w14:textId="77777777" w:rsidR="00BA1003"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 xml:space="preserve">Parágrafo 2°. Para los efectos de este artículo se entiende por "obras, bienes о servicios adicionales" aquellas actividades que no están incluidas en la matriz de experiencia de los documentos tipo de infraestructura social aplicable o de otras matrices de experiencia de documentos tipo adoptados por esta Agencia que se encuentren vigentes, pero que están relacionadas con el contrato a ejecutar. Parágrafo </w:t>
      </w:r>
    </w:p>
    <w:p w14:paraId="1D233E0C" w14:textId="77777777" w:rsidR="00BA1003"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 xml:space="preserve">3°. Para la aplicación de este artículo, se entiende por experiencia adicional aquella que no está definida en la matriz de experiencia de infraestructura social aplicable o de otras matrices tde experiencia de documentos tipo adoptados por esta Agencia que se encuentren vigentes, pero que la Entidad Estatal considera necesaria para garantizar la idoneidad del contratista para la ejecución del proyecto, puesto que está relacionada con el objeto a ejecutar. </w:t>
      </w:r>
    </w:p>
    <w:p w14:paraId="6C1013C5" w14:textId="77777777" w:rsidR="00BA1003"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 xml:space="preserve">Parágrafo 4°.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 </w:t>
      </w:r>
    </w:p>
    <w:p w14:paraId="3FD35C5C" w14:textId="77777777" w:rsidR="00BA1003" w:rsidRPr="005F4467" w:rsidRDefault="00BA1003" w:rsidP="00BA1003">
      <w:pPr>
        <w:pStyle w:val="Textonotapie"/>
        <w:spacing w:after="120"/>
        <w:ind w:firstLine="708"/>
        <w:jc w:val="both"/>
        <w:rPr>
          <w:rFonts w:ascii="Verdana" w:hAnsi="Verdana"/>
          <w:sz w:val="19"/>
          <w:szCs w:val="19"/>
        </w:rPr>
      </w:pPr>
      <w:r w:rsidRPr="005F4467">
        <w:rPr>
          <w:rFonts w:ascii="Verdana" w:hAnsi="Verdana"/>
          <w:sz w:val="19"/>
          <w:szCs w:val="19"/>
        </w:rPr>
        <w:t>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p w14:paraId="2A8B0F90" w14:textId="77777777" w:rsidR="00BA1003" w:rsidRPr="005F4467" w:rsidRDefault="00BA1003" w:rsidP="00BA1003">
      <w:pPr>
        <w:pStyle w:val="Textonotapie"/>
        <w:spacing w:after="120"/>
        <w:ind w:firstLine="708"/>
        <w:jc w:val="both"/>
        <w:rPr>
          <w:rFonts w:ascii="Verdana" w:hAnsi="Verdana"/>
          <w:sz w:val="19"/>
          <w:szCs w:val="19"/>
          <w:lang w:val="es-CO"/>
        </w:rPr>
      </w:pPr>
    </w:p>
    <w:p w14:paraId="33E0CE7F" w14:textId="77777777" w:rsidR="00BA1003" w:rsidRPr="005F4467" w:rsidRDefault="00BA1003" w:rsidP="00BA1003">
      <w:pPr>
        <w:pStyle w:val="Textonotapie"/>
        <w:spacing w:after="120"/>
        <w:jc w:val="both"/>
        <w:rPr>
          <w:rFonts w:ascii="Verdana" w:hAnsi="Verdana"/>
          <w:sz w:val="19"/>
          <w:szCs w:val="19"/>
          <w:lang w:val="es-CO"/>
        </w:rPr>
      </w:pPr>
    </w:p>
  </w:footnote>
  <w:footnote w:id="9">
    <w:p w14:paraId="525EA70B" w14:textId="77777777" w:rsidR="00BA1003" w:rsidRPr="005F4467" w:rsidRDefault="00BA1003" w:rsidP="00BA1003">
      <w:pPr>
        <w:pStyle w:val="Textonotapie"/>
        <w:ind w:firstLine="708"/>
        <w:jc w:val="both"/>
        <w:rPr>
          <w:lang w:val="es-ES_tradnl"/>
        </w:rPr>
      </w:pPr>
      <w:r>
        <w:rPr>
          <w:rStyle w:val="Refdenotaalpie"/>
        </w:rPr>
        <w:footnoteRef/>
      </w:r>
      <w:r>
        <w:t xml:space="preserve"> </w:t>
      </w:r>
      <w:r w:rsidRPr="005F4467">
        <w:rPr>
          <w:rFonts w:ascii="Verdana" w:hAnsi="Verdana"/>
          <w:sz w:val="19"/>
          <w:szCs w:val="19"/>
        </w:rPr>
        <w:t>Esta nota 12 se establece en los mimos términos en el parágrafo 4 del artículo 4 de la Resolución 539 de 2025. Concretamente se indica: “Parágrafo 4°.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 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10.8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 w15:restartNumberingAfterBreak="0">
    <w:nsid w:val="159F32E3"/>
    <w:multiLevelType w:val="multilevel"/>
    <w:tmpl w:val="E3D8920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6A31D67"/>
    <w:multiLevelType w:val="multilevel"/>
    <w:tmpl w:val="C658B226"/>
    <w:lvl w:ilvl="0">
      <w:start w:val="2"/>
      <w:numFmt w:val="decimal"/>
      <w:lvlText w:val="%1"/>
      <w:lvlJc w:val="left"/>
      <w:pPr>
        <w:ind w:left="360" w:hanging="360"/>
      </w:pPr>
      <w:rPr>
        <w:b/>
      </w:rPr>
    </w:lvl>
    <w:lvl w:ilvl="1">
      <w:start w:val="1"/>
      <w:numFmt w:val="decimal"/>
      <w:lvlText w:val="%1.%2."/>
      <w:lvlJc w:val="left"/>
      <w:pPr>
        <w:ind w:left="928"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6" w15:restartNumberingAfterBreak="0">
    <w:nsid w:val="1A347C6F"/>
    <w:multiLevelType w:val="multilevel"/>
    <w:tmpl w:val="07C69B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4E066F"/>
    <w:multiLevelType w:val="hybridMultilevel"/>
    <w:tmpl w:val="3D4861DC"/>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51C31A2"/>
    <w:multiLevelType w:val="multilevel"/>
    <w:tmpl w:val="7ED89B8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6" w15:restartNumberingAfterBreak="0">
    <w:nsid w:val="3C6E172A"/>
    <w:multiLevelType w:val="hybridMultilevel"/>
    <w:tmpl w:val="B89CE224"/>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7" w15:restartNumberingAfterBreak="0">
    <w:nsid w:val="49796F05"/>
    <w:multiLevelType w:val="multilevel"/>
    <w:tmpl w:val="2A6CB9C0"/>
    <w:lvl w:ilvl="0">
      <w:start w:val="1"/>
      <w:numFmt w:val="decimal"/>
      <w:lvlText w:val="3.%1."/>
      <w:lvlJc w:val="left"/>
      <w:pPr>
        <w:ind w:left="720" w:hanging="360"/>
      </w:pPr>
      <w:rPr>
        <w:b/>
        <w:bCs/>
      </w:r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CB75995"/>
    <w:multiLevelType w:val="multilevel"/>
    <w:tmpl w:val="D60042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3C3A58"/>
    <w:multiLevelType w:val="multilevel"/>
    <w:tmpl w:val="8842E7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553F0751"/>
    <w:multiLevelType w:val="multilevel"/>
    <w:tmpl w:val="CED8F05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2" w15:restartNumberingAfterBreak="0">
    <w:nsid w:val="66D00641"/>
    <w:multiLevelType w:val="hybridMultilevel"/>
    <w:tmpl w:val="433CCD36"/>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2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16D1FFB"/>
    <w:multiLevelType w:val="multilevel"/>
    <w:tmpl w:val="9E6C344A"/>
    <w:lvl w:ilvl="0">
      <w:start w:val="2"/>
      <w:numFmt w:val="decimal"/>
      <w:lvlText w:val="%1"/>
      <w:lvlJc w:val="left"/>
      <w:pPr>
        <w:ind w:left="360" w:hanging="360"/>
      </w:pPr>
      <w:rPr>
        <w:rFonts w:hint="default"/>
      </w:rPr>
    </w:lvl>
    <w:lvl w:ilvl="1">
      <w:start w:val="1"/>
      <w:numFmt w:val="decimal"/>
      <w:lvlText w:val="%1.%2"/>
      <w:lvlJc w:val="left"/>
      <w:pPr>
        <w:ind w:left="928" w:hanging="360"/>
      </w:pPr>
      <w:rPr>
        <w:rFonts w:asciiTheme="minorHAnsi" w:hAnsiTheme="minorHAnsi" w:cstheme="minorHAnsi" w:hint="default"/>
        <w:b/>
        <w:color w:val="auto"/>
        <w:sz w:val="20"/>
        <w:szCs w:val="20"/>
        <w:lang w:val="es-ES_tradnl"/>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B704472"/>
    <w:multiLevelType w:val="multilevel"/>
    <w:tmpl w:val="0804C35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061749828">
    <w:abstractNumId w:val="11"/>
  </w:num>
  <w:num w:numId="2" w16cid:durableId="293684756">
    <w:abstractNumId w:val="2"/>
  </w:num>
  <w:num w:numId="3" w16cid:durableId="583298003">
    <w:abstractNumId w:val="8"/>
  </w:num>
  <w:num w:numId="4" w16cid:durableId="20314897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37832407">
    <w:abstractNumId w:val="2"/>
  </w:num>
  <w:num w:numId="6" w16cid:durableId="2063167840">
    <w:abstractNumId w:val="25"/>
  </w:num>
  <w:num w:numId="7" w16cid:durableId="574436823">
    <w:abstractNumId w:val="9"/>
  </w:num>
  <w:num w:numId="8" w16cid:durableId="35813030">
    <w:abstractNumId w:val="24"/>
  </w:num>
  <w:num w:numId="9" w16cid:durableId="840923603">
    <w:abstractNumId w:val="13"/>
  </w:num>
  <w:num w:numId="10" w16cid:durableId="1663120456">
    <w:abstractNumId w:val="23"/>
  </w:num>
  <w:num w:numId="11" w16cid:durableId="1573613973">
    <w:abstractNumId w:val="14"/>
  </w:num>
  <w:num w:numId="12" w16cid:durableId="1148933603">
    <w:abstractNumId w:val="1"/>
  </w:num>
  <w:num w:numId="13" w16cid:durableId="2063868195">
    <w:abstractNumId w:val="7"/>
  </w:num>
  <w:num w:numId="14" w16cid:durableId="305135732">
    <w:abstractNumId w:val="26"/>
  </w:num>
  <w:num w:numId="15" w16cid:durableId="251597260">
    <w:abstractNumId w:val="21"/>
  </w:num>
  <w:num w:numId="16" w16cid:durableId="1988700460">
    <w:abstractNumId w:val="15"/>
  </w:num>
  <w:num w:numId="17" w16cid:durableId="1207447697">
    <w:abstractNumId w:val="0"/>
  </w:num>
  <w:num w:numId="18" w16cid:durableId="16403051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39852790">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668629607">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47919995">
    <w:abstractNumId w:val="18"/>
  </w:num>
  <w:num w:numId="22" w16cid:durableId="13969771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89263409">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741365730">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10911151">
    <w:abstractNumId w:val="27"/>
  </w:num>
  <w:num w:numId="26" w16cid:durableId="305743832">
    <w:abstractNumId w:val="5"/>
  </w:num>
  <w:num w:numId="27" w16cid:durableId="1444379958">
    <w:abstractNumId w:val="17"/>
  </w:num>
  <w:num w:numId="28" w16cid:durableId="2009752223">
    <w:abstractNumId w:val="22"/>
  </w:num>
  <w:num w:numId="29" w16cid:durableId="1339775539">
    <w:abstractNumId w:val="16"/>
  </w:num>
  <w:num w:numId="30" w16cid:durableId="515384566">
    <w:abstractNumId w:val="10"/>
  </w:num>
  <w:num w:numId="31" w16cid:durableId="10757825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943"/>
    <w:rsid w:val="00016F78"/>
    <w:rsid w:val="00046945"/>
    <w:rsid w:val="00061B2A"/>
    <w:rsid w:val="00082362"/>
    <w:rsid w:val="00096994"/>
    <w:rsid w:val="000A683E"/>
    <w:rsid w:val="000B19B9"/>
    <w:rsid w:val="000C4A17"/>
    <w:rsid w:val="000D0334"/>
    <w:rsid w:val="000D5DA7"/>
    <w:rsid w:val="000F6486"/>
    <w:rsid w:val="00116940"/>
    <w:rsid w:val="00125105"/>
    <w:rsid w:val="00127233"/>
    <w:rsid w:val="0015699B"/>
    <w:rsid w:val="001717A0"/>
    <w:rsid w:val="001A33BF"/>
    <w:rsid w:val="001E4177"/>
    <w:rsid w:val="001F0B24"/>
    <w:rsid w:val="001F7DC6"/>
    <w:rsid w:val="002054EB"/>
    <w:rsid w:val="0021513B"/>
    <w:rsid w:val="0022400B"/>
    <w:rsid w:val="002421BB"/>
    <w:rsid w:val="0025796E"/>
    <w:rsid w:val="002707A2"/>
    <w:rsid w:val="002951A0"/>
    <w:rsid w:val="002962BC"/>
    <w:rsid w:val="002A093D"/>
    <w:rsid w:val="002A0DD0"/>
    <w:rsid w:val="002A49AC"/>
    <w:rsid w:val="002A64FD"/>
    <w:rsid w:val="002C7898"/>
    <w:rsid w:val="002C7A84"/>
    <w:rsid w:val="002E2BF8"/>
    <w:rsid w:val="002E4FD9"/>
    <w:rsid w:val="0030657A"/>
    <w:rsid w:val="00312E77"/>
    <w:rsid w:val="00322A85"/>
    <w:rsid w:val="00324168"/>
    <w:rsid w:val="00330834"/>
    <w:rsid w:val="003448F4"/>
    <w:rsid w:val="00374E7D"/>
    <w:rsid w:val="00374F5E"/>
    <w:rsid w:val="00377E3E"/>
    <w:rsid w:val="003845A6"/>
    <w:rsid w:val="003A779E"/>
    <w:rsid w:val="003D0F4D"/>
    <w:rsid w:val="003D5B0D"/>
    <w:rsid w:val="003E0499"/>
    <w:rsid w:val="003E4F80"/>
    <w:rsid w:val="003E6439"/>
    <w:rsid w:val="003F3941"/>
    <w:rsid w:val="00406575"/>
    <w:rsid w:val="00414C74"/>
    <w:rsid w:val="0042722E"/>
    <w:rsid w:val="0044528D"/>
    <w:rsid w:val="00460FA1"/>
    <w:rsid w:val="00466E39"/>
    <w:rsid w:val="004A1847"/>
    <w:rsid w:val="004A305D"/>
    <w:rsid w:val="004C1338"/>
    <w:rsid w:val="004C5C3E"/>
    <w:rsid w:val="004D7D76"/>
    <w:rsid w:val="004E6951"/>
    <w:rsid w:val="004F21C4"/>
    <w:rsid w:val="004F685F"/>
    <w:rsid w:val="005566E8"/>
    <w:rsid w:val="00556E88"/>
    <w:rsid w:val="00574867"/>
    <w:rsid w:val="00591460"/>
    <w:rsid w:val="005918FC"/>
    <w:rsid w:val="005A65E0"/>
    <w:rsid w:val="005C3777"/>
    <w:rsid w:val="005C5CDC"/>
    <w:rsid w:val="005C78B7"/>
    <w:rsid w:val="005D476C"/>
    <w:rsid w:val="006200BF"/>
    <w:rsid w:val="006219F8"/>
    <w:rsid w:val="006302F7"/>
    <w:rsid w:val="00646B9F"/>
    <w:rsid w:val="00665D70"/>
    <w:rsid w:val="00687E26"/>
    <w:rsid w:val="006900D9"/>
    <w:rsid w:val="0069795D"/>
    <w:rsid w:val="007057CF"/>
    <w:rsid w:val="00706C16"/>
    <w:rsid w:val="007340C3"/>
    <w:rsid w:val="0075235A"/>
    <w:rsid w:val="00756841"/>
    <w:rsid w:val="007649AB"/>
    <w:rsid w:val="00771D0C"/>
    <w:rsid w:val="00780BFD"/>
    <w:rsid w:val="007833AC"/>
    <w:rsid w:val="007B268C"/>
    <w:rsid w:val="007B7171"/>
    <w:rsid w:val="007C0C0F"/>
    <w:rsid w:val="007C284E"/>
    <w:rsid w:val="007C3DC2"/>
    <w:rsid w:val="007E5497"/>
    <w:rsid w:val="00804A96"/>
    <w:rsid w:val="00806F5F"/>
    <w:rsid w:val="00820278"/>
    <w:rsid w:val="008258C9"/>
    <w:rsid w:val="0083175F"/>
    <w:rsid w:val="008326E8"/>
    <w:rsid w:val="00844AE9"/>
    <w:rsid w:val="00867F95"/>
    <w:rsid w:val="008843B6"/>
    <w:rsid w:val="00891928"/>
    <w:rsid w:val="008A446D"/>
    <w:rsid w:val="008B25F1"/>
    <w:rsid w:val="008C7ED8"/>
    <w:rsid w:val="008D180B"/>
    <w:rsid w:val="008F0EA7"/>
    <w:rsid w:val="00923EEF"/>
    <w:rsid w:val="009419F9"/>
    <w:rsid w:val="0095685E"/>
    <w:rsid w:val="00956C6A"/>
    <w:rsid w:val="00956CC8"/>
    <w:rsid w:val="00961B09"/>
    <w:rsid w:val="00965334"/>
    <w:rsid w:val="0097093E"/>
    <w:rsid w:val="0097431C"/>
    <w:rsid w:val="009A0DFA"/>
    <w:rsid w:val="009A1C6F"/>
    <w:rsid w:val="009B2D26"/>
    <w:rsid w:val="009C33F1"/>
    <w:rsid w:val="009C3DF6"/>
    <w:rsid w:val="009C71FA"/>
    <w:rsid w:val="009C72E7"/>
    <w:rsid w:val="009C7F7E"/>
    <w:rsid w:val="009D3058"/>
    <w:rsid w:val="009F3A13"/>
    <w:rsid w:val="00A122D3"/>
    <w:rsid w:val="00A14468"/>
    <w:rsid w:val="00A17F13"/>
    <w:rsid w:val="00A20739"/>
    <w:rsid w:val="00A23AF9"/>
    <w:rsid w:val="00A27ADD"/>
    <w:rsid w:val="00A33C78"/>
    <w:rsid w:val="00A91564"/>
    <w:rsid w:val="00AB0ADB"/>
    <w:rsid w:val="00AC2252"/>
    <w:rsid w:val="00AC3808"/>
    <w:rsid w:val="00AD20C9"/>
    <w:rsid w:val="00B00C0E"/>
    <w:rsid w:val="00B01B1A"/>
    <w:rsid w:val="00B0381D"/>
    <w:rsid w:val="00B44A47"/>
    <w:rsid w:val="00B62B3F"/>
    <w:rsid w:val="00B72CD3"/>
    <w:rsid w:val="00B72FFF"/>
    <w:rsid w:val="00BA1003"/>
    <w:rsid w:val="00BA2144"/>
    <w:rsid w:val="00BB6BF2"/>
    <w:rsid w:val="00BC3D36"/>
    <w:rsid w:val="00BD54A6"/>
    <w:rsid w:val="00BD7F72"/>
    <w:rsid w:val="00BF7425"/>
    <w:rsid w:val="00C04FB3"/>
    <w:rsid w:val="00C11D8B"/>
    <w:rsid w:val="00C15139"/>
    <w:rsid w:val="00C31473"/>
    <w:rsid w:val="00C330EB"/>
    <w:rsid w:val="00C50D69"/>
    <w:rsid w:val="00C5365C"/>
    <w:rsid w:val="00C67A4C"/>
    <w:rsid w:val="00C70A7A"/>
    <w:rsid w:val="00C754BE"/>
    <w:rsid w:val="00C76B1C"/>
    <w:rsid w:val="00C925AC"/>
    <w:rsid w:val="00CB5C16"/>
    <w:rsid w:val="00CB6357"/>
    <w:rsid w:val="00CC1B26"/>
    <w:rsid w:val="00CD43E3"/>
    <w:rsid w:val="00CF2AE6"/>
    <w:rsid w:val="00D2177B"/>
    <w:rsid w:val="00D361FD"/>
    <w:rsid w:val="00D423A2"/>
    <w:rsid w:val="00D44E26"/>
    <w:rsid w:val="00D520D8"/>
    <w:rsid w:val="00D63AC2"/>
    <w:rsid w:val="00D7383B"/>
    <w:rsid w:val="00D7788A"/>
    <w:rsid w:val="00DA231B"/>
    <w:rsid w:val="00DA7942"/>
    <w:rsid w:val="00DC39FC"/>
    <w:rsid w:val="00DD26DB"/>
    <w:rsid w:val="00DF5254"/>
    <w:rsid w:val="00E02524"/>
    <w:rsid w:val="00E16408"/>
    <w:rsid w:val="00E20894"/>
    <w:rsid w:val="00E245AB"/>
    <w:rsid w:val="00E2764C"/>
    <w:rsid w:val="00E27F2E"/>
    <w:rsid w:val="00E50AFE"/>
    <w:rsid w:val="00E575EC"/>
    <w:rsid w:val="00E75C92"/>
    <w:rsid w:val="00E771DC"/>
    <w:rsid w:val="00E83A06"/>
    <w:rsid w:val="00E8772A"/>
    <w:rsid w:val="00E90F6B"/>
    <w:rsid w:val="00E92C27"/>
    <w:rsid w:val="00EA0E3D"/>
    <w:rsid w:val="00EC38A7"/>
    <w:rsid w:val="00EC51CF"/>
    <w:rsid w:val="00EE1AA8"/>
    <w:rsid w:val="00EE1B10"/>
    <w:rsid w:val="00F23FEA"/>
    <w:rsid w:val="00F31EDC"/>
    <w:rsid w:val="00F343CD"/>
    <w:rsid w:val="00F462B3"/>
    <w:rsid w:val="00F5664F"/>
    <w:rsid w:val="00F666C4"/>
    <w:rsid w:val="00F76AFC"/>
    <w:rsid w:val="00FA47C0"/>
    <w:rsid w:val="00FB5DD1"/>
    <w:rsid w:val="00FC2B5D"/>
    <w:rsid w:val="00FF1449"/>
    <w:rsid w:val="00FF445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4628636"/>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A8B1106-E036-4FC7-8008-767A5599E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BA1003"/>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BA1003"/>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BA1003"/>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BA1003"/>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BA1003"/>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BA1003"/>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BA1003"/>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BA1003"/>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BA1003"/>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BA1003"/>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BA1003"/>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BA1003"/>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BA1003"/>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BA1003"/>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BA1003"/>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BA1003"/>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BA1003"/>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BA1003"/>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BA1003"/>
  </w:style>
  <w:style w:type="character" w:customStyle="1" w:styleId="Ttulo1Car">
    <w:name w:val="Título 1 Car"/>
    <w:basedOn w:val="Fuentedeprrafopredeter"/>
    <w:link w:val="Ttulo1"/>
    <w:uiPriority w:val="9"/>
    <w:rsid w:val="00BA1003"/>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BA1003"/>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BA1003"/>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BA1003"/>
    <w:rPr>
      <w:rFonts w:eastAsia="Times New Roman" w:cs="Times New Roman"/>
      <w:i/>
      <w:iCs/>
      <w:color w:val="0F4761"/>
    </w:rPr>
  </w:style>
  <w:style w:type="character" w:customStyle="1" w:styleId="Ttulo5Car">
    <w:name w:val="Título 5 Car"/>
    <w:basedOn w:val="Fuentedeprrafopredeter"/>
    <w:link w:val="Ttulo5"/>
    <w:uiPriority w:val="9"/>
    <w:semiHidden/>
    <w:rsid w:val="00BA1003"/>
    <w:rPr>
      <w:rFonts w:eastAsia="Times New Roman" w:cs="Times New Roman"/>
      <w:color w:val="0F4761"/>
    </w:rPr>
  </w:style>
  <w:style w:type="character" w:customStyle="1" w:styleId="Ttulo6Car">
    <w:name w:val="Título 6 Car"/>
    <w:basedOn w:val="Fuentedeprrafopredeter"/>
    <w:link w:val="Ttulo6"/>
    <w:uiPriority w:val="9"/>
    <w:semiHidden/>
    <w:rsid w:val="00BA1003"/>
    <w:rPr>
      <w:rFonts w:eastAsia="Times New Roman" w:cs="Times New Roman"/>
      <w:i/>
      <w:iCs/>
      <w:color w:val="595959"/>
    </w:rPr>
  </w:style>
  <w:style w:type="character" w:customStyle="1" w:styleId="Ttulo7Car">
    <w:name w:val="Título 7 Car"/>
    <w:basedOn w:val="Fuentedeprrafopredeter"/>
    <w:link w:val="Ttulo7"/>
    <w:uiPriority w:val="9"/>
    <w:semiHidden/>
    <w:rsid w:val="00BA1003"/>
    <w:rPr>
      <w:rFonts w:eastAsia="Times New Roman" w:cs="Times New Roman"/>
      <w:color w:val="595959"/>
    </w:rPr>
  </w:style>
  <w:style w:type="character" w:customStyle="1" w:styleId="Ttulo8Car">
    <w:name w:val="Título 8 Car"/>
    <w:basedOn w:val="Fuentedeprrafopredeter"/>
    <w:link w:val="Ttulo8"/>
    <w:uiPriority w:val="9"/>
    <w:semiHidden/>
    <w:rsid w:val="00BA1003"/>
    <w:rPr>
      <w:rFonts w:eastAsia="Times New Roman" w:cs="Times New Roman"/>
      <w:i/>
      <w:iCs/>
      <w:color w:val="272727"/>
    </w:rPr>
  </w:style>
  <w:style w:type="character" w:customStyle="1" w:styleId="Ttulo9Car">
    <w:name w:val="Título 9 Car"/>
    <w:basedOn w:val="Fuentedeprrafopredeter"/>
    <w:link w:val="Ttulo9"/>
    <w:uiPriority w:val="9"/>
    <w:semiHidden/>
    <w:rsid w:val="00BA1003"/>
    <w:rPr>
      <w:rFonts w:eastAsia="Times New Roman" w:cs="Times New Roman"/>
      <w:color w:val="272727"/>
    </w:rPr>
  </w:style>
  <w:style w:type="paragraph" w:customStyle="1" w:styleId="Subttulo1">
    <w:name w:val="Subtítulo1"/>
    <w:basedOn w:val="Normal"/>
    <w:next w:val="Normal"/>
    <w:uiPriority w:val="11"/>
    <w:qFormat/>
    <w:rsid w:val="00BA1003"/>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BA1003"/>
    <w:rPr>
      <w:rFonts w:eastAsia="Times New Roman" w:cs="Times New Roman"/>
      <w:color w:val="595959"/>
      <w:spacing w:val="15"/>
      <w:sz w:val="28"/>
      <w:szCs w:val="28"/>
    </w:rPr>
  </w:style>
  <w:style w:type="paragraph" w:customStyle="1" w:styleId="Cita1">
    <w:name w:val="Cita1"/>
    <w:basedOn w:val="Normal"/>
    <w:next w:val="Normal"/>
    <w:uiPriority w:val="29"/>
    <w:qFormat/>
    <w:rsid w:val="00BA1003"/>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BA1003"/>
    <w:rPr>
      <w:i/>
      <w:iCs/>
      <w:color w:val="404040"/>
    </w:rPr>
  </w:style>
  <w:style w:type="character" w:customStyle="1" w:styleId="nfasisintenso1">
    <w:name w:val="Énfasis intenso1"/>
    <w:basedOn w:val="Fuentedeprrafopredeter"/>
    <w:uiPriority w:val="21"/>
    <w:qFormat/>
    <w:rsid w:val="00BA1003"/>
    <w:rPr>
      <w:i/>
      <w:iCs/>
      <w:color w:val="0F4761"/>
    </w:rPr>
  </w:style>
  <w:style w:type="paragraph" w:customStyle="1" w:styleId="Citadestacada1">
    <w:name w:val="Cita destacada1"/>
    <w:basedOn w:val="Normal"/>
    <w:next w:val="Normal"/>
    <w:uiPriority w:val="30"/>
    <w:qFormat/>
    <w:rsid w:val="00BA1003"/>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BA1003"/>
    <w:rPr>
      <w:i/>
      <w:iCs/>
      <w:color w:val="0F4761"/>
    </w:rPr>
  </w:style>
  <w:style w:type="character" w:customStyle="1" w:styleId="Referenciaintensa1">
    <w:name w:val="Referencia intensa1"/>
    <w:basedOn w:val="Fuentedeprrafopredeter"/>
    <w:uiPriority w:val="32"/>
    <w:qFormat/>
    <w:rsid w:val="00BA1003"/>
    <w:rPr>
      <w:b/>
      <w:bCs/>
      <w:smallCaps/>
      <w:color w:val="0F4761"/>
      <w:spacing w:val="5"/>
    </w:rPr>
  </w:style>
  <w:style w:type="table" w:customStyle="1" w:styleId="Tablaconcuadrcula1">
    <w:name w:val="Tabla con cuadrícula1"/>
    <w:basedOn w:val="Tablanormal"/>
    <w:next w:val="Tablaconcuadrcula"/>
    <w:uiPriority w:val="39"/>
    <w:qFormat/>
    <w:rsid w:val="00BA10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A100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A1003"/>
    <w:rPr>
      <w:rFonts w:ascii="Geomanist Light" w:hAnsi="Geomanist Light"/>
      <w:lang w:val="es-ES"/>
    </w:rPr>
  </w:style>
  <w:style w:type="character" w:customStyle="1" w:styleId="superscript">
    <w:name w:val="superscript"/>
    <w:basedOn w:val="Fuentedeprrafopredeter"/>
    <w:rsid w:val="00BA1003"/>
  </w:style>
  <w:style w:type="character" w:customStyle="1" w:styleId="Ttulo1Car1">
    <w:name w:val="Título 1 Car1"/>
    <w:basedOn w:val="Fuentedeprrafopredeter"/>
    <w:uiPriority w:val="9"/>
    <w:rsid w:val="00BA1003"/>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BA1003"/>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BA1003"/>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BA1003"/>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BA1003"/>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BA1003"/>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BA1003"/>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BA1003"/>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BA1003"/>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BA1003"/>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BA1003"/>
    <w:rPr>
      <w:rFonts w:eastAsiaTheme="minorEastAsia"/>
      <w:color w:val="5A5A5A" w:themeColor="text1" w:themeTint="A5"/>
      <w:spacing w:val="15"/>
    </w:rPr>
  </w:style>
  <w:style w:type="paragraph" w:styleId="Cita">
    <w:name w:val="Quote"/>
    <w:basedOn w:val="Normal"/>
    <w:next w:val="Normal"/>
    <w:link w:val="CitaCar"/>
    <w:uiPriority w:val="29"/>
    <w:qFormat/>
    <w:rsid w:val="00BA1003"/>
    <w:pPr>
      <w:spacing w:before="200"/>
      <w:ind w:left="864" w:right="864"/>
      <w:jc w:val="center"/>
    </w:pPr>
    <w:rPr>
      <w:i/>
      <w:iCs/>
      <w:color w:val="404040"/>
    </w:rPr>
  </w:style>
  <w:style w:type="character" w:customStyle="1" w:styleId="CitaCar1">
    <w:name w:val="Cita Car1"/>
    <w:basedOn w:val="Fuentedeprrafopredeter"/>
    <w:uiPriority w:val="29"/>
    <w:rsid w:val="00BA1003"/>
    <w:rPr>
      <w:i/>
      <w:iCs/>
      <w:color w:val="404040" w:themeColor="text1" w:themeTint="BF"/>
    </w:rPr>
  </w:style>
  <w:style w:type="character" w:styleId="nfasisintenso">
    <w:name w:val="Intense Emphasis"/>
    <w:basedOn w:val="Fuentedeprrafopredeter"/>
    <w:uiPriority w:val="21"/>
    <w:qFormat/>
    <w:rsid w:val="00BA1003"/>
    <w:rPr>
      <w:i/>
      <w:iCs/>
      <w:color w:val="4472C4" w:themeColor="accent1"/>
    </w:rPr>
  </w:style>
  <w:style w:type="paragraph" w:styleId="Citadestacada">
    <w:name w:val="Intense Quote"/>
    <w:basedOn w:val="Normal"/>
    <w:next w:val="Normal"/>
    <w:link w:val="CitadestacadaCar"/>
    <w:uiPriority w:val="30"/>
    <w:qFormat/>
    <w:rsid w:val="00BA1003"/>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BA1003"/>
    <w:rPr>
      <w:i/>
      <w:iCs/>
      <w:color w:val="4472C4" w:themeColor="accent1"/>
    </w:rPr>
  </w:style>
  <w:style w:type="character" w:styleId="Referenciaintensa">
    <w:name w:val="Intense Reference"/>
    <w:basedOn w:val="Fuentedeprrafopredeter"/>
    <w:uiPriority w:val="32"/>
    <w:qFormat/>
    <w:rsid w:val="00BA1003"/>
    <w:rPr>
      <w:b/>
      <w:bCs/>
      <w:smallCaps/>
      <w:color w:val="4472C4" w:themeColor="accent1"/>
      <w:spacing w:val="5"/>
    </w:rPr>
  </w:style>
  <w:style w:type="character" w:styleId="Refdecomentario">
    <w:name w:val="annotation reference"/>
    <w:basedOn w:val="Fuentedeprrafopredeter"/>
    <w:uiPriority w:val="99"/>
    <w:semiHidden/>
    <w:unhideWhenUsed/>
    <w:rsid w:val="002C7898"/>
    <w:rPr>
      <w:sz w:val="16"/>
      <w:szCs w:val="16"/>
    </w:rPr>
  </w:style>
  <w:style w:type="paragraph" w:styleId="Textocomentario">
    <w:name w:val="annotation text"/>
    <w:basedOn w:val="Normal"/>
    <w:link w:val="TextocomentarioCar"/>
    <w:uiPriority w:val="99"/>
    <w:semiHidden/>
    <w:unhideWhenUsed/>
    <w:rsid w:val="002C789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C7898"/>
    <w:rPr>
      <w:sz w:val="20"/>
      <w:szCs w:val="20"/>
    </w:rPr>
  </w:style>
  <w:style w:type="paragraph" w:styleId="Asuntodelcomentario">
    <w:name w:val="annotation subject"/>
    <w:basedOn w:val="Textocomentario"/>
    <w:next w:val="Textocomentario"/>
    <w:link w:val="AsuntodelcomentarioCar"/>
    <w:uiPriority w:val="99"/>
    <w:semiHidden/>
    <w:unhideWhenUsed/>
    <w:rsid w:val="002C7898"/>
    <w:rPr>
      <w:b/>
      <w:bCs/>
    </w:rPr>
  </w:style>
  <w:style w:type="character" w:customStyle="1" w:styleId="AsuntodelcomentarioCar">
    <w:name w:val="Asunto del comentario Car"/>
    <w:basedOn w:val="TextocomentarioCar"/>
    <w:link w:val="Asuntodelcomentario"/>
    <w:uiPriority w:val="99"/>
    <w:semiHidden/>
    <w:rsid w:val="002C789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BA4538E-8818-4D90-971E-76198C494A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55</TotalTime>
  <Pages>41</Pages>
  <Words>13485</Words>
  <Characters>74173</Characters>
  <Application>Microsoft Office Word</Application>
  <DocSecurity>0</DocSecurity>
  <Lines>618</Lines>
  <Paragraphs>174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2023-01-10T18:18:00Z</cp:lastPrinted>
  <dcterms:created xsi:type="dcterms:W3CDTF">2026-03-19T01:30:00Z</dcterms:created>
  <dcterms:modified xsi:type="dcterms:W3CDTF">2026-03-20T16:18:00Z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