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96B5BB" w14:textId="77777777" w:rsidR="00A07EE7" w:rsidRPr="00C55BDE" w:rsidRDefault="00A07EE7" w:rsidP="00A07EE7">
      <w:pPr>
        <w:snapToGrid w:val="0"/>
        <w:contextualSpacing/>
        <w:jc w:val="both"/>
        <w:rPr>
          <w:rFonts w:ascii="Verdana" w:hAnsi="Verdana" w:cs="Arial"/>
          <w:b/>
          <w:bCs/>
          <w:lang w:val="es-ES" w:eastAsia="es-ES"/>
        </w:rPr>
      </w:pPr>
      <w:bookmarkStart w:id="0" w:name="_Hlk143780582"/>
      <w:r w:rsidRPr="00C55BDE">
        <w:rPr>
          <w:rFonts w:ascii="Verdana" w:hAnsi="Verdana" w:cs="Arial"/>
          <w:b/>
          <w:bCs/>
          <w:lang w:val="es-ES" w:eastAsia="es-ES"/>
        </w:rPr>
        <w:t>LEY DE GARANTÍAS ELECTORALES – Finalidad</w:t>
      </w:r>
    </w:p>
    <w:p w14:paraId="60C6AE7C" w14:textId="77777777" w:rsidR="00A07EE7" w:rsidRPr="00C55BDE" w:rsidRDefault="00A07EE7" w:rsidP="00A07EE7">
      <w:pPr>
        <w:snapToGrid w:val="0"/>
        <w:contextualSpacing/>
        <w:jc w:val="both"/>
        <w:rPr>
          <w:rFonts w:ascii="Verdana" w:hAnsi="Verdana" w:cs="Arial"/>
          <w:b/>
          <w:bCs/>
          <w:lang w:val="es-ES" w:eastAsia="es-ES"/>
        </w:rPr>
      </w:pPr>
    </w:p>
    <w:p w14:paraId="4120A616" w14:textId="77777777" w:rsidR="00A07EE7" w:rsidRPr="00C55BDE" w:rsidRDefault="00A07EE7" w:rsidP="00A07EE7">
      <w:pPr>
        <w:tabs>
          <w:tab w:val="left" w:pos="426"/>
        </w:tabs>
        <w:snapToGrid w:val="0"/>
        <w:spacing w:after="0" w:line="240" w:lineRule="auto"/>
        <w:contextualSpacing/>
        <w:jc w:val="both"/>
        <w:rPr>
          <w:rFonts w:ascii="Verdana" w:hAnsi="Verdana" w:cs="Arial"/>
          <w:sz w:val="20"/>
          <w:szCs w:val="20"/>
          <w:lang w:val="es-ES"/>
        </w:rPr>
      </w:pPr>
      <w:r w:rsidRPr="00C55BDE">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C55BDE">
        <w:rPr>
          <w:rFonts w:ascii="Verdana" w:hAnsi="Verdana" w:cs="Arial"/>
          <w:sz w:val="20"/>
          <w:szCs w:val="20"/>
          <w:lang w:val="es-ES"/>
        </w:rPr>
        <w:t xml:space="preserve"> </w:t>
      </w:r>
    </w:p>
    <w:p w14:paraId="1C906812" w14:textId="77777777" w:rsidR="00A07EE7" w:rsidRPr="00C55BDE" w:rsidRDefault="00A07EE7" w:rsidP="00A07EE7">
      <w:pPr>
        <w:snapToGrid w:val="0"/>
        <w:contextualSpacing/>
        <w:jc w:val="both"/>
        <w:rPr>
          <w:rFonts w:ascii="Verdana" w:hAnsi="Verdana" w:cs="Arial"/>
          <w:b/>
          <w:bCs/>
          <w:lang w:val="es-ES" w:eastAsia="es-ES"/>
        </w:rPr>
      </w:pPr>
    </w:p>
    <w:p w14:paraId="6AF5385A" w14:textId="77777777" w:rsidR="00A07EE7" w:rsidRPr="00C55BDE" w:rsidRDefault="00A07EE7" w:rsidP="00A07EE7">
      <w:pPr>
        <w:snapToGrid w:val="0"/>
        <w:contextualSpacing/>
        <w:jc w:val="both"/>
        <w:rPr>
          <w:rFonts w:ascii="Verdana" w:hAnsi="Verdana" w:cs="Arial"/>
          <w:b/>
          <w:bCs/>
          <w:sz w:val="20"/>
          <w:szCs w:val="20"/>
          <w:lang w:val="es-ES" w:eastAsia="es-ES"/>
        </w:rPr>
      </w:pPr>
      <w:r w:rsidRPr="00C55BDE">
        <w:rPr>
          <w:rFonts w:ascii="Verdana" w:hAnsi="Verdana" w:cs="Arial"/>
          <w:b/>
          <w:bCs/>
          <w:lang w:val="es-ES" w:eastAsia="es-ES"/>
        </w:rPr>
        <w:t>LEY DE GARANTÍAS ELECTORALES ‒ Restricciones ‒ Contratación ‒ Tipos de elección</w:t>
      </w:r>
      <w:r>
        <w:rPr>
          <w:rFonts w:ascii="Verdana" w:hAnsi="Verdana" w:cs="Arial"/>
          <w:b/>
          <w:bCs/>
          <w:lang w:val="es-ES" w:eastAsia="es-ES"/>
        </w:rPr>
        <w:t xml:space="preserve"> </w:t>
      </w:r>
      <w:r w:rsidRPr="00C55BDE">
        <w:rPr>
          <w:rFonts w:ascii="Verdana" w:hAnsi="Verdana" w:cs="Arial"/>
          <w:b/>
          <w:bCs/>
          <w:lang w:val="es-ES" w:eastAsia="es-ES"/>
        </w:rPr>
        <w:t>‒</w:t>
      </w:r>
      <w:r>
        <w:rPr>
          <w:rFonts w:ascii="Verdana" w:hAnsi="Verdana" w:cs="Arial"/>
          <w:b/>
          <w:bCs/>
          <w:lang w:val="es-ES" w:eastAsia="es-ES"/>
        </w:rPr>
        <w:t xml:space="preserve"> Celebración </w:t>
      </w:r>
    </w:p>
    <w:p w14:paraId="5C7FCF47" w14:textId="77777777" w:rsidR="00A07EE7" w:rsidRPr="00C55BDE" w:rsidRDefault="00A07EE7" w:rsidP="00A07EE7">
      <w:pPr>
        <w:snapToGrid w:val="0"/>
        <w:spacing w:after="0" w:line="240" w:lineRule="auto"/>
        <w:contextualSpacing/>
        <w:jc w:val="both"/>
        <w:rPr>
          <w:rFonts w:ascii="Verdana" w:hAnsi="Verdana" w:cs="Arial"/>
          <w:sz w:val="20"/>
          <w:szCs w:val="20"/>
          <w:lang w:val="es-ES" w:eastAsia="es-ES"/>
        </w:rPr>
      </w:pPr>
    </w:p>
    <w:p w14:paraId="2E3FB6ED" w14:textId="77777777" w:rsidR="00A07EE7" w:rsidRPr="00C55BDE" w:rsidRDefault="00A07EE7" w:rsidP="00A07EE7">
      <w:pPr>
        <w:snapToGrid w:val="0"/>
        <w:spacing w:after="0" w:line="240" w:lineRule="auto"/>
        <w:contextualSpacing/>
        <w:jc w:val="both"/>
        <w:rPr>
          <w:rFonts w:ascii="Verdana" w:hAnsi="Verdana" w:cs="Arial"/>
          <w:sz w:val="20"/>
          <w:szCs w:val="20"/>
          <w:lang w:val="es-ES"/>
        </w:rPr>
      </w:pPr>
      <w:r w:rsidRPr="00C55BDE">
        <w:rPr>
          <w:rFonts w:ascii="Verdana" w:hAnsi="Verdana" w:cs="Arial"/>
          <w:sz w:val="20"/>
          <w:szCs w:val="20"/>
          <w:lang w:val="es-ES"/>
        </w:rPr>
        <w:t xml:space="preserve">Por un lado, el </w:t>
      </w:r>
      <w:r w:rsidRPr="00C55BDE">
        <w:rPr>
          <w:rFonts w:ascii="Verdana" w:hAnsi="Verdana" w:cs="Arial"/>
          <w:i/>
          <w:iCs/>
          <w:sz w:val="20"/>
          <w:szCs w:val="20"/>
          <w:lang w:val="es-ES"/>
        </w:rPr>
        <w:t xml:space="preserve">artículo 33 </w:t>
      </w:r>
      <w:r w:rsidRPr="00C55BDE">
        <w:rPr>
          <w:rFonts w:ascii="Verdana" w:hAnsi="Verdana" w:cs="Arial"/>
          <w:sz w:val="20"/>
          <w:szCs w:val="20"/>
          <w:lang w:val="es-ES"/>
        </w:rPr>
        <w:t xml:space="preserve">de la Ley 996 de 2005 prohíbe “[…] la contratación directa por parte de </w:t>
      </w:r>
      <w:r w:rsidRPr="00C55BDE">
        <w:rPr>
          <w:rFonts w:ascii="Verdana" w:hAnsi="Verdana" w:cs="Arial"/>
          <w:i/>
          <w:iCs/>
          <w:sz w:val="20"/>
          <w:szCs w:val="20"/>
          <w:lang w:val="es-ES"/>
        </w:rPr>
        <w:t>todos los entes del Estado</w:t>
      </w:r>
      <w:r w:rsidRPr="00C55BDE">
        <w:rPr>
          <w:rFonts w:ascii="Verdana" w:hAnsi="Verdana" w:cs="Arial"/>
          <w:sz w:val="20"/>
          <w:szCs w:val="20"/>
          <w:lang w:val="es-ES"/>
        </w:rPr>
        <w:t xml:space="preserve">” durante los cuatro (4) meses anteriores a las </w:t>
      </w:r>
      <w:r w:rsidRPr="00C55BDE">
        <w:rPr>
          <w:rFonts w:ascii="Verdana" w:hAnsi="Verdana" w:cs="Arial"/>
          <w:i/>
          <w:iCs/>
          <w:sz w:val="20"/>
          <w:szCs w:val="20"/>
          <w:lang w:val="es-ES"/>
        </w:rPr>
        <w:t>elecciones presidenciales</w:t>
      </w:r>
      <w:r w:rsidRPr="00C55BDE">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D597DA9" w14:textId="77777777" w:rsidR="00A07EE7" w:rsidRPr="00C55BDE" w:rsidRDefault="00A07EE7" w:rsidP="00A07EE7">
      <w:pPr>
        <w:snapToGrid w:val="0"/>
        <w:spacing w:after="0" w:line="240" w:lineRule="auto"/>
        <w:contextualSpacing/>
        <w:jc w:val="both"/>
        <w:rPr>
          <w:rFonts w:ascii="Verdana" w:hAnsi="Verdana" w:cs="Arial"/>
          <w:sz w:val="20"/>
          <w:szCs w:val="20"/>
          <w:lang w:val="es-ES"/>
        </w:rPr>
      </w:pPr>
    </w:p>
    <w:p w14:paraId="4D3694E2" w14:textId="77777777" w:rsidR="00A07EE7" w:rsidRDefault="00A07EE7" w:rsidP="00A07EE7">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C55BDE">
        <w:rPr>
          <w:rFonts w:ascii="Verdana" w:hAnsi="Verdana" w:cs="Arial"/>
          <w:sz w:val="20"/>
          <w:szCs w:val="20"/>
          <w:lang w:val="es-ES"/>
        </w:rPr>
        <w:t xml:space="preserve">Por otro lado, </w:t>
      </w:r>
      <w:r w:rsidRPr="00C55BDE">
        <w:rPr>
          <w:rFonts w:ascii="Verdana" w:hAnsi="Verdana" w:cs="Arial"/>
          <w:i/>
          <w:iCs/>
          <w:sz w:val="20"/>
          <w:szCs w:val="20"/>
          <w:lang w:val="es-ES"/>
        </w:rPr>
        <w:t xml:space="preserve">el parágrafo del artículo 38 </w:t>
      </w:r>
      <w:r w:rsidRPr="00C55BDE">
        <w:rPr>
          <w:rFonts w:ascii="Verdana" w:hAnsi="Verdana" w:cs="Arial"/>
          <w:sz w:val="20"/>
          <w:szCs w:val="20"/>
          <w:lang w:val="es-ES"/>
        </w:rPr>
        <w:t xml:space="preserve">de la Ley 996 de 2005 prevé una restricción, aplicable respecto de </w:t>
      </w:r>
      <w:r w:rsidRPr="00C55BDE">
        <w:rPr>
          <w:rFonts w:ascii="Verdana" w:hAnsi="Verdana" w:cs="Arial"/>
          <w:i/>
          <w:iCs/>
          <w:sz w:val="20"/>
          <w:szCs w:val="20"/>
          <w:lang w:val="es-ES"/>
        </w:rPr>
        <w:t>cualquier tipo de contienda electoral</w:t>
      </w:r>
      <w:r w:rsidRPr="00C55BDE">
        <w:rPr>
          <w:rFonts w:ascii="Verdana"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55BDE">
        <w:rPr>
          <w:rFonts w:ascii="Verdana" w:eastAsia="Arial" w:hAnsi="Verdana" w:cs="Arial"/>
          <w:sz w:val="20"/>
          <w:szCs w:val="20"/>
          <w:lang w:val="es-ES" w:eastAsia="es-ES" w:bidi="es-ES"/>
        </w:rPr>
        <w:t xml:space="preserve"> </w:t>
      </w:r>
    </w:p>
    <w:p w14:paraId="41FA8FCC" w14:textId="77777777" w:rsidR="00A07EE7" w:rsidRDefault="00A07EE7" w:rsidP="00A07EE7">
      <w:pPr>
        <w:spacing w:after="0"/>
        <w:jc w:val="both"/>
        <w:rPr>
          <w:rFonts w:ascii="Verdana" w:hAnsi="Verdana" w:cs="Arial"/>
          <w:b/>
          <w:lang w:val="es-MX" w:eastAsia="es-ES_tradnl"/>
        </w:rPr>
      </w:pPr>
    </w:p>
    <w:p w14:paraId="446B5BF4" w14:textId="77777777" w:rsidR="00A07EE7" w:rsidRDefault="00A07EE7" w:rsidP="00A07EE7">
      <w:pPr>
        <w:spacing w:after="0"/>
        <w:jc w:val="both"/>
        <w:rPr>
          <w:rFonts w:ascii="Verdana" w:hAnsi="Verdana" w:cs="Arial"/>
          <w:sz w:val="20"/>
          <w:szCs w:val="20"/>
          <w:lang w:val="es-ES"/>
        </w:rPr>
      </w:pPr>
      <w:r w:rsidRPr="00C55BDE">
        <w:rPr>
          <w:rFonts w:ascii="Verdana" w:hAnsi="Verdana" w:cs="Arial"/>
          <w:sz w:val="20"/>
          <w:szCs w:val="20"/>
          <w:lang w:val="es-ES"/>
        </w:rPr>
        <w:t>[…]</w:t>
      </w:r>
    </w:p>
    <w:p w14:paraId="65B3671F" w14:textId="77777777" w:rsidR="00A07EE7" w:rsidRPr="009B5A20" w:rsidRDefault="00A07EE7" w:rsidP="00A07EE7">
      <w:pPr>
        <w:spacing w:after="0"/>
        <w:jc w:val="both"/>
        <w:rPr>
          <w:rFonts w:ascii="Verdana" w:hAnsi="Verdana" w:cs="Arial"/>
          <w:b/>
          <w:lang w:val="es-MX" w:eastAsia="es-ES_tradnl"/>
        </w:rPr>
      </w:pPr>
    </w:p>
    <w:p w14:paraId="2E87F50B" w14:textId="77777777" w:rsidR="00A07EE7" w:rsidRPr="002D1555" w:rsidRDefault="00A07EE7" w:rsidP="00A07EE7">
      <w:pPr>
        <w:spacing w:after="0" w:line="240" w:lineRule="auto"/>
        <w:jc w:val="both"/>
        <w:rPr>
          <w:rFonts w:ascii="Verdana" w:hAnsi="Verdana" w:cs="Arial"/>
          <w:sz w:val="20"/>
          <w:szCs w:val="20"/>
          <w:lang w:val="es-ES"/>
        </w:rPr>
      </w:pPr>
      <w:r w:rsidRPr="002D1555">
        <w:rPr>
          <w:rFonts w:ascii="Verdana" w:hAnsi="Verdana" w:cs="Arial"/>
          <w:sz w:val="20"/>
          <w:szCs w:val="20"/>
          <w:lang w:val="es-ES"/>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 de los contratos estatales, es decir, la producción de efectos jurídicos en los términos del artículo 1501 ibidem,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w:t>
      </w:r>
      <w:r w:rsidRPr="002D1555">
        <w:rPr>
          <w:rFonts w:ascii="Verdana" w:hAnsi="Verdana" w:cs="Arial"/>
          <w:sz w:val="20"/>
          <w:szCs w:val="20"/>
          <w:lang w:val="es-ES"/>
        </w:rPr>
        <w:lastRenderedPageBreak/>
        <w:t xml:space="preserve">formalidad”. Por otra parte, “Los contratos del Estado se perfeccionan cuando se logre acuerdo sobre el objeto y la contraprestación y éste se eleve a escrito”. </w:t>
      </w:r>
    </w:p>
    <w:p w14:paraId="30D0663D" w14:textId="77777777" w:rsidR="00A07EE7" w:rsidRPr="009B5A20" w:rsidRDefault="00A07EE7" w:rsidP="00A07EE7">
      <w:pPr>
        <w:spacing w:after="0" w:line="240" w:lineRule="auto"/>
        <w:jc w:val="both"/>
        <w:rPr>
          <w:rFonts w:ascii="Verdana" w:hAnsi="Verdana" w:cs="Arial"/>
          <w:b/>
          <w:bCs/>
          <w:sz w:val="20"/>
          <w:szCs w:val="20"/>
          <w:lang w:val="es-MX" w:eastAsia="es-ES_tradnl"/>
        </w:rPr>
      </w:pPr>
    </w:p>
    <w:p w14:paraId="45EEF153" w14:textId="77777777" w:rsidR="00A07EE7" w:rsidRDefault="00A07EE7" w:rsidP="00A07EE7">
      <w:pPr>
        <w:spacing w:line="276" w:lineRule="auto"/>
        <w:jc w:val="both"/>
        <w:rPr>
          <w:rFonts w:ascii="Verdana" w:hAnsi="Verdana" w:cs="Arial"/>
          <w:b/>
          <w:bCs/>
          <w:color w:val="000000" w:themeColor="text1"/>
          <w:shd w:val="clear" w:color="auto" w:fill="FFFFFF"/>
          <w:lang w:val="es-ES"/>
        </w:rPr>
      </w:pPr>
      <w:r w:rsidRPr="009B5A20">
        <w:rPr>
          <w:rFonts w:ascii="Verdana" w:hAnsi="Verdana" w:cs="Arial"/>
          <w:b/>
          <w:bCs/>
          <w:color w:val="000000" w:themeColor="text1"/>
          <w:shd w:val="clear" w:color="auto" w:fill="FFFFFF"/>
          <w:lang w:val="es-ES"/>
        </w:rPr>
        <w:t>SECOP II </w:t>
      </w:r>
      <w:r w:rsidRPr="009B5A20">
        <w:rPr>
          <w:rFonts w:ascii="Verdana" w:hAnsi="Verdana" w:cs="Arial"/>
          <w:b/>
          <w:bCs/>
          <w:color w:val="000000" w:themeColor="text1"/>
          <w:shd w:val="clear" w:color="auto" w:fill="FFFFFF"/>
          <w:lang w:val="es-MX"/>
        </w:rPr>
        <w:t>–</w:t>
      </w:r>
      <w:r w:rsidRPr="009B5A20">
        <w:rPr>
          <w:rFonts w:ascii="Verdana" w:hAnsi="Verdana" w:cs="Arial"/>
          <w:b/>
          <w:bCs/>
          <w:color w:val="000000" w:themeColor="text1"/>
          <w:shd w:val="clear" w:color="auto" w:fill="FFFFFF"/>
          <w:lang w:val="es-ES"/>
        </w:rPr>
        <w:t xml:space="preserve"> Plataforma Transaccional </w:t>
      </w:r>
    </w:p>
    <w:p w14:paraId="7AACDBB5" w14:textId="77777777" w:rsidR="00A07EE7" w:rsidRDefault="00A07EE7" w:rsidP="00A07EE7">
      <w:pPr>
        <w:spacing w:after="0" w:line="240" w:lineRule="auto"/>
        <w:jc w:val="both"/>
        <w:rPr>
          <w:rFonts w:ascii="Verdana" w:eastAsia="Times New Roman" w:hAnsi="Verdana" w:cs="Arial"/>
          <w:sz w:val="20"/>
          <w:szCs w:val="20"/>
          <w:lang w:eastAsia="x-none"/>
        </w:rPr>
      </w:pPr>
      <w:r w:rsidRPr="009B5A20">
        <w:rPr>
          <w:rFonts w:ascii="Verdana" w:eastAsia="Times New Roman" w:hAnsi="Verdana" w:cs="Arial"/>
          <w:sz w:val="20"/>
          <w:szCs w:val="20"/>
          <w:lang w:eastAsia="x-none"/>
        </w:rPr>
        <w:t>En primer lugar, es importante destacar que el SECOP II es una plataforma transaccional, que permite gestionar en línea todos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Por su parte, los proveedores pueden hacer comentarios a los documentos del procedimiento, presentar ofertas y seguir el procedimiento de selección en línea.</w:t>
      </w:r>
    </w:p>
    <w:p w14:paraId="5475B7CC" w14:textId="77777777" w:rsidR="00A07EE7" w:rsidRPr="009B5A20" w:rsidRDefault="00A07EE7" w:rsidP="00A07EE7">
      <w:pPr>
        <w:spacing w:after="0" w:line="240" w:lineRule="auto"/>
        <w:jc w:val="both"/>
        <w:rPr>
          <w:rFonts w:ascii="Verdana" w:eastAsia="Times New Roman" w:hAnsi="Verdana" w:cs="Arial"/>
          <w:sz w:val="20"/>
          <w:szCs w:val="20"/>
          <w:lang w:eastAsia="x-none"/>
        </w:rPr>
      </w:pPr>
    </w:p>
    <w:p w14:paraId="4318EF7E" w14:textId="77777777" w:rsidR="00A07EE7" w:rsidRDefault="00A07EE7" w:rsidP="00A07EE7">
      <w:pPr>
        <w:spacing w:after="0" w:line="240" w:lineRule="auto"/>
        <w:jc w:val="both"/>
        <w:rPr>
          <w:rFonts w:ascii="Verdana" w:eastAsia="Times New Roman" w:hAnsi="Verdana" w:cs="Arial"/>
          <w:sz w:val="20"/>
          <w:szCs w:val="20"/>
          <w:lang w:eastAsia="x-none"/>
        </w:rPr>
      </w:pPr>
      <w:r w:rsidRPr="009B5A20">
        <w:rPr>
          <w:rFonts w:ascii="Verdana" w:eastAsia="Times New Roman" w:hAnsi="Verdana" w:cs="Arial"/>
          <w:sz w:val="20"/>
          <w:szCs w:val="20"/>
          <w:lang w:eastAsia="x-none"/>
        </w:rPr>
        <w:t>En este sentido, en el SECOP II el procedimiento contractual se desarrolla en línea y dentro de la plataforma, conformándose un expediente electrónico, lo cual denota una diferencia con el SECOP I, donde el procedimiento se desarrolla de manera física, esto es, con documentos escritos que se publican para cumplir las obligaciones de las entidades antes señaladas. Al existir esa diferencia entre las dos versiones del SECOP, no es posible realizar en SECOP II actuaciones por escrito que son propias del SECOP I, sino que los documentos y actuaciones son electrónicas.</w:t>
      </w:r>
    </w:p>
    <w:p w14:paraId="2EA87B35" w14:textId="77777777" w:rsidR="00A07EE7" w:rsidRPr="009B5A20" w:rsidRDefault="00A07EE7" w:rsidP="00A07EE7">
      <w:pPr>
        <w:spacing w:after="0" w:line="240" w:lineRule="auto"/>
        <w:jc w:val="both"/>
        <w:rPr>
          <w:rFonts w:ascii="Verdana" w:eastAsia="Times New Roman" w:hAnsi="Verdana" w:cs="Arial"/>
          <w:sz w:val="20"/>
          <w:szCs w:val="20"/>
          <w:lang w:eastAsia="x-none"/>
        </w:rPr>
      </w:pPr>
    </w:p>
    <w:p w14:paraId="108B7035" w14:textId="77777777" w:rsidR="00A07EE7" w:rsidRDefault="00A07EE7" w:rsidP="00A07EE7">
      <w:pPr>
        <w:spacing w:after="0" w:line="276" w:lineRule="auto"/>
        <w:jc w:val="both"/>
        <w:rPr>
          <w:rFonts w:ascii="Verdana" w:hAnsi="Verdana" w:cs="Arial"/>
          <w:b/>
          <w:bCs/>
          <w:color w:val="000000" w:themeColor="text1"/>
          <w:shd w:val="clear" w:color="auto" w:fill="FFFFFF"/>
          <w:lang w:val="es-MX"/>
        </w:rPr>
      </w:pPr>
      <w:r w:rsidRPr="009B5A20">
        <w:rPr>
          <w:rFonts w:ascii="Verdana" w:hAnsi="Verdana" w:cs="Arial"/>
          <w:b/>
          <w:bCs/>
          <w:color w:val="000000" w:themeColor="text1"/>
          <w:shd w:val="clear" w:color="auto" w:fill="FFFFFF"/>
          <w:lang w:val="es-ES"/>
        </w:rPr>
        <w:t>SECOP II </w:t>
      </w:r>
      <w:r w:rsidRPr="009B5A20">
        <w:rPr>
          <w:rFonts w:ascii="Verdana" w:hAnsi="Verdana" w:cs="Arial"/>
          <w:b/>
          <w:bCs/>
          <w:color w:val="000000" w:themeColor="text1"/>
          <w:shd w:val="clear" w:color="auto" w:fill="FFFFFF"/>
          <w:lang w:val="es-MX"/>
        </w:rPr>
        <w:t>–</w:t>
      </w:r>
      <w:r w:rsidRPr="009B5A20">
        <w:rPr>
          <w:rFonts w:ascii="Verdana" w:hAnsi="Verdana" w:cs="Arial"/>
          <w:b/>
          <w:bCs/>
          <w:color w:val="000000" w:themeColor="text1"/>
          <w:shd w:val="clear" w:color="auto" w:fill="FFFFFF"/>
          <w:lang w:val="es-ES"/>
        </w:rPr>
        <w:t xml:space="preserve"> Contrato electrónico </w:t>
      </w:r>
      <w:r w:rsidRPr="009B5A20">
        <w:rPr>
          <w:rFonts w:ascii="Verdana" w:eastAsia="Calibri" w:hAnsi="Verdana" w:cs="Arial"/>
          <w:b/>
          <w:bCs/>
          <w:lang w:val="es-ES" w:eastAsia="es-ES"/>
        </w:rPr>
        <w:t xml:space="preserve">– Aprobación </w:t>
      </w:r>
      <w:r w:rsidRPr="009B5A20">
        <w:rPr>
          <w:rFonts w:ascii="Verdana" w:hAnsi="Verdana" w:cs="Arial"/>
          <w:b/>
          <w:bCs/>
          <w:color w:val="000000" w:themeColor="text1"/>
          <w:shd w:val="clear" w:color="auto" w:fill="FFFFFF"/>
          <w:lang w:val="es-MX"/>
        </w:rPr>
        <w:t>– Perfeccionamiento</w:t>
      </w:r>
    </w:p>
    <w:p w14:paraId="505C4D76" w14:textId="77777777" w:rsidR="00A07EE7" w:rsidRPr="00933ADA" w:rsidRDefault="00A07EE7" w:rsidP="00A07EE7">
      <w:pPr>
        <w:spacing w:after="0" w:line="276" w:lineRule="auto"/>
        <w:jc w:val="both"/>
        <w:rPr>
          <w:rFonts w:ascii="Verdana" w:hAnsi="Verdana" w:cs="Arial"/>
          <w:b/>
          <w:bCs/>
          <w:color w:val="000000" w:themeColor="text1"/>
          <w:shd w:val="clear" w:color="auto" w:fill="FFFFFF"/>
          <w:lang w:val="es-MX"/>
        </w:rPr>
      </w:pPr>
    </w:p>
    <w:p w14:paraId="00148827" w14:textId="77777777" w:rsidR="00A07EE7" w:rsidRDefault="00A07EE7" w:rsidP="00A07EE7">
      <w:pPr>
        <w:spacing w:after="0" w:line="240" w:lineRule="auto"/>
        <w:jc w:val="both"/>
        <w:rPr>
          <w:rFonts w:ascii="Verdana" w:eastAsia="Times New Roman" w:hAnsi="Verdana" w:cs="Arial"/>
          <w:sz w:val="20"/>
          <w:szCs w:val="20"/>
          <w:lang w:eastAsia="x-none"/>
        </w:rPr>
      </w:pPr>
      <w:r w:rsidRPr="00B652CB">
        <w:rPr>
          <w:rFonts w:ascii="Verdana" w:eastAsia="Times New Roman" w:hAnsi="Verdana" w:cs="Arial"/>
          <w:sz w:val="20"/>
          <w:szCs w:val="20"/>
          <w:lang w:eastAsia="x-none"/>
        </w:rPr>
        <w:t>Así las cosas, cuando el proceso de contratación se adelanta por el SECOP II la aprobación del contrato para su perfeccionamiento y posterior ejecución deberá efectuarse en dicha plataforma de conformidad con el procedimiento descrito. En todo caso, hasta que no se efectué la aprobación en el SECOP II por parte del ordenador del gasto de la Entidad no se entiende perfeccionado el contrato.</w:t>
      </w:r>
    </w:p>
    <w:p w14:paraId="2EB8034E" w14:textId="77777777" w:rsidR="00A07EE7" w:rsidRPr="00B652CB" w:rsidRDefault="00A07EE7" w:rsidP="00A07EE7">
      <w:pPr>
        <w:spacing w:after="0" w:line="240" w:lineRule="auto"/>
        <w:jc w:val="both"/>
        <w:rPr>
          <w:rFonts w:ascii="Verdana" w:eastAsia="Times New Roman" w:hAnsi="Verdana" w:cs="Arial"/>
          <w:sz w:val="20"/>
          <w:szCs w:val="20"/>
          <w:lang w:eastAsia="x-none"/>
        </w:rPr>
      </w:pPr>
    </w:p>
    <w:p w14:paraId="64639795" w14:textId="77777777" w:rsidR="00A07EE7" w:rsidRPr="00DE72BE" w:rsidRDefault="00A07EE7" w:rsidP="00A07EE7">
      <w:pPr>
        <w:spacing w:line="276" w:lineRule="auto"/>
        <w:jc w:val="both"/>
        <w:rPr>
          <w:rFonts w:ascii="Verdana" w:hAnsi="Verdana" w:cs="Arial"/>
          <w:b/>
          <w:bCs/>
          <w:lang w:val="es-ES" w:eastAsia="es-ES"/>
        </w:rPr>
      </w:pPr>
      <w:r w:rsidRPr="009B5A20">
        <w:rPr>
          <w:rFonts w:ascii="Verdana" w:hAnsi="Verdana" w:cs="Arial"/>
          <w:b/>
          <w:bCs/>
          <w:color w:val="000000" w:themeColor="text1"/>
          <w:shd w:val="clear" w:color="auto" w:fill="FFFFFF"/>
          <w:lang w:val="es-ES"/>
        </w:rPr>
        <w:t>SECOP II </w:t>
      </w:r>
      <w:r w:rsidRPr="009B5A20">
        <w:rPr>
          <w:rFonts w:ascii="Verdana" w:hAnsi="Verdana" w:cs="Arial"/>
          <w:b/>
          <w:bCs/>
          <w:color w:val="000000" w:themeColor="text1"/>
          <w:shd w:val="clear" w:color="auto" w:fill="FFFFFF"/>
          <w:lang w:val="es-MX"/>
        </w:rPr>
        <w:t xml:space="preserve">– Aplicación ley de garantías – Nulidad </w:t>
      </w:r>
    </w:p>
    <w:p w14:paraId="5BBB2B35" w14:textId="77777777" w:rsidR="00A07EE7" w:rsidRPr="00B652CB" w:rsidRDefault="00A07EE7" w:rsidP="00A07EE7">
      <w:pPr>
        <w:spacing w:after="0" w:line="240" w:lineRule="auto"/>
        <w:jc w:val="both"/>
        <w:rPr>
          <w:rFonts w:ascii="Verdana" w:eastAsia="Times New Roman" w:hAnsi="Verdana" w:cs="Arial"/>
          <w:sz w:val="20"/>
          <w:szCs w:val="20"/>
          <w:lang w:eastAsia="x-none"/>
        </w:rPr>
      </w:pPr>
      <w:r w:rsidRPr="00B652CB">
        <w:rPr>
          <w:rFonts w:ascii="Verdana" w:eastAsia="Times New Roman" w:hAnsi="Verdana" w:cs="Arial"/>
          <w:sz w:val="20"/>
          <w:szCs w:val="20"/>
          <w:lang w:eastAsia="x-none"/>
        </w:rPr>
        <w:t xml:space="preserve">Así las cosas, tratándose de procesos gestionados en SECOP II, las actuaciones necesarias para que el contrato adquiera el estado de “firmado” deben realizarse antes de la </w:t>
      </w:r>
      <w:proofErr w:type="gramStart"/>
      <w:r w:rsidRPr="00B652CB">
        <w:rPr>
          <w:rFonts w:ascii="Verdana" w:eastAsia="Times New Roman" w:hAnsi="Verdana" w:cs="Arial"/>
          <w:sz w:val="20"/>
          <w:szCs w:val="20"/>
          <w:lang w:eastAsia="x-none"/>
        </w:rPr>
        <w:t>entrada en vigencia</w:t>
      </w:r>
      <w:proofErr w:type="gramEnd"/>
      <w:r w:rsidRPr="00B652CB">
        <w:rPr>
          <w:rFonts w:ascii="Verdana" w:eastAsia="Times New Roman" w:hAnsi="Verdana" w:cs="Arial"/>
          <w:sz w:val="20"/>
          <w:szCs w:val="20"/>
          <w:lang w:eastAsia="x-none"/>
        </w:rPr>
        <w:t xml:space="preserve"> de las restricciones previstas en la Ley de Garantías Electorales. De lo contrario, si el perfeccionamiento, es decir, si la aprobación final por parte del ordenador del gasto y su registro como estado “firmado” en la plataforma se produce cuando ya se encuentra vigente la prohibición establecida en el artículo 33 ibidem, se entiende que el contrato fue celebrado en vigencia de dicha restricción, con las consecuencias jurídicas a que haya lugar, sin que resulte suficiente que etapas previas del proceso se hubieren adelantado con anterioridad.</w:t>
      </w:r>
    </w:p>
    <w:p w14:paraId="367588AA" w14:textId="77777777" w:rsidR="00A07EE7" w:rsidRDefault="00A07EE7" w:rsidP="00A07EE7">
      <w:pPr>
        <w:spacing w:after="0" w:line="240" w:lineRule="auto"/>
        <w:rPr>
          <w:rFonts w:ascii="Verdana" w:hAnsi="Verdana"/>
        </w:rPr>
      </w:pPr>
    </w:p>
    <w:p w14:paraId="5608B7A0" w14:textId="77777777" w:rsidR="00A07EE7" w:rsidRDefault="00A07EE7" w:rsidP="00A07EE7">
      <w:pPr>
        <w:spacing w:after="0" w:line="240" w:lineRule="auto"/>
        <w:jc w:val="both"/>
        <w:rPr>
          <w:rFonts w:ascii="Verdana" w:eastAsia="Times New Roman" w:hAnsi="Verdana" w:cs="Arial"/>
          <w:bCs/>
          <w:sz w:val="20"/>
          <w:szCs w:val="20"/>
          <w:lang w:eastAsia="x-none"/>
        </w:rPr>
      </w:pPr>
      <w:r w:rsidRPr="009B5A20">
        <w:rPr>
          <w:rFonts w:ascii="Verdana" w:eastAsia="Arial" w:hAnsi="Verdana" w:cs="Arial"/>
          <w:sz w:val="20"/>
          <w:szCs w:val="20"/>
          <w:lang w:val="es-MX" w:eastAsia="es-ES" w:bidi="es-ES"/>
        </w:rPr>
        <w:t>[…]</w:t>
      </w:r>
    </w:p>
    <w:p w14:paraId="2779551C" w14:textId="77777777" w:rsidR="00A07EE7" w:rsidRDefault="00A07EE7" w:rsidP="00A07EE7">
      <w:pPr>
        <w:spacing w:after="0" w:line="240" w:lineRule="auto"/>
        <w:rPr>
          <w:rFonts w:ascii="Verdana" w:hAnsi="Verdana"/>
        </w:rPr>
      </w:pPr>
    </w:p>
    <w:p w14:paraId="74C2E0CB" w14:textId="77777777" w:rsidR="00A07EE7" w:rsidRPr="00B652CB" w:rsidRDefault="00A07EE7" w:rsidP="00A07EE7">
      <w:pPr>
        <w:spacing w:after="0" w:line="240" w:lineRule="auto"/>
        <w:jc w:val="both"/>
        <w:rPr>
          <w:rFonts w:ascii="Verdana" w:eastAsia="Times New Roman" w:hAnsi="Verdana" w:cs="Arial"/>
          <w:sz w:val="20"/>
          <w:szCs w:val="20"/>
          <w:lang w:eastAsia="x-none"/>
        </w:rPr>
      </w:pPr>
      <w:r w:rsidRPr="00B652CB">
        <w:rPr>
          <w:rFonts w:ascii="Verdana" w:eastAsia="Times New Roman" w:hAnsi="Verdana" w:cs="Arial"/>
          <w:sz w:val="20"/>
          <w:szCs w:val="20"/>
          <w:lang w:eastAsia="x-none"/>
        </w:rPr>
        <w:lastRenderedPageBreak/>
        <w:t>Cuando el perfeccionamiento del contrato en la plataforma del SECOP II ocurre en vigencia de las restricciones establecidas en la Ley de Garantías Electorales, la entidad deberá revisar la validez del contrato y analizar una posible configuración de nulidad a la luz de lo dispuesto en el artículo 44 de la Ley 80 de 1993. Sobre el régimen de nulidad, la norma en cita señala como causales de nulidad del contrato estatal, las siguientes: 1. Que el contrato se celebre con personas incursas en causales de inhabilidad o incompatibilidad previstas en la Constitución y la ley. 2. Que se celebre contra expresa prohibición constitucional o legal. 3. Que se celebre con abuso o desviación de poder. 4. Que se declaren nulos los actos administrativos en que se fundamenten. 5. Que se hubieren celebrado con desconocimiento de los criterios previstos para el tratamiento de ofertas nacionales y extranjeras o con violación de la reciprocidad.</w:t>
      </w:r>
    </w:p>
    <w:p w14:paraId="7336D2D7" w14:textId="77777777" w:rsidR="00A07EE7" w:rsidRDefault="00A07EE7" w:rsidP="00A07EE7">
      <w:pPr>
        <w:spacing w:after="0" w:line="240" w:lineRule="auto"/>
        <w:rPr>
          <w:rFonts w:ascii="Verdana" w:hAnsi="Verdana"/>
        </w:rPr>
      </w:pPr>
    </w:p>
    <w:p w14:paraId="19436F21" w14:textId="77777777" w:rsidR="00A07EE7" w:rsidRDefault="00A07EE7" w:rsidP="00A07EE7">
      <w:pPr>
        <w:spacing w:after="0" w:line="240" w:lineRule="auto"/>
        <w:rPr>
          <w:rFonts w:ascii="Verdana" w:hAnsi="Verdana"/>
        </w:rPr>
      </w:pPr>
    </w:p>
    <w:p w14:paraId="4B0B038E" w14:textId="77777777" w:rsidR="00A07EE7" w:rsidRDefault="00A07EE7" w:rsidP="00A07EE7">
      <w:pPr>
        <w:spacing w:after="0" w:line="240" w:lineRule="auto"/>
        <w:rPr>
          <w:rFonts w:ascii="Verdana" w:hAnsi="Verdana"/>
        </w:rPr>
      </w:pPr>
    </w:p>
    <w:p w14:paraId="00942BC4" w14:textId="77777777" w:rsidR="00A07EE7" w:rsidRDefault="00A07EE7" w:rsidP="00A07EE7">
      <w:pPr>
        <w:spacing w:after="0" w:line="240" w:lineRule="auto"/>
        <w:rPr>
          <w:rFonts w:ascii="Verdana" w:hAnsi="Verdana"/>
        </w:rPr>
      </w:pPr>
    </w:p>
    <w:p w14:paraId="4F5FB520" w14:textId="77777777" w:rsidR="00A07EE7" w:rsidRDefault="00A07EE7" w:rsidP="00A07EE7">
      <w:pPr>
        <w:spacing w:after="0" w:line="240" w:lineRule="auto"/>
        <w:rPr>
          <w:rFonts w:ascii="Verdana" w:hAnsi="Verdana"/>
        </w:rPr>
      </w:pPr>
    </w:p>
    <w:p w14:paraId="25B46BF0" w14:textId="77777777" w:rsidR="00A07EE7" w:rsidRDefault="00A07EE7" w:rsidP="00A07EE7">
      <w:pPr>
        <w:spacing w:after="0" w:line="240" w:lineRule="auto"/>
        <w:rPr>
          <w:rFonts w:ascii="Verdana" w:hAnsi="Verdana"/>
        </w:rPr>
      </w:pPr>
    </w:p>
    <w:p w14:paraId="159D96EE" w14:textId="77777777" w:rsidR="00A07EE7" w:rsidRDefault="00A07EE7" w:rsidP="00A07EE7">
      <w:pPr>
        <w:spacing w:after="0" w:line="240" w:lineRule="auto"/>
        <w:rPr>
          <w:rFonts w:ascii="Verdana" w:hAnsi="Verdana"/>
        </w:rPr>
      </w:pPr>
    </w:p>
    <w:p w14:paraId="59B3D98A" w14:textId="77777777" w:rsidR="00A07EE7" w:rsidRDefault="00A07EE7" w:rsidP="00A07EE7">
      <w:pPr>
        <w:spacing w:after="0" w:line="240" w:lineRule="auto"/>
        <w:rPr>
          <w:rFonts w:ascii="Verdana" w:hAnsi="Verdana"/>
        </w:rPr>
      </w:pPr>
    </w:p>
    <w:p w14:paraId="63AD5BFF" w14:textId="77777777" w:rsidR="00A07EE7" w:rsidRDefault="00A07EE7" w:rsidP="00A07EE7">
      <w:pPr>
        <w:spacing w:after="0" w:line="240" w:lineRule="auto"/>
        <w:rPr>
          <w:rFonts w:ascii="Verdana" w:hAnsi="Verdana"/>
        </w:rPr>
      </w:pPr>
    </w:p>
    <w:p w14:paraId="0CAF2FD0" w14:textId="77777777" w:rsidR="00A07EE7" w:rsidRDefault="00A07EE7" w:rsidP="00A07EE7">
      <w:pPr>
        <w:spacing w:after="0" w:line="240" w:lineRule="auto"/>
        <w:rPr>
          <w:rFonts w:ascii="Verdana" w:hAnsi="Verdana"/>
        </w:rPr>
      </w:pPr>
    </w:p>
    <w:p w14:paraId="37CA00CD" w14:textId="77777777" w:rsidR="00A07EE7" w:rsidRDefault="00A07EE7" w:rsidP="00A07EE7">
      <w:pPr>
        <w:spacing w:after="0" w:line="240" w:lineRule="auto"/>
        <w:rPr>
          <w:rFonts w:ascii="Verdana" w:hAnsi="Verdana"/>
        </w:rPr>
      </w:pPr>
    </w:p>
    <w:p w14:paraId="5B8D81D3" w14:textId="77777777" w:rsidR="00A07EE7" w:rsidRDefault="00A07EE7" w:rsidP="00A07EE7">
      <w:pPr>
        <w:spacing w:after="0" w:line="240" w:lineRule="auto"/>
        <w:rPr>
          <w:rFonts w:ascii="Verdana" w:hAnsi="Verdana"/>
        </w:rPr>
      </w:pPr>
    </w:p>
    <w:p w14:paraId="5EBA752F" w14:textId="77777777" w:rsidR="00A07EE7" w:rsidRDefault="00A07EE7" w:rsidP="00A07EE7">
      <w:pPr>
        <w:spacing w:after="0" w:line="240" w:lineRule="auto"/>
        <w:rPr>
          <w:rFonts w:ascii="Verdana" w:hAnsi="Verdana"/>
        </w:rPr>
      </w:pPr>
    </w:p>
    <w:p w14:paraId="322E7DBE" w14:textId="77777777" w:rsidR="00A07EE7" w:rsidRDefault="00A07EE7" w:rsidP="00A07EE7">
      <w:pPr>
        <w:spacing w:after="0" w:line="240" w:lineRule="auto"/>
        <w:rPr>
          <w:rFonts w:ascii="Verdana" w:hAnsi="Verdana"/>
        </w:rPr>
      </w:pPr>
    </w:p>
    <w:p w14:paraId="3C9AAA8E" w14:textId="77777777" w:rsidR="00A07EE7" w:rsidRDefault="00A07EE7" w:rsidP="00A07EE7">
      <w:pPr>
        <w:spacing w:after="0" w:line="240" w:lineRule="auto"/>
        <w:rPr>
          <w:rFonts w:ascii="Verdana" w:hAnsi="Verdana"/>
        </w:rPr>
      </w:pPr>
    </w:p>
    <w:p w14:paraId="148DDCD6" w14:textId="77777777" w:rsidR="00A07EE7" w:rsidRDefault="00A07EE7" w:rsidP="00A07EE7">
      <w:pPr>
        <w:spacing w:after="0" w:line="240" w:lineRule="auto"/>
        <w:rPr>
          <w:rFonts w:ascii="Verdana" w:hAnsi="Verdana"/>
        </w:rPr>
      </w:pPr>
    </w:p>
    <w:p w14:paraId="215DA9A7" w14:textId="77777777" w:rsidR="00A07EE7" w:rsidRDefault="00A07EE7" w:rsidP="00A07EE7">
      <w:pPr>
        <w:spacing w:after="0" w:line="240" w:lineRule="auto"/>
        <w:rPr>
          <w:rFonts w:ascii="Verdana" w:hAnsi="Verdana"/>
        </w:rPr>
      </w:pPr>
    </w:p>
    <w:p w14:paraId="21423014" w14:textId="77777777" w:rsidR="00A07EE7" w:rsidRDefault="00A07EE7" w:rsidP="00A07EE7">
      <w:pPr>
        <w:spacing w:after="0" w:line="240" w:lineRule="auto"/>
        <w:rPr>
          <w:rFonts w:ascii="Verdana" w:hAnsi="Verdana"/>
        </w:rPr>
      </w:pPr>
    </w:p>
    <w:p w14:paraId="033B42E4" w14:textId="77777777" w:rsidR="00A07EE7" w:rsidRDefault="00A07EE7" w:rsidP="00A07EE7">
      <w:pPr>
        <w:spacing w:after="0" w:line="240" w:lineRule="auto"/>
        <w:rPr>
          <w:rFonts w:ascii="Verdana" w:hAnsi="Verdana"/>
        </w:rPr>
      </w:pPr>
    </w:p>
    <w:p w14:paraId="1381CD38" w14:textId="77777777" w:rsidR="00A07EE7" w:rsidRDefault="00A07EE7" w:rsidP="00A07EE7">
      <w:pPr>
        <w:spacing w:after="0" w:line="240" w:lineRule="auto"/>
        <w:rPr>
          <w:rFonts w:ascii="Verdana" w:hAnsi="Verdana"/>
        </w:rPr>
      </w:pPr>
    </w:p>
    <w:p w14:paraId="75AA8D26" w14:textId="77777777" w:rsidR="00A07EE7" w:rsidRDefault="00A07EE7" w:rsidP="00A07EE7">
      <w:pPr>
        <w:spacing w:after="0" w:line="240" w:lineRule="auto"/>
        <w:rPr>
          <w:rFonts w:ascii="Verdana" w:hAnsi="Verdana"/>
        </w:rPr>
      </w:pPr>
    </w:p>
    <w:p w14:paraId="2AF5D74D" w14:textId="77777777" w:rsidR="00A07EE7" w:rsidRDefault="00A07EE7" w:rsidP="00A07EE7">
      <w:pPr>
        <w:spacing w:after="0" w:line="240" w:lineRule="auto"/>
        <w:rPr>
          <w:rFonts w:ascii="Verdana" w:hAnsi="Verdana"/>
        </w:rPr>
      </w:pPr>
    </w:p>
    <w:p w14:paraId="34517F6A" w14:textId="77777777" w:rsidR="00A07EE7" w:rsidRDefault="00A07EE7" w:rsidP="00A07EE7">
      <w:pPr>
        <w:spacing w:after="0" w:line="240" w:lineRule="auto"/>
        <w:rPr>
          <w:rFonts w:ascii="Verdana" w:hAnsi="Verdana"/>
        </w:rPr>
      </w:pPr>
    </w:p>
    <w:p w14:paraId="3591C233" w14:textId="77777777" w:rsidR="00A07EE7" w:rsidRDefault="00A07EE7" w:rsidP="00A07EE7">
      <w:pPr>
        <w:spacing w:after="0" w:line="240" w:lineRule="auto"/>
        <w:rPr>
          <w:rFonts w:ascii="Verdana" w:hAnsi="Verdana"/>
        </w:rPr>
      </w:pPr>
    </w:p>
    <w:p w14:paraId="33D3FD50" w14:textId="77777777" w:rsidR="00A07EE7" w:rsidRDefault="00A07EE7" w:rsidP="00A07EE7">
      <w:pPr>
        <w:spacing w:after="0" w:line="240" w:lineRule="auto"/>
        <w:rPr>
          <w:rFonts w:ascii="Verdana" w:hAnsi="Verdana"/>
        </w:rPr>
      </w:pPr>
    </w:p>
    <w:p w14:paraId="66A9B748" w14:textId="77777777" w:rsidR="00A07EE7" w:rsidRDefault="00A07EE7" w:rsidP="00A07EE7">
      <w:pPr>
        <w:spacing w:after="0" w:line="240" w:lineRule="auto"/>
        <w:rPr>
          <w:rFonts w:ascii="Verdana" w:hAnsi="Verdana"/>
        </w:rPr>
      </w:pPr>
    </w:p>
    <w:p w14:paraId="17E94177" w14:textId="77777777" w:rsidR="00A07EE7" w:rsidRDefault="00A07EE7" w:rsidP="00A07EE7">
      <w:pPr>
        <w:spacing w:after="0" w:line="240" w:lineRule="auto"/>
        <w:rPr>
          <w:rFonts w:ascii="Verdana" w:hAnsi="Verdana"/>
        </w:rPr>
      </w:pPr>
    </w:p>
    <w:p w14:paraId="6A8132D1" w14:textId="77777777" w:rsidR="00A07EE7" w:rsidRDefault="00A07EE7" w:rsidP="00A07EE7">
      <w:pPr>
        <w:spacing w:after="0" w:line="240" w:lineRule="auto"/>
        <w:rPr>
          <w:rFonts w:ascii="Verdana" w:hAnsi="Verdana"/>
        </w:rPr>
      </w:pPr>
    </w:p>
    <w:p w14:paraId="79876BCA" w14:textId="77777777" w:rsidR="00A07EE7" w:rsidRDefault="00A07EE7" w:rsidP="00A07EE7">
      <w:pPr>
        <w:spacing w:after="0" w:line="240" w:lineRule="auto"/>
        <w:rPr>
          <w:rFonts w:ascii="Verdana" w:hAnsi="Verdana"/>
        </w:rPr>
      </w:pPr>
    </w:p>
    <w:p w14:paraId="5B3F2BDA" w14:textId="77777777" w:rsidR="00A07EE7" w:rsidRDefault="00A07EE7" w:rsidP="00A07EE7">
      <w:pPr>
        <w:spacing w:after="0" w:line="240" w:lineRule="auto"/>
        <w:rPr>
          <w:rFonts w:ascii="Verdana" w:hAnsi="Verdana"/>
        </w:rPr>
      </w:pPr>
    </w:p>
    <w:p w14:paraId="4EEDA433" w14:textId="77777777" w:rsidR="007942F8" w:rsidRPr="008E3EC3" w:rsidRDefault="007942F8" w:rsidP="007942F8">
      <w:pPr>
        <w:spacing w:after="0" w:line="240" w:lineRule="auto"/>
        <w:jc w:val="both"/>
        <w:rPr>
          <w:rFonts w:ascii="Verdana" w:eastAsia="Times New Roman" w:hAnsi="Verdana" w:cs="Arial"/>
          <w:bCs/>
          <w:sz w:val="20"/>
          <w:szCs w:val="20"/>
          <w:lang w:eastAsia="es-CO"/>
        </w:rPr>
      </w:pPr>
    </w:p>
    <w:p w14:paraId="0DC12B05" w14:textId="77777777" w:rsidR="007942F8" w:rsidRDefault="007942F8" w:rsidP="007942F8">
      <w:pPr>
        <w:spacing w:after="0" w:line="240" w:lineRule="auto"/>
        <w:jc w:val="both"/>
        <w:rPr>
          <w:rFonts w:ascii="Verdana" w:eastAsia="Calibri" w:hAnsi="Verdana" w:cs="Arial"/>
          <w:lang w:eastAsia="es-ES"/>
        </w:rPr>
      </w:pPr>
      <w:r>
        <w:rPr>
          <w:rFonts w:ascii="Verdana" w:eastAsia="Times New Roman" w:hAnsi="Verdana" w:cs="Arial"/>
          <w:b/>
          <w:lang w:eastAsia="es-CO"/>
        </w:rPr>
        <w:t xml:space="preserve"> </w:t>
      </w:r>
    </w:p>
    <w:p w14:paraId="469C2746" w14:textId="77777777" w:rsidR="007942F8" w:rsidRDefault="007942F8" w:rsidP="007942F8">
      <w:pPr>
        <w:spacing w:after="0" w:line="240" w:lineRule="auto"/>
        <w:rPr>
          <w:rFonts w:ascii="Verdana" w:eastAsia="Calibri" w:hAnsi="Verdana" w:cs="Arial"/>
          <w:lang w:eastAsia="es-ES"/>
        </w:rPr>
      </w:pPr>
    </w:p>
    <w:p w14:paraId="6F9B74B4" w14:textId="221984BC" w:rsidR="007942F8" w:rsidRPr="00854997" w:rsidRDefault="00A07EE7" w:rsidP="007942F8">
      <w:pPr>
        <w:spacing w:after="0" w:line="240" w:lineRule="auto"/>
        <w:rPr>
          <w:rFonts w:ascii="Verdana" w:eastAsia="Calibri" w:hAnsi="Verdana" w:cs="Arial"/>
          <w:lang w:eastAsia="es-ES_tradnl"/>
        </w:rPr>
      </w:pPr>
      <w:r w:rsidRPr="00A07EE7">
        <w:rPr>
          <w:rFonts w:ascii="Verdana" w:eastAsia="Calibri" w:hAnsi="Verdana" w:cs="Arial"/>
          <w:b/>
          <w:bCs/>
          <w:lang w:eastAsia="es-ES_tradnl"/>
        </w:rPr>
        <w:drawing>
          <wp:anchor distT="0" distB="0" distL="114300" distR="114300" simplePos="0" relativeHeight="251658240" behindDoc="1" locked="0" layoutInCell="1" allowOverlap="1" wp14:anchorId="647AD959" wp14:editId="203A8906">
            <wp:simplePos x="0" y="0"/>
            <wp:positionH relativeFrom="column">
              <wp:posOffset>3768725</wp:posOffset>
            </wp:positionH>
            <wp:positionV relativeFrom="paragraph">
              <wp:posOffset>158115</wp:posOffset>
            </wp:positionV>
            <wp:extent cx="2775585" cy="956310"/>
            <wp:effectExtent l="0" t="0" r="5715" b="0"/>
            <wp:wrapTight wrapText="bothSides">
              <wp:wrapPolygon edited="0">
                <wp:start x="0" y="0"/>
                <wp:lineTo x="0" y="21084"/>
                <wp:lineTo x="21496" y="21084"/>
                <wp:lineTo x="21496" y="0"/>
                <wp:lineTo x="0" y="0"/>
              </wp:wrapPolygon>
            </wp:wrapTight>
            <wp:docPr id="210065461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654618" name="Imagen 1" descr="Texto&#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75585" cy="956310"/>
                    </a:xfrm>
                    <a:prstGeom prst="rect">
                      <a:avLst/>
                    </a:prstGeom>
                  </pic:spPr>
                </pic:pic>
              </a:graphicData>
            </a:graphic>
            <wp14:sizeRelH relativeFrom="page">
              <wp14:pctWidth>0</wp14:pctWidth>
            </wp14:sizeRelH>
            <wp14:sizeRelV relativeFrom="page">
              <wp14:pctHeight>0</wp14:pctHeight>
            </wp14:sizeRelV>
          </wp:anchor>
        </w:drawing>
      </w:r>
      <w:r w:rsidRPr="00A07EE7">
        <w:rPr>
          <w:rFonts w:ascii="Verdana" w:eastAsia="Calibri" w:hAnsi="Verdana" w:cs="Arial"/>
          <w:lang w:eastAsia="es-ES_tradnl"/>
        </w:rPr>
        <w:t xml:space="preserve">Bogotá D.C., 18 </w:t>
      </w:r>
      <w:proofErr w:type="gramStart"/>
      <w:r w:rsidRPr="00A07EE7">
        <w:rPr>
          <w:rFonts w:ascii="Verdana" w:eastAsia="Calibri" w:hAnsi="Verdana" w:cs="Arial"/>
          <w:lang w:eastAsia="es-ES_tradnl"/>
        </w:rPr>
        <w:t>Marzo</w:t>
      </w:r>
      <w:proofErr w:type="gramEnd"/>
      <w:r w:rsidRPr="00A07EE7">
        <w:rPr>
          <w:rFonts w:ascii="Verdana" w:eastAsia="Calibri" w:hAnsi="Verdana" w:cs="Arial"/>
          <w:lang w:eastAsia="es-ES_tradnl"/>
        </w:rPr>
        <w:t xml:space="preserve"> 2026</w:t>
      </w:r>
    </w:p>
    <w:p w14:paraId="39D91A26" w14:textId="3EF93D2B" w:rsidR="007942F8" w:rsidRDefault="007942F8" w:rsidP="007942F8">
      <w:pPr>
        <w:spacing w:after="0" w:line="240" w:lineRule="auto"/>
        <w:rPr>
          <w:rFonts w:ascii="Verdana" w:eastAsia="Calibri" w:hAnsi="Verdana" w:cs="Arial"/>
          <w:b/>
          <w:bCs/>
          <w:lang w:eastAsia="es-ES_tradnl"/>
        </w:rPr>
      </w:pPr>
    </w:p>
    <w:p w14:paraId="58CCE7EA" w14:textId="0B864CA5" w:rsidR="007942F8" w:rsidRDefault="007942F8" w:rsidP="007942F8">
      <w:pPr>
        <w:spacing w:after="0" w:line="240" w:lineRule="auto"/>
        <w:rPr>
          <w:rFonts w:ascii="Verdana" w:eastAsia="Calibri" w:hAnsi="Verdana" w:cs="Arial"/>
          <w:lang w:eastAsia="es-ES_tradnl"/>
        </w:rPr>
      </w:pPr>
      <w:r>
        <w:rPr>
          <w:rFonts w:ascii="Verdana" w:eastAsia="Calibri" w:hAnsi="Verdana" w:cs="Arial"/>
          <w:lang w:eastAsia="es-ES_tradnl"/>
        </w:rPr>
        <w:t>Señor</w:t>
      </w:r>
    </w:p>
    <w:p w14:paraId="47E9DA1E" w14:textId="2527A956" w:rsidR="007942F8" w:rsidRDefault="007942F8" w:rsidP="007942F8">
      <w:pPr>
        <w:spacing w:after="0" w:line="240" w:lineRule="auto"/>
        <w:rPr>
          <w:rFonts w:ascii="Verdana" w:eastAsia="Calibri" w:hAnsi="Verdana" w:cs="Arial"/>
          <w:b/>
          <w:bCs/>
          <w:lang w:eastAsia="es-ES_tradnl"/>
        </w:rPr>
      </w:pPr>
      <w:r>
        <w:rPr>
          <w:rFonts w:ascii="Verdana" w:eastAsia="Calibri" w:hAnsi="Verdana" w:cs="Arial"/>
          <w:b/>
          <w:bCs/>
          <w:lang w:eastAsia="es-ES_tradnl"/>
        </w:rPr>
        <w:t>Julio César Prieto Osorio</w:t>
      </w:r>
    </w:p>
    <w:p w14:paraId="71619021" w14:textId="77777777" w:rsidR="007942F8" w:rsidRDefault="007942F8" w:rsidP="007942F8">
      <w:pPr>
        <w:spacing w:after="0" w:line="240" w:lineRule="auto"/>
        <w:rPr>
          <w:rFonts w:ascii="Verdana" w:eastAsia="Calibri" w:hAnsi="Verdana" w:cs="Arial"/>
          <w:lang w:eastAsia="es-ES_tradnl"/>
        </w:rPr>
      </w:pPr>
      <w:r>
        <w:rPr>
          <w:rFonts w:ascii="Verdana" w:eastAsia="Calibri" w:hAnsi="Verdana" w:cs="Arial"/>
          <w:lang w:eastAsia="es-ES_tradnl"/>
        </w:rPr>
        <w:t>Jcposorio2994@gmail.com</w:t>
      </w:r>
    </w:p>
    <w:p w14:paraId="46E33D05" w14:textId="77777777" w:rsidR="007942F8" w:rsidRPr="007211E4" w:rsidRDefault="007942F8" w:rsidP="007942F8">
      <w:pPr>
        <w:spacing w:after="0" w:line="240" w:lineRule="auto"/>
        <w:rPr>
          <w:rFonts w:ascii="Verdana" w:eastAsia="Calibri" w:hAnsi="Verdana" w:cs="Arial"/>
          <w:lang w:eastAsia="es-ES_tradnl"/>
        </w:rPr>
      </w:pPr>
      <w:r>
        <w:rPr>
          <w:rFonts w:ascii="Verdana" w:eastAsia="Calibri" w:hAnsi="Verdana" w:cs="Arial"/>
          <w:lang w:eastAsia="es-ES_tradnl"/>
        </w:rPr>
        <w:t>Bogotá, Cundinamarca</w:t>
      </w:r>
    </w:p>
    <w:p w14:paraId="16A8CC8C" w14:textId="77777777" w:rsidR="007942F8" w:rsidRPr="00514983" w:rsidRDefault="007942F8" w:rsidP="007942F8">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942F8" w:rsidRPr="00960F72" w14:paraId="5A5BDE8F" w14:textId="77777777" w:rsidTr="00FD00FB">
        <w:trPr>
          <w:trHeight w:val="190"/>
        </w:trPr>
        <w:tc>
          <w:tcPr>
            <w:tcW w:w="2689" w:type="dxa"/>
          </w:tcPr>
          <w:p w14:paraId="64BBE7A1" w14:textId="77777777" w:rsidR="007942F8" w:rsidRPr="00960F72" w:rsidRDefault="007942F8" w:rsidP="00FD00FB">
            <w:pPr>
              <w:jc w:val="both"/>
              <w:rPr>
                <w:rFonts w:ascii="Verdana" w:eastAsia="Calibri" w:hAnsi="Verdana" w:cs="Arial"/>
                <w:b/>
                <w:bCs/>
                <w:lang w:eastAsia="es-ES_tradnl"/>
              </w:rPr>
            </w:pPr>
          </w:p>
        </w:tc>
        <w:tc>
          <w:tcPr>
            <w:tcW w:w="6100" w:type="dxa"/>
          </w:tcPr>
          <w:p w14:paraId="17B2045A" w14:textId="77777777" w:rsidR="007942F8" w:rsidRPr="00976629" w:rsidRDefault="007942F8" w:rsidP="00FD00FB">
            <w:pPr>
              <w:jc w:val="both"/>
              <w:rPr>
                <w:rFonts w:ascii="Verdana" w:eastAsia="Calibri" w:hAnsi="Verdana" w:cs="Arial"/>
                <w:b/>
                <w:bCs/>
                <w:lang w:eastAsia="es-ES"/>
              </w:rPr>
            </w:pPr>
            <w:r w:rsidRPr="00976629">
              <w:rPr>
                <w:rFonts w:ascii="Verdana" w:eastAsia="Calibri" w:hAnsi="Verdana" w:cs="Arial"/>
                <w:b/>
                <w:bCs/>
                <w:lang w:eastAsia="es-ES"/>
              </w:rPr>
              <w:t>Concepto C-1</w:t>
            </w:r>
            <w:r>
              <w:rPr>
                <w:rFonts w:ascii="Verdana" w:eastAsia="Calibri" w:hAnsi="Verdana" w:cs="Arial"/>
                <w:b/>
                <w:bCs/>
                <w:lang w:eastAsia="es-ES"/>
              </w:rPr>
              <w:t>83</w:t>
            </w:r>
            <w:r w:rsidRPr="00976629">
              <w:rPr>
                <w:rFonts w:ascii="Verdana" w:eastAsia="Calibri" w:hAnsi="Verdana" w:cs="Arial"/>
                <w:b/>
                <w:bCs/>
                <w:lang w:eastAsia="es-ES"/>
              </w:rPr>
              <w:t xml:space="preserve"> de 2026</w:t>
            </w:r>
          </w:p>
          <w:p w14:paraId="235DA3A6" w14:textId="77777777" w:rsidR="007942F8" w:rsidRPr="00976629" w:rsidRDefault="007942F8" w:rsidP="00FD00FB">
            <w:pPr>
              <w:jc w:val="both"/>
              <w:rPr>
                <w:rFonts w:ascii="Verdana" w:eastAsia="Calibri" w:hAnsi="Verdana" w:cs="Arial"/>
                <w:b/>
                <w:bCs/>
                <w:lang w:eastAsia="es-ES"/>
              </w:rPr>
            </w:pPr>
          </w:p>
        </w:tc>
      </w:tr>
      <w:tr w:rsidR="007942F8" w:rsidRPr="00960F72" w14:paraId="26B96D65" w14:textId="77777777" w:rsidTr="00FD00FB">
        <w:trPr>
          <w:trHeight w:val="884"/>
        </w:trPr>
        <w:tc>
          <w:tcPr>
            <w:tcW w:w="2689" w:type="dxa"/>
          </w:tcPr>
          <w:p w14:paraId="11760A30" w14:textId="77777777" w:rsidR="007942F8" w:rsidRPr="00960F72" w:rsidRDefault="007942F8" w:rsidP="00FD00FB">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65D969A8" w14:textId="3521B4B8" w:rsidR="00E959C2" w:rsidRPr="00771345" w:rsidRDefault="00E959C2" w:rsidP="00E959C2">
            <w:pPr>
              <w:spacing w:line="276" w:lineRule="auto"/>
              <w:jc w:val="both"/>
              <w:rPr>
                <w:rFonts w:ascii="Verdana" w:hAnsi="Verdana" w:cs="Arial"/>
                <w:lang w:val="es-ES" w:eastAsia="es-ES"/>
              </w:rPr>
            </w:pPr>
            <w:r w:rsidRPr="00771345">
              <w:rPr>
                <w:rFonts w:ascii="Verdana" w:hAnsi="Verdana" w:cs="Arial"/>
                <w:lang w:val="es-ES" w:eastAsia="es-ES"/>
              </w:rPr>
              <w:t xml:space="preserve">LEY DE GARANTÍAS ELECTORALES – Finalidad / LEY DE GARANTÍAS ELECTORALES ‒ Restricciones ‒ Contratación ‒ Tipos de elección ‒ Celebración </w:t>
            </w:r>
            <w:r w:rsidRPr="00771345">
              <w:rPr>
                <w:rFonts w:ascii="Verdana" w:hAnsi="Verdana" w:cs="Arial"/>
                <w:lang w:val="es-MX" w:eastAsia="es-ES_tradnl"/>
              </w:rPr>
              <w:t>/</w:t>
            </w:r>
            <w:r w:rsidRPr="00771345">
              <w:rPr>
                <w:rFonts w:ascii="Verdana" w:hAnsi="Verdana"/>
              </w:rPr>
              <w:t xml:space="preserve"> </w:t>
            </w:r>
            <w:r w:rsidRPr="00771345">
              <w:rPr>
                <w:rFonts w:ascii="Verdana" w:eastAsia="Calibri" w:hAnsi="Verdana" w:cs="Arial"/>
                <w:lang w:val="es-ES" w:eastAsia="es-ES"/>
              </w:rPr>
              <w:t xml:space="preserve">LEY DE GARANTÍAS ELECTORALES ‒ Artículo 33 ‒ Ámbito material ‒ Destinatarios </w:t>
            </w:r>
            <w:r w:rsidRPr="00771345">
              <w:rPr>
                <w:rFonts w:ascii="Verdana" w:hAnsi="Verdana" w:cs="Arial"/>
                <w:lang w:val="es-MX" w:eastAsia="es-ES_tradnl"/>
              </w:rPr>
              <w:t xml:space="preserve">/ </w:t>
            </w:r>
            <w:r w:rsidRPr="00771345">
              <w:rPr>
                <w:rFonts w:ascii="Verdana" w:hAnsi="Verdana" w:cs="Arial"/>
                <w:color w:val="000000" w:themeColor="text1"/>
                <w:shd w:val="clear" w:color="auto" w:fill="FFFFFF"/>
                <w:lang w:val="es-ES"/>
              </w:rPr>
              <w:t>SECOP II </w:t>
            </w:r>
            <w:r w:rsidRPr="00771345">
              <w:rPr>
                <w:rFonts w:ascii="Verdana" w:hAnsi="Verdana" w:cs="Arial"/>
                <w:color w:val="000000" w:themeColor="text1"/>
                <w:shd w:val="clear" w:color="auto" w:fill="FFFFFF"/>
                <w:lang w:val="es-MX"/>
              </w:rPr>
              <w:t>–</w:t>
            </w:r>
            <w:r w:rsidRPr="00771345">
              <w:rPr>
                <w:rFonts w:ascii="Verdana" w:hAnsi="Verdana" w:cs="Arial"/>
                <w:color w:val="000000" w:themeColor="text1"/>
                <w:shd w:val="clear" w:color="auto" w:fill="FFFFFF"/>
                <w:lang w:val="es-ES"/>
              </w:rPr>
              <w:t xml:space="preserve"> Plataforma Transaccional </w:t>
            </w:r>
            <w:r w:rsidRPr="00771345">
              <w:rPr>
                <w:rFonts w:ascii="Verdana" w:eastAsia="Calibri" w:hAnsi="Verdana" w:cs="Arial"/>
                <w:lang w:val="es-ES" w:eastAsia="es-ES"/>
              </w:rPr>
              <w:t xml:space="preserve">/ </w:t>
            </w:r>
            <w:r w:rsidRPr="00771345">
              <w:rPr>
                <w:rFonts w:ascii="Verdana" w:hAnsi="Verdana" w:cs="Arial"/>
                <w:color w:val="000000" w:themeColor="text1"/>
                <w:shd w:val="clear" w:color="auto" w:fill="FFFFFF"/>
                <w:lang w:val="es-ES"/>
              </w:rPr>
              <w:t>SECOP II </w:t>
            </w:r>
            <w:r w:rsidRPr="00771345">
              <w:rPr>
                <w:rFonts w:ascii="Verdana" w:hAnsi="Verdana" w:cs="Arial"/>
                <w:color w:val="000000" w:themeColor="text1"/>
                <w:shd w:val="clear" w:color="auto" w:fill="FFFFFF"/>
                <w:lang w:val="es-MX"/>
              </w:rPr>
              <w:t>–</w:t>
            </w:r>
            <w:r w:rsidRPr="00771345">
              <w:rPr>
                <w:rFonts w:ascii="Verdana" w:hAnsi="Verdana" w:cs="Arial"/>
                <w:color w:val="000000" w:themeColor="text1"/>
                <w:shd w:val="clear" w:color="auto" w:fill="FFFFFF"/>
                <w:lang w:val="es-ES"/>
              </w:rPr>
              <w:t xml:space="preserve"> Contrato electrónico </w:t>
            </w:r>
            <w:r w:rsidRPr="00771345">
              <w:rPr>
                <w:rFonts w:ascii="Verdana" w:eastAsia="Calibri" w:hAnsi="Verdana" w:cs="Arial"/>
                <w:lang w:val="es-ES" w:eastAsia="es-ES"/>
              </w:rPr>
              <w:t xml:space="preserve">– Aprobación </w:t>
            </w:r>
            <w:r w:rsidRPr="00771345">
              <w:rPr>
                <w:rFonts w:ascii="Verdana" w:hAnsi="Verdana" w:cs="Arial"/>
                <w:color w:val="000000" w:themeColor="text1"/>
                <w:shd w:val="clear" w:color="auto" w:fill="FFFFFF"/>
                <w:lang w:val="es-MX"/>
              </w:rPr>
              <w:t xml:space="preserve">– Perfeccionamiento / </w:t>
            </w:r>
            <w:r w:rsidRPr="00771345">
              <w:rPr>
                <w:rFonts w:ascii="Verdana" w:hAnsi="Verdana" w:cs="Arial"/>
                <w:color w:val="000000" w:themeColor="text1"/>
                <w:shd w:val="clear" w:color="auto" w:fill="FFFFFF"/>
                <w:lang w:val="es-ES"/>
              </w:rPr>
              <w:t>SECOP II </w:t>
            </w:r>
            <w:r w:rsidRPr="00771345">
              <w:rPr>
                <w:rFonts w:ascii="Verdana" w:hAnsi="Verdana" w:cs="Arial"/>
                <w:color w:val="000000" w:themeColor="text1"/>
                <w:shd w:val="clear" w:color="auto" w:fill="FFFFFF"/>
                <w:lang w:val="es-MX"/>
              </w:rPr>
              <w:t xml:space="preserve">– Aplicación </w:t>
            </w:r>
            <w:r w:rsidR="00771345" w:rsidRPr="00771345">
              <w:rPr>
                <w:rFonts w:ascii="Verdana" w:hAnsi="Verdana" w:cs="Arial"/>
                <w:color w:val="000000" w:themeColor="text1"/>
                <w:shd w:val="clear" w:color="auto" w:fill="FFFFFF"/>
                <w:lang w:val="es-MX"/>
              </w:rPr>
              <w:t>L</w:t>
            </w:r>
            <w:r w:rsidRPr="00771345">
              <w:rPr>
                <w:rFonts w:ascii="Verdana" w:hAnsi="Verdana" w:cs="Arial"/>
                <w:color w:val="000000" w:themeColor="text1"/>
                <w:shd w:val="clear" w:color="auto" w:fill="FFFFFF"/>
                <w:lang w:val="es-MX"/>
              </w:rPr>
              <w:t xml:space="preserve">ey de </w:t>
            </w:r>
            <w:r w:rsidR="00771345" w:rsidRPr="00771345">
              <w:rPr>
                <w:rFonts w:ascii="Verdana" w:hAnsi="Verdana" w:cs="Arial"/>
                <w:color w:val="000000" w:themeColor="text1"/>
                <w:shd w:val="clear" w:color="auto" w:fill="FFFFFF"/>
                <w:lang w:val="es-MX"/>
              </w:rPr>
              <w:t>G</w:t>
            </w:r>
            <w:r w:rsidRPr="00771345">
              <w:rPr>
                <w:rFonts w:ascii="Verdana" w:hAnsi="Verdana" w:cs="Arial"/>
                <w:color w:val="000000" w:themeColor="text1"/>
                <w:shd w:val="clear" w:color="auto" w:fill="FFFFFF"/>
                <w:lang w:val="es-MX"/>
              </w:rPr>
              <w:t xml:space="preserve">arantías </w:t>
            </w:r>
            <w:r w:rsidR="00771345" w:rsidRPr="00771345">
              <w:rPr>
                <w:rFonts w:ascii="Verdana" w:hAnsi="Verdana" w:cs="Arial"/>
                <w:color w:val="000000" w:themeColor="text1"/>
                <w:shd w:val="clear" w:color="auto" w:fill="FFFFFF"/>
                <w:lang w:val="es-MX"/>
              </w:rPr>
              <w:t xml:space="preserve">Electorales </w:t>
            </w:r>
            <w:r w:rsidRPr="00771345">
              <w:rPr>
                <w:rFonts w:ascii="Verdana" w:hAnsi="Verdana" w:cs="Arial"/>
                <w:color w:val="000000" w:themeColor="text1"/>
                <w:shd w:val="clear" w:color="auto" w:fill="FFFFFF"/>
                <w:lang w:val="es-MX"/>
              </w:rPr>
              <w:t xml:space="preserve">– Nulidad </w:t>
            </w:r>
          </w:p>
          <w:p w14:paraId="39EF270A" w14:textId="77777777" w:rsidR="007942F8" w:rsidRPr="001F1B6C" w:rsidRDefault="007942F8" w:rsidP="004A0F98">
            <w:pPr>
              <w:jc w:val="both"/>
              <w:rPr>
                <w:rFonts w:ascii="Verdana" w:eastAsia="Calibri" w:hAnsi="Verdana" w:cs="Arial"/>
                <w:lang w:val="es-ES" w:eastAsia="es-ES"/>
              </w:rPr>
            </w:pPr>
          </w:p>
        </w:tc>
      </w:tr>
      <w:tr w:rsidR="007942F8" w:rsidRPr="00960F72" w14:paraId="6B35DB82" w14:textId="77777777" w:rsidTr="00FD00FB">
        <w:tc>
          <w:tcPr>
            <w:tcW w:w="2689" w:type="dxa"/>
          </w:tcPr>
          <w:p w14:paraId="32A68F76" w14:textId="77777777" w:rsidR="007942F8" w:rsidRPr="00960F72" w:rsidRDefault="007942F8" w:rsidP="00FD00FB">
            <w:pPr>
              <w:jc w:val="both"/>
              <w:rPr>
                <w:rFonts w:ascii="Verdana" w:eastAsia="Calibri" w:hAnsi="Verdana" w:cs="Arial"/>
                <w:b/>
                <w:lang w:eastAsia="es-ES_tradnl"/>
              </w:rPr>
            </w:pPr>
            <w:r w:rsidRPr="00960F72">
              <w:rPr>
                <w:rFonts w:ascii="Verdana" w:eastAsia="Calibri" w:hAnsi="Verdana" w:cs="Arial"/>
                <w:b/>
                <w:lang w:eastAsia="es-ES_tradnl"/>
              </w:rPr>
              <w:t>Radicación:</w:t>
            </w:r>
            <w:r w:rsidRPr="00960F72">
              <w:rPr>
                <w:rFonts w:ascii="Verdana" w:eastAsia="Calibri" w:hAnsi="Verdana" w:cs="Arial"/>
                <w:lang w:eastAsia="es-ES_tradnl"/>
              </w:rPr>
              <w:t xml:space="preserve">               </w:t>
            </w:r>
          </w:p>
        </w:tc>
        <w:tc>
          <w:tcPr>
            <w:tcW w:w="6100" w:type="dxa"/>
          </w:tcPr>
          <w:p w14:paraId="3ADA7E8E" w14:textId="77777777" w:rsidR="007942F8" w:rsidRPr="00960F72" w:rsidRDefault="007942F8" w:rsidP="00FD00FB">
            <w:pPr>
              <w:jc w:val="both"/>
              <w:rPr>
                <w:rFonts w:ascii="Verdana" w:eastAsia="Calibri" w:hAnsi="Verdana" w:cs="Arial"/>
                <w:lang w:eastAsia="es-ES_tradnl"/>
              </w:rPr>
            </w:pPr>
            <w:r w:rsidRPr="00960F72">
              <w:rPr>
                <w:rFonts w:ascii="Verdana" w:eastAsia="Calibri" w:hAnsi="Verdana" w:cs="Arial"/>
                <w:lang w:eastAsia="es-ES_tradnl"/>
              </w:rPr>
              <w:t>Respuesta a consulta con radicado No.</w:t>
            </w:r>
            <w:r w:rsidRPr="004A0F98">
              <w:rPr>
                <w:rFonts w:ascii="Verdana" w:hAnsi="Verdana" w:cs="Segoe UI"/>
                <w:color w:val="2B2B2B"/>
                <w:shd w:val="clear" w:color="auto" w:fill="FFFFFF"/>
              </w:rPr>
              <w:t xml:space="preserve"> 1_2026_02_09_001587</w:t>
            </w:r>
          </w:p>
        </w:tc>
      </w:tr>
    </w:tbl>
    <w:p w14:paraId="0C3306D6" w14:textId="691EB70E" w:rsidR="007942F8" w:rsidRPr="00960F72" w:rsidRDefault="007942F8" w:rsidP="007942F8">
      <w:pPr>
        <w:spacing w:after="0" w:line="240" w:lineRule="auto"/>
        <w:jc w:val="both"/>
        <w:rPr>
          <w:rFonts w:ascii="Verdana" w:eastAsia="Calibri" w:hAnsi="Verdana" w:cs="Arial"/>
          <w:lang w:eastAsia="es-ES_tradnl"/>
        </w:rPr>
      </w:pPr>
    </w:p>
    <w:p w14:paraId="5A618779" w14:textId="77777777" w:rsidR="00771345" w:rsidRPr="00771345" w:rsidRDefault="00771345" w:rsidP="009D30FE">
      <w:pPr>
        <w:spacing w:after="0" w:line="240" w:lineRule="auto"/>
        <w:jc w:val="both"/>
        <w:rPr>
          <w:rFonts w:ascii="Verdana" w:eastAsia="Calibri" w:hAnsi="Verdana" w:cs="Arial"/>
          <w:lang w:eastAsia="es-ES_tradnl"/>
        </w:rPr>
      </w:pPr>
    </w:p>
    <w:p w14:paraId="1C99F5EB" w14:textId="77777777" w:rsidR="007942F8" w:rsidRPr="00960F72" w:rsidRDefault="007942F8" w:rsidP="007942F8">
      <w:pPr>
        <w:spacing w:after="0" w:line="276" w:lineRule="auto"/>
        <w:jc w:val="both"/>
        <w:rPr>
          <w:rFonts w:ascii="Verdana" w:eastAsia="Calibri" w:hAnsi="Verdana" w:cs="Arial"/>
          <w:lang w:eastAsia="es-ES"/>
        </w:rPr>
      </w:pPr>
      <w:r>
        <w:rPr>
          <w:rFonts w:ascii="Verdana" w:eastAsia="Calibri" w:hAnsi="Verdana" w:cs="Arial"/>
          <w:lang w:eastAsia="es-ES"/>
        </w:rPr>
        <w:t>Estimado señor Prieto:</w:t>
      </w:r>
    </w:p>
    <w:p w14:paraId="597BF85C" w14:textId="77777777" w:rsidR="007942F8" w:rsidRPr="00960F72" w:rsidRDefault="007942F8" w:rsidP="007942F8">
      <w:pPr>
        <w:tabs>
          <w:tab w:val="left" w:pos="3768"/>
        </w:tabs>
        <w:spacing w:after="0" w:line="276" w:lineRule="auto"/>
        <w:jc w:val="both"/>
        <w:rPr>
          <w:rFonts w:ascii="Verdana" w:eastAsia="Calibri" w:hAnsi="Verdana" w:cs="Arial"/>
          <w:lang w:eastAsia="es-ES"/>
        </w:rPr>
      </w:pPr>
    </w:p>
    <w:p w14:paraId="03F3BFE9" w14:textId="77777777" w:rsidR="007942F8" w:rsidRPr="00960F72" w:rsidRDefault="007942F8" w:rsidP="007942F8">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 xml:space="preserve">09 </w:t>
      </w:r>
      <w:r w:rsidRPr="00960F72">
        <w:rPr>
          <w:rFonts w:ascii="Verdana" w:eastAsia="Calibri" w:hAnsi="Verdana" w:cs="Arial"/>
          <w:lang w:eastAsia="es-ES"/>
        </w:rPr>
        <w:t xml:space="preserve">de </w:t>
      </w:r>
      <w:r>
        <w:rPr>
          <w:rFonts w:ascii="Verdana" w:eastAsia="Calibri" w:hAnsi="Verdana" w:cs="Arial"/>
          <w:lang w:eastAsia="es-ES"/>
        </w:rPr>
        <w:t>febrero</w:t>
      </w:r>
      <w:r w:rsidRPr="00960F72">
        <w:rPr>
          <w:rFonts w:ascii="Verdana" w:eastAsia="Calibri" w:hAnsi="Verdana" w:cs="Arial"/>
          <w:lang w:eastAsia="es-ES"/>
        </w:rPr>
        <w:t xml:space="preserve"> de 202</w:t>
      </w:r>
      <w:r>
        <w:rPr>
          <w:rFonts w:ascii="Verdana" w:eastAsia="Calibri" w:hAnsi="Verdana" w:cs="Arial"/>
          <w:lang w:eastAsia="es-ES"/>
        </w:rPr>
        <w:t>6</w:t>
      </w:r>
      <w:r w:rsidRPr="00960F72">
        <w:rPr>
          <w:rFonts w:ascii="Verdana" w:eastAsia="Calibri" w:hAnsi="Verdana" w:cs="Arial"/>
          <w:lang w:eastAsia="es-ES"/>
        </w:rPr>
        <w:t xml:space="preserve">, en la cual manifiesta lo siguiente: </w:t>
      </w:r>
    </w:p>
    <w:p w14:paraId="391602FF" w14:textId="77777777" w:rsidR="007942F8" w:rsidRPr="00960F72" w:rsidRDefault="007942F8" w:rsidP="007942F8">
      <w:pPr>
        <w:spacing w:after="0" w:line="276" w:lineRule="auto"/>
        <w:jc w:val="both"/>
        <w:rPr>
          <w:rFonts w:ascii="Verdana" w:eastAsia="Calibri" w:hAnsi="Verdana" w:cs="Arial"/>
          <w:lang w:eastAsia="es-ES"/>
        </w:rPr>
      </w:pPr>
    </w:p>
    <w:p w14:paraId="1C7DB0B4" w14:textId="21E18862" w:rsidR="007942F8" w:rsidRDefault="007942F8" w:rsidP="005870A3">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 xml:space="preserve">“Entre el municipio de Soacha representado por el suscrito </w:t>
      </w:r>
      <w:proofErr w:type="gramStart"/>
      <w:r>
        <w:rPr>
          <w:rFonts w:ascii="Verdana" w:eastAsia="Calibri" w:hAnsi="Verdana" w:cs="Arial"/>
          <w:sz w:val="20"/>
          <w:szCs w:val="20"/>
          <w:lang w:eastAsia="es-ES"/>
        </w:rPr>
        <w:t>Secretario</w:t>
      </w:r>
      <w:proofErr w:type="gramEnd"/>
      <w:r>
        <w:rPr>
          <w:rFonts w:ascii="Verdana" w:eastAsia="Calibri" w:hAnsi="Verdana" w:cs="Arial"/>
          <w:sz w:val="20"/>
          <w:szCs w:val="20"/>
          <w:lang w:eastAsia="es-ES"/>
        </w:rPr>
        <w:t xml:space="preserve"> de Educación y el Liceo Pedagógico de los Andes LTDA. Se celebró el contrato </w:t>
      </w:r>
      <w:proofErr w:type="spellStart"/>
      <w:r>
        <w:rPr>
          <w:rFonts w:ascii="Verdana" w:eastAsia="Calibri" w:hAnsi="Verdana" w:cs="Arial"/>
          <w:sz w:val="20"/>
          <w:szCs w:val="20"/>
          <w:lang w:eastAsia="es-ES"/>
        </w:rPr>
        <w:t>n°</w:t>
      </w:r>
      <w:proofErr w:type="spellEnd"/>
      <w:r>
        <w:rPr>
          <w:rFonts w:ascii="Verdana" w:eastAsia="Calibri" w:hAnsi="Verdana" w:cs="Arial"/>
          <w:sz w:val="20"/>
          <w:szCs w:val="20"/>
          <w:lang w:eastAsia="es-ES"/>
        </w:rPr>
        <w:t xml:space="preserve"> 1802 de 2026.</w:t>
      </w:r>
    </w:p>
    <w:p w14:paraId="6439DBC9" w14:textId="77777777" w:rsidR="005870A3" w:rsidRPr="00771345" w:rsidRDefault="005870A3" w:rsidP="004A0F98">
      <w:pPr>
        <w:spacing w:after="0" w:line="240" w:lineRule="auto"/>
        <w:ind w:left="709" w:right="709"/>
        <w:jc w:val="both"/>
        <w:rPr>
          <w:rFonts w:ascii="Verdana" w:eastAsia="Calibri" w:hAnsi="Verdana" w:cs="Arial"/>
          <w:sz w:val="20"/>
          <w:szCs w:val="20"/>
          <w:lang w:eastAsia="es-ES"/>
        </w:rPr>
      </w:pPr>
    </w:p>
    <w:p w14:paraId="1CF0A87C" w14:textId="05D87EB9" w:rsidR="007942F8" w:rsidRDefault="007942F8" w:rsidP="005870A3">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 xml:space="preserve">El objeto del contrato consistió en: PRESTACIÓN DEL SERVICIO PÚBLICO EDUCATIVO CON ESTABLECIMIENTOS PRIVADOS HABILITADOS EN EL BANCO DE OFERENTES PARA LOS ESTUDIANTES FOCALIZADOS DURANTE EL AÑO LECTIVO 2026. </w:t>
      </w:r>
    </w:p>
    <w:p w14:paraId="5D823A8C" w14:textId="77777777" w:rsidR="00B1440A" w:rsidRPr="00771345" w:rsidRDefault="00B1440A" w:rsidP="004A0F98">
      <w:pPr>
        <w:spacing w:after="0" w:line="240" w:lineRule="auto"/>
        <w:ind w:left="709" w:right="709"/>
        <w:jc w:val="both"/>
        <w:rPr>
          <w:rFonts w:ascii="Verdana" w:eastAsia="Calibri" w:hAnsi="Verdana" w:cs="Arial"/>
          <w:sz w:val="20"/>
          <w:szCs w:val="20"/>
          <w:lang w:eastAsia="es-ES"/>
        </w:rPr>
      </w:pPr>
    </w:p>
    <w:p w14:paraId="577C4E46" w14:textId="77777777" w:rsidR="007942F8" w:rsidRDefault="007942F8" w:rsidP="004A0F98">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lastRenderedPageBreak/>
        <w:t xml:space="preserve">El contrato fue acepto por el contratista LICEO PEDAGOGICO LOS ANDES LTDA, siendo las 12:00:03 am del 31 de enero de 2026 en la plataforma electrónica de contratación pública SECIO II. </w:t>
      </w:r>
    </w:p>
    <w:p w14:paraId="56EBF9CB" w14:textId="77777777" w:rsidR="00B1440A" w:rsidRPr="00771345" w:rsidRDefault="00B1440A" w:rsidP="005870A3">
      <w:pPr>
        <w:spacing w:after="0" w:line="240" w:lineRule="auto"/>
        <w:ind w:left="709" w:right="709"/>
        <w:jc w:val="both"/>
        <w:rPr>
          <w:rFonts w:ascii="Verdana" w:eastAsia="Calibri" w:hAnsi="Verdana" w:cs="Arial"/>
          <w:sz w:val="20"/>
          <w:szCs w:val="20"/>
          <w:lang w:eastAsia="es-ES"/>
        </w:rPr>
      </w:pPr>
    </w:p>
    <w:p w14:paraId="56D3BA3B" w14:textId="680D07AA" w:rsidR="007942F8" w:rsidRDefault="007942F8" w:rsidP="004A0F98">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Teniendo en cuenta que la Ley 993 de 2005 consagra restricciones de carácter imperativo, la situación descrita genera una imposibilidad jurídica sobreviniente para ejecutarlo.</w:t>
      </w:r>
    </w:p>
    <w:p w14:paraId="275C6E51" w14:textId="77777777" w:rsidR="00B1440A" w:rsidRPr="00771345" w:rsidRDefault="00B1440A" w:rsidP="005870A3">
      <w:pPr>
        <w:spacing w:after="0" w:line="240" w:lineRule="auto"/>
        <w:ind w:left="709" w:right="709"/>
        <w:jc w:val="both"/>
        <w:rPr>
          <w:rFonts w:ascii="Verdana" w:eastAsia="Calibri" w:hAnsi="Verdana" w:cs="Arial"/>
          <w:sz w:val="20"/>
          <w:szCs w:val="20"/>
          <w:lang w:eastAsia="es-ES"/>
        </w:rPr>
      </w:pPr>
    </w:p>
    <w:p w14:paraId="139C4B5E" w14:textId="35DAD64F" w:rsidR="007942F8" w:rsidRDefault="007942F8" w:rsidP="004A0F98">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 xml:space="preserve">CONSULTA: </w:t>
      </w:r>
    </w:p>
    <w:p w14:paraId="6E041822" w14:textId="77777777" w:rsidR="007942F8" w:rsidRPr="003C2C84" w:rsidRDefault="007942F8" w:rsidP="004A0F98">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 xml:space="preserve">Se requiere que, se mita concepto o guía respecto de la liquidación del contrato descrito, de conformidad con las particularidades de este asunto contractual, o se hagan las recomendaciones, sugerencias o instrucciones </w:t>
      </w:r>
      <w:proofErr w:type="gramStart"/>
      <w:r>
        <w:rPr>
          <w:rFonts w:ascii="Verdana" w:eastAsia="Calibri" w:hAnsi="Verdana" w:cs="Arial"/>
          <w:sz w:val="20"/>
          <w:szCs w:val="20"/>
          <w:lang w:eastAsia="es-ES"/>
        </w:rPr>
        <w:t>a</w:t>
      </w:r>
      <w:proofErr w:type="gramEnd"/>
      <w:r>
        <w:rPr>
          <w:rFonts w:ascii="Verdana" w:eastAsia="Calibri" w:hAnsi="Verdana" w:cs="Arial"/>
          <w:sz w:val="20"/>
          <w:szCs w:val="20"/>
          <w:lang w:eastAsia="es-ES"/>
        </w:rPr>
        <w:t xml:space="preserve"> tener en cuenta”</w:t>
      </w:r>
    </w:p>
    <w:p w14:paraId="2E1EB907" w14:textId="77777777" w:rsidR="007942F8" w:rsidRPr="00755387" w:rsidRDefault="007942F8" w:rsidP="007942F8">
      <w:pPr>
        <w:spacing w:after="0" w:line="276" w:lineRule="auto"/>
        <w:ind w:right="709"/>
        <w:jc w:val="both"/>
        <w:rPr>
          <w:rFonts w:ascii="Verdana" w:eastAsia="Calibri" w:hAnsi="Verdana" w:cs="Arial"/>
          <w:lang w:eastAsia="es-ES"/>
        </w:rPr>
      </w:pPr>
    </w:p>
    <w:p w14:paraId="6BAD11F0" w14:textId="77777777" w:rsidR="007942F8" w:rsidRPr="00960F72" w:rsidRDefault="007942F8" w:rsidP="007942F8">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69962091" w14:textId="77777777" w:rsidR="007942F8" w:rsidRPr="00960F72" w:rsidRDefault="007942F8" w:rsidP="007942F8">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3F6C4899" w14:textId="77777777" w:rsidR="007942F8" w:rsidRPr="00960F72" w:rsidRDefault="007942F8" w:rsidP="007942F8">
      <w:pPr>
        <w:spacing w:after="0" w:line="276" w:lineRule="auto"/>
        <w:jc w:val="both"/>
        <w:rPr>
          <w:rFonts w:ascii="Verdana" w:eastAsia="Calibri" w:hAnsi="Verdana" w:cs="Arial"/>
          <w:lang w:eastAsia="es-ES"/>
        </w:rPr>
      </w:pPr>
    </w:p>
    <w:p w14:paraId="3829DAF7" w14:textId="77777777" w:rsidR="007942F8" w:rsidRPr="00960F72" w:rsidRDefault="007942F8" w:rsidP="007942F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38C21737" w14:textId="77777777" w:rsidR="007942F8" w:rsidRPr="00960F72" w:rsidRDefault="007942F8" w:rsidP="007942F8">
      <w:pPr>
        <w:tabs>
          <w:tab w:val="left" w:pos="426"/>
        </w:tabs>
        <w:spacing w:after="0" w:line="276" w:lineRule="auto"/>
        <w:jc w:val="both"/>
        <w:rPr>
          <w:rFonts w:ascii="Verdana" w:eastAsia="Century Gothic" w:hAnsi="Verdana" w:cs="Century Gothic"/>
        </w:rPr>
      </w:pPr>
    </w:p>
    <w:p w14:paraId="09015886" w14:textId="136C4910" w:rsidR="007942F8" w:rsidRDefault="007942F8" w:rsidP="007942F8">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00F976D8" w:rsidRPr="00771345">
        <w:rPr>
          <w:rFonts w:ascii="Verdana" w:eastAsia="Century Gothic" w:hAnsi="Verdana" w:cs="Century Gothic"/>
        </w:rPr>
        <w:t>i</w:t>
      </w:r>
      <w:r w:rsidR="00771345" w:rsidRPr="00771345">
        <w:rPr>
          <w:rFonts w:ascii="Verdana" w:eastAsia="Century Gothic" w:hAnsi="Verdana" w:cs="Century Gothic"/>
        </w:rPr>
        <w:t xml:space="preserve">) </w:t>
      </w:r>
      <w:r w:rsidR="00B35820" w:rsidRPr="00B35820">
        <w:rPr>
          <w:rFonts w:ascii="Verdana" w:eastAsia="Century Gothic" w:hAnsi="Verdana" w:cs="Century Gothic"/>
        </w:rPr>
        <w:t xml:space="preserve">¿Qué actuaciones contractuales resultan procedentes cuando un contrato estatal se perfecciona durante el período de restricción previsto en el artículo 33 de la Ley 996 de 2005 y dicha circunstancia impide </w:t>
      </w:r>
      <w:r w:rsidR="00B35820" w:rsidRPr="00B35820">
        <w:rPr>
          <w:rFonts w:ascii="Verdana" w:eastAsia="Century Gothic" w:hAnsi="Verdana" w:cs="Century Gothic"/>
        </w:rPr>
        <w:lastRenderedPageBreak/>
        <w:t>jurídicamente su ejecución?</w:t>
      </w:r>
      <w:r w:rsidR="00F976D8" w:rsidRPr="00771345">
        <w:rPr>
          <w:rFonts w:ascii="Verdana" w:eastAsia="Century Gothic" w:hAnsi="Verdana" w:cs="Century Gothic"/>
          <w:color w:val="000000" w:themeColor="text1"/>
        </w:rPr>
        <w:t xml:space="preserve"> ; y ii) ¿cuáles son las consecuencias jurídicas cuando su perfeccionamiento en la plataforma del SECOP II ocurre dentro del período de prohibición, aun cuando las etapas previas de estructuración, publicación, adjudicación y aceptación por parte del contratista se llevaron a cabo con anterioridad a dicho periodo?</w:t>
      </w:r>
    </w:p>
    <w:p w14:paraId="13ADC15B" w14:textId="77777777" w:rsidR="007942F8" w:rsidRPr="00960F72" w:rsidRDefault="007942F8" w:rsidP="007942F8">
      <w:pPr>
        <w:spacing w:after="0" w:line="276" w:lineRule="auto"/>
        <w:jc w:val="both"/>
        <w:rPr>
          <w:rFonts w:ascii="Verdana" w:eastAsia="Century Gothic" w:hAnsi="Verdana" w:cs="Century Gothic"/>
        </w:rPr>
      </w:pPr>
    </w:p>
    <w:p w14:paraId="0BDF8E23" w14:textId="77777777" w:rsidR="007942F8" w:rsidRDefault="007942F8" w:rsidP="00AB113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1A5C9289" w14:textId="77777777" w:rsidR="007942F8" w:rsidRPr="00976629" w:rsidRDefault="007942F8" w:rsidP="007942F8">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942F8" w:rsidRPr="00960F72" w14:paraId="5D86E62C" w14:textId="77777777" w:rsidTr="00FD00FB">
        <w:tc>
          <w:tcPr>
            <w:tcW w:w="8828" w:type="dxa"/>
          </w:tcPr>
          <w:p w14:paraId="69E6BD49" w14:textId="379FAF90" w:rsidR="00F976D8" w:rsidRPr="00771345" w:rsidRDefault="00F976D8">
            <w:pPr>
              <w:spacing w:after="120" w:line="276" w:lineRule="auto"/>
              <w:jc w:val="both"/>
              <w:rPr>
                <w:rFonts w:ascii="Verdana" w:eastAsia="Arial" w:hAnsi="Verdana" w:cs="Arial"/>
                <w:lang w:val="es-ES" w:eastAsia="es-ES" w:bidi="es-ES"/>
              </w:rPr>
            </w:pPr>
            <w:r w:rsidRPr="00771345">
              <w:rPr>
                <w:rFonts w:ascii="Verdana" w:eastAsia="Calibri" w:hAnsi="Verdana" w:cs="Arial"/>
              </w:rPr>
              <w:t>i</w:t>
            </w:r>
            <w:r w:rsidR="00771345" w:rsidRPr="00771345">
              <w:rPr>
                <w:rFonts w:ascii="Verdana" w:eastAsia="Calibri" w:hAnsi="Verdana" w:cs="Arial"/>
              </w:rPr>
              <w:t xml:space="preserve">) </w:t>
            </w:r>
            <w:r w:rsidRPr="00771345">
              <w:rPr>
                <w:rFonts w:ascii="Verdana" w:eastAsia="Arial" w:hAnsi="Verdana" w:cs="Arial"/>
                <w:lang w:val="es-ES" w:eastAsia="es-ES" w:bidi="es-ES"/>
              </w:rPr>
              <w:t>Las restricciones consagradas en la Ley de Garantías Electorales se dirigen a dos (2) tipos de campañas electorales claramente diferenciadas: las presidenciales y las demás que se adelanten para la elección de los demás cargos de elección popular, tanto a nivel nacional como territorial.</w:t>
            </w:r>
          </w:p>
          <w:p w14:paraId="53F897D9" w14:textId="77777777" w:rsidR="00F976D8" w:rsidRPr="00771345" w:rsidRDefault="00F976D8">
            <w:pPr>
              <w:spacing w:after="120" w:line="276" w:lineRule="auto"/>
              <w:ind w:firstLine="708"/>
              <w:jc w:val="both"/>
              <w:rPr>
                <w:rFonts w:ascii="Verdana" w:eastAsia="Calibri" w:hAnsi="Verdana" w:cs="Arial"/>
              </w:rPr>
            </w:pPr>
            <w:r w:rsidRPr="00771345">
              <w:rPr>
                <w:rFonts w:ascii="Verdana" w:eastAsia="Calibri" w:hAnsi="Verdana" w:cs="Arial"/>
              </w:rPr>
              <w:t xml:space="preserve">Por un lado, el </w:t>
            </w:r>
            <w:r w:rsidRPr="00771345">
              <w:rPr>
                <w:rFonts w:ascii="Verdana" w:eastAsia="Calibri" w:hAnsi="Verdana" w:cs="Arial"/>
                <w:i/>
                <w:iCs/>
              </w:rPr>
              <w:t>artículo 33 de la Ley 996 de 2005</w:t>
            </w:r>
            <w:r w:rsidRPr="00771345">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2E6431E" w14:textId="77777777" w:rsidR="00F976D8" w:rsidRPr="00771345" w:rsidRDefault="00F976D8">
            <w:pPr>
              <w:widowControl w:val="0"/>
              <w:autoSpaceDE w:val="0"/>
              <w:autoSpaceDN w:val="0"/>
              <w:spacing w:after="120" w:line="276" w:lineRule="auto"/>
              <w:ind w:right="113" w:firstLine="709"/>
              <w:jc w:val="both"/>
              <w:rPr>
                <w:rFonts w:ascii="Verdana" w:eastAsia="Arial" w:hAnsi="Verdana" w:cs="Arial"/>
                <w:lang w:val="es-ES" w:eastAsia="es-ES" w:bidi="es-ES"/>
              </w:rPr>
            </w:pPr>
            <w:r w:rsidRPr="00771345">
              <w:rPr>
                <w:rFonts w:ascii="Verdana" w:eastAsia="Calibri" w:hAnsi="Verdana" w:cs="Arial"/>
              </w:rPr>
              <w:t xml:space="preserve">Por otro lado, </w:t>
            </w:r>
            <w:r w:rsidRPr="00771345">
              <w:rPr>
                <w:rFonts w:ascii="Verdana" w:eastAsia="Calibri" w:hAnsi="Verdana" w:cs="Arial"/>
                <w:i/>
                <w:iCs/>
              </w:rPr>
              <w:t>el parágrafo del artículo 38 de la Ley 996 de 2005</w:t>
            </w:r>
            <w:r w:rsidRPr="00771345">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771345">
              <w:rPr>
                <w:rFonts w:ascii="Verdana" w:eastAsia="Calibri" w:hAnsi="Verdana" w:cs="Arial"/>
                <w:i/>
                <w:iCs/>
              </w:rPr>
              <w:t xml:space="preserve">“[…] </w:t>
            </w:r>
            <w:r w:rsidRPr="00771345">
              <w:rPr>
                <w:rFonts w:ascii="Verdana" w:eastAsia="Calibri" w:hAnsi="Verdana" w:cs="Arial"/>
                <w:i/>
                <w:iCs/>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771345">
              <w:rPr>
                <w:rFonts w:ascii="Verdana" w:eastAsia="Calibri" w:hAnsi="Verdana" w:cs="Arial"/>
                <w:i/>
                <w:iCs/>
              </w:rPr>
              <w:t>”</w:t>
            </w:r>
            <w:r w:rsidRPr="00771345">
              <w:rPr>
                <w:rFonts w:ascii="Verdana" w:eastAsia="Calibri" w:hAnsi="Verdana" w:cs="Arial"/>
                <w:i/>
                <w:iCs/>
                <w:lang w:val="es-MX"/>
              </w:rPr>
              <w:t>.</w:t>
            </w:r>
            <w:r w:rsidRPr="00771345">
              <w:rPr>
                <w:rFonts w:ascii="Verdana" w:eastAsia="Arial" w:hAnsi="Verdana" w:cs="Arial"/>
                <w:lang w:val="es-ES" w:eastAsia="es-ES" w:bidi="es-ES"/>
              </w:rPr>
              <w:t xml:space="preserve"> </w:t>
            </w:r>
          </w:p>
          <w:p w14:paraId="56A97CDC" w14:textId="77777777" w:rsidR="00F976D8" w:rsidRPr="00771345" w:rsidRDefault="00F976D8">
            <w:pPr>
              <w:spacing w:after="120" w:line="276" w:lineRule="auto"/>
              <w:ind w:firstLine="708"/>
              <w:jc w:val="both"/>
              <w:rPr>
                <w:rFonts w:ascii="Verdana" w:eastAsia="Times New Roman" w:hAnsi="Verdana" w:cs="Arial"/>
                <w:bCs/>
                <w:lang w:eastAsia="es-CO"/>
              </w:rPr>
            </w:pPr>
            <w:r w:rsidRPr="00771345">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 “</w:t>
            </w:r>
            <w:r w:rsidRPr="00771345">
              <w:rPr>
                <w:rFonts w:ascii="Verdana" w:eastAsia="Times New Roman" w:hAnsi="Verdana" w:cs="Arial"/>
                <w:bCs/>
                <w:lang w:eastAsia="es-CO"/>
              </w:rPr>
              <w:t>1. </w:t>
            </w:r>
            <w:r w:rsidRPr="00771345">
              <w:rPr>
                <w:rFonts w:ascii="Verdana" w:eastAsia="Times New Roman" w:hAnsi="Verdana" w:cs="Arial"/>
                <w:bCs/>
                <w:i/>
                <w:iCs/>
                <w:lang w:eastAsia="es-CO"/>
              </w:rPr>
              <w:t>Gral.</w:t>
            </w:r>
            <w:r w:rsidRPr="00771345">
              <w:rPr>
                <w:rFonts w:ascii="Verdana" w:eastAsia="Times New Roman" w:hAnsi="Verdana" w:cs="Arial"/>
                <w:bCs/>
                <w:lang w:eastAsia="es-CO"/>
              </w:rPr>
              <w:t xml:space="preserve"> Otorgar o firmar un contrato. 2. </w:t>
            </w:r>
            <w:proofErr w:type="spellStart"/>
            <w:r w:rsidRPr="00771345">
              <w:rPr>
                <w:rFonts w:ascii="Verdana" w:eastAsia="Times New Roman" w:hAnsi="Verdana" w:cs="Arial"/>
                <w:bCs/>
                <w:i/>
                <w:iCs/>
                <w:lang w:eastAsia="es-CO"/>
              </w:rPr>
              <w:t>Proc</w:t>
            </w:r>
            <w:proofErr w:type="spellEnd"/>
            <w:r w:rsidRPr="00771345">
              <w:rPr>
                <w:rFonts w:ascii="Verdana" w:eastAsia="Times New Roman" w:hAnsi="Verdana" w:cs="Arial"/>
                <w:bCs/>
                <w:i/>
                <w:iCs/>
                <w:lang w:eastAsia="es-CO"/>
              </w:rPr>
              <w:t>.</w:t>
            </w:r>
            <w:r w:rsidRPr="00771345">
              <w:rPr>
                <w:rFonts w:ascii="Verdana" w:eastAsia="Times New Roman" w:hAnsi="Verdana" w:cs="Arial"/>
                <w:bCs/>
                <w:lang w:eastAsia="es-CO"/>
              </w:rPr>
              <w:t xml:space="preserve"> Realizar los actos procesales propios de un juicio o vista”. Dentro de </w:t>
            </w:r>
            <w:r w:rsidRPr="00771345">
              <w:rPr>
                <w:rFonts w:ascii="Verdana" w:eastAsia="Times New Roman" w:hAnsi="Verdana" w:cs="Arial"/>
                <w:bCs/>
                <w:lang w:eastAsia="es-CO"/>
              </w:rPr>
              <w:lastRenderedPageBreak/>
              <w:t xml:space="preserve">las dos definiciones, la que se acerca a la expresión “celebrar” en el contexto de la Ley de Garantías Electorales es la primera, esto es, al perfeccionamiento del contrato. </w:t>
            </w:r>
          </w:p>
          <w:p w14:paraId="3F27EF26" w14:textId="77777777" w:rsidR="00F976D8" w:rsidRPr="00771345" w:rsidRDefault="00F976D8">
            <w:pPr>
              <w:spacing w:after="120" w:line="276" w:lineRule="auto"/>
              <w:ind w:firstLine="708"/>
              <w:jc w:val="both"/>
              <w:rPr>
                <w:rFonts w:ascii="Verdana" w:eastAsia="Times New Roman" w:hAnsi="Verdana" w:cs="Arial"/>
                <w:bCs/>
                <w:lang w:val="es-ES" w:eastAsia="es-CO"/>
              </w:rPr>
            </w:pPr>
            <w:r w:rsidRPr="00771345">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w:t>
            </w:r>
            <w:r w:rsidRPr="00771345">
              <w:rPr>
                <w:rFonts w:ascii="Verdana" w:eastAsia="Times New Roman" w:hAnsi="Verdana" w:cs="Arial"/>
                <w:bCs/>
                <w:i/>
                <w:iCs/>
                <w:lang w:val="es-ES" w:eastAsia="es-CO"/>
              </w:rPr>
              <w:t>perfeccionamiento</w:t>
            </w:r>
            <w:r w:rsidRPr="00771345">
              <w:rPr>
                <w:rFonts w:ascii="Verdana" w:eastAsia="Times New Roman" w:hAnsi="Verdana" w:cs="Arial"/>
                <w:bCs/>
                <w:lang w:val="es-ES" w:eastAsia="es-CO"/>
              </w:rPr>
              <w:t xml:space="preserve">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7A0E4C82" w14:textId="77777777" w:rsidR="00F976D8" w:rsidRPr="00771345" w:rsidRDefault="00F976D8">
            <w:pPr>
              <w:spacing w:after="120" w:line="276" w:lineRule="auto"/>
              <w:ind w:firstLine="708"/>
              <w:jc w:val="both"/>
              <w:rPr>
                <w:rFonts w:ascii="Verdana" w:eastAsia="Calibri" w:hAnsi="Verdana" w:cs="Arial"/>
                <w:lang w:val="es-ES"/>
              </w:rPr>
            </w:pPr>
            <w:r w:rsidRPr="00771345">
              <w:rPr>
                <w:rFonts w:ascii="Verdana" w:eastAsia="Calibri" w:hAnsi="Verdana" w:cs="Arial"/>
                <w:lang w:val="es-ES"/>
              </w:rPr>
              <w:t>Ahora bien, con la implementación del SECOP II como plataforma transaccional para la actividad contractual del Estado, se permite que los contratos que se publiquen sean firmados electrónicamente. De este modo, el proceso mediante el cual se efectúa la firma del contrato y su consecuente aprobación o rechazo es realizado a través del SECOP II. Así, después de que se adjudica el proceso de contratación en la plataforma se inicia el procedimiento por parte de la Entidad Estatal para que se cambie el estado del proceso a “adjudicado”, con lo cual se genera el contrato electrónico en estado “en edición”.</w:t>
            </w:r>
          </w:p>
          <w:p w14:paraId="119A10EA" w14:textId="77777777" w:rsidR="00F976D8" w:rsidRPr="00771345" w:rsidRDefault="00F976D8">
            <w:pPr>
              <w:spacing w:after="120" w:line="276" w:lineRule="auto"/>
              <w:ind w:firstLine="567"/>
              <w:jc w:val="both"/>
              <w:rPr>
                <w:rFonts w:ascii="Verdana" w:eastAsia="Calibri" w:hAnsi="Verdana" w:cs="Arial"/>
              </w:rPr>
            </w:pPr>
            <w:r w:rsidRPr="00771345">
              <w:rPr>
                <w:rFonts w:ascii="Verdana" w:eastAsia="Calibri" w:hAnsi="Verdana" w:cs="Arial"/>
                <w:lang w:val="es-ES"/>
              </w:rPr>
              <w:t>Conforme lo señala “Guía SECOP II – Gestión Contractual Para Entidades Estatales</w:t>
            </w:r>
            <w:r w:rsidRPr="00771345">
              <w:rPr>
                <w:rStyle w:val="Refdenotaalpie"/>
                <w:rFonts w:ascii="Verdana" w:eastAsia="Calibri" w:hAnsi="Verdana" w:cs="Arial"/>
                <w:lang w:val="es-ES"/>
              </w:rPr>
              <w:footnoteReference w:id="2"/>
            </w:r>
            <w:r w:rsidRPr="00771345">
              <w:rPr>
                <w:rFonts w:ascii="Verdana" w:eastAsia="Calibri" w:hAnsi="Verdana" w:cs="Arial"/>
                <w:lang w:val="es-ES"/>
              </w:rPr>
              <w:t xml:space="preserve">” </w:t>
            </w:r>
            <w:r w:rsidRPr="00771345">
              <w:rPr>
                <w:rFonts w:ascii="Verdana" w:eastAsia="Calibri" w:hAnsi="Verdana" w:cs="Arial"/>
              </w:rPr>
              <w:t>es importante que previamente el usuario administrador de la Entidad Estatal haya configurado flujos de aprobación en este hito del proceso con el fin de que el contrato electrónico sea enviado al ordenador del gasto representante legal de la entidad para su aprobación final.</w:t>
            </w:r>
            <w:r w:rsidRPr="00771345">
              <w:rPr>
                <w:rFonts w:ascii="Verdana" w:eastAsia="Calibri" w:hAnsi="Verdana" w:cs="Arial"/>
                <w:lang w:val="es-ES"/>
              </w:rPr>
              <w:t xml:space="preserve"> </w:t>
            </w:r>
            <w:r w:rsidRPr="00771345">
              <w:rPr>
                <w:rFonts w:ascii="Verdana" w:eastAsia="Calibri" w:hAnsi="Verdana" w:cs="Arial"/>
              </w:rPr>
              <w:t>Una vez el ordenador del gasto de la entidad realice la aprobación el estado del contrato cambia a “Firmado” y quedará público para consulta de cualquier interesado.</w:t>
            </w:r>
          </w:p>
          <w:p w14:paraId="5E8793E2" w14:textId="77777777" w:rsidR="00F976D8" w:rsidRPr="00771345" w:rsidRDefault="00F976D8">
            <w:pPr>
              <w:spacing w:after="120" w:line="276" w:lineRule="auto"/>
              <w:ind w:firstLine="709"/>
              <w:jc w:val="both"/>
              <w:rPr>
                <w:rFonts w:ascii="Verdana" w:eastAsia="Calibri" w:hAnsi="Verdana" w:cs="Arial"/>
                <w:lang w:val="es-ES"/>
              </w:rPr>
            </w:pPr>
            <w:r w:rsidRPr="00771345">
              <w:rPr>
                <w:rFonts w:ascii="Verdana" w:eastAsia="Calibri" w:hAnsi="Verdana" w:cs="Arial"/>
                <w:lang w:val="es-ES"/>
              </w:rPr>
              <w:t>Así las cosas, cuando el proceso de contratación se adelanta por el SECOP II la aprobación del contrato para su perfeccionamiento y posterior ejecución deberá efectuarse en dicha plataforma de conformidad con el procedimiento descrito. En todo caso, hasta que no se efectué la aprobación en el SECOP II por parte del ordenador del gasto de la Entidad no se entiende perfeccionado el contrato.</w:t>
            </w:r>
          </w:p>
          <w:p w14:paraId="12412BC2" w14:textId="77777777" w:rsidR="00F976D8" w:rsidRPr="00771345" w:rsidRDefault="00F976D8">
            <w:pPr>
              <w:spacing w:after="120" w:line="276" w:lineRule="auto"/>
              <w:ind w:firstLine="567"/>
              <w:jc w:val="both"/>
              <w:rPr>
                <w:rFonts w:ascii="Verdana" w:eastAsia="Calibri" w:hAnsi="Verdana" w:cs="Arial"/>
                <w:lang w:val="es-ES"/>
              </w:rPr>
            </w:pPr>
            <w:r w:rsidRPr="00771345">
              <w:rPr>
                <w:rFonts w:ascii="Verdana" w:eastAsia="Calibri" w:hAnsi="Verdana" w:cs="Arial"/>
                <w:lang w:val="es-ES"/>
              </w:rPr>
              <w:lastRenderedPageBreak/>
              <w:t>Bajo este contexto, en atención a la consulta planteada, es pertinente señalar que debido a que el concepto “celebrar” para efectos de las restricciones a la contratación previstas en la Ley de Garantías Electorales se asocia al momento del perfeccionamiento del contrato estatal, es necesario tener en cuenta dicho hito en los procesos adelantados a través de la plataforma SECOP II. De esta forma, como se indicó, al tratarse de un sistema transaccional, el contrato se entiende celebrado una vez se ha surtido la aprobación y publicación por parte de la entidad estatal, momento en el cual la plataforma registra el estado de “firmado”, dejando constancia de la concurrencia de voluntades y del cumplimiento del requisito de perfeccionamiento.</w:t>
            </w:r>
          </w:p>
          <w:p w14:paraId="69385F1B" w14:textId="77777777" w:rsidR="00F976D8" w:rsidRPr="00771345" w:rsidRDefault="00F976D8">
            <w:pPr>
              <w:spacing w:after="120" w:line="276" w:lineRule="auto"/>
              <w:ind w:firstLine="567"/>
              <w:jc w:val="both"/>
              <w:rPr>
                <w:rFonts w:ascii="Verdana" w:eastAsia="Calibri" w:hAnsi="Verdana" w:cs="Arial"/>
              </w:rPr>
            </w:pPr>
            <w:r w:rsidRPr="00771345">
              <w:rPr>
                <w:rFonts w:ascii="Verdana" w:eastAsia="Calibri" w:hAnsi="Verdana" w:cs="Arial"/>
              </w:rPr>
              <w:t>En este orden de ideas, dentro del flujo de aprobación que la entidad haya configurado en el SECOP II, el momento en que el ordenador del gasto emite su aprobación final constituye el hito en el cual se consolida efectivamente la concurrencia de voluntades y el acuerdo contractual. Ello obedece a que, de manera previa, el proveedor ya ha otorgado su aprobación al contrato, manifestando su aceptación integral de las condiciones pactadas. Así, con la aprobación posterior del ordenador del gasto se perfecciona el consentimiento recíproco sobre el objeto y la contraprestación y queda formalmente estructurado el acuerdo.</w:t>
            </w:r>
          </w:p>
          <w:p w14:paraId="32A58067" w14:textId="676CDC79" w:rsidR="00F976D8" w:rsidRPr="00771345" w:rsidRDefault="00F976D8" w:rsidP="00F976D8">
            <w:pPr>
              <w:spacing w:line="276" w:lineRule="auto"/>
              <w:ind w:firstLine="567"/>
              <w:jc w:val="both"/>
              <w:rPr>
                <w:rFonts w:ascii="Verdana" w:eastAsia="Calibri" w:hAnsi="Verdana" w:cs="Arial"/>
                <w:lang w:val="es-ES"/>
              </w:rPr>
            </w:pPr>
            <w:r w:rsidRPr="00771345">
              <w:rPr>
                <w:rFonts w:ascii="Verdana" w:eastAsia="Calibri" w:hAnsi="Verdana" w:cs="Arial"/>
                <w:lang w:val="es-ES"/>
              </w:rPr>
              <w:t xml:space="preserve">Así las cosas, tratándose de procesos gestionados en SECOP II, las actuaciones necesarias para que el contrato adquiera el estado de “firmado” deben realizarse antes de la </w:t>
            </w:r>
            <w:proofErr w:type="gramStart"/>
            <w:r w:rsidRPr="00771345">
              <w:rPr>
                <w:rFonts w:ascii="Verdana" w:eastAsia="Calibri" w:hAnsi="Verdana" w:cs="Arial"/>
                <w:lang w:val="es-ES"/>
              </w:rPr>
              <w:t>entrada en vigencia</w:t>
            </w:r>
            <w:proofErr w:type="gramEnd"/>
            <w:r w:rsidRPr="00771345">
              <w:rPr>
                <w:rFonts w:ascii="Verdana" w:eastAsia="Calibri" w:hAnsi="Verdana" w:cs="Arial"/>
                <w:lang w:val="es-ES"/>
              </w:rPr>
              <w:t xml:space="preserve"> de las restricciones previstas en la Ley de Garantías Electorales. De lo contrario, si el perfeccionamiento, es decir, si la aprobación final por parte del ordenador del gasto y su registro como estado “firmado” en la plataforma se produce cuando ya se encuentra vigente la prohibición establecida en el artículo 33 ibidem, se entiende que el contrato fue celebrado en vigencia de dicha restricción, con las consecuencias jurídicas a que haya lugar, sin que resulte suficiente que etapas previas del proceso se hubieren adelantado con anterioridad.</w:t>
            </w:r>
          </w:p>
          <w:p w14:paraId="5652EDB7" w14:textId="77777777" w:rsidR="00F976D8" w:rsidRPr="00771345" w:rsidRDefault="00F976D8" w:rsidP="004A0F98">
            <w:pPr>
              <w:spacing w:line="276" w:lineRule="auto"/>
              <w:ind w:firstLine="567"/>
              <w:jc w:val="both"/>
              <w:rPr>
                <w:rFonts w:ascii="Verdana" w:eastAsia="Calibri" w:hAnsi="Verdana" w:cs="Arial"/>
              </w:rPr>
            </w:pPr>
          </w:p>
          <w:p w14:paraId="123BB0FC" w14:textId="77777777" w:rsidR="00F976D8" w:rsidRPr="00771345" w:rsidRDefault="00F976D8" w:rsidP="00F976D8">
            <w:pPr>
              <w:spacing w:after="120" w:line="276" w:lineRule="auto"/>
              <w:jc w:val="both"/>
              <w:rPr>
                <w:rFonts w:ascii="Verdana" w:eastAsia="Calibri" w:hAnsi="Verdana" w:cs="Arial"/>
              </w:rPr>
            </w:pPr>
            <w:r w:rsidRPr="00771345">
              <w:rPr>
                <w:rFonts w:ascii="Verdana" w:eastAsia="Times New Roman" w:hAnsi="Verdana" w:cs="Arial"/>
                <w:bCs/>
                <w:lang w:val="es-ES" w:eastAsia="es-CO"/>
              </w:rPr>
              <w:t xml:space="preserve">ii. Cuando el perfeccionamiento del contrato en la plataforma del SECOP II ocurre en vigencia de las restricciones establecidas en la Ley de Garantías Electorales, la entidad deberá revisar la validez del contrato y analizar una posible configuración de nulidad a la luz de lo dispuesto en el artículo 44 de la </w:t>
            </w:r>
            <w:r w:rsidRPr="00771345">
              <w:rPr>
                <w:rFonts w:ascii="Verdana" w:eastAsia="Times New Roman" w:hAnsi="Verdana" w:cs="Arial"/>
                <w:bCs/>
                <w:lang w:val="es-ES" w:eastAsia="es-CO"/>
              </w:rPr>
              <w:lastRenderedPageBreak/>
              <w:t xml:space="preserve">Ley 80 de 1993. Sobre el régimen de nulidad, la norma en cita </w:t>
            </w:r>
            <w:r w:rsidRPr="00771345">
              <w:rPr>
                <w:rFonts w:ascii="Verdana" w:eastAsia="Calibri" w:hAnsi="Verdana" w:cs="Arial"/>
              </w:rPr>
              <w:t>señala como causales de nulidad del contrato estatal, las siguientes: 1. Que el contrato se celebre con personas incursas en causales de inhabilidad o incompatibilidad previstas en la Constitución y la ley. 2. Que se celebre contra expresa prohibición constitucional o legal. 3. Que se celebre con abuso o desviación de poder. 4. Que se declaren nulos los actos administrativos en que se fundamenten. 5. Que se hubieren celebrado con desconocimiento de los criterios previstos para el tratamiento de ofertas nacionales y extranjeras o con violación de la reciprocidad.</w:t>
            </w:r>
          </w:p>
          <w:p w14:paraId="1701648E" w14:textId="77777777" w:rsidR="00F976D8" w:rsidRPr="00771345" w:rsidRDefault="00F976D8" w:rsidP="00F976D8">
            <w:pPr>
              <w:spacing w:after="120" w:line="276" w:lineRule="auto"/>
              <w:ind w:firstLine="743"/>
              <w:jc w:val="both"/>
              <w:rPr>
                <w:rFonts w:ascii="Verdana" w:eastAsia="Calibri" w:hAnsi="Verdana" w:cs="Arial"/>
              </w:rPr>
            </w:pPr>
            <w:r w:rsidRPr="00771345">
              <w:rPr>
                <w:rFonts w:ascii="Verdana" w:eastAsia="Calibri" w:hAnsi="Verdana" w:cs="Arial"/>
                <w:bCs/>
              </w:rPr>
              <w:t>En concordancia con lo anterior, el artículo 45 de la Ley 80 de 1993 establece que la nulidad absoluta del contrato podrá alegarse por las partes, por el agente del ministerio público, por cualquier persona o declarada de oficio, y no siendo susceptible de saneamiento por ratificación. Además, de acuerdo con el inciso segundo, cuando se presente alguna las hipótesis señaladas en los numerales 1, 2 y 4 del artículo 44 de la Ley 80 de 1993, la entidad debe terminar el contrato mediante acto administrativo y ordenar su liquidación en el estado en que se encuentre. Estas situaciones se refieren a los casos en que</w:t>
            </w:r>
            <w:r w:rsidRPr="00771345">
              <w:rPr>
                <w:rFonts w:ascii="Verdana" w:eastAsia="Calibri" w:hAnsi="Verdana" w:cs="Arial"/>
              </w:rPr>
              <w:t xml:space="preserve"> el contrato se celebre con personas incursas en causales de inhabilidad o incompatibilidad previstas en la Constitución y la ley, que se celebre contra expresa prohibición constitucional o legal, o que se declaren nulos los actos administrativos en que se fundamenten. </w:t>
            </w:r>
          </w:p>
          <w:p w14:paraId="2B7B471F" w14:textId="77777777" w:rsidR="00F976D8" w:rsidRPr="00771345" w:rsidRDefault="00F976D8" w:rsidP="00F976D8">
            <w:pPr>
              <w:spacing w:after="120" w:line="276" w:lineRule="auto"/>
              <w:ind w:firstLine="743"/>
              <w:jc w:val="both"/>
              <w:rPr>
                <w:rFonts w:ascii="Verdana" w:eastAsia="Calibri" w:hAnsi="Verdana" w:cs="Arial"/>
              </w:rPr>
            </w:pPr>
            <w:r w:rsidRPr="00771345">
              <w:rPr>
                <w:rFonts w:ascii="Verdana" w:eastAsia="Calibri" w:hAnsi="Verdana" w:cs="Arial"/>
              </w:rPr>
              <w:t xml:space="preserve">En este sentido, para que proceda la terminación del contrato y su correspondiente liquidación en los términos de la norma citada, resulta indispensable que la entidad verifique que la situación que genera la nulidad se enmarque en alguna de las causales allí señaladas. Particularmente, frente a la circunstancia analizadas es posible que se pueda generar la nulidad absoluta del contrato por la causal de celebración contra expresa prohibición constitucional o legal, por vulnerar las restricciones establecidas en los artículos 33 y 38 de la Ley de Garantías Electorales. </w:t>
            </w:r>
          </w:p>
          <w:p w14:paraId="33643832" w14:textId="77777777" w:rsidR="00F976D8" w:rsidRPr="00771345" w:rsidRDefault="00F976D8" w:rsidP="00F976D8">
            <w:pPr>
              <w:spacing w:after="120" w:line="276" w:lineRule="auto"/>
              <w:ind w:firstLine="567"/>
              <w:jc w:val="both"/>
              <w:rPr>
                <w:rFonts w:ascii="Verdana" w:eastAsia="Times New Roman" w:hAnsi="Verdana" w:cs="Arial"/>
                <w:bCs/>
                <w:lang w:val="es-ES" w:eastAsia="es-CO"/>
              </w:rPr>
            </w:pPr>
            <w:r w:rsidRPr="00771345">
              <w:rPr>
                <w:rFonts w:ascii="Verdana" w:eastAsia="Times New Roman" w:hAnsi="Verdana" w:cs="Arial"/>
                <w:bCs/>
                <w:lang w:val="es-ES" w:eastAsia="es-CO"/>
              </w:rPr>
              <w:t xml:space="preserve">Así las cosas, se concluye que aquellos contratos cuyo perfeccionamiento en la plataforma SECOP II -entendido como el momento en que se surte la aprobación final por parte del ordenador del gasto y se publica el contrato en estado “Firmado”-, haya ocurrido con posterioridad a la entrada en vigencia de la Ley de Garantías Electorales, esta Agencia considera que los mismos se entienden celebrados en infracción de lo previsto en los artículos 33 y 38 </w:t>
            </w:r>
            <w:r w:rsidRPr="00771345">
              <w:rPr>
                <w:rFonts w:ascii="Verdana" w:eastAsia="Times New Roman" w:hAnsi="Verdana" w:cs="Arial"/>
                <w:bCs/>
                <w:i/>
                <w:iCs/>
                <w:lang w:val="es-ES" w:eastAsia="es-CO"/>
              </w:rPr>
              <w:lastRenderedPageBreak/>
              <w:t>ibidem,</w:t>
            </w:r>
            <w:r w:rsidRPr="00771345">
              <w:rPr>
                <w:rFonts w:ascii="Verdana" w:eastAsia="Times New Roman" w:hAnsi="Verdana" w:cs="Arial"/>
                <w:bCs/>
                <w:lang w:val="es-ES" w:eastAsia="es-CO"/>
              </w:rPr>
              <w:t xml:space="preserve"> en la medida en que el hito jurídico de perfeccionamiento ocurrió dentro del período de restricción.</w:t>
            </w:r>
          </w:p>
          <w:p w14:paraId="3B022D0C" w14:textId="71432E82" w:rsidR="007942F8" w:rsidRPr="00D54C9D" w:rsidRDefault="00F976D8" w:rsidP="004A0F98">
            <w:pPr>
              <w:spacing w:after="120" w:line="276" w:lineRule="auto"/>
              <w:ind w:firstLine="709"/>
              <w:contextualSpacing/>
              <w:jc w:val="both"/>
              <w:rPr>
                <w:rFonts w:ascii="Verdana" w:eastAsia="Calibri" w:hAnsi="Verdana" w:cs="Arial"/>
              </w:rPr>
            </w:pPr>
            <w:r w:rsidRPr="00771345">
              <w:rPr>
                <w:rFonts w:ascii="Verdana" w:eastAsia="Times New Roman" w:hAnsi="Verdana" w:cs="Arial"/>
                <w:bCs/>
                <w:lang w:val="es-ES" w:eastAsia="es-CO"/>
              </w:rPr>
              <w:t xml:space="preserve">En consecuencia, corresponderá a la entidad estatal efectuar el análisis jurídico integral del caso concreto y determinar la procedencia de las medidas a que haya lugar, a la luz de lo dispuesto en los artículos 44 y 45 de la Ley 80 de 1993. Lo anterior, sin perjuicio de las responsabilidades de tipo disciplinario, fiscal y penal que puedan generarse. </w:t>
            </w:r>
          </w:p>
        </w:tc>
      </w:tr>
    </w:tbl>
    <w:p w14:paraId="1B390466" w14:textId="77777777" w:rsidR="007942F8" w:rsidRPr="00960F72" w:rsidRDefault="007942F8" w:rsidP="007942F8">
      <w:pPr>
        <w:tabs>
          <w:tab w:val="left" w:pos="142"/>
          <w:tab w:val="left" w:pos="284"/>
        </w:tabs>
        <w:spacing w:after="0" w:line="276" w:lineRule="auto"/>
        <w:jc w:val="both"/>
        <w:rPr>
          <w:rFonts w:ascii="Verdana" w:eastAsia="Century Gothic" w:hAnsi="Verdana" w:cs="Century Gothic"/>
          <w:b/>
          <w:bCs/>
        </w:rPr>
      </w:pPr>
    </w:p>
    <w:p w14:paraId="756A6B6F" w14:textId="77777777" w:rsidR="007942F8" w:rsidRDefault="007942F8" w:rsidP="007942F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0EA86BE0" w14:textId="77777777" w:rsidR="007942F8" w:rsidRDefault="007942F8" w:rsidP="007942F8">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3637F30C" w14:textId="04D3D508" w:rsidR="007942F8" w:rsidRPr="002D6B92" w:rsidRDefault="007C5632" w:rsidP="004A0F98">
      <w:pPr>
        <w:tabs>
          <w:tab w:val="left" w:pos="142"/>
          <w:tab w:val="left" w:pos="284"/>
          <w:tab w:val="left" w:pos="6912"/>
        </w:tabs>
        <w:spacing w:after="120" w:line="276" w:lineRule="auto"/>
        <w:jc w:val="both"/>
        <w:rPr>
          <w:rFonts w:ascii="Verdana" w:eastAsia="Calibri" w:hAnsi="Verdana" w:cs="Arial"/>
          <w:lang w:val="es-ES"/>
        </w:rPr>
      </w:pPr>
      <w:r w:rsidRPr="00771345">
        <w:rPr>
          <w:rFonts w:ascii="Verdana" w:eastAsia="Calibri" w:hAnsi="Verdana" w:cs="Arial"/>
          <w:color w:val="000000" w:themeColor="text1"/>
          <w:lang w:val="es-ES" w:eastAsia="en-GB"/>
        </w:rPr>
        <w:t>i</w:t>
      </w:r>
      <w:r w:rsidR="00771345">
        <w:rPr>
          <w:rFonts w:ascii="Verdana" w:eastAsia="Calibri" w:hAnsi="Verdana" w:cs="Arial"/>
          <w:color w:val="000000" w:themeColor="text1"/>
          <w:lang w:val="es-ES" w:eastAsia="en-GB"/>
        </w:rPr>
        <w:t>)</w:t>
      </w:r>
      <w:r w:rsidRPr="00771345">
        <w:rPr>
          <w:rFonts w:ascii="Verdana" w:eastAsia="Times New Roman" w:hAnsi="Verdana" w:cs="Arial"/>
          <w:bCs/>
          <w:lang w:eastAsia="es-CO"/>
        </w:rPr>
        <w:t xml:space="preserve"> </w:t>
      </w:r>
      <w:r w:rsidR="007942F8" w:rsidRPr="002D6B92">
        <w:rPr>
          <w:rFonts w:ascii="Verdana" w:eastAsia="Times New Roman" w:hAnsi="Verdana" w:cs="Arial"/>
          <w:bCs/>
          <w:lang w:eastAsia="es-CO"/>
        </w:rPr>
        <w:t>El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cuanto a aspectos políticos establece restricciones a ciertos empleados del Estado, incluso en época no electoral</w:t>
      </w:r>
      <w:r w:rsidR="007942F8" w:rsidRPr="00F10E52">
        <w:rPr>
          <w:rStyle w:val="Refdenotaalpie"/>
          <w:rFonts w:ascii="Verdana" w:eastAsia="Calibri" w:hAnsi="Verdana" w:cs="Arial"/>
          <w:bCs/>
        </w:rPr>
        <w:footnoteReference w:id="3"/>
      </w:r>
      <w:r w:rsidR="007942F8" w:rsidRPr="00F10E52">
        <w:rPr>
          <w:rFonts w:ascii="Verdana" w:eastAsia="Calibri" w:hAnsi="Verdana" w:cs="Arial"/>
          <w:bCs/>
        </w:rPr>
        <w:t xml:space="preserve">. </w:t>
      </w:r>
    </w:p>
    <w:p w14:paraId="1B73DAEB" w14:textId="77777777" w:rsidR="007942F8" w:rsidRDefault="007942F8" w:rsidP="007942F8">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4"/>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46A23A38" w14:textId="10291E1A" w:rsidR="007942F8" w:rsidRPr="00F10E52" w:rsidRDefault="007942F8" w:rsidP="00771345">
      <w:pPr>
        <w:tabs>
          <w:tab w:val="left" w:pos="426"/>
        </w:tabs>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147497E0" w14:textId="77777777" w:rsidR="00771345" w:rsidRPr="00771345" w:rsidRDefault="00771345" w:rsidP="004A0F98">
      <w:pPr>
        <w:tabs>
          <w:tab w:val="left" w:pos="426"/>
        </w:tabs>
        <w:spacing w:after="0" w:line="276" w:lineRule="auto"/>
        <w:ind w:firstLine="709"/>
        <w:jc w:val="both"/>
        <w:rPr>
          <w:rFonts w:ascii="Verdana" w:eastAsia="Times New Roman" w:hAnsi="Verdana" w:cs="Arial"/>
          <w:bCs/>
          <w:lang w:eastAsia="es-CO"/>
        </w:rPr>
      </w:pPr>
    </w:p>
    <w:p w14:paraId="58A04FCF" w14:textId="77777777" w:rsidR="007942F8" w:rsidRPr="007777F3" w:rsidRDefault="007942F8" w:rsidP="007942F8">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19228D65" w14:textId="77777777" w:rsidR="007942F8" w:rsidRPr="009E6EDF" w:rsidRDefault="007942F8" w:rsidP="007942F8">
      <w:pPr>
        <w:spacing w:after="0" w:line="240" w:lineRule="auto"/>
        <w:ind w:left="709" w:right="709"/>
        <w:jc w:val="both"/>
        <w:rPr>
          <w:rFonts w:ascii="Verdana" w:eastAsia="Times New Roman" w:hAnsi="Verdana" w:cs="Arial"/>
          <w:bCs/>
          <w:sz w:val="20"/>
          <w:szCs w:val="20"/>
          <w:lang w:eastAsia="es-CO"/>
        </w:rPr>
      </w:pPr>
    </w:p>
    <w:p w14:paraId="5D972352" w14:textId="77777777" w:rsidR="007942F8" w:rsidRPr="00724A60" w:rsidRDefault="007942F8" w:rsidP="007942F8">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5"/>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bookmarkStart w:id="1" w:name="_Hlk78818186"/>
    </w:p>
    <w:p w14:paraId="0A32F382" w14:textId="77777777" w:rsidR="007942F8" w:rsidRDefault="007942F8" w:rsidP="007942F8">
      <w:pPr>
        <w:spacing w:after="0" w:line="276" w:lineRule="auto"/>
        <w:ind w:firstLine="709"/>
        <w:jc w:val="both"/>
        <w:rPr>
          <w:rFonts w:ascii="Verdana" w:eastAsia="Times New Roman" w:hAnsi="Verdana" w:cs="Arial"/>
          <w:bCs/>
          <w:lang w:eastAsia="es-CO"/>
        </w:rPr>
      </w:pPr>
    </w:p>
    <w:p w14:paraId="5FB47939" w14:textId="2C6C4818" w:rsidR="007942F8" w:rsidRPr="002D6B92" w:rsidRDefault="007942F8" w:rsidP="00771345">
      <w:pPr>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1"/>
      <w:r w:rsidRPr="00F10E52">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51168E92" w14:textId="77777777" w:rsidR="00771345" w:rsidRPr="00771345" w:rsidRDefault="00771345" w:rsidP="004A0F98">
      <w:pPr>
        <w:spacing w:after="0" w:line="276" w:lineRule="auto"/>
        <w:ind w:firstLine="709"/>
        <w:jc w:val="both"/>
        <w:rPr>
          <w:rFonts w:ascii="Verdana" w:eastAsia="Times New Roman" w:hAnsi="Verdana" w:cs="Arial"/>
          <w:bCs/>
          <w:lang w:eastAsia="es-CO"/>
        </w:rPr>
      </w:pPr>
    </w:p>
    <w:p w14:paraId="299B65FC" w14:textId="77777777" w:rsidR="007942F8" w:rsidRPr="009B20C5" w:rsidRDefault="007942F8" w:rsidP="007942F8">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9A44C10" w14:textId="77777777" w:rsidR="007942F8" w:rsidRPr="009B20C5" w:rsidRDefault="007942F8" w:rsidP="007942F8">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lastRenderedPageBreak/>
        <w:t>La jurisprudencia de la Corte Constitucional</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7"/>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8"/>
      </w:r>
      <w:r w:rsidRPr="009B20C5">
        <w:rPr>
          <w:rFonts w:ascii="Verdana" w:eastAsia="Times New Roman" w:hAnsi="Verdana" w:cs="Arial"/>
          <w:bCs/>
          <w:sz w:val="20"/>
          <w:szCs w:val="20"/>
          <w:lang w:eastAsia="es-CO"/>
        </w:rPr>
        <w:t>.</w:t>
      </w:r>
    </w:p>
    <w:p w14:paraId="3F06E1A5" w14:textId="77777777" w:rsidR="007942F8" w:rsidRDefault="007942F8" w:rsidP="007942F8">
      <w:pPr>
        <w:spacing w:after="0" w:line="240" w:lineRule="auto"/>
        <w:jc w:val="both"/>
        <w:rPr>
          <w:rFonts w:ascii="Verdana" w:eastAsia="Times New Roman" w:hAnsi="Verdana" w:cs="Arial"/>
          <w:bCs/>
          <w:lang w:eastAsia="es-CO"/>
        </w:rPr>
      </w:pPr>
      <w:r w:rsidRPr="00F10E52">
        <w:rPr>
          <w:rFonts w:ascii="Verdana" w:eastAsia="Times New Roman" w:hAnsi="Verdana" w:cs="Arial"/>
          <w:bCs/>
          <w:lang w:eastAsia="es-CO"/>
        </w:rPr>
        <w:tab/>
      </w:r>
    </w:p>
    <w:p w14:paraId="060B5CFF" w14:textId="77777777" w:rsidR="007942F8" w:rsidRDefault="007942F8" w:rsidP="004A0F98">
      <w:pPr>
        <w:spacing w:after="0" w:line="276" w:lineRule="auto"/>
        <w:ind w:firstLine="709"/>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2"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2515FF89" w14:textId="77777777" w:rsidR="00771345" w:rsidRDefault="00771345" w:rsidP="004A0F98">
      <w:pPr>
        <w:spacing w:after="0" w:line="276" w:lineRule="auto"/>
        <w:jc w:val="both"/>
        <w:rPr>
          <w:rFonts w:ascii="Verdana" w:eastAsia="Arial" w:hAnsi="Verdana" w:cs="Arial"/>
          <w:lang w:val="es-ES" w:eastAsia="es-ES" w:bidi="es-ES"/>
        </w:rPr>
      </w:pPr>
    </w:p>
    <w:p w14:paraId="7CFB653F" w14:textId="24A56A7C" w:rsidR="007942F8" w:rsidRPr="00F10E52" w:rsidRDefault="00771345" w:rsidP="004A0F98">
      <w:pPr>
        <w:spacing w:after="120" w:line="276" w:lineRule="auto"/>
        <w:jc w:val="both"/>
        <w:rPr>
          <w:rFonts w:ascii="Verdana" w:eastAsia="Arial" w:hAnsi="Verdana" w:cs="Arial"/>
          <w:lang w:val="es-ES" w:eastAsia="es-ES" w:bidi="es-ES"/>
        </w:rPr>
      </w:pPr>
      <w:proofErr w:type="spellStart"/>
      <w:r>
        <w:rPr>
          <w:rFonts w:ascii="Verdana" w:eastAsia="Arial" w:hAnsi="Verdana" w:cs="Arial"/>
          <w:lang w:val="es-ES" w:eastAsia="es-ES" w:bidi="es-ES"/>
        </w:rPr>
        <w:t>ii</w:t>
      </w:r>
      <w:proofErr w:type="spellEnd"/>
      <w:r>
        <w:rPr>
          <w:rFonts w:ascii="Verdana" w:eastAsia="Arial" w:hAnsi="Verdana" w:cs="Arial"/>
          <w:lang w:val="es-ES" w:eastAsia="es-ES" w:bidi="es-ES"/>
        </w:rPr>
        <w:t xml:space="preserve">) </w:t>
      </w:r>
      <w:r w:rsidR="007942F8"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2"/>
    </w:p>
    <w:p w14:paraId="53680E15" w14:textId="77777777" w:rsidR="007942F8" w:rsidRPr="00F10E52" w:rsidRDefault="007942F8" w:rsidP="007942F8">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 xml:space="preserve">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F10E52">
        <w:rPr>
          <w:rFonts w:ascii="Verdana" w:eastAsia="Calibri" w:hAnsi="Verdana" w:cs="Arial"/>
        </w:rPr>
        <w:lastRenderedPageBreak/>
        <w:t>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9"/>
      </w:r>
      <w:r w:rsidRPr="00F10E52">
        <w:rPr>
          <w:rFonts w:ascii="Verdana" w:eastAsia="Calibri" w:hAnsi="Verdana" w:cs="Arial"/>
        </w:rPr>
        <w:t>.</w:t>
      </w:r>
    </w:p>
    <w:p w14:paraId="59F1208E" w14:textId="77777777" w:rsidR="007942F8" w:rsidRDefault="007942F8" w:rsidP="007942F8">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10"/>
      </w:r>
      <w:r w:rsidRPr="00F10E52">
        <w:rPr>
          <w:rFonts w:ascii="Verdana" w:eastAsia="Calibri" w:hAnsi="Verdana" w:cs="Arial"/>
        </w:rPr>
        <w:t>.</w:t>
      </w:r>
      <w:r w:rsidRPr="00F10E52">
        <w:rPr>
          <w:rFonts w:ascii="Verdana" w:eastAsia="Arial" w:hAnsi="Verdana" w:cs="Arial"/>
          <w:lang w:val="es-ES" w:eastAsia="es-ES" w:bidi="es-ES"/>
        </w:rPr>
        <w:t xml:space="preserve"> </w:t>
      </w:r>
    </w:p>
    <w:p w14:paraId="127ADB21" w14:textId="78F2CCEB" w:rsidR="007942F8" w:rsidRPr="006A51F6" w:rsidRDefault="007942F8" w:rsidP="00771345">
      <w:pPr>
        <w:widowControl w:val="0"/>
        <w:autoSpaceDE w:val="0"/>
        <w:autoSpaceDN w:val="0"/>
        <w:spacing w:after="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15AC4437" w14:textId="77777777" w:rsidR="00771345" w:rsidRPr="00771345" w:rsidRDefault="00771345" w:rsidP="004A0F98">
      <w:pPr>
        <w:widowControl w:val="0"/>
        <w:autoSpaceDE w:val="0"/>
        <w:autoSpaceDN w:val="0"/>
        <w:spacing w:after="0" w:line="276" w:lineRule="auto"/>
        <w:ind w:firstLine="709"/>
        <w:jc w:val="both"/>
        <w:rPr>
          <w:rFonts w:ascii="Verdana" w:eastAsia="Arial" w:hAnsi="Verdana" w:cs="Arial"/>
          <w:lang w:val="es-ES" w:eastAsia="es-ES" w:bidi="es-ES"/>
        </w:rPr>
      </w:pPr>
    </w:p>
    <w:p w14:paraId="0E3537EA" w14:textId="77777777" w:rsidR="007942F8" w:rsidRPr="009B20C5" w:rsidRDefault="007942F8" w:rsidP="007942F8">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5" w:name="_Hlk76109421"/>
      <w:r w:rsidRPr="009B20C5">
        <w:rPr>
          <w:rFonts w:ascii="Verdana" w:eastAsia="Arial" w:hAnsi="Verdana" w:cs="Arial"/>
          <w:sz w:val="20"/>
          <w:szCs w:val="20"/>
          <w:lang w:val="es-ES" w:eastAsia="es-ES" w:bidi="es-ES"/>
        </w:rPr>
        <w:t>se integran parcialmente</w:t>
      </w:r>
      <w:bookmarkEnd w:id="5"/>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 xml:space="preserve">En cambio, para elecciones en general, excluyendo las correspondientes a </w:t>
      </w:r>
      <w:proofErr w:type="gramStart"/>
      <w:r w:rsidRPr="009B20C5">
        <w:rPr>
          <w:rFonts w:ascii="Verdana" w:eastAsia="Arial" w:hAnsi="Verdana" w:cs="Arial"/>
          <w:bCs/>
          <w:sz w:val="20"/>
          <w:szCs w:val="20"/>
          <w:lang w:val="es-ES" w:eastAsia="es-ES" w:bidi="es-ES"/>
        </w:rPr>
        <w:t>Presidente</w:t>
      </w:r>
      <w:proofErr w:type="gramEnd"/>
      <w:r w:rsidRPr="009B20C5">
        <w:rPr>
          <w:rFonts w:ascii="Verdana" w:eastAsia="Arial" w:hAnsi="Verdana" w:cs="Arial"/>
          <w:bCs/>
          <w:sz w:val="20"/>
          <w:szCs w:val="20"/>
          <w:lang w:val="es-ES" w:eastAsia="es-ES" w:bidi="es-ES"/>
        </w:rPr>
        <w:t xml:space="preserve"> de la República, a las autoridades territoriales allí mencionadas sólo se aplican las restricciones </w:t>
      </w:r>
      <w:r w:rsidRPr="009B20C5">
        <w:rPr>
          <w:rFonts w:ascii="Verdana" w:eastAsia="Arial" w:hAnsi="Verdana" w:cs="Arial"/>
          <w:bCs/>
          <w:sz w:val="20"/>
          <w:szCs w:val="20"/>
          <w:lang w:val="es-ES" w:eastAsia="es-ES" w:bidi="es-ES"/>
        </w:rPr>
        <w:lastRenderedPageBreak/>
        <w:t>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11"/>
      </w:r>
      <w:r>
        <w:rPr>
          <w:rFonts w:ascii="Verdana" w:eastAsia="Arial" w:hAnsi="Verdana" w:cs="Arial"/>
          <w:sz w:val="20"/>
          <w:szCs w:val="20"/>
          <w:lang w:val="es-ES" w:eastAsia="es-ES" w:bidi="es-ES"/>
        </w:rPr>
        <w:t>.</w:t>
      </w:r>
    </w:p>
    <w:p w14:paraId="2AAEC4F4" w14:textId="77777777" w:rsidR="007942F8" w:rsidRDefault="007942F8" w:rsidP="004A0F98">
      <w:pPr>
        <w:spacing w:after="0" w:line="276" w:lineRule="auto"/>
        <w:ind w:firstLine="709"/>
        <w:jc w:val="both"/>
        <w:rPr>
          <w:rFonts w:ascii="Verdana" w:eastAsia="Arial" w:hAnsi="Verdana" w:cs="Arial"/>
          <w:lang w:val="es-ES" w:eastAsia="es-ES" w:bidi="es-ES"/>
        </w:rPr>
      </w:pPr>
    </w:p>
    <w:p w14:paraId="0DC6A048" w14:textId="77777777" w:rsidR="007942F8" w:rsidRPr="00F10E52" w:rsidRDefault="007942F8" w:rsidP="007942F8">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6" w:name="_Hlk99438241"/>
      <w:r w:rsidRPr="00F10E52">
        <w:rPr>
          <w:rFonts w:ascii="Verdana" w:eastAsia="Arial" w:hAnsi="Verdana" w:cs="Arial"/>
          <w:lang w:val="es-ES" w:eastAsia="es-ES" w:bidi="es-ES"/>
        </w:rPr>
        <w:t xml:space="preserve">, </w:t>
      </w:r>
      <w:bookmarkStart w:id="7" w:name="_Hlk77236420"/>
      <w:bookmarkStart w:id="8" w:name="_Hlk78818435"/>
      <w:bookmarkStart w:id="9"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7"/>
    </w:p>
    <w:bookmarkEnd w:id="6"/>
    <w:bookmarkEnd w:id="8"/>
    <w:p w14:paraId="17FFA341" w14:textId="77777777" w:rsidR="007942F8" w:rsidRPr="00F10E52" w:rsidRDefault="007942F8" w:rsidP="007942F8">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9"/>
    <w:p w14:paraId="4526B7D3" w14:textId="0CC1BABD" w:rsidR="007942F8" w:rsidRDefault="007942F8" w:rsidP="00771345">
      <w:pPr>
        <w:spacing w:after="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w:t>
      </w:r>
      <w:r w:rsidRPr="00F10E52">
        <w:rPr>
          <w:rFonts w:ascii="Verdana" w:eastAsia="Arial" w:hAnsi="Verdana" w:cs="Arial"/>
          <w:lang w:val="es-ES" w:eastAsia="es-ES" w:bidi="es-ES"/>
        </w:rPr>
        <w:lastRenderedPageBreak/>
        <w:t xml:space="preserve">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7F25A672" w14:textId="77777777" w:rsidR="00771345" w:rsidRPr="00771345" w:rsidRDefault="00771345" w:rsidP="004A0F98">
      <w:pPr>
        <w:spacing w:after="0" w:line="276" w:lineRule="auto"/>
        <w:ind w:firstLine="709"/>
        <w:jc w:val="both"/>
        <w:rPr>
          <w:rFonts w:ascii="Verdana" w:eastAsia="Times New Roman" w:hAnsi="Verdana" w:cs="Arial"/>
          <w:bCs/>
          <w:lang w:val="es-ES" w:eastAsia="es-CO"/>
        </w:rPr>
      </w:pPr>
    </w:p>
    <w:p w14:paraId="2DF9768F" w14:textId="626F4FAF" w:rsidR="00E959C2" w:rsidRPr="00771345" w:rsidRDefault="00771345" w:rsidP="00771345">
      <w:pPr>
        <w:spacing w:after="120" w:line="276" w:lineRule="auto"/>
        <w:jc w:val="both"/>
        <w:rPr>
          <w:rFonts w:ascii="Verdana" w:eastAsia="Times New Roman" w:hAnsi="Verdana" w:cs="Arial"/>
          <w:bCs/>
          <w:lang w:eastAsia="es-CO"/>
        </w:rPr>
      </w:pPr>
      <w:r>
        <w:rPr>
          <w:rFonts w:ascii="Verdana" w:hAnsi="Verdana" w:cs="Arial"/>
          <w:bCs/>
          <w:lang w:eastAsia="x-none"/>
        </w:rPr>
        <w:t>i</w:t>
      </w:r>
      <w:r w:rsidR="00E959C2" w:rsidRPr="00771345">
        <w:rPr>
          <w:rFonts w:ascii="Verdana" w:hAnsi="Verdana" w:cs="Arial"/>
          <w:bCs/>
          <w:lang w:eastAsia="x-none"/>
        </w:rPr>
        <w:t xml:space="preserve">ii) </w:t>
      </w:r>
      <w:r w:rsidR="00E959C2" w:rsidRPr="00771345">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 “</w:t>
      </w:r>
      <w:r w:rsidR="00E959C2" w:rsidRPr="00771345">
        <w:rPr>
          <w:rFonts w:ascii="Verdana" w:eastAsia="Times New Roman" w:hAnsi="Verdana" w:cs="Arial"/>
          <w:bCs/>
          <w:lang w:eastAsia="es-CO"/>
        </w:rPr>
        <w:t>1. </w:t>
      </w:r>
      <w:r w:rsidR="00E959C2" w:rsidRPr="00771345">
        <w:rPr>
          <w:rFonts w:ascii="Verdana" w:eastAsia="Times New Roman" w:hAnsi="Verdana" w:cs="Arial"/>
          <w:bCs/>
          <w:i/>
          <w:iCs/>
          <w:lang w:eastAsia="es-CO"/>
        </w:rPr>
        <w:t>Gral.</w:t>
      </w:r>
      <w:r w:rsidR="00E959C2" w:rsidRPr="00771345">
        <w:rPr>
          <w:rFonts w:ascii="Verdana" w:eastAsia="Times New Roman" w:hAnsi="Verdana" w:cs="Arial"/>
          <w:bCs/>
          <w:lang w:eastAsia="es-CO"/>
        </w:rPr>
        <w:t xml:space="preserve"> Otorgar o firmar un contrato. 2. </w:t>
      </w:r>
      <w:proofErr w:type="spellStart"/>
      <w:r w:rsidR="00E959C2" w:rsidRPr="00771345">
        <w:rPr>
          <w:rFonts w:ascii="Verdana" w:eastAsia="Times New Roman" w:hAnsi="Verdana" w:cs="Arial"/>
          <w:bCs/>
          <w:i/>
          <w:iCs/>
          <w:lang w:eastAsia="es-CO"/>
        </w:rPr>
        <w:t>Proc</w:t>
      </w:r>
      <w:proofErr w:type="spellEnd"/>
      <w:r w:rsidR="00E959C2" w:rsidRPr="00771345">
        <w:rPr>
          <w:rFonts w:ascii="Verdana" w:eastAsia="Times New Roman" w:hAnsi="Verdana" w:cs="Arial"/>
          <w:bCs/>
          <w:i/>
          <w:iCs/>
          <w:lang w:eastAsia="es-CO"/>
        </w:rPr>
        <w:t>.</w:t>
      </w:r>
      <w:r w:rsidR="00E959C2" w:rsidRPr="00771345">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564624E3" w14:textId="77777777" w:rsidR="00E959C2" w:rsidRPr="00771345" w:rsidRDefault="00E959C2">
      <w:pPr>
        <w:spacing w:after="120" w:line="276" w:lineRule="auto"/>
        <w:ind w:firstLine="708"/>
        <w:jc w:val="both"/>
        <w:rPr>
          <w:rFonts w:ascii="Verdana" w:eastAsia="Times New Roman" w:hAnsi="Verdana" w:cs="Arial"/>
          <w:bCs/>
          <w:lang w:val="es-ES" w:eastAsia="es-CO"/>
        </w:rPr>
      </w:pPr>
      <w:r w:rsidRPr="00771345">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771345">
        <w:rPr>
          <w:rFonts w:ascii="Verdana" w:eastAsia="Times New Roman" w:hAnsi="Verdana" w:cs="Arial"/>
          <w:bCs/>
          <w:lang w:val="es-ES" w:eastAsia="es-CO"/>
        </w:rPr>
        <w:t xml:space="preserve">la existencia de los contratos estatales, es decir, la producción de efectos jurídicos en los términos del artículo 1501 </w:t>
      </w:r>
      <w:r w:rsidRPr="00771345">
        <w:rPr>
          <w:rFonts w:ascii="Verdana" w:eastAsia="Times New Roman" w:hAnsi="Verdana" w:cs="Arial"/>
          <w:bCs/>
          <w:i/>
          <w:lang w:val="es-ES" w:eastAsia="es-CO"/>
        </w:rPr>
        <w:t>ibidem</w:t>
      </w:r>
      <w:r w:rsidRPr="00771345">
        <w:rPr>
          <w:rFonts w:ascii="Verdana" w:eastAsia="Times New Roman" w:hAnsi="Verdana" w:cs="Arial"/>
          <w:bCs/>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5C02099B" w14:textId="77777777" w:rsidR="00E959C2" w:rsidRPr="00771345" w:rsidRDefault="00E959C2">
      <w:pPr>
        <w:spacing w:after="120" w:line="276" w:lineRule="auto"/>
        <w:ind w:firstLine="708"/>
        <w:jc w:val="both"/>
        <w:rPr>
          <w:rFonts w:ascii="Verdana" w:eastAsia="Times New Roman" w:hAnsi="Verdana" w:cs="Arial"/>
          <w:bCs/>
          <w:lang w:val="es-ES" w:eastAsia="es-CO"/>
        </w:rPr>
      </w:pPr>
      <w:r w:rsidRPr="00771345">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5A8AF5D6" w14:textId="69BB0DC7" w:rsidR="00E959C2" w:rsidRPr="00771345" w:rsidRDefault="00E959C2" w:rsidP="004A0F98">
      <w:pPr>
        <w:spacing w:after="120" w:line="276" w:lineRule="auto"/>
        <w:ind w:firstLine="708"/>
        <w:jc w:val="both"/>
        <w:rPr>
          <w:rFonts w:ascii="Verdana" w:eastAsia="Times New Roman" w:hAnsi="Verdana" w:cs="Arial"/>
          <w:bCs/>
          <w:lang w:val="es-ES" w:eastAsia="es-CO"/>
        </w:rPr>
      </w:pPr>
      <w:r w:rsidRPr="00771345">
        <w:rPr>
          <w:rFonts w:ascii="Verdana" w:eastAsia="Times New Roman" w:hAnsi="Verdana" w:cs="Arial"/>
          <w:bCs/>
          <w:lang w:val="es-ES" w:eastAsia="es-CO"/>
        </w:rPr>
        <w:t xml:space="preserve">Ahora bien, </w:t>
      </w:r>
      <w:r w:rsidRPr="00771345">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sidRPr="00771345">
        <w:rPr>
          <w:rFonts w:ascii="Verdana" w:eastAsia="Times New Roman" w:hAnsi="Verdana" w:cs="Arial"/>
          <w:bCs/>
          <w:lang w:val="es-MX" w:eastAsia="es-CO"/>
        </w:rPr>
        <w:lastRenderedPageBreak/>
        <w:t>entrada en vigencia</w:t>
      </w:r>
      <w:proofErr w:type="gramEnd"/>
      <w:r w:rsidRPr="00771345">
        <w:rPr>
          <w:rFonts w:ascii="Verdana" w:eastAsia="Times New Roman" w:hAnsi="Verdana" w:cs="Arial"/>
          <w:bCs/>
          <w:lang w:val="es-MX" w:eastAsia="es-CO"/>
        </w:rPr>
        <w:t xml:space="preserve"> de las prohibiciones anotadas, así como la cesión de los mismos, pueden tener lugar en el período de aplicación de la Ley de Garantías Electorales, sin que ello haga nugatoria la restricción de la contratación directa y siempre que cumplan los principios de planeación, transparencia y responsabilidad</w:t>
      </w:r>
      <w:r w:rsidRPr="00771345">
        <w:rPr>
          <w:rFonts w:ascii="Verdana" w:eastAsia="Times New Roman" w:hAnsi="Verdana" w:cs="Arial"/>
          <w:bCs/>
          <w:vertAlign w:val="superscript"/>
          <w:lang w:val="es-MX" w:eastAsia="es-CO"/>
        </w:rPr>
        <w:footnoteReference w:id="12"/>
      </w:r>
      <w:r w:rsidRPr="00771345">
        <w:rPr>
          <w:rFonts w:ascii="Verdana" w:eastAsia="Times New Roman" w:hAnsi="Verdana" w:cs="Arial"/>
          <w:bCs/>
          <w:lang w:val="es-MX" w:eastAsia="es-CO"/>
        </w:rPr>
        <w:t xml:space="preserve">. </w:t>
      </w:r>
    </w:p>
    <w:p w14:paraId="2F9042E2" w14:textId="601EB862" w:rsidR="00771345" w:rsidRPr="00771345" w:rsidRDefault="007942F8" w:rsidP="004A0F98">
      <w:pPr>
        <w:spacing w:after="0" w:line="276" w:lineRule="auto"/>
        <w:ind w:firstLine="709"/>
        <w:jc w:val="both"/>
        <w:rPr>
          <w:rFonts w:ascii="Verdana" w:eastAsia="Arial" w:hAnsi="Verdana" w:cs="Arial"/>
          <w:lang w:val="es-ES" w:eastAsia="es-ES" w:bidi="es-ES"/>
        </w:rPr>
      </w:pPr>
      <w:r>
        <w:rPr>
          <w:rFonts w:ascii="Verdana" w:eastAsia="Times New Roman" w:hAnsi="Verdana" w:cs="Arial"/>
          <w:bCs/>
          <w:lang w:val="es-ES" w:eastAsia="es-CO"/>
        </w:rPr>
        <w:t xml:space="preserve">Teniendo en cuenta lo anterior, a continuación, se hará un análisis sobre la aplicación de la prohibición contenida en el artículo 33 y sus excepciones, relacionada con su ámbito de aplicación y sus destinatarios. </w:t>
      </w:r>
    </w:p>
    <w:p w14:paraId="0E2AEE39" w14:textId="77777777" w:rsidR="00E959C2" w:rsidRPr="00771345" w:rsidRDefault="00E959C2" w:rsidP="004A0F98">
      <w:pPr>
        <w:spacing w:after="0" w:line="276" w:lineRule="auto"/>
        <w:ind w:firstLine="709"/>
        <w:jc w:val="both"/>
        <w:rPr>
          <w:rFonts w:ascii="Verdana" w:hAnsi="Verdana" w:cs="Arial"/>
          <w:bCs/>
          <w:lang w:eastAsia="x-none"/>
        </w:rPr>
      </w:pPr>
    </w:p>
    <w:p w14:paraId="7D335EF8" w14:textId="5790BC7F" w:rsidR="007942F8" w:rsidRPr="00771345" w:rsidRDefault="00E959C2" w:rsidP="00771345">
      <w:pPr>
        <w:spacing w:after="0" w:line="276" w:lineRule="auto"/>
        <w:jc w:val="both"/>
        <w:rPr>
          <w:rFonts w:ascii="Verdana" w:hAnsi="Verdana" w:cs="Arial"/>
          <w:lang w:eastAsia="es-CO"/>
        </w:rPr>
      </w:pPr>
      <w:proofErr w:type="spellStart"/>
      <w:r w:rsidRPr="00771345">
        <w:rPr>
          <w:rFonts w:ascii="Verdana" w:hAnsi="Verdana" w:cs="Arial"/>
          <w:bCs/>
          <w:lang w:eastAsia="x-none"/>
        </w:rPr>
        <w:t>i</w:t>
      </w:r>
      <w:r w:rsidR="00771345" w:rsidRPr="00771345">
        <w:rPr>
          <w:rFonts w:ascii="Verdana" w:hAnsi="Verdana" w:cs="Arial"/>
          <w:bCs/>
          <w:lang w:eastAsia="x-none"/>
        </w:rPr>
        <w:t>v</w:t>
      </w:r>
      <w:proofErr w:type="spellEnd"/>
      <w:r w:rsidRPr="00771345">
        <w:rPr>
          <w:rFonts w:ascii="Verdana" w:hAnsi="Verdana" w:cs="Arial"/>
          <w:bCs/>
          <w:lang w:eastAsia="x-none"/>
        </w:rPr>
        <w:t xml:space="preserve">) </w:t>
      </w:r>
      <w:r w:rsidR="007942F8" w:rsidRPr="00195E24">
        <w:rPr>
          <w:rFonts w:ascii="Verdana" w:hAnsi="Verdana" w:cs="Arial"/>
          <w:bCs/>
          <w:lang w:eastAsia="x-none"/>
        </w:rPr>
        <w:t xml:space="preserve">El ámbito material de la prohibición contenida </w:t>
      </w:r>
      <w:bookmarkStart w:id="10" w:name="_Hlk75628761"/>
      <w:r w:rsidR="007942F8" w:rsidRPr="00195E24">
        <w:rPr>
          <w:rFonts w:ascii="Verdana" w:hAnsi="Verdana" w:cs="Arial"/>
          <w:bCs/>
          <w:lang w:eastAsia="x-none"/>
        </w:rPr>
        <w:t xml:space="preserve">en el artículo 33 de la ley 996 de 2005 </w:t>
      </w:r>
      <w:bookmarkEnd w:id="10"/>
      <w:r w:rsidR="007942F8" w:rsidRPr="00195E24">
        <w:rPr>
          <w:rFonts w:ascii="Verdana" w:hAnsi="Verdana" w:cs="Arial"/>
          <w:bCs/>
          <w:lang w:eastAsia="x-none"/>
        </w:rPr>
        <w:t xml:space="preserve">está delimitado por la expresión </w:t>
      </w:r>
      <w:r w:rsidR="007942F8" w:rsidRPr="004A0F98">
        <w:rPr>
          <w:rFonts w:ascii="Verdana" w:eastAsia="Calibri" w:hAnsi="Verdana" w:cs="Arial"/>
          <w:i/>
        </w:rPr>
        <w:t>“</w:t>
      </w:r>
      <w:r w:rsidR="007942F8" w:rsidRPr="00195E24">
        <w:rPr>
          <w:rFonts w:ascii="Verdana" w:hAnsi="Verdana" w:cs="Arial"/>
          <w:bCs/>
          <w:i/>
          <w:iCs/>
          <w:lang w:eastAsia="x-none"/>
        </w:rPr>
        <w:t>queda prohibida la contratación directa</w:t>
      </w:r>
      <w:r w:rsidR="007942F8" w:rsidRPr="004A0F98">
        <w:rPr>
          <w:rFonts w:ascii="Verdana" w:hAnsi="Verdana" w:cs="Arial"/>
        </w:rPr>
        <w:t>”</w:t>
      </w:r>
      <w:r w:rsidR="007942F8" w:rsidRPr="00195E24">
        <w:rPr>
          <w:rFonts w:ascii="Verdana" w:hAnsi="Verdana" w:cs="Arial"/>
          <w:bCs/>
          <w:lang w:eastAsia="x-none"/>
        </w:rPr>
        <w:t>.</w:t>
      </w:r>
      <w:r w:rsidR="007942F8"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669C3983" w14:textId="77777777" w:rsidR="00771345" w:rsidRPr="00771345" w:rsidRDefault="00771345" w:rsidP="004A0F98">
      <w:pPr>
        <w:spacing w:after="0" w:line="276" w:lineRule="auto"/>
        <w:jc w:val="both"/>
        <w:rPr>
          <w:rFonts w:ascii="Verdana" w:eastAsia="Arial" w:hAnsi="Verdana" w:cs="Arial"/>
          <w:lang w:val="es-ES" w:eastAsia="es-ES" w:bidi="es-ES"/>
        </w:rPr>
      </w:pPr>
    </w:p>
    <w:p w14:paraId="36CF46B5" w14:textId="77777777" w:rsidR="007942F8" w:rsidRDefault="007942F8" w:rsidP="007942F8">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3"/>
      </w:r>
      <w:r w:rsidRPr="005800D0">
        <w:rPr>
          <w:rFonts w:ascii="Verdana" w:hAnsi="Verdana" w:cs="Arial"/>
          <w:sz w:val="20"/>
          <w:szCs w:val="20"/>
        </w:rPr>
        <w:t>.</w:t>
      </w:r>
    </w:p>
    <w:p w14:paraId="48D855E9" w14:textId="77777777" w:rsidR="007942F8" w:rsidRPr="005800D0" w:rsidRDefault="007942F8" w:rsidP="007942F8">
      <w:pPr>
        <w:spacing w:after="0" w:line="240" w:lineRule="auto"/>
        <w:ind w:left="709" w:right="709"/>
        <w:jc w:val="both"/>
        <w:rPr>
          <w:rFonts w:ascii="Verdana" w:hAnsi="Verdana" w:cs="Arial"/>
          <w:sz w:val="20"/>
          <w:szCs w:val="20"/>
        </w:rPr>
      </w:pPr>
    </w:p>
    <w:p w14:paraId="2E64A26A" w14:textId="77777777" w:rsidR="007942F8" w:rsidRDefault="007942F8" w:rsidP="007942F8">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w:t>
      </w:r>
      <w:proofErr w:type="gramStart"/>
      <w:r w:rsidRPr="005800D0">
        <w:rPr>
          <w:rFonts w:ascii="Verdana" w:hAnsi="Verdana" w:cs="Arial"/>
          <w:sz w:val="20"/>
          <w:szCs w:val="20"/>
        </w:rPr>
        <w:t>que</w:t>
      </w:r>
      <w:proofErr w:type="gramEnd"/>
      <w:r w:rsidRPr="005800D0">
        <w:rPr>
          <w:rFonts w:ascii="Verdana" w:hAnsi="Verdana" w:cs="Arial"/>
          <w:sz w:val="20"/>
          <w:szCs w:val="20"/>
        </w:rPr>
        <w:t xml:space="preserve"> para los efectos de la ley de garantías, y dada su finalidad, el enunciado ´contratación directa´ es sinónimo </w:t>
      </w:r>
      <w:bookmarkStart w:id="11" w:name="_Hlk75741738"/>
      <w:r w:rsidRPr="005800D0">
        <w:rPr>
          <w:rFonts w:ascii="Verdana" w:hAnsi="Verdana" w:cs="Arial"/>
          <w:sz w:val="20"/>
          <w:szCs w:val="20"/>
        </w:rPr>
        <w:t xml:space="preserve">de cualquier sistema que no implique convocatoria pública y posibilidad de pluralidad de oferentes, </w:t>
      </w:r>
      <w:bookmarkEnd w:id="11"/>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14"/>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15"/>
      </w:r>
      <w:r w:rsidRPr="005800D0">
        <w:rPr>
          <w:rFonts w:ascii="Verdana" w:hAnsi="Verdana" w:cs="Arial"/>
          <w:sz w:val="20"/>
          <w:szCs w:val="20"/>
        </w:rPr>
        <w:t>.</w:t>
      </w:r>
    </w:p>
    <w:p w14:paraId="65B77D05" w14:textId="77777777" w:rsidR="007942F8" w:rsidRPr="005800D0" w:rsidRDefault="007942F8" w:rsidP="007942F8">
      <w:pPr>
        <w:spacing w:after="0" w:line="240" w:lineRule="auto"/>
        <w:ind w:left="709" w:right="709"/>
        <w:jc w:val="both"/>
        <w:rPr>
          <w:rFonts w:ascii="Verdana" w:hAnsi="Verdana" w:cs="Arial"/>
        </w:rPr>
      </w:pPr>
    </w:p>
    <w:p w14:paraId="4B4411B7" w14:textId="77777777" w:rsidR="007942F8" w:rsidRPr="00195E24" w:rsidRDefault="007942F8" w:rsidP="007942F8">
      <w:pPr>
        <w:spacing w:after="120" w:line="276" w:lineRule="auto"/>
        <w:ind w:firstLine="709"/>
        <w:jc w:val="both"/>
        <w:rPr>
          <w:rFonts w:ascii="Verdana" w:hAnsi="Verdana" w:cs="Arial"/>
          <w:bCs/>
          <w:lang w:eastAsia="x-none"/>
        </w:rPr>
      </w:pPr>
      <w:bookmarkStart w:id="13" w:name="_Hlk94521748"/>
      <w:r w:rsidRPr="00195E24">
        <w:rPr>
          <w:rFonts w:ascii="Verdana" w:hAnsi="Verdana" w:cs="Arial"/>
          <w:lang w:eastAsia="x-none"/>
        </w:rPr>
        <w:t xml:space="preserve">De acuerdo con el citado concepto, la prohibición del artículo 33 de la Ley de Garantías Electorales se refiere a </w:t>
      </w:r>
      <w:r w:rsidRPr="007E27D9">
        <w:rPr>
          <w:rFonts w:ascii="Verdana" w:hAnsi="Verdana" w:cs="Arial"/>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u otros previstos en normas especiales.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16"/>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17"/>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3"/>
    <w:p w14:paraId="0D687EB6" w14:textId="77777777" w:rsidR="007942F8" w:rsidRPr="00195E24" w:rsidRDefault="007942F8" w:rsidP="007942F8">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7E27D9">
        <w:rPr>
          <w:rFonts w:ascii="Verdana" w:hAnsi="Verdana" w:cs="Arial"/>
          <w:i/>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18"/>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7CD1CECD" w14:textId="77777777" w:rsidR="007942F8" w:rsidRPr="00195E24" w:rsidRDefault="007942F8" w:rsidP="007942F8">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4"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xml:space="preserve">”, es que la convocatoria para </w:t>
      </w:r>
      <w:r w:rsidRPr="00195E24">
        <w:rPr>
          <w:rFonts w:ascii="Verdana" w:hAnsi="Verdana" w:cs="Arial"/>
          <w:lang w:eastAsia="x-none"/>
        </w:rPr>
        <w:lastRenderedPageBreak/>
        <w:t>inscribirse en forma previa se haga de manera pública, y que se permita la participación de una pluralidad de oferentes</w:t>
      </w:r>
      <w:bookmarkEnd w:id="14"/>
      <w:r w:rsidRPr="00195E24">
        <w:rPr>
          <w:rFonts w:ascii="Verdana" w:hAnsi="Verdana" w:cs="Arial"/>
          <w:vertAlign w:val="superscript"/>
          <w:lang w:eastAsia="x-none"/>
        </w:rPr>
        <w:footnoteReference w:id="19"/>
      </w:r>
      <w:r w:rsidRPr="00195E24">
        <w:rPr>
          <w:rFonts w:ascii="Verdana" w:hAnsi="Verdana" w:cs="Arial"/>
          <w:lang w:eastAsia="x-none"/>
        </w:rPr>
        <w:t xml:space="preserve">. </w:t>
      </w:r>
    </w:p>
    <w:p w14:paraId="17F781A4" w14:textId="77777777" w:rsidR="007942F8" w:rsidRPr="00CE0712" w:rsidRDefault="007942F8" w:rsidP="007942F8">
      <w:pPr>
        <w:spacing w:after="120" w:line="276" w:lineRule="auto"/>
        <w:ind w:firstLine="709"/>
        <w:jc w:val="both"/>
        <w:rPr>
          <w:rFonts w:ascii="Verdana" w:hAnsi="Verdana" w:cs="Arial"/>
          <w:bCs/>
          <w:lang w:eastAsia="es-CO"/>
        </w:rPr>
      </w:pPr>
      <w:r w:rsidRPr="00195E24">
        <w:rPr>
          <w:rFonts w:ascii="Verdana" w:hAnsi="Verdana" w:cs="Arial"/>
          <w:bCs/>
          <w:lang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0D352B1A" w14:textId="77777777" w:rsidR="007942F8" w:rsidRPr="007E27D9" w:rsidRDefault="007942F8" w:rsidP="007942F8">
      <w:pPr>
        <w:spacing w:after="120" w:line="276" w:lineRule="auto"/>
        <w:ind w:firstLine="709"/>
        <w:jc w:val="both"/>
        <w:rPr>
          <w:rFonts w:ascii="Verdana" w:hAnsi="Verdana" w:cs="Arial"/>
          <w:lang w:eastAsia="x-none"/>
        </w:rPr>
      </w:pPr>
      <w:bookmarkStart w:id="15"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7E27D9">
        <w:rPr>
          <w:rFonts w:ascii="Verdana" w:hAnsi="Verdana" w:cs="Arial"/>
          <w:vertAlign w:val="superscript"/>
          <w:lang w:eastAsia="x-none"/>
        </w:rPr>
        <w:footnoteReference w:id="20"/>
      </w:r>
      <w:r w:rsidRPr="007E27D9">
        <w:rPr>
          <w:rFonts w:ascii="Verdana" w:hAnsi="Verdana" w:cs="Arial"/>
          <w:lang w:eastAsia="x-none"/>
        </w:rPr>
        <w:t>.</w:t>
      </w:r>
      <w:r w:rsidRPr="007E27D9">
        <w:rPr>
          <w:rFonts w:ascii="Verdana" w:hAnsi="Verdana" w:cs="Arial"/>
          <w:vertAlign w:val="superscript"/>
          <w:lang w:eastAsia="x-none"/>
        </w:rPr>
        <w:t xml:space="preserve"> </w:t>
      </w:r>
    </w:p>
    <w:bookmarkEnd w:id="15"/>
    <w:p w14:paraId="4BC3329A" w14:textId="77777777" w:rsidR="007942F8" w:rsidRPr="007E27D9" w:rsidRDefault="007942F8" w:rsidP="007942F8">
      <w:pPr>
        <w:spacing w:after="120" w:line="276" w:lineRule="auto"/>
        <w:ind w:firstLine="709"/>
        <w:jc w:val="both"/>
        <w:rPr>
          <w:rFonts w:ascii="Verdana" w:hAnsi="Verdana" w:cs="Arial"/>
          <w:lang w:eastAsia="x-none"/>
        </w:rPr>
      </w:pPr>
      <w:r w:rsidRPr="00195E24">
        <w:rPr>
          <w:rFonts w:ascii="Verdana" w:hAnsi="Verdana" w:cs="Arial"/>
          <w:bCs/>
          <w:lang w:eastAsia="x-none"/>
        </w:rPr>
        <w:t>De lo anterior se desprende que la restricción aplica, sin perjuicio de las excepciones establecidas en la misma ley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período preelectoral de que trata la disposición las entidades públicas pueden seguir contratando bajo estos sistemas</w:t>
      </w:r>
      <w:r w:rsidRPr="007E27D9">
        <w:rPr>
          <w:rFonts w:ascii="Verdana" w:hAnsi="Verdana" w:cs="Arial"/>
          <w:lang w:eastAsia="x-none"/>
        </w:rPr>
        <w:t>.</w:t>
      </w:r>
    </w:p>
    <w:p w14:paraId="1A791397" w14:textId="77777777" w:rsidR="007942F8" w:rsidRPr="00CE0712" w:rsidRDefault="007942F8" w:rsidP="007942F8">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w:t>
      </w:r>
      <w:r w:rsidRPr="73D21086">
        <w:rPr>
          <w:rFonts w:ascii="Verdana" w:hAnsi="Verdana" w:cs="Arial"/>
          <w:color w:val="000000" w:themeColor="text1"/>
          <w:lang w:val="es-MX"/>
        </w:rPr>
        <w:lastRenderedPageBreak/>
        <w:t xml:space="preserve">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31F152EF" w14:textId="77777777" w:rsidR="007942F8" w:rsidRDefault="007942F8" w:rsidP="007942F8">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21"/>
      </w:r>
      <w:r w:rsidRPr="73D21086">
        <w:rPr>
          <w:rFonts w:ascii="Verdana" w:hAnsi="Verdana" w:cs="Arial"/>
          <w:color w:val="000000" w:themeColor="text1"/>
          <w:lang w:val="es-MX"/>
        </w:rPr>
        <w:t xml:space="preserve">. </w:t>
      </w:r>
    </w:p>
    <w:p w14:paraId="120774D1" w14:textId="4E7094ED" w:rsidR="007942F8" w:rsidRPr="002D6B92" w:rsidRDefault="007942F8" w:rsidP="00771345">
      <w:pPr>
        <w:spacing w:after="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0D82">
        <w:rPr>
          <w:rFonts w:ascii="Verdana" w:hAnsi="Verdana" w:cs="Arial"/>
          <w:color w:val="000000" w:themeColor="text1"/>
          <w:vertAlign w:val="superscript"/>
          <w:lang w:val="es-MX"/>
        </w:rPr>
        <w:footnoteReference w:id="22"/>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realizó la siguiente distinción, retomando el pronunciamiento de la misma sala del 20 de febrero de 2006, citado anteriormente:</w:t>
      </w:r>
    </w:p>
    <w:p w14:paraId="500E2276" w14:textId="77777777" w:rsidR="00771345" w:rsidRPr="00771345" w:rsidRDefault="00771345" w:rsidP="004A0F98">
      <w:pPr>
        <w:spacing w:after="0" w:line="276" w:lineRule="auto"/>
        <w:ind w:firstLine="709"/>
        <w:jc w:val="both"/>
        <w:rPr>
          <w:rFonts w:ascii="Verdana" w:hAnsi="Verdana" w:cs="Arial"/>
          <w:color w:val="000000" w:themeColor="text1"/>
          <w:lang w:val="es-MX"/>
        </w:rPr>
      </w:pPr>
    </w:p>
    <w:p w14:paraId="43192F2C" w14:textId="77777777" w:rsidR="007942F8" w:rsidRPr="005800D0" w:rsidRDefault="007942F8" w:rsidP="007942F8">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w:t>
      </w:r>
      <w:r w:rsidRPr="005800D0">
        <w:rPr>
          <w:rFonts w:ascii="Verdana" w:hAnsi="Verdana" w:cs="Arial"/>
          <w:color w:val="000000" w:themeColor="text1"/>
          <w:sz w:val="20"/>
          <w:szCs w:val="20"/>
          <w:lang w:val="es-MX"/>
        </w:rPr>
        <w:lastRenderedPageBreak/>
        <w:t>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38337C22" w14:textId="77777777" w:rsidR="007942F8" w:rsidRDefault="007942F8" w:rsidP="007942F8">
      <w:pPr>
        <w:spacing w:after="0" w:line="240" w:lineRule="auto"/>
        <w:ind w:left="709" w:right="709"/>
        <w:jc w:val="both"/>
        <w:rPr>
          <w:rFonts w:ascii="Verdana" w:hAnsi="Verdana" w:cs="Arial"/>
          <w:color w:val="000000" w:themeColor="text1"/>
          <w:sz w:val="20"/>
          <w:szCs w:val="20"/>
          <w:lang w:val="es-MX"/>
        </w:rPr>
      </w:pPr>
    </w:p>
    <w:p w14:paraId="2A2DF354" w14:textId="77777777" w:rsidR="007942F8" w:rsidRDefault="007942F8" w:rsidP="007942F8">
      <w:pPr>
        <w:spacing w:after="0" w:line="240" w:lineRule="auto"/>
        <w:ind w:left="709" w:right="709"/>
        <w:jc w:val="both"/>
        <w:rPr>
          <w:rFonts w:ascii="Verdana" w:hAnsi="Verdana" w:cs="Arial"/>
          <w:color w:val="000000" w:themeColor="text1"/>
          <w:sz w:val="20"/>
          <w:szCs w:val="20"/>
          <w:lang w:val="es-MX" w:eastAsia="x-none"/>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23"/>
      </w:r>
      <w:r w:rsidRPr="005800D0">
        <w:rPr>
          <w:rFonts w:ascii="Verdana" w:hAnsi="Verdana" w:cs="Arial"/>
          <w:color w:val="000000" w:themeColor="text1"/>
          <w:sz w:val="20"/>
          <w:szCs w:val="20"/>
          <w:lang w:val="es-MX" w:eastAsia="x-none"/>
        </w:rPr>
        <w:t>.</w:t>
      </w:r>
    </w:p>
    <w:p w14:paraId="3FDCA23A" w14:textId="77777777" w:rsidR="007942F8" w:rsidRPr="004A0F98" w:rsidRDefault="007942F8" w:rsidP="004A0F98">
      <w:pPr>
        <w:spacing w:after="0" w:line="276" w:lineRule="auto"/>
        <w:ind w:left="709" w:right="709"/>
        <w:jc w:val="both"/>
        <w:rPr>
          <w:rFonts w:ascii="Verdana" w:hAnsi="Verdana" w:cs="Arial"/>
          <w:color w:val="000000" w:themeColor="text1"/>
          <w:lang w:val="es-MX"/>
        </w:rPr>
      </w:pPr>
    </w:p>
    <w:p w14:paraId="0E485434" w14:textId="77777777" w:rsidR="007942F8" w:rsidRDefault="007942F8" w:rsidP="007942F8">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24"/>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07D30D29" w14:textId="77777777" w:rsidR="007942F8" w:rsidRPr="00195E24" w:rsidRDefault="007942F8" w:rsidP="007942F8">
      <w:pPr>
        <w:spacing w:after="120" w:line="276" w:lineRule="auto"/>
        <w:ind w:firstLine="709"/>
        <w:jc w:val="both"/>
        <w:rPr>
          <w:rFonts w:ascii="Verdana" w:hAnsi="Verdana" w:cs="Arial"/>
          <w:color w:val="000000" w:themeColor="text1"/>
          <w:lang w:eastAsia="es-CO"/>
        </w:rPr>
      </w:pPr>
      <w:r w:rsidRPr="00CE0D82">
        <w:rPr>
          <w:rFonts w:ascii="Verdana" w:hAnsi="Verdana" w:cs="Arial"/>
          <w:color w:val="000000" w:themeColor="text1"/>
          <w:lang w:eastAsia="es-CO"/>
        </w:rPr>
        <w:lastRenderedPageBreak/>
        <w:t>Sin perjuicio de estos pronunciamientos de la Sala de Consulta y Servicio Civil</w:t>
      </w:r>
      <w:r w:rsidRPr="00CE0D82">
        <w:rPr>
          <w:rFonts w:ascii="Verdana" w:hAnsi="Verdana" w:cs="Arial"/>
          <w:color w:val="000000" w:themeColor="text1"/>
          <w:lang w:val="es-MX"/>
        </w:rPr>
        <w:t xml:space="preserve">, como la ha señalado esa misma Corporación, la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p>
    <w:p w14:paraId="46AC8F33" w14:textId="77777777" w:rsidR="007942F8" w:rsidRPr="00CE0712" w:rsidRDefault="007942F8" w:rsidP="007942F8">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64FE5EEF" w14:textId="56C805A6" w:rsidR="007942F8" w:rsidRDefault="007942F8" w:rsidP="00771345">
      <w:pPr>
        <w:spacing w:after="0" w:line="276" w:lineRule="auto"/>
        <w:ind w:firstLine="709"/>
        <w:jc w:val="both"/>
        <w:rPr>
          <w:rFonts w:ascii="Verdana" w:hAnsi="Verdana" w:cs="Arial"/>
          <w:bCs/>
          <w:lang w:eastAsia="x-none"/>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528D8D04" w14:textId="77777777" w:rsidR="00771345" w:rsidRPr="00771345" w:rsidRDefault="00771345" w:rsidP="004A0F98">
      <w:pPr>
        <w:spacing w:after="0" w:line="276" w:lineRule="auto"/>
        <w:ind w:firstLine="709"/>
        <w:jc w:val="both"/>
        <w:rPr>
          <w:rFonts w:ascii="Verdana" w:hAnsi="Verdana" w:cs="Arial"/>
          <w:bCs/>
          <w:lang w:eastAsia="x-none"/>
        </w:rPr>
      </w:pPr>
    </w:p>
    <w:p w14:paraId="26E2325B" w14:textId="7EDA8441" w:rsidR="00E959C2" w:rsidRPr="00771345" w:rsidRDefault="00E959C2" w:rsidP="00E959C2">
      <w:pPr>
        <w:spacing w:after="120" w:line="276" w:lineRule="auto"/>
        <w:jc w:val="both"/>
        <w:rPr>
          <w:rFonts w:ascii="Verdana" w:eastAsia="Times New Roman" w:hAnsi="Verdana" w:cs="Arial"/>
          <w:bCs/>
          <w:lang w:val="es-MX" w:eastAsia="x-none"/>
        </w:rPr>
      </w:pPr>
      <w:r w:rsidRPr="00771345">
        <w:rPr>
          <w:rFonts w:ascii="Verdana" w:eastAsia="Times New Roman" w:hAnsi="Verdana" w:cs="Arial"/>
          <w:bCs/>
          <w:lang w:val="es-MX" w:eastAsia="x-none"/>
        </w:rPr>
        <w:t>v</w:t>
      </w:r>
      <w:r w:rsidR="00771345">
        <w:rPr>
          <w:rFonts w:ascii="Verdana" w:eastAsia="Times New Roman" w:hAnsi="Verdana" w:cs="Arial"/>
          <w:bCs/>
          <w:lang w:val="es-MX" w:eastAsia="x-none"/>
        </w:rPr>
        <w:t>)</w:t>
      </w:r>
      <w:r w:rsidRPr="00771345">
        <w:rPr>
          <w:rFonts w:ascii="Verdana" w:eastAsia="Times New Roman" w:hAnsi="Verdana" w:cs="Arial"/>
          <w:bCs/>
          <w:lang w:val="es-MX" w:eastAsia="x-none"/>
        </w:rPr>
        <w:t xml:space="preserve"> Ahora bien, para efectos de dar respuesta concreta al problema jurídico planteado, es pertinente precisar el momento en el cual se realiza el perfeccionamiento del contrato en el SECOP II. En primer lugar, es importante destacar que </w:t>
      </w:r>
      <w:r w:rsidRPr="00771345">
        <w:rPr>
          <w:rFonts w:ascii="Verdana" w:eastAsia="Calibri" w:hAnsi="Verdana" w:cs="Arial"/>
          <w:color w:val="000000" w:themeColor="text1"/>
        </w:rPr>
        <w:t xml:space="preserve">el SECOP II es una plataforma transaccional, que permite gestionar en línea todos los procedimientos de contratación, </w:t>
      </w:r>
      <w:r w:rsidRPr="00771345">
        <w:rPr>
          <w:rFonts w:ascii="Verdana" w:eastAsia="Calibri" w:hAnsi="Verdana" w:cs="Arial"/>
          <w:lang w:val="es-ES"/>
        </w:rPr>
        <w:t xml:space="preserve">con cuentas y usuarios asociados a estas, para las entidades y los proveedores, y vista pública para cualquier interesado en hacer seguimiento a la contratación pública. Desde sus </w:t>
      </w:r>
      <w:r w:rsidRPr="00771345">
        <w:rPr>
          <w:rFonts w:ascii="Verdana" w:eastAsia="Calibri" w:hAnsi="Verdana" w:cs="Arial"/>
          <w:lang w:val="es-ES"/>
        </w:rPr>
        <w:lastRenderedPageBreak/>
        <w:t>cuentas, las entidades crean, evalúan y adjudican procedimientos de contratación, y gestionan la fase de ejecución del contrato. Por su parte, los proveedores pueden hacer comentarios a los documentos del procedimiento, presentar ofertas y seguir el procedimiento de selección en línea.</w:t>
      </w:r>
    </w:p>
    <w:p w14:paraId="4EB28F72" w14:textId="77777777" w:rsidR="00E959C2" w:rsidRPr="00771345" w:rsidRDefault="00E959C2" w:rsidP="00E959C2">
      <w:pPr>
        <w:spacing w:after="120" w:line="276" w:lineRule="auto"/>
        <w:ind w:firstLine="567"/>
        <w:jc w:val="both"/>
        <w:rPr>
          <w:rFonts w:ascii="Verdana" w:eastAsia="Calibri" w:hAnsi="Verdana" w:cs="Arial"/>
          <w:lang w:val="es-ES"/>
        </w:rPr>
      </w:pPr>
      <w:r w:rsidRPr="00771345">
        <w:rPr>
          <w:rFonts w:ascii="Verdana" w:eastAsia="Calibri" w:hAnsi="Verdana" w:cs="Arial"/>
          <w:lang w:val="es-ES"/>
        </w:rPr>
        <w:t>En este sentido, en el SECOP II el procedimiento contractual se desarrolla en línea y dentro de la plataforma, conformándose un expediente electrónico, lo cual denota una diferencia con el SECOP I, donde el procedimiento se desarrolla de manera física, esto es, con documentos escritos que se publican para cumplir las obligaciones de las entidades antes señaladas. Al existir esa diferencia entre las dos versiones del SECOP, no es posible realizar en SECOP II actuaciones por escrito que son propias del SECOP I, sino que los documentos y actuaciones son electrónicas.</w:t>
      </w:r>
    </w:p>
    <w:p w14:paraId="3335DFB5" w14:textId="77777777" w:rsidR="00E959C2" w:rsidRPr="00771345" w:rsidRDefault="00E959C2" w:rsidP="00E959C2">
      <w:pPr>
        <w:spacing w:after="120" w:line="276" w:lineRule="auto"/>
        <w:ind w:firstLine="567"/>
        <w:jc w:val="both"/>
        <w:rPr>
          <w:rFonts w:ascii="Verdana" w:eastAsia="Calibri" w:hAnsi="Verdana" w:cs="Arial"/>
          <w:lang w:val="es-ES"/>
        </w:rPr>
      </w:pPr>
      <w:r w:rsidRPr="00771345">
        <w:rPr>
          <w:rFonts w:ascii="Verdana" w:eastAsia="Calibri" w:hAnsi="Verdana" w:cs="Arial"/>
          <w:lang w:val="es-ES"/>
        </w:rPr>
        <w:t xml:space="preserve">Debido a que la plataforma es totalmente transaccional, el trámite se realiza en línea y la publicidad de las actuaciones es concomitante, según transcurran cada una de las etapas del procedimiento, lo que descarta la necesidad de cargar documentación alguna, salvo algunas excepciones. Además, de acuerdo con lo prescrito en el artículo 14 de la Ley 527 de 1999, en la formación del contrato, salvo acuerdo expreso entre las partes, la oferta y su aceptación podrán expresarse por medio de un mensaje de datos, lo que implica que “[n]o se negará validez o fuerza obligatoria a un contrato por la sola razón de haberse utilizado en su formación uno o más mensajes de datos”. Igualmente, el artículo 22 ibidem dispone que los contratos electrónicos compuestos por mensajes de datos tienen los efectos jurídicos según las normas aplicables al negocio jurídico contenido en dichos mensajes, esto es, las normas que regulan el sistema de contratación pública. </w:t>
      </w:r>
    </w:p>
    <w:p w14:paraId="34D3EDAF" w14:textId="77777777" w:rsidR="00E959C2" w:rsidRPr="00771345" w:rsidRDefault="00E959C2" w:rsidP="00E959C2">
      <w:pPr>
        <w:spacing w:after="120" w:line="276" w:lineRule="auto"/>
        <w:ind w:firstLine="567"/>
        <w:jc w:val="both"/>
        <w:rPr>
          <w:rFonts w:ascii="Verdana" w:eastAsia="Calibri" w:hAnsi="Verdana" w:cs="Arial"/>
          <w:lang w:val="es-ES"/>
        </w:rPr>
      </w:pPr>
      <w:r w:rsidRPr="00771345">
        <w:rPr>
          <w:rFonts w:ascii="Verdana" w:eastAsia="Calibri" w:hAnsi="Verdana" w:cs="Arial"/>
          <w:lang w:val="es-ES"/>
        </w:rPr>
        <w:t>En este sentido, la implementación del SECOP II como plataforma transaccional para la actividad contractual del Estado, permite que los contratos que se publiquen sean firmados electrónicamente. De este modo, el proceso mediante el cual se efectúa la firma del contrato y su consecuente aprobación o rechazo es realizado a través del SECOP II. Así, después de que se adjudica el proceso de contratación en la plataforma se inicia el procedimiento por parte de la Entidad Estatal para que se cambie el estado del proceso a “adjudicado”, con lo cual se genera el contrato electrónico en estado “en edición”.</w:t>
      </w:r>
    </w:p>
    <w:p w14:paraId="41521EA0" w14:textId="77777777" w:rsidR="00E959C2" w:rsidRPr="00771345" w:rsidRDefault="00E959C2" w:rsidP="00E959C2">
      <w:pPr>
        <w:spacing w:after="120" w:line="276" w:lineRule="auto"/>
        <w:ind w:firstLine="567"/>
        <w:jc w:val="both"/>
        <w:rPr>
          <w:rFonts w:ascii="Verdana" w:eastAsia="Calibri" w:hAnsi="Verdana" w:cs="Arial"/>
          <w:lang w:val="es-ES"/>
        </w:rPr>
      </w:pPr>
      <w:r w:rsidRPr="00771345">
        <w:rPr>
          <w:rFonts w:ascii="Verdana" w:eastAsia="Calibri" w:hAnsi="Verdana" w:cs="Arial"/>
          <w:lang w:val="es-ES"/>
        </w:rPr>
        <w:t xml:space="preserve">El documento “Procesos de Contratación: Gestión Contractual en el SECOP II” expedido por esta entidad, detallas los pasos para aprobación del contrato </w:t>
      </w:r>
      <w:r w:rsidRPr="00771345">
        <w:rPr>
          <w:rFonts w:ascii="Verdana" w:eastAsia="Calibri" w:hAnsi="Verdana" w:cs="Arial"/>
          <w:lang w:val="es-ES"/>
        </w:rPr>
        <w:lastRenderedPageBreak/>
        <w:t>en el SECOP II</w:t>
      </w:r>
      <w:r w:rsidRPr="00771345">
        <w:rPr>
          <w:rFonts w:ascii="Verdana" w:hAnsi="Verdana"/>
          <w:vertAlign w:val="superscript"/>
          <w:lang w:val="es-ES"/>
        </w:rPr>
        <w:footnoteReference w:id="25"/>
      </w:r>
      <w:r w:rsidRPr="00771345">
        <w:rPr>
          <w:rFonts w:ascii="Verdana" w:eastAsia="Calibri" w:hAnsi="Verdana" w:cs="Arial"/>
          <w:lang w:val="es-ES"/>
        </w:rPr>
        <w:t xml:space="preserve">. Específicamente, el literal III establece el procedimiento a seguir para aprobar o rechazar el contrato, según el cual el proveedor, </w:t>
      </w:r>
      <w:r w:rsidRPr="00771345">
        <w:rPr>
          <w:rFonts w:ascii="Verdana" w:eastAsia="Calibri" w:hAnsi="Verdana" w:cs="Arial"/>
        </w:rPr>
        <w:t>una vez revise el contrato electrónico puede “Aprobar” o “Rechazar” el contrato. En caso de estar de acuerdo con las condiciones establecidas por la Entidad Estatal, se debe dar clic en “Aprobar contrato” y automáticamente el SECOP II guarda los cambios y el estado del contrato cambia a “Firmado y enviado a la Entidad Estatal”.</w:t>
      </w:r>
      <w:r w:rsidRPr="00771345">
        <w:rPr>
          <w:rFonts w:ascii="Verdana" w:eastAsia="Calibri" w:hAnsi="Verdana" w:cs="Arial"/>
          <w:lang w:val="es-ES"/>
        </w:rPr>
        <w:t xml:space="preserve"> Una vez la Entidad Estatal reciba el contrato electrónico aprobado por el proveedor debe publicarlo y a “partir de este momento el contrato queda para conocimiento del público en general, su estado cambia a “Firmado” para que se cumplan con los requisitos para iniciar la ejecución del contrato”. </w:t>
      </w:r>
    </w:p>
    <w:p w14:paraId="066DC7FB" w14:textId="77777777" w:rsidR="00E959C2" w:rsidRPr="00771345" w:rsidRDefault="00E959C2" w:rsidP="00E959C2">
      <w:pPr>
        <w:spacing w:after="120" w:line="276" w:lineRule="auto"/>
        <w:ind w:firstLine="567"/>
        <w:jc w:val="both"/>
        <w:rPr>
          <w:rFonts w:ascii="Verdana" w:eastAsia="Calibri" w:hAnsi="Verdana" w:cs="Arial"/>
          <w:lang w:val="es-ES"/>
        </w:rPr>
      </w:pPr>
      <w:r w:rsidRPr="00771345">
        <w:rPr>
          <w:rFonts w:ascii="Verdana" w:eastAsia="Calibri" w:hAnsi="Verdana" w:cs="Arial"/>
          <w:lang w:val="es-ES"/>
        </w:rPr>
        <w:t xml:space="preserve"> Ahora bien, conforme lo señala “Guía SECOP II – Gestión Contractual Para Entidades Estatales</w:t>
      </w:r>
      <w:r w:rsidRPr="00771345">
        <w:rPr>
          <w:rStyle w:val="Refdenotaalpie"/>
          <w:rFonts w:ascii="Verdana" w:eastAsia="Calibri" w:hAnsi="Verdana" w:cs="Arial"/>
          <w:lang w:val="es-ES"/>
        </w:rPr>
        <w:footnoteReference w:id="26"/>
      </w:r>
      <w:r w:rsidRPr="00771345">
        <w:rPr>
          <w:rFonts w:ascii="Verdana" w:eastAsia="Calibri" w:hAnsi="Verdana" w:cs="Arial"/>
          <w:lang w:val="es-ES"/>
        </w:rPr>
        <w:t xml:space="preserve">” </w:t>
      </w:r>
      <w:r w:rsidRPr="00771345">
        <w:rPr>
          <w:rFonts w:ascii="Verdana" w:eastAsia="Calibri" w:hAnsi="Verdana" w:cs="Arial"/>
        </w:rPr>
        <w:t>es imprescindible que previamente el usuario administrador de la Entidad Estatal haya configurado flujos de aprobación</w:t>
      </w:r>
      <w:r w:rsidRPr="00771345">
        <w:rPr>
          <w:rStyle w:val="Refdenotaalpie"/>
          <w:rFonts w:ascii="Verdana" w:eastAsia="Calibri" w:hAnsi="Verdana" w:cs="Arial"/>
        </w:rPr>
        <w:footnoteReference w:id="27"/>
      </w:r>
      <w:r w:rsidRPr="00771345">
        <w:rPr>
          <w:rFonts w:ascii="Verdana" w:eastAsia="Calibri" w:hAnsi="Verdana" w:cs="Arial"/>
        </w:rPr>
        <w:t xml:space="preserve"> en este hito del proceso, con el fin de que el contrato electrónico sea enviado al ordenador del gasto representante legal de la entidad para su aprobación final.</w:t>
      </w:r>
      <w:r w:rsidRPr="00771345">
        <w:rPr>
          <w:rFonts w:ascii="Verdana" w:eastAsia="Calibri" w:hAnsi="Verdana" w:cs="Arial"/>
          <w:lang w:val="es-ES"/>
        </w:rPr>
        <w:t xml:space="preserve"> </w:t>
      </w:r>
      <w:r w:rsidRPr="00771345">
        <w:rPr>
          <w:rFonts w:ascii="Verdana" w:eastAsia="Calibri" w:hAnsi="Verdana" w:cs="Arial"/>
        </w:rPr>
        <w:t>Una vez el ordenador del gasto de la entidad realice la aprobación el estado del contrato cambia a “Firmado” y quedará público para consulta de cualquier interesado.</w:t>
      </w:r>
    </w:p>
    <w:p w14:paraId="3C9D9238" w14:textId="77777777" w:rsidR="00E959C2" w:rsidRPr="00771345" w:rsidRDefault="00E959C2" w:rsidP="00E959C2">
      <w:pPr>
        <w:spacing w:after="120" w:line="276" w:lineRule="auto"/>
        <w:ind w:firstLine="567"/>
        <w:jc w:val="both"/>
        <w:rPr>
          <w:rFonts w:ascii="Verdana" w:eastAsia="Calibri" w:hAnsi="Verdana" w:cs="Arial"/>
          <w:lang w:val="es-ES"/>
        </w:rPr>
      </w:pPr>
      <w:r w:rsidRPr="00771345">
        <w:rPr>
          <w:rFonts w:ascii="Verdana" w:hAnsi="Verdana"/>
        </w:rPr>
        <w:t>De conformidad con este procedimiento, una vez el proveedor aprueba el contrato en la plataforma, este se remite a la Entidad Estatal para que adelante los flujos internos de aprobación correspondientes. La aprobación del ordenador del gasto constituye el último paso de dicho flujo y es el hito que permite a SECOP II cambiar el estado del contrato a “Firmado”, así como habilitar las secciones de “Modificaciones del contrato” e “Incumplimientos”, lo que evidencia que el negocio jurídico ha quedado formalmente firmado en el sistema.</w:t>
      </w:r>
    </w:p>
    <w:p w14:paraId="03FF445E" w14:textId="77777777" w:rsidR="00E959C2" w:rsidRPr="00771345" w:rsidRDefault="00E959C2" w:rsidP="00E959C2">
      <w:pPr>
        <w:spacing w:after="120" w:line="276" w:lineRule="auto"/>
        <w:ind w:firstLine="709"/>
        <w:jc w:val="both"/>
        <w:rPr>
          <w:rFonts w:ascii="Verdana" w:eastAsia="Calibri" w:hAnsi="Verdana" w:cs="Arial"/>
          <w:lang w:val="es-ES"/>
        </w:rPr>
      </w:pPr>
      <w:r w:rsidRPr="00771345">
        <w:rPr>
          <w:rFonts w:ascii="Verdana" w:eastAsia="Calibri" w:hAnsi="Verdana" w:cs="Arial"/>
          <w:lang w:val="es-ES"/>
        </w:rPr>
        <w:t xml:space="preserve">Así las cosas, cuando el proceso de contratación se adelanta por el SECOP II, la aprobación del contrato para su perfeccionamiento y posterior ejecución </w:t>
      </w:r>
      <w:r w:rsidRPr="00771345">
        <w:rPr>
          <w:rFonts w:ascii="Verdana" w:eastAsia="Calibri" w:hAnsi="Verdana" w:cs="Arial"/>
          <w:lang w:val="es-ES"/>
        </w:rPr>
        <w:lastRenderedPageBreak/>
        <w:t xml:space="preserve">deberá efectuarse en dicha plataforma de conformidad con el procedimiento descrito. En todo caso, hasta que no se efectué la aprobación en el SECOP II por parte del ordenador del gasto de la Entidad no se entiende perfeccionado el contrato. </w:t>
      </w:r>
    </w:p>
    <w:p w14:paraId="72EE6B57" w14:textId="77777777" w:rsidR="00E959C2" w:rsidRPr="00771345" w:rsidRDefault="00E959C2" w:rsidP="00E959C2">
      <w:pPr>
        <w:spacing w:after="120" w:line="276" w:lineRule="auto"/>
        <w:ind w:firstLine="567"/>
        <w:jc w:val="both"/>
        <w:rPr>
          <w:rFonts w:ascii="Verdana" w:eastAsia="Calibri" w:hAnsi="Verdana" w:cs="Arial"/>
          <w:lang w:val="es-ES"/>
        </w:rPr>
      </w:pPr>
      <w:r w:rsidRPr="00771345">
        <w:rPr>
          <w:rFonts w:ascii="Verdana" w:eastAsia="Calibri" w:hAnsi="Verdana" w:cs="Arial"/>
          <w:lang w:val="es-ES"/>
        </w:rPr>
        <w:t>Bajo este contexto, en atención a la consulta planteada, es pertinente señalar que debido a que el concepto de “celebrar” para efectos de las restricciones a la contratación previstas en la Ley de Garantías Electorales se asocia al momento del perfeccionamiento del contrato estatal, es necesario tener en cuenta dicho hito en los procesos adelantados a través de la plataforma SECOP II. De esta forma, como se indicó, al tratarse de un sistema transaccional, el contrato se entiende celebrado una vez se ha surtido la aprobación y publicación por parte de la entidad estatal, momento en el cual la plataforma registra el estado de “firmado”, dejando constancia de la concurrencia de voluntades y del cumplimiento del requisito de perfeccionamiento.</w:t>
      </w:r>
    </w:p>
    <w:p w14:paraId="3F98D45A" w14:textId="77777777" w:rsidR="00E959C2" w:rsidRPr="00771345" w:rsidRDefault="00E959C2" w:rsidP="00E959C2">
      <w:pPr>
        <w:spacing w:after="120" w:line="276" w:lineRule="auto"/>
        <w:ind w:firstLine="567"/>
        <w:jc w:val="both"/>
        <w:rPr>
          <w:rFonts w:ascii="Verdana" w:eastAsia="Calibri" w:hAnsi="Verdana" w:cs="Arial"/>
        </w:rPr>
      </w:pPr>
      <w:r w:rsidRPr="00771345">
        <w:rPr>
          <w:rFonts w:ascii="Verdana" w:eastAsia="Calibri" w:hAnsi="Verdana" w:cs="Arial"/>
        </w:rPr>
        <w:t>En este orden de ideas, dentro del flujo de aprobación que la entidad haya configurado en el SECOP II, el momento en que el ordenador del gasto emite su aprobación final constituye el hito en el cual se consolida efectivamente la concurrencia de voluntades y el acuerdo contractual. Ello obedece a que, de manera previa, el proveedor ya ha otorgado su aprobación al contrato, manifestando su aceptación integral de las condiciones pactadas. Así, con la aprobación posterior del ordenador del gasto se perfecciona el consentimiento recíproco sobre el objeto y la contraprestación y queda formalmente estructurado el acuerdo.</w:t>
      </w:r>
    </w:p>
    <w:p w14:paraId="65176253" w14:textId="77777777" w:rsidR="00E959C2" w:rsidRPr="00771345" w:rsidRDefault="00E959C2" w:rsidP="00E959C2">
      <w:pPr>
        <w:spacing w:after="120" w:line="276" w:lineRule="auto"/>
        <w:ind w:firstLine="567"/>
        <w:jc w:val="both"/>
        <w:rPr>
          <w:rFonts w:ascii="Verdana" w:eastAsia="Calibri" w:hAnsi="Verdana" w:cs="Arial"/>
        </w:rPr>
      </w:pPr>
      <w:r w:rsidRPr="00771345">
        <w:rPr>
          <w:rFonts w:ascii="Verdana" w:eastAsia="Calibri" w:hAnsi="Verdana" w:cs="Arial"/>
        </w:rPr>
        <w:t>Este hito es jurídicamente relevante, en la medida en que con él se satisface el requisito previsto en el artículo 41 de la Ley 80 de 1993, esto es, que el perfeccionamiento del contrato ocurre cuando existe acuerdo sobre el objeto y la contraprestación y este se eleva a escrito. En el sistema transaccional del SECOP II, esto se materializa a través del documento electrónico del contrato y de las aprobaciones efectuadas en la plataforma, las cuales dejan trazabilidad y constancia del consentimiento de las partes. Por consiguiente, es en la aprobación final del ordenador del gasto, como último paso del flujo de aprobación, donde se entiende cumplido el requisito de perfeccionamiento al quedar configurado el acuerdo exigido por la norma señalada.</w:t>
      </w:r>
    </w:p>
    <w:p w14:paraId="4D23FDFE" w14:textId="77777777" w:rsidR="00E959C2" w:rsidRPr="00771345" w:rsidRDefault="00E959C2" w:rsidP="00E959C2">
      <w:pPr>
        <w:spacing w:after="0" w:line="276" w:lineRule="auto"/>
        <w:ind w:firstLine="567"/>
        <w:jc w:val="both"/>
        <w:rPr>
          <w:rFonts w:ascii="Verdana" w:eastAsia="Times New Roman" w:hAnsi="Verdana" w:cs="Arial"/>
          <w:bCs/>
          <w:lang w:val="es-ES" w:eastAsia="es-CO"/>
        </w:rPr>
      </w:pPr>
      <w:r w:rsidRPr="00771345">
        <w:rPr>
          <w:rFonts w:ascii="Verdana" w:eastAsia="Calibri" w:hAnsi="Verdana" w:cs="Arial"/>
          <w:lang w:val="es-ES"/>
        </w:rPr>
        <w:t xml:space="preserve">En consecuencia, tratándose de procesos gestionados en SECOP II, las actuaciones necesarias para que el contrato adquiera el estado de “firmado” </w:t>
      </w:r>
      <w:r w:rsidRPr="00771345">
        <w:rPr>
          <w:rFonts w:ascii="Verdana" w:eastAsia="Calibri" w:hAnsi="Verdana" w:cs="Arial"/>
          <w:lang w:val="es-ES"/>
        </w:rPr>
        <w:lastRenderedPageBreak/>
        <w:t xml:space="preserve">deben realizarse antes de la </w:t>
      </w:r>
      <w:proofErr w:type="gramStart"/>
      <w:r w:rsidRPr="00771345">
        <w:rPr>
          <w:rFonts w:ascii="Verdana" w:eastAsia="Calibri" w:hAnsi="Verdana" w:cs="Arial"/>
          <w:lang w:val="es-ES"/>
        </w:rPr>
        <w:t>entrada en vigencia</w:t>
      </w:r>
      <w:proofErr w:type="gramEnd"/>
      <w:r w:rsidRPr="00771345">
        <w:rPr>
          <w:rFonts w:ascii="Verdana" w:eastAsia="Calibri" w:hAnsi="Verdana" w:cs="Arial"/>
          <w:lang w:val="es-ES"/>
        </w:rPr>
        <w:t xml:space="preserve"> de las restricciones previstas en la Ley de Garantías Electorales. De lo contrario, si el perfeccionamiento, es decir, si la aprobación final por parte del ordenador del gasto y su registro como estado “firmado” en la plataforma se produce cuando ya se encuentra vigente la prohibición establecida en el artículo 33 </w:t>
      </w:r>
      <w:r w:rsidRPr="00771345">
        <w:rPr>
          <w:rFonts w:ascii="Verdana" w:eastAsia="Calibri" w:hAnsi="Verdana" w:cs="Arial"/>
          <w:i/>
          <w:iCs/>
          <w:lang w:val="es-ES"/>
        </w:rPr>
        <w:t>ibidem</w:t>
      </w:r>
      <w:r w:rsidRPr="00771345">
        <w:rPr>
          <w:rFonts w:ascii="Verdana" w:eastAsia="Calibri" w:hAnsi="Verdana" w:cs="Arial"/>
          <w:lang w:val="es-ES"/>
        </w:rPr>
        <w:t>, se entiende que el contrato fue celebrado en vigencia de dicha restricción, con las consecuencias jurídicas a que haya lugar, sin que resulte suficiente que etapas previas del proceso se hubieren adelantado con anterioridad o que se hayan aprobado los demás flujos de aprobación configurados por la Entidad Estatal, previos al del ordenador del gasto.</w:t>
      </w:r>
      <w:r w:rsidRPr="00771345">
        <w:rPr>
          <w:rFonts w:ascii="Verdana" w:eastAsia="Times New Roman" w:hAnsi="Verdana" w:cs="Arial"/>
          <w:bCs/>
          <w:lang w:val="es-ES" w:eastAsia="es-CO"/>
        </w:rPr>
        <w:t xml:space="preserve"> En este último evento, la entidad deberá revisar la validez del contrato y analizar una posible configuración de nulidad a la luz de lo dispuesto en el artículo 44 de la Ley 80 de 1993. </w:t>
      </w:r>
    </w:p>
    <w:p w14:paraId="78D3CC11" w14:textId="77777777" w:rsidR="00E959C2" w:rsidRPr="00771345" w:rsidRDefault="00E959C2" w:rsidP="00E959C2">
      <w:pPr>
        <w:spacing w:after="0" w:line="276" w:lineRule="auto"/>
        <w:jc w:val="both"/>
        <w:rPr>
          <w:rFonts w:ascii="Verdana" w:eastAsia="Times New Roman" w:hAnsi="Verdana" w:cs="Arial"/>
          <w:bCs/>
          <w:lang w:val="es-ES" w:eastAsia="es-CO"/>
        </w:rPr>
      </w:pPr>
    </w:p>
    <w:p w14:paraId="70489D5C" w14:textId="46BA5ACA" w:rsidR="00E959C2" w:rsidRPr="00771345" w:rsidRDefault="00E959C2" w:rsidP="00E959C2">
      <w:pPr>
        <w:spacing w:after="120" w:line="276" w:lineRule="auto"/>
        <w:jc w:val="both"/>
        <w:rPr>
          <w:rFonts w:ascii="Verdana" w:eastAsia="Calibri" w:hAnsi="Verdana" w:cs="Arial"/>
        </w:rPr>
      </w:pPr>
      <w:r w:rsidRPr="00771345">
        <w:rPr>
          <w:rFonts w:ascii="Verdana" w:eastAsia="Times New Roman" w:hAnsi="Verdana" w:cs="Arial"/>
          <w:bCs/>
          <w:lang w:val="es-ES" w:eastAsia="es-CO"/>
        </w:rPr>
        <w:t>vi</w:t>
      </w:r>
      <w:r w:rsidR="00771345">
        <w:rPr>
          <w:rFonts w:ascii="Verdana" w:eastAsia="Times New Roman" w:hAnsi="Verdana" w:cs="Arial"/>
          <w:bCs/>
          <w:lang w:val="es-ES" w:eastAsia="es-CO"/>
        </w:rPr>
        <w:t xml:space="preserve">) </w:t>
      </w:r>
      <w:r w:rsidRPr="00771345">
        <w:rPr>
          <w:rFonts w:ascii="Verdana" w:eastAsia="Times New Roman" w:hAnsi="Verdana" w:cs="Arial"/>
          <w:bCs/>
          <w:lang w:val="es-ES" w:eastAsia="es-CO"/>
        </w:rPr>
        <w:t xml:space="preserve">Sobre el régimen de nulidad, la norma en cita </w:t>
      </w:r>
      <w:r w:rsidRPr="00771345">
        <w:rPr>
          <w:rFonts w:ascii="Verdana" w:eastAsia="Calibri" w:hAnsi="Verdana" w:cs="Arial"/>
        </w:rPr>
        <w:t>señala como causales de nulidad del contrato estatal, las siguientes: 1. Que el contrato se celebre con personas incursas en causales de inhabilidad o incompatibilidad previstas en la Constitución y la ley. 2. se celebre contra expresa prohibición constitucional o legal. 3. se celebre con abuso o desviación de poder. 4. se declaren nulos los actos administrativos en que se fundamenten. 5. se hubieren celebrado con desconocimiento de los criterios previstos para el tratamiento de ofertas nacionales y extranjeras o con violación de la reciprocidad</w:t>
      </w:r>
      <w:r w:rsidRPr="00771345">
        <w:rPr>
          <w:rFonts w:ascii="Verdana" w:eastAsia="Arial" w:hAnsi="Verdana" w:cs="Arial"/>
          <w:vertAlign w:val="superscript"/>
          <w:lang w:val="es-ES"/>
        </w:rPr>
        <w:footnoteReference w:id="28"/>
      </w:r>
      <w:r w:rsidRPr="00771345">
        <w:rPr>
          <w:rFonts w:ascii="Verdana" w:eastAsia="Calibri" w:hAnsi="Verdana" w:cs="Arial"/>
        </w:rPr>
        <w:t>.</w:t>
      </w:r>
    </w:p>
    <w:p w14:paraId="2CC9D5EC" w14:textId="77777777" w:rsidR="00E959C2" w:rsidRPr="00771345" w:rsidRDefault="00E959C2" w:rsidP="00E959C2">
      <w:pPr>
        <w:spacing w:after="0" w:line="276" w:lineRule="auto"/>
        <w:ind w:firstLine="709"/>
        <w:jc w:val="both"/>
        <w:rPr>
          <w:rFonts w:ascii="Verdana" w:eastAsia="Calibri" w:hAnsi="Verdana" w:cs="Times New Roman"/>
          <w:bCs/>
        </w:rPr>
      </w:pPr>
      <w:r w:rsidRPr="00771345">
        <w:rPr>
          <w:rFonts w:ascii="Verdana" w:eastAsia="Calibri" w:hAnsi="Verdana" w:cs="Times New Roman"/>
          <w:bCs/>
        </w:rPr>
        <w:t>En concordancia con lo anterior, el artículo 45 de la Ley 80 de 1993 prescribe:</w:t>
      </w:r>
    </w:p>
    <w:p w14:paraId="5620902E" w14:textId="77777777" w:rsidR="00E959C2" w:rsidRPr="00771345" w:rsidRDefault="00E959C2" w:rsidP="00E959C2">
      <w:pPr>
        <w:spacing w:after="0" w:line="276" w:lineRule="auto"/>
        <w:ind w:firstLine="709"/>
        <w:jc w:val="both"/>
        <w:rPr>
          <w:rFonts w:ascii="Verdana" w:eastAsia="Calibri" w:hAnsi="Verdana" w:cs="Times New Roman"/>
          <w:bCs/>
        </w:rPr>
      </w:pPr>
    </w:p>
    <w:p w14:paraId="3A481F8F" w14:textId="77777777" w:rsidR="00E959C2" w:rsidRPr="00771345" w:rsidRDefault="00E959C2" w:rsidP="00E959C2">
      <w:pPr>
        <w:spacing w:after="0" w:line="240" w:lineRule="auto"/>
        <w:ind w:left="709" w:right="709"/>
        <w:jc w:val="both"/>
        <w:rPr>
          <w:rFonts w:ascii="Verdana" w:eastAsia="Calibri" w:hAnsi="Verdana" w:cs="Times New Roman"/>
          <w:sz w:val="20"/>
          <w:szCs w:val="20"/>
        </w:rPr>
      </w:pPr>
      <w:r w:rsidRPr="00771345">
        <w:rPr>
          <w:rFonts w:ascii="Verdana" w:eastAsia="Calibri" w:hAnsi="Verdana" w:cs="Times New Roman"/>
          <w:sz w:val="20"/>
          <w:szCs w:val="20"/>
        </w:rPr>
        <w:t>“ARTICULO 45. DE LA NULIDAD ABSOLUTA. La nulidad absoluta podrá ser alegada por las partes, por el agente del ministerio público, por cualquier persona o declarada de oficio, y no es susceptible de saneamiento por ratificación. </w:t>
      </w:r>
    </w:p>
    <w:p w14:paraId="7BEF8B89" w14:textId="77777777" w:rsidR="00E959C2" w:rsidRPr="00771345" w:rsidRDefault="00E959C2" w:rsidP="00E959C2">
      <w:pPr>
        <w:spacing w:after="0" w:line="240" w:lineRule="auto"/>
        <w:ind w:left="709" w:right="709"/>
        <w:jc w:val="both"/>
        <w:rPr>
          <w:rFonts w:ascii="Verdana" w:eastAsia="Calibri" w:hAnsi="Verdana" w:cs="Times New Roman"/>
          <w:sz w:val="20"/>
          <w:szCs w:val="20"/>
        </w:rPr>
      </w:pPr>
    </w:p>
    <w:p w14:paraId="2FC8F7C3" w14:textId="77777777" w:rsidR="00E959C2" w:rsidRPr="00771345" w:rsidRDefault="00E959C2" w:rsidP="00E959C2">
      <w:pPr>
        <w:spacing w:after="0" w:line="240" w:lineRule="auto"/>
        <w:ind w:left="709" w:right="709"/>
        <w:jc w:val="both"/>
        <w:rPr>
          <w:rFonts w:ascii="Verdana" w:eastAsia="Calibri" w:hAnsi="Verdana" w:cs="Times New Roman"/>
          <w:sz w:val="20"/>
          <w:szCs w:val="20"/>
        </w:rPr>
      </w:pPr>
      <w:r w:rsidRPr="00771345">
        <w:rPr>
          <w:rFonts w:ascii="Verdana" w:eastAsia="Calibri" w:hAnsi="Verdana" w:cs="Times New Roman"/>
          <w:sz w:val="20"/>
          <w:szCs w:val="20"/>
        </w:rPr>
        <w:t xml:space="preserve">En los casos previstos en los numerales 1o., 2o. y 4o. del artículo anterior, el jefe o representante legal de la entidad respectiva deberá dar por </w:t>
      </w:r>
      <w:r w:rsidRPr="00771345">
        <w:rPr>
          <w:rFonts w:ascii="Verdana" w:eastAsia="Calibri" w:hAnsi="Verdana" w:cs="Times New Roman"/>
          <w:sz w:val="20"/>
          <w:szCs w:val="20"/>
        </w:rPr>
        <w:lastRenderedPageBreak/>
        <w:t>terminado el contrato mediante acto administrativo debidamente motivado y ordenará su liquidación en el estado en que se encuentre”. </w:t>
      </w:r>
    </w:p>
    <w:p w14:paraId="4BD5CA62" w14:textId="77777777" w:rsidR="00E959C2" w:rsidRPr="00771345" w:rsidRDefault="00E959C2" w:rsidP="00E959C2">
      <w:pPr>
        <w:spacing w:after="0" w:line="276" w:lineRule="auto"/>
        <w:jc w:val="both"/>
        <w:rPr>
          <w:rFonts w:ascii="Verdana" w:eastAsia="Calibri" w:hAnsi="Verdana" w:cs="Times New Roman"/>
          <w:bCs/>
        </w:rPr>
      </w:pPr>
    </w:p>
    <w:p w14:paraId="63C1E392" w14:textId="77777777" w:rsidR="00E959C2" w:rsidRPr="00771345" w:rsidRDefault="00E959C2" w:rsidP="00E959C2">
      <w:pPr>
        <w:spacing w:after="120" w:line="276" w:lineRule="auto"/>
        <w:jc w:val="both"/>
        <w:rPr>
          <w:rFonts w:ascii="Verdana" w:eastAsia="Calibri" w:hAnsi="Verdana" w:cs="Arial"/>
        </w:rPr>
      </w:pPr>
      <w:r w:rsidRPr="00771345">
        <w:rPr>
          <w:rFonts w:ascii="Verdana" w:eastAsia="Calibri" w:hAnsi="Verdana" w:cs="Times New Roman"/>
          <w:bCs/>
        </w:rPr>
        <w:tab/>
        <w:t>A partir de la norma precitada, se establece que la nulidad absoluta del contrato podrá alegarse por las partes, por el agente del ministerio público, por cualquier persona o declarada de oficio, y no siendo susceptible de saneamiento por ratificación. Además, de acuerdo con el inciso segundo, cuando se presente alguna de las hipótesis señaladas en los numerales 1, 2 y 4 del artículo 44 de la Ley 80 de 1993, la entidad debe terminar el contrato mediante acto administrativo y ordenar su liquidación en el estado en que se encuentre. Estas situaciones se refieren a los casos en que</w:t>
      </w:r>
      <w:r w:rsidRPr="00771345">
        <w:rPr>
          <w:rFonts w:ascii="Verdana" w:eastAsia="Calibri" w:hAnsi="Verdana" w:cs="Arial"/>
        </w:rPr>
        <w:t xml:space="preserve"> el contrato se celebre con personas incursas en causales de inhabilidad o incompatibilidad previstas en la Constitución y la ley, </w:t>
      </w:r>
      <w:r w:rsidRPr="00771345">
        <w:rPr>
          <w:rFonts w:ascii="Verdana" w:eastAsia="Calibri" w:hAnsi="Verdana" w:cs="Arial"/>
          <w:i/>
          <w:iCs/>
        </w:rPr>
        <w:t>que se celebre contra expresa prohibición constitucional o legal</w:t>
      </w:r>
      <w:r w:rsidRPr="00771345">
        <w:rPr>
          <w:rFonts w:ascii="Verdana" w:eastAsia="Calibri" w:hAnsi="Verdana" w:cs="Arial"/>
        </w:rPr>
        <w:t xml:space="preserve">, o que se declaren nulos los actos administrativos en que se fundamenten. </w:t>
      </w:r>
    </w:p>
    <w:p w14:paraId="20444D4E" w14:textId="77777777" w:rsidR="00E959C2" w:rsidRPr="00771345" w:rsidRDefault="00E959C2" w:rsidP="00E959C2">
      <w:pPr>
        <w:spacing w:after="120" w:line="276" w:lineRule="auto"/>
        <w:ind w:firstLine="743"/>
        <w:jc w:val="both"/>
        <w:rPr>
          <w:rFonts w:ascii="Verdana" w:eastAsia="Calibri" w:hAnsi="Verdana" w:cs="Arial"/>
        </w:rPr>
      </w:pPr>
      <w:r w:rsidRPr="00771345">
        <w:rPr>
          <w:rFonts w:ascii="Verdana" w:eastAsia="Calibri" w:hAnsi="Verdana" w:cs="Arial"/>
        </w:rPr>
        <w:t xml:space="preserve">En este sentido, para que proceda la terminación del contrato y su correspondiente liquidación en los términos de la norma citada, resulta indispensable que la entidad verifique que la situación que genera la nulidad se enmarque en alguna de las causales allí señaladas. Particularmente, frente a la circunstancia analizadas es posible que se pueda generar la nulidad absoluta del contrato por la causal de celebración contra expresa prohibición constitucional o legal, por vulnerar las restricciones establecidas en los artículos 33 y 38 de la Ley de Garantías Electorales. </w:t>
      </w:r>
    </w:p>
    <w:p w14:paraId="77566713" w14:textId="77777777" w:rsidR="00E959C2" w:rsidRPr="00771345" w:rsidRDefault="00E959C2" w:rsidP="00E959C2">
      <w:pPr>
        <w:spacing w:after="120" w:line="276" w:lineRule="auto"/>
        <w:ind w:firstLine="567"/>
        <w:jc w:val="both"/>
        <w:rPr>
          <w:rFonts w:ascii="Verdana" w:eastAsia="Calibri" w:hAnsi="Verdana" w:cs="Arial"/>
          <w:lang w:val="es-ES"/>
        </w:rPr>
      </w:pPr>
      <w:r w:rsidRPr="00771345">
        <w:rPr>
          <w:rFonts w:ascii="Verdana" w:eastAsia="Calibri" w:hAnsi="Verdana" w:cs="Arial"/>
        </w:rPr>
        <w:t>Sobre el alcance de la causal de nulidad contenida en el numeral 2 del artículo 44 de la Ley 80 de 1993, el Consejo de Estado ha señalado que “</w:t>
      </w:r>
      <w:r w:rsidRPr="00771345">
        <w:rPr>
          <w:rFonts w:ascii="Verdana" w:eastAsia="Calibri" w:hAnsi="Verdana" w:cs="Arial"/>
          <w:bCs/>
          <w:iCs/>
        </w:rPr>
        <w:t>la norma ofrece, al menos, dos conclusiones: la primera de ellas consiste en que la prohibición debe estar consagrada en una norma, ya sea de rango constitucional o legal, sin que resulte posible hacer extensiva esta causal a una disposición de inferior rango normativo. La segunda se refiere al hecho de que la prohibición debe constar de manera expresa</w:t>
      </w:r>
      <w:r w:rsidRPr="00771345">
        <w:rPr>
          <w:rStyle w:val="Refdenotaalpie"/>
          <w:rFonts w:ascii="Verdana" w:eastAsia="Calibri" w:hAnsi="Verdana" w:cs="Arial"/>
          <w:bCs/>
          <w:iCs/>
        </w:rPr>
        <w:footnoteReference w:id="29"/>
      </w:r>
      <w:r w:rsidRPr="00771345">
        <w:rPr>
          <w:rFonts w:ascii="Verdana" w:eastAsia="Calibri" w:hAnsi="Verdana" w:cs="Arial"/>
          <w:bCs/>
          <w:iCs/>
        </w:rPr>
        <w:t xml:space="preserve">”. Tal es el caso de los </w:t>
      </w:r>
      <w:r w:rsidRPr="00771345">
        <w:rPr>
          <w:rFonts w:ascii="Verdana" w:eastAsia="Calibri" w:hAnsi="Verdana" w:cs="Arial"/>
        </w:rPr>
        <w:t xml:space="preserve">artículos 33 y 38 de la Ley de Garantías Electorales, normas de carácter legal que determinan de manera expresa una prohibición específica en materia de contratación pública. </w:t>
      </w:r>
    </w:p>
    <w:p w14:paraId="48BD3784" w14:textId="77777777" w:rsidR="00E959C2" w:rsidRPr="00771345" w:rsidRDefault="00E959C2" w:rsidP="00E959C2">
      <w:pPr>
        <w:spacing w:after="120" w:line="276" w:lineRule="auto"/>
        <w:ind w:firstLine="567"/>
        <w:jc w:val="both"/>
        <w:rPr>
          <w:rFonts w:ascii="Verdana" w:eastAsia="Times New Roman" w:hAnsi="Verdana" w:cs="Arial"/>
          <w:bCs/>
          <w:lang w:val="es-ES" w:eastAsia="es-CO"/>
        </w:rPr>
      </w:pPr>
      <w:r w:rsidRPr="00771345">
        <w:rPr>
          <w:rFonts w:ascii="Verdana" w:eastAsia="Times New Roman" w:hAnsi="Verdana" w:cs="Arial"/>
          <w:bCs/>
          <w:lang w:val="es-ES" w:eastAsia="es-CO"/>
        </w:rPr>
        <w:lastRenderedPageBreak/>
        <w:t xml:space="preserve">Así las cosas, se concluye que aquellos contratos cuyo perfeccionamiento en la plataforma SECOP II -entendido como el momento en que se surte la aprobación final por parte del ordenador del gasto y se publica el contrato en estado “Firmado”-, haya ocurrido con posterioridad a la entrada en vigencia de la Ley de Garantías Electorales, esta Agencia considera que los mismos se entienden celebrados en infracción de lo previsto en los artículos 33 y 38 </w:t>
      </w:r>
      <w:r w:rsidRPr="00771345">
        <w:rPr>
          <w:rFonts w:ascii="Verdana" w:eastAsia="Times New Roman" w:hAnsi="Verdana" w:cs="Arial"/>
          <w:bCs/>
          <w:i/>
          <w:iCs/>
          <w:lang w:val="es-ES" w:eastAsia="es-CO"/>
        </w:rPr>
        <w:t>ibidem,</w:t>
      </w:r>
      <w:r w:rsidRPr="00771345">
        <w:rPr>
          <w:rFonts w:ascii="Verdana" w:eastAsia="Times New Roman" w:hAnsi="Verdana" w:cs="Arial"/>
          <w:bCs/>
          <w:lang w:val="es-ES" w:eastAsia="es-CO"/>
        </w:rPr>
        <w:t xml:space="preserve"> en la medida en que el hito jurídico de perfeccionamiento ocurrió dentro del período de restricción.</w:t>
      </w:r>
    </w:p>
    <w:p w14:paraId="1E07A749" w14:textId="77777777" w:rsidR="00E959C2" w:rsidRPr="00771345" w:rsidRDefault="00E959C2" w:rsidP="00E959C2">
      <w:pPr>
        <w:spacing w:after="120" w:line="276" w:lineRule="auto"/>
        <w:ind w:firstLine="567"/>
        <w:jc w:val="both"/>
        <w:rPr>
          <w:rFonts w:ascii="Verdana" w:eastAsia="Times New Roman" w:hAnsi="Verdana" w:cs="Arial"/>
          <w:bCs/>
          <w:lang w:val="es-ES" w:eastAsia="es-CO"/>
        </w:rPr>
      </w:pPr>
      <w:r w:rsidRPr="00771345">
        <w:rPr>
          <w:rFonts w:ascii="Verdana" w:eastAsia="Times New Roman" w:hAnsi="Verdana" w:cs="Arial"/>
          <w:bCs/>
          <w:lang w:val="es-ES" w:eastAsia="es-CO"/>
        </w:rPr>
        <w:t xml:space="preserve">En consecuencia, corresponderá a la Entidad Estatal efectuar el análisis jurídico integral del caso concreto y determinar la procedencia de las medidas a que haya lugar, a la luz de lo dispuesto en los artículos 44 y 45 de la Ley 80 de 1993. Lo anterior, sin perjuicio de las responsabilidades de tipo disciplinario, fiscal y penal que puedan generarse. </w:t>
      </w:r>
    </w:p>
    <w:p w14:paraId="11D165CA" w14:textId="16379C05" w:rsidR="007942F8" w:rsidRPr="004A2776" w:rsidRDefault="00E959C2" w:rsidP="004A0F98">
      <w:pPr>
        <w:spacing w:after="120" w:line="276" w:lineRule="auto"/>
        <w:ind w:firstLine="567"/>
        <w:jc w:val="both"/>
        <w:rPr>
          <w:rFonts w:ascii="Verdana" w:eastAsia="Calibri" w:hAnsi="Verdana" w:cs="Arial"/>
        </w:rPr>
      </w:pPr>
      <w:r w:rsidRPr="00771345">
        <w:rPr>
          <w:rFonts w:ascii="Verdana" w:eastAsia="Times New Roman" w:hAnsi="Verdana" w:cs="Arial"/>
          <w:bCs/>
          <w:lang w:val="es-MX" w:eastAsia="x-none"/>
        </w:rPr>
        <w:t xml:space="preserve">Finalmente, </w:t>
      </w:r>
      <w:r w:rsidRPr="00771345">
        <w:rPr>
          <w:rFonts w:ascii="Verdana" w:eastAsia="Times New Roman" w:hAnsi="Verdana" w:cs="Arial"/>
          <w:bCs/>
          <w:lang w:eastAsia="x-none"/>
        </w:rPr>
        <w:t xml:space="preserve">resulta pertinente enfatizar en el deber de planeación que asiste a las Entidades Estatales, el cual impone la obligación de estructurar y adelantar oportunamente las actuaciones precontractuales y contractuales necesarias para el cumplimiento de sus fines. Una adecuada planeación en la gestión de los procesos, especialmente en contextos sujetos a restricciones temporales como las derivadas de la Ley de Garantías Electorales, permite mitigar riesgos jurídicos y evitar que, por deficiencias o retrasos en la gestión, se configuren situaciones que puedan dar lugar a eventuales causales de nulidad. </w:t>
      </w:r>
    </w:p>
    <w:p w14:paraId="24D135B9" w14:textId="77777777" w:rsidR="00771345" w:rsidRDefault="00771345" w:rsidP="004A0F98">
      <w:pPr>
        <w:spacing w:after="0" w:line="276" w:lineRule="auto"/>
        <w:jc w:val="both"/>
        <w:rPr>
          <w:rFonts w:ascii="Verdana" w:hAnsi="Verdana" w:cs="Arial"/>
          <w:bCs/>
          <w:color w:val="000000" w:themeColor="text1"/>
        </w:rPr>
      </w:pPr>
    </w:p>
    <w:p w14:paraId="293AA836" w14:textId="71A78D06" w:rsidR="007942F8" w:rsidRPr="00667CD6" w:rsidRDefault="00771345" w:rsidP="004A0F98">
      <w:pPr>
        <w:spacing w:after="120" w:line="276" w:lineRule="auto"/>
        <w:jc w:val="both"/>
        <w:rPr>
          <w:rFonts w:ascii="Verdana" w:eastAsia="Times New Roman" w:hAnsi="Verdana" w:cs="Arial"/>
          <w:lang w:eastAsia="es-CO"/>
        </w:rPr>
      </w:pPr>
      <w:proofErr w:type="spellStart"/>
      <w:r>
        <w:rPr>
          <w:rFonts w:ascii="Verdana" w:hAnsi="Verdana" w:cs="Arial"/>
          <w:bCs/>
          <w:color w:val="000000" w:themeColor="text1"/>
        </w:rPr>
        <w:t>vii</w:t>
      </w:r>
      <w:proofErr w:type="spellEnd"/>
      <w:r>
        <w:rPr>
          <w:rFonts w:ascii="Verdana" w:hAnsi="Verdana" w:cs="Arial"/>
          <w:bCs/>
          <w:color w:val="000000" w:themeColor="text1"/>
        </w:rPr>
        <w:t xml:space="preserve">) </w:t>
      </w:r>
      <w:r w:rsidR="007942F8" w:rsidRPr="00667CD6">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0CB8871" w14:textId="29703350" w:rsidR="007942F8" w:rsidRPr="00A83E37" w:rsidRDefault="007942F8" w:rsidP="00771345">
      <w:pPr>
        <w:spacing w:after="0" w:line="276" w:lineRule="auto"/>
        <w:ind w:firstLine="709"/>
        <w:jc w:val="both"/>
        <w:rPr>
          <w:rFonts w:ascii="Verdana" w:hAnsi="Verdana" w:cs="Arial"/>
          <w:bCs/>
          <w:color w:val="000000" w:themeColor="text1"/>
        </w:rPr>
      </w:pPr>
      <w:r w:rsidRPr="00667CD6">
        <w:rPr>
          <w:rFonts w:ascii="Verdana" w:hAnsi="Verdana" w:cs="Arial"/>
          <w:bCs/>
          <w:color w:val="000000" w:themeColor="text1"/>
        </w:rPr>
        <w:t xml:space="preserve">Dentro de este marco, la entidad contratante definirá en cada caso concreto lo relacionado con el tema objeto de consulta. Al tratarse de un análisis </w:t>
      </w:r>
      <w:r w:rsidRPr="00667CD6">
        <w:rPr>
          <w:rFonts w:ascii="Verdana" w:hAnsi="Verdana" w:cs="Arial"/>
          <w:bCs/>
          <w:color w:val="000000" w:themeColor="text1"/>
        </w:rPr>
        <w:lastRenderedPageBreak/>
        <w:t>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bookmarkStart w:id="17" w:name="_Hlk204854194"/>
    </w:p>
    <w:p w14:paraId="506D4134" w14:textId="77777777" w:rsidR="00771345" w:rsidRPr="00771345" w:rsidRDefault="00771345" w:rsidP="004A0F98">
      <w:pPr>
        <w:spacing w:after="0" w:line="276" w:lineRule="auto"/>
        <w:ind w:firstLine="709"/>
        <w:jc w:val="both"/>
        <w:rPr>
          <w:rFonts w:ascii="Verdana" w:hAnsi="Verdana" w:cs="Arial"/>
          <w:bCs/>
          <w:color w:val="000000" w:themeColor="text1"/>
        </w:rPr>
      </w:pPr>
    </w:p>
    <w:p w14:paraId="1B3DFD31" w14:textId="77777777" w:rsidR="007942F8" w:rsidRPr="00237877" w:rsidRDefault="007942F8" w:rsidP="007942F8">
      <w:pPr>
        <w:spacing w:after="0" w:line="276" w:lineRule="auto"/>
        <w:jc w:val="both"/>
        <w:rPr>
          <w:rFonts w:ascii="Verdana" w:hAnsi="Verdana" w:cs="Arial"/>
          <w:bCs/>
          <w:color w:val="000000" w:themeColor="text1"/>
        </w:rPr>
      </w:pPr>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17"/>
    </w:p>
    <w:p w14:paraId="342705BD" w14:textId="77777777" w:rsidR="007942F8" w:rsidRPr="005644FE" w:rsidRDefault="007942F8" w:rsidP="007942F8">
      <w:pPr>
        <w:tabs>
          <w:tab w:val="left" w:pos="142"/>
          <w:tab w:val="left" w:pos="284"/>
          <w:tab w:val="left" w:pos="3828"/>
        </w:tabs>
        <w:spacing w:after="0" w:line="276"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942F8" w:rsidRPr="002D2C18" w14:paraId="57C66540" w14:textId="77777777" w:rsidTr="00FD00FB">
        <w:trPr>
          <w:trHeight w:val="56"/>
          <w:jc w:val="center"/>
        </w:trPr>
        <w:tc>
          <w:tcPr>
            <w:tcW w:w="8647" w:type="dxa"/>
          </w:tcPr>
          <w:p w14:paraId="5813E6D5" w14:textId="77777777" w:rsidR="007942F8" w:rsidRPr="00A83E37" w:rsidRDefault="007942F8" w:rsidP="007942F8">
            <w:pPr>
              <w:pStyle w:val="Prrafodelista"/>
              <w:numPr>
                <w:ilvl w:val="0"/>
                <w:numId w:val="17"/>
              </w:numPr>
              <w:spacing w:line="276" w:lineRule="auto"/>
              <w:ind w:left="714" w:hanging="357"/>
              <w:jc w:val="both"/>
              <w:rPr>
                <w:rFonts w:ascii="Verdana" w:eastAsia="Aptos" w:hAnsi="Verdana" w:cs="Arial"/>
              </w:rPr>
            </w:pPr>
            <w:r>
              <w:rPr>
                <w:rFonts w:ascii="Verdana" w:eastAsia="Aptos" w:hAnsi="Verdana" w:cs="Arial"/>
              </w:rPr>
              <w:t>Constitución Política. Artículos 6, 127.</w:t>
            </w:r>
          </w:p>
          <w:p w14:paraId="0E8B604C" w14:textId="77777777" w:rsidR="007942F8" w:rsidRDefault="007942F8" w:rsidP="007942F8">
            <w:pPr>
              <w:pStyle w:val="Prrafodelista"/>
              <w:numPr>
                <w:ilvl w:val="0"/>
                <w:numId w:val="17"/>
              </w:numPr>
              <w:spacing w:line="276" w:lineRule="auto"/>
              <w:ind w:left="714" w:hanging="357"/>
              <w:jc w:val="both"/>
              <w:rPr>
                <w:rFonts w:ascii="Verdana" w:eastAsia="Aptos" w:hAnsi="Verdana" w:cs="Arial"/>
              </w:rPr>
            </w:pPr>
            <w:r w:rsidRPr="007E27D9">
              <w:rPr>
                <w:rFonts w:ascii="Verdana" w:eastAsia="Aptos" w:hAnsi="Verdana" w:cs="Arial"/>
              </w:rPr>
              <w:t>Código Civil. Artículo</w:t>
            </w:r>
            <w:r>
              <w:rPr>
                <w:rFonts w:ascii="Verdana" w:eastAsia="Aptos" w:hAnsi="Verdana" w:cs="Arial"/>
              </w:rPr>
              <w:t>s</w:t>
            </w:r>
            <w:r w:rsidRPr="007E27D9">
              <w:rPr>
                <w:rFonts w:ascii="Verdana" w:eastAsia="Aptos" w:hAnsi="Verdana" w:cs="Arial"/>
              </w:rPr>
              <w:t xml:space="preserve"> 27</w:t>
            </w:r>
            <w:r>
              <w:rPr>
                <w:rFonts w:ascii="Verdana" w:eastAsia="Aptos" w:hAnsi="Verdana" w:cs="Arial"/>
              </w:rPr>
              <w:t>, 1500, 1501</w:t>
            </w:r>
            <w:r w:rsidRPr="007E27D9">
              <w:rPr>
                <w:rFonts w:ascii="Verdana" w:eastAsia="Aptos" w:hAnsi="Verdana" w:cs="Arial"/>
              </w:rPr>
              <w:t>.</w:t>
            </w:r>
          </w:p>
          <w:p w14:paraId="13F9F66A" w14:textId="77777777" w:rsidR="007942F8" w:rsidRPr="009058EB" w:rsidRDefault="007942F8" w:rsidP="007942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 xml:space="preserve">Ley 80 de 1993. Artículo 41. </w:t>
            </w:r>
          </w:p>
          <w:p w14:paraId="776EF9D3" w14:textId="77777777" w:rsidR="007942F8" w:rsidRDefault="007942F8" w:rsidP="007942F8">
            <w:pPr>
              <w:pStyle w:val="Prrafodelista"/>
              <w:numPr>
                <w:ilvl w:val="0"/>
                <w:numId w:val="17"/>
              </w:numPr>
              <w:spacing w:line="276" w:lineRule="auto"/>
              <w:ind w:left="714" w:hanging="357"/>
              <w:jc w:val="both"/>
              <w:rPr>
                <w:rFonts w:ascii="Verdana" w:eastAsia="Aptos" w:hAnsi="Verdana" w:cs="Arial"/>
              </w:rPr>
            </w:pPr>
            <w:r>
              <w:rPr>
                <w:rFonts w:ascii="Verdana" w:eastAsia="Aptos" w:hAnsi="Verdana" w:cs="Arial"/>
              </w:rPr>
              <w:t>Ley 996 de 2005. Artículos 33 y parágrafo del artículo 38.</w:t>
            </w:r>
          </w:p>
          <w:p w14:paraId="77731221" w14:textId="77777777" w:rsidR="007942F8" w:rsidRDefault="007942F8" w:rsidP="007942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Ley 1150 de 2007. Artículos 2, numeral 4 literal c), 23.</w:t>
            </w:r>
          </w:p>
          <w:p w14:paraId="148B6D35" w14:textId="77777777" w:rsidR="007942F8" w:rsidRDefault="007942F8" w:rsidP="007942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lo Contencioso Administrativo. Sección Tercera. Subsección C. Sentencia del 12 de agosto de 2014. Expediente: 28.565. C.P: Enrique Gil Botero.</w:t>
            </w:r>
          </w:p>
          <w:p w14:paraId="43E94F6A" w14:textId="77777777" w:rsidR="007942F8" w:rsidRDefault="007942F8" w:rsidP="007942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lo Contencioso Administrativo. Sección tercera. Subsección B. Sentencia del 10 de mayo de 2018. Expediente. 41.186. C.P. Stella Conto Díaz del Castillo.</w:t>
            </w:r>
          </w:p>
          <w:p w14:paraId="68986215" w14:textId="77777777" w:rsidR="007942F8" w:rsidRDefault="007942F8" w:rsidP="007942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lo Contencioso Administrativo. Sección Tercera. Subsección B. Sentencia del 3 de abril de 2020. Expediente: 46.963. C.P: Ramiro Pazos Guerrero.</w:t>
            </w:r>
          </w:p>
          <w:p w14:paraId="38F7B1E5" w14:textId="77777777" w:rsidR="007942F8" w:rsidRDefault="007942F8" w:rsidP="007942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lo Contencioso Administrativo. Sección Primera. Sentencia de 3 de marzo de 2005. Radicado: 25001-23-15-000-2004-00823-01 (PI). C.P: Camilo Arciniegas Andrade.</w:t>
            </w:r>
          </w:p>
          <w:p w14:paraId="1170781C" w14:textId="77777777" w:rsidR="007942F8" w:rsidRPr="009058EB" w:rsidRDefault="007942F8" w:rsidP="007942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 xml:space="preserve">Consejo de Estado, Sala de Consulta y Servicio Civil. 24 de julio de 2013. Radicado: 11001-03-06-000-2013-00407-00 (2166). C.P. Álvaro </w:t>
            </w:r>
            <w:proofErr w:type="spellStart"/>
            <w:r w:rsidRPr="009058EB">
              <w:rPr>
                <w:rFonts w:ascii="Verdana" w:eastAsia="Aptos" w:hAnsi="Verdana" w:cs="Arial"/>
              </w:rPr>
              <w:t>Namén</w:t>
            </w:r>
            <w:proofErr w:type="spellEnd"/>
            <w:r w:rsidRPr="009058EB">
              <w:rPr>
                <w:rFonts w:ascii="Verdana" w:eastAsia="Aptos" w:hAnsi="Verdana" w:cs="Arial"/>
              </w:rPr>
              <w:t xml:space="preserve"> Vargas.  </w:t>
            </w:r>
          </w:p>
          <w:p w14:paraId="22BC7C73" w14:textId="77777777" w:rsidR="007942F8" w:rsidRPr="009058EB" w:rsidRDefault="007942F8" w:rsidP="007942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Consulta y Servicio Civil. Concepto del 17 de febrero de 2015. Radicado: 11001-03-06-000-2015-00164-00 (2269). C.P. William Zambrano Cetina.</w:t>
            </w:r>
          </w:p>
          <w:p w14:paraId="33FF1D0C" w14:textId="77777777" w:rsidR="007942F8" w:rsidRPr="009058EB" w:rsidRDefault="007942F8" w:rsidP="007942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 xml:space="preserve">Consejo de Estado. Sala de Consulta y Servicio Civil. Concepto del 2 de septiembre de 2013. Radicación número: 11001-03-06-000-2013-00412-00 (2168). C.P: Álvaro </w:t>
            </w:r>
            <w:proofErr w:type="spellStart"/>
            <w:r w:rsidRPr="009058EB">
              <w:rPr>
                <w:rFonts w:ascii="Verdana" w:eastAsia="Aptos" w:hAnsi="Verdana" w:cs="Arial"/>
              </w:rPr>
              <w:t>Namén</w:t>
            </w:r>
            <w:proofErr w:type="spellEnd"/>
            <w:r w:rsidRPr="009058EB">
              <w:rPr>
                <w:rFonts w:ascii="Verdana" w:eastAsia="Aptos" w:hAnsi="Verdana" w:cs="Arial"/>
              </w:rPr>
              <w:t xml:space="preserve"> Vargas.</w:t>
            </w:r>
          </w:p>
          <w:p w14:paraId="5D0A23F5" w14:textId="77777777" w:rsidR="007942F8" w:rsidRPr="009058EB" w:rsidRDefault="007942F8" w:rsidP="007942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lastRenderedPageBreak/>
              <w:t xml:space="preserve">Consejo de Estado. Sala de Consulta y Servicio Civil, Concepto de 8 de mayo de 2018. Radicación Número: 11001-03-06-000-2018-00095-00 (2382). C.P: Álvaro </w:t>
            </w:r>
            <w:proofErr w:type="spellStart"/>
            <w:r w:rsidRPr="009058EB">
              <w:rPr>
                <w:rFonts w:ascii="Verdana" w:eastAsia="Aptos" w:hAnsi="Verdana" w:cs="Arial"/>
              </w:rPr>
              <w:t>Namén</w:t>
            </w:r>
            <w:proofErr w:type="spellEnd"/>
            <w:r w:rsidRPr="009058EB">
              <w:rPr>
                <w:rFonts w:ascii="Verdana" w:eastAsia="Aptos" w:hAnsi="Verdana" w:cs="Arial"/>
              </w:rPr>
              <w:t xml:space="preserve"> Vargas.</w:t>
            </w:r>
          </w:p>
          <w:p w14:paraId="69125C99" w14:textId="77777777" w:rsidR="007942F8" w:rsidRPr="009058EB" w:rsidRDefault="007942F8" w:rsidP="007942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Consulta y Servicio Civil. Concepto de 20 de febrero de 2006. Radicación Número: 11001-03-06-000-2006-00026-00 (1727). C.P: Enrique José Arboleda Perdomo.</w:t>
            </w:r>
          </w:p>
          <w:p w14:paraId="00773752" w14:textId="77777777" w:rsidR="007942F8" w:rsidRPr="009058EB" w:rsidRDefault="007942F8" w:rsidP="007942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Consulta y Servicio Civil. Concepto de 6 de abril de 2006. Radicación Número: 11001-03-06-000-2006-00038-00 (1738). C.P: Enrique José Arboleda Perdomo.</w:t>
            </w:r>
          </w:p>
          <w:p w14:paraId="7892012E" w14:textId="77777777" w:rsidR="007942F8" w:rsidRPr="009058EB" w:rsidRDefault="007942F8" w:rsidP="007942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Corte Constitucional. Sentencia C- 1153 de 2005, M.P: Marco Gerardo Monroy Cabra.</w:t>
            </w:r>
            <w:r w:rsidRPr="009058EB">
              <w:rPr>
                <w:rFonts w:ascii="Verdana" w:eastAsia="Aptos" w:hAnsi="Verdana" w:cs="Arial"/>
              </w:rPr>
              <w:tab/>
            </w:r>
          </w:p>
          <w:p w14:paraId="14442AFD" w14:textId="77777777" w:rsidR="007942F8" w:rsidRPr="009058EB" w:rsidRDefault="007942F8" w:rsidP="007942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Corte Constitucional. Sentencia C-233 de 4 de abril de 2002. M.P: Álvaro Tafur Galvis.</w:t>
            </w:r>
          </w:p>
          <w:p w14:paraId="1631F2DF" w14:textId="77777777" w:rsidR="007942F8" w:rsidRPr="009058EB" w:rsidRDefault="007942F8" w:rsidP="007942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 xml:space="preserve">Corte Constitucional. Sentencia C-551 de 9 de julio de 2003. M.P: Eduardo Montealegre </w:t>
            </w:r>
            <w:proofErr w:type="spellStart"/>
            <w:r w:rsidRPr="009058EB">
              <w:rPr>
                <w:rFonts w:ascii="Verdana" w:eastAsia="Aptos" w:hAnsi="Verdana" w:cs="Arial"/>
              </w:rPr>
              <w:t>Lynnet</w:t>
            </w:r>
            <w:proofErr w:type="spellEnd"/>
            <w:r w:rsidRPr="009058EB">
              <w:rPr>
                <w:rFonts w:ascii="Verdana" w:eastAsia="Aptos" w:hAnsi="Verdana" w:cs="Arial"/>
              </w:rPr>
              <w:t>.</w:t>
            </w:r>
          </w:p>
          <w:p w14:paraId="153F0904" w14:textId="77777777" w:rsidR="007942F8" w:rsidRPr="009058EB" w:rsidRDefault="007942F8" w:rsidP="007942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 xml:space="preserve">Corte Constitucional. Sentencia C-353 de 20 de mayo de 2009. M.P: Jorge Iván Palacio </w:t>
            </w:r>
            <w:proofErr w:type="spellStart"/>
            <w:r w:rsidRPr="009058EB">
              <w:rPr>
                <w:rFonts w:ascii="Verdana" w:eastAsia="Aptos" w:hAnsi="Verdana" w:cs="Arial"/>
              </w:rPr>
              <w:t>Palacio</w:t>
            </w:r>
            <w:proofErr w:type="spellEnd"/>
            <w:r w:rsidRPr="009058EB">
              <w:rPr>
                <w:rFonts w:ascii="Verdana" w:eastAsia="Aptos" w:hAnsi="Verdana" w:cs="Arial"/>
              </w:rPr>
              <w:t>.</w:t>
            </w:r>
          </w:p>
          <w:p w14:paraId="2E49942E" w14:textId="77777777" w:rsidR="007942F8" w:rsidRPr="009058EB" w:rsidRDefault="007942F8" w:rsidP="007942F8">
            <w:pPr>
              <w:pStyle w:val="Prrafodelista"/>
              <w:numPr>
                <w:ilvl w:val="0"/>
                <w:numId w:val="17"/>
              </w:numPr>
              <w:spacing w:line="276" w:lineRule="auto"/>
              <w:ind w:left="714" w:hanging="357"/>
              <w:jc w:val="both"/>
              <w:rPr>
                <w:rFonts w:ascii="Verdana" w:eastAsia="Aptos" w:hAnsi="Verdana" w:cs="Arial"/>
              </w:rPr>
            </w:pPr>
            <w:r w:rsidRPr="004D1E98">
              <w:rPr>
                <w:rFonts w:ascii="Verdana" w:eastAsia="Aptos" w:hAnsi="Verdana" w:cs="Arial"/>
              </w:rPr>
              <w:t>EXPÓSITO VÉLEZ, Juan Carlos. Forma y contenido del contrato estatal. Bogotá: Universidad Externado de Colombia, 2013. pp. 28-29.</w:t>
            </w:r>
            <w:r w:rsidRPr="009058EB">
              <w:rPr>
                <w:rFonts w:ascii="Verdana" w:hAnsi="Verdana"/>
              </w:rPr>
              <w:t xml:space="preserve"> </w:t>
            </w:r>
          </w:p>
        </w:tc>
      </w:tr>
    </w:tbl>
    <w:p w14:paraId="71273F75" w14:textId="77777777" w:rsidR="007942F8" w:rsidRDefault="007942F8" w:rsidP="007942F8">
      <w:pPr>
        <w:tabs>
          <w:tab w:val="left" w:pos="142"/>
          <w:tab w:val="left" w:pos="284"/>
          <w:tab w:val="left" w:pos="3828"/>
        </w:tabs>
        <w:spacing w:after="0" w:line="276" w:lineRule="auto"/>
        <w:jc w:val="both"/>
        <w:rPr>
          <w:rFonts w:ascii="Verdana" w:eastAsia="Century Gothic" w:hAnsi="Verdana" w:cs="Century Gothic"/>
          <w:b/>
          <w:bCs/>
        </w:rPr>
      </w:pPr>
    </w:p>
    <w:p w14:paraId="09BA6B56" w14:textId="77777777" w:rsidR="007942F8" w:rsidRPr="005644FE" w:rsidRDefault="007942F8" w:rsidP="007942F8">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4FB47139" w14:textId="77777777" w:rsidR="007942F8" w:rsidRDefault="007942F8" w:rsidP="004A0F98">
      <w:pPr>
        <w:widowControl w:val="0"/>
        <w:autoSpaceDE w:val="0"/>
        <w:autoSpaceDN w:val="0"/>
        <w:spacing w:after="0" w:line="276" w:lineRule="auto"/>
        <w:jc w:val="both"/>
        <w:rPr>
          <w:rFonts w:ascii="Verdana" w:eastAsia="Calibri" w:hAnsi="Verdana" w:cs="Arial"/>
        </w:rPr>
      </w:pPr>
    </w:p>
    <w:p w14:paraId="393500E7" w14:textId="59377A9D" w:rsidR="007942F8" w:rsidRPr="00771345" w:rsidRDefault="007942F8" w:rsidP="00E959C2">
      <w:pPr>
        <w:widowControl w:val="0"/>
        <w:autoSpaceDE w:val="0"/>
        <w:autoSpaceDN w:val="0"/>
        <w:spacing w:after="0" w:line="276" w:lineRule="auto"/>
        <w:jc w:val="both"/>
        <w:rPr>
          <w:rFonts w:ascii="Verdana" w:hAnsi="Verdana" w:cs="Arial"/>
          <w:color w:val="000000" w:themeColor="text1"/>
          <w:shd w:val="clear" w:color="auto" w:fill="FFFFFF"/>
        </w:rPr>
      </w:pPr>
      <w:r w:rsidRPr="000F79CF">
        <w:rPr>
          <w:rFonts w:ascii="Verdana" w:eastAsia="Calibri" w:hAnsi="Verdana" w:cs="Arial"/>
        </w:rPr>
        <w:t xml:space="preserve">La Agencia Nacional de Contratación Pública – Colombia Compra Eficiente se ha referido </w:t>
      </w:r>
      <w:r w:rsidRPr="000F79CF">
        <w:rPr>
          <w:rFonts w:ascii="Verdana" w:hAnsi="Verdana" w:cs="Arial"/>
          <w:shd w:val="clear" w:color="auto" w:fill="FFFFFF"/>
        </w:rPr>
        <w:t>sobre</w:t>
      </w:r>
      <w:r>
        <w:rPr>
          <w:rFonts w:ascii="Verdana" w:hAnsi="Verdana" w:cs="Arial"/>
          <w:shd w:val="clear" w:color="auto" w:fill="FFFFFF"/>
        </w:rPr>
        <w:t xml:space="preserve"> la</w:t>
      </w:r>
      <w:r w:rsidRPr="000F79CF">
        <w:rPr>
          <w:rFonts w:ascii="Verdana" w:hAnsi="Verdana" w:cs="Arial"/>
          <w:shd w:val="clear" w:color="auto" w:fill="FFFFFF"/>
        </w:rPr>
        <w:t xml:space="preserve"> Ley de Garantías Electorales</w:t>
      </w:r>
      <w:r>
        <w:rPr>
          <w:rFonts w:ascii="Verdana" w:hAnsi="Verdana" w:cs="Arial"/>
          <w:shd w:val="clear" w:color="auto" w:fill="FFFFFF"/>
        </w:rPr>
        <w:t>, la Subdirección se ha pronunciado en los conceptos</w:t>
      </w:r>
      <w:r w:rsidRPr="000F79CF">
        <w:rPr>
          <w:rFonts w:ascii="Verdana" w:hAnsi="Verdana" w:cs="Arial"/>
          <w:shd w:val="clear" w:color="auto" w:fill="FFFFFF"/>
        </w:rPr>
        <w:t xml:space="preserve"> C-550 del 5 de octubre de 2021, C-523 del 10 de octubre de 2021, C-606 del 28 de octubre de 2021, C-614 del 2 de noviembre de 2021, C-636 del 16 de noviembre de 2021, C-681 del 7 de diciembre de 2021, C-686 del 21 de diciembre de 2021, C-697 del 3 de enero de 2022, C-180 del 21 de marzo de 2025, C-317 del 25 de abril de 2025, C-510 del 4 de junio de 2025, C -635 del 27 de junio de 2025, C–750 de 17 de julio 2025, C-868 del 12 de agosto de 2025, </w:t>
      </w:r>
      <w:r>
        <w:rPr>
          <w:rFonts w:ascii="Verdana" w:hAnsi="Verdana" w:cs="Arial"/>
          <w:shd w:val="clear" w:color="auto" w:fill="FFFFFF"/>
        </w:rPr>
        <w:t xml:space="preserve">C-1491 del 20 de noviembre de 2025, C- 1492 del </w:t>
      </w:r>
      <w:r>
        <w:rPr>
          <w:rFonts w:ascii="Verdana" w:hAnsi="Verdana"/>
        </w:rPr>
        <w:t xml:space="preserve">21 de noviembre del 2025, C-1629 y C-1646 del 17 de diciembre de 2025, C-1704 de 19 de diciembre de 2025, C-1662 del 22 de diciembre de 2025, </w:t>
      </w:r>
      <w:r w:rsidRPr="00391BAD">
        <w:rPr>
          <w:rFonts w:ascii="Verdana" w:hAnsi="Verdana"/>
        </w:rPr>
        <w:t xml:space="preserve">entre otros. </w:t>
      </w:r>
      <w:r w:rsidRPr="00391BAD">
        <w:rPr>
          <w:rFonts w:ascii="Verdana" w:eastAsia="Aptos" w:hAnsi="Verdana" w:cs="Arial"/>
          <w:shd w:val="clear" w:color="auto" w:fill="FFFFFF"/>
          <w:lang w:val="es-ES"/>
        </w:rPr>
        <w:t>Estos y otros conceptos se encuentran disponibles para consulta</w:t>
      </w:r>
      <w:r w:rsidRPr="00391BAD">
        <w:rPr>
          <w:rFonts w:ascii="Verdana" w:eastAsia="Calibri" w:hAnsi="Verdana" w:cs="Arial"/>
        </w:rPr>
        <w:t xml:space="preserve"> </w:t>
      </w:r>
      <w:r w:rsidRPr="00391BAD">
        <w:rPr>
          <w:rFonts w:ascii="Verdana" w:hAnsi="Verdana"/>
        </w:rPr>
        <w:t>en el Sistema de relatoría de la Agencia, al cual se puede acceder a través del siguiente enlace:</w:t>
      </w:r>
      <w:r w:rsidRPr="00391BAD">
        <w:rPr>
          <w:rFonts w:ascii="Verdana" w:hAnsi="Verdana" w:cs="Arial"/>
          <w:shd w:val="clear" w:color="auto" w:fill="FFFFFF"/>
        </w:rPr>
        <w:t xml:space="preserve"> </w:t>
      </w:r>
      <w:hyperlink r:id="rId11" w:history="1">
        <w:r w:rsidRPr="00771345">
          <w:rPr>
            <w:rStyle w:val="Hipervnculo"/>
            <w:rFonts w:ascii="Verdana" w:hAnsi="Verdana" w:cs="Arial"/>
            <w:shd w:val="clear" w:color="auto" w:fill="FFFFFF"/>
          </w:rPr>
          <w:t>https://relatoria.colombiacompra.gov.co/busqueda/conceptos</w:t>
        </w:r>
      </w:hyperlink>
      <w:r w:rsidRPr="00771345">
        <w:rPr>
          <w:rFonts w:ascii="Verdana" w:hAnsi="Verdana" w:cs="Arial"/>
          <w:shd w:val="clear" w:color="auto" w:fill="FFFFFF"/>
        </w:rPr>
        <w:t>.</w:t>
      </w:r>
      <w:r w:rsidRPr="00771345">
        <w:rPr>
          <w:rFonts w:ascii="Verdana" w:hAnsi="Verdana" w:cs="Arial"/>
          <w:color w:val="FF0000"/>
          <w:shd w:val="clear" w:color="auto" w:fill="FFFFFF"/>
        </w:rPr>
        <w:t xml:space="preserve"> </w:t>
      </w:r>
      <w:r w:rsidRPr="00771345">
        <w:rPr>
          <w:rFonts w:ascii="Verdana" w:hAnsi="Verdana" w:cs="Arial"/>
          <w:color w:val="000000" w:themeColor="text1"/>
          <w:shd w:val="clear" w:color="auto" w:fill="FFFFFF"/>
        </w:rPr>
        <w:t>  </w:t>
      </w:r>
    </w:p>
    <w:p w14:paraId="7715D974" w14:textId="77777777" w:rsidR="00E959C2" w:rsidRPr="00771345" w:rsidRDefault="00E959C2" w:rsidP="004A0F98">
      <w:pPr>
        <w:widowControl w:val="0"/>
        <w:autoSpaceDE w:val="0"/>
        <w:autoSpaceDN w:val="0"/>
        <w:spacing w:after="0" w:line="276" w:lineRule="auto"/>
        <w:jc w:val="both"/>
        <w:rPr>
          <w:rFonts w:ascii="Verdana" w:hAnsi="Verdana" w:cs="Arial"/>
          <w:shd w:val="clear" w:color="auto" w:fill="FFFFFF"/>
        </w:rPr>
      </w:pPr>
    </w:p>
    <w:p w14:paraId="41707C07" w14:textId="77777777" w:rsidR="007942F8" w:rsidRPr="009A385A" w:rsidRDefault="007942F8" w:rsidP="004A0F98">
      <w:pPr>
        <w:spacing w:after="0"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2" w:tgtFrame="_new" w:history="1">
        <w:r w:rsidRPr="00771345">
          <w:rPr>
            <w:rStyle w:val="Hipervnculo"/>
            <w:rFonts w:ascii="Verdana" w:hAnsi="Verdana"/>
          </w:rPr>
          <w:t>https://formacionvirtual.colombiacompra.gov.co/mod/page/view.php?id=3718</w:t>
        </w:r>
      </w:hyperlink>
    </w:p>
    <w:p w14:paraId="7C65C6D1" w14:textId="77777777" w:rsidR="00E959C2" w:rsidRPr="00771345" w:rsidRDefault="00E959C2" w:rsidP="00E959C2">
      <w:pPr>
        <w:spacing w:after="0" w:line="276" w:lineRule="auto"/>
        <w:jc w:val="both"/>
        <w:rPr>
          <w:rFonts w:ascii="Verdana" w:hAnsi="Verdana"/>
        </w:rPr>
      </w:pPr>
    </w:p>
    <w:p w14:paraId="1352F7C8" w14:textId="1C441EFE" w:rsidR="007942F8" w:rsidRDefault="007942F8" w:rsidP="004A0F98">
      <w:pPr>
        <w:spacing w:after="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w:t>
      </w:r>
      <w:r w:rsidRPr="00771345">
        <w:rPr>
          <w:rFonts w:ascii="Verdana" w:hAnsi="Verdana"/>
        </w:rPr>
        <w:t xml:space="preserve">Consulta y descarga los documentos aquí: </w:t>
      </w:r>
      <w:hyperlink r:id="rId13" w:tgtFrame="_new" w:history="1">
        <w:r w:rsidRPr="00771345">
          <w:rPr>
            <w:rStyle w:val="Hipervnculo"/>
            <w:rFonts w:ascii="Verdana" w:hAnsi="Verdana"/>
          </w:rPr>
          <w:t>https://www.colombiacompra.gov.co/normativa-y-relatoria/documentos-tipo</w:t>
        </w:r>
      </w:hyperlink>
    </w:p>
    <w:p w14:paraId="18F2125B" w14:textId="77777777" w:rsidR="00E959C2" w:rsidRPr="00771345" w:rsidRDefault="00E959C2" w:rsidP="00E959C2">
      <w:pPr>
        <w:spacing w:after="0" w:line="276" w:lineRule="auto"/>
        <w:jc w:val="both"/>
        <w:rPr>
          <w:rFonts w:ascii="Verdana" w:hAnsi="Verdana"/>
        </w:rPr>
      </w:pPr>
    </w:p>
    <w:p w14:paraId="70F861F6" w14:textId="67894A3E" w:rsidR="007942F8" w:rsidRDefault="007942F8" w:rsidP="004A0F98">
      <w:pPr>
        <w:spacing w:after="0" w:line="276" w:lineRule="auto"/>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71345">
        <w:rPr>
          <w:rFonts w:ascii="Verdana" w:hAnsi="Verdana"/>
        </w:rPr>
        <w:t>Además se incluyeron lineamientos que orientan la implementación de los criterios ambientales y sociales incluidos en los documentos tipo: Consulta la guía aquí:</w:t>
      </w:r>
      <w:r w:rsidRPr="00771345">
        <w:rPr>
          <w:rFonts w:ascii="Verdana" w:hAnsi="Verdana"/>
        </w:rPr>
        <w:br/>
      </w:r>
      <w:hyperlink r:id="rId14" w:tgtFrame="_new" w:history="1">
        <w:r w:rsidRPr="00771345">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352186AA" w14:textId="4067C130" w:rsidR="007942F8" w:rsidRPr="00FF007A" w:rsidRDefault="007942F8" w:rsidP="004A0F98">
      <w:pPr>
        <w:spacing w:after="0" w:line="276" w:lineRule="auto"/>
        <w:jc w:val="both"/>
        <w:rPr>
          <w:rFonts w:ascii="Verdana" w:eastAsia="Calibri" w:hAnsi="Verdana" w:cs="Times New Roman"/>
        </w:rPr>
      </w:pPr>
    </w:p>
    <w:p w14:paraId="50651630" w14:textId="77777777" w:rsidR="007942F8" w:rsidRPr="00FF26FC" w:rsidRDefault="007942F8" w:rsidP="007942F8">
      <w:pPr>
        <w:widowControl w:val="0"/>
        <w:autoSpaceDE w:val="0"/>
        <w:autoSpaceDN w:val="0"/>
        <w:spacing w:after="0" w:line="276" w:lineRule="auto"/>
        <w:jc w:val="both"/>
        <w:rPr>
          <w:rFonts w:ascii="Verdana" w:hAnsi="Verdana" w:cs="Arial"/>
          <w:lang w:val="es-ES_tradnl"/>
        </w:rPr>
      </w:pPr>
      <w:r w:rsidRPr="00FF26FC">
        <w:rPr>
          <w:rFonts w:ascii="Verdana" w:hAnsi="Verdana" w:cs="Arial"/>
        </w:rPr>
        <w:t xml:space="preserve">Este concepto tiene el alcance previsto en el artículo 28 del Código de </w:t>
      </w:r>
      <w:r w:rsidRPr="00FF26FC">
        <w:rPr>
          <w:rFonts w:ascii="Verdana" w:hAnsi="Verdana" w:cs="Arial"/>
        </w:rPr>
        <w:lastRenderedPageBreak/>
        <w:t xml:space="preserve">Procedimiento Administrativo y de lo Contencioso Administrativo </w:t>
      </w:r>
      <w:r w:rsidRPr="00FF26FC">
        <w:rPr>
          <w:rFonts w:ascii="Verdana" w:hAnsi="Verdana" w:cs="Arial"/>
          <w:lang w:val="es-ES_tradnl"/>
        </w:rPr>
        <w:t>y las expresiones aquí utilizadas con mayúscula inicial deben ser entendidas con el significado que les otorga el artículo 2.2.1.1.1.3.1. del Decreto 1082 de 2015.</w:t>
      </w:r>
    </w:p>
    <w:p w14:paraId="51111125" w14:textId="77777777" w:rsidR="007942F8" w:rsidRPr="00FF26FC" w:rsidRDefault="007942F8" w:rsidP="007942F8">
      <w:pPr>
        <w:widowControl w:val="0"/>
        <w:autoSpaceDE w:val="0"/>
        <w:autoSpaceDN w:val="0"/>
        <w:spacing w:after="0" w:line="276" w:lineRule="auto"/>
        <w:jc w:val="both"/>
        <w:rPr>
          <w:rFonts w:ascii="Verdana" w:hAnsi="Verdana" w:cs="Arial"/>
        </w:rPr>
      </w:pPr>
    </w:p>
    <w:p w14:paraId="19E8AF24" w14:textId="6897D9F9" w:rsidR="007942F8" w:rsidRPr="001611D3" w:rsidRDefault="007942F8" w:rsidP="004A0F98">
      <w:pPr>
        <w:spacing w:after="0" w:line="276" w:lineRule="auto"/>
        <w:rPr>
          <w:rFonts w:ascii="Verdana" w:eastAsia="Century Gothic" w:hAnsi="Verdana" w:cs="Century Gothic"/>
          <w:b/>
          <w:bCs/>
        </w:rPr>
      </w:pPr>
      <w:r w:rsidRPr="00FF26FC">
        <w:rPr>
          <w:rFonts w:ascii="Verdana" w:eastAsia="Times New Roman" w:hAnsi="Verdana" w:cs="Arial"/>
          <w:lang w:eastAsia="es-CO"/>
        </w:rPr>
        <w:t>Atentamente,</w:t>
      </w:r>
      <w:r w:rsidRPr="00FF26FC">
        <w:rPr>
          <w:rFonts w:ascii="Verdana" w:hAnsi="Verdana" w:cs="Arial"/>
          <w:lang w:eastAsia="es-CO"/>
        </w:rPr>
        <w:t xml:space="preserve"> </w:t>
      </w:r>
    </w:p>
    <w:p w14:paraId="0E93C748" w14:textId="31AB5FCA" w:rsidR="007942F8" w:rsidRDefault="00A07EE7" w:rsidP="007942F8">
      <w:pPr>
        <w:spacing w:after="0" w:line="276" w:lineRule="auto"/>
        <w:jc w:val="center"/>
        <w:rPr>
          <w:rFonts w:ascii="Verdana" w:hAnsi="Verdana"/>
          <w:lang w:val="es-ES_tradnl"/>
        </w:rPr>
      </w:pPr>
      <w:r>
        <w:rPr>
          <w:rFonts w:ascii="Verdana" w:hAnsi="Verdana"/>
          <w:noProof/>
          <w:lang w:val="es-ES_tradnl"/>
        </w:rPr>
        <w:drawing>
          <wp:inline distT="0" distB="0" distL="0" distR="0" wp14:anchorId="168691D1" wp14:editId="6364C343">
            <wp:extent cx="3639058" cy="1343212"/>
            <wp:effectExtent l="0" t="0" r="0" b="0"/>
            <wp:docPr id="29114968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149685"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942F8" w:rsidRPr="00D53651" w14:paraId="0E20C64F" w14:textId="77777777" w:rsidTr="00FD00FB">
        <w:trPr>
          <w:trHeight w:val="315"/>
        </w:trPr>
        <w:tc>
          <w:tcPr>
            <w:tcW w:w="893" w:type="dxa"/>
            <w:vAlign w:val="center"/>
            <w:hideMark/>
          </w:tcPr>
          <w:p w14:paraId="5650C868" w14:textId="77777777" w:rsidR="007942F8" w:rsidRPr="00D53651" w:rsidRDefault="007942F8" w:rsidP="00FD00FB">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742520E9" w14:textId="77777777" w:rsidR="007942F8" w:rsidRPr="00D53651" w:rsidRDefault="007942F8" w:rsidP="00FD00FB">
            <w:pPr>
              <w:spacing w:line="276" w:lineRule="auto"/>
              <w:jc w:val="both"/>
              <w:rPr>
                <w:rFonts w:ascii="Verdana" w:hAnsi="Verdana"/>
                <w:sz w:val="16"/>
                <w:szCs w:val="16"/>
              </w:rPr>
            </w:pPr>
            <w:r>
              <w:rPr>
                <w:rFonts w:ascii="Verdana" w:hAnsi="Verdana"/>
                <w:sz w:val="16"/>
                <w:szCs w:val="16"/>
              </w:rPr>
              <w:t>Gloria Elizabeth Arango Builes</w:t>
            </w:r>
          </w:p>
          <w:p w14:paraId="4F6C7066" w14:textId="77777777" w:rsidR="007942F8" w:rsidRPr="00D53651" w:rsidRDefault="007942F8" w:rsidP="00FD00FB">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7942F8" w:rsidRPr="00D53651" w14:paraId="4B8D48AA" w14:textId="77777777" w:rsidTr="00FD00FB">
        <w:trPr>
          <w:trHeight w:val="330"/>
        </w:trPr>
        <w:tc>
          <w:tcPr>
            <w:tcW w:w="893" w:type="dxa"/>
            <w:vAlign w:val="center"/>
            <w:hideMark/>
          </w:tcPr>
          <w:p w14:paraId="1A648298" w14:textId="77777777" w:rsidR="007942F8" w:rsidRPr="00D53651" w:rsidRDefault="007942F8" w:rsidP="00FD00FB">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1CF2B60C" w14:textId="77777777" w:rsidR="007942F8" w:rsidRDefault="007942F8" w:rsidP="00FD00FB">
            <w:pPr>
              <w:spacing w:line="276" w:lineRule="auto"/>
              <w:jc w:val="both"/>
              <w:rPr>
                <w:rFonts w:ascii="Verdana" w:hAnsi="Verdana"/>
                <w:sz w:val="16"/>
                <w:szCs w:val="16"/>
              </w:rPr>
            </w:pPr>
            <w:r>
              <w:rPr>
                <w:rFonts w:ascii="Verdana" w:hAnsi="Verdana"/>
                <w:sz w:val="16"/>
                <w:szCs w:val="16"/>
              </w:rPr>
              <w:t>Diana Lucía Saavedra Castañeda</w:t>
            </w:r>
          </w:p>
          <w:p w14:paraId="263EA003" w14:textId="77777777" w:rsidR="007942F8" w:rsidRPr="00D53651" w:rsidRDefault="007942F8" w:rsidP="00FD00FB">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7942F8" w:rsidRPr="00D53651" w14:paraId="1246D069" w14:textId="77777777" w:rsidTr="00FD00FB">
        <w:trPr>
          <w:trHeight w:val="300"/>
        </w:trPr>
        <w:tc>
          <w:tcPr>
            <w:tcW w:w="893" w:type="dxa"/>
            <w:vAlign w:val="center"/>
            <w:hideMark/>
          </w:tcPr>
          <w:p w14:paraId="062976BB" w14:textId="77777777" w:rsidR="007942F8" w:rsidRPr="00D53651" w:rsidRDefault="007942F8" w:rsidP="00FD00FB">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7FBC96A8" w14:textId="77777777" w:rsidR="007942F8" w:rsidRPr="00D53651" w:rsidRDefault="007942F8" w:rsidP="00FD00FB">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00ECAA1D" w14:textId="77777777" w:rsidR="007942F8" w:rsidRPr="00D53651" w:rsidRDefault="007942F8" w:rsidP="00FD00FB">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77777777" w:rsidR="00C15139" w:rsidRPr="000E2B93" w:rsidRDefault="00C15139" w:rsidP="30821638">
      <w:pPr>
        <w:spacing w:after="0" w:line="240" w:lineRule="auto"/>
        <w:textAlignment w:val="baseline"/>
        <w:rPr>
          <w:rFonts w:ascii="Verdana" w:eastAsia="Verdana" w:hAnsi="Verdana" w:cs="Verdana"/>
          <w:lang w:eastAsia="es-CO"/>
        </w:rPr>
      </w:pPr>
      <w:r w:rsidRPr="004A0F98">
        <w:rPr>
          <w:rFonts w:ascii="Verdana" w:hAnsi="Verdana"/>
          <w:noProof/>
        </w:rPr>
        <w:drawing>
          <wp:inline distT="0" distB="0" distL="0" distR="0" wp14:anchorId="5A2E4A55" wp14:editId="7AA99379">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F6C032" w14:textId="77777777" w:rsidR="00D06373" w:rsidRDefault="00D06373" w:rsidP="004A1847">
      <w:pPr>
        <w:spacing w:after="0" w:line="240" w:lineRule="auto"/>
      </w:pPr>
      <w:r>
        <w:separator/>
      </w:r>
    </w:p>
  </w:endnote>
  <w:endnote w:type="continuationSeparator" w:id="0">
    <w:p w14:paraId="61A6C5F3" w14:textId="77777777" w:rsidR="00D06373" w:rsidRDefault="00D06373" w:rsidP="004A1847">
      <w:pPr>
        <w:spacing w:after="0" w:line="240" w:lineRule="auto"/>
      </w:pPr>
      <w:r>
        <w:continuationSeparator/>
      </w:r>
    </w:p>
  </w:endnote>
  <w:endnote w:type="continuationNotice" w:id="1">
    <w:p w14:paraId="134E079E" w14:textId="77777777" w:rsidR="00D06373" w:rsidRDefault="00D0637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744EF1" w14:textId="77777777" w:rsidR="00D06373" w:rsidRDefault="00D06373" w:rsidP="004A1847">
      <w:pPr>
        <w:spacing w:after="0" w:line="240" w:lineRule="auto"/>
      </w:pPr>
      <w:r>
        <w:separator/>
      </w:r>
    </w:p>
  </w:footnote>
  <w:footnote w:type="continuationSeparator" w:id="0">
    <w:p w14:paraId="7E9D2A60" w14:textId="77777777" w:rsidR="00D06373" w:rsidRDefault="00D06373" w:rsidP="004A1847">
      <w:pPr>
        <w:spacing w:after="0" w:line="240" w:lineRule="auto"/>
      </w:pPr>
      <w:r>
        <w:continuationSeparator/>
      </w:r>
    </w:p>
  </w:footnote>
  <w:footnote w:type="continuationNotice" w:id="1">
    <w:p w14:paraId="4BDAA4E9" w14:textId="77777777" w:rsidR="00D06373" w:rsidRDefault="00D06373">
      <w:pPr>
        <w:spacing w:after="0" w:line="240" w:lineRule="auto"/>
      </w:pPr>
    </w:p>
  </w:footnote>
  <w:footnote w:id="2">
    <w:p w14:paraId="11F1116C" w14:textId="77777777" w:rsidR="00F976D8" w:rsidRPr="004A0F98" w:rsidRDefault="00F976D8" w:rsidP="00771345">
      <w:pPr>
        <w:pStyle w:val="Textonotapie"/>
        <w:ind w:firstLine="709"/>
        <w:jc w:val="both"/>
        <w:rPr>
          <w:rFonts w:ascii="Verdana" w:hAnsi="Verdana"/>
          <w:sz w:val="14"/>
          <w:szCs w:val="14"/>
          <w:lang w:val="es-CO"/>
        </w:rPr>
      </w:pPr>
      <w:r w:rsidRPr="004A0F98">
        <w:rPr>
          <w:rStyle w:val="Refdenotaalpie"/>
          <w:rFonts w:ascii="Verdana" w:hAnsi="Verdana"/>
          <w:sz w:val="14"/>
          <w:szCs w:val="14"/>
        </w:rPr>
        <w:footnoteRef/>
      </w:r>
      <w:r w:rsidRPr="004A0F98">
        <w:rPr>
          <w:rFonts w:ascii="Verdana" w:hAnsi="Verdana"/>
          <w:sz w:val="14"/>
          <w:szCs w:val="14"/>
        </w:rPr>
        <w:t xml:space="preserve"> Disponible en: </w:t>
      </w:r>
      <w:hyperlink r:id="rId1" w:history="1">
        <w:r w:rsidRPr="004A0F98">
          <w:rPr>
            <w:rStyle w:val="Hipervnculo"/>
            <w:rFonts w:ascii="Verdana" w:hAnsi="Verdana"/>
            <w:sz w:val="14"/>
            <w:szCs w:val="14"/>
          </w:rPr>
          <w:t>https://www.colombiacompra.gov.co/base-conocimiento/gestion-contractual-envio-del-contrato-secop-ii</w:t>
        </w:r>
      </w:hyperlink>
      <w:r w:rsidRPr="004A0F98">
        <w:rPr>
          <w:rFonts w:ascii="Verdana" w:hAnsi="Verdana"/>
          <w:sz w:val="14"/>
          <w:szCs w:val="14"/>
        </w:rPr>
        <w:t xml:space="preserve"> </w:t>
      </w:r>
    </w:p>
  </w:footnote>
  <w:footnote w:id="3">
    <w:p w14:paraId="76ED06B0" w14:textId="77777777" w:rsidR="007942F8" w:rsidRPr="00435A6A" w:rsidRDefault="007942F8" w:rsidP="007942F8">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E268585" w14:textId="77777777" w:rsidR="007942F8" w:rsidRPr="00435A6A" w:rsidRDefault="007942F8" w:rsidP="007942F8">
      <w:pPr>
        <w:pStyle w:val="Textonotapie"/>
        <w:ind w:firstLine="709"/>
        <w:jc w:val="both"/>
        <w:rPr>
          <w:rFonts w:ascii="Verdana" w:hAnsi="Verdana" w:cs="Arial"/>
          <w:sz w:val="14"/>
          <w:szCs w:val="14"/>
        </w:rPr>
      </w:pPr>
      <w:r w:rsidRPr="00435A6A">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26DD3BA0" w14:textId="77777777" w:rsidR="007942F8" w:rsidRPr="00435A6A" w:rsidRDefault="007942F8" w:rsidP="007942F8">
      <w:pPr>
        <w:pStyle w:val="Textonotapie"/>
        <w:ind w:firstLine="709"/>
        <w:jc w:val="both"/>
        <w:rPr>
          <w:rFonts w:ascii="Verdana" w:hAnsi="Verdana" w:cs="Arial"/>
          <w:sz w:val="14"/>
          <w:szCs w:val="14"/>
        </w:rPr>
      </w:pPr>
    </w:p>
  </w:footnote>
  <w:footnote w:id="4">
    <w:p w14:paraId="104529CB" w14:textId="77777777" w:rsidR="007942F8" w:rsidRPr="00435A6A" w:rsidRDefault="007942F8" w:rsidP="007942F8">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Gaceta del Congreso de la República No. 71 del 2005.</w:t>
      </w:r>
    </w:p>
    <w:p w14:paraId="4860FADB" w14:textId="77777777" w:rsidR="007942F8" w:rsidRPr="00435A6A" w:rsidRDefault="007942F8" w:rsidP="007942F8">
      <w:pPr>
        <w:pStyle w:val="Textonotapie"/>
        <w:ind w:firstLine="709"/>
        <w:jc w:val="both"/>
        <w:rPr>
          <w:rFonts w:ascii="Verdana" w:hAnsi="Verdana" w:cs="Arial"/>
          <w:sz w:val="14"/>
          <w:szCs w:val="14"/>
        </w:rPr>
      </w:pPr>
    </w:p>
  </w:footnote>
  <w:footnote w:id="5">
    <w:p w14:paraId="4B84808B" w14:textId="77777777" w:rsidR="007942F8" w:rsidRPr="00435A6A" w:rsidRDefault="007942F8" w:rsidP="007942F8">
      <w:pPr>
        <w:pStyle w:val="Textonotapie"/>
        <w:tabs>
          <w:tab w:val="left" w:pos="8145"/>
        </w:tabs>
        <w:ind w:firstLine="709"/>
        <w:jc w:val="both"/>
        <w:rPr>
          <w:rFonts w:ascii="Verdana" w:hAnsi="Verdana" w:cs="Arial"/>
          <w:sz w:val="14"/>
          <w:szCs w:val="14"/>
          <w:lang w:val="pt-PT"/>
        </w:rPr>
      </w:pPr>
      <w:r w:rsidRPr="00435A6A">
        <w:rPr>
          <w:rStyle w:val="Refdenotaalpie"/>
          <w:rFonts w:ascii="Verdana" w:hAnsi="Verdana" w:cs="Arial"/>
          <w:sz w:val="14"/>
          <w:szCs w:val="14"/>
        </w:rPr>
        <w:footnoteRef/>
      </w:r>
      <w:r w:rsidRPr="00435A6A">
        <w:rPr>
          <w:rFonts w:ascii="Verdana" w:hAnsi="Verdana" w:cs="Arial"/>
          <w:sz w:val="14"/>
          <w:szCs w:val="14"/>
          <w:lang w:val="pt-PT"/>
        </w:rPr>
        <w:t xml:space="preserve"> Corte Constitucional. Sentencia C- 1153 de 2005, M.P: Marco Gerardo Monroy Cabra.</w:t>
      </w:r>
      <w:r w:rsidRPr="00435A6A">
        <w:rPr>
          <w:rFonts w:ascii="Verdana" w:hAnsi="Verdana" w:cs="Arial"/>
          <w:sz w:val="14"/>
          <w:szCs w:val="14"/>
          <w:lang w:val="pt-PT"/>
        </w:rPr>
        <w:tab/>
      </w:r>
    </w:p>
    <w:p w14:paraId="35443E4C" w14:textId="77777777" w:rsidR="007942F8" w:rsidRPr="00435A6A" w:rsidRDefault="007942F8" w:rsidP="007942F8">
      <w:pPr>
        <w:pStyle w:val="Textonotapie"/>
        <w:tabs>
          <w:tab w:val="left" w:pos="8145"/>
        </w:tabs>
        <w:ind w:firstLine="709"/>
        <w:jc w:val="both"/>
        <w:rPr>
          <w:rFonts w:ascii="Verdana" w:hAnsi="Verdana" w:cs="Arial"/>
          <w:sz w:val="14"/>
          <w:szCs w:val="14"/>
          <w:lang w:val="pt-PT"/>
        </w:rPr>
      </w:pPr>
    </w:p>
  </w:footnote>
  <w:footnote w:id="6">
    <w:p w14:paraId="1616AF5F" w14:textId="77777777" w:rsidR="007942F8" w:rsidRPr="00435A6A" w:rsidRDefault="007942F8" w:rsidP="007942F8">
      <w:pPr>
        <w:pStyle w:val="Textonotapie"/>
        <w:ind w:firstLine="709"/>
        <w:jc w:val="both"/>
        <w:rPr>
          <w:rFonts w:ascii="Verdana" w:hAnsi="Verdana" w:cs="Arial"/>
          <w:sz w:val="14"/>
          <w:szCs w:val="14"/>
          <w:lang w:val="pt-PT"/>
        </w:rPr>
      </w:pPr>
      <w:r w:rsidRPr="00435A6A">
        <w:rPr>
          <w:rStyle w:val="Refdenotaalpie"/>
          <w:rFonts w:ascii="Verdana" w:hAnsi="Verdana" w:cs="Arial"/>
          <w:sz w:val="14"/>
          <w:szCs w:val="14"/>
        </w:rPr>
        <w:footnoteRef/>
      </w:r>
      <w:r w:rsidRPr="00435A6A">
        <w:rPr>
          <w:rFonts w:ascii="Verdana" w:hAnsi="Verdana" w:cs="Arial"/>
          <w:sz w:val="14"/>
          <w:szCs w:val="14"/>
          <w:lang w:val="pt-PT"/>
        </w:rPr>
        <w:t xml:space="preserve"> </w:t>
      </w:r>
      <w:r w:rsidRPr="00435A6A">
        <w:rPr>
          <w:rFonts w:ascii="Verdana" w:hAnsi="Verdana" w:cs="Arial"/>
          <w:sz w:val="14"/>
          <w:szCs w:val="14"/>
          <w:lang w:val="es-CO"/>
        </w:rPr>
        <w:t xml:space="preserve">Corte Constitucional. Sentencias: C-233 de 4 de abril de 2002. M.P: Álvaro Tafur Galvis; C-551 de 9 de julio de 2003. M.P: Eduardo Montealegre </w:t>
      </w:r>
      <w:proofErr w:type="spellStart"/>
      <w:r w:rsidRPr="00435A6A">
        <w:rPr>
          <w:rFonts w:ascii="Verdana" w:hAnsi="Verdana" w:cs="Arial"/>
          <w:sz w:val="14"/>
          <w:szCs w:val="14"/>
          <w:lang w:val="es-CO"/>
        </w:rPr>
        <w:t>Lynnet</w:t>
      </w:r>
      <w:proofErr w:type="spellEnd"/>
      <w:r w:rsidRPr="00435A6A">
        <w:rPr>
          <w:rFonts w:ascii="Verdana" w:hAnsi="Verdana" w:cs="Arial"/>
          <w:sz w:val="14"/>
          <w:szCs w:val="14"/>
          <w:lang w:val="es-CO"/>
        </w:rPr>
        <w:t xml:space="preserve">; C-353 de 20 de mayo de 2009. M.P: Jorge Iván Palacio </w:t>
      </w:r>
      <w:proofErr w:type="spellStart"/>
      <w:r w:rsidRPr="00435A6A">
        <w:rPr>
          <w:rFonts w:ascii="Verdana" w:hAnsi="Verdana" w:cs="Arial"/>
          <w:sz w:val="14"/>
          <w:szCs w:val="14"/>
          <w:lang w:val="es-CO"/>
        </w:rPr>
        <w:t>Palacio</w:t>
      </w:r>
      <w:proofErr w:type="spellEnd"/>
      <w:r w:rsidRPr="00435A6A">
        <w:rPr>
          <w:rFonts w:ascii="Verdana" w:hAnsi="Verdana" w:cs="Arial"/>
          <w:sz w:val="14"/>
          <w:szCs w:val="14"/>
          <w:lang w:val="es-CO"/>
        </w:rPr>
        <w:t>; C-541 de 30 de junio de 2010. M.P: Gabriel Eduardo Mendoza Martelo; entre otras.</w:t>
      </w:r>
    </w:p>
    <w:p w14:paraId="7F52871B" w14:textId="77777777" w:rsidR="007942F8" w:rsidRPr="00435A6A" w:rsidRDefault="007942F8" w:rsidP="007942F8">
      <w:pPr>
        <w:pStyle w:val="Textonotapie"/>
        <w:ind w:firstLine="709"/>
        <w:jc w:val="both"/>
        <w:rPr>
          <w:rFonts w:ascii="Verdana" w:hAnsi="Verdana" w:cs="Arial"/>
          <w:sz w:val="14"/>
          <w:szCs w:val="14"/>
          <w:lang w:val="pt-PT"/>
        </w:rPr>
      </w:pPr>
    </w:p>
  </w:footnote>
  <w:footnote w:id="7">
    <w:p w14:paraId="1C160E79" w14:textId="77777777" w:rsidR="007942F8" w:rsidRPr="00435A6A" w:rsidRDefault="007942F8" w:rsidP="007942F8">
      <w:pPr>
        <w:pStyle w:val="Textonotapie"/>
        <w:ind w:firstLine="709"/>
        <w:jc w:val="both"/>
        <w:rPr>
          <w:rFonts w:ascii="Verdana" w:hAnsi="Verdana" w:cs="Arial"/>
          <w:sz w:val="14"/>
          <w:szCs w:val="14"/>
          <w:lang w:val="es-CO"/>
        </w:rPr>
      </w:pPr>
      <w:r w:rsidRPr="00435A6A">
        <w:rPr>
          <w:rStyle w:val="Refdenotaalpie"/>
          <w:rFonts w:ascii="Verdana" w:hAnsi="Verdana" w:cs="Arial"/>
          <w:sz w:val="14"/>
          <w:szCs w:val="14"/>
        </w:rPr>
        <w:footnoteRef/>
      </w:r>
      <w:r w:rsidRPr="00435A6A">
        <w:rPr>
          <w:rFonts w:ascii="Verdana" w:hAnsi="Verdana" w:cs="Arial"/>
          <w:sz w:val="14"/>
          <w:szCs w:val="14"/>
          <w:lang w:val="es-CO"/>
        </w:rPr>
        <w:t xml:space="preserve"> Consejo de Estado. Sala de lo Contencioso Administrativo. Sección Primera. Sentencia de 3 de marzo de 2005. Radicado: </w:t>
      </w:r>
      <w:r w:rsidRPr="00435A6A">
        <w:rPr>
          <w:rFonts w:ascii="Verdana" w:hAnsi="Verdana" w:cs="Arial"/>
          <w:sz w:val="14"/>
          <w:szCs w:val="14"/>
          <w:lang w:val="es-ES"/>
        </w:rPr>
        <w:t xml:space="preserve">25001-23-15-000-2004-00823-01 (PI). </w:t>
      </w:r>
      <w:r w:rsidRPr="00435A6A">
        <w:rPr>
          <w:rFonts w:ascii="Verdana" w:hAnsi="Verdana" w:cs="Arial"/>
          <w:sz w:val="14"/>
          <w:szCs w:val="14"/>
          <w:lang w:val="es-CO"/>
        </w:rPr>
        <w:t>C.P: Camilo Arciniegas Andrade. Ver también, de la Sección Tercera. Sentencia de 22 de enero de 2002, expediente número 2001-0148-01 y, Sección Tercera. Sentencia de 20 de noviembre de 2001, expediente número 2001-0130-01(PI), entre otras.</w:t>
      </w:r>
    </w:p>
    <w:p w14:paraId="1535EE95" w14:textId="77777777" w:rsidR="007942F8" w:rsidRPr="00435A6A" w:rsidRDefault="007942F8" w:rsidP="007942F8">
      <w:pPr>
        <w:pStyle w:val="Textonotapie"/>
        <w:ind w:firstLine="709"/>
        <w:jc w:val="both"/>
        <w:rPr>
          <w:rFonts w:ascii="Verdana" w:hAnsi="Verdana" w:cs="Arial"/>
          <w:sz w:val="14"/>
          <w:szCs w:val="14"/>
          <w:lang w:val="es-CO"/>
        </w:rPr>
      </w:pPr>
    </w:p>
  </w:footnote>
  <w:footnote w:id="8">
    <w:p w14:paraId="510E8D90" w14:textId="77777777" w:rsidR="007942F8" w:rsidRPr="00435A6A" w:rsidRDefault="007942F8" w:rsidP="007942F8">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24 de julio de 2013. Radicado: </w:t>
      </w:r>
      <w:r w:rsidRPr="00435A6A">
        <w:rPr>
          <w:rFonts w:ascii="Verdana" w:hAnsi="Verdana" w:cs="Arial"/>
          <w:sz w:val="14"/>
          <w:szCs w:val="14"/>
          <w:lang w:val="es-CO"/>
        </w:rPr>
        <w:t xml:space="preserve">11001-03-06-000-2013-00407-00 </w:t>
      </w:r>
      <w:r w:rsidRPr="00435A6A">
        <w:rPr>
          <w:rFonts w:ascii="Verdana" w:hAnsi="Verdana" w:cs="Arial"/>
          <w:sz w:val="14"/>
          <w:szCs w:val="14"/>
        </w:rPr>
        <w:t xml:space="preserve">(2166). C.P. Álvaro </w:t>
      </w:r>
      <w:proofErr w:type="spellStart"/>
      <w:r w:rsidRPr="00435A6A">
        <w:rPr>
          <w:rFonts w:ascii="Verdana" w:hAnsi="Verdana" w:cs="Arial"/>
          <w:sz w:val="14"/>
          <w:szCs w:val="14"/>
        </w:rPr>
        <w:t>Namén</w:t>
      </w:r>
      <w:proofErr w:type="spellEnd"/>
      <w:r w:rsidRPr="00435A6A">
        <w:rPr>
          <w:rFonts w:ascii="Verdana" w:hAnsi="Verdana" w:cs="Arial"/>
          <w:sz w:val="14"/>
          <w:szCs w:val="14"/>
        </w:rPr>
        <w:t xml:space="preserve"> Vargas.  </w:t>
      </w:r>
    </w:p>
    <w:p w14:paraId="3659B96F" w14:textId="77777777" w:rsidR="007942F8" w:rsidRPr="00435A6A" w:rsidRDefault="007942F8" w:rsidP="007942F8">
      <w:pPr>
        <w:pStyle w:val="Textonotapie"/>
        <w:ind w:firstLine="709"/>
        <w:jc w:val="both"/>
        <w:rPr>
          <w:rFonts w:ascii="Verdana" w:hAnsi="Verdana" w:cs="Arial"/>
          <w:sz w:val="14"/>
          <w:szCs w:val="14"/>
        </w:rPr>
      </w:pPr>
    </w:p>
  </w:footnote>
  <w:footnote w:id="9">
    <w:p w14:paraId="2B2BB549" w14:textId="77777777" w:rsidR="007942F8" w:rsidRPr="00435A6A" w:rsidRDefault="007942F8" w:rsidP="007942F8">
      <w:pPr>
        <w:spacing w:after="0" w:line="240" w:lineRule="auto"/>
        <w:ind w:firstLine="709"/>
        <w:jc w:val="both"/>
        <w:rPr>
          <w:rFonts w:ascii="Verdana" w:eastAsia="Times New Roman"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bookmarkStart w:id="3" w:name="33"/>
      <w:r w:rsidRPr="00435A6A">
        <w:rPr>
          <w:rFonts w:ascii="Verdana" w:eastAsia="Calibri" w:hAnsi="Verdana" w:cs="Arial"/>
          <w:color w:val="000000"/>
          <w:sz w:val="14"/>
          <w:szCs w:val="14"/>
        </w:rPr>
        <w:t>“</w:t>
      </w:r>
      <w:r w:rsidRPr="00435A6A">
        <w:rPr>
          <w:rFonts w:ascii="Verdana" w:eastAsia="Times New Roman" w:hAnsi="Verdana" w:cs="Arial"/>
          <w:sz w:val="14"/>
          <w:szCs w:val="14"/>
        </w:rPr>
        <w:t>Artículo 33. Restricciones a la contratación pública.</w:t>
      </w:r>
      <w:bookmarkEnd w:id="3"/>
      <w:r w:rsidRPr="00435A6A">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46D682D1" w14:textId="77777777" w:rsidR="007942F8" w:rsidRPr="00435A6A" w:rsidRDefault="007942F8" w:rsidP="007942F8">
      <w:pPr>
        <w:spacing w:after="0" w:line="240" w:lineRule="auto"/>
        <w:ind w:firstLine="709"/>
        <w:jc w:val="both"/>
        <w:rPr>
          <w:rFonts w:ascii="Verdana" w:eastAsia="Times New Roman" w:hAnsi="Verdana" w:cs="Arial"/>
          <w:sz w:val="14"/>
          <w:szCs w:val="14"/>
        </w:rPr>
      </w:pPr>
      <w:r w:rsidRPr="00435A6A">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E6568D7" w14:textId="77777777" w:rsidR="007942F8" w:rsidRPr="00435A6A" w:rsidRDefault="007942F8" w:rsidP="007942F8">
      <w:pPr>
        <w:spacing w:after="0" w:line="240" w:lineRule="auto"/>
        <w:ind w:firstLine="709"/>
        <w:jc w:val="both"/>
        <w:rPr>
          <w:rFonts w:ascii="Verdana" w:eastAsia="Times New Roman" w:hAnsi="Verdana" w:cs="Arial"/>
          <w:sz w:val="14"/>
          <w:szCs w:val="14"/>
        </w:rPr>
      </w:pPr>
    </w:p>
  </w:footnote>
  <w:footnote w:id="10">
    <w:p w14:paraId="0373BC94" w14:textId="77777777" w:rsidR="007942F8" w:rsidRPr="00435A6A" w:rsidRDefault="007942F8" w:rsidP="007942F8">
      <w:pPr>
        <w:pStyle w:val="NormalWeb"/>
        <w:spacing w:before="0" w:beforeAutospacing="0" w:after="0" w:afterAutospacing="0"/>
        <w:ind w:firstLine="709"/>
        <w:jc w:val="both"/>
        <w:rPr>
          <w:rFonts w:ascii="Verdana" w:hAnsi="Verdana" w:cs="Arial"/>
          <w:sz w:val="14"/>
          <w:szCs w:val="14"/>
          <w:lang w:val="es-MX"/>
        </w:rPr>
      </w:pPr>
      <w:r w:rsidRPr="00435A6A">
        <w:rPr>
          <w:rStyle w:val="Refdenotaalpie"/>
          <w:rFonts w:ascii="Verdana" w:eastAsiaTheme="majorEastAsia" w:hAnsi="Verdana" w:cs="Arial"/>
          <w:sz w:val="14"/>
          <w:szCs w:val="14"/>
        </w:rPr>
        <w:footnoteRef/>
      </w:r>
      <w:r w:rsidRPr="00435A6A">
        <w:rPr>
          <w:rFonts w:ascii="Verdana" w:hAnsi="Verdana" w:cs="Arial"/>
          <w:sz w:val="14"/>
          <w:szCs w:val="14"/>
        </w:rPr>
        <w:t xml:space="preserve"> </w:t>
      </w:r>
      <w:bookmarkStart w:id="4" w:name="38"/>
      <w:r w:rsidRPr="00435A6A">
        <w:rPr>
          <w:rFonts w:ascii="Verdana" w:eastAsia="Calibri" w:hAnsi="Verdana" w:cs="Arial"/>
          <w:color w:val="000000"/>
          <w:sz w:val="14"/>
          <w:szCs w:val="14"/>
        </w:rPr>
        <w:t>“</w:t>
      </w:r>
      <w:r w:rsidRPr="00435A6A">
        <w:rPr>
          <w:rFonts w:ascii="Verdana" w:hAnsi="Verdana" w:cs="Arial"/>
          <w:sz w:val="14"/>
          <w:szCs w:val="14"/>
          <w:lang w:val="es-MX"/>
        </w:rPr>
        <w:t>Artículo 38. Prohibiciones para los servidores públicos. A los empleados del Estado les está prohibido:</w:t>
      </w:r>
      <w:bookmarkEnd w:id="4"/>
    </w:p>
    <w:p w14:paraId="0A161D49" w14:textId="77777777" w:rsidR="007942F8" w:rsidRPr="00435A6A" w:rsidRDefault="007942F8" w:rsidP="007942F8">
      <w:pPr>
        <w:pStyle w:val="NormalWeb"/>
        <w:spacing w:before="0" w:beforeAutospacing="0" w:after="0" w:afterAutospacing="0"/>
        <w:ind w:firstLine="709"/>
        <w:jc w:val="both"/>
        <w:rPr>
          <w:rFonts w:ascii="Verdana" w:hAnsi="Verdana" w:cs="Arial"/>
          <w:sz w:val="14"/>
          <w:szCs w:val="14"/>
          <w:lang w:val="es-MX"/>
        </w:rPr>
      </w:pPr>
      <w:r w:rsidRPr="00435A6A">
        <w:rPr>
          <w:rFonts w:ascii="Verdana" w:hAnsi="Verdana" w:cs="Arial"/>
          <w:sz w:val="14"/>
          <w:szCs w:val="14"/>
          <w:lang w:val="es-MX"/>
        </w:rPr>
        <w:t>(…)</w:t>
      </w:r>
    </w:p>
    <w:p w14:paraId="0D6E30BF" w14:textId="77777777" w:rsidR="007942F8" w:rsidRPr="00435A6A" w:rsidRDefault="007942F8" w:rsidP="007942F8">
      <w:pPr>
        <w:pStyle w:val="NormalWeb"/>
        <w:spacing w:before="0" w:beforeAutospacing="0" w:after="0" w:afterAutospacing="0"/>
        <w:ind w:firstLine="709"/>
        <w:jc w:val="both"/>
        <w:rPr>
          <w:rFonts w:ascii="Verdana" w:eastAsia="Calibri" w:hAnsi="Verdana" w:cs="Arial"/>
          <w:color w:val="000000"/>
          <w:sz w:val="14"/>
          <w:szCs w:val="14"/>
        </w:rPr>
      </w:pPr>
      <w:r w:rsidRPr="00435A6A">
        <w:rPr>
          <w:rStyle w:val="baj"/>
          <w:rFonts w:ascii="Verdana" w:hAnsi="Verdana" w:cs="Arial"/>
          <w:sz w:val="14"/>
          <w:szCs w:val="14"/>
          <w:lang w:val="es-MX"/>
        </w:rPr>
        <w:t>Parágrafo.</w:t>
      </w:r>
      <w:r w:rsidRPr="00435A6A">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35A6A">
        <w:rPr>
          <w:rFonts w:ascii="Verdana" w:eastAsia="Calibri" w:hAnsi="Verdana" w:cs="Arial"/>
          <w:color w:val="000000"/>
          <w:sz w:val="14"/>
          <w:szCs w:val="14"/>
        </w:rPr>
        <w:t>”.</w:t>
      </w:r>
    </w:p>
    <w:p w14:paraId="5750BDD7" w14:textId="77777777" w:rsidR="007942F8" w:rsidRPr="00435A6A" w:rsidRDefault="007942F8" w:rsidP="007942F8">
      <w:pPr>
        <w:pStyle w:val="NormalWeb"/>
        <w:spacing w:before="0" w:beforeAutospacing="0" w:after="0" w:afterAutospacing="0"/>
        <w:ind w:firstLine="709"/>
        <w:jc w:val="both"/>
        <w:rPr>
          <w:rFonts w:ascii="Verdana" w:hAnsi="Verdana" w:cs="Arial"/>
          <w:sz w:val="14"/>
          <w:szCs w:val="14"/>
          <w:lang w:val="es-MX"/>
        </w:rPr>
      </w:pPr>
    </w:p>
  </w:footnote>
  <w:footnote w:id="11">
    <w:p w14:paraId="4F8FD29F" w14:textId="77777777" w:rsidR="007942F8" w:rsidRPr="00435A6A" w:rsidRDefault="007942F8" w:rsidP="007942F8">
      <w:pPr>
        <w:spacing w:after="0" w:line="240" w:lineRule="auto"/>
        <w:ind w:left="100" w:right="244"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17 de febrero de 2015. Radicado: 11001-03-06-000-2015-00164-00 (2269). C.P. William Zambrano Cetina.</w:t>
      </w:r>
    </w:p>
    <w:p w14:paraId="5B8FFEB8" w14:textId="77777777" w:rsidR="007942F8" w:rsidRPr="00435A6A" w:rsidRDefault="007942F8" w:rsidP="007942F8">
      <w:pPr>
        <w:spacing w:after="0" w:line="240" w:lineRule="auto"/>
        <w:ind w:left="100" w:right="244" w:firstLine="709"/>
        <w:jc w:val="both"/>
        <w:rPr>
          <w:rFonts w:ascii="Verdana" w:hAnsi="Verdana" w:cs="Arial"/>
          <w:sz w:val="14"/>
          <w:szCs w:val="14"/>
          <w:lang w:val="es-ES"/>
        </w:rPr>
      </w:pPr>
    </w:p>
  </w:footnote>
  <w:footnote w:id="12">
    <w:p w14:paraId="07835630" w14:textId="77777777" w:rsidR="00E959C2" w:rsidRPr="004A0F98" w:rsidRDefault="00E959C2">
      <w:pPr>
        <w:pStyle w:val="Textonotapie"/>
        <w:ind w:firstLine="708"/>
        <w:jc w:val="both"/>
        <w:rPr>
          <w:rFonts w:ascii="Verdana" w:hAnsi="Verdana" w:cs="Arial"/>
          <w:sz w:val="14"/>
          <w:szCs w:val="14"/>
        </w:rPr>
      </w:pPr>
      <w:r w:rsidRPr="004A0F98">
        <w:rPr>
          <w:rStyle w:val="Refdenotaalpie"/>
          <w:rFonts w:ascii="Verdana" w:hAnsi="Verdana" w:cs="Arial"/>
          <w:sz w:val="14"/>
          <w:szCs w:val="14"/>
        </w:rPr>
        <w:footnoteRef/>
      </w:r>
      <w:r w:rsidRPr="004A0F98">
        <w:rPr>
          <w:rFonts w:ascii="Verdana" w:hAnsi="Verdana" w:cs="Arial"/>
          <w:sz w:val="14"/>
          <w:szCs w:val="14"/>
        </w:rPr>
        <w:t xml:space="preserve"> Colombia Compra Eficiente. Circular Externa Única. Numeral 16.5. </w:t>
      </w:r>
    </w:p>
  </w:footnote>
  <w:footnote w:id="13">
    <w:p w14:paraId="3E2BB455" w14:textId="77777777" w:rsidR="007942F8" w:rsidRPr="00435A6A" w:rsidRDefault="007942F8" w:rsidP="007942F8">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[25] </w:t>
      </w:r>
      <w:r w:rsidRPr="00435A6A">
        <w:rPr>
          <w:rFonts w:ascii="Verdana" w:hAnsi="Verdana" w:cs="Arial"/>
          <w:sz w:val="14"/>
          <w:szCs w:val="14"/>
        </w:rPr>
        <w:t>Cfr. Consejo de Estado. Sección Tercera. Sentencia de 3 de diciembre de 2007. Radicados: 24.715, 25.206, 25.409, 24.524, 27.834, 25.410, 26.105, 28.244, 31.447 -acumulados</w:t>
      </w:r>
      <w:proofErr w:type="gramStart"/>
      <w:r w:rsidRPr="00435A6A">
        <w:rPr>
          <w:rFonts w:ascii="Verdana" w:hAnsi="Verdana" w:cs="Arial"/>
          <w:sz w:val="14"/>
          <w:szCs w:val="14"/>
        </w:rPr>
        <w:t>-“</w:t>
      </w:r>
      <w:proofErr w:type="gramEnd"/>
      <w:r w:rsidRPr="00435A6A">
        <w:rPr>
          <w:rFonts w:ascii="Verdana" w:hAnsi="Verdana" w:cs="Arial"/>
          <w:sz w:val="14"/>
          <w:szCs w:val="14"/>
        </w:rPr>
        <w:t>.</w:t>
      </w:r>
    </w:p>
    <w:p w14:paraId="2DB1F267" w14:textId="77777777" w:rsidR="007942F8" w:rsidRPr="00435A6A" w:rsidRDefault="007942F8" w:rsidP="007942F8">
      <w:pPr>
        <w:pStyle w:val="Textonotapie"/>
        <w:ind w:firstLine="709"/>
        <w:jc w:val="both"/>
        <w:rPr>
          <w:rFonts w:ascii="Verdana" w:hAnsi="Verdana" w:cs="Arial"/>
          <w:sz w:val="14"/>
          <w:szCs w:val="14"/>
        </w:rPr>
      </w:pPr>
    </w:p>
  </w:footnote>
  <w:footnote w:id="14">
    <w:p w14:paraId="1EAD24E0" w14:textId="77777777" w:rsidR="007942F8" w:rsidRPr="00435A6A" w:rsidRDefault="007942F8" w:rsidP="007942F8">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bookmarkStart w:id="12" w:name="_Hlk74294506"/>
      <w:r w:rsidRPr="00435A6A">
        <w:rPr>
          <w:rFonts w:ascii="Verdana" w:hAnsi="Verdana" w:cs="Arial"/>
          <w:sz w:val="14"/>
          <w:szCs w:val="14"/>
        </w:rPr>
        <w:t>“</w:t>
      </w:r>
      <w:r w:rsidRPr="00435A6A">
        <w:rPr>
          <w:rFonts w:ascii="Verdana" w:hAnsi="Verdana" w:cs="Arial"/>
          <w:sz w:val="14"/>
          <w:szCs w:val="14"/>
          <w:lang w:val="es-ES"/>
        </w:rPr>
        <w:t xml:space="preserve">[26] </w:t>
      </w:r>
      <w:bookmarkEnd w:id="12"/>
      <w:r w:rsidRPr="00435A6A">
        <w:rPr>
          <w:rFonts w:ascii="Verdana" w:hAnsi="Verdana" w:cs="Arial"/>
          <w:sz w:val="14"/>
          <w:szCs w:val="14"/>
        </w:rPr>
        <w:t>Al respecto ver el concepto 1712 de 2 de febrero de 2006. Consejo de Estado Sala de Consulta y Servicio Civil”.</w:t>
      </w:r>
    </w:p>
    <w:p w14:paraId="736C557A" w14:textId="77777777" w:rsidR="007942F8" w:rsidRPr="00435A6A" w:rsidRDefault="007942F8" w:rsidP="007942F8">
      <w:pPr>
        <w:pStyle w:val="Textonotapie"/>
        <w:ind w:firstLine="709"/>
        <w:jc w:val="both"/>
        <w:rPr>
          <w:rFonts w:ascii="Verdana" w:hAnsi="Verdana" w:cs="Arial"/>
          <w:sz w:val="14"/>
          <w:szCs w:val="14"/>
        </w:rPr>
      </w:pPr>
    </w:p>
  </w:footnote>
  <w:footnote w:id="15">
    <w:p w14:paraId="1E181AB0" w14:textId="77777777" w:rsidR="007942F8" w:rsidRPr="00435A6A" w:rsidRDefault="007942F8" w:rsidP="007942F8">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2 de septiembre de 2013. Radicación número: 11001-03-06-000-2013-00412-00 (2168). C.P: Álvaro </w:t>
      </w:r>
      <w:proofErr w:type="spellStart"/>
      <w:r w:rsidRPr="00435A6A">
        <w:rPr>
          <w:rFonts w:ascii="Verdana" w:hAnsi="Verdana" w:cs="Arial"/>
          <w:sz w:val="14"/>
          <w:szCs w:val="14"/>
        </w:rPr>
        <w:t>Namén</w:t>
      </w:r>
      <w:proofErr w:type="spellEnd"/>
      <w:r w:rsidRPr="00435A6A">
        <w:rPr>
          <w:rFonts w:ascii="Verdana" w:hAnsi="Verdana" w:cs="Arial"/>
          <w:sz w:val="14"/>
          <w:szCs w:val="14"/>
        </w:rPr>
        <w:t xml:space="preserve"> Vargas.</w:t>
      </w:r>
    </w:p>
    <w:p w14:paraId="1DC4A509" w14:textId="77777777" w:rsidR="007942F8" w:rsidRPr="00435A6A" w:rsidRDefault="007942F8" w:rsidP="007942F8">
      <w:pPr>
        <w:pStyle w:val="Textonotapie"/>
        <w:ind w:firstLine="709"/>
        <w:jc w:val="both"/>
        <w:rPr>
          <w:rFonts w:ascii="Verdana" w:hAnsi="Verdana" w:cs="Arial"/>
          <w:sz w:val="14"/>
          <w:szCs w:val="14"/>
        </w:rPr>
      </w:pPr>
    </w:p>
  </w:footnote>
  <w:footnote w:id="16">
    <w:p w14:paraId="1BFC0E9B" w14:textId="77777777" w:rsidR="007942F8" w:rsidRPr="00435A6A" w:rsidRDefault="007942F8" w:rsidP="004A0F98">
      <w:pPr>
        <w:pStyle w:val="Textonotapie"/>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Artículo 2. </w:t>
      </w:r>
    </w:p>
    <w:p w14:paraId="2FC91CF6" w14:textId="77777777" w:rsidR="007942F8" w:rsidRPr="00435A6A" w:rsidRDefault="007942F8" w:rsidP="004A0F98">
      <w:pPr>
        <w:pStyle w:val="Textonotapie"/>
        <w:ind w:firstLine="709"/>
        <w:jc w:val="both"/>
        <w:rPr>
          <w:rFonts w:ascii="Verdana" w:hAnsi="Verdana" w:cs="Arial"/>
          <w:sz w:val="14"/>
          <w:szCs w:val="14"/>
          <w:lang w:val="es-ES"/>
        </w:rPr>
      </w:pPr>
    </w:p>
  </w:footnote>
  <w:footnote w:id="17">
    <w:p w14:paraId="5168DC3D" w14:textId="77777777" w:rsidR="007942F8" w:rsidRDefault="007942F8" w:rsidP="004A0F98">
      <w:pPr>
        <w:pStyle w:val="Textonotapie"/>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i/>
          <w:sz w:val="14"/>
          <w:szCs w:val="14"/>
          <w:lang w:val="es-ES"/>
        </w:rPr>
        <w:t>Ídem</w:t>
      </w:r>
      <w:r w:rsidRPr="00435A6A">
        <w:rPr>
          <w:rFonts w:ascii="Verdana" w:hAnsi="Verdana" w:cs="Arial"/>
          <w:sz w:val="14"/>
          <w:szCs w:val="14"/>
          <w:lang w:val="es-ES"/>
        </w:rPr>
        <w:t>.</w:t>
      </w:r>
    </w:p>
    <w:p w14:paraId="3ED5E5F4" w14:textId="77777777" w:rsidR="007942F8" w:rsidRPr="00435A6A" w:rsidRDefault="007942F8" w:rsidP="004A0F98">
      <w:pPr>
        <w:pStyle w:val="Textonotapie"/>
        <w:ind w:firstLine="709"/>
        <w:jc w:val="both"/>
        <w:rPr>
          <w:rFonts w:ascii="Verdana" w:hAnsi="Verdana" w:cs="Arial"/>
          <w:sz w:val="14"/>
          <w:szCs w:val="14"/>
          <w:lang w:val="es-ES"/>
        </w:rPr>
      </w:pPr>
    </w:p>
  </w:footnote>
  <w:footnote w:id="18">
    <w:p w14:paraId="2EE39AA8" w14:textId="77777777" w:rsidR="007942F8" w:rsidRPr="00435A6A" w:rsidRDefault="007942F8" w:rsidP="004A0F98">
      <w:pPr>
        <w:pStyle w:val="Textonotapie"/>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Style w:val="Refdenotaalpie"/>
          <w:rFonts w:ascii="Verdana" w:hAnsi="Verdana" w:cs="Arial"/>
          <w:sz w:val="14"/>
          <w:szCs w:val="14"/>
        </w:rPr>
        <w:t xml:space="preserve"> </w:t>
      </w:r>
      <w:r w:rsidRPr="00435A6A">
        <w:rPr>
          <w:rFonts w:ascii="Verdana" w:hAnsi="Verdana" w:cs="Arial"/>
          <w:sz w:val="14"/>
          <w:szCs w:val="14"/>
          <w:lang w:val="es-ES"/>
        </w:rPr>
        <w:t xml:space="preserve">[…] A este respecto, cabe recordar que el artículo 860 del Código de Comercio regula la licitación en el derecho privado. </w:t>
      </w:r>
    </w:p>
    <w:p w14:paraId="6CB0F0C7" w14:textId="77777777" w:rsidR="007942F8" w:rsidRPr="00435A6A" w:rsidRDefault="007942F8" w:rsidP="004A0F98">
      <w:pPr>
        <w:pStyle w:val="Textonotapie"/>
        <w:ind w:firstLine="709"/>
        <w:jc w:val="both"/>
        <w:rPr>
          <w:rFonts w:ascii="Verdana" w:hAnsi="Verdana" w:cs="Arial"/>
          <w:sz w:val="14"/>
          <w:szCs w:val="14"/>
          <w:lang w:val="es-ES"/>
        </w:rPr>
      </w:pPr>
    </w:p>
  </w:footnote>
  <w:footnote w:id="19">
    <w:p w14:paraId="5B11E2A6" w14:textId="77777777" w:rsidR="007942F8" w:rsidRPr="00435A6A" w:rsidRDefault="007942F8" w:rsidP="007942F8">
      <w:pPr>
        <w:shd w:val="clear" w:color="auto" w:fill="FFFFFF"/>
        <w:spacing w:after="0" w:line="240" w:lineRule="auto"/>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Style w:val="Refdenotaalpie"/>
          <w:rFonts w:ascii="Verdana" w:hAnsi="Verdana" w:cs="Arial"/>
          <w:sz w:val="14"/>
          <w:szCs w:val="14"/>
        </w:rPr>
        <w:t xml:space="preserve"> </w:t>
      </w:r>
      <w:r w:rsidRPr="00435A6A">
        <w:rPr>
          <w:rFonts w:ascii="Verdana" w:hAnsi="Verdana" w:cs="Arial"/>
          <w:sz w:val="14"/>
          <w:szCs w:val="14"/>
          <w:lang w:val="es-ES"/>
        </w:rPr>
        <w:t xml:space="preserve">Consejo de Estado. Sala de Consulta y Servicio Civil, Concepto de 8 de mayo de 2018. Radicación Número: 11001-03-06-000-2018-00095-00 (2382). C.P: Álvaro </w:t>
      </w:r>
      <w:proofErr w:type="spellStart"/>
      <w:r w:rsidRPr="00435A6A">
        <w:rPr>
          <w:rFonts w:ascii="Verdana" w:hAnsi="Verdana" w:cs="Arial"/>
          <w:sz w:val="14"/>
          <w:szCs w:val="14"/>
          <w:lang w:val="es-ES"/>
        </w:rPr>
        <w:t>Namén</w:t>
      </w:r>
      <w:proofErr w:type="spellEnd"/>
      <w:r w:rsidRPr="00435A6A">
        <w:rPr>
          <w:rFonts w:ascii="Verdana" w:hAnsi="Verdana" w:cs="Arial"/>
          <w:sz w:val="14"/>
          <w:szCs w:val="14"/>
          <w:lang w:val="es-ES"/>
        </w:rPr>
        <w:t xml:space="preserve"> Vargas.</w:t>
      </w:r>
    </w:p>
    <w:p w14:paraId="5830EAEC" w14:textId="77777777" w:rsidR="007942F8" w:rsidRPr="00435A6A" w:rsidRDefault="007942F8" w:rsidP="007942F8">
      <w:pPr>
        <w:shd w:val="clear" w:color="auto" w:fill="FFFFFF"/>
        <w:spacing w:after="0" w:line="240" w:lineRule="auto"/>
        <w:ind w:firstLine="709"/>
        <w:jc w:val="both"/>
        <w:rPr>
          <w:rFonts w:ascii="Verdana" w:hAnsi="Verdana" w:cs="Arial"/>
          <w:sz w:val="14"/>
          <w:szCs w:val="14"/>
          <w:lang w:val="es-ES"/>
        </w:rPr>
      </w:pPr>
    </w:p>
  </w:footnote>
  <w:footnote w:id="20">
    <w:p w14:paraId="67B139CC" w14:textId="77777777" w:rsidR="007942F8" w:rsidRPr="00435A6A" w:rsidRDefault="007942F8" w:rsidP="007942F8">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08 de mayo de 2018. </w:t>
      </w:r>
      <w:proofErr w:type="spellStart"/>
      <w:r w:rsidRPr="00435A6A">
        <w:rPr>
          <w:rFonts w:ascii="Verdana" w:hAnsi="Verdana" w:cs="Arial"/>
          <w:sz w:val="14"/>
          <w:szCs w:val="14"/>
        </w:rPr>
        <w:t>Exp</w:t>
      </w:r>
      <w:proofErr w:type="spellEnd"/>
      <w:r w:rsidRPr="00435A6A">
        <w:rPr>
          <w:rFonts w:ascii="Verdana" w:hAnsi="Verdana" w:cs="Arial"/>
          <w:sz w:val="14"/>
          <w:szCs w:val="14"/>
        </w:rPr>
        <w:t xml:space="preserve">. 2.382. C.P. Álvaro </w:t>
      </w:r>
      <w:proofErr w:type="spellStart"/>
      <w:r w:rsidRPr="00435A6A">
        <w:rPr>
          <w:rFonts w:ascii="Verdana" w:hAnsi="Verdana" w:cs="Arial"/>
          <w:sz w:val="14"/>
          <w:szCs w:val="14"/>
        </w:rPr>
        <w:t>Namén</w:t>
      </w:r>
      <w:proofErr w:type="spellEnd"/>
      <w:r w:rsidRPr="00435A6A">
        <w:rPr>
          <w:rFonts w:ascii="Verdana" w:hAnsi="Verdana" w:cs="Arial"/>
          <w:sz w:val="14"/>
          <w:szCs w:val="14"/>
        </w:rPr>
        <w:t xml:space="preserve"> Vargas.</w:t>
      </w:r>
    </w:p>
    <w:p w14:paraId="15032DB0" w14:textId="77777777" w:rsidR="007942F8" w:rsidRPr="00435A6A" w:rsidRDefault="007942F8" w:rsidP="007942F8">
      <w:pPr>
        <w:pStyle w:val="Textonotapie"/>
        <w:ind w:firstLine="709"/>
        <w:jc w:val="both"/>
        <w:rPr>
          <w:rFonts w:ascii="Verdana" w:hAnsi="Verdana" w:cs="Arial"/>
          <w:sz w:val="14"/>
          <w:szCs w:val="14"/>
        </w:rPr>
      </w:pPr>
    </w:p>
  </w:footnote>
  <w:footnote w:id="21">
    <w:p w14:paraId="35FC85F7" w14:textId="77777777" w:rsidR="007942F8" w:rsidRPr="00435A6A" w:rsidRDefault="007942F8" w:rsidP="007942F8">
      <w:pPr>
        <w:spacing w:after="0" w:line="240" w:lineRule="auto"/>
        <w:ind w:firstLine="709"/>
        <w:jc w:val="both"/>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33AC2415" w14:textId="77777777" w:rsidR="007942F8" w:rsidRPr="00435A6A" w:rsidRDefault="007942F8" w:rsidP="007942F8">
      <w:pPr>
        <w:spacing w:after="0" w:line="240" w:lineRule="auto"/>
        <w:ind w:firstLine="709"/>
        <w:jc w:val="both"/>
        <w:rPr>
          <w:rFonts w:ascii="Verdana" w:hAnsi="Verdana" w:cs="Arial"/>
          <w:color w:val="000000" w:themeColor="text1"/>
          <w:sz w:val="14"/>
          <w:szCs w:val="14"/>
        </w:rPr>
      </w:pPr>
    </w:p>
  </w:footnote>
  <w:footnote w:id="22">
    <w:p w14:paraId="6DF0FAD0" w14:textId="77777777" w:rsidR="007942F8" w:rsidRPr="00435A6A" w:rsidRDefault="007942F8" w:rsidP="007942F8">
      <w:pPr>
        <w:pStyle w:val="Textonotapie"/>
        <w:ind w:firstLine="709"/>
        <w:jc w:val="both"/>
        <w:rPr>
          <w:rFonts w:ascii="Verdana" w:eastAsia="Times New Roman" w:hAnsi="Verdana" w:cs="Arial"/>
          <w:color w:val="000000" w:themeColor="text1"/>
          <w:sz w:val="14"/>
          <w:szCs w:val="14"/>
          <w:lang w:eastAsia="x-none"/>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6 de abril de 2006. Radicación Número: 11001-03-06-000-2006-00038-00 (1738). C.P: Enrique José Arboleda Perdomo:</w:t>
      </w:r>
      <w:r w:rsidRPr="00435A6A">
        <w:rPr>
          <w:rFonts w:ascii="Verdana" w:eastAsia="Times New Roman" w:hAnsi="Verdana" w:cs="Arial"/>
          <w:color w:val="000000" w:themeColor="text1"/>
          <w:sz w:val="14"/>
          <w:szCs w:val="14"/>
          <w:lang w:eastAsia="x-none"/>
        </w:rPr>
        <w:t xml:space="preserve"> </w:t>
      </w:r>
      <w:bookmarkStart w:id="16" w:name="_Hlk97890572"/>
      <w:r w:rsidRPr="00435A6A">
        <w:rPr>
          <w:rFonts w:ascii="Verdana" w:eastAsia="Times New Roman" w:hAnsi="Verdana" w:cs="Arial"/>
          <w:color w:val="000000" w:themeColor="text1"/>
          <w:sz w:val="14"/>
          <w:szCs w:val="14"/>
          <w:lang w:eastAsia="x-none"/>
        </w:rPr>
        <w:t>“</w:t>
      </w:r>
      <w:r w:rsidRPr="00435A6A">
        <w:rPr>
          <w:rFonts w:ascii="Verdana" w:hAnsi="Verdana" w:cs="Arial"/>
          <w:color w:val="000000" w:themeColor="text1"/>
          <w:sz w:val="14"/>
          <w:szCs w:val="14"/>
        </w:rPr>
        <w:t xml:space="preserve">Si bien en el tema del concepto del que se extractaron </w:t>
      </w:r>
      <w:bookmarkEnd w:id="16"/>
      <w:r w:rsidRPr="00435A6A">
        <w:rPr>
          <w:rFonts w:ascii="Verdana" w:hAnsi="Verdana" w:cs="Arial"/>
          <w:color w:val="000000" w:themeColor="text1"/>
          <w:sz w:val="14"/>
          <w:szCs w:val="14"/>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435A6A">
        <w:rPr>
          <w:rFonts w:ascii="Verdana" w:eastAsia="Times New Roman" w:hAnsi="Verdana" w:cs="Arial"/>
          <w:color w:val="000000" w:themeColor="text1"/>
          <w:sz w:val="14"/>
          <w:szCs w:val="14"/>
          <w:lang w:eastAsia="x-none"/>
        </w:rPr>
        <w:t>”.</w:t>
      </w:r>
    </w:p>
    <w:p w14:paraId="50D2FED0" w14:textId="77777777" w:rsidR="007942F8" w:rsidRPr="00435A6A" w:rsidRDefault="007942F8" w:rsidP="007942F8">
      <w:pPr>
        <w:pStyle w:val="Textonotapie"/>
        <w:ind w:firstLine="709"/>
        <w:jc w:val="both"/>
        <w:rPr>
          <w:rFonts w:ascii="Verdana" w:hAnsi="Verdana" w:cs="Arial"/>
          <w:color w:val="000000" w:themeColor="text1"/>
          <w:sz w:val="14"/>
          <w:szCs w:val="14"/>
        </w:rPr>
      </w:pPr>
    </w:p>
  </w:footnote>
  <w:footnote w:id="23">
    <w:p w14:paraId="49865824" w14:textId="77777777" w:rsidR="007942F8" w:rsidRDefault="007942F8" w:rsidP="007942F8">
      <w:pPr>
        <w:spacing w:after="0" w:line="240" w:lineRule="auto"/>
        <w:ind w:firstLine="709"/>
        <w:jc w:val="both"/>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6 de abril de 2006. Radicación Número: 11001-03-06-000-2006-00038-00(1738). C.P: Enrique José Arboleda Perdomo. </w:t>
      </w:r>
    </w:p>
    <w:p w14:paraId="41F02A1B" w14:textId="77777777" w:rsidR="007942F8" w:rsidRPr="00435A6A" w:rsidRDefault="007942F8" w:rsidP="007942F8">
      <w:pPr>
        <w:spacing w:after="0" w:line="240" w:lineRule="auto"/>
        <w:ind w:firstLine="709"/>
        <w:jc w:val="both"/>
        <w:rPr>
          <w:rFonts w:ascii="Verdana" w:hAnsi="Verdana" w:cs="Arial"/>
          <w:color w:val="000000" w:themeColor="text1"/>
          <w:sz w:val="14"/>
          <w:szCs w:val="14"/>
        </w:rPr>
      </w:pPr>
    </w:p>
  </w:footnote>
  <w:footnote w:id="24">
    <w:p w14:paraId="358C1D29" w14:textId="77777777" w:rsidR="007942F8" w:rsidRPr="00435A6A" w:rsidRDefault="007942F8" w:rsidP="004A0F98">
      <w:pPr>
        <w:pStyle w:val="Textonotapie"/>
        <w:ind w:firstLine="709"/>
        <w:jc w:val="both"/>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ídem.</w:t>
      </w:r>
    </w:p>
    <w:p w14:paraId="5B476F15" w14:textId="77777777" w:rsidR="007942F8" w:rsidRPr="003A04BF" w:rsidRDefault="007942F8" w:rsidP="004A0F98">
      <w:pPr>
        <w:pStyle w:val="Textonotapie"/>
        <w:ind w:firstLine="709"/>
        <w:jc w:val="both"/>
        <w:rPr>
          <w:rFonts w:ascii="Verdana" w:hAnsi="Verdana" w:cs="Arial"/>
          <w:color w:val="000000" w:themeColor="text1"/>
          <w:sz w:val="14"/>
          <w:szCs w:val="14"/>
        </w:rPr>
      </w:pPr>
    </w:p>
  </w:footnote>
  <w:footnote w:id="25">
    <w:p w14:paraId="49876FF4" w14:textId="5B35635E" w:rsidR="00E959C2" w:rsidRDefault="00E959C2" w:rsidP="00771345">
      <w:pPr>
        <w:pStyle w:val="Textonotapie"/>
        <w:ind w:firstLine="709"/>
        <w:jc w:val="both"/>
        <w:rPr>
          <w:rFonts w:ascii="Verdana" w:hAnsi="Verdana"/>
          <w:sz w:val="14"/>
          <w:szCs w:val="14"/>
          <w:lang w:val="es-CO"/>
        </w:rPr>
      </w:pPr>
      <w:r w:rsidRPr="004A0F98">
        <w:rPr>
          <w:rStyle w:val="Refdenotaalpie"/>
          <w:rFonts w:ascii="Verdana" w:hAnsi="Verdana"/>
          <w:sz w:val="14"/>
          <w:szCs w:val="14"/>
        </w:rPr>
        <w:footnoteRef/>
      </w:r>
      <w:r w:rsidRPr="004A0F98">
        <w:rPr>
          <w:rFonts w:ascii="Verdana" w:hAnsi="Verdana"/>
          <w:sz w:val="14"/>
          <w:szCs w:val="14"/>
        </w:rPr>
        <w:t xml:space="preserve"> </w:t>
      </w:r>
      <w:r w:rsidRPr="00771345">
        <w:rPr>
          <w:rFonts w:ascii="Verdana" w:hAnsi="Verdana"/>
          <w:sz w:val="14"/>
          <w:szCs w:val="14"/>
          <w:lang w:val="es-CO"/>
        </w:rPr>
        <w:t xml:space="preserve">Disponible en: </w:t>
      </w:r>
      <w:hyperlink r:id="rId2" w:history="1">
        <w:r w:rsidRPr="00771345">
          <w:rPr>
            <w:rStyle w:val="Hipervnculo"/>
            <w:rFonts w:ascii="Verdana" w:hAnsi="Verdana"/>
            <w:sz w:val="14"/>
            <w:szCs w:val="14"/>
            <w:lang w:val="es-CO"/>
          </w:rPr>
          <w:t>https://www.colombiacompra.gov.co/node/23710</w:t>
        </w:r>
      </w:hyperlink>
      <w:r w:rsidRPr="004A0F98">
        <w:rPr>
          <w:rFonts w:ascii="Verdana" w:hAnsi="Verdana"/>
          <w:sz w:val="14"/>
          <w:szCs w:val="14"/>
          <w:lang w:val="es-CO"/>
        </w:rPr>
        <w:t xml:space="preserve"> </w:t>
      </w:r>
    </w:p>
    <w:p w14:paraId="2A3206AF" w14:textId="77777777" w:rsidR="00771345" w:rsidRPr="004A0F98" w:rsidRDefault="00771345" w:rsidP="004A0F98">
      <w:pPr>
        <w:pStyle w:val="Textonotapie"/>
        <w:ind w:firstLine="709"/>
        <w:jc w:val="both"/>
        <w:rPr>
          <w:rFonts w:ascii="Verdana" w:hAnsi="Verdana"/>
          <w:sz w:val="14"/>
          <w:szCs w:val="14"/>
          <w:lang w:val="es-CO"/>
        </w:rPr>
      </w:pPr>
    </w:p>
  </w:footnote>
  <w:footnote w:id="26">
    <w:p w14:paraId="6BDEBFF3" w14:textId="5C3732E0" w:rsidR="00E959C2" w:rsidRDefault="00E959C2" w:rsidP="00771345">
      <w:pPr>
        <w:pStyle w:val="Textonotapie"/>
        <w:ind w:firstLine="709"/>
        <w:jc w:val="both"/>
        <w:rPr>
          <w:rFonts w:ascii="Verdana" w:hAnsi="Verdana"/>
          <w:sz w:val="14"/>
          <w:szCs w:val="14"/>
        </w:rPr>
      </w:pPr>
      <w:r w:rsidRPr="004A0F98">
        <w:rPr>
          <w:rStyle w:val="Refdenotaalpie"/>
          <w:rFonts w:ascii="Verdana" w:hAnsi="Verdana"/>
          <w:sz w:val="14"/>
          <w:szCs w:val="14"/>
        </w:rPr>
        <w:footnoteRef/>
      </w:r>
      <w:r w:rsidRPr="004A0F98">
        <w:rPr>
          <w:rFonts w:ascii="Verdana" w:hAnsi="Verdana"/>
          <w:sz w:val="14"/>
          <w:szCs w:val="14"/>
        </w:rPr>
        <w:t xml:space="preserve"> Disponible en: </w:t>
      </w:r>
      <w:hyperlink r:id="rId3" w:history="1">
        <w:r w:rsidRPr="004A0F98">
          <w:rPr>
            <w:rStyle w:val="Hipervnculo"/>
            <w:rFonts w:ascii="Verdana" w:hAnsi="Verdana"/>
            <w:sz w:val="14"/>
            <w:szCs w:val="14"/>
          </w:rPr>
          <w:t>https://www.colombiacompra.gov.co/base-conocimiento/gestion-contractual-envio-del-contrato-secop-ii</w:t>
        </w:r>
      </w:hyperlink>
      <w:r w:rsidRPr="004A0F98">
        <w:rPr>
          <w:rFonts w:ascii="Verdana" w:hAnsi="Verdana"/>
          <w:sz w:val="14"/>
          <w:szCs w:val="14"/>
        </w:rPr>
        <w:t xml:space="preserve"> </w:t>
      </w:r>
    </w:p>
    <w:p w14:paraId="4CA7AA45" w14:textId="77777777" w:rsidR="00771345" w:rsidRPr="004A0F98" w:rsidRDefault="00771345" w:rsidP="00771345">
      <w:pPr>
        <w:pStyle w:val="Textonotapie"/>
        <w:ind w:firstLine="709"/>
        <w:jc w:val="both"/>
        <w:rPr>
          <w:rFonts w:ascii="Verdana" w:hAnsi="Verdana"/>
          <w:sz w:val="14"/>
          <w:szCs w:val="14"/>
          <w:lang w:val="es-CO"/>
        </w:rPr>
      </w:pPr>
    </w:p>
  </w:footnote>
  <w:footnote w:id="27">
    <w:p w14:paraId="5B76C516" w14:textId="573BEC50" w:rsidR="00E959C2" w:rsidRDefault="00E959C2" w:rsidP="00771345">
      <w:pPr>
        <w:pStyle w:val="Textonotapie"/>
        <w:ind w:firstLine="709"/>
        <w:jc w:val="both"/>
        <w:rPr>
          <w:rFonts w:ascii="Verdana" w:hAnsi="Verdana"/>
          <w:sz w:val="14"/>
          <w:szCs w:val="14"/>
          <w:lang w:val="es-CO"/>
        </w:rPr>
      </w:pPr>
      <w:r w:rsidRPr="004A0F98">
        <w:rPr>
          <w:rStyle w:val="Refdenotaalpie"/>
          <w:rFonts w:ascii="Verdana" w:hAnsi="Verdana"/>
          <w:sz w:val="14"/>
          <w:szCs w:val="14"/>
        </w:rPr>
        <w:footnoteRef/>
      </w:r>
      <w:r w:rsidRPr="004A0F98">
        <w:rPr>
          <w:rFonts w:ascii="Verdana" w:hAnsi="Verdana"/>
          <w:sz w:val="14"/>
          <w:szCs w:val="14"/>
        </w:rPr>
        <w:t xml:space="preserve"> </w:t>
      </w:r>
      <w:r w:rsidRPr="004A0F98">
        <w:rPr>
          <w:rFonts w:ascii="Verdana" w:hAnsi="Verdana"/>
          <w:sz w:val="14"/>
          <w:szCs w:val="14"/>
          <w:lang w:val="es-CO"/>
        </w:rPr>
        <w:t>Son secuencias para la aprobación de algunas tareas asignadas a los miembros del Equipo del Proceso de contratación, que por su relevancia requieren ser autorizadas por uno o varios usuarios de la Entidad Estatal (ej. publicación de pliegos definitivos, publicación del informe de evaluación, adendas, aprobación del contrato, etc.). El usuario administrador puede configurar plantillas tipo con secuencias de aprobación que use de manera frecuente (ej. primero aprueba el secretario general y luego el director general).</w:t>
      </w:r>
      <w:r w:rsidRPr="004A0F98">
        <w:rPr>
          <w:rFonts w:ascii="Verdana" w:hAnsi="Verdana"/>
          <w:sz w:val="14"/>
          <w:szCs w:val="14"/>
        </w:rPr>
        <w:t xml:space="preserve"> </w:t>
      </w:r>
      <w:hyperlink r:id="rId4" w:history="1">
        <w:r w:rsidRPr="004A0F98">
          <w:rPr>
            <w:rStyle w:val="Hipervnculo"/>
            <w:rFonts w:ascii="Verdana" w:hAnsi="Verdana"/>
            <w:sz w:val="14"/>
            <w:szCs w:val="14"/>
            <w:lang w:val="es-CO"/>
          </w:rPr>
          <w:t>https://www.colombiacompra.gov.co/base-conocimiento/configuracion-de-cuentas-secop-ii</w:t>
        </w:r>
      </w:hyperlink>
      <w:r w:rsidRPr="004A0F98">
        <w:rPr>
          <w:rFonts w:ascii="Verdana" w:hAnsi="Verdana"/>
          <w:sz w:val="14"/>
          <w:szCs w:val="14"/>
          <w:lang w:val="es-CO"/>
        </w:rPr>
        <w:t xml:space="preserve"> </w:t>
      </w:r>
    </w:p>
    <w:p w14:paraId="30E58B56" w14:textId="77777777" w:rsidR="00771345" w:rsidRPr="004A0F98" w:rsidRDefault="00771345" w:rsidP="00771345">
      <w:pPr>
        <w:pStyle w:val="Textonotapie"/>
        <w:ind w:firstLine="709"/>
        <w:jc w:val="both"/>
        <w:rPr>
          <w:rFonts w:ascii="Verdana" w:hAnsi="Verdana"/>
          <w:sz w:val="14"/>
          <w:szCs w:val="14"/>
          <w:lang w:val="es-CO"/>
        </w:rPr>
      </w:pPr>
    </w:p>
  </w:footnote>
  <w:footnote w:id="28">
    <w:p w14:paraId="7673C7E9" w14:textId="77777777" w:rsidR="00E959C2" w:rsidRPr="004A0F98" w:rsidRDefault="00E959C2" w:rsidP="00771345">
      <w:pPr>
        <w:spacing w:after="0" w:line="240" w:lineRule="auto"/>
        <w:ind w:firstLine="707"/>
        <w:jc w:val="both"/>
        <w:rPr>
          <w:rFonts w:ascii="Verdana" w:hAnsi="Verdana" w:cs="Arial"/>
          <w:sz w:val="14"/>
          <w:szCs w:val="14"/>
        </w:rPr>
      </w:pPr>
      <w:r w:rsidRPr="004A0F98">
        <w:rPr>
          <w:rStyle w:val="Refdenotaalpie"/>
          <w:rFonts w:ascii="Verdana" w:hAnsi="Verdana" w:cs="Arial"/>
          <w:sz w:val="14"/>
          <w:szCs w:val="14"/>
        </w:rPr>
        <w:footnoteRef/>
      </w:r>
      <w:r w:rsidRPr="004A0F98">
        <w:rPr>
          <w:rFonts w:ascii="Verdana" w:hAnsi="Verdana" w:cs="Arial"/>
          <w:sz w:val="14"/>
          <w:szCs w:val="14"/>
        </w:rPr>
        <w:t xml:space="preserve"> “Artículo 44. Los contratos del Estado son absolutamente nulos en los casos previstos en el derecho común y además cuando:</w:t>
      </w:r>
    </w:p>
    <w:p w14:paraId="52C93D90" w14:textId="77777777" w:rsidR="00E959C2" w:rsidRPr="004A0F98" w:rsidRDefault="00E959C2">
      <w:pPr>
        <w:spacing w:after="0" w:line="240" w:lineRule="auto"/>
        <w:ind w:firstLine="708"/>
        <w:jc w:val="both"/>
        <w:rPr>
          <w:rFonts w:ascii="Verdana" w:hAnsi="Verdana" w:cs="Arial"/>
          <w:sz w:val="14"/>
          <w:szCs w:val="14"/>
        </w:rPr>
      </w:pPr>
      <w:r w:rsidRPr="004A0F98">
        <w:rPr>
          <w:rFonts w:ascii="Verdana" w:hAnsi="Verdana" w:cs="Arial"/>
          <w:sz w:val="14"/>
          <w:szCs w:val="14"/>
        </w:rPr>
        <w:t>1o. Se celebren con personas incursas en causales de inhabilidad o incompatibilidad previstas en la Constitución y la ley;</w:t>
      </w:r>
    </w:p>
    <w:p w14:paraId="0D4BAA56" w14:textId="77777777" w:rsidR="00E959C2" w:rsidRPr="004A0F98" w:rsidRDefault="00E959C2">
      <w:pPr>
        <w:spacing w:after="0" w:line="240" w:lineRule="auto"/>
        <w:ind w:firstLine="708"/>
        <w:jc w:val="both"/>
        <w:rPr>
          <w:rFonts w:ascii="Verdana" w:hAnsi="Verdana" w:cs="Arial"/>
          <w:sz w:val="14"/>
          <w:szCs w:val="14"/>
        </w:rPr>
      </w:pPr>
      <w:r w:rsidRPr="004A0F98">
        <w:rPr>
          <w:rFonts w:ascii="Verdana" w:hAnsi="Verdana" w:cs="Arial"/>
          <w:sz w:val="14"/>
          <w:szCs w:val="14"/>
        </w:rPr>
        <w:t xml:space="preserve">2o. Se celebren contra expresa prohibición constitucional o legal; </w:t>
      </w:r>
    </w:p>
    <w:p w14:paraId="2AD263BC" w14:textId="77777777" w:rsidR="00E959C2" w:rsidRPr="004A0F98" w:rsidRDefault="00E959C2">
      <w:pPr>
        <w:spacing w:after="0" w:line="240" w:lineRule="auto"/>
        <w:ind w:firstLine="708"/>
        <w:jc w:val="both"/>
        <w:rPr>
          <w:rFonts w:ascii="Verdana" w:hAnsi="Verdana" w:cs="Arial"/>
          <w:sz w:val="14"/>
          <w:szCs w:val="14"/>
        </w:rPr>
      </w:pPr>
      <w:r w:rsidRPr="004A0F98">
        <w:rPr>
          <w:rFonts w:ascii="Verdana" w:hAnsi="Verdana" w:cs="Arial"/>
          <w:sz w:val="14"/>
          <w:szCs w:val="14"/>
        </w:rPr>
        <w:t>3o. Se celebren con abuso o desviación de poder;</w:t>
      </w:r>
    </w:p>
    <w:p w14:paraId="6448E981" w14:textId="77777777" w:rsidR="00E959C2" w:rsidRPr="004A0F98" w:rsidRDefault="00E959C2">
      <w:pPr>
        <w:spacing w:after="0" w:line="240" w:lineRule="auto"/>
        <w:ind w:firstLine="708"/>
        <w:jc w:val="both"/>
        <w:rPr>
          <w:rFonts w:ascii="Verdana" w:hAnsi="Verdana" w:cs="Arial"/>
          <w:sz w:val="14"/>
          <w:szCs w:val="14"/>
        </w:rPr>
      </w:pPr>
      <w:r w:rsidRPr="004A0F98">
        <w:rPr>
          <w:rFonts w:ascii="Verdana" w:hAnsi="Verdana" w:cs="Arial"/>
          <w:sz w:val="14"/>
          <w:szCs w:val="14"/>
        </w:rPr>
        <w:t>4o. Se declaren nulos los actos administrativos en que se fundamenten; y</w:t>
      </w:r>
    </w:p>
    <w:p w14:paraId="5C32DB45" w14:textId="711F26A6" w:rsidR="00E959C2" w:rsidRDefault="00E959C2" w:rsidP="00771345">
      <w:pPr>
        <w:spacing w:after="0" w:line="240" w:lineRule="auto"/>
        <w:ind w:firstLine="708"/>
        <w:jc w:val="both"/>
        <w:rPr>
          <w:rFonts w:ascii="Verdana" w:hAnsi="Verdana" w:cs="Arial"/>
          <w:sz w:val="14"/>
          <w:szCs w:val="14"/>
        </w:rPr>
      </w:pPr>
      <w:r w:rsidRPr="004A0F98">
        <w:rPr>
          <w:rFonts w:ascii="Verdana" w:hAnsi="Verdana" w:cs="Arial"/>
          <w:sz w:val="14"/>
          <w:szCs w:val="14"/>
        </w:rPr>
        <w:t>5o. Se hubieren celebrado con desconocimiento de los criterios previstos en el artículo 21 sobre tratamiento de ofertas nacionales y extranjeras o con violación de la reciprocidad de que trata esta ley”.</w:t>
      </w:r>
    </w:p>
    <w:p w14:paraId="531AA849" w14:textId="77777777" w:rsidR="00771345" w:rsidRPr="004A0F98" w:rsidRDefault="00771345" w:rsidP="00771345">
      <w:pPr>
        <w:spacing w:after="0" w:line="240" w:lineRule="auto"/>
        <w:ind w:firstLine="708"/>
        <w:jc w:val="both"/>
        <w:rPr>
          <w:rFonts w:ascii="Verdana" w:hAnsi="Verdana" w:cs="Arial"/>
          <w:sz w:val="14"/>
          <w:szCs w:val="14"/>
        </w:rPr>
      </w:pPr>
    </w:p>
  </w:footnote>
  <w:footnote w:id="29">
    <w:p w14:paraId="2612C501" w14:textId="40B6EDA2" w:rsidR="00E959C2" w:rsidRDefault="00E959C2" w:rsidP="00771345">
      <w:pPr>
        <w:pStyle w:val="Textonotapie"/>
        <w:ind w:firstLine="709"/>
        <w:jc w:val="both"/>
        <w:rPr>
          <w:rFonts w:ascii="Verdana" w:hAnsi="Verdana" w:cs="Arial"/>
          <w:sz w:val="14"/>
          <w:szCs w:val="14"/>
          <w:lang w:val="es-CO"/>
        </w:rPr>
      </w:pPr>
      <w:r w:rsidRPr="004A0F98">
        <w:rPr>
          <w:rStyle w:val="Refdenotaalpie"/>
          <w:rFonts w:ascii="Verdana" w:hAnsi="Verdana"/>
          <w:sz w:val="14"/>
          <w:szCs w:val="14"/>
        </w:rPr>
        <w:footnoteRef/>
      </w:r>
      <w:r w:rsidRPr="004A0F98">
        <w:rPr>
          <w:rFonts w:ascii="Verdana" w:hAnsi="Verdana"/>
          <w:sz w:val="14"/>
          <w:szCs w:val="14"/>
        </w:rPr>
        <w:t xml:space="preserve"> </w:t>
      </w:r>
      <w:r w:rsidRPr="004A0F98">
        <w:rPr>
          <w:rFonts w:ascii="Verdana" w:hAnsi="Verdana" w:cs="Arial"/>
          <w:sz w:val="14"/>
          <w:szCs w:val="14"/>
          <w:lang w:val="es-CO"/>
        </w:rPr>
        <w:t xml:space="preserve">Consejo de Estado, Sala de lo Contencioso Administrativo, Sección Tercera, Subsección A.  Primera. Sentencia de 11 de junio de 2014, expediente número 34649. C.P: Hernán Andrade </w:t>
      </w:r>
      <w:proofErr w:type="spellStart"/>
      <w:r w:rsidRPr="004A0F98">
        <w:rPr>
          <w:rFonts w:ascii="Verdana" w:hAnsi="Verdana" w:cs="Arial"/>
          <w:sz w:val="14"/>
          <w:szCs w:val="14"/>
          <w:lang w:val="es-CO"/>
        </w:rPr>
        <w:t>Rincon</w:t>
      </w:r>
      <w:proofErr w:type="spellEnd"/>
      <w:r w:rsidRPr="004A0F98">
        <w:rPr>
          <w:rFonts w:ascii="Verdana" w:hAnsi="Verdana" w:cs="Arial"/>
          <w:sz w:val="14"/>
          <w:szCs w:val="14"/>
          <w:lang w:val="es-CO"/>
        </w:rPr>
        <w:t xml:space="preserve">. </w:t>
      </w:r>
    </w:p>
    <w:p w14:paraId="44C73605" w14:textId="77777777" w:rsidR="00771345" w:rsidRPr="004A0F98" w:rsidRDefault="00771345" w:rsidP="004A0F98">
      <w:pPr>
        <w:pStyle w:val="Textonotapie"/>
        <w:ind w:firstLine="709"/>
        <w:jc w:val="both"/>
        <w:rPr>
          <w:rFonts w:ascii="Verdana" w:hAnsi="Verdana"/>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C811DB"/>
    <w:multiLevelType w:val="hybridMultilevel"/>
    <w:tmpl w:val="D38E83A6"/>
    <w:lvl w:ilvl="0" w:tplc="240A0001">
      <w:start w:val="1"/>
      <w:numFmt w:val="bullet"/>
      <w:lvlText w:val=""/>
      <w:lvlJc w:val="left"/>
      <w:pPr>
        <w:ind w:left="502"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4"/>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158349240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97A20"/>
    <w:rsid w:val="004A0F98"/>
    <w:rsid w:val="004A1847"/>
    <w:rsid w:val="004A305D"/>
    <w:rsid w:val="004F0C42"/>
    <w:rsid w:val="004F21C4"/>
    <w:rsid w:val="004F685F"/>
    <w:rsid w:val="005566E8"/>
    <w:rsid w:val="00574867"/>
    <w:rsid w:val="005870A3"/>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345"/>
    <w:rsid w:val="00771D0C"/>
    <w:rsid w:val="007833AC"/>
    <w:rsid w:val="007942F8"/>
    <w:rsid w:val="007B268C"/>
    <w:rsid w:val="007B7171"/>
    <w:rsid w:val="007C0C0F"/>
    <w:rsid w:val="007C3DC2"/>
    <w:rsid w:val="007C5632"/>
    <w:rsid w:val="007C5E11"/>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D30FE"/>
    <w:rsid w:val="009F3A13"/>
    <w:rsid w:val="00A07EE7"/>
    <w:rsid w:val="00A122D3"/>
    <w:rsid w:val="00A14468"/>
    <w:rsid w:val="00A17F13"/>
    <w:rsid w:val="00A20739"/>
    <w:rsid w:val="00A23AF9"/>
    <w:rsid w:val="00A33C78"/>
    <w:rsid w:val="00A5713E"/>
    <w:rsid w:val="00A8003C"/>
    <w:rsid w:val="00AB0ADB"/>
    <w:rsid w:val="00AB1130"/>
    <w:rsid w:val="00B00C0E"/>
    <w:rsid w:val="00B01B1A"/>
    <w:rsid w:val="00B0381D"/>
    <w:rsid w:val="00B1440A"/>
    <w:rsid w:val="00B35820"/>
    <w:rsid w:val="00B44A47"/>
    <w:rsid w:val="00B72CD3"/>
    <w:rsid w:val="00B72FFF"/>
    <w:rsid w:val="00BA621E"/>
    <w:rsid w:val="00BC3D36"/>
    <w:rsid w:val="00BD54A6"/>
    <w:rsid w:val="00BD7F72"/>
    <w:rsid w:val="00BF7425"/>
    <w:rsid w:val="00C01246"/>
    <w:rsid w:val="00C04FB3"/>
    <w:rsid w:val="00C11D8B"/>
    <w:rsid w:val="00C15139"/>
    <w:rsid w:val="00C330EB"/>
    <w:rsid w:val="00C50D69"/>
    <w:rsid w:val="00C5365C"/>
    <w:rsid w:val="00C754BE"/>
    <w:rsid w:val="00C76B1C"/>
    <w:rsid w:val="00C925AC"/>
    <w:rsid w:val="00CB6357"/>
    <w:rsid w:val="00CC1B26"/>
    <w:rsid w:val="00D06373"/>
    <w:rsid w:val="00D361FD"/>
    <w:rsid w:val="00D423A2"/>
    <w:rsid w:val="00D44E26"/>
    <w:rsid w:val="00D520D8"/>
    <w:rsid w:val="00D53E03"/>
    <w:rsid w:val="00D63AC2"/>
    <w:rsid w:val="00D7383B"/>
    <w:rsid w:val="00D7788A"/>
    <w:rsid w:val="00DA20F7"/>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959C2"/>
    <w:rsid w:val="00EA0E3D"/>
    <w:rsid w:val="00EC38A7"/>
    <w:rsid w:val="00EE1AA8"/>
    <w:rsid w:val="00EE4C24"/>
    <w:rsid w:val="00F23FEA"/>
    <w:rsid w:val="00F31EDC"/>
    <w:rsid w:val="00F462B3"/>
    <w:rsid w:val="00F5664F"/>
    <w:rsid w:val="00F666C4"/>
    <w:rsid w:val="00F76AFC"/>
    <w:rsid w:val="00F976D8"/>
    <w:rsid w:val="00FA47C0"/>
    <w:rsid w:val="00FB5DD1"/>
    <w:rsid w:val="00FC2B5D"/>
    <w:rsid w:val="00FC5315"/>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942F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7942F8"/>
    <w:rPr>
      <w:rFonts w:ascii="Geomanist Light" w:hAnsi="Geomanist Light"/>
      <w:lang w:val="es-ES"/>
    </w:rPr>
  </w:style>
  <w:style w:type="character" w:customStyle="1" w:styleId="NormalWebCar">
    <w:name w:val="Normal (Web) Car"/>
    <w:link w:val="NormalWeb"/>
    <w:uiPriority w:val="99"/>
    <w:locked/>
    <w:rsid w:val="007942F8"/>
    <w:rPr>
      <w:rFonts w:ascii="Times New Roman" w:eastAsia="Times New Roman" w:hAnsi="Times New Roman" w:cs="Times New Roman"/>
      <w:sz w:val="24"/>
      <w:szCs w:val="24"/>
      <w:lang w:eastAsia="es-CO"/>
    </w:rPr>
  </w:style>
  <w:style w:type="character" w:customStyle="1" w:styleId="baj">
    <w:name w:val="b_aj"/>
    <w:basedOn w:val="Fuentedeprrafopredeter"/>
    <w:rsid w:val="007942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base-conocimiento/gestion-contractual-envio-del-contrato-secop-ii" TargetMode="External"/><Relationship Id="rId2" Type="http://schemas.openxmlformats.org/officeDocument/2006/relationships/hyperlink" Target="https://www.colombiacompra.gov.co/node/23710" TargetMode="External"/><Relationship Id="rId1" Type="http://schemas.openxmlformats.org/officeDocument/2006/relationships/hyperlink" Target="https://www.colombiacompra.gov.co/base-conocimiento/gestion-contractual-envio-del-contrato-secop-ii" TargetMode="External"/><Relationship Id="rId4" Type="http://schemas.openxmlformats.org/officeDocument/2006/relationships/hyperlink" Target="https://www.colombiacompra.gov.co/base-conocimiento/configuracion-de-cuentas-secop-ii"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FEA2D5E-A967-46E4-9559-164E6AA25788}"/>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31</Pages>
  <Words>10388</Words>
  <Characters>57134</Characters>
  <Application>Microsoft Office Word</Application>
  <DocSecurity>0</DocSecurity>
  <Lines>476</Lines>
  <Paragraphs>134</Paragraphs>
  <ScaleCrop>false</ScaleCrop>
  <Company/>
  <LinksUpToDate>false</LinksUpToDate>
  <CharactersWithSpaces>67388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Gloria Elizabeth Arango Builes</cp:lastModifiedBy>
  <cp:revision>2</cp:revision>
  <cp:lastPrinted>2023-01-10T21:18:00Z</cp:lastPrinted>
  <dcterms:created xsi:type="dcterms:W3CDTF">2026-03-23T19:40:00Z</dcterms:created>
  <dcterms:modified xsi:type="dcterms:W3CDTF">2026-03-23T19:40:00Z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