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5E783D" w14:textId="77777777" w:rsidR="00813726" w:rsidRDefault="00813726" w:rsidP="00813726">
      <w:pPr>
        <w:jc w:val="both"/>
        <w:rPr>
          <w:rFonts w:ascii="Verdana" w:hAnsi="Verdana"/>
          <w:b/>
          <w:bCs/>
        </w:rPr>
      </w:pPr>
      <w:bookmarkStart w:id="0" w:name="_Hlk143780582"/>
      <w:r w:rsidRPr="00813726">
        <w:rPr>
          <w:rFonts w:ascii="Verdana" w:hAnsi="Verdana"/>
          <w:b/>
          <w:bCs/>
        </w:rPr>
        <w:t xml:space="preserve">REQUISITOS HABILITANTES – Contenido – Experiencia </w:t>
      </w:r>
    </w:p>
    <w:p w14:paraId="5E72D28B" w14:textId="5A8BFE90" w:rsidR="00813726" w:rsidRPr="00813726" w:rsidRDefault="00813726" w:rsidP="00813726">
      <w:pPr>
        <w:spacing w:line="240" w:lineRule="auto"/>
        <w:jc w:val="both"/>
        <w:rPr>
          <w:rFonts w:ascii="Verdana" w:eastAsia="Calibri" w:hAnsi="Verdana" w:cs="Arial"/>
          <w:sz w:val="20"/>
          <w:szCs w:val="20"/>
          <w:lang w:eastAsia="es-CO"/>
        </w:rPr>
      </w:pPr>
      <w:r w:rsidRPr="00813726">
        <w:rPr>
          <w:rFonts w:ascii="Verdana" w:eastAsia="Calibri" w:hAnsi="Verdana" w:cs="Arial"/>
          <w:color w:val="000000"/>
          <w:sz w:val="20"/>
          <w:szCs w:val="20"/>
          <w:lang w:val="es-ES" w:eastAsia="es-ES_tradnl"/>
        </w:rPr>
        <w:t>[…]</w:t>
      </w:r>
      <w:r w:rsidRPr="00813726">
        <w:rPr>
          <w:rFonts w:ascii="Verdana" w:eastAsia="Calibri" w:hAnsi="Verdana" w:cs="Arial"/>
          <w:color w:val="000000"/>
          <w:sz w:val="20"/>
          <w:szCs w:val="20"/>
          <w:lang w:val="es-ES" w:eastAsia="es-ES_tradnl"/>
        </w:rPr>
        <w:t xml:space="preserve"> dentro de los requisitos habilitantes se destaca la experiencia</w:t>
      </w:r>
      <w:r w:rsidRPr="00813726">
        <w:rPr>
          <w:rFonts w:ascii="Verdana" w:eastAsia="Calibri" w:hAnsi="Verdana" w:cs="Arial"/>
          <w:sz w:val="20"/>
          <w:szCs w:val="20"/>
          <w:lang w:val="es-ES"/>
        </w:rPr>
        <w:t xml:space="preserve">. Como lo indica </w:t>
      </w:r>
      <w:r w:rsidRPr="00813726">
        <w:rPr>
          <w:rFonts w:ascii="Verdana" w:eastAsia="Calibri" w:hAnsi="Verdana" w:cs="Arial"/>
          <w:sz w:val="20"/>
          <w:szCs w:val="20"/>
          <w:lang w:eastAsia="es-CO"/>
        </w:rPr>
        <w:t>el “</w:t>
      </w:r>
      <w:r w:rsidRPr="00813726">
        <w:rPr>
          <w:rFonts w:ascii="Verdana" w:eastAsia="Calibri" w:hAnsi="Verdana" w:cs="Arial"/>
          <w:i/>
          <w:iCs/>
          <w:sz w:val="20"/>
          <w:szCs w:val="20"/>
          <w:lang w:eastAsia="es-CO"/>
        </w:rPr>
        <w:t>Manual para determinar y verificar requisitos habilitantes en los procesos de contratación</w:t>
      </w:r>
      <w:r w:rsidRPr="00813726">
        <w:rPr>
          <w:rFonts w:ascii="Verdana" w:eastAsia="Calibri" w:hAnsi="Verdana" w:cs="Arial"/>
          <w:i/>
          <w:iCs/>
          <w:sz w:val="20"/>
          <w:szCs w:val="20"/>
          <w:lang w:eastAsia="es-CO"/>
        </w:rPr>
        <w:t>”</w:t>
      </w:r>
      <w:r w:rsidRPr="00813726">
        <w:rPr>
          <w:rFonts w:ascii="Verdana" w:eastAsia="Calibri" w:hAnsi="Verdana" w:cs="Arial"/>
          <w:i/>
          <w:iCs/>
          <w:sz w:val="20"/>
          <w:szCs w:val="20"/>
          <w:lang w:eastAsia="es-CO"/>
        </w:rPr>
        <w:t>,</w:t>
      </w:r>
      <w:r w:rsidRPr="00813726">
        <w:rPr>
          <w:rFonts w:ascii="Verdana" w:eastAsia="Calibri" w:hAnsi="Verdana" w:cs="Arial"/>
          <w:sz w:val="20"/>
          <w:szCs w:val="20"/>
          <w:lang w:eastAsia="es-CO"/>
        </w:rPr>
        <w:t xml:space="preserve"> expedido por la Agencia Nacional de Contratación Pública, la experiencia debe ser entendida como el conocimiento del proponente derivado de su participación previa en actividades iguales o similares a las previstas en el objeto del contrato con contratantes públicos, privados, nacionales o extranjeros. </w:t>
      </w:r>
    </w:p>
    <w:p w14:paraId="6ED437F0" w14:textId="50B8460C" w:rsidR="00813726" w:rsidRPr="00813726" w:rsidRDefault="00813726" w:rsidP="00813726">
      <w:pPr>
        <w:spacing w:line="240" w:lineRule="auto"/>
        <w:jc w:val="both"/>
        <w:rPr>
          <w:rFonts w:ascii="Verdana" w:hAnsi="Verdana"/>
          <w:b/>
          <w:bCs/>
        </w:rPr>
      </w:pPr>
      <w:r w:rsidRPr="00813726">
        <w:rPr>
          <w:rFonts w:ascii="Verdana" w:eastAsia="Calibri" w:hAnsi="Verdana" w:cs="Arial"/>
          <w:sz w:val="20"/>
          <w:szCs w:val="20"/>
          <w:lang w:eastAsia="es-CO"/>
        </w:rPr>
        <w:t xml:space="preserve">La experiencia puede ser adquirida directamente de manera singularizada o en asocio con otras personas, como es el caso de los proponentes plurales, a los cuales se refiere en su consulta, cuya experiencia no deja de ser personal, sino que, por tratarse de esquemas asociativos, se evalúa de forma proporcional a la participación de los miembros en los respectivos consorcios y/o uniones </w:t>
      </w:r>
      <w:r w:rsidRPr="00813726">
        <w:rPr>
          <w:rFonts w:ascii="Verdana" w:eastAsia="Calibri" w:hAnsi="Verdana" w:cs="Arial"/>
          <w:sz w:val="20"/>
          <w:szCs w:val="20"/>
          <w:lang w:eastAsia="es-CO"/>
        </w:rPr>
        <w:t>temporales.</w:t>
      </w:r>
      <w:r w:rsidRPr="00813726">
        <w:rPr>
          <w:rFonts w:ascii="Verdana" w:eastAsia="Calibri" w:hAnsi="Verdana" w:cs="Arial"/>
          <w:sz w:val="20"/>
          <w:szCs w:val="20"/>
          <w:lang w:eastAsia="es-CO"/>
        </w:rPr>
        <w:t xml:space="preserve"> </w:t>
      </w:r>
      <w:r w:rsidRPr="00813726">
        <w:rPr>
          <w:rFonts w:ascii="Verdana" w:eastAsia="Calibri" w:hAnsi="Verdana" w:cs="Arial"/>
          <w:color w:val="000000"/>
          <w:sz w:val="20"/>
          <w:szCs w:val="20"/>
          <w:lang w:val="es-ES" w:eastAsia="es-ES_tradnl"/>
        </w:rPr>
        <w:t>Para este fin, la Entidad Estatal, como responsable de la estructuración de su procedimiento de selección, es autónoma para determinar los requisitos que exigirá para acreditar la experiencia de acuerdo con el objeto contractual que pretende satisfacer. No obstante, en atención a lo dispuesto en el artículo 2.2.1.1.1.6.2 del Decreto 1082 de 2015, debe establecerla con sustento en el estudio del secto</w:t>
      </w:r>
      <w:r>
        <w:rPr>
          <w:rFonts w:ascii="Verdana" w:eastAsia="Calibri" w:hAnsi="Verdana" w:cs="Arial"/>
          <w:color w:val="000000"/>
          <w:sz w:val="20"/>
          <w:szCs w:val="20"/>
          <w:lang w:val="es-ES" w:eastAsia="es-ES_tradnl"/>
        </w:rPr>
        <w:t>r</w:t>
      </w:r>
      <w:r w:rsidRPr="00813726">
        <w:rPr>
          <w:rFonts w:ascii="Verdana" w:eastAsia="Calibri" w:hAnsi="Verdana" w:cs="Arial"/>
          <w:color w:val="000000"/>
          <w:sz w:val="20"/>
          <w:szCs w:val="20"/>
          <w:lang w:val="es-ES" w:eastAsia="es-ES_tradnl"/>
        </w:rPr>
        <w:t xml:space="preserve"> y sus componentes, como la identificación de riesgos, el mercado y precio del bien, obra o servicio a </w:t>
      </w:r>
      <w:r w:rsidRPr="00813726">
        <w:rPr>
          <w:rFonts w:ascii="Verdana" w:eastAsia="Calibri" w:hAnsi="Verdana" w:cs="Arial"/>
          <w:color w:val="000000"/>
          <w:sz w:val="20"/>
          <w:szCs w:val="20"/>
          <w:lang w:val="es-ES" w:eastAsia="es-ES_tradnl"/>
        </w:rPr>
        <w:t>contratar.</w:t>
      </w:r>
    </w:p>
    <w:p w14:paraId="281585F4" w14:textId="77777777" w:rsidR="00813726" w:rsidRDefault="00813726" w:rsidP="00813726">
      <w:pPr>
        <w:jc w:val="both"/>
        <w:rPr>
          <w:rFonts w:ascii="Verdana" w:hAnsi="Verdana"/>
          <w:b/>
          <w:bCs/>
        </w:rPr>
      </w:pPr>
      <w:r w:rsidRPr="00813726">
        <w:rPr>
          <w:rFonts w:ascii="Verdana" w:hAnsi="Verdana"/>
          <w:b/>
          <w:bCs/>
        </w:rPr>
        <w:t xml:space="preserve">EXPERIENCIA – Características – Proponente plural  </w:t>
      </w:r>
    </w:p>
    <w:p w14:paraId="57AEC399" w14:textId="49D5EA92" w:rsidR="00571F53" w:rsidRPr="00571F53" w:rsidRDefault="00571F53" w:rsidP="00571F53">
      <w:pPr>
        <w:spacing w:after="120" w:line="240" w:lineRule="auto"/>
        <w:jc w:val="both"/>
        <w:rPr>
          <w:rFonts w:ascii="Verdana" w:eastAsia="Calibri" w:hAnsi="Verdana" w:cs="Arial"/>
          <w:sz w:val="20"/>
          <w:szCs w:val="20"/>
          <w:lang w:eastAsia="es-CO"/>
        </w:rPr>
      </w:pPr>
      <w:r w:rsidRPr="00571F53">
        <w:rPr>
          <w:rFonts w:ascii="Verdana" w:eastAsia="Calibri" w:hAnsi="Verdana" w:cs="Arial"/>
          <w:color w:val="000000"/>
          <w:sz w:val="20"/>
          <w:szCs w:val="20"/>
          <w:lang w:val="es-ES" w:eastAsia="es-ES_tradnl"/>
        </w:rPr>
        <w:t>Ahora bien, dentro de los requisitos habilitantes se destaca la experiencia</w:t>
      </w:r>
      <w:r w:rsidRPr="00571F53">
        <w:rPr>
          <w:rFonts w:ascii="Verdana" w:eastAsia="Calibri" w:hAnsi="Verdana" w:cs="Arial"/>
          <w:sz w:val="20"/>
          <w:szCs w:val="20"/>
          <w:lang w:val="es-ES"/>
        </w:rPr>
        <w:t xml:space="preserve">. Como lo indica </w:t>
      </w:r>
      <w:r w:rsidRPr="00571F53">
        <w:rPr>
          <w:rFonts w:ascii="Verdana" w:eastAsia="Calibri" w:hAnsi="Verdana" w:cs="Arial"/>
          <w:sz w:val="20"/>
          <w:szCs w:val="20"/>
          <w:lang w:eastAsia="es-CO"/>
        </w:rPr>
        <w:t>el “</w:t>
      </w:r>
      <w:r w:rsidRPr="00571F53">
        <w:rPr>
          <w:rFonts w:ascii="Verdana" w:eastAsia="Calibri" w:hAnsi="Verdana" w:cs="Arial"/>
          <w:i/>
          <w:iCs/>
          <w:sz w:val="20"/>
          <w:szCs w:val="20"/>
          <w:lang w:eastAsia="es-CO"/>
        </w:rPr>
        <w:t>Manual para determinar y verificar requisitos habilitantes en los procesos de contratación”,</w:t>
      </w:r>
      <w:r w:rsidRPr="00571F53">
        <w:rPr>
          <w:rFonts w:ascii="Verdana" w:eastAsia="Calibri" w:hAnsi="Verdana" w:cs="Arial"/>
          <w:sz w:val="20"/>
          <w:szCs w:val="20"/>
          <w:lang w:eastAsia="es-CO"/>
        </w:rPr>
        <w:t xml:space="preserve"> expedido por la Agencia Nacional de Contratación Pública, la experiencia debe ser entendida como el conocimiento del proponente derivado de su participación previa en actividades iguales o similares a las previstas en el objeto del contrato con contratantes públicos, privados, nacionales o extranjeros. </w:t>
      </w:r>
    </w:p>
    <w:p w14:paraId="6A83A71C" w14:textId="78C8CB93" w:rsidR="00571F53" w:rsidRPr="00571F53" w:rsidRDefault="00571F53" w:rsidP="00571F53">
      <w:pPr>
        <w:spacing w:line="240" w:lineRule="auto"/>
        <w:jc w:val="both"/>
        <w:rPr>
          <w:rFonts w:ascii="Verdana" w:hAnsi="Verdana"/>
          <w:b/>
          <w:bCs/>
          <w:sz w:val="20"/>
          <w:szCs w:val="20"/>
        </w:rPr>
      </w:pPr>
      <w:r w:rsidRPr="00571F53">
        <w:rPr>
          <w:rFonts w:ascii="Verdana" w:eastAsia="Calibri" w:hAnsi="Verdana" w:cs="Arial"/>
          <w:sz w:val="20"/>
          <w:szCs w:val="20"/>
          <w:lang w:eastAsia="es-CO"/>
        </w:rPr>
        <w:t xml:space="preserve">La experiencia puede ser adquirida directamente de manera singularizada o en asocio con otras personas, como es el caso de los proponentes plurales, a los cuales se refiere en su consulta, cuya experiencia no deja de ser personal, sino que, por tratarse de esquemas asociativos, se evalúa de forma proporcional a la participación de los miembros en los respectivos consorcios y/o uniones temporales. </w:t>
      </w:r>
      <w:r w:rsidRPr="00571F53">
        <w:rPr>
          <w:rFonts w:ascii="Verdana" w:eastAsia="Calibri" w:hAnsi="Verdana" w:cs="Arial"/>
          <w:color w:val="000000"/>
          <w:sz w:val="20"/>
          <w:szCs w:val="20"/>
          <w:lang w:val="es-ES" w:eastAsia="es-ES_tradnl"/>
        </w:rPr>
        <w:t>Para este fin, la Entidad Estatal, como responsable de la estructuración de su procedimiento de selección, es autónoma para determinar los requisitos que exigirá para acreditar la experiencia de acuerdo con el objeto contractual que pretende satisfacer. No obstante, en atención a lo dispuesto en el artículo 2.2.1.1.1.6.2 del Decreto 1082 de 2015, debe establecerla con sustento en el estudio del sector</w:t>
      </w:r>
      <w:r w:rsidRPr="00571F53">
        <w:rPr>
          <w:rFonts w:ascii="Verdana" w:hAnsi="Verdana" w:cs="Arial"/>
          <w:color w:val="000000"/>
          <w:sz w:val="20"/>
          <w:szCs w:val="20"/>
          <w:vertAlign w:val="superscript"/>
          <w:lang w:val="es-ES" w:eastAsia="es-ES_tradnl"/>
        </w:rPr>
        <w:t xml:space="preserve"> </w:t>
      </w:r>
      <w:r w:rsidRPr="00571F53">
        <w:rPr>
          <w:rFonts w:ascii="Verdana" w:eastAsia="Calibri" w:hAnsi="Verdana" w:cs="Arial"/>
          <w:color w:val="000000"/>
          <w:sz w:val="20"/>
          <w:szCs w:val="20"/>
          <w:lang w:val="es-ES" w:eastAsia="es-ES_tradnl"/>
        </w:rPr>
        <w:t>y sus componentes, como la identificación de riesgos, el mercado y precio del bien, obra o servicio a contratar</w:t>
      </w:r>
      <w:r w:rsidRPr="00571F53">
        <w:rPr>
          <w:rFonts w:ascii="Verdana" w:eastAsia="Calibri" w:hAnsi="Verdana" w:cs="Arial"/>
          <w:color w:val="000000"/>
          <w:sz w:val="20"/>
          <w:szCs w:val="20"/>
          <w:lang w:val="es-ES" w:eastAsia="es-ES_tradnl"/>
        </w:rPr>
        <w:t>.</w:t>
      </w:r>
    </w:p>
    <w:p w14:paraId="0B5F30E0" w14:textId="5543E0D7" w:rsidR="00813726" w:rsidRDefault="00813726" w:rsidP="00813726">
      <w:pPr>
        <w:jc w:val="both"/>
        <w:rPr>
          <w:rFonts w:ascii="Verdana" w:hAnsi="Verdana"/>
          <w:b/>
          <w:bCs/>
        </w:rPr>
      </w:pPr>
      <w:r w:rsidRPr="00813726">
        <w:rPr>
          <w:rFonts w:ascii="Verdana" w:hAnsi="Verdana"/>
          <w:b/>
          <w:bCs/>
        </w:rPr>
        <w:t>PROPONENTE PLURAL – Requisitos habilitantes – Experiencia – Pliego de condiciones</w:t>
      </w:r>
    </w:p>
    <w:p w14:paraId="2373A5E6" w14:textId="77777777" w:rsidR="00571F53" w:rsidRPr="00571F53" w:rsidRDefault="00571F53" w:rsidP="00571F53">
      <w:pPr>
        <w:spacing w:after="120" w:line="240" w:lineRule="auto"/>
        <w:jc w:val="both"/>
        <w:rPr>
          <w:rFonts w:ascii="Verdana" w:eastAsia="Calibri" w:hAnsi="Verdana" w:cs="Arial"/>
          <w:color w:val="000000" w:themeColor="text1"/>
          <w:sz w:val="20"/>
          <w:szCs w:val="20"/>
          <w:lang w:val="es-ES"/>
        </w:rPr>
      </w:pPr>
      <w:r w:rsidRPr="00571F53">
        <w:rPr>
          <w:rFonts w:ascii="Verdana" w:hAnsi="Verdana"/>
          <w:color w:val="000000" w:themeColor="text1"/>
          <w:sz w:val="20"/>
          <w:szCs w:val="20"/>
          <w:lang w:val="es-ES"/>
        </w:rPr>
        <w:t xml:space="preserve">De esta manera, la Ley 80 de 1993 permite que dos o más personas naturales o jurídicas se agrupen para la presentación de una propuesta y la celebración de un contrato con una entidad estatal. En esto, los miembros del consorcio o la unión temporal conservan su individualidad jurídica, pues el proponente plural no genera una persona jurídica distinta a sus integrantes. </w:t>
      </w:r>
      <w:r w:rsidRPr="00571F53">
        <w:rPr>
          <w:rFonts w:ascii="Verdana" w:eastAsia="Calibri" w:hAnsi="Verdana" w:cs="Arial"/>
          <w:color w:val="000000" w:themeColor="text1"/>
          <w:sz w:val="20"/>
          <w:szCs w:val="20"/>
          <w:lang w:val="es-ES"/>
        </w:rPr>
        <w:t xml:space="preserve">Sin embargo, aunque no son personas </w:t>
      </w:r>
      <w:r w:rsidRPr="00571F53">
        <w:rPr>
          <w:rFonts w:ascii="Verdana" w:eastAsia="Calibri" w:hAnsi="Verdana" w:cs="Arial"/>
          <w:color w:val="000000" w:themeColor="text1"/>
          <w:sz w:val="20"/>
          <w:szCs w:val="20"/>
          <w:lang w:val="es-ES"/>
        </w:rPr>
        <w:lastRenderedPageBreak/>
        <w:t xml:space="preserve">jurídicas, son sujetos con capacidad para contratar, para ejecutar las obligaciones y recibir los derechos que emanan del contrato y para interrelacionarse con la Entidad Estatal contratante en todo lo relacionado con el objeto del contrato y su desarrollo. </w:t>
      </w:r>
    </w:p>
    <w:p w14:paraId="26B040E6" w14:textId="77777777" w:rsidR="00571F53" w:rsidRPr="00571F53" w:rsidRDefault="00571F53" w:rsidP="00571F53">
      <w:pPr>
        <w:spacing w:after="120" w:line="240" w:lineRule="auto"/>
        <w:jc w:val="both"/>
        <w:rPr>
          <w:rFonts w:ascii="Verdana" w:hAnsi="Verdana"/>
          <w:color w:val="000000" w:themeColor="text1"/>
          <w:sz w:val="20"/>
          <w:szCs w:val="20"/>
          <w:lang w:val="es-ES"/>
        </w:rPr>
      </w:pPr>
      <w:r w:rsidRPr="00571F53">
        <w:rPr>
          <w:rFonts w:ascii="Verdana" w:eastAsia="Calibri" w:hAnsi="Verdana" w:cs="Arial"/>
          <w:sz w:val="20"/>
          <w:szCs w:val="20"/>
          <w:lang w:val="es-ES"/>
        </w:rPr>
        <w:t xml:space="preserve">De lo anterior se deriva que el Estatuto General de Contratación de la Administración Pública contempla la participación de los proponentes plurales </w:t>
      </w:r>
      <w:r w:rsidRPr="00571F53">
        <w:rPr>
          <w:rFonts w:ascii="Verdana" w:eastAsia="Calibri" w:hAnsi="Verdana" w:cs="Arial"/>
          <w:i/>
          <w:iCs/>
          <w:sz w:val="20"/>
          <w:szCs w:val="20"/>
          <w:lang w:val="es-ES"/>
        </w:rPr>
        <w:t>conservando en todo caso su individualidad jurídica</w:t>
      </w:r>
      <w:r w:rsidRPr="00571F53">
        <w:rPr>
          <w:rFonts w:ascii="Verdana" w:eastAsia="Calibri" w:hAnsi="Verdana" w:cs="Arial"/>
          <w:sz w:val="20"/>
          <w:szCs w:val="20"/>
          <w:lang w:val="es-ES"/>
        </w:rPr>
        <w:t xml:space="preserve">, de modo que el proponente plural no constituye una persona en sí misma. Como resultado de lo anterior, los requisitos habilitantes de los proponentes plurales deben ser evaluados respecto </w:t>
      </w:r>
      <w:r w:rsidRPr="00571F53">
        <w:rPr>
          <w:rFonts w:ascii="Verdana" w:eastAsia="Calibri" w:hAnsi="Verdana" w:cs="Arial"/>
          <w:i/>
          <w:iCs/>
          <w:sz w:val="20"/>
          <w:szCs w:val="20"/>
          <w:lang w:val="es-ES"/>
        </w:rPr>
        <w:t>de cada miembro</w:t>
      </w:r>
      <w:r w:rsidRPr="00571F53">
        <w:rPr>
          <w:rFonts w:ascii="Verdana" w:eastAsia="Calibri" w:hAnsi="Verdana" w:cs="Arial"/>
          <w:sz w:val="20"/>
          <w:szCs w:val="20"/>
          <w:lang w:val="es-ES"/>
        </w:rPr>
        <w:t>, sin que ello desconozca la finalidad de esta figura, que es unir esfuerzos.</w:t>
      </w:r>
      <w:r w:rsidRPr="00571F53">
        <w:rPr>
          <w:rFonts w:ascii="Verdana" w:hAnsi="Verdana"/>
          <w:color w:val="000000" w:themeColor="text1"/>
          <w:sz w:val="20"/>
          <w:szCs w:val="20"/>
          <w:lang w:val="es-ES"/>
        </w:rPr>
        <w:t xml:space="preserve"> Así pues, la naturaleza jurídica de los consorcios supone que requisitos habilitantes como la experiencia deba ser evaluada con respecto a cada uno de sus integrantes, de acuerdo con lo registrado en su RUP.</w:t>
      </w:r>
    </w:p>
    <w:p w14:paraId="71FA1E91" w14:textId="77777777" w:rsidR="00571F53" w:rsidRPr="00813726" w:rsidRDefault="00571F53" w:rsidP="00813726">
      <w:pPr>
        <w:spacing w:line="240" w:lineRule="auto"/>
        <w:jc w:val="both"/>
        <w:rPr>
          <w:rFonts w:ascii="Verdana" w:eastAsia="Calibri" w:hAnsi="Verdana" w:cs="Arial"/>
          <w:b/>
          <w:bCs/>
          <w:lang w:val="es-ES" w:eastAsia="es-ES"/>
        </w:rPr>
      </w:pPr>
    </w:p>
    <w:p w14:paraId="7A8EDB8A" w14:textId="77777777" w:rsidR="00813726" w:rsidRDefault="00813726">
      <w:pPr>
        <w:rPr>
          <w:rFonts w:ascii="Verdana" w:eastAsia="Verdana" w:hAnsi="Verdana" w:cs="Verdana"/>
        </w:rPr>
      </w:pPr>
      <w:r>
        <w:rPr>
          <w:rFonts w:ascii="Verdana" w:eastAsia="Verdana" w:hAnsi="Verdana" w:cs="Verdana"/>
        </w:rPr>
        <w:br w:type="page"/>
      </w:r>
    </w:p>
    <w:p w14:paraId="1468C46D" w14:textId="690832B9" w:rsidR="00C15139" w:rsidRPr="001129A3" w:rsidRDefault="008E5654" w:rsidP="002775C9">
      <w:pPr>
        <w:spacing w:after="0" w:line="240" w:lineRule="auto"/>
        <w:rPr>
          <w:rFonts w:ascii="Verdana" w:eastAsia="Verdana" w:hAnsi="Verdana" w:cs="Verdana"/>
        </w:rPr>
      </w:pPr>
      <w:r w:rsidRPr="008E5654">
        <w:rPr>
          <w:rFonts w:ascii="Verdana" w:eastAsia="Calibri" w:hAnsi="Verdana" w:cs="Arial"/>
          <w:b/>
          <w:lang w:eastAsia="es-ES_tradnl"/>
        </w:rPr>
        <w:lastRenderedPageBreak/>
        <w:drawing>
          <wp:anchor distT="0" distB="0" distL="114300" distR="114300" simplePos="0" relativeHeight="251659264" behindDoc="1" locked="0" layoutInCell="1" allowOverlap="1" wp14:anchorId="363FFD6B" wp14:editId="7BEDA03E">
            <wp:simplePos x="0" y="0"/>
            <wp:positionH relativeFrom="column">
              <wp:posOffset>3273305</wp:posOffset>
            </wp:positionH>
            <wp:positionV relativeFrom="paragraph">
              <wp:posOffset>86492</wp:posOffset>
            </wp:positionV>
            <wp:extent cx="2539245" cy="672860"/>
            <wp:effectExtent l="0" t="0" r="0" b="0"/>
            <wp:wrapNone/>
            <wp:docPr id="19124373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437381" name=""/>
                    <pic:cNvPicPr/>
                  </pic:nvPicPr>
                  <pic:blipFill>
                    <a:blip r:embed="rId10">
                      <a:extLst>
                        <a:ext uri="{28A0092B-C50C-407E-A947-70E740481C1C}">
                          <a14:useLocalDpi xmlns:a14="http://schemas.microsoft.com/office/drawing/2010/main" val="0"/>
                        </a:ext>
                      </a:extLst>
                    </a:blip>
                    <a:stretch>
                      <a:fillRect/>
                    </a:stretch>
                  </pic:blipFill>
                  <pic:spPr>
                    <a:xfrm>
                      <a:off x="0" y="0"/>
                      <a:ext cx="2551476" cy="676101"/>
                    </a:xfrm>
                    <a:prstGeom prst="rect">
                      <a:avLst/>
                    </a:prstGeom>
                  </pic:spPr>
                </pic:pic>
              </a:graphicData>
            </a:graphic>
            <wp14:sizeRelH relativeFrom="margin">
              <wp14:pctWidth>0</wp14:pctWidth>
            </wp14:sizeRelH>
            <wp14:sizeRelV relativeFrom="margin">
              <wp14:pctHeight>0</wp14:pctHeight>
            </wp14:sizeRelV>
          </wp:anchor>
        </w:drawing>
      </w:r>
      <w:r w:rsidR="00C15139" w:rsidRPr="001129A3">
        <w:rPr>
          <w:rFonts w:ascii="Verdana" w:eastAsia="Verdana" w:hAnsi="Verdana" w:cs="Verdana"/>
        </w:rPr>
        <w:t xml:space="preserve">Bogotá </w:t>
      </w:r>
      <w:r w:rsidRPr="001129A3">
        <w:rPr>
          <w:rFonts w:ascii="Verdana" w:eastAsia="Verdana" w:hAnsi="Verdana" w:cs="Verdana"/>
        </w:rPr>
        <w:t>D.C.,</w:t>
      </w:r>
      <w:r w:rsidRPr="008E5654">
        <w:t xml:space="preserve"> </w:t>
      </w:r>
      <w:r w:rsidRPr="008E5654">
        <w:rPr>
          <w:rFonts w:ascii="Verdana" w:eastAsia="Verdana" w:hAnsi="Verdana" w:cs="Verdana"/>
        </w:rPr>
        <w:t xml:space="preserve">18 </w:t>
      </w:r>
      <w:proofErr w:type="gramStart"/>
      <w:r w:rsidRPr="008E5654">
        <w:rPr>
          <w:rFonts w:ascii="Verdana" w:eastAsia="Verdana" w:hAnsi="Verdana" w:cs="Verdana"/>
        </w:rPr>
        <w:t>Marzo</w:t>
      </w:r>
      <w:proofErr w:type="gramEnd"/>
      <w:r w:rsidRPr="008E5654">
        <w:rPr>
          <w:rFonts w:ascii="Verdana" w:eastAsia="Verdana" w:hAnsi="Verdana" w:cs="Verdana"/>
        </w:rPr>
        <w:t xml:space="preserve"> 2026</w:t>
      </w:r>
      <w:r w:rsidR="00C15139" w:rsidRPr="002775C9">
        <w:rPr>
          <w:rFonts w:ascii="Verdana" w:hAnsi="Verdana"/>
        </w:rPr>
        <w:tab/>
      </w:r>
      <w:r w:rsidR="00C15139" w:rsidRPr="002775C9">
        <w:rPr>
          <w:rFonts w:ascii="Verdana" w:hAnsi="Verdana"/>
        </w:rPr>
        <w:br/>
      </w:r>
      <w:r w:rsidR="00C15139" w:rsidRPr="002775C9">
        <w:rPr>
          <w:rFonts w:ascii="Verdana" w:hAnsi="Verdana"/>
        </w:rPr>
        <w:tab/>
      </w:r>
    </w:p>
    <w:p w14:paraId="12443EE0" w14:textId="7C28277E" w:rsidR="00C15139" w:rsidRPr="001129A3" w:rsidRDefault="00C15139" w:rsidP="002775C9">
      <w:pPr>
        <w:spacing w:after="0" w:line="240" w:lineRule="auto"/>
        <w:rPr>
          <w:rFonts w:ascii="Verdana" w:eastAsia="Verdana" w:hAnsi="Verdana" w:cs="Verdana"/>
        </w:rPr>
      </w:pPr>
    </w:p>
    <w:p w14:paraId="2E6F0F00" w14:textId="3FDB33E0" w:rsidR="00B665F1" w:rsidRPr="0018723E" w:rsidRDefault="00B665F1" w:rsidP="001129A3">
      <w:pPr>
        <w:spacing w:after="0" w:line="240" w:lineRule="auto"/>
        <w:jc w:val="both"/>
        <w:rPr>
          <w:rFonts w:ascii="Verdana" w:eastAsia="Calibri" w:hAnsi="Verdana" w:cs="Arial"/>
          <w:lang w:eastAsia="es-ES"/>
        </w:rPr>
      </w:pPr>
      <w:r w:rsidRPr="001129A3">
        <w:rPr>
          <w:rFonts w:ascii="Verdana" w:eastAsia="Calibri" w:hAnsi="Verdana" w:cs="Arial"/>
          <w:lang w:eastAsia="es-ES"/>
        </w:rPr>
        <w:t>Señor</w:t>
      </w:r>
    </w:p>
    <w:p w14:paraId="31F24EA4" w14:textId="08FC2CAE" w:rsidR="00066B09" w:rsidRPr="001129A3" w:rsidRDefault="00AA27FE">
      <w:pPr>
        <w:spacing w:after="0" w:line="240" w:lineRule="auto"/>
        <w:rPr>
          <w:rFonts w:ascii="Verdana" w:eastAsia="Calibri" w:hAnsi="Verdana" w:cs="Arial"/>
          <w:b/>
          <w:lang w:eastAsia="es-ES_tradnl"/>
        </w:rPr>
      </w:pPr>
      <w:r w:rsidRPr="001129A3">
        <w:rPr>
          <w:rFonts w:ascii="Verdana" w:eastAsia="Calibri" w:hAnsi="Verdana" w:cs="Arial"/>
          <w:b/>
          <w:lang w:eastAsia="es-ES_tradnl"/>
        </w:rPr>
        <w:t>Maria Clara Potes Mazuera</w:t>
      </w:r>
      <w:r w:rsidR="008E5654" w:rsidRPr="008E5654">
        <w:rPr>
          <w:noProof/>
        </w:rPr>
        <w:t xml:space="preserve"> </w:t>
      </w:r>
    </w:p>
    <w:p w14:paraId="2D769B50" w14:textId="77CFFE5D" w:rsidR="00AA27FE" w:rsidRPr="001129A3" w:rsidRDefault="004A2375">
      <w:pPr>
        <w:spacing w:after="0" w:line="240" w:lineRule="auto"/>
        <w:rPr>
          <w:rFonts w:ascii="Verdana" w:eastAsia="Calibri" w:hAnsi="Verdana" w:cs="Arial"/>
          <w:bCs/>
          <w:lang w:eastAsia="es-ES_tradnl"/>
        </w:rPr>
      </w:pPr>
      <w:hyperlink r:id="rId11" w:history="1">
        <w:r w:rsidR="00AA27FE" w:rsidRPr="001129A3">
          <w:rPr>
            <w:rStyle w:val="Hipervnculo"/>
            <w:rFonts w:ascii="Verdana" w:eastAsia="Calibri" w:hAnsi="Verdana" w:cs="Arial"/>
            <w:bCs/>
            <w:lang w:eastAsia="es-ES_tradnl"/>
          </w:rPr>
          <w:t>mariacpm2010@gmail.com</w:t>
        </w:r>
      </w:hyperlink>
    </w:p>
    <w:p w14:paraId="23F0DE05" w14:textId="5BA8180F" w:rsidR="00B665F1" w:rsidRPr="0018723E" w:rsidRDefault="0074717F">
      <w:pPr>
        <w:spacing w:after="0" w:line="240" w:lineRule="auto"/>
        <w:rPr>
          <w:rFonts w:ascii="Verdana" w:hAnsi="Verdana"/>
        </w:rPr>
      </w:pPr>
      <w:proofErr w:type="spellStart"/>
      <w:r w:rsidRPr="001129A3">
        <w:rPr>
          <w:rFonts w:ascii="Verdana" w:hAnsi="Verdana"/>
        </w:rPr>
        <w:t>Villamaria</w:t>
      </w:r>
      <w:proofErr w:type="spellEnd"/>
      <w:r w:rsidRPr="001129A3">
        <w:rPr>
          <w:rFonts w:ascii="Verdana" w:hAnsi="Verdana"/>
        </w:rPr>
        <w:t xml:space="preserve"> – Caldas, Colombia</w:t>
      </w:r>
    </w:p>
    <w:p w14:paraId="6A822295" w14:textId="77777777" w:rsidR="00B665F1" w:rsidRPr="001129A3" w:rsidRDefault="00B665F1">
      <w:pPr>
        <w:spacing w:after="0" w:line="240" w:lineRule="auto"/>
        <w:rPr>
          <w:rFonts w:ascii="Verdana" w:eastAsia="Calibri" w:hAnsi="Verdana" w:cs="Arial"/>
          <w:b/>
          <w:lang w:eastAsia="es-ES_tradnl"/>
        </w:rPr>
      </w:pPr>
    </w:p>
    <w:p w14:paraId="1D7593E2" w14:textId="77777777" w:rsidR="00B665F1" w:rsidRPr="001129A3" w:rsidRDefault="00B665F1">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665F1" w:rsidRPr="001129A3" w14:paraId="798073AE" w14:textId="77777777" w:rsidTr="00244B6A">
        <w:trPr>
          <w:trHeight w:val="162"/>
        </w:trPr>
        <w:tc>
          <w:tcPr>
            <w:tcW w:w="3119" w:type="dxa"/>
          </w:tcPr>
          <w:p w14:paraId="42B71234" w14:textId="77777777" w:rsidR="00B665F1" w:rsidRPr="001129A3" w:rsidRDefault="00B665F1">
            <w:pPr>
              <w:jc w:val="both"/>
              <w:rPr>
                <w:rFonts w:ascii="Verdana" w:eastAsia="Calibri" w:hAnsi="Verdana" w:cs="Arial"/>
                <w:b/>
                <w:bCs/>
                <w:color w:val="7030A0"/>
                <w:lang w:eastAsia="es-ES_tradnl"/>
              </w:rPr>
            </w:pPr>
          </w:p>
        </w:tc>
        <w:tc>
          <w:tcPr>
            <w:tcW w:w="5670" w:type="dxa"/>
          </w:tcPr>
          <w:p w14:paraId="10B39BA0" w14:textId="7FA8564C" w:rsidR="00B665F1" w:rsidRPr="001129A3" w:rsidRDefault="00B665F1">
            <w:pPr>
              <w:rPr>
                <w:rFonts w:ascii="Verdana" w:eastAsia="Calibri" w:hAnsi="Verdana" w:cs="Arial"/>
                <w:b/>
                <w:bCs/>
                <w:lang w:eastAsia="es-ES"/>
              </w:rPr>
            </w:pPr>
            <w:r w:rsidRPr="001129A3">
              <w:rPr>
                <w:rFonts w:ascii="Verdana" w:eastAsia="Calibri" w:hAnsi="Verdana" w:cs="Arial"/>
                <w:b/>
                <w:bCs/>
                <w:lang w:eastAsia="es-ES"/>
              </w:rPr>
              <w:t xml:space="preserve">Concepto </w:t>
            </w:r>
            <w:r w:rsidR="000803D9" w:rsidRPr="001129A3">
              <w:rPr>
                <w:rFonts w:ascii="Verdana" w:eastAsia="Calibri" w:hAnsi="Verdana" w:cs="Arial"/>
                <w:b/>
                <w:bCs/>
                <w:lang w:eastAsia="es-ES"/>
              </w:rPr>
              <w:t xml:space="preserve">C-187 </w:t>
            </w:r>
            <w:r w:rsidRPr="001129A3">
              <w:rPr>
                <w:rFonts w:ascii="Verdana" w:eastAsia="Calibri" w:hAnsi="Verdana" w:cs="Arial"/>
                <w:b/>
                <w:bCs/>
                <w:lang w:eastAsia="es-ES"/>
              </w:rPr>
              <w:t>de 202</w:t>
            </w:r>
            <w:r w:rsidR="000803D9" w:rsidRPr="001129A3">
              <w:rPr>
                <w:rFonts w:ascii="Verdana" w:eastAsia="Calibri" w:hAnsi="Verdana" w:cs="Arial"/>
                <w:b/>
                <w:bCs/>
                <w:lang w:eastAsia="es-ES"/>
              </w:rPr>
              <w:t>6</w:t>
            </w:r>
          </w:p>
          <w:p w14:paraId="04422B36" w14:textId="77777777" w:rsidR="002B5BEB" w:rsidRPr="001129A3" w:rsidRDefault="002B5BEB">
            <w:pPr>
              <w:jc w:val="center"/>
              <w:rPr>
                <w:rFonts w:ascii="Verdana" w:eastAsia="Calibri" w:hAnsi="Verdana" w:cs="Arial"/>
                <w:b/>
                <w:bCs/>
                <w:color w:val="7030A0"/>
                <w:lang w:eastAsia="es-ES"/>
              </w:rPr>
            </w:pPr>
          </w:p>
        </w:tc>
      </w:tr>
      <w:tr w:rsidR="00B665F1" w:rsidRPr="001129A3" w14:paraId="38D3174E" w14:textId="77777777" w:rsidTr="00244B6A">
        <w:trPr>
          <w:trHeight w:val="884"/>
        </w:trPr>
        <w:tc>
          <w:tcPr>
            <w:tcW w:w="3119" w:type="dxa"/>
          </w:tcPr>
          <w:p w14:paraId="4FE2DBD6" w14:textId="77777777" w:rsidR="00B665F1" w:rsidRPr="0018723E" w:rsidRDefault="00B665F1" w:rsidP="001129A3">
            <w:pPr>
              <w:jc w:val="both"/>
              <w:rPr>
                <w:rFonts w:ascii="Verdana" w:eastAsia="Calibri" w:hAnsi="Verdana" w:cs="Arial"/>
                <w:color w:val="000000"/>
                <w:lang w:eastAsia="es-ES_tradnl"/>
              </w:rPr>
            </w:pPr>
            <w:r w:rsidRPr="001129A3">
              <w:rPr>
                <w:rFonts w:ascii="Verdana" w:eastAsia="Calibri" w:hAnsi="Verdana" w:cs="Arial"/>
                <w:b/>
                <w:color w:val="000000"/>
                <w:lang w:eastAsia="es-ES_tradnl"/>
              </w:rPr>
              <w:t>Temas:</w:t>
            </w:r>
            <w:r w:rsidRPr="001129A3">
              <w:rPr>
                <w:rFonts w:ascii="Verdana" w:eastAsia="Calibri" w:hAnsi="Verdana" w:cs="Arial"/>
                <w:color w:val="000000"/>
                <w:lang w:eastAsia="es-ES_tradnl"/>
              </w:rPr>
              <w:t xml:space="preserve">                   </w:t>
            </w:r>
          </w:p>
        </w:tc>
        <w:tc>
          <w:tcPr>
            <w:tcW w:w="5670" w:type="dxa"/>
          </w:tcPr>
          <w:p w14:paraId="4D1883DF" w14:textId="1B02FD8B" w:rsidR="00B665F1" w:rsidRPr="001129A3" w:rsidRDefault="00B665F1" w:rsidP="002775C9">
            <w:pPr>
              <w:jc w:val="both"/>
              <w:rPr>
                <w:rFonts w:ascii="Verdana" w:eastAsia="Calibri" w:hAnsi="Verdana" w:cs="Arial"/>
                <w:lang w:val="es-ES" w:eastAsia="es-ES"/>
              </w:rPr>
            </w:pPr>
            <w:r w:rsidRPr="005F14F7">
              <w:rPr>
                <w:rFonts w:ascii="Verdana" w:hAnsi="Verdana"/>
              </w:rPr>
              <w:t xml:space="preserve">REQUISITOS HABILITANTES – Contenido – Experiencia / EXPERIENCIA – Características – Proponente plural / PROPONENTE PLURAL – Requisitos habilitantes – Experiencia – Pliego de </w:t>
            </w:r>
            <w:r w:rsidRPr="001129A3">
              <w:rPr>
                <w:rFonts w:ascii="Verdana" w:hAnsi="Verdana"/>
              </w:rPr>
              <w:t>condiciones</w:t>
            </w:r>
          </w:p>
          <w:p w14:paraId="4087E7C4" w14:textId="77777777" w:rsidR="00B665F1" w:rsidRPr="001129A3" w:rsidRDefault="00B665F1" w:rsidP="002775C9">
            <w:pPr>
              <w:jc w:val="both"/>
              <w:rPr>
                <w:rFonts w:ascii="Verdana" w:eastAsia="Calibri" w:hAnsi="Verdana" w:cs="Arial"/>
                <w:lang w:val="es-ES" w:eastAsia="es-ES"/>
              </w:rPr>
            </w:pPr>
          </w:p>
        </w:tc>
      </w:tr>
      <w:tr w:rsidR="00B665F1" w:rsidRPr="001129A3" w14:paraId="6ED94558" w14:textId="77777777" w:rsidTr="00244B6A">
        <w:tc>
          <w:tcPr>
            <w:tcW w:w="3119" w:type="dxa"/>
          </w:tcPr>
          <w:p w14:paraId="1531E1A8" w14:textId="77777777" w:rsidR="00B665F1" w:rsidRPr="0018723E" w:rsidRDefault="00B665F1" w:rsidP="001129A3">
            <w:pPr>
              <w:jc w:val="both"/>
              <w:rPr>
                <w:rFonts w:ascii="Verdana" w:eastAsia="Calibri" w:hAnsi="Verdana" w:cs="Arial"/>
                <w:b/>
                <w:lang w:eastAsia="es-ES_tradnl"/>
              </w:rPr>
            </w:pPr>
            <w:r w:rsidRPr="001129A3">
              <w:rPr>
                <w:rFonts w:ascii="Verdana" w:eastAsia="Calibri" w:hAnsi="Verdana" w:cs="Arial"/>
                <w:b/>
                <w:lang w:eastAsia="es-ES_tradnl"/>
              </w:rPr>
              <w:t>Radicación:</w:t>
            </w:r>
            <w:r w:rsidRPr="001129A3">
              <w:rPr>
                <w:rFonts w:ascii="Verdana" w:eastAsia="Calibri" w:hAnsi="Verdana" w:cs="Arial"/>
                <w:lang w:eastAsia="es-ES_tradnl"/>
              </w:rPr>
              <w:t xml:space="preserve">               </w:t>
            </w:r>
          </w:p>
        </w:tc>
        <w:tc>
          <w:tcPr>
            <w:tcW w:w="5670" w:type="dxa"/>
          </w:tcPr>
          <w:p w14:paraId="35AAA719" w14:textId="0DEF1469" w:rsidR="00B665F1" w:rsidRPr="001129A3" w:rsidRDefault="00B665F1">
            <w:pPr>
              <w:jc w:val="both"/>
              <w:rPr>
                <w:rFonts w:ascii="Verdana" w:eastAsia="Calibri" w:hAnsi="Verdana" w:cs="Arial"/>
                <w:lang w:eastAsia="es-ES_tradnl"/>
              </w:rPr>
            </w:pPr>
            <w:r w:rsidRPr="001129A3">
              <w:rPr>
                <w:rFonts w:ascii="Verdana" w:eastAsia="Calibri" w:hAnsi="Verdana" w:cs="Arial"/>
                <w:lang w:eastAsia="es-ES_tradnl"/>
              </w:rPr>
              <w:t>Respuesta a consulta con radicado</w:t>
            </w:r>
            <w:r w:rsidR="00825E3D" w:rsidRPr="001129A3">
              <w:rPr>
                <w:rFonts w:ascii="Verdana" w:eastAsia="Calibri" w:hAnsi="Verdana" w:cs="Arial"/>
                <w:lang w:eastAsia="es-ES_tradnl"/>
              </w:rPr>
              <w:t xml:space="preserve"> </w:t>
            </w:r>
            <w:r w:rsidR="00DC5E25" w:rsidRPr="001129A3">
              <w:rPr>
                <w:rFonts w:ascii="Verdana" w:eastAsia="Calibri" w:hAnsi="Verdana" w:cs="Arial"/>
                <w:lang w:eastAsia="es-ES_tradnl"/>
              </w:rPr>
              <w:t>No. 1</w:t>
            </w:r>
            <w:r w:rsidR="001D6265" w:rsidRPr="001129A3">
              <w:rPr>
                <w:rFonts w:ascii="Verdana" w:eastAsia="Calibri" w:hAnsi="Verdana" w:cs="Arial"/>
                <w:lang w:eastAsia="es-ES_tradnl"/>
              </w:rPr>
              <w:t>_2026_02_09_001654</w:t>
            </w:r>
          </w:p>
        </w:tc>
      </w:tr>
    </w:tbl>
    <w:p w14:paraId="204623F4" w14:textId="77777777" w:rsidR="00B665F1" w:rsidRPr="001129A3" w:rsidRDefault="00B665F1" w:rsidP="002775C9">
      <w:pPr>
        <w:spacing w:after="0" w:line="240" w:lineRule="auto"/>
        <w:jc w:val="both"/>
        <w:rPr>
          <w:rFonts w:ascii="Verdana" w:eastAsia="Calibri" w:hAnsi="Verdana" w:cs="Arial"/>
          <w:lang w:eastAsia="es-ES_tradnl"/>
        </w:rPr>
      </w:pPr>
    </w:p>
    <w:p w14:paraId="3DDDF92B" w14:textId="145C24D9" w:rsidR="00B665F1" w:rsidRPr="000952AC" w:rsidRDefault="00B665F1" w:rsidP="00B665F1">
      <w:pPr>
        <w:spacing w:after="0" w:line="276" w:lineRule="auto"/>
        <w:jc w:val="both"/>
        <w:rPr>
          <w:rFonts w:ascii="Verdana" w:eastAsia="Calibri" w:hAnsi="Verdana" w:cs="Arial"/>
          <w:lang w:eastAsia="es-ES"/>
        </w:rPr>
      </w:pPr>
      <w:r w:rsidRPr="000952AC">
        <w:rPr>
          <w:rFonts w:ascii="Verdana" w:eastAsia="Calibri" w:hAnsi="Verdana" w:cs="Arial"/>
          <w:lang w:eastAsia="es-ES"/>
        </w:rPr>
        <w:t>Estimad</w:t>
      </w:r>
      <w:r w:rsidR="0074717F">
        <w:rPr>
          <w:rFonts w:ascii="Verdana" w:eastAsia="Calibri" w:hAnsi="Verdana" w:cs="Arial"/>
          <w:lang w:eastAsia="es-ES"/>
        </w:rPr>
        <w:t>a</w:t>
      </w:r>
      <w:r w:rsidRPr="000952AC">
        <w:rPr>
          <w:rFonts w:ascii="Verdana" w:eastAsia="Calibri" w:hAnsi="Verdana" w:cs="Arial"/>
          <w:lang w:eastAsia="es-ES"/>
        </w:rPr>
        <w:t xml:space="preserve"> señor</w:t>
      </w:r>
      <w:r w:rsidR="0074717F">
        <w:rPr>
          <w:rFonts w:ascii="Verdana" w:eastAsia="Calibri" w:hAnsi="Verdana" w:cs="Arial"/>
          <w:lang w:eastAsia="es-ES"/>
        </w:rPr>
        <w:t>a, Potes:</w:t>
      </w:r>
      <w:r w:rsidRPr="000952AC">
        <w:rPr>
          <w:rFonts w:ascii="Verdana" w:eastAsia="Calibri" w:hAnsi="Verdana" w:cs="Arial"/>
          <w:lang w:eastAsia="es-ES"/>
        </w:rPr>
        <w:t xml:space="preserve"> </w:t>
      </w:r>
    </w:p>
    <w:p w14:paraId="07ACC2F0" w14:textId="77777777" w:rsidR="00B665F1" w:rsidRPr="000952AC" w:rsidRDefault="00B665F1" w:rsidP="00B665F1">
      <w:pPr>
        <w:tabs>
          <w:tab w:val="left" w:pos="3768"/>
        </w:tabs>
        <w:spacing w:after="0" w:line="276" w:lineRule="auto"/>
        <w:jc w:val="both"/>
        <w:rPr>
          <w:rFonts w:ascii="Verdana" w:eastAsia="Calibri" w:hAnsi="Verdana" w:cs="Arial"/>
          <w:lang w:eastAsia="es-ES"/>
        </w:rPr>
      </w:pPr>
      <w:r w:rsidRPr="000952AC">
        <w:rPr>
          <w:rFonts w:ascii="Verdana" w:eastAsia="Calibri" w:hAnsi="Verdana" w:cs="Arial"/>
          <w:lang w:eastAsia="es-ES"/>
        </w:rPr>
        <w:tab/>
      </w:r>
    </w:p>
    <w:p w14:paraId="09BF1C46" w14:textId="2D02BD7D" w:rsidR="00B665F1" w:rsidRPr="000952AC" w:rsidRDefault="00B665F1" w:rsidP="00B665F1">
      <w:pPr>
        <w:spacing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de Contratación </w:t>
      </w:r>
      <w:r w:rsidRPr="000952AC">
        <w:rPr>
          <w:rFonts w:ascii="Verdana" w:eastAsia="Calibri" w:hAnsi="Verdana" w:cs="Arial"/>
          <w:lang w:eastAsia="es-ES"/>
        </w:rPr>
        <w:t xml:space="preserve">Pública – Colombia Compra Eficiente– responde su solicitud de consulta de fecha </w:t>
      </w:r>
      <w:r w:rsidR="00EA4740">
        <w:rPr>
          <w:rFonts w:ascii="Verdana" w:eastAsia="Calibri" w:hAnsi="Verdana" w:cs="Arial"/>
          <w:lang w:eastAsia="es-ES"/>
        </w:rPr>
        <w:t>9</w:t>
      </w:r>
      <w:r>
        <w:rPr>
          <w:rFonts w:ascii="Verdana" w:eastAsia="Calibri" w:hAnsi="Verdana" w:cs="Arial"/>
          <w:lang w:eastAsia="es-ES"/>
        </w:rPr>
        <w:t xml:space="preserve"> de </w:t>
      </w:r>
      <w:r w:rsidR="00EA4740">
        <w:rPr>
          <w:rFonts w:ascii="Verdana" w:eastAsia="Calibri" w:hAnsi="Verdana" w:cs="Arial"/>
          <w:lang w:eastAsia="es-ES"/>
        </w:rPr>
        <w:t>febrero</w:t>
      </w:r>
      <w:r w:rsidRPr="000952AC">
        <w:rPr>
          <w:rFonts w:ascii="Verdana" w:eastAsia="Calibri" w:hAnsi="Verdana" w:cs="Arial"/>
          <w:lang w:eastAsia="es-ES"/>
        </w:rPr>
        <w:t xml:space="preserve"> de 202</w:t>
      </w:r>
      <w:r w:rsidR="00EA4740">
        <w:rPr>
          <w:rFonts w:ascii="Verdana" w:eastAsia="Calibri" w:hAnsi="Verdana" w:cs="Arial"/>
          <w:lang w:eastAsia="es-ES"/>
        </w:rPr>
        <w:t>6</w:t>
      </w:r>
      <w:r w:rsidRPr="000952AC">
        <w:rPr>
          <w:rFonts w:ascii="Verdana" w:eastAsia="Calibri" w:hAnsi="Verdana" w:cs="Arial"/>
          <w:lang w:eastAsia="es-ES"/>
        </w:rPr>
        <w:t xml:space="preserve">, en la cual manifiesta lo siguiente: </w:t>
      </w:r>
    </w:p>
    <w:p w14:paraId="03AC6DEB" w14:textId="77777777" w:rsidR="00B665F1" w:rsidRPr="000952AC" w:rsidRDefault="00B665F1" w:rsidP="00B665F1">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1885ABB3" w14:textId="1DA3F593" w:rsidR="00B665F1" w:rsidRPr="000803D9" w:rsidRDefault="00B665F1" w:rsidP="00542D9F">
      <w:pPr>
        <w:spacing w:after="0" w:line="240" w:lineRule="auto"/>
        <w:ind w:left="709" w:right="709"/>
        <w:jc w:val="both"/>
        <w:rPr>
          <w:rFonts w:ascii="Verdana" w:hAnsi="Verdana"/>
          <w:sz w:val="20"/>
          <w:szCs w:val="20"/>
        </w:rPr>
      </w:pPr>
      <w:bookmarkStart w:id="1" w:name="_Hlk192699624"/>
      <w:bookmarkStart w:id="2" w:name="_Hlk199394899"/>
      <w:r w:rsidRPr="000803D9">
        <w:rPr>
          <w:rFonts w:ascii="Verdana" w:eastAsia="Century Gothic" w:hAnsi="Verdana" w:cs="Century Gothic"/>
          <w:sz w:val="20"/>
          <w:szCs w:val="20"/>
        </w:rPr>
        <w:t>“</w:t>
      </w:r>
      <w:bookmarkEnd w:id="1"/>
      <w:r w:rsidR="00542D9F" w:rsidRPr="00542D9F">
        <w:rPr>
          <w:rFonts w:ascii="Verdana" w:eastAsia="Century Gothic" w:hAnsi="Verdana" w:cs="Century Gothic"/>
          <w:sz w:val="20"/>
          <w:szCs w:val="20"/>
        </w:rPr>
        <w:t xml:space="preserve">En un proceso de contratación pública, si se va a presentar una propuesta en consorcio integrado por las empresas X y </w:t>
      </w:r>
      <w:proofErr w:type="spellStart"/>
      <w:r w:rsidR="00542D9F" w:rsidRPr="00542D9F">
        <w:rPr>
          <w:rFonts w:ascii="Verdana" w:eastAsia="Century Gothic" w:hAnsi="Verdana" w:cs="Century Gothic"/>
          <w:sz w:val="20"/>
          <w:szCs w:val="20"/>
        </w:rPr>
        <w:t>Y</w:t>
      </w:r>
      <w:proofErr w:type="spellEnd"/>
      <w:r w:rsidR="00542D9F" w:rsidRPr="00542D9F">
        <w:rPr>
          <w:rFonts w:ascii="Verdana" w:eastAsia="Century Gothic" w:hAnsi="Verdana" w:cs="Century Gothic"/>
          <w:sz w:val="20"/>
          <w:szCs w:val="20"/>
        </w:rPr>
        <w:t xml:space="preserve">, y ambas participaron previamente — junto con un tercero— en la ejecución del contrato H (con participaciones del 30% para X, 40% para Y </w:t>
      </w:r>
      <w:proofErr w:type="spellStart"/>
      <w:r w:rsidR="00542D9F" w:rsidRPr="00542D9F">
        <w:rPr>
          <w:rFonts w:ascii="Verdana" w:eastAsia="Century Gothic" w:hAnsi="Verdana" w:cs="Century Gothic"/>
          <w:sz w:val="20"/>
          <w:szCs w:val="20"/>
        </w:rPr>
        <w:t>y</w:t>
      </w:r>
      <w:proofErr w:type="spellEnd"/>
      <w:r w:rsidR="00542D9F" w:rsidRPr="00542D9F">
        <w:rPr>
          <w:rFonts w:ascii="Verdana" w:eastAsia="Century Gothic" w:hAnsi="Verdana" w:cs="Century Gothic"/>
          <w:sz w:val="20"/>
          <w:szCs w:val="20"/>
        </w:rPr>
        <w:t xml:space="preserve"> 30% para Z), y dicho contrato está debidamente registrado en el RUP para cada una según su porcentaje, ¿es obligatorio que, al acreditar experiencia, se sumen los porcentajes de X y </w:t>
      </w:r>
      <w:proofErr w:type="spellStart"/>
      <w:r w:rsidR="00542D9F" w:rsidRPr="00542D9F">
        <w:rPr>
          <w:rFonts w:ascii="Verdana" w:eastAsia="Century Gothic" w:hAnsi="Verdana" w:cs="Century Gothic"/>
          <w:sz w:val="20"/>
          <w:szCs w:val="20"/>
        </w:rPr>
        <w:t>Y</w:t>
      </w:r>
      <w:proofErr w:type="spellEnd"/>
      <w:r w:rsidR="00542D9F" w:rsidRPr="00542D9F">
        <w:rPr>
          <w:rFonts w:ascii="Verdana" w:eastAsia="Century Gothic" w:hAnsi="Verdana" w:cs="Century Gothic"/>
          <w:sz w:val="20"/>
          <w:szCs w:val="20"/>
        </w:rPr>
        <w:t xml:space="preserve"> del contrato H, o puede el nuevo consorcio optar por presentar únicamente la experiencia correspondiente a la participación de uno de sus integrantes (por ejemplo, solo la experiencia de la empresa X)?</w:t>
      </w:r>
      <w:r w:rsidRPr="00542D9F">
        <w:rPr>
          <w:rFonts w:ascii="Verdana" w:hAnsi="Verdana"/>
          <w:sz w:val="20"/>
          <w:szCs w:val="20"/>
        </w:rPr>
        <w:t>”.</w:t>
      </w:r>
      <w:bookmarkEnd w:id="2"/>
    </w:p>
    <w:p w14:paraId="5B18BDB4" w14:textId="77777777" w:rsidR="00B665F1" w:rsidRPr="007A3EBF" w:rsidRDefault="00B665F1" w:rsidP="00B665F1">
      <w:pPr>
        <w:spacing w:after="0" w:line="240" w:lineRule="auto"/>
        <w:ind w:left="709" w:right="709"/>
        <w:jc w:val="both"/>
        <w:rPr>
          <w:rFonts w:ascii="Verdana" w:hAnsi="Verdana"/>
          <w:sz w:val="20"/>
          <w:szCs w:val="20"/>
        </w:rPr>
      </w:pPr>
    </w:p>
    <w:p w14:paraId="5F328DC3" w14:textId="77777777" w:rsidR="00B665F1" w:rsidRPr="000952AC" w:rsidRDefault="00B665F1" w:rsidP="00B665F1">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w:t>
      </w:r>
      <w:r w:rsidRPr="000952AC">
        <w:rPr>
          <w:rFonts w:ascii="Verdana" w:eastAsia="Calibri" w:hAnsi="Verdana" w:cs="Arial"/>
          <w:color w:val="000000"/>
          <w:lang w:eastAsia="es-ES"/>
        </w:rPr>
        <w:lastRenderedPageBreak/>
        <w:t xml:space="preserve">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317556D8" w14:textId="77777777" w:rsidR="00B665F1" w:rsidRPr="000952AC" w:rsidRDefault="00B665F1" w:rsidP="00B665F1">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sidRPr="00BF0229">
        <w:rPr>
          <w:rFonts w:ascii="Verdana" w:eastAsia="Calibri" w:hAnsi="Verdana" w:cs="Arial"/>
          <w:color w:val="000000"/>
          <w:lang w:eastAsia="es-ES"/>
        </w:rPr>
        <w:t>el problema jurídico de su consulta.</w:t>
      </w:r>
      <w:r w:rsidRPr="000952AC">
        <w:rPr>
          <w:rFonts w:ascii="Verdana" w:eastAsia="Calibri" w:hAnsi="Verdana" w:cs="Arial"/>
          <w:color w:val="000000"/>
          <w:lang w:eastAsia="es-ES"/>
        </w:rPr>
        <w:t xml:space="preserve">  </w:t>
      </w:r>
    </w:p>
    <w:p w14:paraId="7D91709C" w14:textId="77777777" w:rsidR="00B665F1" w:rsidRPr="000952AC" w:rsidRDefault="00B665F1" w:rsidP="00B665F1">
      <w:pPr>
        <w:spacing w:after="0" w:line="276" w:lineRule="auto"/>
        <w:ind w:firstLine="709"/>
        <w:jc w:val="both"/>
        <w:rPr>
          <w:rFonts w:ascii="Verdana" w:eastAsia="Calibri" w:hAnsi="Verdana" w:cs="Arial"/>
          <w:color w:val="000000"/>
          <w:lang w:eastAsia="es-ES"/>
        </w:rPr>
      </w:pPr>
    </w:p>
    <w:p w14:paraId="4F9A1033" w14:textId="77777777" w:rsidR="00B665F1" w:rsidRPr="000952AC" w:rsidRDefault="00B665F1" w:rsidP="00B665F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952AC">
        <w:rPr>
          <w:rFonts w:ascii="Verdana" w:eastAsia="Century Gothic" w:hAnsi="Verdana" w:cs="Century Gothic"/>
          <w:b/>
          <w:bCs/>
          <w:lang w:val="es-CO"/>
        </w:rPr>
        <w:t>Problema planteado:</w:t>
      </w:r>
    </w:p>
    <w:p w14:paraId="646C545C" w14:textId="77777777" w:rsidR="00B665F1" w:rsidRPr="000952AC" w:rsidRDefault="00B665F1" w:rsidP="00B665F1">
      <w:pPr>
        <w:tabs>
          <w:tab w:val="left" w:pos="426"/>
        </w:tabs>
        <w:spacing w:after="0" w:line="276" w:lineRule="auto"/>
        <w:jc w:val="both"/>
        <w:rPr>
          <w:rFonts w:ascii="Verdana" w:eastAsia="Century Gothic" w:hAnsi="Verdana" w:cs="Century Gothic"/>
        </w:rPr>
      </w:pPr>
    </w:p>
    <w:p w14:paraId="2AED337A" w14:textId="169CED84" w:rsidR="00B665F1" w:rsidRPr="00DF7E02" w:rsidRDefault="00B665F1" w:rsidP="00B665F1">
      <w:pPr>
        <w:spacing w:after="0" w:line="276" w:lineRule="auto"/>
        <w:jc w:val="both"/>
        <w:rPr>
          <w:rFonts w:ascii="Verdana" w:eastAsia="Calibri" w:hAnsi="Verdana" w:cs="Arial"/>
          <w:color w:val="7030A0"/>
          <w:lang w:val="es-ES"/>
        </w:rPr>
      </w:pPr>
      <w:r w:rsidRPr="417FE97F">
        <w:rPr>
          <w:rFonts w:ascii="Verdana" w:eastAsia="Century Gothic" w:hAnsi="Verdana" w:cs="Century Gothic"/>
        </w:rPr>
        <w:t xml:space="preserve">De acuerdo con el contenido de su solicitud, esta Agencia resolverá el siguiente problema jurídico: </w:t>
      </w:r>
      <w:r w:rsidR="00A749B8" w:rsidRPr="00A749B8">
        <w:rPr>
          <w:rFonts w:ascii="Verdana" w:eastAsia="Century Gothic" w:hAnsi="Verdana" w:cs="Century Gothic"/>
        </w:rPr>
        <w:t xml:space="preserve">En el marco de un proceso de contratación estatal, </w:t>
      </w:r>
      <w:r w:rsidR="00407140" w:rsidRPr="00A749B8">
        <w:rPr>
          <w:rFonts w:ascii="Verdana" w:eastAsia="Century Gothic" w:hAnsi="Verdana" w:cs="Century Gothic"/>
        </w:rPr>
        <w:t>¿cómo se acredita la experiencia de los integrantes de un proponente plural?</w:t>
      </w:r>
    </w:p>
    <w:p w14:paraId="68DC91EE" w14:textId="77777777" w:rsidR="00B665F1" w:rsidRPr="007A3EBF" w:rsidRDefault="00B665F1" w:rsidP="00B665F1">
      <w:pPr>
        <w:spacing w:after="0" w:line="276" w:lineRule="auto"/>
        <w:jc w:val="both"/>
        <w:rPr>
          <w:rFonts w:ascii="Verdana" w:eastAsia="Century Gothic" w:hAnsi="Verdana" w:cs="Century Gothic"/>
        </w:rPr>
      </w:pPr>
      <w:r w:rsidRPr="000952AC">
        <w:rPr>
          <w:rFonts w:ascii="Verdana" w:eastAsia="Century Gothic" w:hAnsi="Verdana" w:cs="Century Gothic"/>
        </w:rPr>
        <w:t xml:space="preserve"> </w:t>
      </w:r>
    </w:p>
    <w:p w14:paraId="70D743A8" w14:textId="77777777" w:rsidR="00B665F1" w:rsidRPr="000952AC" w:rsidRDefault="00B665F1" w:rsidP="00B665F1">
      <w:pPr>
        <w:spacing w:after="0" w:line="276" w:lineRule="auto"/>
        <w:jc w:val="both"/>
        <w:rPr>
          <w:rFonts w:ascii="Verdana" w:eastAsia="Century Gothic" w:hAnsi="Verdana" w:cs="Century Gothic"/>
          <w:b/>
          <w:bCs/>
        </w:rPr>
      </w:pPr>
      <w:r w:rsidRPr="000952AC">
        <w:rPr>
          <w:rFonts w:ascii="Verdana" w:eastAsia="Century Gothic" w:hAnsi="Verdana" w:cs="Century Gothic"/>
          <w:b/>
          <w:bCs/>
        </w:rPr>
        <w:t>2. Respuesta:</w:t>
      </w:r>
    </w:p>
    <w:p w14:paraId="0D4B68F7" w14:textId="77777777" w:rsidR="00B665F1" w:rsidRPr="000952AC" w:rsidRDefault="00B665F1" w:rsidP="00B665F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494"/>
      </w:tblGrid>
      <w:tr w:rsidR="00B665F1" w:rsidRPr="000952AC" w14:paraId="3B49CEED" w14:textId="77777777" w:rsidTr="00244B6A">
        <w:tc>
          <w:tcPr>
            <w:tcW w:w="8828" w:type="dxa"/>
          </w:tcPr>
          <w:p w14:paraId="2106729F" w14:textId="71E55985" w:rsidR="00B665F1" w:rsidRDefault="000D5FB8" w:rsidP="002775C9">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Para dar </w:t>
            </w:r>
            <w:r w:rsidR="0032069B">
              <w:rPr>
                <w:rFonts w:ascii="Verdana" w:eastAsia="Calibri" w:hAnsi="Verdana" w:cs="Arial"/>
                <w:color w:val="000000" w:themeColor="text1"/>
                <w:lang w:val="es-ES"/>
              </w:rPr>
              <w:t>contestación al problema jurídico planteado, debemos iniciar precisando que</w:t>
            </w:r>
            <w:r w:rsidR="0020128A">
              <w:rPr>
                <w:rFonts w:ascii="Verdana" w:eastAsia="Calibri" w:hAnsi="Verdana" w:cs="Arial"/>
                <w:color w:val="000000" w:themeColor="text1"/>
                <w:lang w:val="es-ES"/>
              </w:rPr>
              <w:t>,</w:t>
            </w:r>
            <w:r w:rsidR="0032069B">
              <w:rPr>
                <w:rFonts w:ascii="Verdana" w:eastAsia="Calibri" w:hAnsi="Verdana" w:cs="Arial"/>
                <w:color w:val="000000" w:themeColor="text1"/>
                <w:lang w:val="es-ES"/>
              </w:rPr>
              <w:t xml:space="preserve"> l</w:t>
            </w:r>
            <w:r w:rsidR="00B665F1" w:rsidRPr="30FCA46D">
              <w:rPr>
                <w:rFonts w:ascii="Verdana" w:eastAsia="Calibri" w:hAnsi="Verdana" w:cs="Arial"/>
                <w:color w:val="000000" w:themeColor="text1"/>
                <w:lang w:val="es-ES"/>
              </w:rPr>
              <w:t xml:space="preserve">os </w:t>
            </w:r>
            <w:r w:rsidR="00B665F1" w:rsidRPr="30FCA46D">
              <w:rPr>
                <w:rFonts w:ascii="Verdana" w:eastAsia="Calibri" w:hAnsi="Verdana" w:cs="Arial"/>
                <w:i/>
                <w:iCs/>
                <w:color w:val="000000" w:themeColor="text1"/>
                <w:lang w:val="es-ES"/>
              </w:rPr>
              <w:t>requisitos habilitantes</w:t>
            </w:r>
            <w:r w:rsidR="00B665F1" w:rsidRPr="30FCA46D">
              <w:rPr>
                <w:rFonts w:ascii="Verdana" w:eastAsia="Calibri" w:hAnsi="Verdana" w:cs="Arial"/>
                <w:color w:val="000000" w:themeColor="text1"/>
                <w:lang w:val="es-ES"/>
              </w:rPr>
              <w:t xml:space="preserve"> se entienden como exigencias de obligatorio cumplimiento para participar en los procedimientos de selección acorde con las disposiciones normativas, de carácter legal o reglamentario, o contenidas en el acto administrativo que regula las reglas de la convocatoria, es decir, en el pliego de condiciones o su documento equivalente. </w:t>
            </w:r>
          </w:p>
          <w:p w14:paraId="0F67FBA8" w14:textId="71D3CC7D" w:rsidR="00B665F1" w:rsidRDefault="00B665F1" w:rsidP="002775C9">
            <w:pPr>
              <w:widowControl w:val="0"/>
              <w:autoSpaceDE w:val="0"/>
              <w:autoSpaceDN w:val="0"/>
              <w:spacing w:after="120" w:line="276" w:lineRule="auto"/>
              <w:ind w:firstLine="709"/>
              <w:jc w:val="both"/>
              <w:rPr>
                <w:rFonts w:ascii="Verdana" w:eastAsia="Calibri" w:hAnsi="Verdana" w:cs="Arial"/>
                <w:color w:val="000000" w:themeColor="text1"/>
                <w:lang w:val="es-ES"/>
              </w:rPr>
            </w:pPr>
            <w:r w:rsidRPr="30FCA46D">
              <w:rPr>
                <w:rFonts w:ascii="Verdana" w:eastAsia="Calibri" w:hAnsi="Verdana" w:cs="Arial"/>
                <w:color w:val="000000" w:themeColor="text1"/>
                <w:lang w:val="es-ES"/>
              </w:rPr>
              <w:t>En consecuencia, corresponde a las Entidades Estatales</w:t>
            </w:r>
            <w:r w:rsidR="0018723E">
              <w:rPr>
                <w:rFonts w:ascii="Verdana" w:eastAsia="Calibri" w:hAnsi="Verdana" w:cs="Arial"/>
                <w:color w:val="000000" w:themeColor="text1"/>
                <w:lang w:val="es-ES"/>
              </w:rPr>
              <w:t>,</w:t>
            </w:r>
            <w:r w:rsidRPr="30FCA46D">
              <w:rPr>
                <w:rFonts w:ascii="Verdana" w:eastAsia="Calibri" w:hAnsi="Verdana" w:cs="Arial"/>
                <w:color w:val="000000" w:themeColor="text1"/>
                <w:lang w:val="es-ES"/>
              </w:rPr>
              <w:t xml:space="preserve"> durante la etapa de planeación, estudiar y determinar los requisitos habilitantes que establecerán en los pliegos de condiciones, </w:t>
            </w:r>
            <w:r w:rsidR="002807F5">
              <w:rPr>
                <w:rFonts w:ascii="Verdana" w:eastAsia="Calibri" w:hAnsi="Verdana" w:cs="Arial"/>
                <w:color w:val="000000" w:themeColor="text1"/>
                <w:lang w:val="es-ES"/>
              </w:rPr>
              <w:t>de cada proceso contractu</w:t>
            </w:r>
            <w:r w:rsidR="00FA5586">
              <w:rPr>
                <w:rFonts w:ascii="Verdana" w:eastAsia="Calibri" w:hAnsi="Verdana" w:cs="Arial"/>
                <w:color w:val="000000" w:themeColor="text1"/>
                <w:lang w:val="es-ES"/>
              </w:rPr>
              <w:t xml:space="preserve">al, </w:t>
            </w:r>
            <w:r w:rsidRPr="30FCA46D">
              <w:rPr>
                <w:rFonts w:ascii="Verdana" w:eastAsia="Calibri" w:hAnsi="Verdana" w:cs="Arial"/>
                <w:color w:val="000000" w:themeColor="text1"/>
                <w:lang w:val="es-ES"/>
              </w:rPr>
              <w:t xml:space="preserve">los cuales deben fijarse de forma adecuada y proporcional. Según el artículo 2.2.1.1.1.6.2 del Decreto 1082 de 2015, las citadas entidades deben revisar estos criterios acordes con la naturaleza, el valor del contrato, la forma de pago, los riesgos asociados, el plazo y la complejidad de ejecución del objeto. Esta facultad, además implica que las entidades deben </w:t>
            </w:r>
            <w:r w:rsidRPr="30FCA46D">
              <w:rPr>
                <w:rFonts w:ascii="Verdana" w:eastAsia="Calibri" w:hAnsi="Verdana" w:cs="Arial"/>
                <w:color w:val="000000" w:themeColor="text1"/>
                <w:lang w:val="es-ES"/>
              </w:rPr>
              <w:lastRenderedPageBreak/>
              <w:t xml:space="preserve">establecer la forma en que los proponentes acreditarán estos requisitos y la manera en que la entidad verificará su cumplimiento. </w:t>
            </w:r>
          </w:p>
          <w:p w14:paraId="232E10DC" w14:textId="5CED50A3" w:rsidR="00B665F1" w:rsidRDefault="00B665F1" w:rsidP="002775C9">
            <w:pPr>
              <w:widowControl w:val="0"/>
              <w:autoSpaceDE w:val="0"/>
              <w:autoSpaceDN w:val="0"/>
              <w:spacing w:after="120" w:line="276" w:lineRule="auto"/>
              <w:ind w:firstLine="709"/>
              <w:jc w:val="both"/>
              <w:rPr>
                <w:rFonts w:ascii="Verdana" w:eastAsia="Calibri" w:hAnsi="Verdana" w:cs="Arial"/>
                <w:color w:val="000000" w:themeColor="text1"/>
                <w:lang w:val="es-ES" w:eastAsia="es-ES"/>
              </w:rPr>
            </w:pPr>
            <w:r w:rsidRPr="30FCA46D">
              <w:rPr>
                <w:rFonts w:ascii="Verdana" w:eastAsia="Calibri" w:hAnsi="Verdana" w:cs="Arial"/>
                <w:color w:val="000000" w:themeColor="text1"/>
                <w:lang w:val="es-ES" w:eastAsia="es-ES"/>
              </w:rPr>
              <w:t xml:space="preserve">Ahora bien, dentro de los requisitos habilitantes se destaca el relacionado con la </w:t>
            </w:r>
            <w:r w:rsidRPr="002775C9">
              <w:rPr>
                <w:rFonts w:ascii="Verdana" w:eastAsia="Calibri" w:hAnsi="Verdana" w:cs="Arial"/>
                <w:i/>
                <w:iCs/>
                <w:color w:val="000000" w:themeColor="text1"/>
                <w:lang w:val="es-ES" w:eastAsia="es-ES"/>
              </w:rPr>
              <w:t>experiencia</w:t>
            </w:r>
            <w:r w:rsidRPr="30FCA46D">
              <w:rPr>
                <w:rFonts w:ascii="Verdana" w:eastAsia="Calibri" w:hAnsi="Verdana" w:cs="Arial"/>
                <w:lang w:val="es-ES"/>
              </w:rPr>
              <w:t xml:space="preserve">. Como lo indica </w:t>
            </w:r>
            <w:r w:rsidRPr="30FCA46D">
              <w:rPr>
                <w:rFonts w:ascii="Verdana" w:eastAsia="Calibri" w:hAnsi="Verdana" w:cs="Arial"/>
                <w:lang w:eastAsia="es-CO"/>
              </w:rPr>
              <w:t>el “</w:t>
            </w:r>
            <w:r w:rsidRPr="30FCA46D">
              <w:rPr>
                <w:rFonts w:ascii="Verdana" w:eastAsia="Calibri" w:hAnsi="Verdana" w:cs="Arial"/>
                <w:i/>
                <w:iCs/>
                <w:lang w:eastAsia="es-CO"/>
              </w:rPr>
              <w:t>Manual para determinar y verificar requisitos habilitantes en los procesos de contratación,</w:t>
            </w:r>
            <w:r w:rsidRPr="30FCA46D">
              <w:rPr>
                <w:rFonts w:ascii="Verdana" w:eastAsia="Calibri" w:hAnsi="Verdana" w:cs="Arial"/>
                <w:lang w:eastAsia="es-CO"/>
              </w:rPr>
              <w:t xml:space="preserve"> </w:t>
            </w:r>
            <w:r>
              <w:rPr>
                <w:rFonts w:ascii="Verdana" w:eastAsia="Calibri" w:hAnsi="Verdana" w:cs="Arial"/>
                <w:lang w:eastAsia="es-CO"/>
              </w:rPr>
              <w:t>expedido por la Agencia Nacional de Contratación Pública</w:t>
            </w:r>
            <w:r w:rsidR="005F14F7">
              <w:rPr>
                <w:rFonts w:ascii="Verdana" w:eastAsia="Calibri" w:hAnsi="Verdana" w:cs="Arial"/>
                <w:lang w:eastAsia="es-CO"/>
              </w:rPr>
              <w:t xml:space="preserve"> – Colombia Compra Eficiente</w:t>
            </w:r>
            <w:r>
              <w:rPr>
                <w:rFonts w:ascii="Verdana" w:eastAsia="Calibri" w:hAnsi="Verdana" w:cs="Arial"/>
                <w:lang w:eastAsia="es-CO"/>
              </w:rPr>
              <w:t xml:space="preserve">, </w:t>
            </w:r>
            <w:r w:rsidRPr="30FCA46D">
              <w:rPr>
                <w:rFonts w:ascii="Verdana" w:eastAsia="Calibri" w:hAnsi="Verdana" w:cs="Arial"/>
                <w:lang w:eastAsia="es-CO"/>
              </w:rPr>
              <w:t>la experiencia debe ser entendida como el conocimiento del proponente derivado de su participación previa en actividades iguales o similares a las previstas en el objeto del contrato con contratantes públicos, privados, nacionales o extranjeros.</w:t>
            </w:r>
          </w:p>
          <w:p w14:paraId="39497D92" w14:textId="166662DF" w:rsidR="00B665F1" w:rsidRDefault="00B665F1" w:rsidP="002775C9">
            <w:pPr>
              <w:widowControl w:val="0"/>
              <w:autoSpaceDE w:val="0"/>
              <w:autoSpaceDN w:val="0"/>
              <w:spacing w:after="120" w:line="276" w:lineRule="auto"/>
              <w:ind w:firstLine="709"/>
              <w:jc w:val="both"/>
              <w:rPr>
                <w:rFonts w:ascii="Verdana" w:eastAsia="Calibri" w:hAnsi="Verdana" w:cs="Arial"/>
                <w:color w:val="000000"/>
                <w:lang w:val="es-ES" w:eastAsia="es-ES"/>
              </w:rPr>
            </w:pPr>
            <w:r w:rsidRPr="30FCA46D">
              <w:rPr>
                <w:rFonts w:ascii="Verdana" w:eastAsia="Calibri" w:hAnsi="Verdana" w:cs="Arial"/>
                <w:lang w:eastAsia="es-CO"/>
              </w:rPr>
              <w:t xml:space="preserve">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 y según se haya establecido en el correspondiente pliego de condiciones. </w:t>
            </w:r>
            <w:r w:rsidRPr="30FCA46D">
              <w:rPr>
                <w:rFonts w:ascii="Verdana" w:eastAsia="Calibri" w:hAnsi="Verdana" w:cs="Arial"/>
                <w:color w:val="000000" w:themeColor="text1"/>
                <w:lang w:val="es-ES" w:eastAsia="es-ES"/>
              </w:rPr>
              <w:t>Para este fin, la Entidad Estatal, como responsable de estructurar el procedimiento de selección, es autónoma para determinar los requisitos para acreditar la experiencia de acuerdo con el objeto contractual que pretende satisfacer. No obstante, en atención a lo dispuesto en el artículo 2.2.1.1.1.6.2 del Decreto 1082 de 2015, debe establecerla con sustento en el estudio del sector y sus componentes, teniendo en cuenta entre otros factores, la identificación de riesgos, el mercado y precio del bien, obra o servicio a contratar.</w:t>
            </w:r>
          </w:p>
          <w:p w14:paraId="536325FA" w14:textId="02664ECC" w:rsidR="00B665F1" w:rsidRDefault="00B665F1" w:rsidP="002775C9">
            <w:pPr>
              <w:spacing w:after="120" w:line="276" w:lineRule="auto"/>
              <w:ind w:firstLine="709"/>
              <w:jc w:val="both"/>
              <w:rPr>
                <w:rFonts w:ascii="Verdana" w:hAnsi="Verdana"/>
                <w:color w:val="000000" w:themeColor="text1"/>
                <w:lang w:val="es-ES"/>
              </w:rPr>
            </w:pPr>
            <w:r w:rsidRPr="30FCA46D">
              <w:rPr>
                <w:rFonts w:ascii="Verdana" w:eastAsia="Calibri" w:hAnsi="Verdana" w:cs="Arial"/>
                <w:lang w:val="es-ES"/>
              </w:rPr>
              <w:t xml:space="preserve">El Estatuto General de Contratación de la Administración Pública contempla la participación de los proponentes plurales </w:t>
            </w:r>
            <w:r w:rsidRPr="30FCA46D">
              <w:rPr>
                <w:rFonts w:ascii="Verdana" w:eastAsia="Calibri" w:hAnsi="Verdana" w:cs="Arial"/>
                <w:i/>
                <w:iCs/>
                <w:lang w:val="es-ES"/>
              </w:rPr>
              <w:t>conservando en todo caso su individualidad jurídica</w:t>
            </w:r>
            <w:r w:rsidRPr="30FCA46D">
              <w:rPr>
                <w:rFonts w:ascii="Verdana" w:eastAsia="Calibri" w:hAnsi="Verdana" w:cs="Arial"/>
                <w:lang w:val="es-ES"/>
              </w:rPr>
              <w:t xml:space="preserve">, de modo que el proponente plural no constituye una persona en sí misma. Como resultado de lo anterior, los requisitos habilitantes de los proponentes plurales deben ser evaluados respecto </w:t>
            </w:r>
            <w:r w:rsidRPr="30FCA46D">
              <w:rPr>
                <w:rFonts w:ascii="Verdana" w:eastAsia="Calibri" w:hAnsi="Verdana" w:cs="Arial"/>
                <w:i/>
                <w:iCs/>
                <w:lang w:val="es-ES"/>
              </w:rPr>
              <w:t>de cada miembro</w:t>
            </w:r>
            <w:r w:rsidRPr="30FCA46D">
              <w:rPr>
                <w:rFonts w:ascii="Verdana" w:eastAsia="Calibri" w:hAnsi="Verdana" w:cs="Arial"/>
                <w:lang w:val="es-ES"/>
              </w:rPr>
              <w:t>, y conforme a los requisitos previstos en el correspondiente pliego de condiciones.</w:t>
            </w:r>
            <w:r w:rsidRPr="30FCA46D">
              <w:rPr>
                <w:rFonts w:ascii="Verdana" w:hAnsi="Verdana"/>
                <w:color w:val="000000" w:themeColor="text1"/>
                <w:lang w:val="es-ES"/>
              </w:rPr>
              <w:t xml:space="preserve"> Así pues, la naturaleza jurídica de los proponentes plurales supone</w:t>
            </w:r>
            <w:r w:rsidRPr="081E2AC1">
              <w:rPr>
                <w:rFonts w:ascii="Verdana" w:hAnsi="Verdana"/>
                <w:color w:val="000000" w:themeColor="text1"/>
                <w:lang w:val="es-ES"/>
              </w:rPr>
              <w:t>, cuales</w:t>
            </w:r>
            <w:r w:rsidRPr="30FCA46D">
              <w:rPr>
                <w:rFonts w:ascii="Verdana" w:hAnsi="Verdana"/>
                <w:color w:val="000000" w:themeColor="text1"/>
                <w:lang w:val="es-ES"/>
              </w:rPr>
              <w:t xml:space="preserve"> requisitos habilitantes</w:t>
            </w:r>
            <w:r w:rsidR="00E63CD4">
              <w:rPr>
                <w:rFonts w:ascii="Verdana" w:hAnsi="Verdana"/>
                <w:color w:val="000000" w:themeColor="text1"/>
                <w:lang w:val="es-ES"/>
              </w:rPr>
              <w:t>,</w:t>
            </w:r>
            <w:r w:rsidRPr="30FCA46D">
              <w:rPr>
                <w:rFonts w:ascii="Verdana" w:hAnsi="Verdana"/>
                <w:color w:val="000000" w:themeColor="text1"/>
                <w:lang w:val="es-ES"/>
              </w:rPr>
              <w:t xml:space="preserve"> como la experiencia</w:t>
            </w:r>
            <w:r w:rsidR="00F80EA2">
              <w:rPr>
                <w:rFonts w:ascii="Verdana" w:hAnsi="Verdana"/>
                <w:color w:val="000000" w:themeColor="text1"/>
                <w:lang w:val="es-ES"/>
              </w:rPr>
              <w:t>,</w:t>
            </w:r>
            <w:r w:rsidRPr="30FCA46D">
              <w:rPr>
                <w:rFonts w:ascii="Verdana" w:hAnsi="Verdana"/>
                <w:color w:val="000000" w:themeColor="text1"/>
                <w:lang w:val="es-ES"/>
              </w:rPr>
              <w:t xml:space="preserve"> </w:t>
            </w:r>
            <w:r w:rsidRPr="081E2AC1">
              <w:rPr>
                <w:rFonts w:ascii="Verdana" w:hAnsi="Verdana"/>
                <w:color w:val="000000" w:themeColor="text1"/>
                <w:lang w:val="es-ES"/>
              </w:rPr>
              <w:t>debe</w:t>
            </w:r>
            <w:r w:rsidRPr="30FCA46D">
              <w:rPr>
                <w:rFonts w:ascii="Verdana" w:hAnsi="Verdana"/>
                <w:color w:val="000000" w:themeColor="text1"/>
                <w:lang w:val="es-ES"/>
              </w:rPr>
              <w:t xml:space="preserve"> ser evaluada con respecto </w:t>
            </w:r>
            <w:r w:rsidRPr="081E2AC1">
              <w:rPr>
                <w:rFonts w:ascii="Verdana" w:hAnsi="Verdana"/>
                <w:color w:val="000000" w:themeColor="text1"/>
                <w:lang w:val="es-ES"/>
              </w:rPr>
              <w:t>de</w:t>
            </w:r>
            <w:r w:rsidRPr="30FCA46D">
              <w:rPr>
                <w:rFonts w:ascii="Verdana" w:hAnsi="Verdana"/>
                <w:color w:val="000000" w:themeColor="text1"/>
                <w:lang w:val="es-ES"/>
              </w:rPr>
              <w:t xml:space="preserve"> cada uno de sus integrantes, de acuerdo con lo registrado en su RUP.</w:t>
            </w:r>
          </w:p>
          <w:p w14:paraId="1DB4BCCB" w14:textId="77777777" w:rsidR="00B665F1" w:rsidRDefault="00B665F1" w:rsidP="002775C9">
            <w:pPr>
              <w:spacing w:after="120" w:line="276" w:lineRule="auto"/>
              <w:ind w:firstLine="709"/>
              <w:jc w:val="both"/>
              <w:rPr>
                <w:rFonts w:ascii="Verdana" w:eastAsia="Calibri" w:hAnsi="Verdana" w:cs="Arial"/>
                <w:lang w:val="es-ES"/>
              </w:rPr>
            </w:pPr>
            <w:r w:rsidRPr="30FCA46D">
              <w:rPr>
                <w:rFonts w:ascii="Verdana" w:eastAsia="Calibri" w:hAnsi="Verdana" w:cs="Arial"/>
                <w:lang w:val="es-ES"/>
              </w:rPr>
              <w:t xml:space="preserve">Por lo tanto, la forma de acreditación de los requisitos habilitantes para los integrantes de proponentes plurales debe ser la establecida por la </w:t>
            </w:r>
            <w:r w:rsidRPr="30FCA46D">
              <w:rPr>
                <w:rFonts w:ascii="Verdana" w:eastAsia="Calibri" w:hAnsi="Verdana" w:cs="Arial"/>
                <w:lang w:val="es-ES"/>
              </w:rPr>
              <w:lastRenderedPageBreak/>
              <w:t xml:space="preserve">Entidad Estatal en los estudios previos y pliegos de condiciones de acuerdo con la necesidad a contratar. </w:t>
            </w:r>
          </w:p>
          <w:p w14:paraId="65F07CAC" w14:textId="3AA49221" w:rsidR="00B665F1" w:rsidRDefault="00B665F1" w:rsidP="002775C9">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w:t>
            </w:r>
            <w:r w:rsidRPr="00E15BAA">
              <w:rPr>
                <w:rFonts w:ascii="Verdana" w:eastAsia="Calibri" w:hAnsi="Verdana" w:cs="Arial"/>
                <w:lang w:val="es-ES"/>
              </w:rPr>
              <w:t xml:space="preserve">los proponentes plurales deberán aportar el acta de conformación consorcial o el acta de conformación de unión temporal indicando claramente la individualización de la persona natural o jurídica, el porcentaje de participación y demás compromisos entre las partes </w:t>
            </w:r>
            <w:r w:rsidRPr="081E2AC1">
              <w:rPr>
                <w:rFonts w:ascii="Verdana" w:eastAsia="Calibri" w:hAnsi="Verdana" w:cs="Arial"/>
                <w:lang w:val="es-ES"/>
              </w:rPr>
              <w:t>seg</w:t>
            </w:r>
            <w:r>
              <w:rPr>
                <w:rFonts w:ascii="Verdana" w:eastAsia="Calibri" w:hAnsi="Verdana" w:cs="Arial"/>
                <w:lang w:val="es-ES"/>
              </w:rPr>
              <w:t>ú</w:t>
            </w:r>
            <w:r w:rsidRPr="081E2AC1">
              <w:rPr>
                <w:rFonts w:ascii="Verdana" w:eastAsia="Calibri" w:hAnsi="Verdana" w:cs="Arial"/>
                <w:lang w:val="es-ES"/>
              </w:rPr>
              <w:t xml:space="preserve">n con lo previsto </w:t>
            </w:r>
            <w:r w:rsidRPr="00E15BAA">
              <w:rPr>
                <w:rFonts w:ascii="Verdana" w:eastAsia="Calibri" w:hAnsi="Verdana" w:cs="Arial"/>
                <w:lang w:val="es-ES"/>
              </w:rPr>
              <w:t>en los pliegos de condiciones y anexos del proceso contractual.</w:t>
            </w:r>
          </w:p>
          <w:p w14:paraId="680C4F44" w14:textId="0EBB112F" w:rsidR="00FB21C6" w:rsidRPr="000D5FB8" w:rsidRDefault="00B665F1" w:rsidP="002775C9">
            <w:pPr>
              <w:spacing w:before="120" w:after="120" w:line="276" w:lineRule="auto"/>
              <w:ind w:firstLine="709"/>
              <w:jc w:val="both"/>
              <w:rPr>
                <w:rFonts w:ascii="Verdana" w:hAnsi="Verdana"/>
                <w:color w:val="000000" w:themeColor="text1"/>
                <w:lang w:val="es-ES"/>
              </w:rPr>
            </w:pPr>
            <w:r>
              <w:rPr>
                <w:rFonts w:ascii="Verdana" w:eastAsia="Calibri" w:hAnsi="Verdana" w:cs="Arial"/>
                <w:lang w:val="es-ES"/>
              </w:rPr>
              <w:t xml:space="preserve">Ahora bien, nada obsta para que la </w:t>
            </w:r>
            <w:r w:rsidR="0018723E">
              <w:rPr>
                <w:rFonts w:ascii="Verdana" w:eastAsia="Calibri" w:hAnsi="Verdana" w:cs="Arial"/>
                <w:lang w:val="es-ES"/>
              </w:rPr>
              <w:t>E</w:t>
            </w:r>
            <w:r>
              <w:rPr>
                <w:rFonts w:ascii="Verdana" w:eastAsia="Calibri" w:hAnsi="Verdana" w:cs="Arial"/>
                <w:lang w:val="es-ES"/>
              </w:rPr>
              <w:t xml:space="preserve">ntidad </w:t>
            </w:r>
            <w:r w:rsidR="0018723E">
              <w:rPr>
                <w:rFonts w:ascii="Verdana" w:eastAsia="Calibri" w:hAnsi="Verdana" w:cs="Arial"/>
                <w:lang w:val="es-ES"/>
              </w:rPr>
              <w:t>E</w:t>
            </w:r>
            <w:r>
              <w:rPr>
                <w:rFonts w:ascii="Verdana" w:eastAsia="Calibri" w:hAnsi="Verdana" w:cs="Arial"/>
                <w:lang w:val="es-ES"/>
              </w:rPr>
              <w:t xml:space="preserve">statal contratante </w:t>
            </w:r>
            <w:r w:rsidRPr="00E15BAA">
              <w:rPr>
                <w:rFonts w:ascii="Verdana" w:eastAsia="Calibri" w:hAnsi="Verdana" w:cs="Arial"/>
                <w:lang w:val="es-ES"/>
              </w:rPr>
              <w:t xml:space="preserve">en relación con la experiencia de los proponentes plurales </w:t>
            </w:r>
            <w:r>
              <w:rPr>
                <w:rFonts w:ascii="Verdana" w:eastAsia="Calibri" w:hAnsi="Verdana" w:cs="Arial"/>
                <w:lang w:val="es-ES"/>
              </w:rPr>
              <w:t xml:space="preserve">indique que aquella se acreditará con la </w:t>
            </w:r>
            <w:r w:rsidRPr="00E15BAA">
              <w:rPr>
                <w:rFonts w:ascii="Verdana" w:eastAsia="Calibri" w:hAnsi="Verdana" w:cs="Arial"/>
                <w:lang w:val="es-ES"/>
              </w:rPr>
              <w:t>suma</w:t>
            </w:r>
            <w:r>
              <w:rPr>
                <w:rFonts w:ascii="Verdana" w:eastAsia="Calibri" w:hAnsi="Verdana" w:cs="Arial"/>
                <w:lang w:val="es-ES"/>
              </w:rPr>
              <w:t xml:space="preserve">toria de la experiencia demostrada </w:t>
            </w:r>
            <w:r w:rsidRPr="00E15BAA">
              <w:rPr>
                <w:rFonts w:ascii="Verdana" w:eastAsia="Calibri" w:hAnsi="Verdana" w:cs="Arial"/>
                <w:lang w:val="es-ES"/>
              </w:rPr>
              <w:t>por cada miembro del consorcio o de la unión temporal</w:t>
            </w:r>
            <w:r>
              <w:rPr>
                <w:rFonts w:ascii="Verdana" w:eastAsia="Calibri" w:hAnsi="Verdana" w:cs="Arial"/>
                <w:lang w:val="es-ES"/>
              </w:rPr>
              <w:t xml:space="preserve"> o</w:t>
            </w:r>
            <w:r w:rsidRPr="00E15BAA">
              <w:rPr>
                <w:rFonts w:ascii="Verdana" w:eastAsia="Calibri" w:hAnsi="Verdana" w:cs="Arial"/>
                <w:lang w:val="es-ES"/>
              </w:rPr>
              <w:t xml:space="preserve"> que cada miembro del proponente plural deba </w:t>
            </w:r>
            <w:r w:rsidRPr="00C960E8">
              <w:rPr>
                <w:rFonts w:ascii="Verdana" w:hAnsi="Verdana"/>
                <w:color w:val="000000" w:themeColor="text1"/>
                <w:lang w:val="es-ES"/>
              </w:rPr>
              <w:t>acreditar la experiencia requerida en el proce</w:t>
            </w:r>
            <w:r w:rsidR="00823C04">
              <w:rPr>
                <w:rFonts w:ascii="Verdana" w:hAnsi="Verdana"/>
                <w:color w:val="000000" w:themeColor="text1"/>
                <w:lang w:val="es-ES"/>
              </w:rPr>
              <w:t>so.</w:t>
            </w:r>
          </w:p>
        </w:tc>
      </w:tr>
    </w:tbl>
    <w:p w14:paraId="1994312B" w14:textId="77777777" w:rsidR="00B665F1" w:rsidRPr="000952AC" w:rsidRDefault="00B665F1" w:rsidP="005B5082">
      <w:pPr>
        <w:tabs>
          <w:tab w:val="left" w:pos="142"/>
          <w:tab w:val="left" w:pos="284"/>
        </w:tabs>
        <w:spacing w:after="0" w:line="276" w:lineRule="auto"/>
        <w:jc w:val="both"/>
        <w:rPr>
          <w:rFonts w:ascii="Verdana" w:eastAsia="Century Gothic" w:hAnsi="Verdana" w:cs="Century Gothic"/>
          <w:b/>
          <w:bCs/>
        </w:rPr>
      </w:pPr>
    </w:p>
    <w:p w14:paraId="556C365B" w14:textId="5ABD3A70" w:rsidR="00B665F1" w:rsidRDefault="00B665F1">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t>3. Razones de la respuesta:</w:t>
      </w:r>
    </w:p>
    <w:p w14:paraId="2877B3EE" w14:textId="77777777" w:rsidR="005B5082" w:rsidRPr="000952AC" w:rsidRDefault="005B5082" w:rsidP="002775C9">
      <w:pPr>
        <w:tabs>
          <w:tab w:val="left" w:pos="142"/>
          <w:tab w:val="left" w:pos="284"/>
        </w:tabs>
        <w:spacing w:after="0" w:line="276" w:lineRule="auto"/>
        <w:jc w:val="both"/>
        <w:rPr>
          <w:rFonts w:ascii="Verdana" w:eastAsia="Century Gothic" w:hAnsi="Verdana" w:cs="Century Gothic"/>
          <w:b/>
          <w:bCs/>
        </w:rPr>
      </w:pPr>
    </w:p>
    <w:p w14:paraId="336E27C9" w14:textId="3B180374" w:rsidR="00B665F1" w:rsidRDefault="00B665F1" w:rsidP="005B5082">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0952AC">
        <w:rPr>
          <w:rFonts w:ascii="Verdana" w:eastAsia="Calibri" w:hAnsi="Verdana" w:cs="Arial"/>
          <w:lang w:val="es-CO"/>
        </w:rPr>
        <w:t xml:space="preserve">Lo anterior se sustenta en las siguientes consideraciones: </w:t>
      </w:r>
    </w:p>
    <w:p w14:paraId="234940ED" w14:textId="77777777" w:rsidR="005B5082" w:rsidRDefault="005B5082" w:rsidP="005B5082">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23F924FC" w14:textId="77777777" w:rsidR="00B665F1" w:rsidRPr="00F9120E" w:rsidRDefault="00B665F1" w:rsidP="002775C9">
      <w:pPr>
        <w:spacing w:after="120" w:line="276" w:lineRule="auto"/>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Los </w:t>
      </w:r>
      <w:r w:rsidRPr="00924A6A">
        <w:rPr>
          <w:rFonts w:ascii="Verdana" w:eastAsia="Calibri" w:hAnsi="Verdana" w:cs="Arial"/>
          <w:color w:val="000000" w:themeColor="text1"/>
          <w:lang w:val="es-ES"/>
        </w:rPr>
        <w:t>requisitos habilitantes</w:t>
      </w:r>
      <w:r w:rsidRPr="00F9120E">
        <w:rPr>
          <w:rFonts w:ascii="Verdana" w:eastAsia="Calibri" w:hAnsi="Verdana" w:cs="Arial"/>
          <w:color w:val="000000" w:themeColor="text1"/>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924A6A">
        <w:rPr>
          <w:rFonts w:ascii="Verdana" w:eastAsia="Calibri" w:hAnsi="Verdana" w:cs="Arial"/>
          <w:color w:val="000000" w:themeColor="text1"/>
          <w:lang w:val="es-ES"/>
        </w:rPr>
        <w:t>criterios de evaluación –</w:t>
      </w:r>
      <w:r w:rsidRPr="00F9120E">
        <w:rPr>
          <w:rFonts w:ascii="Verdana" w:eastAsia="Calibri" w:hAnsi="Verdana" w:cs="Arial"/>
          <w:color w:val="000000" w:themeColor="text1"/>
          <w:lang w:val="es-ES"/>
        </w:rPr>
        <w:t xml:space="preserve">también conocidos como </w:t>
      </w:r>
      <w:r w:rsidRPr="00924A6A">
        <w:rPr>
          <w:rFonts w:ascii="Verdana" w:eastAsia="Calibri" w:hAnsi="Verdana" w:cs="Arial"/>
          <w:color w:val="000000" w:themeColor="text1"/>
          <w:lang w:val="es-ES"/>
        </w:rPr>
        <w:t>criterios de calificación–</w:t>
      </w:r>
      <w:r w:rsidRPr="00F9120E">
        <w:rPr>
          <w:rFonts w:ascii="Verdana" w:eastAsia="Calibri" w:hAnsi="Verdana" w:cs="Arial"/>
          <w:color w:val="000000" w:themeColor="text1"/>
          <w:lang w:val="es-ES"/>
        </w:rPr>
        <w:t xml:space="preserve"> en que la Entidad Estatal define estos factores para la asignación de puntaje en la comparación de las ofertas con el fin de establecer el orden de elegibilidad y la propuesta ganadora. </w:t>
      </w:r>
    </w:p>
    <w:p w14:paraId="280C9EA8" w14:textId="4C4C7806" w:rsidR="00B665F1" w:rsidRPr="00F9120E" w:rsidRDefault="00B665F1" w:rsidP="002775C9">
      <w:pPr>
        <w:spacing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En efecto, los requisitos habilitantes constituyen obligaciones que los proponentes deben cumplir y acreditar para participar en el procedimiento de selección, por lo que no son objeto de evaluación</w:t>
      </w:r>
      <w:r w:rsidR="005B5082">
        <w:rPr>
          <w:rFonts w:ascii="Verdana" w:eastAsia="Calibri" w:hAnsi="Verdana" w:cs="Arial"/>
          <w:color w:val="000000" w:themeColor="text1"/>
          <w:lang w:val="es-ES"/>
        </w:rPr>
        <w:t>,</w:t>
      </w:r>
      <w:r w:rsidRPr="00F9120E">
        <w:rPr>
          <w:rFonts w:ascii="Verdana" w:eastAsia="Calibri" w:hAnsi="Verdana" w:cs="Arial"/>
          <w:color w:val="000000" w:themeColor="text1"/>
          <w:lang w:val="es-ES"/>
        </w:rPr>
        <w:t xml:space="preserve">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072F54F9" w14:textId="4AC45D96" w:rsidR="00B665F1" w:rsidRPr="00F9120E" w:rsidRDefault="00B665F1" w:rsidP="002775C9">
      <w:pPr>
        <w:spacing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lang w:val="es-ES"/>
        </w:rPr>
        <w:lastRenderedPageBreak/>
        <w:t xml:space="preserve">Al respecto, el inciso primero del artículo 5 de la Ley 1150 de 2007 dispone los factores de escogencia y calificación que deben indicarse en los pliegos de condiciones. Además, </w:t>
      </w:r>
      <w:r w:rsidRPr="00F9120E">
        <w:rPr>
          <w:rFonts w:ascii="Verdana" w:eastAsia="Calibri" w:hAnsi="Verdana" w:cs="Arial"/>
          <w:color w:val="000000" w:themeColor="text1"/>
          <w:lang w:val="es-ES"/>
        </w:rPr>
        <w:t xml:space="preserve">el mencionado artículo señala que es </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F9120E">
        <w:rPr>
          <w:rFonts w:ascii="Verdana" w:eastAsia="Calibri" w:hAnsi="Verdana" w:cs="Arial"/>
          <w:i/>
          <w:iCs/>
          <w:color w:val="000000" w:themeColor="text1"/>
          <w:lang w:val="es-ES"/>
        </w:rPr>
        <w:t>”</w:t>
      </w:r>
      <w:r w:rsidRPr="00F9120E">
        <w:rPr>
          <w:rFonts w:ascii="Verdana" w:eastAsia="Calibri" w:hAnsi="Verdana" w:cs="Arial"/>
          <w:color w:val="000000" w:themeColor="text1"/>
          <w:lang w:val="es-ES"/>
        </w:rPr>
        <w:t xml:space="preserve">. De este modo, los factores que establezcan las entidades en los pliegos de condiciones o sus documentos equivalentes deberán tener en cuenta, entre otras cuestiones, lo </w:t>
      </w:r>
      <w:r>
        <w:rPr>
          <w:rFonts w:ascii="Verdana" w:eastAsia="Calibri" w:hAnsi="Verdana" w:cs="Arial"/>
          <w:color w:val="000000" w:themeColor="text1"/>
          <w:lang w:val="es-ES"/>
        </w:rPr>
        <w:t xml:space="preserve">dispuesto </w:t>
      </w:r>
      <w:r w:rsidRPr="00F9120E">
        <w:rPr>
          <w:rFonts w:ascii="Verdana" w:eastAsia="Calibri" w:hAnsi="Verdana" w:cs="Arial"/>
          <w:color w:val="000000" w:themeColor="text1"/>
          <w:lang w:val="es-ES"/>
        </w:rPr>
        <w:t xml:space="preserve">en esta norma. </w:t>
      </w:r>
    </w:p>
    <w:p w14:paraId="3DDB81F0" w14:textId="2CA5534D" w:rsidR="00B665F1" w:rsidRDefault="00B665F1" w:rsidP="005B5082">
      <w:pPr>
        <w:spacing w:before="120" w:after="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El numeral 1º del artículo referido establece que en los procesos de selección de contratistas serán objeto de verificación, como requisitos habilitantes, </w:t>
      </w:r>
      <w:r w:rsidRPr="00652279">
        <w:rPr>
          <w:rFonts w:ascii="Verdana" w:eastAsia="Calibri" w:hAnsi="Verdana" w:cs="Arial"/>
          <w:color w:val="000000" w:themeColor="text1"/>
          <w:lang w:val="es-ES"/>
        </w:rPr>
        <w:t>entre otros</w:t>
      </w:r>
      <w:r w:rsidRPr="00F9120E">
        <w:rPr>
          <w:rFonts w:ascii="Verdana" w:eastAsia="Calibri" w:hAnsi="Verdana" w:cs="Arial"/>
          <w:color w:val="000000" w:themeColor="text1"/>
          <w:lang w:val="es-ES"/>
        </w:rPr>
        <w:t xml:space="preserve">, los siguientes: (i) la capacidad jurídica, (ii) la experiencia, (iii) la capacidad financiera y (iv) la capacidad de organización. Al respecto, la norma citada dispone: </w:t>
      </w:r>
    </w:p>
    <w:p w14:paraId="5D7971A2" w14:textId="77777777" w:rsidR="005B5082" w:rsidRPr="00F9120E" w:rsidRDefault="005B5082" w:rsidP="002775C9">
      <w:pPr>
        <w:spacing w:after="0" w:line="276" w:lineRule="auto"/>
        <w:ind w:firstLine="709"/>
        <w:jc w:val="both"/>
        <w:rPr>
          <w:rFonts w:ascii="Verdana" w:eastAsia="Calibri" w:hAnsi="Verdana" w:cs="Arial"/>
          <w:color w:val="000000" w:themeColor="text1"/>
          <w:lang w:val="es-ES"/>
        </w:rPr>
      </w:pPr>
    </w:p>
    <w:p w14:paraId="2914B7D8" w14:textId="77777777" w:rsidR="00B665F1" w:rsidRPr="0078693F" w:rsidRDefault="00B665F1" w:rsidP="002775C9">
      <w:pPr>
        <w:spacing w:after="0" w:line="240" w:lineRule="auto"/>
        <w:ind w:left="709" w:right="709"/>
        <w:jc w:val="both"/>
        <w:rPr>
          <w:rFonts w:ascii="Verdana" w:eastAsia="Calibri" w:hAnsi="Verdana" w:cs="Arial"/>
          <w:color w:val="000000" w:themeColor="text1"/>
          <w:sz w:val="20"/>
          <w:szCs w:val="20"/>
          <w:lang w:val="es-ES"/>
        </w:rPr>
      </w:pPr>
      <w:r w:rsidRPr="0078693F">
        <w:rPr>
          <w:rFonts w:ascii="Verdana" w:eastAsia="Calibri" w:hAnsi="Verdana" w:cs="Arial"/>
          <w:color w:val="000000" w:themeColor="text1"/>
          <w:sz w:val="20"/>
          <w:szCs w:val="20"/>
          <w:lang w:val="es-ES"/>
        </w:rPr>
        <w:t xml:space="preserve">“Artículo 5. De la Selección Objetiva. </w:t>
      </w:r>
    </w:p>
    <w:p w14:paraId="1ADDA347" w14:textId="77777777" w:rsidR="00B665F1" w:rsidRPr="0078693F" w:rsidRDefault="00B665F1" w:rsidP="002775C9">
      <w:pPr>
        <w:spacing w:after="0" w:line="240" w:lineRule="auto"/>
        <w:ind w:left="709" w:right="709"/>
        <w:jc w:val="both"/>
        <w:rPr>
          <w:rFonts w:ascii="Verdana" w:eastAsia="Calibri" w:hAnsi="Verdana" w:cs="Arial"/>
          <w:color w:val="000000" w:themeColor="text1"/>
          <w:sz w:val="20"/>
          <w:szCs w:val="20"/>
          <w:lang w:val="es-ES"/>
        </w:rPr>
      </w:pPr>
      <w:r w:rsidRPr="0078693F">
        <w:rPr>
          <w:rFonts w:ascii="Verdana" w:eastAsia="Calibri" w:hAnsi="Verdana" w:cs="Arial"/>
          <w:color w:val="000000" w:themeColor="text1"/>
          <w:sz w:val="20"/>
          <w:szCs w:val="20"/>
          <w:lang w:val="es-ES"/>
        </w:rPr>
        <w:t>[…]</w:t>
      </w:r>
    </w:p>
    <w:p w14:paraId="43CD8B0C" w14:textId="77777777" w:rsidR="00B665F1" w:rsidRDefault="00B665F1" w:rsidP="005B5082">
      <w:pPr>
        <w:spacing w:after="0" w:line="240" w:lineRule="auto"/>
        <w:ind w:left="709" w:right="709"/>
        <w:jc w:val="both"/>
        <w:rPr>
          <w:rFonts w:ascii="Verdana" w:eastAsia="Calibri" w:hAnsi="Verdana" w:cs="Arial"/>
          <w:color w:val="000000" w:themeColor="text1"/>
          <w:sz w:val="20"/>
          <w:szCs w:val="20"/>
          <w:lang w:val="es-ES"/>
        </w:rPr>
      </w:pPr>
      <w:r w:rsidRPr="0078693F">
        <w:rPr>
          <w:rFonts w:ascii="Verdana" w:eastAsia="Calibri" w:hAnsi="Verdana" w:cs="Arial"/>
          <w:color w:val="000000" w:themeColor="text1"/>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0994B3C1" w14:textId="77777777" w:rsidR="00486BC5" w:rsidRPr="002775C9" w:rsidRDefault="00486BC5" w:rsidP="002775C9">
      <w:pPr>
        <w:spacing w:after="0" w:line="276" w:lineRule="auto"/>
        <w:ind w:left="709" w:right="709"/>
        <w:jc w:val="both"/>
        <w:rPr>
          <w:rFonts w:ascii="Verdana" w:eastAsia="Calibri" w:hAnsi="Verdana" w:cs="Arial"/>
          <w:color w:val="000000" w:themeColor="text1"/>
          <w:lang w:val="es-ES"/>
        </w:rPr>
      </w:pPr>
    </w:p>
    <w:p w14:paraId="3F5C244D" w14:textId="77777777" w:rsidR="00B665F1" w:rsidRPr="00F9120E" w:rsidRDefault="00B665F1" w:rsidP="002775C9">
      <w:pPr>
        <w:spacing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Conforme lo ha sostenido esta Agencia en distintos conceptos, los requisitos habilitantes establecidos en el artículo 5, numeral 1, de la Ley 1150 de 2007 son de carácter </w:t>
      </w:r>
      <w:r w:rsidRPr="00F9120E">
        <w:rPr>
          <w:rFonts w:ascii="Verdana" w:eastAsia="Calibri" w:hAnsi="Verdana" w:cs="Arial"/>
          <w:i/>
          <w:iCs/>
          <w:color w:val="000000" w:themeColor="text1"/>
          <w:lang w:val="es-ES"/>
        </w:rPr>
        <w:t xml:space="preserve">enunciativo </w:t>
      </w:r>
      <w:r w:rsidRPr="00F9120E">
        <w:rPr>
          <w:rFonts w:ascii="Verdana" w:eastAsia="Calibri" w:hAnsi="Verdana" w:cs="Arial"/>
          <w:color w:val="000000" w:themeColor="text1"/>
          <w:lang w:val="es-ES"/>
        </w:rPr>
        <w:t xml:space="preserve">y no taxativo. Esta interpretación legal se resume en los siguientes argumentos: por un lado, esta norma no contiene una expresión como “únicamente” o “solo” al referirse a los requisitos habilitantes, sino que señala de forma </w:t>
      </w:r>
      <w:r>
        <w:rPr>
          <w:rFonts w:ascii="Verdana" w:eastAsia="Calibri" w:hAnsi="Verdana" w:cs="Arial"/>
          <w:color w:val="000000" w:themeColor="text1"/>
          <w:lang w:val="es-ES"/>
        </w:rPr>
        <w:t>enunciativa</w:t>
      </w:r>
      <w:r w:rsidRPr="00F9120E">
        <w:rPr>
          <w:rFonts w:ascii="Verdana" w:eastAsia="Calibri" w:hAnsi="Verdana" w:cs="Arial"/>
          <w:color w:val="000000" w:themeColor="text1"/>
          <w:lang w:val="es-ES"/>
        </w:rPr>
        <w:t xml:space="preserve"> que el listado puede comprender los requisitos enunciados “entre otros”; por otra parte, una lectura integral de las normas que regulan la contratación estatal</w:t>
      </w:r>
      <w:r>
        <w:rPr>
          <w:rFonts w:ascii="Verdana" w:eastAsia="Calibri" w:hAnsi="Verdana" w:cs="Arial"/>
          <w:color w:val="000000" w:themeColor="text1"/>
          <w:lang w:val="es-ES"/>
        </w:rPr>
        <w:t>,</w:t>
      </w:r>
      <w:r w:rsidRPr="00F9120E">
        <w:rPr>
          <w:rFonts w:ascii="Verdana" w:eastAsia="Calibri" w:hAnsi="Verdana" w:cs="Arial"/>
          <w:color w:val="000000" w:themeColor="text1"/>
          <w:lang w:val="es-ES"/>
        </w:rPr>
        <w:t xml:space="preserve"> permite concluir que existen otras condiciones que los proponentes deben cumplir </w:t>
      </w:r>
      <w:r w:rsidRPr="00F9120E">
        <w:rPr>
          <w:rFonts w:ascii="Verdana" w:eastAsia="Calibri" w:hAnsi="Verdana" w:cs="Arial"/>
          <w:color w:val="000000" w:themeColor="text1"/>
          <w:lang w:val="es-ES"/>
        </w:rPr>
        <w:lastRenderedPageBreak/>
        <w:t>para la contratación con una Entidad Estatal, como es el caso de la capacidad residual a la que se refiere el artículo 6º de la Ley 1150 de 2007</w:t>
      </w:r>
      <w:r w:rsidRPr="00F9120E">
        <w:rPr>
          <w:rStyle w:val="Refdenotaalpie"/>
          <w:rFonts w:ascii="Verdana" w:eastAsia="Calibri" w:hAnsi="Verdana" w:cs="Arial"/>
          <w:color w:val="000000" w:themeColor="text1"/>
          <w:lang w:val="es-ES"/>
        </w:rPr>
        <w:footnoteReference w:id="1"/>
      </w:r>
      <w:r w:rsidRPr="00F9120E">
        <w:rPr>
          <w:rFonts w:ascii="Verdana" w:eastAsia="Calibri" w:hAnsi="Verdana" w:cs="Arial"/>
          <w:color w:val="000000" w:themeColor="text1"/>
          <w:lang w:val="es-ES"/>
        </w:rPr>
        <w:t>.</w:t>
      </w:r>
    </w:p>
    <w:p w14:paraId="4CE968C0" w14:textId="77777777" w:rsidR="00B665F1" w:rsidRPr="00F9120E" w:rsidRDefault="00B665F1" w:rsidP="002775C9">
      <w:pPr>
        <w:widowControl w:val="0"/>
        <w:autoSpaceDE w:val="0"/>
        <w:autoSpaceDN w:val="0"/>
        <w:spacing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w:t>
      </w:r>
      <w:r>
        <w:rPr>
          <w:rFonts w:ascii="Verdana" w:eastAsia="Calibri" w:hAnsi="Verdana" w:cs="Arial"/>
          <w:color w:val="000000" w:themeColor="text1"/>
          <w:lang w:val="es-ES"/>
        </w:rPr>
        <w:t>,</w:t>
      </w:r>
      <w:r w:rsidRPr="00F9120E">
        <w:rPr>
          <w:rFonts w:ascii="Verdana" w:eastAsia="Calibri" w:hAnsi="Verdana" w:cs="Arial"/>
          <w:color w:val="000000" w:themeColor="text1"/>
          <w:lang w:val="es-ES"/>
        </w:rPr>
        <w:t xml:space="preserve"> de acuerdo </w:t>
      </w:r>
      <w:bookmarkStart w:id="3" w:name="_Hlk182863897"/>
      <w:r w:rsidRPr="00F9120E">
        <w:rPr>
          <w:rFonts w:ascii="Verdana" w:eastAsia="Calibri" w:hAnsi="Verdana" w:cs="Arial"/>
          <w:color w:val="000000" w:themeColor="text1"/>
          <w:lang w:val="es-ES"/>
        </w:rPr>
        <w:t>con la naturaleza, el valor del contrato, la forma de pago, los riesgos asociados, el plazo y la complejidad de ejecución del objeto</w:t>
      </w:r>
      <w:r w:rsidRPr="00F9120E">
        <w:rPr>
          <w:rStyle w:val="Refdenotaalpie"/>
          <w:rFonts w:ascii="Verdana" w:eastAsia="Calibri" w:hAnsi="Verdana" w:cs="Arial"/>
          <w:color w:val="000000" w:themeColor="text1"/>
          <w:lang w:val="es-ES"/>
        </w:rPr>
        <w:footnoteReference w:id="2"/>
      </w:r>
      <w:r w:rsidRPr="00F9120E">
        <w:rPr>
          <w:rFonts w:ascii="Verdana" w:eastAsia="Calibri" w:hAnsi="Verdana" w:cs="Arial"/>
          <w:color w:val="000000" w:themeColor="text1"/>
          <w:lang w:val="es-ES"/>
        </w:rPr>
        <w:t>.</w:t>
      </w:r>
      <w:bookmarkEnd w:id="3"/>
      <w:r w:rsidRPr="00F9120E">
        <w:rPr>
          <w:rFonts w:ascii="Verdana" w:eastAsia="Calibri" w:hAnsi="Verdana" w:cs="Arial"/>
          <w:color w:val="000000" w:themeColor="text1"/>
          <w:lang w:val="es-ES"/>
        </w:rPr>
        <w:t xml:space="preserve"> Esta facultad, además implica que las entidades deben establecer </w:t>
      </w:r>
      <w:r w:rsidRPr="00392359">
        <w:rPr>
          <w:rFonts w:ascii="Verdana" w:eastAsia="Calibri" w:hAnsi="Verdana" w:cs="Arial"/>
          <w:color w:val="000000" w:themeColor="text1"/>
          <w:lang w:val="es-ES"/>
        </w:rPr>
        <w:t>la forma</w:t>
      </w:r>
      <w:r w:rsidRPr="00F9120E">
        <w:rPr>
          <w:rFonts w:ascii="Verdana" w:eastAsia="Calibri" w:hAnsi="Verdana" w:cs="Arial"/>
          <w:color w:val="000000" w:themeColor="text1"/>
          <w:lang w:val="es-ES"/>
        </w:rPr>
        <w:t xml:space="preserve"> en que los proponentes acreditarán estos requisitos y la manera en que la entidad verificará su cumplimiento. </w:t>
      </w:r>
    </w:p>
    <w:p w14:paraId="3164723B" w14:textId="77777777" w:rsidR="00B665F1" w:rsidRDefault="00B665F1" w:rsidP="002775C9">
      <w:pPr>
        <w:spacing w:after="120" w:line="276" w:lineRule="auto"/>
        <w:ind w:firstLine="709"/>
        <w:jc w:val="both"/>
        <w:rPr>
          <w:rFonts w:ascii="Verdana" w:eastAsia="Calibri" w:hAnsi="Verdana" w:cs="Arial"/>
          <w:lang w:eastAsia="es-CO"/>
        </w:rPr>
      </w:pPr>
      <w:r w:rsidRPr="00F9120E">
        <w:rPr>
          <w:rFonts w:ascii="Verdana" w:eastAsia="Calibri" w:hAnsi="Verdana" w:cs="Arial"/>
          <w:color w:val="000000"/>
          <w:lang w:val="es-ES" w:eastAsia="es-ES_tradnl"/>
        </w:rPr>
        <w:t xml:space="preserve">Ahora bien, dentro de los requisitos habilitantes se destaca la </w:t>
      </w:r>
      <w:r>
        <w:rPr>
          <w:rFonts w:ascii="Verdana" w:eastAsia="Calibri" w:hAnsi="Verdana" w:cs="Arial"/>
          <w:color w:val="000000"/>
          <w:lang w:val="es-ES" w:eastAsia="es-ES_tradnl"/>
        </w:rPr>
        <w:t>experiencia</w:t>
      </w:r>
      <w:r w:rsidRPr="00F9120E">
        <w:rPr>
          <w:rFonts w:ascii="Verdana" w:eastAsia="Calibri" w:hAnsi="Verdana" w:cs="Arial"/>
          <w:lang w:val="es-ES"/>
        </w:rPr>
        <w:t xml:space="preserve">. </w:t>
      </w:r>
      <w:r>
        <w:rPr>
          <w:rFonts w:ascii="Verdana" w:eastAsia="Calibri" w:hAnsi="Verdana" w:cs="Arial"/>
          <w:lang w:val="es-ES"/>
        </w:rPr>
        <w:t xml:space="preserve">Como lo indica </w:t>
      </w:r>
      <w:r w:rsidRPr="00574EF1">
        <w:rPr>
          <w:rFonts w:ascii="Verdana" w:eastAsia="Calibri" w:hAnsi="Verdana" w:cs="Arial"/>
          <w:lang w:eastAsia="es-CO"/>
        </w:rPr>
        <w:t>el “</w:t>
      </w:r>
      <w:r w:rsidRPr="00574EF1">
        <w:rPr>
          <w:rFonts w:ascii="Verdana" w:eastAsia="Calibri" w:hAnsi="Verdana" w:cs="Arial"/>
          <w:i/>
          <w:iCs/>
          <w:lang w:eastAsia="es-CO"/>
        </w:rPr>
        <w:t>Manual para determinar y verificar requisitos habilitantes en los procesos de contratación”</w:t>
      </w:r>
      <w:r>
        <w:rPr>
          <w:rStyle w:val="Refdenotaalpie"/>
          <w:rFonts w:ascii="Verdana" w:eastAsia="Calibri" w:hAnsi="Verdana" w:cs="Arial"/>
          <w:i/>
          <w:iCs/>
          <w:lang w:eastAsia="es-CO"/>
        </w:rPr>
        <w:footnoteReference w:id="3"/>
      </w:r>
      <w:r w:rsidRPr="00574EF1">
        <w:rPr>
          <w:rFonts w:ascii="Verdana" w:eastAsia="Calibri" w:hAnsi="Verdana" w:cs="Arial"/>
          <w:i/>
          <w:iCs/>
          <w:lang w:eastAsia="es-CO"/>
        </w:rPr>
        <w:t>,</w:t>
      </w:r>
      <w:r w:rsidRPr="00574EF1">
        <w:rPr>
          <w:rFonts w:ascii="Verdana" w:eastAsia="Calibri" w:hAnsi="Verdana" w:cs="Arial"/>
          <w:lang w:eastAsia="es-CO"/>
        </w:rPr>
        <w:t xml:space="preserve"> </w:t>
      </w:r>
      <w:r>
        <w:rPr>
          <w:rFonts w:ascii="Verdana" w:eastAsia="Calibri" w:hAnsi="Verdana" w:cs="Arial"/>
          <w:lang w:eastAsia="es-CO"/>
        </w:rPr>
        <w:t xml:space="preserve">expedido por la Agencia Nacional de Contratación Pública, </w:t>
      </w:r>
      <w:r w:rsidRPr="00574EF1">
        <w:rPr>
          <w:rFonts w:ascii="Verdana" w:eastAsia="Calibri" w:hAnsi="Verdana" w:cs="Arial"/>
          <w:lang w:eastAsia="es-CO"/>
        </w:rPr>
        <w:t>la experiencia</w:t>
      </w:r>
      <w:r>
        <w:rPr>
          <w:rFonts w:ascii="Verdana" w:eastAsia="Calibri" w:hAnsi="Verdana" w:cs="Arial"/>
          <w:lang w:eastAsia="es-CO"/>
        </w:rPr>
        <w:t xml:space="preserve"> </w:t>
      </w:r>
      <w:r w:rsidRPr="005E6288">
        <w:rPr>
          <w:rFonts w:ascii="Verdana" w:eastAsia="Calibri" w:hAnsi="Verdana" w:cs="Arial"/>
          <w:lang w:eastAsia="es-CO"/>
        </w:rPr>
        <w:t xml:space="preserve">debe ser entendida como el conocimiento del proponente derivado de su participación previa en actividades iguales o similares a las previstas en el objeto del contrato con contratantes públicos, privados, nacionales o extranjeros. </w:t>
      </w:r>
    </w:p>
    <w:p w14:paraId="757F0B29" w14:textId="68A7ACB0" w:rsidR="00B665F1" w:rsidRPr="00FC7C3B" w:rsidRDefault="00B665F1" w:rsidP="002775C9">
      <w:pPr>
        <w:spacing w:after="120" w:line="276" w:lineRule="auto"/>
        <w:ind w:firstLine="709"/>
        <w:jc w:val="both"/>
        <w:rPr>
          <w:rFonts w:ascii="Verdana" w:eastAsia="Calibri" w:hAnsi="Verdana" w:cs="Arial"/>
          <w:lang w:eastAsia="es-CO"/>
        </w:rPr>
      </w:pPr>
      <w:r w:rsidRPr="005E6288">
        <w:rPr>
          <w:rFonts w:ascii="Verdana" w:eastAsia="Calibri" w:hAnsi="Verdana" w:cs="Arial"/>
          <w:lang w:eastAsia="es-CO"/>
        </w:rPr>
        <w:t xml:space="preserve">La experiencia puede ser adquirida directamente de manera singularizada o en asocio con otras personas, como es el caso de los proponentes plurales, </w:t>
      </w:r>
      <w:r w:rsidR="005B5082">
        <w:rPr>
          <w:rFonts w:ascii="Verdana" w:eastAsia="Calibri" w:hAnsi="Verdana" w:cs="Arial"/>
          <w:lang w:eastAsia="es-CO"/>
        </w:rPr>
        <w:t xml:space="preserve">a los cuales se refiere en su consulta, </w:t>
      </w:r>
      <w:r w:rsidRPr="005E6288">
        <w:rPr>
          <w:rFonts w:ascii="Verdana" w:eastAsia="Calibri" w:hAnsi="Verdana" w:cs="Arial"/>
          <w:lang w:eastAsia="es-CO"/>
        </w:rPr>
        <w:t>cuya experiencia no deja de ser personal, sino que, por tratarse de esquemas asociativos, se evalúa de forma proporcional a la participación de los miembros en los respectivos consorcios y/o uniones temporales</w:t>
      </w:r>
      <w:r w:rsidRPr="00574EF1">
        <w:rPr>
          <w:rFonts w:ascii="Verdana" w:eastAsia="Calibri" w:hAnsi="Verdana" w:cs="Arial"/>
          <w:vertAlign w:val="superscript"/>
          <w:lang w:eastAsia="es-CO"/>
        </w:rPr>
        <w:footnoteReference w:id="4"/>
      </w:r>
      <w:r w:rsidRPr="00574EF1">
        <w:rPr>
          <w:rFonts w:ascii="Verdana" w:eastAsia="Calibri" w:hAnsi="Verdana" w:cs="Arial"/>
          <w:lang w:eastAsia="es-CO"/>
        </w:rPr>
        <w:t>.</w:t>
      </w:r>
      <w:r>
        <w:rPr>
          <w:rFonts w:ascii="Verdana" w:eastAsia="Calibri" w:hAnsi="Verdana" w:cs="Arial"/>
          <w:lang w:eastAsia="es-CO"/>
        </w:rPr>
        <w:t xml:space="preserve"> </w:t>
      </w:r>
      <w:r w:rsidRPr="00F9120E">
        <w:rPr>
          <w:rFonts w:ascii="Verdana" w:eastAsia="Calibri" w:hAnsi="Verdana" w:cs="Arial"/>
          <w:color w:val="000000"/>
          <w:lang w:val="es-ES" w:eastAsia="es-ES_tradnl"/>
        </w:rPr>
        <w:t xml:space="preserve">Para este fin, la Entidad </w:t>
      </w:r>
      <w:r w:rsidRPr="00F9120E">
        <w:rPr>
          <w:rFonts w:ascii="Verdana" w:eastAsia="Calibri" w:hAnsi="Verdana" w:cs="Arial"/>
          <w:color w:val="000000"/>
          <w:lang w:val="es-ES" w:eastAsia="es-ES_tradnl"/>
        </w:rPr>
        <w:lastRenderedPageBreak/>
        <w:t xml:space="preserve">Estatal, como responsable de la estructuración de su procedimiento de selección, es autónoma para determinar </w:t>
      </w:r>
      <w:r>
        <w:rPr>
          <w:rFonts w:ascii="Verdana" w:eastAsia="Calibri" w:hAnsi="Verdana" w:cs="Arial"/>
          <w:color w:val="000000"/>
          <w:lang w:val="es-ES" w:eastAsia="es-ES_tradnl"/>
        </w:rPr>
        <w:t xml:space="preserve">los requisitos </w:t>
      </w:r>
      <w:r w:rsidR="005B5082">
        <w:rPr>
          <w:rFonts w:ascii="Verdana" w:eastAsia="Calibri" w:hAnsi="Verdana" w:cs="Arial"/>
          <w:color w:val="000000"/>
          <w:lang w:val="es-ES" w:eastAsia="es-ES_tradnl"/>
        </w:rPr>
        <w:t xml:space="preserve">que exigirá </w:t>
      </w:r>
      <w:r>
        <w:rPr>
          <w:rFonts w:ascii="Verdana" w:eastAsia="Calibri" w:hAnsi="Verdana" w:cs="Arial"/>
          <w:color w:val="000000"/>
          <w:lang w:val="es-ES" w:eastAsia="es-ES_tradnl"/>
        </w:rPr>
        <w:t xml:space="preserve">para acreditar la experiencia </w:t>
      </w:r>
      <w:r w:rsidRPr="00F9120E">
        <w:rPr>
          <w:rFonts w:ascii="Verdana" w:eastAsia="Calibri" w:hAnsi="Verdana" w:cs="Arial"/>
          <w:color w:val="000000"/>
          <w:lang w:val="es-ES" w:eastAsia="es-ES_tradnl"/>
        </w:rPr>
        <w:t>de acuerdo con el objeto contractual que pretende satisfacer. No obstante, en atención a lo dispuesto en el artículo 2.2.1.1.1.6.2 del Decreto 1082 de 2015, debe establecerla con sustento en el estudio del sector</w:t>
      </w:r>
      <w:r w:rsidRPr="00F9120E">
        <w:rPr>
          <w:rFonts w:ascii="Verdana" w:hAnsi="Verdana" w:cs="Arial"/>
          <w:color w:val="000000"/>
          <w:vertAlign w:val="superscript"/>
          <w:lang w:val="es-ES" w:eastAsia="es-ES_tradnl"/>
        </w:rPr>
        <w:footnoteReference w:id="5"/>
      </w:r>
      <w:r w:rsidRPr="00F9120E">
        <w:rPr>
          <w:rFonts w:ascii="Verdana" w:eastAsia="Calibri" w:hAnsi="Verdana" w:cs="Arial"/>
          <w:color w:val="000000"/>
          <w:lang w:val="es-ES" w:eastAsia="es-ES_tradnl"/>
        </w:rPr>
        <w:t xml:space="preserve"> y sus componentes, como la identificación de riesgos, el mercado y precio del bien, obra o servicio a contratar</w:t>
      </w:r>
      <w:r w:rsidRPr="00F9120E">
        <w:rPr>
          <w:rFonts w:ascii="Verdana" w:hAnsi="Verdana" w:cs="Arial"/>
          <w:color w:val="000000"/>
          <w:vertAlign w:val="superscript"/>
          <w:lang w:val="es-ES" w:eastAsia="es-ES_tradnl"/>
        </w:rPr>
        <w:footnoteReference w:id="6"/>
      </w:r>
      <w:r w:rsidRPr="00F9120E">
        <w:rPr>
          <w:rFonts w:ascii="Verdana" w:eastAsia="Calibri" w:hAnsi="Verdana" w:cs="Arial"/>
          <w:color w:val="000000"/>
          <w:lang w:val="es-ES" w:eastAsia="es-ES_tradnl"/>
        </w:rPr>
        <w:t>.</w:t>
      </w:r>
    </w:p>
    <w:p w14:paraId="25DC19E9" w14:textId="6912995F" w:rsidR="00B665F1" w:rsidRPr="00F9120E" w:rsidRDefault="00B665F1" w:rsidP="002775C9">
      <w:pPr>
        <w:spacing w:after="120" w:line="276" w:lineRule="auto"/>
        <w:ind w:firstLine="709"/>
        <w:jc w:val="both"/>
        <w:rPr>
          <w:rFonts w:ascii="Verdana" w:hAnsi="Verdana"/>
          <w:color w:val="000000" w:themeColor="text1"/>
          <w:lang w:val="es-ES"/>
        </w:rPr>
      </w:pPr>
      <w:r w:rsidRPr="00F9120E">
        <w:rPr>
          <w:rFonts w:ascii="Verdana" w:hAnsi="Verdana"/>
          <w:color w:val="000000" w:themeColor="text1"/>
          <w:lang w:val="es-ES"/>
        </w:rPr>
        <w:t>Ahora bien, teniendo en cuenta que su pregunta está relacionada con</w:t>
      </w:r>
      <w:r>
        <w:rPr>
          <w:rFonts w:ascii="Verdana" w:hAnsi="Verdana"/>
          <w:color w:val="000000" w:themeColor="text1"/>
          <w:lang w:val="es-ES"/>
        </w:rPr>
        <w:t xml:space="preserve"> la experiencia de los miembros que integran un proponente plural</w:t>
      </w:r>
      <w:r w:rsidRPr="00F9120E">
        <w:rPr>
          <w:rFonts w:ascii="Verdana" w:hAnsi="Verdana"/>
          <w:color w:val="000000" w:themeColor="text1"/>
          <w:lang w:val="es-ES"/>
        </w:rPr>
        <w:t>, como</w:t>
      </w:r>
      <w:r w:rsidR="004E5793">
        <w:rPr>
          <w:rFonts w:ascii="Verdana" w:hAnsi="Verdana"/>
          <w:color w:val="000000" w:themeColor="text1"/>
          <w:lang w:val="es-ES"/>
        </w:rPr>
        <w:t xml:space="preserve"> lo son</w:t>
      </w:r>
      <w:r w:rsidRPr="00F9120E">
        <w:rPr>
          <w:rFonts w:ascii="Verdana" w:hAnsi="Verdana"/>
          <w:color w:val="000000" w:themeColor="text1"/>
          <w:lang w:val="es-ES"/>
        </w:rPr>
        <w:t xml:space="preserve"> los consorcios y uniones temporales, es necesario definir esas figuras asociativas y determinar los lineamientos expedidos por esta Agencia </w:t>
      </w:r>
      <w:r>
        <w:rPr>
          <w:rFonts w:ascii="Verdana" w:hAnsi="Verdana"/>
          <w:color w:val="000000" w:themeColor="text1"/>
          <w:lang w:val="es-ES"/>
        </w:rPr>
        <w:t xml:space="preserve">con </w:t>
      </w:r>
      <w:r w:rsidRPr="00F9120E">
        <w:rPr>
          <w:rFonts w:ascii="Verdana" w:hAnsi="Verdana"/>
          <w:color w:val="000000" w:themeColor="text1"/>
          <w:lang w:val="es-ES"/>
        </w:rPr>
        <w:t xml:space="preserve">respecto a este requisito habilitante. </w:t>
      </w:r>
    </w:p>
    <w:p w14:paraId="07DAB66C" w14:textId="77777777" w:rsidR="00B665F1" w:rsidRPr="00F9120E" w:rsidRDefault="00B665F1" w:rsidP="002775C9">
      <w:pPr>
        <w:spacing w:after="120" w:line="276" w:lineRule="auto"/>
        <w:ind w:firstLine="708"/>
        <w:jc w:val="both"/>
        <w:rPr>
          <w:rFonts w:ascii="Verdana" w:eastAsia="Calibri" w:hAnsi="Verdana" w:cs="Arial"/>
          <w:color w:val="000000" w:themeColor="text1"/>
          <w:lang w:val="es-ES"/>
        </w:rPr>
      </w:pPr>
      <w:r w:rsidRPr="00F9120E">
        <w:rPr>
          <w:rFonts w:ascii="Verdana" w:hAnsi="Verdana"/>
          <w:color w:val="000000" w:themeColor="text1"/>
          <w:lang w:val="es-ES"/>
        </w:rPr>
        <w:t>El artículo 7 de la Ley 80 de 1993 define a los proponentes plurales como la unión de dos o más personas que presentan la misma propuesta para la adjudicación, celebración y ejecución de un contrato, pero cuya responsabilidad por las obligaciones derivadas de la propuesta y el contrato es diferente</w:t>
      </w:r>
      <w:r w:rsidRPr="00F9120E">
        <w:rPr>
          <w:rStyle w:val="Refdenotaalpie"/>
          <w:rFonts w:ascii="Verdana" w:hAnsi="Verdana"/>
          <w:color w:val="000000" w:themeColor="text1"/>
          <w:lang w:val="es-ES"/>
        </w:rPr>
        <w:footnoteReference w:id="7"/>
      </w:r>
      <w:r w:rsidRPr="00F9120E">
        <w:rPr>
          <w:rFonts w:ascii="Verdana" w:hAnsi="Verdana"/>
          <w:color w:val="000000" w:themeColor="text1"/>
          <w:lang w:val="es-ES"/>
        </w:rPr>
        <w:t xml:space="preserve">. En efecto, </w:t>
      </w:r>
      <w:r w:rsidRPr="00F9120E">
        <w:rPr>
          <w:rFonts w:ascii="Verdana" w:eastAsia="Calibri" w:hAnsi="Verdana" w:cs="Arial"/>
          <w:color w:val="000000" w:themeColor="text1"/>
          <w:lang w:val="es-ES"/>
        </w:rPr>
        <w:t xml:space="preserve">los consorcios y las uniones temporales son mecanismos de asociación fundamentados en la colaboración empresarial, mediante los cuales sus integrantes se unen y organizan en forma conjunta para lograr con mayor eficacia la obtención del derecho a ser adjudicatarios </w:t>
      </w:r>
      <w:r w:rsidRPr="00F9120E">
        <w:rPr>
          <w:rFonts w:ascii="Verdana" w:eastAsia="Calibri" w:hAnsi="Verdana" w:cs="Arial"/>
          <w:color w:val="000000" w:themeColor="text1"/>
          <w:lang w:val="es-ES"/>
        </w:rPr>
        <w:lastRenderedPageBreak/>
        <w:t>de un contrato estatal, compartiendo recursos de toda índole para su ejecución, así como las utilidades y los riesgos.</w:t>
      </w:r>
    </w:p>
    <w:p w14:paraId="6C94F83E" w14:textId="3995918F" w:rsidR="00B665F1" w:rsidRPr="00F9120E" w:rsidRDefault="00B665F1" w:rsidP="002775C9">
      <w:pPr>
        <w:spacing w:after="120" w:line="276" w:lineRule="auto"/>
        <w:ind w:firstLine="708"/>
        <w:jc w:val="both"/>
        <w:rPr>
          <w:rFonts w:ascii="Verdana" w:hAnsi="Verdana"/>
          <w:color w:val="000000" w:themeColor="text1"/>
          <w:lang w:val="es-ES"/>
        </w:rPr>
      </w:pPr>
      <w:r w:rsidRPr="00F9120E">
        <w:rPr>
          <w:rFonts w:ascii="Verdana" w:eastAsia="Calibri" w:hAnsi="Verdana" w:cs="Arial"/>
          <w:color w:val="000000" w:themeColor="text1"/>
          <w:lang w:val="es-ES"/>
        </w:rPr>
        <w:t>En efecto, los proponentes plurales pueden participar en los procesos de contratación por medio de uniones temporales y consorcios. Los consorcios se refieren a las situaciones en que dos o más personas en forma conjunta presentan una misma propuesta para la adjudicación, celebración y ejecución de un contrato, respondiendo solidariamente</w:t>
      </w:r>
      <w:r w:rsidRPr="00F9120E">
        <w:rPr>
          <w:rFonts w:ascii="Verdana" w:eastAsia="Calibri" w:hAnsi="Verdana" w:cs="Arial"/>
          <w:i/>
          <w:iCs/>
          <w:color w:val="000000" w:themeColor="text1"/>
          <w:lang w:val="es-ES"/>
        </w:rPr>
        <w:t xml:space="preserve"> </w:t>
      </w:r>
      <w:r w:rsidRPr="00F9120E">
        <w:rPr>
          <w:rFonts w:ascii="Verdana" w:eastAsia="Calibri" w:hAnsi="Verdana" w:cs="Arial"/>
          <w:color w:val="000000" w:themeColor="text1"/>
          <w:lang w:val="es-ES"/>
        </w:rPr>
        <w:t>por todas y cada una de las obligaciones derivadas de la propuesta y del contrato. En atención</w:t>
      </w:r>
      <w:r w:rsidR="00230D14">
        <w:rPr>
          <w:rFonts w:ascii="Verdana" w:eastAsia="Calibri" w:hAnsi="Verdana" w:cs="Arial"/>
          <w:color w:val="000000" w:themeColor="text1"/>
          <w:lang w:val="es-ES"/>
        </w:rPr>
        <w:t xml:space="preserve"> de</w:t>
      </w:r>
      <w:r w:rsidRPr="00F9120E">
        <w:rPr>
          <w:rFonts w:ascii="Verdana" w:eastAsia="Calibri" w:hAnsi="Verdana" w:cs="Arial"/>
          <w:color w:val="000000" w:themeColor="text1"/>
          <w:lang w:val="es-ES"/>
        </w:rPr>
        <w:t xml:space="preserve"> dicha solidaridad, las actuaciones, hechos y omisiones que se presenten </w:t>
      </w:r>
      <w:r w:rsidRPr="00F9120E">
        <w:rPr>
          <w:rFonts w:ascii="Verdana" w:eastAsia="Calibri" w:hAnsi="Verdana" w:cs="Arial"/>
          <w:i/>
          <w:iCs/>
          <w:color w:val="000000" w:themeColor="text1"/>
          <w:lang w:val="es-ES"/>
        </w:rPr>
        <w:t>en desarrollo de la propuesta y del contrato</w:t>
      </w:r>
      <w:r w:rsidRPr="00F9120E">
        <w:rPr>
          <w:rFonts w:ascii="Verdana" w:eastAsia="Calibri" w:hAnsi="Verdana" w:cs="Arial"/>
          <w:color w:val="000000" w:themeColor="text1"/>
          <w:lang w:val="es-ES"/>
        </w:rPr>
        <w:t xml:space="preserve">, afectarán </w:t>
      </w:r>
      <w:r w:rsidRPr="00F9120E">
        <w:rPr>
          <w:rFonts w:ascii="Verdana" w:eastAsia="Calibri" w:hAnsi="Verdana" w:cs="Arial"/>
          <w:i/>
          <w:iCs/>
          <w:color w:val="000000" w:themeColor="text1"/>
          <w:lang w:val="es-ES"/>
        </w:rPr>
        <w:t>a todos</w:t>
      </w:r>
      <w:r w:rsidRPr="00F9120E">
        <w:rPr>
          <w:rFonts w:ascii="Verdana" w:eastAsia="Calibri" w:hAnsi="Verdana" w:cs="Arial"/>
          <w:color w:val="000000" w:themeColor="text1"/>
          <w:lang w:val="es-ES"/>
        </w:rPr>
        <w:t xml:space="preserve"> los integrantes del Consorcio.</w:t>
      </w:r>
      <w:r w:rsidRPr="00F9120E">
        <w:rPr>
          <w:rFonts w:ascii="Verdana" w:hAnsi="Verdana"/>
          <w:color w:val="000000" w:themeColor="text1"/>
          <w:lang w:val="es-ES"/>
        </w:rPr>
        <w:t xml:space="preserve"> </w:t>
      </w:r>
      <w:r>
        <w:rPr>
          <w:rFonts w:ascii="Verdana" w:hAnsi="Verdana"/>
          <w:color w:val="000000" w:themeColor="text1"/>
          <w:lang w:val="es-ES"/>
        </w:rPr>
        <w:t>L</w:t>
      </w:r>
      <w:r w:rsidRPr="00F9120E">
        <w:rPr>
          <w:rFonts w:ascii="Verdana" w:hAnsi="Verdana"/>
          <w:color w:val="000000" w:themeColor="text1"/>
          <w:lang w:val="es-ES"/>
        </w:rPr>
        <w:t>a Corte Constitucional, en la sentencia C-414 del 22 de septiembre de 1994 señaló que el consorcio es una figura propia del derecho privado, utilizado como un instrumento de cooperación entre empresas, que les permita unir esfuerzos para la celebración y ejecución de un contrato con el Estado, sin que por ello pierdan su individualidad</w:t>
      </w:r>
      <w:r w:rsidRPr="00F9120E">
        <w:rPr>
          <w:rFonts w:ascii="Verdana" w:hAnsi="Verdana"/>
          <w:color w:val="000000" w:themeColor="text1"/>
          <w:spacing w:val="-6"/>
          <w:lang w:val="es-ES"/>
        </w:rPr>
        <w:t xml:space="preserve"> </w:t>
      </w:r>
      <w:r w:rsidRPr="00F9120E">
        <w:rPr>
          <w:rFonts w:ascii="Verdana" w:hAnsi="Verdana"/>
          <w:color w:val="000000" w:themeColor="text1"/>
          <w:lang w:val="es-ES"/>
        </w:rPr>
        <w:t>jurídica</w:t>
      </w:r>
      <w:r w:rsidRPr="00F9120E">
        <w:rPr>
          <w:rStyle w:val="Refdenotaalpie"/>
          <w:rFonts w:ascii="Verdana" w:hAnsi="Verdana"/>
          <w:color w:val="000000" w:themeColor="text1"/>
          <w:lang w:val="es-ES"/>
        </w:rPr>
        <w:footnoteReference w:id="8"/>
      </w:r>
      <w:r w:rsidRPr="00F9120E">
        <w:rPr>
          <w:rFonts w:ascii="Verdana" w:hAnsi="Verdana"/>
          <w:color w:val="000000" w:themeColor="text1"/>
          <w:lang w:val="es-ES"/>
        </w:rPr>
        <w:t>.</w:t>
      </w:r>
    </w:p>
    <w:p w14:paraId="2A044668" w14:textId="77777777" w:rsidR="00B665F1" w:rsidRPr="00F9120E" w:rsidRDefault="00B665F1" w:rsidP="002775C9">
      <w:pPr>
        <w:spacing w:after="120" w:line="276" w:lineRule="auto"/>
        <w:ind w:firstLine="708"/>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Por otra parte, según el artículo 7 de la Ley 80 de 1993, las uniones temporales se refieren a las situaciones en que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imponen de acuerdo con la participación en la ejecución de </w:t>
      </w:r>
      <w:r w:rsidRPr="00F9120E">
        <w:rPr>
          <w:rFonts w:ascii="Verdana" w:eastAsia="Calibri" w:hAnsi="Verdana" w:cs="Arial"/>
          <w:i/>
          <w:iCs/>
          <w:color w:val="000000" w:themeColor="text1"/>
          <w:lang w:val="es-ES"/>
        </w:rPr>
        <w:t>cada uno de los miembros</w:t>
      </w:r>
      <w:r w:rsidRPr="00F9120E">
        <w:rPr>
          <w:rFonts w:ascii="Verdana" w:eastAsia="Calibri" w:hAnsi="Verdana" w:cs="Arial"/>
          <w:color w:val="000000" w:themeColor="text1"/>
          <w:lang w:val="es-ES"/>
        </w:rPr>
        <w:t xml:space="preserve"> de la unión temporal.  </w:t>
      </w:r>
    </w:p>
    <w:p w14:paraId="010DBC35" w14:textId="77777777" w:rsidR="00B665F1" w:rsidRPr="00F9120E" w:rsidRDefault="00B665F1" w:rsidP="002775C9">
      <w:pPr>
        <w:spacing w:after="120" w:line="276" w:lineRule="auto"/>
        <w:ind w:firstLine="709"/>
        <w:jc w:val="both"/>
        <w:rPr>
          <w:rFonts w:ascii="Verdana" w:eastAsia="Calibri" w:hAnsi="Verdana" w:cs="Arial"/>
          <w:color w:val="000000" w:themeColor="text1"/>
          <w:lang w:val="es-ES"/>
        </w:rPr>
      </w:pPr>
      <w:r w:rsidRPr="00F9120E">
        <w:rPr>
          <w:rFonts w:ascii="Verdana" w:hAnsi="Verdana"/>
          <w:color w:val="000000" w:themeColor="text1"/>
          <w:lang w:val="es-ES"/>
        </w:rPr>
        <w:t xml:space="preserve">De esta manera, la Ley 80 de 1993 permite que dos o más personas naturales o jurídicas se agrupen para la presentación de una propuesta y la celebración de un contrato con una entidad estatal. En esto, los miembros del consorcio o la unión temporal conservan su individualidad jurídica, pues el proponente plural no genera una persona jurídica distinta a sus integrantes. </w:t>
      </w:r>
      <w:r w:rsidRPr="00F9120E">
        <w:rPr>
          <w:rFonts w:ascii="Verdana" w:eastAsia="Calibri" w:hAnsi="Verdana" w:cs="Arial"/>
          <w:color w:val="000000" w:themeColor="text1"/>
          <w:lang w:val="es-ES"/>
        </w:rPr>
        <w:t xml:space="preserve">Sin embargo, aunque no son personas jurídicas, son sujetos con capacidad para contratar, para ejecutar las obligaciones y recibir los derechos </w:t>
      </w:r>
      <w:r w:rsidRPr="00F9120E">
        <w:rPr>
          <w:rFonts w:ascii="Verdana" w:eastAsia="Calibri" w:hAnsi="Verdana" w:cs="Arial"/>
          <w:color w:val="000000" w:themeColor="text1"/>
          <w:lang w:val="es-ES"/>
        </w:rPr>
        <w:lastRenderedPageBreak/>
        <w:t xml:space="preserve">que emanan del contrato y para interrelacionarse con la Entidad Estatal contratante en todo lo relacionado con el objeto del contrato y su desarrollo. </w:t>
      </w:r>
    </w:p>
    <w:p w14:paraId="06F9E81E" w14:textId="77777777" w:rsidR="00B665F1" w:rsidRDefault="00B665F1" w:rsidP="002775C9">
      <w:pPr>
        <w:spacing w:after="120" w:line="276" w:lineRule="auto"/>
        <w:ind w:firstLine="708"/>
        <w:jc w:val="both"/>
        <w:rPr>
          <w:rFonts w:ascii="Verdana" w:hAnsi="Verdana"/>
          <w:color w:val="000000" w:themeColor="text1"/>
          <w:lang w:val="es-ES"/>
        </w:rPr>
      </w:pPr>
      <w:r w:rsidRPr="00F9120E">
        <w:rPr>
          <w:rFonts w:ascii="Verdana" w:eastAsia="Calibri" w:hAnsi="Verdana" w:cs="Arial"/>
          <w:lang w:val="es-ES"/>
        </w:rPr>
        <w:t xml:space="preserve">De lo anterior se deriva que el Estatuto General de Contratación de la Administración Pública contempla la participación de los proponentes plurales </w:t>
      </w:r>
      <w:r w:rsidRPr="00F9120E">
        <w:rPr>
          <w:rFonts w:ascii="Verdana" w:eastAsia="Calibri" w:hAnsi="Verdana" w:cs="Arial"/>
          <w:i/>
          <w:iCs/>
          <w:lang w:val="es-ES"/>
        </w:rPr>
        <w:t>conservando en todo caso su individualidad jurídica</w:t>
      </w:r>
      <w:r w:rsidRPr="00F9120E">
        <w:rPr>
          <w:rFonts w:ascii="Verdana" w:eastAsia="Calibri" w:hAnsi="Verdana" w:cs="Arial"/>
          <w:lang w:val="es-ES"/>
        </w:rPr>
        <w:t xml:space="preserve">, de modo que el proponente plural no constituye una persona en sí misma. Como resultado de lo anterior, los requisitos habilitantes de los proponentes plurales deben ser evaluados respecto </w:t>
      </w:r>
      <w:r w:rsidRPr="00F9120E">
        <w:rPr>
          <w:rFonts w:ascii="Verdana" w:eastAsia="Calibri" w:hAnsi="Verdana" w:cs="Arial"/>
          <w:i/>
          <w:iCs/>
          <w:lang w:val="es-ES"/>
        </w:rPr>
        <w:t>de cada miembro</w:t>
      </w:r>
      <w:r w:rsidRPr="00F9120E">
        <w:rPr>
          <w:rFonts w:ascii="Verdana" w:eastAsia="Calibri" w:hAnsi="Verdana" w:cs="Arial"/>
          <w:lang w:val="es-ES"/>
        </w:rPr>
        <w:t>, sin que ello desconozca la finalidad de esta figura, que es unir esfuerzos.</w:t>
      </w:r>
      <w:r w:rsidRPr="00F9120E">
        <w:rPr>
          <w:rFonts w:ascii="Verdana" w:hAnsi="Verdana"/>
          <w:color w:val="000000" w:themeColor="text1"/>
          <w:lang w:val="es-ES"/>
        </w:rPr>
        <w:t xml:space="preserve"> Así pues, la naturaleza jurídica de los consorcios supone que requisitos habilitantes como la </w:t>
      </w:r>
      <w:r>
        <w:rPr>
          <w:rFonts w:ascii="Verdana" w:hAnsi="Verdana"/>
          <w:color w:val="000000" w:themeColor="text1"/>
          <w:lang w:val="es-ES"/>
        </w:rPr>
        <w:t>experiencia</w:t>
      </w:r>
      <w:r w:rsidRPr="00F9120E">
        <w:rPr>
          <w:rFonts w:ascii="Verdana" w:hAnsi="Verdana"/>
          <w:color w:val="000000" w:themeColor="text1"/>
          <w:lang w:val="es-ES"/>
        </w:rPr>
        <w:t xml:space="preserve"> deba ser evaluada con respecto a cada uno de sus integrantes, de acuerdo con lo registrado en su RUP.</w:t>
      </w:r>
    </w:p>
    <w:p w14:paraId="3C4A767B" w14:textId="77777777" w:rsidR="00B665F1" w:rsidRPr="00F9120E" w:rsidRDefault="00B665F1" w:rsidP="002775C9">
      <w:pPr>
        <w:spacing w:after="120" w:line="276" w:lineRule="auto"/>
        <w:ind w:firstLine="709"/>
        <w:jc w:val="both"/>
        <w:rPr>
          <w:rFonts w:ascii="Verdana" w:eastAsia="Calibri" w:hAnsi="Verdana" w:cs="Arial"/>
          <w:color w:val="000000" w:themeColor="text1"/>
          <w:lang w:val="es-ES"/>
        </w:rPr>
      </w:pPr>
      <w:r w:rsidRPr="00F9120E">
        <w:rPr>
          <w:rFonts w:ascii="Verdana" w:eastAsia="Calibri" w:hAnsi="Verdana" w:cs="Arial"/>
          <w:color w:val="000000" w:themeColor="text1"/>
          <w:lang w:val="es-ES"/>
        </w:rPr>
        <w:t xml:space="preserve">De cualquier modo, tal como lo señala esta Agencia en el “Manual </w:t>
      </w:r>
      <w:r w:rsidRPr="00F9120E">
        <w:rPr>
          <w:rFonts w:ascii="Verdana" w:eastAsia="Calibri" w:hAnsi="Verdana" w:cs="Arial"/>
          <w:lang w:val="es-ES"/>
        </w:rPr>
        <w:t>para determinar y verificar los requisitos habilitantes en los procesos de contratación”</w:t>
      </w:r>
      <w:r>
        <w:rPr>
          <w:rStyle w:val="Refdenotaalpie"/>
          <w:rFonts w:ascii="Verdana" w:eastAsia="Calibri" w:hAnsi="Verdana" w:cs="Arial"/>
          <w:lang w:val="es-ES"/>
        </w:rPr>
        <w:footnoteReference w:id="9"/>
      </w:r>
      <w:r w:rsidRPr="00F9120E">
        <w:rPr>
          <w:rFonts w:ascii="Verdana" w:eastAsia="Calibri" w:hAnsi="Verdana" w:cs="Arial"/>
          <w:lang w:val="es-ES"/>
        </w:rPr>
        <w:t xml:space="preserve">, </w:t>
      </w:r>
      <w:r>
        <w:rPr>
          <w:rFonts w:ascii="Verdana" w:eastAsia="Calibri" w:hAnsi="Verdana" w:cs="Arial"/>
          <w:color w:val="000000" w:themeColor="text1"/>
        </w:rPr>
        <w:t>l</w:t>
      </w:r>
      <w:r w:rsidRPr="00FC7C3B">
        <w:rPr>
          <w:rFonts w:ascii="Verdana" w:eastAsia="Calibri" w:hAnsi="Verdana" w:cs="Arial"/>
          <w:color w:val="000000" w:themeColor="text1"/>
        </w:rPr>
        <w:t>as Entidades Estatales contratantes, como responsables de la estructuración de los Procesos de Contratación, son autónomas para establecer los requisitos habilitantes de experiencia, de acuerdo con el estudio realizado en marco del análisis del sector</w:t>
      </w:r>
      <w:r w:rsidRPr="00F9120E">
        <w:rPr>
          <w:rStyle w:val="Refdenotaalpie"/>
          <w:rFonts w:ascii="Verdana" w:eastAsia="Calibri" w:hAnsi="Verdana" w:cs="Arial"/>
          <w:color w:val="000000" w:themeColor="text1"/>
          <w:lang w:val="es-ES"/>
        </w:rPr>
        <w:footnoteReference w:id="10"/>
      </w:r>
      <w:r w:rsidRPr="00F9120E">
        <w:rPr>
          <w:rFonts w:ascii="Verdana" w:eastAsia="Calibri" w:hAnsi="Verdana" w:cs="Arial"/>
          <w:color w:val="000000" w:themeColor="text1"/>
          <w:lang w:val="es-ES"/>
        </w:rPr>
        <w:t xml:space="preserve">. En este aspecto, </w:t>
      </w:r>
      <w:r w:rsidRPr="00F9120E">
        <w:rPr>
          <w:rFonts w:ascii="Verdana" w:eastAsia="Calibri" w:hAnsi="Verdana" w:cs="Arial"/>
          <w:lang w:val="es-ES"/>
        </w:rPr>
        <w:t>las Entidades Estatales gozan de total autonomía para fijar las condiciones habilitantes y las reglas, cuidando en todo caso que no se limiten los principios de participación, libre competencia y concurrencia. Sin embargo, el uso de esta potestad debe quedar reflejada en los pliegos de condiciones o documentos equivalentes, en los cuales las Entidades Estatales deben manifestar con claridad l</w:t>
      </w:r>
      <w:r>
        <w:rPr>
          <w:rFonts w:ascii="Verdana" w:eastAsia="Calibri" w:hAnsi="Verdana" w:cs="Arial"/>
          <w:lang w:val="es-ES"/>
        </w:rPr>
        <w:t xml:space="preserve">as exigencias relativas a la experiencia </w:t>
      </w:r>
      <w:r w:rsidRPr="00F9120E">
        <w:rPr>
          <w:rFonts w:ascii="Verdana" w:eastAsia="Calibri" w:hAnsi="Verdana" w:cs="Arial"/>
          <w:lang w:val="es-ES"/>
        </w:rPr>
        <w:t>que deben acreditar los proponentes plurales, y la metodología para verificarlos con respecto a cada integrante.</w:t>
      </w:r>
    </w:p>
    <w:p w14:paraId="0FB018C7" w14:textId="77777777" w:rsidR="00B665F1" w:rsidRDefault="00B665F1" w:rsidP="002775C9">
      <w:pPr>
        <w:spacing w:after="120" w:line="276" w:lineRule="auto"/>
        <w:ind w:firstLine="709"/>
        <w:jc w:val="both"/>
        <w:rPr>
          <w:rFonts w:ascii="Verdana" w:eastAsia="Calibri" w:hAnsi="Verdana" w:cs="Arial"/>
          <w:lang w:val="es-ES"/>
        </w:rPr>
      </w:pPr>
      <w:r>
        <w:rPr>
          <w:rFonts w:ascii="Verdana" w:eastAsia="Calibri" w:hAnsi="Verdana" w:cs="Arial"/>
          <w:lang w:val="es-ES"/>
        </w:rPr>
        <w:t>Por lo tanto</w:t>
      </w:r>
      <w:r w:rsidRPr="00F9120E">
        <w:rPr>
          <w:rFonts w:ascii="Verdana" w:eastAsia="Calibri" w:hAnsi="Verdana" w:cs="Arial"/>
          <w:lang w:val="es-ES"/>
        </w:rPr>
        <w:t xml:space="preserve">, la forma de acreditación </w:t>
      </w:r>
      <w:r>
        <w:rPr>
          <w:rFonts w:ascii="Verdana" w:eastAsia="Calibri" w:hAnsi="Verdana" w:cs="Arial"/>
          <w:lang w:val="es-ES"/>
        </w:rPr>
        <w:t xml:space="preserve">de </w:t>
      </w:r>
      <w:r w:rsidRPr="00F9120E">
        <w:rPr>
          <w:rFonts w:ascii="Verdana" w:eastAsia="Calibri" w:hAnsi="Verdana" w:cs="Arial"/>
          <w:lang w:val="es-ES"/>
        </w:rPr>
        <w:t>los requisitos habilitantes para los integrantes de proponentes plurales debe ser la establecida por la Entidad Estatal en los estudios previos y pliegos de condiciones</w:t>
      </w:r>
      <w:r>
        <w:rPr>
          <w:rFonts w:ascii="Verdana" w:eastAsia="Calibri" w:hAnsi="Verdana" w:cs="Arial"/>
          <w:lang w:val="es-ES"/>
        </w:rPr>
        <w:t>,</w:t>
      </w:r>
      <w:r w:rsidRPr="00F9120E">
        <w:rPr>
          <w:rFonts w:ascii="Verdana" w:eastAsia="Calibri" w:hAnsi="Verdana" w:cs="Arial"/>
          <w:lang w:val="es-ES"/>
        </w:rPr>
        <w:t xml:space="preserve"> de acuerdo con la necesidad a contratar. El Decreto 1082 de 2015 en su artículo 2.2.1.1.1.6.1 señala el deber de las Entidades Estatales de realizar durante la etapa de planeación el análisis necesario para conocer el sector relativo al objeto del Proceso de Contratación desde la perspectiva legal, comercial, </w:t>
      </w:r>
      <w:r w:rsidRPr="00FA6BF2">
        <w:rPr>
          <w:rFonts w:ascii="Verdana" w:eastAsia="Calibri" w:hAnsi="Verdana" w:cs="Arial"/>
          <w:lang w:val="es-ES"/>
        </w:rPr>
        <w:t>financiera,</w:t>
      </w:r>
      <w:r w:rsidRPr="00F9120E">
        <w:rPr>
          <w:rFonts w:ascii="Verdana" w:eastAsia="Calibri" w:hAnsi="Verdana" w:cs="Arial"/>
          <w:lang w:val="es-ES"/>
        </w:rPr>
        <w:t xml:space="preserve"> organizacional, técnica, y de análisis de Riesgo, dejando constancia de este </w:t>
      </w:r>
      <w:r w:rsidRPr="00F9120E">
        <w:rPr>
          <w:rFonts w:ascii="Verdana" w:eastAsia="Calibri" w:hAnsi="Verdana" w:cs="Arial"/>
          <w:lang w:val="es-ES"/>
        </w:rPr>
        <w:lastRenderedPageBreak/>
        <w:t xml:space="preserve">análisis en los Documentos del Proceso, por lo cual la determinación y las condiciones exigidas para </w:t>
      </w:r>
      <w:r>
        <w:rPr>
          <w:rFonts w:ascii="Verdana" w:eastAsia="Calibri" w:hAnsi="Verdana" w:cs="Arial"/>
          <w:lang w:val="es-ES"/>
        </w:rPr>
        <w:t xml:space="preserve">determinar </w:t>
      </w:r>
      <w:r w:rsidRPr="00F9120E">
        <w:rPr>
          <w:rFonts w:ascii="Verdana" w:eastAsia="Calibri" w:hAnsi="Verdana" w:cs="Arial"/>
          <w:lang w:val="es-ES"/>
        </w:rPr>
        <w:t xml:space="preserve">la </w:t>
      </w:r>
      <w:r>
        <w:rPr>
          <w:rFonts w:ascii="Verdana" w:eastAsia="Calibri" w:hAnsi="Verdana" w:cs="Arial"/>
          <w:lang w:val="es-ES"/>
        </w:rPr>
        <w:t>experiencia</w:t>
      </w:r>
      <w:r w:rsidRPr="00F9120E">
        <w:rPr>
          <w:rFonts w:ascii="Verdana" w:eastAsia="Calibri" w:hAnsi="Verdana" w:cs="Arial"/>
          <w:lang w:val="es-ES"/>
        </w:rPr>
        <w:t xml:space="preserve"> se encuentra a cargo de la entidad contratante. </w:t>
      </w:r>
    </w:p>
    <w:p w14:paraId="71B33C0B" w14:textId="0914C81B" w:rsidR="00B665F1" w:rsidRDefault="00B665F1" w:rsidP="004A2375">
      <w:pPr>
        <w:spacing w:after="0" w:line="276" w:lineRule="auto"/>
        <w:ind w:firstLine="709"/>
        <w:jc w:val="both"/>
        <w:rPr>
          <w:rFonts w:ascii="Verdana" w:eastAsia="Calibri" w:hAnsi="Verdana" w:cs="Arial"/>
          <w:lang w:val="es-ES"/>
        </w:rPr>
      </w:pPr>
      <w:r>
        <w:rPr>
          <w:rFonts w:ascii="Verdana" w:eastAsia="Calibri" w:hAnsi="Verdana" w:cs="Arial"/>
          <w:lang w:val="es-ES"/>
        </w:rPr>
        <w:t xml:space="preserve">De acuerdo con lo anterior, </w:t>
      </w:r>
      <w:r w:rsidRPr="00E15BAA">
        <w:rPr>
          <w:rFonts w:ascii="Verdana" w:eastAsia="Calibri" w:hAnsi="Verdana" w:cs="Arial"/>
          <w:lang w:val="es-ES"/>
        </w:rPr>
        <w:t xml:space="preserve">los proponentes plurales deberán aportar el acta de conformación consorcial o el acta de conformación de unión temporal indicando claramente la individualización de la persona natural o jurídica, el porcentaje de participación y demás compromisos entre las partes </w:t>
      </w:r>
      <w:r w:rsidRPr="081E2AC1">
        <w:rPr>
          <w:rFonts w:ascii="Verdana" w:eastAsia="Calibri" w:hAnsi="Verdana" w:cs="Arial"/>
          <w:lang w:val="es-ES"/>
        </w:rPr>
        <w:t>seg</w:t>
      </w:r>
      <w:r>
        <w:rPr>
          <w:rFonts w:ascii="Verdana" w:eastAsia="Calibri" w:hAnsi="Verdana" w:cs="Arial"/>
          <w:lang w:val="es-ES"/>
        </w:rPr>
        <w:t>ú</w:t>
      </w:r>
      <w:r w:rsidRPr="081E2AC1">
        <w:rPr>
          <w:rFonts w:ascii="Verdana" w:eastAsia="Calibri" w:hAnsi="Verdana" w:cs="Arial"/>
          <w:lang w:val="es-ES"/>
        </w:rPr>
        <w:t xml:space="preserve">n lo previsto </w:t>
      </w:r>
      <w:r w:rsidRPr="00E15BAA">
        <w:rPr>
          <w:rFonts w:ascii="Verdana" w:eastAsia="Calibri" w:hAnsi="Verdana" w:cs="Arial"/>
          <w:lang w:val="es-ES"/>
        </w:rPr>
        <w:t>en los pliegos de condiciones y anexos del proceso contractual.</w:t>
      </w:r>
      <w:r>
        <w:rPr>
          <w:rFonts w:ascii="Verdana" w:eastAsia="Calibri" w:hAnsi="Verdana" w:cs="Arial"/>
          <w:lang w:val="es-ES"/>
        </w:rPr>
        <w:t xml:space="preserve"> Ahora bien, nada obsta para que la entidad estatal contratante </w:t>
      </w:r>
      <w:r w:rsidRPr="00E15BAA">
        <w:rPr>
          <w:rFonts w:ascii="Verdana" w:eastAsia="Calibri" w:hAnsi="Verdana" w:cs="Arial"/>
          <w:lang w:val="es-ES"/>
        </w:rPr>
        <w:t xml:space="preserve">en relación con la experiencia de los proponentes plurales </w:t>
      </w:r>
      <w:r>
        <w:rPr>
          <w:rFonts w:ascii="Verdana" w:eastAsia="Calibri" w:hAnsi="Verdana" w:cs="Arial"/>
          <w:lang w:val="es-ES"/>
        </w:rPr>
        <w:t xml:space="preserve">indique que aquella se acreditará con la </w:t>
      </w:r>
      <w:r w:rsidRPr="00E15BAA">
        <w:rPr>
          <w:rFonts w:ascii="Verdana" w:eastAsia="Calibri" w:hAnsi="Verdana" w:cs="Arial"/>
          <w:lang w:val="es-ES"/>
        </w:rPr>
        <w:t>suma</w:t>
      </w:r>
      <w:r>
        <w:rPr>
          <w:rFonts w:ascii="Verdana" w:eastAsia="Calibri" w:hAnsi="Verdana" w:cs="Arial"/>
          <w:lang w:val="es-ES"/>
        </w:rPr>
        <w:t xml:space="preserve">toria de la experiencia demostrada </w:t>
      </w:r>
      <w:r w:rsidRPr="00E15BAA">
        <w:rPr>
          <w:rFonts w:ascii="Verdana" w:eastAsia="Calibri" w:hAnsi="Verdana" w:cs="Arial"/>
          <w:lang w:val="es-ES"/>
        </w:rPr>
        <w:t>por cada miembro del consorcio o de la unión temporal</w:t>
      </w:r>
      <w:r>
        <w:rPr>
          <w:rFonts w:ascii="Verdana" w:eastAsia="Calibri" w:hAnsi="Verdana" w:cs="Arial"/>
          <w:lang w:val="es-ES"/>
        </w:rPr>
        <w:t xml:space="preserve"> o</w:t>
      </w:r>
      <w:r w:rsidRPr="00E15BAA">
        <w:rPr>
          <w:rFonts w:ascii="Verdana" w:eastAsia="Calibri" w:hAnsi="Verdana" w:cs="Arial"/>
          <w:lang w:val="es-ES"/>
        </w:rPr>
        <w:t xml:space="preserve"> que cada miembro del proponente plural deba acreditar la experiencia requerida en el procedimiento</w:t>
      </w:r>
      <w:r>
        <w:rPr>
          <w:rFonts w:ascii="Verdana" w:eastAsia="Calibri" w:hAnsi="Verdana" w:cs="Arial"/>
          <w:lang w:val="es-ES"/>
        </w:rPr>
        <w:t>.</w:t>
      </w:r>
    </w:p>
    <w:p w14:paraId="7D4D68DB" w14:textId="77777777" w:rsidR="004A2375" w:rsidRPr="004A2375" w:rsidRDefault="004A2375" w:rsidP="002775C9">
      <w:pPr>
        <w:spacing w:after="0" w:line="276" w:lineRule="auto"/>
        <w:ind w:firstLine="709"/>
        <w:jc w:val="both"/>
        <w:rPr>
          <w:rFonts w:ascii="Verdana" w:eastAsia="Calibri" w:hAnsi="Verdana" w:cs="Arial"/>
          <w:lang w:val="es-ES"/>
        </w:rPr>
      </w:pPr>
    </w:p>
    <w:p w14:paraId="287C25F6" w14:textId="77777777" w:rsidR="00B665F1" w:rsidRPr="004A2375" w:rsidRDefault="00B665F1" w:rsidP="004A2375">
      <w:pPr>
        <w:spacing w:after="0" w:line="276" w:lineRule="auto"/>
        <w:rPr>
          <w:rFonts w:ascii="Verdana" w:eastAsia="Calibri" w:hAnsi="Verdana" w:cs="Times New Roman"/>
          <w:b/>
          <w:bCs/>
        </w:rPr>
      </w:pPr>
      <w:r w:rsidRPr="004A2375">
        <w:rPr>
          <w:rFonts w:ascii="Verdana" w:eastAsia="Calibri" w:hAnsi="Verdana" w:cs="Times New Roman"/>
          <w:b/>
          <w:bCs/>
        </w:rPr>
        <w:t>4. Referencias normativas, jurisprudenciales y otras fuentes:</w:t>
      </w:r>
    </w:p>
    <w:p w14:paraId="3DC912C7" w14:textId="77777777" w:rsidR="00B665F1" w:rsidRPr="004A2375" w:rsidRDefault="00B665F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665F1" w:rsidRPr="004A2375" w14:paraId="65DAEF82" w14:textId="77777777" w:rsidTr="00244B6A">
        <w:trPr>
          <w:trHeight w:val="870"/>
          <w:jc w:val="center"/>
        </w:trPr>
        <w:tc>
          <w:tcPr>
            <w:tcW w:w="8647" w:type="dxa"/>
          </w:tcPr>
          <w:p w14:paraId="3154F2C2" w14:textId="4F6EB22D" w:rsidR="00B665F1" w:rsidRPr="004A2375" w:rsidRDefault="00B665F1" w:rsidP="002775C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4A2375">
              <w:rPr>
                <w:rFonts w:ascii="Verdana" w:hAnsi="Verdana" w:cs="Arial"/>
              </w:rPr>
              <w:t>Ley 1150 de 2007. Artículos: 5 y 6.</w:t>
            </w:r>
          </w:p>
          <w:p w14:paraId="322AD970" w14:textId="0E719244" w:rsidR="00B665F1" w:rsidRPr="004A2375" w:rsidRDefault="00B665F1" w:rsidP="002775C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4A2375">
              <w:rPr>
                <w:rFonts w:ascii="Verdana" w:hAnsi="Verdana" w:cs="Arial"/>
              </w:rPr>
              <w:t xml:space="preserve">Decreto 1082 de 2015. Artículos: </w:t>
            </w:r>
            <w:r w:rsidRPr="004A2375">
              <w:rPr>
                <w:rFonts w:ascii="Verdana" w:eastAsia="Calibri" w:hAnsi="Verdana" w:cs="Arial"/>
              </w:rPr>
              <w:t xml:space="preserve">2.2.1.1.1.6.1, </w:t>
            </w:r>
            <w:r w:rsidRPr="004A2375">
              <w:rPr>
                <w:rFonts w:ascii="Verdana" w:eastAsia="Calibri" w:hAnsi="Verdana" w:cs="Arial"/>
                <w:color w:val="000000" w:themeColor="text1"/>
              </w:rPr>
              <w:t>2.2.1.1.1.6.2.</w:t>
            </w:r>
          </w:p>
          <w:p w14:paraId="437D593F" w14:textId="6BD62E9F" w:rsidR="00B665F1" w:rsidRPr="004A2375" w:rsidRDefault="00B665F1" w:rsidP="002775C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4A2375">
              <w:rPr>
                <w:rFonts w:ascii="Verdana" w:eastAsia="Calibri" w:hAnsi="Verdana" w:cs="Arial"/>
                <w:color w:val="000000" w:themeColor="text1"/>
              </w:rPr>
              <w:t xml:space="preserve">Ley 80 de 1993. Artículo: 7. </w:t>
            </w:r>
          </w:p>
          <w:p w14:paraId="311E0B94" w14:textId="2291465C" w:rsidR="00B665F1" w:rsidRPr="004A2375" w:rsidRDefault="00B665F1" w:rsidP="002775C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4A2375">
              <w:rPr>
                <w:rFonts w:ascii="Verdana" w:hAnsi="Verdana" w:cs="Arial"/>
              </w:rPr>
              <w:t>Corte Constitucional, sentencia C-414 del 22 de septiembre de 1996, M.P. Antonio Barrera Carbonell.</w:t>
            </w:r>
          </w:p>
          <w:p w14:paraId="1C69A7D2" w14:textId="25CA1E54" w:rsidR="00B665F1" w:rsidRPr="004A2375" w:rsidRDefault="00B665F1" w:rsidP="002775C9">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4A2375">
              <w:rPr>
                <w:rFonts w:ascii="Verdana" w:eastAsia="Calibri" w:hAnsi="Verdana" w:cs="Arial"/>
                <w:color w:val="000000" w:themeColor="text1"/>
              </w:rPr>
              <w:t xml:space="preserve">Manual </w:t>
            </w:r>
            <w:r w:rsidRPr="004A2375">
              <w:rPr>
                <w:rFonts w:ascii="Verdana" w:eastAsia="Calibri" w:hAnsi="Verdana" w:cs="Arial"/>
              </w:rPr>
              <w:t>para determinar y verificar los requisitos habilitantes en los procesos de contratación</w:t>
            </w:r>
            <w:r w:rsidRPr="004A2375">
              <w:rPr>
                <w:rFonts w:ascii="Verdana" w:hAnsi="Verdana" w:cs="Arial"/>
              </w:rPr>
              <w:t xml:space="preserve"> en: </w:t>
            </w:r>
            <w:hyperlink r:id="rId12" w:history="1">
              <w:r w:rsidRPr="004A2375">
                <w:rPr>
                  <w:rStyle w:val="Hipervnculo"/>
                  <w:rFonts w:ascii="Verdana" w:hAnsi="Verdana" w:cs="Arial"/>
                </w:rPr>
                <w:t>https://www.colombiacompra.gov.co/wp-content/uploads/2024/08/cce-eicp-ma-04._manual_requisitos_habilitantes_v3_29-09-2023.pdf</w:t>
              </w:r>
            </w:hyperlink>
          </w:p>
          <w:p w14:paraId="66870BC2" w14:textId="559229EB" w:rsidR="00B665F1" w:rsidRPr="004A2375" w:rsidRDefault="004A2375" w:rsidP="002775C9">
            <w:pPr>
              <w:pStyle w:val="Prrafodelista"/>
              <w:numPr>
                <w:ilvl w:val="0"/>
                <w:numId w:val="17"/>
              </w:numPr>
              <w:spacing w:line="276" w:lineRule="auto"/>
              <w:contextualSpacing w:val="0"/>
              <w:rPr>
                <w:rFonts w:ascii="Verdana" w:hAnsi="Verdana" w:cs="Arial"/>
              </w:rPr>
            </w:pPr>
            <w:hyperlink r:id="rId13" w:history="1">
              <w:r w:rsidR="00B665F1" w:rsidRPr="004A2375">
                <w:rPr>
                  <w:rStyle w:val="Hipervnculo"/>
                  <w:rFonts w:ascii="Verdana" w:hAnsi="Verdana" w:cs="Arial"/>
                  <w:lang w:val="es-CO"/>
                </w:rPr>
                <w:t>Documentos tipo para licitación de obra pública de infraestructura de transporte – Versión 04 | Colombia Compra Eficiente | Agencia Nacional de Contratación Pública</w:t>
              </w:r>
            </w:hyperlink>
          </w:p>
        </w:tc>
      </w:tr>
    </w:tbl>
    <w:p w14:paraId="1B234CDC" w14:textId="77777777" w:rsidR="00B665F1" w:rsidRPr="004A2375" w:rsidRDefault="00B665F1" w:rsidP="004A2375">
      <w:pPr>
        <w:spacing w:after="0" w:line="276" w:lineRule="auto"/>
        <w:ind w:right="709"/>
        <w:jc w:val="both"/>
        <w:rPr>
          <w:rFonts w:ascii="Verdana" w:hAnsi="Verdana" w:cs="Arial"/>
          <w:color w:val="000000" w:themeColor="text1"/>
        </w:rPr>
      </w:pPr>
    </w:p>
    <w:p w14:paraId="3448465A" w14:textId="77777777" w:rsidR="00B665F1" w:rsidRPr="004A2375" w:rsidRDefault="00B665F1">
      <w:pPr>
        <w:spacing w:after="0" w:line="276" w:lineRule="auto"/>
        <w:rPr>
          <w:rFonts w:ascii="Verdana" w:eastAsia="Calibri" w:hAnsi="Verdana" w:cs="Times New Roman"/>
          <w:b/>
          <w:bCs/>
        </w:rPr>
      </w:pPr>
      <w:r w:rsidRPr="004A2375">
        <w:rPr>
          <w:rFonts w:ascii="Verdana" w:eastAsia="Calibri" w:hAnsi="Verdana" w:cs="Times New Roman"/>
          <w:b/>
          <w:bCs/>
        </w:rPr>
        <w:t>5. Doctrina de la Agencia Nacional de Contratación Pública:</w:t>
      </w:r>
    </w:p>
    <w:p w14:paraId="53BFA789" w14:textId="77777777" w:rsidR="00B665F1" w:rsidRPr="004A2375" w:rsidRDefault="00B665F1">
      <w:pPr>
        <w:widowControl w:val="0"/>
        <w:autoSpaceDE w:val="0"/>
        <w:autoSpaceDN w:val="0"/>
        <w:spacing w:after="0" w:line="276" w:lineRule="auto"/>
        <w:jc w:val="both"/>
        <w:rPr>
          <w:rFonts w:ascii="Verdana" w:hAnsi="Verdana" w:cs="Arial"/>
          <w:bCs/>
          <w:shd w:val="clear" w:color="auto" w:fill="FFFFFF"/>
        </w:rPr>
      </w:pPr>
    </w:p>
    <w:p w14:paraId="024D32D4" w14:textId="36378E3A" w:rsidR="00B665F1" w:rsidRDefault="00B665F1" w:rsidP="004A2375">
      <w:pPr>
        <w:widowControl w:val="0"/>
        <w:autoSpaceDE w:val="0"/>
        <w:autoSpaceDN w:val="0"/>
        <w:spacing w:after="0" w:line="276" w:lineRule="auto"/>
        <w:jc w:val="both"/>
        <w:rPr>
          <w:rFonts w:ascii="Verdana" w:hAnsi="Verdana"/>
        </w:rPr>
      </w:pPr>
      <w:r w:rsidRPr="004A2375">
        <w:rPr>
          <w:rFonts w:ascii="Verdana" w:hAnsi="Verdana" w:cs="Arial"/>
          <w:bCs/>
          <w:shd w:val="clear" w:color="auto" w:fill="FFFFFF"/>
        </w:rPr>
        <w:t xml:space="preserve">Sobre la acreditación de experiencia por parte de integrantes de proponentes plurales, esta Subdirección se ha pronunciado en los conceptos </w:t>
      </w:r>
      <w:r w:rsidRPr="004A2375">
        <w:rPr>
          <w:rFonts w:ascii="Verdana" w:hAnsi="Verdana"/>
          <w:lang w:val="es-ES"/>
        </w:rPr>
        <w:t xml:space="preserve">C- 124 del 12 de mayo de 2023, C-167 del 5 de junio de 2023, </w:t>
      </w:r>
      <w:r w:rsidRPr="004A2375">
        <w:rPr>
          <w:rFonts w:ascii="Verdana" w:hAnsi="Verdana" w:cs="Arial"/>
          <w:bCs/>
          <w:shd w:val="clear" w:color="auto" w:fill="FFFFFF"/>
        </w:rPr>
        <w:t>C-648 del 6 de noviembre de 2024, C-1002 del 30 de enero de 2025, C-128 del 26 de junio de 2025, C-568 del 24 de junio de 2025</w:t>
      </w:r>
      <w:r w:rsidR="00716950" w:rsidRPr="004A2375">
        <w:rPr>
          <w:rFonts w:ascii="Verdana" w:hAnsi="Verdana" w:cs="Arial"/>
          <w:bCs/>
          <w:shd w:val="clear" w:color="auto" w:fill="FFFFFF"/>
        </w:rPr>
        <w:t xml:space="preserve"> y C-698</w:t>
      </w:r>
      <w:r w:rsidR="00F67C9D" w:rsidRPr="004A2375">
        <w:rPr>
          <w:rFonts w:ascii="Verdana" w:hAnsi="Verdana" w:cs="Arial"/>
          <w:bCs/>
          <w:shd w:val="clear" w:color="auto" w:fill="FFFFFF"/>
        </w:rPr>
        <w:t xml:space="preserve"> del 14 de julio de 2025, </w:t>
      </w:r>
      <w:r w:rsidRPr="004A2375">
        <w:rPr>
          <w:rFonts w:ascii="Verdana" w:hAnsi="Verdana" w:cs="Arial"/>
          <w:bCs/>
          <w:shd w:val="clear" w:color="auto" w:fill="FFFFFF"/>
        </w:rPr>
        <w:t xml:space="preserve">entre otros. </w:t>
      </w:r>
      <w:r w:rsidRPr="004A2375">
        <w:rPr>
          <w:rFonts w:ascii="Verdana" w:eastAsia="Calibri" w:hAnsi="Verdana" w:cs="Times New Roman"/>
        </w:rPr>
        <w:t xml:space="preserve">Estos y otros conceptos se encuentran disponibles para consulta en el </w:t>
      </w:r>
      <w:r w:rsidRPr="004A2375">
        <w:rPr>
          <w:rFonts w:ascii="Verdana" w:eastAsia="Calibri" w:hAnsi="Verdana" w:cs="Times New Roman"/>
        </w:rPr>
        <w:lastRenderedPageBreak/>
        <w:t>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sidR="00C0580D" w:rsidRPr="004A2375">
        <w:rPr>
          <w:rFonts w:ascii="Verdana" w:eastAsia="Calibri" w:hAnsi="Verdana" w:cs="Times New Roman"/>
        </w:rPr>
        <w:t xml:space="preserve"> </w:t>
      </w:r>
      <w:hyperlink r:id="rId14" w:history="1">
        <w:r w:rsidRPr="004A2375">
          <w:rPr>
            <w:rStyle w:val="Hipervnculo"/>
            <w:rFonts w:ascii="Verdana" w:hAnsi="Verdana"/>
          </w:rPr>
          <w:t>https://www.colombiacompra.gov.co/normativa-y-relatoria/conoce-la-relatoria</w:t>
        </w:r>
      </w:hyperlink>
      <w:r w:rsidRPr="004A2375">
        <w:rPr>
          <w:rFonts w:ascii="Verdana" w:hAnsi="Verdana"/>
        </w:rPr>
        <w:t xml:space="preserve"> </w:t>
      </w:r>
    </w:p>
    <w:p w14:paraId="0C5825B5" w14:textId="77777777" w:rsidR="004A2375" w:rsidRPr="004A2375" w:rsidRDefault="004A2375" w:rsidP="002775C9">
      <w:pPr>
        <w:widowControl w:val="0"/>
        <w:autoSpaceDE w:val="0"/>
        <w:autoSpaceDN w:val="0"/>
        <w:spacing w:after="0" w:line="276" w:lineRule="auto"/>
        <w:jc w:val="both"/>
        <w:rPr>
          <w:rFonts w:ascii="Verdana" w:hAnsi="Verdana"/>
        </w:rPr>
      </w:pPr>
    </w:p>
    <w:p w14:paraId="5BE658E8" w14:textId="77777777" w:rsidR="00B25715" w:rsidRPr="004A2375" w:rsidRDefault="00B25715" w:rsidP="002775C9">
      <w:pPr>
        <w:spacing w:after="0" w:line="276" w:lineRule="auto"/>
        <w:jc w:val="both"/>
        <w:rPr>
          <w:rFonts w:ascii="Verdana" w:hAnsi="Verdana"/>
        </w:rPr>
      </w:pPr>
      <w:r w:rsidRPr="004A2375">
        <w:rPr>
          <w:rFonts w:ascii="Verdana" w:hAnsi="Verdana"/>
        </w:rPr>
        <w:t xml:space="preserve">La sostenibilidad no es una opción, es una obligación. Por ello, la Agencia Nacional de Contratación Pública –Colombia Compra Eficiente– te invita a realizar el </w:t>
      </w:r>
      <w:r w:rsidRPr="004A2375">
        <w:rPr>
          <w:rFonts w:ascii="Verdana" w:hAnsi="Verdana"/>
          <w:b/>
          <w:bCs/>
        </w:rPr>
        <w:t>Curso de Contratación Pública Sostenible y Socialmente Responsable</w:t>
      </w:r>
      <w:r w:rsidRPr="004A23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4A2375">
        <w:rPr>
          <w:rFonts w:ascii="Verdana" w:hAnsi="Verdana"/>
        </w:rPr>
        <w:br/>
      </w:r>
      <w:hyperlink r:id="rId15" w:tgtFrame="_new" w:history="1">
        <w:r w:rsidRPr="004A2375">
          <w:rPr>
            <w:rStyle w:val="Hipervnculo"/>
            <w:rFonts w:ascii="Verdana" w:hAnsi="Verdana"/>
          </w:rPr>
          <w:t>https://formacionvirtual.colombiacompra.gov.co/mod/page/view.php?id=3718</w:t>
        </w:r>
      </w:hyperlink>
    </w:p>
    <w:p w14:paraId="43C3E1D1" w14:textId="77777777" w:rsidR="004A2375" w:rsidRDefault="004A2375" w:rsidP="004A2375">
      <w:pPr>
        <w:spacing w:after="0" w:line="276" w:lineRule="auto"/>
        <w:jc w:val="both"/>
        <w:rPr>
          <w:rFonts w:ascii="Verdana" w:hAnsi="Verdana"/>
        </w:rPr>
      </w:pPr>
    </w:p>
    <w:p w14:paraId="2EEDA22F" w14:textId="2CAB540B" w:rsidR="00B25715" w:rsidRPr="004A2375" w:rsidRDefault="00B25715" w:rsidP="002775C9">
      <w:pPr>
        <w:spacing w:after="0" w:line="276" w:lineRule="auto"/>
        <w:jc w:val="both"/>
        <w:rPr>
          <w:rFonts w:ascii="Verdana" w:hAnsi="Verdana"/>
        </w:rPr>
      </w:pPr>
      <w:r w:rsidRPr="004A2375">
        <w:rPr>
          <w:rFonts w:ascii="Verdana" w:hAnsi="Verdana"/>
        </w:rPr>
        <w:t xml:space="preserve">De otro lado, te contamos que esta Agencia ha da un paso decisivo en la estandarización y modernización del </w:t>
      </w:r>
      <w:r w:rsidRPr="004A2375">
        <w:rPr>
          <w:rFonts w:ascii="Verdana" w:hAnsi="Verdana"/>
          <w:b/>
          <w:bCs/>
        </w:rPr>
        <w:t>sector  social</w:t>
      </w:r>
      <w:r w:rsidRPr="004A2375">
        <w:rPr>
          <w:rFonts w:ascii="Verdana" w:hAnsi="Verdana"/>
        </w:rPr>
        <w:t xml:space="preserve"> con la expedición de las </w:t>
      </w:r>
      <w:r w:rsidRPr="004A2375">
        <w:rPr>
          <w:rFonts w:ascii="Verdana" w:hAnsi="Verdana"/>
          <w:b/>
          <w:bCs/>
        </w:rPr>
        <w:t>Resoluciones 539, 540, 541, 952 y 953 de 2025</w:t>
      </w:r>
      <w:r w:rsidRPr="004A2375">
        <w:rPr>
          <w:rFonts w:ascii="Verdana" w:hAnsi="Verdana"/>
        </w:rPr>
        <w:t xml:space="preserve">, </w:t>
      </w:r>
      <w:r w:rsidRPr="004A2375">
        <w:rPr>
          <w:rFonts w:ascii="Verdana" w:hAnsi="Verdana"/>
          <w:b/>
          <w:bCs/>
        </w:rPr>
        <w:t>mediante las cuales adoptó Documentos Tipo</w:t>
      </w:r>
      <w:r w:rsidRPr="004A2375">
        <w:rPr>
          <w:rFonts w:ascii="Verdana" w:hAnsi="Verdana"/>
        </w:rPr>
        <w:t xml:space="preserve"> para las modalidades de selección de</w:t>
      </w:r>
      <w:r w:rsidRPr="004A2375">
        <w:rPr>
          <w:rFonts w:ascii="Verdana" w:hAnsi="Verdana"/>
          <w:b/>
          <w:bCs/>
        </w:rPr>
        <w:t xml:space="preserve"> licitación pública (versión 2), selección abreviada de menor cuantía, mínima cuantía, consultoría e interventoría</w:t>
      </w:r>
      <w:r w:rsidRPr="004A23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4A2375">
          <w:rPr>
            <w:rStyle w:val="Hipervnculo"/>
            <w:rFonts w:ascii="Verdana" w:hAnsi="Verdana"/>
          </w:rPr>
          <w:t>https://www.colombiacompra.gov.co/normativa-y-relatoria/documentos-tipo</w:t>
        </w:r>
      </w:hyperlink>
    </w:p>
    <w:p w14:paraId="3B5AC389" w14:textId="77777777" w:rsidR="004A2375" w:rsidRDefault="004A2375" w:rsidP="004A2375">
      <w:pPr>
        <w:spacing w:after="0" w:line="276" w:lineRule="auto"/>
        <w:jc w:val="both"/>
        <w:rPr>
          <w:rFonts w:ascii="Verdana" w:hAnsi="Verdana"/>
        </w:rPr>
      </w:pPr>
    </w:p>
    <w:p w14:paraId="6D73C01C" w14:textId="4CBAF521" w:rsidR="00B25715" w:rsidRPr="004A2375" w:rsidRDefault="00B25715" w:rsidP="002775C9">
      <w:pPr>
        <w:spacing w:after="0" w:line="276" w:lineRule="auto"/>
        <w:jc w:val="both"/>
        <w:rPr>
          <w:rFonts w:ascii="Verdana" w:hAnsi="Verdana"/>
        </w:rPr>
      </w:pPr>
      <w:r w:rsidRPr="004A2375">
        <w:rPr>
          <w:rFonts w:ascii="Verdana" w:hAnsi="Verdana"/>
        </w:rPr>
        <w:t xml:space="preserve">Si quieres conocer más sobre la aplicación de Documentos Tipo puedes consultar la última versión de la </w:t>
      </w:r>
      <w:r w:rsidRPr="004A2375">
        <w:rPr>
          <w:rFonts w:ascii="Verdana" w:hAnsi="Verdana"/>
          <w:b/>
          <w:bCs/>
        </w:rPr>
        <w:t>Guía para la comprensión e implementación de los Documentos Tipo de obra pública de infraestructura de transporte</w:t>
      </w:r>
      <w:r w:rsidRPr="004A23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A2375">
        <w:rPr>
          <w:rFonts w:ascii="Verdana" w:hAnsi="Verdana"/>
        </w:rPr>
        <w:br/>
      </w:r>
      <w:hyperlink r:id="rId17" w:tgtFrame="_new" w:history="1">
        <w:r w:rsidRPr="004A2375">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56898E3" w14:textId="77777777" w:rsidR="004A2375" w:rsidRDefault="004A2375" w:rsidP="004A2375">
      <w:pPr>
        <w:spacing w:after="0" w:line="276" w:lineRule="auto"/>
        <w:jc w:val="both"/>
        <w:rPr>
          <w:rFonts w:ascii="Verdana" w:hAnsi="Verdana"/>
        </w:rPr>
      </w:pPr>
    </w:p>
    <w:p w14:paraId="3060D925" w14:textId="240C42BA" w:rsidR="00B665F1" w:rsidRPr="004A2375" w:rsidRDefault="00B665F1" w:rsidP="002775C9">
      <w:pPr>
        <w:spacing w:after="0" w:line="276" w:lineRule="auto"/>
        <w:jc w:val="both"/>
        <w:rPr>
          <w:rFonts w:ascii="Verdana" w:hAnsi="Verdana"/>
        </w:rPr>
      </w:pPr>
      <w:r w:rsidRPr="004A2375">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E772FA5" w14:textId="77777777" w:rsidR="00B665F1" w:rsidRPr="004A2375" w:rsidRDefault="00B665F1" w:rsidP="002775C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nacional gratuita o servicio a la ciudadanía: 01800 0520808</w:t>
      </w:r>
    </w:p>
    <w:p w14:paraId="0D6B8032" w14:textId="77777777" w:rsidR="00B665F1" w:rsidRPr="004A2375" w:rsidRDefault="00B665F1" w:rsidP="002775C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en Bogotá (Mesa de servicio): +57 601 7456788</w:t>
      </w:r>
    </w:p>
    <w:p w14:paraId="7021BAEE" w14:textId="77777777" w:rsidR="00B665F1" w:rsidRPr="004A2375" w:rsidRDefault="00B665F1" w:rsidP="002775C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Línea de servicio y atención al ciudadano: +57 601 7956600</w:t>
      </w:r>
    </w:p>
    <w:p w14:paraId="590D2236" w14:textId="77777777" w:rsidR="00B665F1" w:rsidRPr="004A2375" w:rsidRDefault="00B665F1" w:rsidP="002775C9">
      <w:pPr>
        <w:pStyle w:val="Prrafodelista"/>
        <w:numPr>
          <w:ilvl w:val="0"/>
          <w:numId w:val="15"/>
        </w:numPr>
        <w:spacing w:after="0" w:line="276" w:lineRule="auto"/>
        <w:contextualSpacing w:val="0"/>
        <w:jc w:val="both"/>
        <w:rPr>
          <w:rFonts w:ascii="Verdana" w:hAnsi="Verdana"/>
          <w:lang w:val="es-CO"/>
        </w:rPr>
      </w:pPr>
      <w:r w:rsidRPr="004A2375">
        <w:rPr>
          <w:rFonts w:ascii="Verdana" w:hAnsi="Verdana"/>
          <w:lang w:val="es-CO"/>
        </w:rPr>
        <w:t xml:space="preserve">Página web: </w:t>
      </w:r>
      <w:hyperlink r:id="rId18" w:history="1">
        <w:r w:rsidRPr="004A2375">
          <w:rPr>
            <w:rStyle w:val="Hipervnculo"/>
            <w:rFonts w:ascii="Verdana" w:hAnsi="Verdana"/>
            <w:lang w:val="es-CO"/>
          </w:rPr>
          <w:t>www.colombiacompra.gov.co</w:t>
        </w:r>
      </w:hyperlink>
    </w:p>
    <w:p w14:paraId="67E6653B" w14:textId="77777777" w:rsidR="00B665F1" w:rsidRPr="004A2375" w:rsidRDefault="00B665F1" w:rsidP="002775C9">
      <w:pPr>
        <w:pStyle w:val="Prrafodelista"/>
        <w:spacing w:after="0" w:line="276" w:lineRule="auto"/>
        <w:ind w:left="785"/>
        <w:contextualSpacing w:val="0"/>
        <w:jc w:val="both"/>
        <w:rPr>
          <w:rFonts w:ascii="Verdana" w:hAnsi="Verdana"/>
          <w:lang w:val="es-CO"/>
        </w:rPr>
      </w:pPr>
    </w:p>
    <w:p w14:paraId="33447720" w14:textId="6813F3BB" w:rsidR="00B665F1" w:rsidRPr="004A2375" w:rsidRDefault="00B665F1" w:rsidP="002775C9">
      <w:pPr>
        <w:spacing w:after="0" w:line="276" w:lineRule="auto"/>
        <w:jc w:val="both"/>
        <w:rPr>
          <w:rFonts w:ascii="Verdana" w:hAnsi="Verdana"/>
        </w:rPr>
      </w:pPr>
      <w:r w:rsidRPr="004A2375">
        <w:rPr>
          <w:rFonts w:ascii="Verdana" w:hAnsi="Verdana"/>
        </w:rPr>
        <w:t xml:space="preserve">Por último, lo invitamos a seguirnos en las redes sociales en las cuales se difunde información institucional: </w:t>
      </w:r>
    </w:p>
    <w:p w14:paraId="649AE2A3" w14:textId="77777777" w:rsidR="00B665F1" w:rsidRPr="004A2375" w:rsidRDefault="00B665F1" w:rsidP="002775C9">
      <w:pPr>
        <w:spacing w:after="0" w:line="276" w:lineRule="auto"/>
        <w:jc w:val="both"/>
        <w:rPr>
          <w:rFonts w:ascii="Verdana" w:hAnsi="Verdana"/>
        </w:rPr>
      </w:pPr>
      <w:r w:rsidRPr="004A2375">
        <w:rPr>
          <w:rFonts w:ascii="Verdana" w:hAnsi="Verdana"/>
        </w:rPr>
        <w:t xml:space="preserve">Twitter: </w:t>
      </w:r>
      <w:r w:rsidRPr="004A2375">
        <w:rPr>
          <w:rStyle w:val="Hipervnculo"/>
          <w:rFonts w:ascii="Verdana" w:hAnsi="Verdana"/>
        </w:rPr>
        <w:t>@colombiacompra</w:t>
      </w:r>
      <w:r w:rsidRPr="004A2375">
        <w:rPr>
          <w:rFonts w:ascii="Verdana" w:hAnsi="Verdana"/>
        </w:rPr>
        <w:t xml:space="preserve"> </w:t>
      </w:r>
    </w:p>
    <w:p w14:paraId="24F56327" w14:textId="77777777" w:rsidR="00B665F1" w:rsidRPr="004A2375" w:rsidRDefault="00B665F1" w:rsidP="002775C9">
      <w:pPr>
        <w:spacing w:after="0" w:line="276" w:lineRule="auto"/>
        <w:jc w:val="both"/>
        <w:rPr>
          <w:rFonts w:ascii="Verdana" w:hAnsi="Verdana"/>
        </w:rPr>
      </w:pPr>
      <w:r w:rsidRPr="004A2375">
        <w:rPr>
          <w:rFonts w:ascii="Verdana" w:hAnsi="Verdana"/>
        </w:rPr>
        <w:t xml:space="preserve">Facebook: </w:t>
      </w:r>
      <w:proofErr w:type="spellStart"/>
      <w:r w:rsidRPr="004A2375">
        <w:rPr>
          <w:rStyle w:val="Hipervnculo"/>
          <w:rFonts w:ascii="Verdana" w:hAnsi="Verdana"/>
        </w:rPr>
        <w:t>ColombiaCompraEficiente</w:t>
      </w:r>
      <w:proofErr w:type="spellEnd"/>
    </w:p>
    <w:p w14:paraId="74E9A422" w14:textId="77777777" w:rsidR="00B665F1" w:rsidRPr="004A2375" w:rsidRDefault="00B665F1" w:rsidP="002775C9">
      <w:pPr>
        <w:spacing w:after="0" w:line="276" w:lineRule="auto"/>
        <w:jc w:val="both"/>
        <w:rPr>
          <w:rFonts w:ascii="Verdana" w:hAnsi="Verdana"/>
        </w:rPr>
      </w:pPr>
      <w:r w:rsidRPr="004A2375">
        <w:rPr>
          <w:rFonts w:ascii="Verdana" w:hAnsi="Verdana"/>
        </w:rPr>
        <w:t xml:space="preserve">LinkedIn: </w:t>
      </w:r>
      <w:r w:rsidRPr="004A2375">
        <w:rPr>
          <w:rStyle w:val="Hipervnculo"/>
          <w:rFonts w:ascii="Verdana" w:hAnsi="Verdana"/>
        </w:rPr>
        <w:t>Agencia Nacional de Contratación Pública - Colombia Compra Eficiente</w:t>
      </w:r>
      <w:r w:rsidRPr="004A2375">
        <w:rPr>
          <w:rFonts w:ascii="Verdana" w:hAnsi="Verdana"/>
        </w:rPr>
        <w:t xml:space="preserve"> Instagram: </w:t>
      </w:r>
      <w:r w:rsidRPr="004A2375">
        <w:rPr>
          <w:rStyle w:val="Hipervnculo"/>
          <w:rFonts w:ascii="Verdana" w:hAnsi="Verdana"/>
        </w:rPr>
        <w:t>@colombiacompraeficiente_cce</w:t>
      </w:r>
    </w:p>
    <w:p w14:paraId="424AABCE" w14:textId="77777777" w:rsidR="00B665F1" w:rsidRPr="004A2375" w:rsidRDefault="00B665F1" w:rsidP="002775C9">
      <w:pPr>
        <w:spacing w:after="0" w:line="276" w:lineRule="auto"/>
        <w:jc w:val="both"/>
        <w:rPr>
          <w:rFonts w:ascii="Verdana" w:hAnsi="Verdana"/>
        </w:rPr>
      </w:pPr>
    </w:p>
    <w:p w14:paraId="45ADD6A0" w14:textId="77777777" w:rsidR="00B665F1" w:rsidRPr="004A2375" w:rsidRDefault="00B665F1" w:rsidP="002775C9">
      <w:pPr>
        <w:spacing w:after="0" w:line="276" w:lineRule="auto"/>
        <w:jc w:val="both"/>
        <w:rPr>
          <w:rFonts w:ascii="Verdana" w:eastAsia="Calibri" w:hAnsi="Verdana" w:cs="Times New Roman"/>
          <w:bCs/>
        </w:rPr>
      </w:pPr>
      <w:r w:rsidRPr="004A2375">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90F9B55" w14:textId="77777777" w:rsidR="00B665F1" w:rsidRPr="004A2375" w:rsidRDefault="00B665F1" w:rsidP="002775C9">
      <w:pPr>
        <w:spacing w:after="0" w:line="276" w:lineRule="auto"/>
        <w:jc w:val="both"/>
        <w:rPr>
          <w:rFonts w:ascii="Verdana" w:eastAsia="Calibri" w:hAnsi="Verdana" w:cs="Times New Roman"/>
        </w:rPr>
      </w:pPr>
    </w:p>
    <w:p w14:paraId="26C6D23D" w14:textId="3FD733D3" w:rsidR="00B665F1" w:rsidRPr="004A2375" w:rsidRDefault="00B665F1" w:rsidP="002775C9">
      <w:pPr>
        <w:spacing w:after="0" w:line="276" w:lineRule="auto"/>
        <w:jc w:val="both"/>
        <w:rPr>
          <w:rFonts w:ascii="Verdana" w:eastAsia="Calibri" w:hAnsi="Verdana" w:cs="Times New Roman"/>
        </w:rPr>
      </w:pPr>
      <w:r w:rsidRPr="004A2375">
        <w:rPr>
          <w:rFonts w:ascii="Verdana" w:eastAsia="Calibri" w:hAnsi="Verdana" w:cs="Times New Roman"/>
        </w:rPr>
        <w:t>Atentamente,</w:t>
      </w:r>
      <w:r w:rsidR="00E508E0" w:rsidRPr="004A2375">
        <w:rPr>
          <w:rFonts w:ascii="Verdana" w:eastAsia="Calibri" w:hAnsi="Verdana" w:cs="Times New Roman"/>
        </w:rPr>
        <w:t xml:space="preserve">  </w:t>
      </w:r>
    </w:p>
    <w:p w14:paraId="196CA809" w14:textId="3DEBF8C0" w:rsidR="001B152A" w:rsidRPr="001B152A" w:rsidRDefault="001B152A" w:rsidP="001B152A">
      <w:pPr>
        <w:spacing w:after="0" w:line="256" w:lineRule="auto"/>
        <w:jc w:val="both"/>
        <w:rPr>
          <w:rFonts w:ascii="Verdana" w:eastAsia="Calibri" w:hAnsi="Verdana" w:cs="Times New Roman"/>
        </w:rPr>
      </w:pPr>
      <w:r w:rsidRPr="001B152A">
        <w:rPr>
          <w:rFonts w:ascii="Verdana" w:eastAsia="Calibri" w:hAnsi="Verdana" w:cs="Times New Roman"/>
        </w:rPr>
        <w:drawing>
          <wp:anchor distT="0" distB="0" distL="114300" distR="114300" simplePos="0" relativeHeight="251660288" behindDoc="1" locked="0" layoutInCell="1" allowOverlap="1" wp14:anchorId="4ACC447F" wp14:editId="70C95E0F">
            <wp:simplePos x="0" y="0"/>
            <wp:positionH relativeFrom="margin">
              <wp:posOffset>1194339</wp:posOffset>
            </wp:positionH>
            <wp:positionV relativeFrom="paragraph">
              <wp:posOffset>10951</wp:posOffset>
            </wp:positionV>
            <wp:extent cx="3183676" cy="1181819"/>
            <wp:effectExtent l="0" t="0" r="0" b="0"/>
            <wp:wrapNone/>
            <wp:docPr id="60188900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83676" cy="1181819"/>
                    </a:xfrm>
                    <a:prstGeom prst="rect">
                      <a:avLst/>
                    </a:prstGeom>
                    <a:noFill/>
                    <a:ln>
                      <a:noFill/>
                    </a:ln>
                  </pic:spPr>
                </pic:pic>
              </a:graphicData>
            </a:graphic>
          </wp:anchor>
        </w:drawing>
      </w:r>
    </w:p>
    <w:p w14:paraId="663AB479" w14:textId="2A9931B1" w:rsidR="00E508E0" w:rsidRDefault="00E508E0" w:rsidP="00B665F1">
      <w:pPr>
        <w:spacing w:after="0" w:line="256" w:lineRule="auto"/>
        <w:jc w:val="both"/>
        <w:rPr>
          <w:rFonts w:ascii="Verdana" w:eastAsia="Calibri" w:hAnsi="Verdana" w:cs="Times New Roman"/>
        </w:rPr>
      </w:pPr>
    </w:p>
    <w:p w14:paraId="77B7EF1D" w14:textId="56C1A0FF" w:rsidR="00E508E0" w:rsidRPr="00FD1C41" w:rsidRDefault="00E508E0" w:rsidP="00B665F1">
      <w:pPr>
        <w:spacing w:after="0" w:line="256" w:lineRule="auto"/>
        <w:jc w:val="both"/>
        <w:rPr>
          <w:rFonts w:ascii="Verdana" w:eastAsia="Calibri" w:hAnsi="Verdana" w:cs="Times New Roman"/>
        </w:rPr>
      </w:pPr>
    </w:p>
    <w:p w14:paraId="347C3724" w14:textId="203267DA" w:rsidR="00B665F1" w:rsidRPr="0076575C" w:rsidRDefault="00B665F1" w:rsidP="00B665F1">
      <w:pPr>
        <w:spacing w:after="0" w:line="256" w:lineRule="auto"/>
        <w:jc w:val="center"/>
        <w:rPr>
          <w:rFonts w:ascii="Verdana" w:eastAsia="Times New Roman" w:hAnsi="Verdana" w:cs="Arial"/>
          <w:b/>
          <w:bCs/>
        </w:rPr>
      </w:pPr>
    </w:p>
    <w:p w14:paraId="1C5C36C6" w14:textId="77777777" w:rsidR="00B665F1" w:rsidRDefault="00B665F1" w:rsidP="00B665F1">
      <w:pPr>
        <w:spacing w:after="0" w:line="256" w:lineRule="auto"/>
        <w:jc w:val="center"/>
        <w:rPr>
          <w:rFonts w:ascii="Verdana" w:eastAsia="Times New Roman" w:hAnsi="Verdana" w:cs="Arial"/>
          <w:sz w:val="24"/>
          <w:szCs w:val="24"/>
        </w:rPr>
      </w:pPr>
    </w:p>
    <w:p w14:paraId="6CA8D7EB" w14:textId="77777777" w:rsidR="00130107" w:rsidRDefault="00130107" w:rsidP="00B665F1">
      <w:pPr>
        <w:spacing w:after="0" w:line="256" w:lineRule="auto"/>
        <w:jc w:val="center"/>
        <w:rPr>
          <w:rFonts w:ascii="Verdana" w:eastAsia="Times New Roman" w:hAnsi="Verdana" w:cs="Arial"/>
          <w:sz w:val="24"/>
          <w:szCs w:val="24"/>
        </w:rPr>
      </w:pPr>
    </w:p>
    <w:p w14:paraId="2DA2F1C7" w14:textId="77777777" w:rsidR="00C0580D" w:rsidRDefault="00C0580D" w:rsidP="00B665F1">
      <w:pPr>
        <w:spacing w:after="0" w:line="256" w:lineRule="auto"/>
        <w:jc w:val="center"/>
        <w:rPr>
          <w:rFonts w:ascii="Verdana" w:eastAsia="Times New Roman" w:hAnsi="Verdana" w:cs="Arial"/>
          <w:sz w:val="24"/>
          <w:szCs w:val="24"/>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08E0" w:rsidRPr="00432BAE" w14:paraId="6A5B25FF" w14:textId="77777777" w:rsidTr="00244B6A">
        <w:trPr>
          <w:trHeight w:val="315"/>
        </w:trPr>
        <w:tc>
          <w:tcPr>
            <w:tcW w:w="893" w:type="dxa"/>
            <w:vAlign w:val="center"/>
            <w:hideMark/>
          </w:tcPr>
          <w:p w14:paraId="1D92C6B3" w14:textId="77777777" w:rsidR="00E508E0" w:rsidRPr="004F246A" w:rsidRDefault="00E508E0" w:rsidP="00244B6A">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Elaboró:</w:t>
            </w:r>
          </w:p>
        </w:tc>
        <w:tc>
          <w:tcPr>
            <w:tcW w:w="5628" w:type="dxa"/>
            <w:tcBorders>
              <w:top w:val="nil"/>
              <w:left w:val="nil"/>
              <w:bottom w:val="dotted" w:sz="4" w:space="0" w:color="7F7F7F"/>
              <w:right w:val="nil"/>
            </w:tcBorders>
            <w:vAlign w:val="center"/>
            <w:hideMark/>
          </w:tcPr>
          <w:p w14:paraId="22DD89DC" w14:textId="77777777" w:rsidR="00E508E0" w:rsidRPr="004F246A" w:rsidRDefault="00E508E0" w:rsidP="00244B6A">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Ángela María Olmos Andrade</w:t>
            </w:r>
          </w:p>
          <w:p w14:paraId="27FE85AE" w14:textId="77777777" w:rsidR="00E508E0" w:rsidRPr="004F246A" w:rsidRDefault="00E508E0" w:rsidP="00244B6A">
            <w:pPr>
              <w:spacing w:line="276" w:lineRule="auto"/>
              <w:rPr>
                <w:rFonts w:ascii="Verdana" w:eastAsia="Arial" w:hAnsi="Verdana" w:cs="Arial"/>
                <w:color w:val="000000"/>
                <w:sz w:val="16"/>
                <w:szCs w:val="16"/>
              </w:rPr>
            </w:pPr>
            <w:r w:rsidRPr="004F246A">
              <w:rPr>
                <w:rFonts w:ascii="Verdana" w:eastAsia="Arial" w:hAnsi="Verdana" w:cs="Arial"/>
                <w:color w:val="000000"/>
                <w:sz w:val="16"/>
                <w:szCs w:val="16"/>
              </w:rPr>
              <w:t>Analista T2 - 02 de la Subdirección de Gestión Contractual</w:t>
            </w:r>
          </w:p>
        </w:tc>
      </w:tr>
      <w:tr w:rsidR="00E508E0" w:rsidRPr="00432BAE" w14:paraId="5B3B24F0" w14:textId="77777777" w:rsidTr="00244B6A">
        <w:trPr>
          <w:trHeight w:val="330"/>
        </w:trPr>
        <w:tc>
          <w:tcPr>
            <w:tcW w:w="893" w:type="dxa"/>
            <w:vAlign w:val="center"/>
            <w:hideMark/>
          </w:tcPr>
          <w:p w14:paraId="45CD93E8" w14:textId="77777777" w:rsidR="00E508E0" w:rsidRPr="004F246A" w:rsidRDefault="00E508E0" w:rsidP="00244B6A">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AB0172D" w14:textId="77777777" w:rsidR="00E508E0" w:rsidRPr="004F246A" w:rsidRDefault="00E508E0" w:rsidP="00244B6A">
            <w:pPr>
              <w:spacing w:line="276" w:lineRule="auto"/>
              <w:rPr>
                <w:rFonts w:ascii="Verdana" w:eastAsia="Times New Roman" w:hAnsi="Verdana" w:cs="Arial"/>
                <w:color w:val="000000"/>
                <w:sz w:val="16"/>
                <w:szCs w:val="16"/>
              </w:rPr>
            </w:pPr>
            <w:r>
              <w:rPr>
                <w:rFonts w:ascii="Verdana" w:eastAsia="Times New Roman" w:hAnsi="Verdana" w:cs="Arial"/>
                <w:color w:val="000000"/>
                <w:sz w:val="16"/>
                <w:szCs w:val="16"/>
              </w:rPr>
              <w:t>Diana Lucia Saavedra</w:t>
            </w:r>
          </w:p>
          <w:p w14:paraId="507608C4" w14:textId="77777777" w:rsidR="00E508E0" w:rsidRPr="004F246A" w:rsidRDefault="00E508E0" w:rsidP="00244B6A">
            <w:pPr>
              <w:spacing w:line="276" w:lineRule="auto"/>
              <w:textAlignment w:val="baseline"/>
              <w:rPr>
                <w:rFonts w:ascii="Verdana" w:eastAsia="Times New Roman" w:hAnsi="Verdana" w:cs="Arial"/>
                <w:color w:val="000000"/>
                <w:sz w:val="16"/>
                <w:szCs w:val="16"/>
              </w:rPr>
            </w:pPr>
            <w:r>
              <w:rPr>
                <w:rFonts w:ascii="Verdana" w:eastAsia="Times New Roman" w:hAnsi="Verdana" w:cs="Arial"/>
                <w:color w:val="000000"/>
                <w:sz w:val="16"/>
                <w:szCs w:val="16"/>
              </w:rPr>
              <w:t>Contratista</w:t>
            </w:r>
            <w:r w:rsidRPr="004F246A">
              <w:rPr>
                <w:rFonts w:ascii="Verdana" w:eastAsia="Times New Roman" w:hAnsi="Verdana" w:cs="Arial"/>
                <w:color w:val="000000"/>
                <w:sz w:val="16"/>
                <w:szCs w:val="16"/>
              </w:rPr>
              <w:t xml:space="preserve"> de la Subdirección de Gestión Contractual</w:t>
            </w:r>
          </w:p>
        </w:tc>
      </w:tr>
      <w:tr w:rsidR="00E508E0" w:rsidRPr="00432BAE" w14:paraId="6D7174DD" w14:textId="77777777" w:rsidTr="00244B6A">
        <w:trPr>
          <w:trHeight w:val="300"/>
        </w:trPr>
        <w:tc>
          <w:tcPr>
            <w:tcW w:w="893" w:type="dxa"/>
            <w:vAlign w:val="center"/>
            <w:hideMark/>
          </w:tcPr>
          <w:p w14:paraId="0704EDF2" w14:textId="77777777" w:rsidR="00E508E0" w:rsidRPr="004F246A" w:rsidRDefault="00E508E0" w:rsidP="00244B6A">
            <w:pPr>
              <w:spacing w:line="276" w:lineRule="auto"/>
              <w:rPr>
                <w:rFonts w:ascii="Verdana" w:eastAsia="Times New Roman" w:hAnsi="Verdana" w:cs="Arial"/>
                <w:color w:val="000000"/>
                <w:sz w:val="16"/>
                <w:szCs w:val="16"/>
                <w:lang w:eastAsia="es-ES"/>
              </w:rPr>
            </w:pPr>
            <w:r w:rsidRPr="004F246A">
              <w:rPr>
                <w:rFonts w:ascii="Verdana" w:eastAsia="Times New Roman" w:hAnsi="Verdana" w:cs="Arial"/>
                <w:color w:val="000000"/>
                <w:sz w:val="16"/>
                <w:szCs w:val="16"/>
                <w:lang w:eastAsia="es-ES"/>
              </w:rPr>
              <w:t>Aprobó:</w:t>
            </w:r>
          </w:p>
        </w:tc>
        <w:tc>
          <w:tcPr>
            <w:tcW w:w="5628" w:type="dxa"/>
            <w:tcBorders>
              <w:top w:val="dotted" w:sz="4" w:space="0" w:color="7F7F7F"/>
              <w:left w:val="nil"/>
              <w:bottom w:val="dotted" w:sz="4" w:space="0" w:color="7F7F7F"/>
              <w:right w:val="nil"/>
            </w:tcBorders>
            <w:vAlign w:val="center"/>
            <w:hideMark/>
          </w:tcPr>
          <w:p w14:paraId="63291FD3" w14:textId="77777777" w:rsidR="00E508E0" w:rsidRPr="004F246A" w:rsidRDefault="00E508E0" w:rsidP="00244B6A">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Carolina Quintero Gacharná</w:t>
            </w:r>
          </w:p>
          <w:p w14:paraId="3BB6C35C" w14:textId="77777777" w:rsidR="00E508E0" w:rsidRPr="004F246A" w:rsidRDefault="00E508E0" w:rsidP="00244B6A">
            <w:pPr>
              <w:spacing w:line="276" w:lineRule="auto"/>
              <w:rPr>
                <w:rFonts w:ascii="Verdana" w:eastAsia="Times New Roman" w:hAnsi="Verdana" w:cs="Arial"/>
                <w:color w:val="000000"/>
                <w:sz w:val="16"/>
                <w:szCs w:val="16"/>
              </w:rPr>
            </w:pPr>
            <w:r w:rsidRPr="004F246A">
              <w:rPr>
                <w:rFonts w:ascii="Verdana" w:eastAsia="Times New Roman" w:hAnsi="Verdana" w:cs="Arial"/>
                <w:color w:val="000000"/>
                <w:sz w:val="16"/>
                <w:szCs w:val="16"/>
              </w:rPr>
              <w:t>Subdirectora de Gestión Contractual ANCP – CCE</w:t>
            </w:r>
          </w:p>
        </w:tc>
      </w:tr>
    </w:tbl>
    <w:p w14:paraId="5D49A13F" w14:textId="782A5491" w:rsidR="00B665F1" w:rsidRPr="000952AC" w:rsidRDefault="00B665F1" w:rsidP="00B665F1">
      <w:pPr>
        <w:spacing w:after="0"/>
        <w:jc w:val="both"/>
        <w:rPr>
          <w:rStyle w:val="Hipervnculo"/>
          <w:rFonts w:ascii="Verdana" w:hAnsi="Verdana"/>
        </w:rPr>
      </w:pPr>
    </w:p>
    <w:p w14:paraId="69BC4D14" w14:textId="2B1B34C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37A9047D" w:rsidR="00127233" w:rsidRPr="0015699B" w:rsidRDefault="00127233" w:rsidP="0007553F">
      <w:pPr>
        <w:spacing w:after="0" w:line="240" w:lineRule="auto"/>
        <w:ind w:left="1080"/>
        <w:jc w:val="both"/>
        <w:textAlignment w:val="baseline"/>
        <w:rPr>
          <w:rFonts w:ascii="Verdana" w:eastAsia="Verdana" w:hAnsi="Verdana" w:cs="Verdana"/>
          <w:lang w:eastAsia="es-CO"/>
        </w:rPr>
      </w:pPr>
    </w:p>
    <w:sectPr w:rsidR="00127233" w:rsidRPr="0015699B" w:rsidSect="00486BC5">
      <w:headerReference w:type="default" r:id="rId20"/>
      <w:footerReference w:type="default" r:id="rId21"/>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3C318" w14:textId="77777777" w:rsidR="00515547" w:rsidRDefault="00515547" w:rsidP="004A1847">
      <w:pPr>
        <w:spacing w:after="0" w:line="240" w:lineRule="auto"/>
      </w:pPr>
      <w:r>
        <w:separator/>
      </w:r>
    </w:p>
  </w:endnote>
  <w:endnote w:type="continuationSeparator" w:id="0">
    <w:p w14:paraId="00679C2A" w14:textId="77777777" w:rsidR="00515547" w:rsidRDefault="0051554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99C14E" w14:textId="77777777" w:rsidR="00515547" w:rsidRDefault="00515547" w:rsidP="004A1847">
      <w:pPr>
        <w:spacing w:after="0" w:line="240" w:lineRule="auto"/>
      </w:pPr>
      <w:r>
        <w:separator/>
      </w:r>
    </w:p>
  </w:footnote>
  <w:footnote w:type="continuationSeparator" w:id="0">
    <w:p w14:paraId="3FFC54FF" w14:textId="77777777" w:rsidR="00515547" w:rsidRDefault="00515547" w:rsidP="004A1847">
      <w:pPr>
        <w:spacing w:after="0" w:line="240" w:lineRule="auto"/>
      </w:pPr>
      <w:r>
        <w:continuationSeparator/>
      </w:r>
    </w:p>
  </w:footnote>
  <w:footnote w:id="1">
    <w:p w14:paraId="14AEB814" w14:textId="77777777" w:rsidR="00B665F1" w:rsidRPr="004A2375" w:rsidRDefault="00B665F1" w:rsidP="00B665F1">
      <w:pPr>
        <w:pStyle w:val="Textonotapie"/>
        <w:ind w:firstLine="709"/>
        <w:contextualSpacing/>
        <w:jc w:val="both"/>
        <w:rPr>
          <w:rFonts w:ascii="Verdana" w:hAnsi="Verdana"/>
          <w:sz w:val="14"/>
          <w:szCs w:val="14"/>
          <w:lang w:val="es-CO"/>
        </w:rPr>
      </w:pPr>
      <w:r w:rsidRPr="004A2375">
        <w:rPr>
          <w:rStyle w:val="Refdenotaalpie"/>
          <w:rFonts w:ascii="Verdana" w:hAnsi="Verdana"/>
          <w:sz w:val="14"/>
          <w:szCs w:val="14"/>
        </w:rPr>
        <w:footnoteRef/>
      </w:r>
      <w:r w:rsidRPr="004A2375">
        <w:rPr>
          <w:rFonts w:ascii="Verdana" w:hAnsi="Verdana"/>
          <w:sz w:val="14"/>
          <w:szCs w:val="14"/>
        </w:rPr>
        <w:t xml:space="preserve"> </w:t>
      </w:r>
      <w:r w:rsidRPr="004A2375">
        <w:rPr>
          <w:rFonts w:ascii="Verdana" w:hAnsi="Verdana"/>
          <w:sz w:val="14"/>
          <w:szCs w:val="14"/>
          <w:lang w:val="es-ES"/>
        </w:rPr>
        <w:t>“</w:t>
      </w:r>
      <w:r w:rsidRPr="004A2375">
        <w:rPr>
          <w:rFonts w:ascii="Verdana" w:hAnsi="Verdana"/>
          <w:sz w:val="14"/>
          <w:szCs w:val="14"/>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0DD8923D" w14:textId="77777777" w:rsidR="00B665F1" w:rsidRPr="004A2375" w:rsidRDefault="00B665F1" w:rsidP="00B665F1">
      <w:pPr>
        <w:pStyle w:val="Textonotapie"/>
        <w:contextualSpacing/>
        <w:jc w:val="both"/>
        <w:rPr>
          <w:rFonts w:ascii="Verdana" w:hAnsi="Verdana"/>
          <w:sz w:val="14"/>
          <w:szCs w:val="14"/>
          <w:lang w:val="es-CO"/>
        </w:rPr>
      </w:pPr>
      <w:r w:rsidRPr="004A2375">
        <w:rPr>
          <w:rFonts w:ascii="Verdana" w:hAnsi="Verdana"/>
          <w:sz w:val="14"/>
          <w:szCs w:val="14"/>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486EDFC3" w14:textId="77777777" w:rsidR="00B665F1" w:rsidRPr="004A2375" w:rsidRDefault="00B665F1" w:rsidP="00B665F1">
      <w:pPr>
        <w:pStyle w:val="Textonotapie"/>
        <w:contextualSpacing/>
        <w:jc w:val="both"/>
        <w:rPr>
          <w:rFonts w:ascii="Verdana" w:hAnsi="Verdana"/>
          <w:sz w:val="14"/>
          <w:szCs w:val="14"/>
          <w:lang w:val="es-CO"/>
        </w:rPr>
      </w:pPr>
    </w:p>
  </w:footnote>
  <w:footnote w:id="2">
    <w:p w14:paraId="608B1F1E" w14:textId="77777777" w:rsidR="00B665F1" w:rsidRPr="004A2375" w:rsidRDefault="00B665F1" w:rsidP="00A602FD">
      <w:pPr>
        <w:pStyle w:val="Textonotapie"/>
        <w:ind w:firstLine="709"/>
        <w:contextualSpacing/>
        <w:jc w:val="both"/>
        <w:rPr>
          <w:rFonts w:ascii="Verdana" w:hAnsi="Verdana"/>
          <w:sz w:val="14"/>
          <w:szCs w:val="14"/>
        </w:rPr>
      </w:pPr>
      <w:r w:rsidRPr="004A2375">
        <w:rPr>
          <w:rStyle w:val="Refdenotaalpie"/>
          <w:rFonts w:ascii="Verdana" w:hAnsi="Verdana"/>
          <w:sz w:val="14"/>
          <w:szCs w:val="14"/>
        </w:rPr>
        <w:footnoteRef/>
      </w:r>
      <w:r w:rsidRPr="004A2375">
        <w:rPr>
          <w:rFonts w:ascii="Verdana" w:hAnsi="Verdana"/>
          <w:sz w:val="14"/>
          <w:szCs w:val="14"/>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5435B596" w14:textId="77777777" w:rsidR="00B665F1" w:rsidRPr="004A2375" w:rsidRDefault="00B665F1" w:rsidP="00A602FD">
      <w:pPr>
        <w:pStyle w:val="Textonotapie"/>
        <w:ind w:firstLine="567"/>
        <w:contextualSpacing/>
        <w:jc w:val="both"/>
        <w:rPr>
          <w:rFonts w:ascii="Verdana" w:hAnsi="Verdana"/>
          <w:sz w:val="14"/>
          <w:szCs w:val="14"/>
          <w:lang w:val="es-CO"/>
        </w:rPr>
      </w:pPr>
    </w:p>
  </w:footnote>
  <w:footnote w:id="3">
    <w:p w14:paraId="2B8426B7" w14:textId="77777777" w:rsidR="00B665F1" w:rsidRPr="004A2375" w:rsidRDefault="00B665F1" w:rsidP="00A602FD">
      <w:pPr>
        <w:pStyle w:val="Textonotapie"/>
        <w:ind w:firstLine="709"/>
        <w:contextualSpacing/>
        <w:rPr>
          <w:rFonts w:ascii="Verdana" w:hAnsi="Verdana"/>
          <w:sz w:val="14"/>
          <w:szCs w:val="14"/>
        </w:rPr>
      </w:pPr>
      <w:r w:rsidRPr="004A2375">
        <w:rPr>
          <w:rStyle w:val="Refdenotaalpie"/>
          <w:rFonts w:ascii="Verdana" w:hAnsi="Verdana"/>
          <w:sz w:val="14"/>
          <w:szCs w:val="14"/>
        </w:rPr>
        <w:footnoteRef/>
      </w:r>
      <w:r w:rsidRPr="004A2375">
        <w:rPr>
          <w:rFonts w:ascii="Verdana" w:hAnsi="Verdana"/>
          <w:sz w:val="14"/>
          <w:szCs w:val="14"/>
        </w:rPr>
        <w:t xml:space="preserve"> En </w:t>
      </w:r>
      <w:hyperlink r:id="rId1" w:history="1">
        <w:r w:rsidRPr="004A2375">
          <w:rPr>
            <w:rStyle w:val="Hipervnculo"/>
            <w:rFonts w:ascii="Verdana" w:hAnsi="Verdana"/>
            <w:sz w:val="14"/>
            <w:szCs w:val="14"/>
            <w:lang w:val="es-CO"/>
          </w:rPr>
          <w:t>cce-eicp-ma-04._manual_requisitos_habilitantes_v3_29-09-2023.pdf</w:t>
        </w:r>
      </w:hyperlink>
    </w:p>
    <w:p w14:paraId="07CE118D" w14:textId="77777777" w:rsidR="00B665F1" w:rsidRPr="004A2375" w:rsidRDefault="00B665F1" w:rsidP="00A602FD">
      <w:pPr>
        <w:pStyle w:val="Textonotapie"/>
        <w:ind w:firstLine="709"/>
        <w:contextualSpacing/>
        <w:rPr>
          <w:rFonts w:ascii="Verdana" w:hAnsi="Verdana"/>
          <w:sz w:val="14"/>
          <w:szCs w:val="14"/>
        </w:rPr>
      </w:pPr>
    </w:p>
  </w:footnote>
  <w:footnote w:id="4">
    <w:p w14:paraId="07840440" w14:textId="77777777" w:rsidR="00B665F1" w:rsidRPr="004A2375" w:rsidRDefault="00B665F1" w:rsidP="00A602FD">
      <w:pPr>
        <w:pStyle w:val="Textonotapie"/>
        <w:ind w:firstLine="708"/>
        <w:contextualSpacing/>
        <w:jc w:val="both"/>
        <w:rPr>
          <w:rFonts w:ascii="Verdana" w:hAnsi="Verdana" w:cs="Arial"/>
          <w:sz w:val="14"/>
          <w:szCs w:val="14"/>
        </w:rPr>
      </w:pPr>
      <w:r w:rsidRPr="004A2375">
        <w:rPr>
          <w:rStyle w:val="Refdenotaalpie"/>
          <w:rFonts w:ascii="Verdana" w:hAnsi="Verdana" w:cs="Arial"/>
          <w:sz w:val="14"/>
          <w:szCs w:val="14"/>
        </w:rPr>
        <w:footnoteRef/>
      </w:r>
      <w:r w:rsidRPr="004A2375">
        <w:rPr>
          <w:rFonts w:ascii="Verdana" w:hAnsi="Verdana" w:cs="Arial"/>
          <w:sz w:val="14"/>
          <w:szCs w:val="14"/>
        </w:rPr>
        <w:t xml:space="preserve"> Colombia Compra Eficiente, Manual para determinar y verificar requisitos habilitantes en los procesos de contratación: </w:t>
      </w:r>
    </w:p>
    <w:p w14:paraId="6EA3BD4D" w14:textId="77777777" w:rsidR="00B665F1" w:rsidRPr="004A2375" w:rsidRDefault="00B665F1" w:rsidP="00A602FD">
      <w:pPr>
        <w:pStyle w:val="Textonotapie"/>
        <w:ind w:firstLine="708"/>
        <w:contextualSpacing/>
        <w:jc w:val="both"/>
        <w:rPr>
          <w:rFonts w:ascii="Verdana" w:hAnsi="Verdana" w:cs="Arial"/>
          <w:sz w:val="14"/>
          <w:szCs w:val="14"/>
        </w:rPr>
      </w:pPr>
      <w:r w:rsidRPr="004A2375">
        <w:rPr>
          <w:rFonts w:ascii="Verdana" w:hAnsi="Verdana" w:cs="Arial"/>
          <w:sz w:val="14"/>
          <w:szCs w:val="14"/>
        </w:rPr>
        <w:t>[...]</w:t>
      </w:r>
    </w:p>
    <w:p w14:paraId="1AA219B4" w14:textId="77777777" w:rsidR="00B665F1" w:rsidRPr="004A2375" w:rsidRDefault="00B665F1" w:rsidP="00A602FD">
      <w:pPr>
        <w:pStyle w:val="Textonotapie"/>
        <w:ind w:firstLine="708"/>
        <w:contextualSpacing/>
        <w:jc w:val="both"/>
        <w:rPr>
          <w:rFonts w:ascii="Verdana" w:hAnsi="Verdana" w:cs="Arial"/>
          <w:sz w:val="14"/>
          <w:szCs w:val="14"/>
        </w:rPr>
      </w:pPr>
      <w:r w:rsidRPr="004A2375">
        <w:rPr>
          <w:rFonts w:ascii="Verdana" w:hAnsi="Verdana" w:cs="Arial"/>
          <w:sz w:val="14"/>
          <w:szCs w:val="14"/>
        </w:rPr>
        <w:t xml:space="preserve">La experiencia requerida en un Proceso de Contratación debe ser adecuada y proporcional a la naturaleza del contrato y su valor. La experiencia es adecuada cuando es afín al tipo de actividades previstas en el objeto del contrato a celebrar. Por ejemplo, si el Proceso de Contratación es para un servicio de aseo general, el proponente debe tener experiencia en el servicio de aseo, sin que sea relevante el lugar en el cual ha prestado el servicio o quién ha sido el contratante. </w:t>
      </w:r>
    </w:p>
    <w:p w14:paraId="57C0C310" w14:textId="77777777" w:rsidR="00B665F1" w:rsidRPr="004A2375" w:rsidRDefault="00B665F1" w:rsidP="00A602FD">
      <w:pPr>
        <w:pStyle w:val="Textonotapie"/>
        <w:ind w:firstLine="708"/>
        <w:contextualSpacing/>
        <w:jc w:val="both"/>
        <w:rPr>
          <w:rFonts w:ascii="Verdana" w:hAnsi="Verdana" w:cs="Arial"/>
          <w:sz w:val="14"/>
          <w:szCs w:val="14"/>
        </w:rPr>
      </w:pPr>
      <w:r w:rsidRPr="004A2375">
        <w:rPr>
          <w:rFonts w:ascii="Verdana" w:hAnsi="Verdana" w:cs="Arial"/>
          <w:sz w:val="14"/>
          <w:szCs w:val="14"/>
        </w:rPr>
        <w:t>La experiencia es proporcional cuando tiene relación con el alcance, la cuantía y complejidad del contrato a celebrar. Por ejemplo, en un Proceso de Contratación de obra pública con un presupuesto oficial de 100 SMMLV, la experiencia exigida es proporcional si la Entidad Estatal exige que los proponentes hayan participado en Procesos de Contratación de 50 SMMLV del mismo tipo de obra.</w:t>
      </w:r>
    </w:p>
    <w:p w14:paraId="19083141" w14:textId="77777777" w:rsidR="00B665F1" w:rsidRPr="004A2375" w:rsidRDefault="00B665F1" w:rsidP="00A602FD">
      <w:pPr>
        <w:pStyle w:val="Textonotapie"/>
        <w:ind w:firstLine="708"/>
        <w:contextualSpacing/>
        <w:jc w:val="both"/>
        <w:rPr>
          <w:rFonts w:ascii="Verdana" w:hAnsi="Verdana" w:cs="Arial"/>
          <w:sz w:val="14"/>
          <w:szCs w:val="14"/>
        </w:rPr>
      </w:pPr>
      <w:r w:rsidRPr="004A2375">
        <w:rPr>
          <w:rFonts w:ascii="Verdana" w:hAnsi="Verdana" w:cs="Arial"/>
          <w:sz w:val="14"/>
          <w:szCs w:val="14"/>
        </w:rPr>
        <w:t>[...]”.</w:t>
      </w:r>
    </w:p>
    <w:p w14:paraId="6A56486D" w14:textId="77777777" w:rsidR="00B665F1" w:rsidRPr="002775C9" w:rsidRDefault="00B665F1" w:rsidP="00B665F1">
      <w:pPr>
        <w:pStyle w:val="Textonotapie"/>
        <w:ind w:firstLine="708"/>
        <w:contextualSpacing/>
        <w:jc w:val="both"/>
        <w:rPr>
          <w:rFonts w:ascii="Verdana" w:hAnsi="Verdana" w:cs="Arial"/>
          <w:sz w:val="14"/>
          <w:szCs w:val="14"/>
        </w:rPr>
      </w:pPr>
    </w:p>
  </w:footnote>
  <w:footnote w:id="5">
    <w:p w14:paraId="0B25782F" w14:textId="77777777" w:rsidR="00B665F1" w:rsidRPr="004A2375" w:rsidRDefault="00B665F1" w:rsidP="00B665F1">
      <w:pPr>
        <w:pStyle w:val="Textonotapie"/>
        <w:ind w:firstLine="709"/>
        <w:contextualSpacing/>
        <w:jc w:val="both"/>
        <w:rPr>
          <w:rFonts w:ascii="Verdana" w:eastAsia="Calibri" w:hAnsi="Verdana" w:cs="Arial"/>
          <w:color w:val="000000"/>
          <w:sz w:val="14"/>
          <w:szCs w:val="14"/>
          <w:lang w:val="es-ES_tradnl" w:eastAsia="es-ES_tradnl"/>
        </w:rPr>
      </w:pPr>
      <w:r w:rsidRPr="004A2375">
        <w:rPr>
          <w:rFonts w:ascii="Verdana" w:eastAsia="Calibri" w:hAnsi="Verdana" w:cs="Arial"/>
          <w:color w:val="000000"/>
          <w:sz w:val="14"/>
          <w:szCs w:val="14"/>
          <w:vertAlign w:val="superscript"/>
          <w:lang w:val="es-ES_tradnl" w:eastAsia="es-ES_tradnl"/>
        </w:rPr>
        <w:footnoteRef/>
      </w:r>
      <w:r w:rsidRPr="004A2375">
        <w:rPr>
          <w:rFonts w:ascii="Verdana" w:eastAsia="Calibri" w:hAnsi="Verdana" w:cs="Arial"/>
          <w:color w:val="000000"/>
          <w:sz w:val="14"/>
          <w:szCs w:val="14"/>
          <w:vertAlign w:val="superscript"/>
          <w:lang w:val="es-ES_tradnl" w:eastAsia="es-ES_tradnl"/>
        </w:rPr>
        <w:t xml:space="preserve"> </w:t>
      </w:r>
      <w:r w:rsidRPr="004A2375">
        <w:rPr>
          <w:rFonts w:ascii="Verdana" w:eastAsia="Calibri" w:hAnsi="Verdana" w:cs="Arial"/>
          <w:color w:val="000000"/>
          <w:sz w:val="14"/>
          <w:szCs w:val="14"/>
          <w:lang w:val="es-ES_tradnl" w:eastAsia="es-ES_tradnl"/>
        </w:rPr>
        <w:t>Para la realización de los respectivos análisis del sector de los Procesos de Contratación, esta Agencia recomienda tener en cuenta la última modificación de la “Guía de Elaboración de Estudios del Sector”, que puede ser consultada en el siguiente enlace:</w:t>
      </w:r>
      <w:r w:rsidRPr="004A2375">
        <w:rPr>
          <w:rFonts w:ascii="Verdana" w:hAnsi="Verdana"/>
          <w:sz w:val="14"/>
          <w:szCs w:val="14"/>
        </w:rPr>
        <w:t xml:space="preserve"> </w:t>
      </w:r>
      <w:hyperlink r:id="rId2" w:history="1">
        <w:r w:rsidRPr="004A2375">
          <w:rPr>
            <w:rStyle w:val="Hipervnculo"/>
            <w:rFonts w:ascii="Verdana" w:eastAsia="Calibri" w:hAnsi="Verdana" w:cs="Arial"/>
            <w:sz w:val="14"/>
            <w:szCs w:val="14"/>
            <w:lang w:val="es-ES_tradnl" w:eastAsia="es-ES_tradnl"/>
          </w:rPr>
          <w:t>https://www.colombiacompra.gov.co/manuales-guias-y-pliegos-tipo/manuales-y-guias</w:t>
        </w:r>
      </w:hyperlink>
      <w:r w:rsidRPr="004A2375">
        <w:rPr>
          <w:rFonts w:ascii="Verdana" w:eastAsia="Calibri" w:hAnsi="Verdana" w:cs="Arial"/>
          <w:color w:val="000000"/>
          <w:sz w:val="14"/>
          <w:szCs w:val="14"/>
          <w:lang w:val="es-ES_tradnl" w:eastAsia="es-ES_tradnl"/>
        </w:rPr>
        <w:t>.</w:t>
      </w:r>
    </w:p>
    <w:p w14:paraId="37805CD8" w14:textId="77777777" w:rsidR="00B665F1" w:rsidRPr="004A2375" w:rsidRDefault="00B665F1" w:rsidP="00B665F1">
      <w:pPr>
        <w:pStyle w:val="Textonotapie"/>
        <w:ind w:firstLine="709"/>
        <w:contextualSpacing/>
        <w:jc w:val="both"/>
        <w:rPr>
          <w:rFonts w:ascii="Verdana" w:eastAsia="Calibri" w:hAnsi="Verdana" w:cs="Arial"/>
          <w:color w:val="000000"/>
          <w:sz w:val="14"/>
          <w:szCs w:val="14"/>
          <w:lang w:val="es-ES_tradnl" w:eastAsia="es-ES_tradnl"/>
        </w:rPr>
      </w:pPr>
    </w:p>
  </w:footnote>
  <w:footnote w:id="6">
    <w:p w14:paraId="5276A608" w14:textId="77777777" w:rsidR="00B665F1" w:rsidRPr="004A2375" w:rsidRDefault="00B665F1" w:rsidP="00B665F1">
      <w:pPr>
        <w:pStyle w:val="Textonotapie"/>
        <w:ind w:firstLine="709"/>
        <w:contextualSpacing/>
        <w:jc w:val="both"/>
        <w:rPr>
          <w:rFonts w:ascii="Verdana" w:eastAsia="Calibri" w:hAnsi="Verdana" w:cs="Arial"/>
          <w:color w:val="000000"/>
          <w:sz w:val="14"/>
          <w:szCs w:val="14"/>
          <w:lang w:val="es-ES_tradnl" w:eastAsia="es-ES_tradnl"/>
        </w:rPr>
      </w:pPr>
      <w:r w:rsidRPr="004A2375">
        <w:rPr>
          <w:rFonts w:ascii="Verdana" w:eastAsia="Calibri" w:hAnsi="Verdana" w:cs="Arial"/>
          <w:color w:val="000000"/>
          <w:sz w:val="14"/>
          <w:szCs w:val="14"/>
          <w:vertAlign w:val="superscript"/>
          <w:lang w:val="es-ES_tradnl" w:eastAsia="es-ES_tradnl"/>
        </w:rPr>
        <w:footnoteRef/>
      </w:r>
      <w:r w:rsidRPr="004A2375">
        <w:rPr>
          <w:rFonts w:ascii="Verdana" w:eastAsia="Calibri" w:hAnsi="Verdana" w:cs="Arial"/>
          <w:color w:val="000000"/>
          <w:sz w:val="14"/>
          <w:szCs w:val="14"/>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CCC5966" w14:textId="77777777" w:rsidR="00B665F1" w:rsidRPr="004A2375" w:rsidRDefault="00B665F1" w:rsidP="00B665F1">
      <w:pPr>
        <w:pStyle w:val="Textonotapie"/>
        <w:ind w:firstLine="709"/>
        <w:contextualSpacing/>
        <w:jc w:val="both"/>
        <w:rPr>
          <w:rFonts w:ascii="Verdana" w:eastAsia="Calibri" w:hAnsi="Verdana" w:cs="Arial"/>
          <w:color w:val="000000"/>
          <w:sz w:val="14"/>
          <w:szCs w:val="14"/>
          <w:lang w:val="es-ES_tradnl" w:eastAsia="es-ES_tradnl"/>
        </w:rPr>
      </w:pPr>
    </w:p>
  </w:footnote>
  <w:footnote w:id="7">
    <w:p w14:paraId="368E6563" w14:textId="77777777" w:rsidR="00B665F1" w:rsidRPr="004A2375" w:rsidRDefault="00B665F1" w:rsidP="00B665F1">
      <w:pPr>
        <w:pStyle w:val="Textoindependiente"/>
        <w:ind w:right="49" w:firstLine="709"/>
        <w:contextualSpacing/>
        <w:jc w:val="both"/>
        <w:rPr>
          <w:color w:val="000000" w:themeColor="text1"/>
          <w:sz w:val="14"/>
          <w:szCs w:val="14"/>
        </w:rPr>
      </w:pPr>
      <w:r w:rsidRPr="004A2375">
        <w:rPr>
          <w:rStyle w:val="Refdenotaalpie"/>
          <w:sz w:val="14"/>
          <w:szCs w:val="14"/>
        </w:rPr>
        <w:footnoteRef/>
      </w:r>
      <w:r w:rsidRPr="004A2375">
        <w:rPr>
          <w:sz w:val="14"/>
          <w:szCs w:val="14"/>
        </w:rPr>
        <w:t xml:space="preserve"> </w:t>
      </w:r>
      <w:r w:rsidRPr="004A2375">
        <w:rPr>
          <w:color w:val="000000" w:themeColor="text1"/>
          <w:sz w:val="14"/>
          <w:szCs w:val="14"/>
        </w:rPr>
        <w:t>Ley 80 de 1993: “Artículo 7. De los consorcios y uniones temporales. Para los efectos de esta ley se entiende por: […]</w:t>
      </w:r>
    </w:p>
    <w:p w14:paraId="0FD45DCF" w14:textId="77777777" w:rsidR="00B665F1" w:rsidRPr="004A2375" w:rsidRDefault="00B665F1" w:rsidP="00B665F1">
      <w:pPr>
        <w:pStyle w:val="Textoindependiente"/>
        <w:ind w:right="49" w:firstLine="709"/>
        <w:contextualSpacing/>
        <w:jc w:val="both"/>
        <w:rPr>
          <w:color w:val="000000" w:themeColor="text1"/>
          <w:sz w:val="14"/>
          <w:szCs w:val="14"/>
        </w:rPr>
      </w:pPr>
      <w:r w:rsidRPr="004A2375">
        <w:rPr>
          <w:color w:val="000000" w:themeColor="text1"/>
          <w:sz w:val="14"/>
          <w:szCs w:val="14"/>
        </w:rPr>
        <w:t>1.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611F95AE" w14:textId="77777777" w:rsidR="00B665F1" w:rsidRPr="004A2375" w:rsidRDefault="00B665F1" w:rsidP="00B665F1">
      <w:pPr>
        <w:pStyle w:val="Textoindependiente"/>
        <w:ind w:right="49" w:firstLine="709"/>
        <w:contextualSpacing/>
        <w:jc w:val="both"/>
        <w:rPr>
          <w:color w:val="000000" w:themeColor="text1"/>
          <w:sz w:val="14"/>
          <w:szCs w:val="14"/>
        </w:rPr>
      </w:pPr>
      <w:r w:rsidRPr="004A2375">
        <w:rPr>
          <w:color w:val="000000" w:themeColor="text1"/>
          <w:sz w:val="14"/>
          <w:szCs w:val="14"/>
        </w:rPr>
        <w:t>2.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13BE18FE" w14:textId="77777777" w:rsidR="00B665F1" w:rsidRPr="004A2375" w:rsidRDefault="00B665F1" w:rsidP="00B665F1">
      <w:pPr>
        <w:pStyle w:val="Textoindependiente"/>
        <w:ind w:right="49" w:firstLine="709"/>
        <w:contextualSpacing/>
        <w:jc w:val="both"/>
        <w:rPr>
          <w:color w:val="000000" w:themeColor="text1"/>
          <w:sz w:val="14"/>
          <w:szCs w:val="14"/>
        </w:rPr>
      </w:pPr>
    </w:p>
  </w:footnote>
  <w:footnote w:id="8">
    <w:p w14:paraId="7ED18782" w14:textId="77777777" w:rsidR="00B665F1" w:rsidRPr="004A2375" w:rsidRDefault="00B665F1" w:rsidP="00B665F1">
      <w:pPr>
        <w:pStyle w:val="Textoindependiente"/>
        <w:ind w:right="51" w:firstLine="709"/>
        <w:contextualSpacing/>
        <w:jc w:val="both"/>
        <w:rPr>
          <w:color w:val="000000" w:themeColor="text1"/>
          <w:sz w:val="14"/>
          <w:szCs w:val="14"/>
        </w:rPr>
      </w:pPr>
      <w:r w:rsidRPr="004A2375">
        <w:rPr>
          <w:rStyle w:val="Refdenotaalpie"/>
          <w:sz w:val="14"/>
          <w:szCs w:val="14"/>
        </w:rPr>
        <w:footnoteRef/>
      </w:r>
      <w:r w:rsidRPr="004A2375">
        <w:rPr>
          <w:sz w:val="14"/>
          <w:szCs w:val="14"/>
        </w:rPr>
        <w:t xml:space="preserve"> </w:t>
      </w:r>
      <w:r w:rsidRPr="004A2375">
        <w:rPr>
          <w:color w:val="000000" w:themeColor="text1"/>
          <w:sz w:val="14"/>
          <w:szCs w:val="14"/>
        </w:rPr>
        <w:t>Corte Constitucional, sentencia C-414 del 22 de septiembre de 1996, M.P. Antonio Barrera Carbonell: “El consorcio es una figura propia del derecho privado, utilizado ordinariamente como un instrumento de cooperación entre empresas, cuando requieren asumir una tarea económica particularmente importante, que les permita distribuirse de algún modo los riesgos que pueda implicar la actividad que se acomete, aunar recursos financieros y tecnológicos, y mejorar la disponibilidad de equipos, según el caso, pero conservando los consorciados su independencia jurídica.</w:t>
      </w:r>
    </w:p>
    <w:p w14:paraId="4748921E" w14:textId="092C69D8" w:rsidR="00B665F1" w:rsidRDefault="00B665F1" w:rsidP="00B665F1">
      <w:pPr>
        <w:pStyle w:val="Textoindependiente"/>
        <w:ind w:right="49"/>
        <w:contextualSpacing/>
        <w:jc w:val="both"/>
        <w:rPr>
          <w:color w:val="000000" w:themeColor="text1"/>
          <w:sz w:val="14"/>
          <w:szCs w:val="14"/>
        </w:rPr>
      </w:pPr>
      <w:r w:rsidRPr="004A2375">
        <w:rPr>
          <w:color w:val="000000" w:themeColor="text1"/>
          <w:sz w:val="14"/>
          <w:szCs w:val="14"/>
        </w:rPr>
        <w:t>El artículo 7o. de la mencionada ley se refiere al consorcio, pero en lugar de definir su contenido esencial, ofrece una relación descriptiva de la figura señalando los elementos instrumentales y vinculantes que lo conforman; según la ley,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w:t>
      </w:r>
      <w:r w:rsidRPr="004A2375">
        <w:rPr>
          <w:color w:val="000000" w:themeColor="text1"/>
          <w:spacing w:val="-6"/>
          <w:sz w:val="14"/>
          <w:szCs w:val="14"/>
        </w:rPr>
        <w:t xml:space="preserve"> </w:t>
      </w:r>
      <w:r w:rsidRPr="004A2375">
        <w:rPr>
          <w:color w:val="000000" w:themeColor="text1"/>
          <w:sz w:val="14"/>
          <w:szCs w:val="14"/>
        </w:rPr>
        <w:t>contractuales”.</w:t>
      </w:r>
    </w:p>
    <w:p w14:paraId="07E52A10" w14:textId="77777777" w:rsidR="004A2375" w:rsidRPr="004A2375" w:rsidRDefault="004A2375" w:rsidP="00B665F1">
      <w:pPr>
        <w:pStyle w:val="Textoindependiente"/>
        <w:ind w:right="49"/>
        <w:contextualSpacing/>
        <w:jc w:val="both"/>
        <w:rPr>
          <w:color w:val="000000" w:themeColor="text1"/>
          <w:sz w:val="14"/>
          <w:szCs w:val="14"/>
        </w:rPr>
      </w:pPr>
    </w:p>
  </w:footnote>
  <w:footnote w:id="9">
    <w:p w14:paraId="7E02B60D" w14:textId="7D8B49D4" w:rsidR="00B665F1" w:rsidRDefault="00B665F1" w:rsidP="004F4F75">
      <w:pPr>
        <w:pStyle w:val="Textonotapie"/>
        <w:ind w:firstLine="709"/>
        <w:contextualSpacing/>
        <w:rPr>
          <w:rStyle w:val="Hipervnculo"/>
          <w:rFonts w:ascii="Verdana" w:hAnsi="Verdana"/>
          <w:sz w:val="14"/>
          <w:szCs w:val="14"/>
          <w:lang w:val="es-CO"/>
        </w:rPr>
      </w:pPr>
      <w:r w:rsidRPr="004A2375">
        <w:rPr>
          <w:rStyle w:val="Refdenotaalpie"/>
          <w:rFonts w:ascii="Verdana" w:hAnsi="Verdana"/>
          <w:sz w:val="14"/>
          <w:szCs w:val="14"/>
        </w:rPr>
        <w:footnoteRef/>
      </w:r>
      <w:r w:rsidRPr="004A2375">
        <w:rPr>
          <w:rFonts w:ascii="Verdana" w:hAnsi="Verdana"/>
          <w:sz w:val="14"/>
          <w:szCs w:val="14"/>
        </w:rPr>
        <w:t xml:space="preserve"> En </w:t>
      </w:r>
      <w:hyperlink r:id="rId3" w:history="1">
        <w:r w:rsidRPr="004A2375">
          <w:rPr>
            <w:rStyle w:val="Hipervnculo"/>
            <w:rFonts w:ascii="Verdana" w:hAnsi="Verdana"/>
            <w:sz w:val="14"/>
            <w:szCs w:val="14"/>
            <w:lang w:val="es-CO"/>
          </w:rPr>
          <w:t>cce-eicp-ma-04._manual_requisitos_habilitantes_v3_29-09-2023.pdf</w:t>
        </w:r>
      </w:hyperlink>
    </w:p>
    <w:p w14:paraId="639C35B0" w14:textId="77777777" w:rsidR="004A2375" w:rsidRPr="004A2375" w:rsidRDefault="004A2375" w:rsidP="004F4F75">
      <w:pPr>
        <w:pStyle w:val="Textonotapie"/>
        <w:ind w:firstLine="709"/>
        <w:contextualSpacing/>
        <w:rPr>
          <w:rFonts w:ascii="Verdana" w:hAnsi="Verdana"/>
          <w:sz w:val="14"/>
          <w:szCs w:val="14"/>
        </w:rPr>
      </w:pPr>
    </w:p>
  </w:footnote>
  <w:footnote w:id="10">
    <w:p w14:paraId="490F1545" w14:textId="7AC47B86" w:rsidR="00B665F1" w:rsidRDefault="00B665F1" w:rsidP="00B665F1">
      <w:pPr>
        <w:pStyle w:val="Textonotapie"/>
        <w:ind w:firstLine="708"/>
        <w:contextualSpacing/>
        <w:jc w:val="both"/>
        <w:rPr>
          <w:rFonts w:ascii="Verdana" w:hAnsi="Verdana"/>
          <w:sz w:val="14"/>
          <w:szCs w:val="14"/>
        </w:rPr>
      </w:pPr>
      <w:r w:rsidRPr="004A2375">
        <w:rPr>
          <w:rStyle w:val="Refdenotaalpie"/>
          <w:rFonts w:ascii="Verdana" w:hAnsi="Verdana"/>
          <w:sz w:val="14"/>
          <w:szCs w:val="14"/>
        </w:rPr>
        <w:footnoteRef/>
      </w:r>
      <w:r w:rsidRPr="004A2375">
        <w:rPr>
          <w:rFonts w:ascii="Verdana" w:hAnsi="Verdana"/>
          <w:sz w:val="14"/>
          <w:szCs w:val="14"/>
        </w:rPr>
        <w:t xml:space="preserve"> Agencia Nacional de Contratación Pública – Colombia Compra Eficiente, </w:t>
      </w:r>
      <w:r w:rsidRPr="004A2375">
        <w:rPr>
          <w:rFonts w:ascii="Verdana" w:hAnsi="Verdana"/>
          <w:sz w:val="14"/>
          <w:szCs w:val="14"/>
          <w:lang w:val="es-CO"/>
        </w:rPr>
        <w:t xml:space="preserve">Manual para determinar y verificar los requisitos habilitantes en los procesos de contratación, Disponible en: </w:t>
      </w:r>
      <w:hyperlink r:id="rId4" w:history="1">
        <w:r w:rsidRPr="004A2375">
          <w:rPr>
            <w:rStyle w:val="Hipervnculo"/>
            <w:rFonts w:ascii="Verdana" w:hAnsi="Verdana"/>
            <w:sz w:val="14"/>
            <w:szCs w:val="14"/>
          </w:rPr>
          <w:t>https://www.colombiacompra.gov.co/wp-content/uploads/2024/08/cce-eicp-ma-04._manual_requisitos_habilitantes_v3_29-09-2023.pdf</w:t>
        </w:r>
      </w:hyperlink>
      <w:r w:rsidRPr="004A2375">
        <w:rPr>
          <w:rFonts w:ascii="Verdana" w:hAnsi="Verdana"/>
          <w:sz w:val="14"/>
          <w:szCs w:val="14"/>
        </w:rPr>
        <w:t xml:space="preserve"> </w:t>
      </w:r>
    </w:p>
    <w:p w14:paraId="5EC3B4AC" w14:textId="77777777" w:rsidR="004A2375" w:rsidRPr="004A2375" w:rsidRDefault="004A2375" w:rsidP="00B665F1">
      <w:pPr>
        <w:pStyle w:val="Textonotapie"/>
        <w:ind w:firstLine="708"/>
        <w:contextualSpacing/>
        <w:jc w:val="both"/>
        <w:rPr>
          <w:rFonts w:ascii="Verdana" w:hAnsi="Verdana"/>
          <w:sz w:val="14"/>
          <w:szCs w:val="14"/>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8778669">
    <w:abstractNumId w:val="6"/>
  </w:num>
  <w:num w:numId="2" w16cid:durableId="461777011">
    <w:abstractNumId w:val="2"/>
  </w:num>
  <w:num w:numId="3" w16cid:durableId="571156444">
    <w:abstractNumId w:val="4"/>
  </w:num>
  <w:num w:numId="4" w16cid:durableId="8892219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81371077">
    <w:abstractNumId w:val="2"/>
  </w:num>
  <w:num w:numId="6" w16cid:durableId="61560711">
    <w:abstractNumId w:val="13"/>
  </w:num>
  <w:num w:numId="7" w16cid:durableId="1819875984">
    <w:abstractNumId w:val="5"/>
  </w:num>
  <w:num w:numId="8" w16cid:durableId="1126698207">
    <w:abstractNumId w:val="12"/>
  </w:num>
  <w:num w:numId="9" w16cid:durableId="317732546">
    <w:abstractNumId w:val="8"/>
  </w:num>
  <w:num w:numId="10" w16cid:durableId="553466720">
    <w:abstractNumId w:val="11"/>
  </w:num>
  <w:num w:numId="11" w16cid:durableId="1539851388">
    <w:abstractNumId w:val="9"/>
  </w:num>
  <w:num w:numId="12" w16cid:durableId="1193112889">
    <w:abstractNumId w:val="1"/>
  </w:num>
  <w:num w:numId="13" w16cid:durableId="1929383437">
    <w:abstractNumId w:val="3"/>
  </w:num>
  <w:num w:numId="14" w16cid:durableId="1048989330">
    <w:abstractNumId w:val="14"/>
  </w:num>
  <w:num w:numId="15" w16cid:durableId="288434360">
    <w:abstractNumId w:val="10"/>
  </w:num>
  <w:num w:numId="16" w16cid:durableId="636302832">
    <w:abstractNumId w:val="0"/>
  </w:num>
  <w:num w:numId="17" w16cid:durableId="11305104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7BA5"/>
    <w:rsid w:val="00046945"/>
    <w:rsid w:val="00061B2A"/>
    <w:rsid w:val="00066B09"/>
    <w:rsid w:val="0007553F"/>
    <w:rsid w:val="000803D9"/>
    <w:rsid w:val="00082362"/>
    <w:rsid w:val="000A683E"/>
    <w:rsid w:val="000B19B9"/>
    <w:rsid w:val="000D0334"/>
    <w:rsid w:val="000D5DA7"/>
    <w:rsid w:val="000D5FB8"/>
    <w:rsid w:val="000E7AE5"/>
    <w:rsid w:val="000F6486"/>
    <w:rsid w:val="00101143"/>
    <w:rsid w:val="00111BDC"/>
    <w:rsid w:val="001129A3"/>
    <w:rsid w:val="00116940"/>
    <w:rsid w:val="00125105"/>
    <w:rsid w:val="00127233"/>
    <w:rsid w:val="00130107"/>
    <w:rsid w:val="00132309"/>
    <w:rsid w:val="0015699B"/>
    <w:rsid w:val="00165AE9"/>
    <w:rsid w:val="0018723E"/>
    <w:rsid w:val="001A33BF"/>
    <w:rsid w:val="001B152A"/>
    <w:rsid w:val="001D6265"/>
    <w:rsid w:val="001E4177"/>
    <w:rsid w:val="001F0B24"/>
    <w:rsid w:val="001F7DC6"/>
    <w:rsid w:val="0020128A"/>
    <w:rsid w:val="00203C37"/>
    <w:rsid w:val="0022400B"/>
    <w:rsid w:val="00230D14"/>
    <w:rsid w:val="002421BB"/>
    <w:rsid w:val="0025796E"/>
    <w:rsid w:val="002707A2"/>
    <w:rsid w:val="002775C9"/>
    <w:rsid w:val="002807F5"/>
    <w:rsid w:val="002951A0"/>
    <w:rsid w:val="002962BC"/>
    <w:rsid w:val="002A093D"/>
    <w:rsid w:val="002A0DD0"/>
    <w:rsid w:val="002A49AC"/>
    <w:rsid w:val="002A64FD"/>
    <w:rsid w:val="002B5BEB"/>
    <w:rsid w:val="002C7A84"/>
    <w:rsid w:val="002E2BF8"/>
    <w:rsid w:val="002E4FD9"/>
    <w:rsid w:val="0030657A"/>
    <w:rsid w:val="0032069B"/>
    <w:rsid w:val="00322A85"/>
    <w:rsid w:val="00324168"/>
    <w:rsid w:val="00330834"/>
    <w:rsid w:val="003448F4"/>
    <w:rsid w:val="00374F5E"/>
    <w:rsid w:val="00375F12"/>
    <w:rsid w:val="00377E3E"/>
    <w:rsid w:val="003842AF"/>
    <w:rsid w:val="0038795C"/>
    <w:rsid w:val="003A779E"/>
    <w:rsid w:val="003D0F4D"/>
    <w:rsid w:val="003D5B0D"/>
    <w:rsid w:val="003E0499"/>
    <w:rsid w:val="003E4F80"/>
    <w:rsid w:val="003E6439"/>
    <w:rsid w:val="003F3941"/>
    <w:rsid w:val="00406575"/>
    <w:rsid w:val="00407140"/>
    <w:rsid w:val="00414C74"/>
    <w:rsid w:val="0042722E"/>
    <w:rsid w:val="0044528D"/>
    <w:rsid w:val="00466E39"/>
    <w:rsid w:val="00486BC5"/>
    <w:rsid w:val="004A1847"/>
    <w:rsid w:val="004A2375"/>
    <w:rsid w:val="004A305D"/>
    <w:rsid w:val="004B73A2"/>
    <w:rsid w:val="004E5793"/>
    <w:rsid w:val="004E67F3"/>
    <w:rsid w:val="004F21C4"/>
    <w:rsid w:val="004F4F75"/>
    <w:rsid w:val="004F685F"/>
    <w:rsid w:val="00515547"/>
    <w:rsid w:val="005315B6"/>
    <w:rsid w:val="00542D9F"/>
    <w:rsid w:val="005566E8"/>
    <w:rsid w:val="00571F53"/>
    <w:rsid w:val="00574867"/>
    <w:rsid w:val="00591460"/>
    <w:rsid w:val="005A65E0"/>
    <w:rsid w:val="005B5082"/>
    <w:rsid w:val="005C3777"/>
    <w:rsid w:val="005C5CDC"/>
    <w:rsid w:val="005D476C"/>
    <w:rsid w:val="005F14F7"/>
    <w:rsid w:val="00604BD7"/>
    <w:rsid w:val="006200BF"/>
    <w:rsid w:val="006219F8"/>
    <w:rsid w:val="006302F7"/>
    <w:rsid w:val="00646B9F"/>
    <w:rsid w:val="00665D70"/>
    <w:rsid w:val="006900D9"/>
    <w:rsid w:val="00706C16"/>
    <w:rsid w:val="00710FC5"/>
    <w:rsid w:val="00716950"/>
    <w:rsid w:val="0073187D"/>
    <w:rsid w:val="007340C3"/>
    <w:rsid w:val="0074717F"/>
    <w:rsid w:val="00750D74"/>
    <w:rsid w:val="0075235A"/>
    <w:rsid w:val="00756841"/>
    <w:rsid w:val="007649AB"/>
    <w:rsid w:val="00771D0C"/>
    <w:rsid w:val="007833AC"/>
    <w:rsid w:val="0078693F"/>
    <w:rsid w:val="007A53D2"/>
    <w:rsid w:val="007B268C"/>
    <w:rsid w:val="007B7171"/>
    <w:rsid w:val="007C0C0F"/>
    <w:rsid w:val="007C3DC2"/>
    <w:rsid w:val="007E5497"/>
    <w:rsid w:val="00806F5F"/>
    <w:rsid w:val="00813726"/>
    <w:rsid w:val="00820278"/>
    <w:rsid w:val="00823C04"/>
    <w:rsid w:val="008258C9"/>
    <w:rsid w:val="00825E3D"/>
    <w:rsid w:val="008435D7"/>
    <w:rsid w:val="00844AE9"/>
    <w:rsid w:val="00867F95"/>
    <w:rsid w:val="008843B6"/>
    <w:rsid w:val="00891928"/>
    <w:rsid w:val="008A446D"/>
    <w:rsid w:val="008A4A4C"/>
    <w:rsid w:val="008B25F1"/>
    <w:rsid w:val="008D180B"/>
    <w:rsid w:val="008E5654"/>
    <w:rsid w:val="008F0AB1"/>
    <w:rsid w:val="008F0EA7"/>
    <w:rsid w:val="00904E15"/>
    <w:rsid w:val="00922CA2"/>
    <w:rsid w:val="00923EEF"/>
    <w:rsid w:val="00924A6A"/>
    <w:rsid w:val="009419F9"/>
    <w:rsid w:val="0095685E"/>
    <w:rsid w:val="00961B09"/>
    <w:rsid w:val="00965062"/>
    <w:rsid w:val="00965334"/>
    <w:rsid w:val="0097093E"/>
    <w:rsid w:val="009A0DFA"/>
    <w:rsid w:val="009A1C6F"/>
    <w:rsid w:val="009B2D26"/>
    <w:rsid w:val="009C71FA"/>
    <w:rsid w:val="009C72E7"/>
    <w:rsid w:val="009C7F7E"/>
    <w:rsid w:val="009D175D"/>
    <w:rsid w:val="009D3058"/>
    <w:rsid w:val="009F3A13"/>
    <w:rsid w:val="00A122D3"/>
    <w:rsid w:val="00A14468"/>
    <w:rsid w:val="00A17F13"/>
    <w:rsid w:val="00A20739"/>
    <w:rsid w:val="00A23AF9"/>
    <w:rsid w:val="00A33C78"/>
    <w:rsid w:val="00A5480B"/>
    <w:rsid w:val="00A602FD"/>
    <w:rsid w:val="00A749B8"/>
    <w:rsid w:val="00A75FC2"/>
    <w:rsid w:val="00A82D79"/>
    <w:rsid w:val="00AA27FE"/>
    <w:rsid w:val="00AB0ADB"/>
    <w:rsid w:val="00AF5A7A"/>
    <w:rsid w:val="00B00C0E"/>
    <w:rsid w:val="00B01B1A"/>
    <w:rsid w:val="00B0381D"/>
    <w:rsid w:val="00B24FDB"/>
    <w:rsid w:val="00B25715"/>
    <w:rsid w:val="00B44A47"/>
    <w:rsid w:val="00B665F1"/>
    <w:rsid w:val="00B72CD3"/>
    <w:rsid w:val="00B72FFF"/>
    <w:rsid w:val="00BC3D36"/>
    <w:rsid w:val="00BD54A6"/>
    <w:rsid w:val="00BD7F72"/>
    <w:rsid w:val="00BF7425"/>
    <w:rsid w:val="00C03A6F"/>
    <w:rsid w:val="00C04FB3"/>
    <w:rsid w:val="00C0580D"/>
    <w:rsid w:val="00C11D8B"/>
    <w:rsid w:val="00C15139"/>
    <w:rsid w:val="00C330EB"/>
    <w:rsid w:val="00C36072"/>
    <w:rsid w:val="00C50D69"/>
    <w:rsid w:val="00C5365C"/>
    <w:rsid w:val="00C754BE"/>
    <w:rsid w:val="00C76B1C"/>
    <w:rsid w:val="00C921CC"/>
    <w:rsid w:val="00C925AC"/>
    <w:rsid w:val="00C960E8"/>
    <w:rsid w:val="00CB6357"/>
    <w:rsid w:val="00CC1B26"/>
    <w:rsid w:val="00CF695C"/>
    <w:rsid w:val="00D361FD"/>
    <w:rsid w:val="00D423A2"/>
    <w:rsid w:val="00D44E26"/>
    <w:rsid w:val="00D520D8"/>
    <w:rsid w:val="00D5247F"/>
    <w:rsid w:val="00D63AC2"/>
    <w:rsid w:val="00D7383B"/>
    <w:rsid w:val="00D7788A"/>
    <w:rsid w:val="00DA231B"/>
    <w:rsid w:val="00DC39FC"/>
    <w:rsid w:val="00DC5E25"/>
    <w:rsid w:val="00DF5254"/>
    <w:rsid w:val="00E02524"/>
    <w:rsid w:val="00E044E5"/>
    <w:rsid w:val="00E16408"/>
    <w:rsid w:val="00E20894"/>
    <w:rsid w:val="00E245AB"/>
    <w:rsid w:val="00E2764C"/>
    <w:rsid w:val="00E27F2E"/>
    <w:rsid w:val="00E508E0"/>
    <w:rsid w:val="00E50AFE"/>
    <w:rsid w:val="00E63CD4"/>
    <w:rsid w:val="00E75C92"/>
    <w:rsid w:val="00E771DC"/>
    <w:rsid w:val="00E8772A"/>
    <w:rsid w:val="00E90F6B"/>
    <w:rsid w:val="00E92C27"/>
    <w:rsid w:val="00E963C2"/>
    <w:rsid w:val="00EA0E3D"/>
    <w:rsid w:val="00EA4740"/>
    <w:rsid w:val="00EC38A7"/>
    <w:rsid w:val="00EE1AA8"/>
    <w:rsid w:val="00F02077"/>
    <w:rsid w:val="00F02FD9"/>
    <w:rsid w:val="00F211F9"/>
    <w:rsid w:val="00F23FEA"/>
    <w:rsid w:val="00F31EDC"/>
    <w:rsid w:val="00F36DB8"/>
    <w:rsid w:val="00F462B3"/>
    <w:rsid w:val="00F5664F"/>
    <w:rsid w:val="00F666C4"/>
    <w:rsid w:val="00F67C9D"/>
    <w:rsid w:val="00F76AFC"/>
    <w:rsid w:val="00F80EA2"/>
    <w:rsid w:val="00F9089C"/>
    <w:rsid w:val="00F917A4"/>
    <w:rsid w:val="00FA47C0"/>
    <w:rsid w:val="00FA5586"/>
    <w:rsid w:val="00FB21C6"/>
    <w:rsid w:val="00FB5DD1"/>
    <w:rsid w:val="00FC2B5D"/>
    <w:rsid w:val="00FD7922"/>
    <w:rsid w:val="00FF1449"/>
    <w:rsid w:val="00FF1FD5"/>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665F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665F1"/>
    <w:rPr>
      <w:rFonts w:ascii="Geomanist Light" w:hAnsi="Geomanist Light"/>
      <w:lang w:val="es-ES"/>
    </w:rPr>
  </w:style>
  <w:style w:type="paragraph" w:styleId="Textoindependiente">
    <w:name w:val="Body Text"/>
    <w:basedOn w:val="Normal"/>
    <w:link w:val="TextoindependienteCar"/>
    <w:uiPriority w:val="1"/>
    <w:qFormat/>
    <w:rsid w:val="00B665F1"/>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B665F1"/>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peraciones.colombiacompra.gov.co/content/documentos-tipo-para-licitacion-de-obra-publica-de-infraestructura-de-transporte-version-04" TargetMode="External"/><Relationship Id="rId18"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cpm2010@gmail.com"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conoce-la-relatoria"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08/cce-eicp-ma-04._manual_requisitos_habilitantes_v3_29-09-2023.pdf" TargetMode="External"/><Relationship Id="rId2" Type="http://schemas.openxmlformats.org/officeDocument/2006/relationships/hyperlink" Target="https://www.colombiacompra.gov.co/manuales-guias-y-pliegos-tipo/manuales-y-guias" TargetMode="External"/><Relationship Id="rId1" Type="http://schemas.openxmlformats.org/officeDocument/2006/relationships/hyperlink" Target="https://www.colombiacompra.gov.co/wp-content/uploads/2024/08/cce-eicp-ma-04._manual_requisitos_habilitantes_v3_29-09-2023.pdf" TargetMode="External"/><Relationship Id="rId4" Type="http://schemas.openxmlformats.org/officeDocument/2006/relationships/hyperlink" Target="https://www.colombiacompra.gov.co/wp-content/uploads/2024/08/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F351158-3F7E-4ABE-AB1D-B768A319D401}"/>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15</Pages>
  <Words>4509</Words>
  <Characters>25706</Characters>
  <Application>Microsoft Office Word</Application>
  <DocSecurity>0</DocSecurity>
  <Lines>535</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30101</CharactersWithSpaces>
  <SharedDoc>false</SharedDoc>
  <HLinks>
    <vt:vector size="54" baseType="variant">
      <vt:variant>
        <vt:i4>6029407</vt:i4>
      </vt:variant>
      <vt:variant>
        <vt:i4>12</vt:i4>
      </vt:variant>
      <vt:variant>
        <vt:i4>0</vt:i4>
      </vt:variant>
      <vt:variant>
        <vt:i4>5</vt:i4>
      </vt:variant>
      <vt:variant>
        <vt:lpwstr>http://www.colombiacompra.gov.co/</vt:lpwstr>
      </vt:variant>
      <vt:variant>
        <vt:lpwstr/>
      </vt:variant>
      <vt:variant>
        <vt:i4>6488184</vt:i4>
      </vt:variant>
      <vt:variant>
        <vt:i4>9</vt:i4>
      </vt:variant>
      <vt:variant>
        <vt:i4>0</vt:i4>
      </vt:variant>
      <vt:variant>
        <vt:i4>5</vt:i4>
      </vt:variant>
      <vt:variant>
        <vt:lpwstr>https://www.colombiacompra.gov.co/normativa-y-relatoria/conoce-la-relatoria</vt:lpwstr>
      </vt:variant>
      <vt:variant>
        <vt:lpwstr/>
      </vt:variant>
      <vt:variant>
        <vt:i4>5963798</vt:i4>
      </vt:variant>
      <vt:variant>
        <vt:i4>6</vt:i4>
      </vt:variant>
      <vt:variant>
        <vt:i4>0</vt:i4>
      </vt:variant>
      <vt:variant>
        <vt:i4>5</vt:i4>
      </vt:variant>
      <vt:variant>
        <vt:lpwstr>https://operaciones.colombiacompra.gov.co/content/documentos-tipo-para-licitacion-de-obra-publica-de-infraestructura-de-transporte-version-04</vt:lpwstr>
      </vt:variant>
      <vt:variant>
        <vt:lpwstr/>
      </vt:variant>
      <vt:variant>
        <vt:i4>655414</vt:i4>
      </vt:variant>
      <vt:variant>
        <vt:i4>3</vt:i4>
      </vt:variant>
      <vt:variant>
        <vt:i4>0</vt:i4>
      </vt:variant>
      <vt:variant>
        <vt:i4>5</vt:i4>
      </vt:variant>
      <vt:variant>
        <vt:lpwstr>https://www.colombiacompra.gov.co/wp-content/uploads/2024/08/cce-eicp-ma-04._manual_requisitos_habilitantes_v3_29-09-2023.pdf</vt:lpwstr>
      </vt:variant>
      <vt:variant>
        <vt:lpwstr/>
      </vt:variant>
      <vt:variant>
        <vt:i4>6946885</vt:i4>
      </vt:variant>
      <vt:variant>
        <vt:i4>0</vt:i4>
      </vt:variant>
      <vt:variant>
        <vt:i4>0</vt:i4>
      </vt:variant>
      <vt:variant>
        <vt:i4>5</vt:i4>
      </vt:variant>
      <vt:variant>
        <vt:lpwstr>mailto:mariacpm2010@gmail.com</vt:lpwstr>
      </vt:variant>
      <vt:variant>
        <vt:lpwstr/>
      </vt:variant>
      <vt:variant>
        <vt:i4>655414</vt:i4>
      </vt:variant>
      <vt:variant>
        <vt:i4>9</vt:i4>
      </vt:variant>
      <vt:variant>
        <vt:i4>0</vt:i4>
      </vt:variant>
      <vt:variant>
        <vt:i4>5</vt:i4>
      </vt:variant>
      <vt:variant>
        <vt:lpwstr>https://www.colombiacompra.gov.co/wp-content/uploads/2024/08/cce-eicp-ma-04._manual_requisitos_habilitantes_v3_29-09-2023.pdf</vt:lpwstr>
      </vt:variant>
      <vt:variant>
        <vt:lpwstr/>
      </vt:variant>
      <vt:variant>
        <vt:i4>655414</vt:i4>
      </vt:variant>
      <vt:variant>
        <vt:i4>6</vt:i4>
      </vt:variant>
      <vt:variant>
        <vt:i4>0</vt:i4>
      </vt:variant>
      <vt:variant>
        <vt:i4>5</vt:i4>
      </vt:variant>
      <vt:variant>
        <vt:lpwstr>https://www.colombiacompra.gov.co/wp-content/uploads/2024/08/cce-eicp-ma-04._manual_requisitos_habilitantes_v3_29-09-2023.pdf</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655414</vt:i4>
      </vt:variant>
      <vt:variant>
        <vt:i4>0</vt:i4>
      </vt:variant>
      <vt:variant>
        <vt:i4>0</vt:i4>
      </vt:variant>
      <vt:variant>
        <vt:i4>5</vt:i4>
      </vt:variant>
      <vt:variant>
        <vt:lpwstr>https://www.colombiacompra.gov.co/wp-content/uploads/2024/08/cce-eicp-ma-04._manual_requisitos_habilitantes_v3_29-09-2023.pdf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Angela Maria Olmos Andrade</cp:lastModifiedBy>
  <cp:revision>119</cp:revision>
  <cp:lastPrinted>2023-01-10T21:18:00Z</cp:lastPrinted>
  <dcterms:created xsi:type="dcterms:W3CDTF">2025-08-19T13:43:00Z</dcterms:created>
  <dcterms:modified xsi:type="dcterms:W3CDTF">2026-03-18T14:44:00Z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