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9001BE" w14:textId="77777777" w:rsidR="00B75ED5" w:rsidRPr="00B345E4" w:rsidRDefault="00B75ED5" w:rsidP="00B75ED5">
      <w:pPr>
        <w:spacing w:after="0" w:line="240" w:lineRule="auto"/>
        <w:jc w:val="both"/>
        <w:rPr>
          <w:rFonts w:ascii="Verdana" w:eastAsia="Calibri" w:hAnsi="Verdana" w:cs="Arial"/>
          <w:b/>
          <w:color w:val="000000" w:themeColor="text1"/>
          <w:lang w:val="es-ES"/>
        </w:rPr>
      </w:pPr>
      <w:r w:rsidRPr="00B345E4">
        <w:rPr>
          <w:rFonts w:ascii="Verdana" w:eastAsia="Calibri" w:hAnsi="Verdana" w:cs="Arial"/>
          <w:b/>
          <w:color w:val="000000" w:themeColor="text1"/>
          <w:lang w:val="es-ES"/>
        </w:rPr>
        <w:t xml:space="preserve">RÉGIMEN DE INHABILIDADES E INCOMPATIBILIDADES – Definición – Taxatividad – Interpretación restrictiva </w:t>
      </w:r>
    </w:p>
    <w:p w14:paraId="2A9FB5B5" w14:textId="77777777" w:rsidR="00B75ED5" w:rsidRPr="00B345E4" w:rsidRDefault="00B75ED5" w:rsidP="00B75ED5">
      <w:pPr>
        <w:spacing w:after="0" w:line="240" w:lineRule="auto"/>
        <w:jc w:val="both"/>
        <w:rPr>
          <w:rFonts w:ascii="Verdana" w:eastAsia="Calibri" w:hAnsi="Verdana" w:cs="Arial"/>
          <w:bCs/>
          <w:color w:val="000000" w:themeColor="text1"/>
          <w:sz w:val="20"/>
          <w:szCs w:val="20"/>
          <w:lang w:val="es-ES"/>
        </w:rPr>
      </w:pPr>
    </w:p>
    <w:p w14:paraId="4C0AB8DF" w14:textId="77777777" w:rsidR="00B75ED5" w:rsidRPr="00B345E4" w:rsidRDefault="00B75ED5" w:rsidP="00B75ED5">
      <w:pPr>
        <w:spacing w:after="0" w:line="240" w:lineRule="auto"/>
        <w:jc w:val="both"/>
        <w:rPr>
          <w:rFonts w:ascii="Verdana" w:eastAsia="Calibri" w:hAnsi="Verdana" w:cs="Arial"/>
          <w:color w:val="000000" w:themeColor="text1"/>
          <w:sz w:val="20"/>
          <w:szCs w:val="20"/>
          <w:lang w:eastAsia="es-ES_tradnl"/>
        </w:rPr>
      </w:pPr>
      <w:r w:rsidRPr="00B345E4">
        <w:rPr>
          <w:rFonts w:ascii="Verdana" w:eastAsia="Calibri" w:hAnsi="Verdana" w:cs="Arial"/>
          <w:color w:val="000000" w:themeColor="text1"/>
          <w:sz w:val="20"/>
          <w:szCs w:val="20"/>
          <w:lang w:eastAsia="es-ES_tradnl"/>
        </w:rPr>
        <w:t>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B345E4">
        <w:rPr>
          <w:rFonts w:ascii="Verdana" w:eastAsia="Calibri" w:hAnsi="Verdana" w:cs="Arial"/>
          <w:color w:val="000000" w:themeColor="text1"/>
          <w:sz w:val="20"/>
          <w:szCs w:val="20"/>
          <w:lang w:val="es-ES_tradnl" w:eastAsia="es-ES_tradnl"/>
        </w:rPr>
        <w:t xml:space="preserve">, el carácter reconocidamente taxativo del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B345E4">
        <w:rPr>
          <w:rFonts w:ascii="Verdana" w:eastAsia="Calibri" w:hAnsi="Verdana" w:cs="Arial"/>
          <w:color w:val="000000" w:themeColor="text1"/>
          <w:sz w:val="20"/>
          <w:szCs w:val="20"/>
          <w:lang w:eastAsia="es-ES_tradnl"/>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52630DDD" w14:textId="77777777" w:rsidR="00B75ED5" w:rsidRPr="00B345E4" w:rsidRDefault="00B75ED5" w:rsidP="00B75ED5">
      <w:pPr>
        <w:spacing w:after="0" w:line="240" w:lineRule="auto"/>
        <w:jc w:val="both"/>
        <w:rPr>
          <w:rFonts w:ascii="Verdana" w:eastAsia="Calibri" w:hAnsi="Verdana" w:cs="Arial"/>
          <w:color w:val="000000" w:themeColor="text1"/>
          <w:sz w:val="20"/>
          <w:szCs w:val="20"/>
          <w:lang w:eastAsia="es-ES_tradnl"/>
        </w:rPr>
      </w:pPr>
    </w:p>
    <w:p w14:paraId="3D17C2BC" w14:textId="77777777" w:rsidR="00B75ED5" w:rsidRPr="00B345E4" w:rsidRDefault="00B75ED5" w:rsidP="00B75ED5">
      <w:pPr>
        <w:spacing w:after="0" w:line="240" w:lineRule="auto"/>
        <w:jc w:val="both"/>
        <w:rPr>
          <w:rFonts w:ascii="Verdana" w:eastAsia="Calibri" w:hAnsi="Verdana" w:cs="Arial"/>
          <w:color w:val="000000" w:themeColor="text1"/>
          <w:sz w:val="20"/>
          <w:szCs w:val="20"/>
          <w:lang w:val="es-ES_tradnl" w:eastAsia="es-ES_tradnl"/>
        </w:rPr>
      </w:pPr>
      <w:r w:rsidRPr="00B345E4">
        <w:rPr>
          <w:rFonts w:ascii="Verdana" w:eastAsia="Calibri" w:hAnsi="Verdana" w:cs="Arial"/>
          <w:color w:val="000000" w:themeColor="text1"/>
          <w:sz w:val="20"/>
          <w:szCs w:val="20"/>
          <w:lang w:val="es-ES_tradnl" w:eastAsia="es-ES_tradnl"/>
        </w:rPr>
        <w:t xml:space="preserve">De esta manera, las inhabilidades e incompatibilidades al ser límites especiales a la capacidad para presentar ofertas y celebrar contratos estatales, solo pueden tipificarse en la ley o la Constitución –o sea, deben satisfacer el principio de legalidad– y su interpretación debe ser </w:t>
      </w:r>
      <w:r w:rsidRPr="00B345E4">
        <w:rPr>
          <w:rFonts w:ascii="Verdana" w:eastAsia="Calibri" w:hAnsi="Verdana" w:cs="Arial"/>
          <w:i/>
          <w:iCs/>
          <w:color w:val="000000" w:themeColor="text1"/>
          <w:sz w:val="20"/>
          <w:szCs w:val="20"/>
          <w:lang w:val="es-ES_tradnl" w:eastAsia="es-ES_tradnl"/>
        </w:rPr>
        <w:t>restrictiva</w:t>
      </w:r>
      <w:r w:rsidRPr="00B345E4">
        <w:rPr>
          <w:rFonts w:ascii="Verdana" w:eastAsia="Calibri" w:hAnsi="Verdana" w:cs="Arial"/>
          <w:color w:val="000000" w:themeColor="text1"/>
          <w:sz w:val="20"/>
          <w:szCs w:val="20"/>
          <w:lang w:val="es-ES_tradnl" w:eastAsia="es-ES_tradnl"/>
        </w:rPr>
        <w:t>. En contraste, si se admitiera una interpretación amplia, extensiva, analógica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p>
    <w:p w14:paraId="53966BE8" w14:textId="77777777" w:rsidR="00B75ED5" w:rsidRPr="00235ED9" w:rsidRDefault="00B75ED5" w:rsidP="00B75ED5">
      <w:pPr>
        <w:spacing w:after="0"/>
        <w:jc w:val="both"/>
        <w:rPr>
          <w:rFonts w:ascii="Verdana" w:hAnsi="Verdana"/>
          <w:b/>
          <w:bCs/>
          <w:color w:val="4472C4" w:themeColor="accent1"/>
          <w:lang w:val="es-MX"/>
        </w:rPr>
      </w:pPr>
    </w:p>
    <w:p w14:paraId="4CB6734E" w14:textId="6839A575" w:rsidR="00B75ED5" w:rsidRPr="00E5153C" w:rsidRDefault="00B75ED5" w:rsidP="00B75ED5">
      <w:pPr>
        <w:spacing w:after="0" w:line="240" w:lineRule="auto"/>
        <w:jc w:val="both"/>
        <w:rPr>
          <w:rFonts w:ascii="Verdana" w:hAnsi="Verdana" w:cs="Arial"/>
          <w:b/>
          <w:color w:val="000000" w:themeColor="text1"/>
        </w:rPr>
      </w:pPr>
      <w:r w:rsidRPr="00E5153C">
        <w:rPr>
          <w:rFonts w:ascii="Verdana" w:hAnsi="Verdana" w:cs="Arial"/>
          <w:b/>
          <w:color w:val="000000" w:themeColor="text1"/>
        </w:rPr>
        <w:t>INHABILIDADES E INCOMPATIBILIDADES – Ley 80 de 1993 – Artículo 8, literal d) – Sanción disciplinaria</w:t>
      </w:r>
      <w:r>
        <w:rPr>
          <w:rFonts w:ascii="Verdana" w:hAnsi="Verdana" w:cs="Arial"/>
          <w:b/>
          <w:color w:val="000000" w:themeColor="text1"/>
        </w:rPr>
        <w:t xml:space="preserve"> </w:t>
      </w:r>
      <w:r w:rsidR="00C25F57">
        <w:rPr>
          <w:rFonts w:ascii="Verdana" w:hAnsi="Verdana" w:cs="Arial"/>
          <w:b/>
          <w:color w:val="000000" w:themeColor="text1"/>
        </w:rPr>
        <w:t>–</w:t>
      </w:r>
      <w:r>
        <w:rPr>
          <w:rFonts w:ascii="Verdana" w:hAnsi="Verdana" w:cs="Arial"/>
          <w:b/>
          <w:color w:val="000000" w:themeColor="text1"/>
        </w:rPr>
        <w:t xml:space="preserve"> </w:t>
      </w:r>
      <w:r w:rsidR="00C25F57">
        <w:rPr>
          <w:rFonts w:ascii="Verdana" w:hAnsi="Verdana" w:cs="Arial"/>
          <w:b/>
          <w:color w:val="000000" w:themeColor="text1"/>
        </w:rPr>
        <w:t>Inhabilidad para contratar -</w:t>
      </w:r>
      <w:r>
        <w:rPr>
          <w:rFonts w:ascii="Verdana" w:hAnsi="Verdana" w:cs="Arial"/>
          <w:b/>
          <w:color w:val="000000" w:themeColor="text1"/>
        </w:rPr>
        <w:t>Aplicación</w:t>
      </w:r>
    </w:p>
    <w:p w14:paraId="0E7250E1" w14:textId="77777777" w:rsidR="00B75ED5" w:rsidRPr="00C25F57" w:rsidRDefault="00B75ED5" w:rsidP="00B75ED5">
      <w:pPr>
        <w:spacing w:after="0"/>
        <w:jc w:val="both"/>
        <w:rPr>
          <w:rFonts w:ascii="Verdana" w:hAnsi="Verdana"/>
          <w:b/>
          <w:bCs/>
          <w:color w:val="ED7D31" w:themeColor="accent2"/>
        </w:rPr>
      </w:pPr>
    </w:p>
    <w:p w14:paraId="290A491E" w14:textId="46DA3775" w:rsidR="00C25F57" w:rsidRPr="00B62462" w:rsidRDefault="003654D3" w:rsidP="00B62462">
      <w:pPr>
        <w:spacing w:after="0" w:line="240" w:lineRule="auto"/>
        <w:jc w:val="both"/>
        <w:rPr>
          <w:rFonts w:ascii="Verdana" w:eastAsia="Verdana" w:hAnsi="Verdana" w:cs="Verdana"/>
          <w:sz w:val="20"/>
          <w:szCs w:val="20"/>
          <w:lang w:val="es-ES"/>
        </w:rPr>
      </w:pPr>
      <w:r w:rsidRPr="00B62462">
        <w:rPr>
          <w:rFonts w:ascii="Verdana" w:eastAsia="Verdana" w:hAnsi="Verdana" w:cs="Verdana"/>
          <w:sz w:val="20"/>
          <w:szCs w:val="20"/>
          <w:lang w:val="es-ES"/>
        </w:rPr>
        <w:t>(…)</w:t>
      </w:r>
      <w:r w:rsidR="00C25F57" w:rsidRPr="00B62462">
        <w:rPr>
          <w:rFonts w:ascii="Verdana" w:eastAsia="Verdana" w:hAnsi="Verdana" w:cs="Verdana"/>
          <w:sz w:val="20"/>
          <w:szCs w:val="20"/>
          <w:lang w:val="es-ES"/>
        </w:rPr>
        <w:t xml:space="preserve"> resulta necesario realizar una distinción entre la inhabilidad para contratar con el estado y la inhabilidad general que apareja la destitución. La primera hace parte del régimen de inhabilidades e incompatibilidades para contratar con el Estado previsto en el artículo 8-1 de la Ley 80 de 1993, particularmente lo dispuesto en su literal d</w:t>
      </w:r>
      <w:r w:rsidR="005B14A6" w:rsidRPr="00B62462">
        <w:rPr>
          <w:rFonts w:ascii="Verdana" w:eastAsia="Verdana" w:hAnsi="Verdana" w:cs="Verdana"/>
          <w:sz w:val="20"/>
          <w:szCs w:val="20"/>
          <w:lang w:val="es-ES"/>
        </w:rPr>
        <w:t>),</w:t>
      </w:r>
      <w:r w:rsidR="00C25F57" w:rsidRPr="00B62462">
        <w:rPr>
          <w:rFonts w:ascii="Verdana" w:eastAsia="Verdana" w:hAnsi="Verdana" w:cs="Verdana"/>
          <w:sz w:val="20"/>
          <w:szCs w:val="20"/>
          <w:lang w:val="es-ES"/>
        </w:rPr>
        <w:t xml:space="preserve"> el cual regula las inhabilidades derivadas de sanciones disciplinarias. Dicha inhabilidad está dirigida a dos grupos de personas, en primer lugar, quienes hayan sido condenados por sentencia judicial a la pena accesoria de interdicción de derechos y funciones públicas, y la segunda, quienes hayan sido sancionados disciplinariamente con destitución cuando incurre en faltas gravísimas, especialmente aquellas que afectan principios como la moralidad, la legalidad, la imparcialidad o la eficiencia administrativa.</w:t>
      </w:r>
    </w:p>
    <w:p w14:paraId="52CD9E32" w14:textId="77777777" w:rsidR="00C25F57" w:rsidRPr="00B62462" w:rsidRDefault="00C25F57" w:rsidP="00B62462">
      <w:pPr>
        <w:spacing w:after="0" w:line="240" w:lineRule="auto"/>
        <w:jc w:val="both"/>
        <w:rPr>
          <w:rFonts w:ascii="Verdana" w:eastAsia="Verdana" w:hAnsi="Verdana" w:cs="Verdana"/>
          <w:sz w:val="20"/>
          <w:szCs w:val="20"/>
          <w:lang w:val="es-ES"/>
        </w:rPr>
      </w:pPr>
    </w:p>
    <w:p w14:paraId="68BFDF59" w14:textId="6C345261" w:rsidR="00C25F57" w:rsidRPr="00B62462" w:rsidRDefault="00C25F57" w:rsidP="00B62462">
      <w:pPr>
        <w:spacing w:after="0" w:line="240" w:lineRule="auto"/>
        <w:jc w:val="both"/>
        <w:rPr>
          <w:rFonts w:ascii="Verdana" w:eastAsia="Verdana" w:hAnsi="Verdana" w:cs="Verdana"/>
          <w:sz w:val="20"/>
          <w:szCs w:val="20"/>
          <w:lang w:val="es-ES"/>
        </w:rPr>
      </w:pPr>
      <w:r w:rsidRPr="00B62462">
        <w:rPr>
          <w:rFonts w:ascii="Verdana" w:eastAsia="Verdana" w:hAnsi="Verdana" w:cs="Verdana"/>
          <w:sz w:val="20"/>
          <w:szCs w:val="20"/>
          <w:lang w:val="es-ES"/>
        </w:rPr>
        <w:t xml:space="preserve">De conformidad con el mencionado artículo, se indica que, se encuentran inhabilitadas para participar en procesos de selección y para celebrar contratos con las entidades </w:t>
      </w:r>
      <w:r w:rsidRPr="00B62462">
        <w:rPr>
          <w:rFonts w:ascii="Verdana" w:eastAsia="Verdana" w:hAnsi="Verdana" w:cs="Verdana"/>
          <w:sz w:val="20"/>
          <w:szCs w:val="20"/>
          <w:lang w:val="es-ES"/>
        </w:rPr>
        <w:lastRenderedPageBreak/>
        <w:t>estatales aquellas personas naturales o jurídicas que hayan sido sancionadas disciplinariamente con destitución, mientras subsistan los efectos jurídicos de dicha sanción. Esta inhabilidad, tiene como fundamento la protección de los principios de moralidad, transparencia y responsabilidad que rigen la contratación estatal, en la medida en que busca excluir temporalmente del vínculo contractual con el Estado a quienes, en ejercicio de funciones públicas o con ocasión de ellas, hayan incurrido en faltas disciplinarias y que por su gravedad ameritaron una sanción impuesta en el marco del ejercicio de la potestad disciplinaria del Estado, conforme al Código General Disciplinario regulado por la Ley 1952 de 2019.</w:t>
      </w:r>
    </w:p>
    <w:p w14:paraId="65699719" w14:textId="77777777" w:rsidR="00C25F57" w:rsidRDefault="00C25F57" w:rsidP="00B75ED5">
      <w:pPr>
        <w:spacing w:after="0"/>
        <w:jc w:val="both"/>
        <w:rPr>
          <w:rFonts w:ascii="Verdana" w:eastAsia="Verdana" w:hAnsi="Verdana" w:cs="Verdana"/>
          <w:color w:val="ED7D31" w:themeColor="accent2"/>
          <w:sz w:val="20"/>
          <w:szCs w:val="20"/>
          <w:lang w:val="es-ES"/>
        </w:rPr>
      </w:pPr>
    </w:p>
    <w:p w14:paraId="3ADC7EF2" w14:textId="2222C9DF" w:rsidR="003654D3" w:rsidRPr="00E5153C" w:rsidRDefault="003654D3" w:rsidP="003654D3">
      <w:pPr>
        <w:spacing w:after="0" w:line="240" w:lineRule="auto"/>
        <w:jc w:val="both"/>
        <w:rPr>
          <w:rFonts w:ascii="Verdana" w:hAnsi="Verdana" w:cs="Arial"/>
          <w:b/>
          <w:color w:val="000000" w:themeColor="text1"/>
        </w:rPr>
      </w:pPr>
      <w:r w:rsidRPr="00E5153C">
        <w:rPr>
          <w:rFonts w:ascii="Verdana" w:hAnsi="Verdana" w:cs="Arial"/>
          <w:b/>
          <w:color w:val="000000" w:themeColor="text1"/>
        </w:rPr>
        <w:t>INHABILIDADES E INCOMPATIBILIDADES – Ley</w:t>
      </w:r>
      <w:r w:rsidR="00C40302">
        <w:rPr>
          <w:rFonts w:ascii="Verdana" w:hAnsi="Verdana" w:cs="Arial"/>
          <w:b/>
          <w:color w:val="000000" w:themeColor="text1"/>
        </w:rPr>
        <w:t xml:space="preserve"> 1952 de 2019</w:t>
      </w:r>
      <w:r w:rsidRPr="00E5153C">
        <w:rPr>
          <w:rFonts w:ascii="Verdana" w:hAnsi="Verdana" w:cs="Arial"/>
          <w:b/>
          <w:color w:val="000000" w:themeColor="text1"/>
        </w:rPr>
        <w:t xml:space="preserve"> – Artículo</w:t>
      </w:r>
      <w:r w:rsidR="00C40302">
        <w:rPr>
          <w:rFonts w:ascii="Verdana" w:hAnsi="Verdana" w:cs="Arial"/>
          <w:b/>
          <w:color w:val="000000" w:themeColor="text1"/>
        </w:rPr>
        <w:t>s 48 y 49</w:t>
      </w:r>
      <w:r w:rsidRPr="00E5153C">
        <w:rPr>
          <w:rFonts w:ascii="Verdana" w:hAnsi="Verdana" w:cs="Arial"/>
          <w:b/>
          <w:color w:val="000000" w:themeColor="text1"/>
        </w:rPr>
        <w:t xml:space="preserve"> – Sanción disciplinaria</w:t>
      </w:r>
      <w:r>
        <w:rPr>
          <w:rFonts w:ascii="Verdana" w:hAnsi="Verdana" w:cs="Arial"/>
          <w:b/>
          <w:color w:val="000000" w:themeColor="text1"/>
        </w:rPr>
        <w:t xml:space="preserve"> – Inhabilidad </w:t>
      </w:r>
      <w:r w:rsidR="00B62462">
        <w:rPr>
          <w:rFonts w:ascii="Verdana" w:hAnsi="Verdana" w:cs="Arial"/>
          <w:b/>
          <w:color w:val="000000" w:themeColor="text1"/>
        </w:rPr>
        <w:t>general</w:t>
      </w:r>
      <w:r>
        <w:rPr>
          <w:rFonts w:ascii="Verdana" w:hAnsi="Verdana" w:cs="Arial"/>
          <w:b/>
          <w:color w:val="000000" w:themeColor="text1"/>
        </w:rPr>
        <w:t>-Aplicación</w:t>
      </w:r>
    </w:p>
    <w:p w14:paraId="36D37148" w14:textId="77777777" w:rsidR="00AD113C" w:rsidRPr="00623E22" w:rsidRDefault="00AD113C" w:rsidP="00AD113C">
      <w:pPr>
        <w:spacing w:after="0"/>
        <w:jc w:val="both"/>
        <w:rPr>
          <w:rFonts w:ascii="Verdana" w:eastAsia="Verdana" w:hAnsi="Verdana" w:cs="Verdana"/>
          <w:sz w:val="20"/>
          <w:szCs w:val="20"/>
        </w:rPr>
      </w:pPr>
    </w:p>
    <w:p w14:paraId="18F61711" w14:textId="457CC00A" w:rsidR="00AD113C" w:rsidRPr="00623E22" w:rsidRDefault="00AD113C" w:rsidP="00AD113C">
      <w:pPr>
        <w:spacing w:after="0"/>
        <w:jc w:val="both"/>
        <w:rPr>
          <w:rFonts w:ascii="Verdana" w:eastAsia="Verdana" w:hAnsi="Verdana" w:cs="Verdana"/>
          <w:sz w:val="20"/>
          <w:szCs w:val="20"/>
          <w:lang w:val="es-ES"/>
        </w:rPr>
      </w:pPr>
      <w:r w:rsidRPr="00623E22">
        <w:rPr>
          <w:rFonts w:ascii="Verdana" w:eastAsia="Verdana" w:hAnsi="Verdana" w:cs="Verdana"/>
          <w:sz w:val="20"/>
          <w:szCs w:val="20"/>
        </w:rPr>
        <w:t xml:space="preserve">(…) la </w:t>
      </w:r>
      <w:r w:rsidRPr="00623E22">
        <w:rPr>
          <w:rFonts w:ascii="Verdana" w:eastAsia="Verdana" w:hAnsi="Verdana" w:cs="Verdana"/>
          <w:sz w:val="20"/>
          <w:szCs w:val="20"/>
          <w:lang w:val="es-ES"/>
        </w:rPr>
        <w:t>inhabilidad para contratar con el estado de la que versa el artículo 8-1, literal d), de la Ley 80 de 1993, opera por mérito de la ley durante el término de 5 años siguientes a la ejecutoria del acto que impone la sanción disciplinaría de destitución. El principal efecto de esta restricción, al igual que de las demás previstas en el art. 8 de la Ley 80 de 1993, es la imposibilidad de celebrar o ejecutar contratos estatales o participar en procesos de selección, Por otra parte la inhabilidad general restringe la posibilidad ejercer la función pública, durante el término determinado por la autoridad disciplinaria en función de la gravedad de la falta, previsto en el artículo 49-1, literal d y artículo 48 numerales 1 y 2 de la Ley 1953 de 2019. Dicho lo anterior, aunque la inhabilidad general que acompaña la destitución guarda relación con la prevista en la Ley 80 de 1993, presentan diferencias en cuanto a su ámbito de aplicación, tanto material como temporal, por lo que no producen los mismos efectos ni se aplican en las mismas circunstancias.</w:t>
      </w:r>
    </w:p>
    <w:p w14:paraId="7B09F3EF" w14:textId="77777777" w:rsidR="00AD113C" w:rsidRPr="00623E22" w:rsidRDefault="00AD113C" w:rsidP="00AD113C">
      <w:pPr>
        <w:spacing w:after="0"/>
        <w:jc w:val="both"/>
        <w:rPr>
          <w:rFonts w:ascii="Verdana" w:eastAsia="Verdana" w:hAnsi="Verdana" w:cs="Verdana"/>
          <w:sz w:val="20"/>
          <w:szCs w:val="20"/>
          <w:lang w:val="es-ES"/>
        </w:rPr>
      </w:pPr>
    </w:p>
    <w:p w14:paraId="3930D646" w14:textId="609178BE" w:rsidR="00C25F57" w:rsidRPr="00BA1E00" w:rsidRDefault="00AD113C" w:rsidP="00B75ED5">
      <w:pPr>
        <w:spacing w:after="0"/>
        <w:jc w:val="both"/>
        <w:rPr>
          <w:rFonts w:ascii="Verdana" w:eastAsia="Verdana" w:hAnsi="Verdana" w:cs="Verdana"/>
          <w:sz w:val="20"/>
          <w:szCs w:val="20"/>
          <w:lang w:val="es-ES"/>
        </w:rPr>
      </w:pPr>
      <w:r w:rsidRPr="00623E22">
        <w:rPr>
          <w:rFonts w:ascii="Verdana" w:eastAsia="Verdana" w:hAnsi="Verdana" w:cs="Verdana"/>
          <w:sz w:val="20"/>
          <w:szCs w:val="20"/>
          <w:lang w:val="es-ES"/>
        </w:rPr>
        <w:t>No obstante, aunque la inhabilidad general asociada a la destitución, por sí sola, no genera la pérdida de la capacidad para contratar una vez han transcurrido 5 años desde la ejecutoria de la sanción, sí puede producir dicho efecto cuando el objeto del contrato implique el desarrollo de actividades restringidas por el artículo 49-1, literal d), de la Ley 1952 de 2019, esto es, el ejercicio de funciones públicas. En este escenario, la inhabilidad general impuesta junto con la destitución impide la celebración de contratos estatales que comporten el ejercicio de funciones públicas durante el término de vigencia de la sanción fijada por la autoridad disciplinaria.</w:t>
      </w:r>
      <w:r w:rsidR="00623E22" w:rsidRPr="00623E22">
        <w:rPr>
          <w:rFonts w:ascii="Verdana" w:eastAsia="Verdana" w:hAnsi="Verdana" w:cs="Verdana"/>
          <w:sz w:val="20"/>
          <w:szCs w:val="20"/>
          <w:lang w:val="es-ES"/>
        </w:rPr>
        <w:t xml:space="preserve"> (…)</w:t>
      </w:r>
    </w:p>
    <w:p w14:paraId="43EE51F6" w14:textId="77777777" w:rsidR="00B75ED5" w:rsidRDefault="00B75ED5" w:rsidP="00B75ED5">
      <w:pPr>
        <w:spacing w:after="0"/>
        <w:jc w:val="both"/>
        <w:rPr>
          <w:rFonts w:ascii="Verdana" w:eastAsia="Verdana" w:hAnsi="Verdana" w:cs="Verdana"/>
          <w:color w:val="4472C4" w:themeColor="accent1"/>
          <w:sz w:val="20"/>
          <w:szCs w:val="20"/>
          <w:lang w:val="es-ES"/>
        </w:rPr>
      </w:pPr>
    </w:p>
    <w:p w14:paraId="28CB1C0A" w14:textId="1F85D4A4" w:rsidR="00B75ED5" w:rsidRPr="00BA1E00" w:rsidRDefault="00B75ED5" w:rsidP="00B75ED5">
      <w:pPr>
        <w:spacing w:after="0"/>
        <w:jc w:val="both"/>
        <w:rPr>
          <w:rFonts w:ascii="Verdana" w:hAnsi="Verdana" w:cs="Arial"/>
          <w:b/>
          <w:color w:val="000000" w:themeColor="text1"/>
        </w:rPr>
      </w:pPr>
      <w:r w:rsidRPr="00BA1E00">
        <w:rPr>
          <w:rFonts w:ascii="Verdana" w:hAnsi="Verdana" w:cs="Arial"/>
          <w:b/>
          <w:color w:val="000000" w:themeColor="text1"/>
        </w:rPr>
        <w:t>INHABILIDADES E INCOMPATIBILIDADES – Ley 80 de 1993 – Artículo 8, literal d)</w:t>
      </w:r>
      <w:r w:rsidR="00FE648B" w:rsidRPr="00BA1E00">
        <w:rPr>
          <w:rFonts w:ascii="Verdana" w:hAnsi="Verdana" w:cs="Arial"/>
          <w:b/>
          <w:color w:val="000000" w:themeColor="text1"/>
        </w:rPr>
        <w:t xml:space="preserve"> </w:t>
      </w:r>
      <w:r w:rsidR="0010776F" w:rsidRPr="00BA1E00">
        <w:rPr>
          <w:rFonts w:ascii="Verdana" w:hAnsi="Verdana" w:cs="Arial"/>
          <w:b/>
          <w:color w:val="000000" w:themeColor="text1"/>
        </w:rPr>
        <w:t>–</w:t>
      </w:r>
      <w:r w:rsidRPr="00BA1E00">
        <w:rPr>
          <w:rFonts w:ascii="Verdana" w:hAnsi="Verdana" w:cs="Arial"/>
          <w:b/>
          <w:color w:val="000000" w:themeColor="text1"/>
        </w:rPr>
        <w:t xml:space="preserve"> Sanción disciplinaria – Temporalidad</w:t>
      </w:r>
    </w:p>
    <w:p w14:paraId="12FF8506" w14:textId="77777777" w:rsidR="00B75ED5" w:rsidRDefault="00B75ED5" w:rsidP="00B75ED5">
      <w:pPr>
        <w:spacing w:after="0"/>
        <w:jc w:val="both"/>
        <w:rPr>
          <w:rFonts w:ascii="Verdana" w:eastAsia="Verdana" w:hAnsi="Verdana" w:cs="Verdana"/>
          <w:color w:val="4472C4" w:themeColor="accent1"/>
          <w:sz w:val="20"/>
          <w:szCs w:val="20"/>
          <w:lang w:val="es-ES"/>
        </w:rPr>
      </w:pPr>
    </w:p>
    <w:p w14:paraId="6F9F0567" w14:textId="7B633409" w:rsidR="00B75ED5" w:rsidRPr="003A22D5" w:rsidRDefault="00B75ED5" w:rsidP="00B75ED5">
      <w:pPr>
        <w:spacing w:line="240" w:lineRule="auto"/>
        <w:jc w:val="both"/>
        <w:rPr>
          <w:rFonts w:ascii="Verdana" w:eastAsia="Verdana" w:hAnsi="Verdana" w:cs="Verdana"/>
          <w:sz w:val="20"/>
          <w:szCs w:val="20"/>
          <w:lang w:val="es-ES"/>
        </w:rPr>
      </w:pPr>
      <w:r w:rsidRPr="003A22D5">
        <w:rPr>
          <w:rFonts w:ascii="Verdana" w:eastAsia="Verdana" w:hAnsi="Verdana" w:cs="Verdana"/>
          <w:sz w:val="20"/>
          <w:szCs w:val="20"/>
          <w:lang w:val="es-ES"/>
        </w:rPr>
        <w:t xml:space="preserve">(…) </w:t>
      </w:r>
      <w:r w:rsidR="00505463" w:rsidRPr="00505463">
        <w:rPr>
          <w:rFonts w:ascii="Verdana" w:eastAsia="Verdana" w:hAnsi="Verdana" w:cs="Verdana"/>
          <w:sz w:val="20"/>
          <w:szCs w:val="20"/>
        </w:rPr>
        <w:t xml:space="preserve">En ese contexto, la inhabilidad para contratar con el estado de la que versa el artículo 8-1, literal d), de la Ley 80 de 1993, opera por mérito de la ley durante el término de 5 años siguientes a la ejecutoria del acto que impone la sanción disciplinaría de destitución. </w:t>
      </w:r>
      <w:r w:rsidR="00505463" w:rsidRPr="00505463">
        <w:rPr>
          <w:rFonts w:ascii="Verdana" w:eastAsia="Verdana" w:hAnsi="Verdana" w:cs="Verdana"/>
          <w:sz w:val="20"/>
          <w:szCs w:val="20"/>
        </w:rPr>
        <w:lastRenderedPageBreak/>
        <w:t xml:space="preserve">El principal efecto de esta restricción, al igual que de las demás previstas en el art. 8 de la Ley 80 de 1993, es la imposibilidad de celebrar o ejecutar contratos estatales o participar en procesos de selección, Por otra parte la inhabilidad general restringe la posibilidad ejercer la función pública, durante el término determinado por la autoridad disciplinaria en función de la gravedad de la falta, previsto en el artículo 49-1, literal d y artículo 48 numerales 1 y 2 de la Ley 1953 de 2019. Dicho lo anterior, aunque la inhabilidad general que acompaña la destitución guarda relación con la prevista en la Ley 80 de 1993, presentan diferencias en cuanto a su ámbito de aplicación, tanto material como temporal, por lo que no producen los mismos efectos ni se aplican en las mismas circunstancias. </w:t>
      </w:r>
      <w:r w:rsidRPr="003A22D5">
        <w:rPr>
          <w:rFonts w:ascii="Verdana" w:eastAsia="Verdana" w:hAnsi="Verdana" w:cs="Verdana"/>
          <w:sz w:val="20"/>
          <w:szCs w:val="20"/>
        </w:rPr>
        <w:t>(…)</w:t>
      </w:r>
    </w:p>
    <w:p w14:paraId="429F3289" w14:textId="77777777" w:rsidR="00B75ED5" w:rsidRPr="005F6A40" w:rsidRDefault="00B75ED5" w:rsidP="00B75ED5">
      <w:pPr>
        <w:spacing w:after="0"/>
        <w:jc w:val="both"/>
        <w:rPr>
          <w:rFonts w:ascii="Verdana" w:eastAsia="Verdana" w:hAnsi="Verdana" w:cs="Verdana"/>
          <w:b/>
          <w:color w:val="ED7D31" w:themeColor="accent2"/>
          <w:sz w:val="20"/>
          <w:szCs w:val="20"/>
          <w:lang w:val="es-ES"/>
        </w:rPr>
      </w:pPr>
    </w:p>
    <w:p w14:paraId="70627DD2" w14:textId="5D5E4A66" w:rsidR="00B75ED5" w:rsidRPr="005F6A40" w:rsidRDefault="005F6A40" w:rsidP="00B75ED5">
      <w:pPr>
        <w:spacing w:after="0" w:line="240" w:lineRule="auto"/>
        <w:jc w:val="both"/>
        <w:rPr>
          <w:rFonts w:ascii="Verdana" w:eastAsia="Verdana" w:hAnsi="Verdana" w:cs="Verdana"/>
          <w:b/>
          <w:sz w:val="20"/>
          <w:szCs w:val="20"/>
        </w:rPr>
      </w:pPr>
      <w:r w:rsidRPr="005F6A40">
        <w:rPr>
          <w:rFonts w:ascii="Verdana" w:eastAsia="Calibri" w:hAnsi="Verdana" w:cs="Arial"/>
          <w:b/>
        </w:rPr>
        <w:t>Ley 1952 de 2019 – Certificado Antecedentes Disciplinarios – Registro de sanciones</w:t>
      </w:r>
    </w:p>
    <w:p w14:paraId="0D81C925" w14:textId="77777777" w:rsidR="00B75ED5" w:rsidRPr="00CA78E2" w:rsidRDefault="00B75ED5" w:rsidP="00B75ED5">
      <w:pPr>
        <w:spacing w:after="0"/>
        <w:jc w:val="both"/>
        <w:rPr>
          <w:rFonts w:ascii="Verdana" w:eastAsia="Verdana" w:hAnsi="Verdana" w:cs="Verdana"/>
          <w:sz w:val="20"/>
          <w:szCs w:val="20"/>
          <w:lang w:val="es-ES"/>
        </w:rPr>
      </w:pPr>
    </w:p>
    <w:p w14:paraId="07EBF015" w14:textId="37F42304" w:rsidR="00B75ED5" w:rsidRPr="00CA78E2" w:rsidRDefault="00B75ED5" w:rsidP="00CA78E2">
      <w:pPr>
        <w:spacing w:after="120" w:line="240" w:lineRule="auto"/>
        <w:jc w:val="both"/>
        <w:rPr>
          <w:rFonts w:ascii="Verdana" w:eastAsia="Verdana" w:hAnsi="Verdana" w:cs="Verdana"/>
          <w:sz w:val="20"/>
          <w:szCs w:val="20"/>
        </w:rPr>
      </w:pPr>
      <w:r w:rsidRPr="00CA78E2">
        <w:rPr>
          <w:rFonts w:ascii="Verdana" w:eastAsia="Verdana" w:hAnsi="Verdana" w:cs="Verdana"/>
          <w:sz w:val="20"/>
          <w:szCs w:val="20"/>
          <w:lang w:val="es-ES"/>
        </w:rPr>
        <w:t xml:space="preserve">(…) </w:t>
      </w:r>
      <w:r w:rsidR="00CA78E2" w:rsidRPr="00CA78E2">
        <w:rPr>
          <w:rFonts w:ascii="Verdana" w:eastAsia="Verdana" w:hAnsi="Verdana" w:cs="Verdana"/>
          <w:sz w:val="20"/>
          <w:szCs w:val="20"/>
        </w:rPr>
        <w:t>debe precisarse que las anotaciones registradas en el certificado de antecedentes disciplinarios, de conformidad con lo previsto en la Ley 1952 de 2019, artículo 238, tienen un carácter estrictamente informativo y no constituyen, por sí mismas, una sanción ni generan efectos restrictivos automáticos. En dicho certificado se consignan las anotaciones de las sanciones o inhabilidades que se encuentren vigentes. Así las cosas, la sola existencia de un antecedente disciplinario no implica necesariamente una inhabilidad para contratar con el Estado, salvo que del mismo se derive una sanción disciplinaria con efectos jurídicos vigentes que expresamente restrinjan dicha posibilidad, como ocurre en los casos de destitución con inhabilidad general.</w:t>
      </w:r>
      <w:r w:rsidRPr="00CA78E2">
        <w:rPr>
          <w:rFonts w:ascii="Verdana" w:eastAsia="Verdana" w:hAnsi="Verdana" w:cs="Verdana"/>
          <w:sz w:val="20"/>
          <w:szCs w:val="20"/>
        </w:rPr>
        <w:t xml:space="preserve"> (…)</w:t>
      </w:r>
    </w:p>
    <w:p w14:paraId="016614F3" w14:textId="77777777" w:rsidR="00B75ED5" w:rsidRPr="00AE0BBC" w:rsidRDefault="00B75ED5" w:rsidP="00B75ED5">
      <w:pPr>
        <w:spacing w:after="0"/>
        <w:jc w:val="both"/>
        <w:rPr>
          <w:rFonts w:ascii="Verdana" w:eastAsia="Verdana" w:hAnsi="Verdana" w:cs="Verdana"/>
          <w:color w:val="4472C4" w:themeColor="accent1"/>
          <w:sz w:val="20"/>
          <w:szCs w:val="20"/>
        </w:rPr>
      </w:pPr>
    </w:p>
    <w:p w14:paraId="79ABA19C" w14:textId="77777777" w:rsidR="00CA78E2" w:rsidRDefault="00CA78E2" w:rsidP="00B75ED5">
      <w:pPr>
        <w:spacing w:after="0"/>
        <w:rPr>
          <w:rFonts w:ascii="Verdana" w:hAnsi="Verdana"/>
        </w:rPr>
      </w:pPr>
    </w:p>
    <w:p w14:paraId="3AFE83A4" w14:textId="77777777" w:rsidR="00CA78E2" w:rsidRDefault="00CA78E2" w:rsidP="00B75ED5">
      <w:pPr>
        <w:spacing w:after="0"/>
        <w:rPr>
          <w:rFonts w:ascii="Verdana" w:hAnsi="Verdana"/>
        </w:rPr>
      </w:pPr>
    </w:p>
    <w:p w14:paraId="7B77EE27" w14:textId="77777777" w:rsidR="00CA78E2" w:rsidRDefault="00CA78E2" w:rsidP="00B75ED5">
      <w:pPr>
        <w:spacing w:after="0"/>
        <w:rPr>
          <w:rFonts w:ascii="Verdana" w:hAnsi="Verdana"/>
        </w:rPr>
      </w:pPr>
    </w:p>
    <w:p w14:paraId="48F7DA4C" w14:textId="77777777" w:rsidR="00CA78E2" w:rsidRDefault="00CA78E2" w:rsidP="00B75ED5">
      <w:pPr>
        <w:spacing w:after="0"/>
        <w:rPr>
          <w:rFonts w:ascii="Verdana" w:hAnsi="Verdana"/>
        </w:rPr>
      </w:pPr>
    </w:p>
    <w:p w14:paraId="7A9468C8" w14:textId="77777777" w:rsidR="00CA78E2" w:rsidRDefault="00CA78E2" w:rsidP="00B75ED5">
      <w:pPr>
        <w:spacing w:after="0"/>
        <w:rPr>
          <w:rFonts w:ascii="Verdana" w:hAnsi="Verdana"/>
        </w:rPr>
      </w:pPr>
    </w:p>
    <w:p w14:paraId="3E0D95F4" w14:textId="77777777" w:rsidR="00CA78E2" w:rsidRDefault="00CA78E2" w:rsidP="00B75ED5">
      <w:pPr>
        <w:spacing w:after="0"/>
        <w:rPr>
          <w:rFonts w:ascii="Verdana" w:hAnsi="Verdana"/>
        </w:rPr>
      </w:pPr>
    </w:p>
    <w:p w14:paraId="3B856A59" w14:textId="77777777" w:rsidR="00CA78E2" w:rsidRDefault="00CA78E2" w:rsidP="00B75ED5">
      <w:pPr>
        <w:spacing w:after="0"/>
        <w:rPr>
          <w:rFonts w:ascii="Verdana" w:hAnsi="Verdana"/>
        </w:rPr>
      </w:pPr>
    </w:p>
    <w:p w14:paraId="28686BC5" w14:textId="77777777" w:rsidR="00CA78E2" w:rsidRDefault="00CA78E2" w:rsidP="00B75ED5">
      <w:pPr>
        <w:spacing w:after="0"/>
        <w:rPr>
          <w:rFonts w:ascii="Verdana" w:hAnsi="Verdana"/>
        </w:rPr>
      </w:pPr>
    </w:p>
    <w:p w14:paraId="665732D4" w14:textId="77777777" w:rsidR="00CA78E2" w:rsidRDefault="00CA78E2" w:rsidP="00B75ED5">
      <w:pPr>
        <w:spacing w:after="0"/>
        <w:rPr>
          <w:rFonts w:ascii="Verdana" w:hAnsi="Verdana"/>
        </w:rPr>
      </w:pPr>
    </w:p>
    <w:p w14:paraId="22682909" w14:textId="77777777" w:rsidR="00CA78E2" w:rsidRDefault="00CA78E2" w:rsidP="00B75ED5">
      <w:pPr>
        <w:spacing w:after="0"/>
        <w:rPr>
          <w:rFonts w:ascii="Verdana" w:hAnsi="Verdana"/>
        </w:rPr>
      </w:pPr>
    </w:p>
    <w:p w14:paraId="07079354" w14:textId="77777777" w:rsidR="00CA78E2" w:rsidRDefault="00CA78E2" w:rsidP="00B75ED5">
      <w:pPr>
        <w:spacing w:after="0"/>
        <w:rPr>
          <w:rFonts w:ascii="Verdana" w:hAnsi="Verdana"/>
        </w:rPr>
      </w:pPr>
    </w:p>
    <w:p w14:paraId="7E1C2D28" w14:textId="77777777" w:rsidR="00CA78E2" w:rsidRDefault="00CA78E2" w:rsidP="00B75ED5">
      <w:pPr>
        <w:spacing w:after="0"/>
        <w:rPr>
          <w:rFonts w:ascii="Verdana" w:hAnsi="Verdana"/>
        </w:rPr>
      </w:pPr>
    </w:p>
    <w:p w14:paraId="272FB837" w14:textId="77777777" w:rsidR="00CA78E2" w:rsidRDefault="00CA78E2" w:rsidP="00B75ED5">
      <w:pPr>
        <w:spacing w:after="0"/>
        <w:rPr>
          <w:rFonts w:ascii="Verdana" w:hAnsi="Verdana"/>
        </w:rPr>
      </w:pPr>
    </w:p>
    <w:p w14:paraId="5841D779" w14:textId="77777777" w:rsidR="00CA78E2" w:rsidRDefault="00CA78E2" w:rsidP="00B75ED5">
      <w:pPr>
        <w:spacing w:after="0"/>
        <w:rPr>
          <w:rFonts w:ascii="Verdana" w:hAnsi="Verdana"/>
        </w:rPr>
      </w:pPr>
    </w:p>
    <w:p w14:paraId="5F2CA101" w14:textId="77777777" w:rsidR="00CA78E2" w:rsidRDefault="00CA78E2" w:rsidP="00B75ED5">
      <w:pPr>
        <w:spacing w:after="0"/>
        <w:rPr>
          <w:rFonts w:ascii="Verdana" w:hAnsi="Verdana"/>
        </w:rPr>
      </w:pPr>
    </w:p>
    <w:p w14:paraId="2AAEEECE" w14:textId="77777777" w:rsidR="00CA78E2" w:rsidRDefault="00CA78E2" w:rsidP="00B75ED5">
      <w:pPr>
        <w:spacing w:after="0"/>
        <w:rPr>
          <w:rFonts w:ascii="Verdana" w:hAnsi="Verdana"/>
        </w:rPr>
      </w:pPr>
    </w:p>
    <w:p w14:paraId="2D20714E" w14:textId="77777777" w:rsidR="00CA78E2" w:rsidRDefault="00CA78E2" w:rsidP="00B75ED5">
      <w:pPr>
        <w:spacing w:after="0"/>
        <w:rPr>
          <w:rFonts w:ascii="Verdana" w:hAnsi="Verdana"/>
        </w:rPr>
      </w:pPr>
    </w:p>
    <w:p w14:paraId="62A30CA0" w14:textId="59BB126D" w:rsidR="00B75ED5" w:rsidRPr="006D45E2" w:rsidRDefault="00B75ED5" w:rsidP="00B75ED5">
      <w:pPr>
        <w:spacing w:after="0"/>
        <w:rPr>
          <w:rFonts w:ascii="Verdana" w:hAnsi="Verdana"/>
        </w:rPr>
      </w:pPr>
      <w:r w:rsidRPr="006D45E2">
        <w:rPr>
          <w:rFonts w:ascii="Verdana" w:hAnsi="Verdana"/>
        </w:rPr>
        <w:lastRenderedPageBreak/>
        <w:t xml:space="preserve">Bogotá D.C., </w:t>
      </w:r>
      <w:r w:rsidR="005E4B8B">
        <w:rPr>
          <w:rFonts w:ascii="Verdana" w:hAnsi="Verdana"/>
        </w:rPr>
        <w:t>09</w:t>
      </w:r>
      <w:r w:rsidRPr="006D45E2">
        <w:rPr>
          <w:rFonts w:ascii="Verdana" w:hAnsi="Verdana"/>
        </w:rPr>
        <w:t xml:space="preserve"> </w:t>
      </w:r>
      <w:r w:rsidR="00D33876">
        <w:rPr>
          <w:rFonts w:ascii="Verdana" w:hAnsi="Verdana"/>
        </w:rPr>
        <w:t>Febrero 2026</w:t>
      </w:r>
      <w:r w:rsidR="0043638E" w:rsidRPr="0043638E">
        <w:rPr>
          <w:noProof/>
        </w:rPr>
        <w:t xml:space="preserve"> </w:t>
      </w:r>
    </w:p>
    <w:p w14:paraId="24285342" w14:textId="78BED754" w:rsidR="00B75ED5" w:rsidRPr="004A50EE" w:rsidRDefault="0043638E" w:rsidP="00B75ED5">
      <w:pPr>
        <w:spacing w:after="0"/>
        <w:rPr>
          <w:rFonts w:ascii="Verdana" w:hAnsi="Verdana"/>
          <w:lang w:val="es-ES"/>
        </w:rPr>
      </w:pPr>
      <w:r w:rsidRPr="0043638E">
        <w:rPr>
          <w:rFonts w:ascii="Verdana" w:hAnsi="Verdana"/>
        </w:rPr>
        <w:drawing>
          <wp:anchor distT="0" distB="0" distL="114300" distR="114300" simplePos="0" relativeHeight="251658240" behindDoc="1" locked="0" layoutInCell="1" allowOverlap="1" wp14:anchorId="0720CB54" wp14:editId="3C72F97C">
            <wp:simplePos x="0" y="0"/>
            <wp:positionH relativeFrom="column">
              <wp:posOffset>3183373</wp:posOffset>
            </wp:positionH>
            <wp:positionV relativeFrom="paragraph">
              <wp:posOffset>19138</wp:posOffset>
            </wp:positionV>
            <wp:extent cx="2695575" cy="800100"/>
            <wp:effectExtent l="0" t="0" r="9525" b="0"/>
            <wp:wrapNone/>
            <wp:docPr id="166397427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97427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95575" cy="800100"/>
                    </a:xfrm>
                    <a:prstGeom prst="rect">
                      <a:avLst/>
                    </a:prstGeom>
                  </pic:spPr>
                </pic:pic>
              </a:graphicData>
            </a:graphic>
          </wp:anchor>
        </w:drawing>
      </w:r>
    </w:p>
    <w:p w14:paraId="3A0ECB7E" w14:textId="77777777" w:rsidR="00B75ED5" w:rsidRPr="004A50EE" w:rsidRDefault="00B75ED5" w:rsidP="00B75ED5">
      <w:pPr>
        <w:spacing w:after="0" w:line="240" w:lineRule="auto"/>
        <w:rPr>
          <w:rFonts w:ascii="Verdana" w:hAnsi="Verdana"/>
          <w:lang w:val="es-ES"/>
        </w:rPr>
      </w:pPr>
      <w:bookmarkStart w:id="0" w:name="_Hlk143780582"/>
      <w:r w:rsidRPr="004A50EE">
        <w:rPr>
          <w:rFonts w:ascii="Verdana" w:eastAsia="Calibri" w:hAnsi="Verdana" w:cs="Arial"/>
          <w:lang w:val="es-ES" w:eastAsia="es-ES"/>
        </w:rPr>
        <w:t>Señor</w:t>
      </w:r>
    </w:p>
    <w:p w14:paraId="64A1634F" w14:textId="77777777" w:rsidR="00B75ED5" w:rsidRPr="004A50EE" w:rsidRDefault="00B75ED5" w:rsidP="00B75ED5">
      <w:pPr>
        <w:spacing w:after="0"/>
        <w:rPr>
          <w:rFonts w:ascii="Verdana" w:eastAsia="Calibri" w:hAnsi="Verdana" w:cs="Arial"/>
          <w:b/>
          <w:bCs/>
          <w:lang w:val="es-ES" w:eastAsia="es-ES"/>
        </w:rPr>
      </w:pPr>
      <w:r w:rsidRPr="004A50EE">
        <w:rPr>
          <w:rFonts w:ascii="Verdana" w:eastAsia="Calibri" w:hAnsi="Verdana" w:cs="Arial"/>
          <w:b/>
          <w:bCs/>
          <w:lang w:val="es-ES" w:eastAsia="es-ES"/>
        </w:rPr>
        <w:t>Omar Enrique Martínez Blanco</w:t>
      </w:r>
    </w:p>
    <w:p w14:paraId="1E6BB2EE" w14:textId="77777777" w:rsidR="00B75ED5" w:rsidRPr="00235ED9" w:rsidRDefault="00B75ED5" w:rsidP="00B75ED5">
      <w:pPr>
        <w:spacing w:after="0"/>
        <w:rPr>
          <w:rFonts w:ascii="Verdana" w:eastAsia="Calibri" w:hAnsi="Verdana" w:cs="Arial"/>
          <w:color w:val="4472C4" w:themeColor="accent1"/>
          <w:lang w:eastAsia="es-ES"/>
        </w:rPr>
      </w:pPr>
      <w:hyperlink r:id="rId11" w:history="1">
        <w:r w:rsidRPr="00483412">
          <w:rPr>
            <w:rStyle w:val="Hipervnculo"/>
            <w:rFonts w:ascii="Verdana" w:eastAsia="Calibri" w:hAnsi="Verdana" w:cs="Arial"/>
            <w:lang w:eastAsia="es-ES"/>
          </w:rPr>
          <w:t>omartinezblanc@gmail.com</w:t>
        </w:r>
      </w:hyperlink>
      <w:r>
        <w:rPr>
          <w:rFonts w:ascii="Verdana" w:eastAsia="Calibri" w:hAnsi="Verdana" w:cs="Arial"/>
          <w:color w:val="4472C4" w:themeColor="accent1"/>
          <w:lang w:eastAsia="es-ES"/>
        </w:rPr>
        <w:t xml:space="preserve"> </w:t>
      </w:r>
    </w:p>
    <w:p w14:paraId="24BC1726" w14:textId="77777777" w:rsidR="00B75ED5" w:rsidRDefault="00B75ED5" w:rsidP="00B75ED5">
      <w:pPr>
        <w:spacing w:after="0"/>
        <w:rPr>
          <w:rFonts w:ascii="Verdana" w:eastAsia="Calibri" w:hAnsi="Verdana" w:cs="Arial"/>
          <w:lang w:eastAsia="es-ES"/>
        </w:rPr>
      </w:pPr>
      <w:r w:rsidRPr="00E239D9">
        <w:rPr>
          <w:rFonts w:ascii="Verdana" w:eastAsia="Calibri" w:hAnsi="Verdana" w:cs="Arial"/>
          <w:lang w:eastAsia="es-ES"/>
        </w:rPr>
        <w:t>Cartagena, Bolívar</w:t>
      </w:r>
    </w:p>
    <w:p w14:paraId="365800A8" w14:textId="77777777" w:rsidR="00D33876" w:rsidRPr="00E239D9" w:rsidRDefault="00D33876" w:rsidP="00B75ED5">
      <w:pPr>
        <w:spacing w:after="0"/>
        <w:rPr>
          <w:rFonts w:ascii="Verdana" w:eastAsia="Calibri" w:hAnsi="Verdana" w:cs="Arial"/>
          <w:lang w:val="es-ES" w:eastAsia="es-ES"/>
        </w:rPr>
      </w:pPr>
    </w:p>
    <w:p w14:paraId="5ED0D99B" w14:textId="77777777" w:rsidR="00B75ED5" w:rsidRPr="00235ED9" w:rsidRDefault="00B75ED5" w:rsidP="00B75ED5">
      <w:pPr>
        <w:spacing w:after="0" w:line="240" w:lineRule="auto"/>
        <w:rPr>
          <w:rFonts w:ascii="Verdana" w:eastAsia="Calibri" w:hAnsi="Verdana" w:cs="Arial"/>
          <w:b/>
          <w:bCs/>
          <w:color w:val="4472C4" w:themeColor="accen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B75ED5" w:rsidRPr="00235ED9" w14:paraId="337A9C33" w14:textId="77777777">
        <w:trPr>
          <w:trHeight w:val="300"/>
        </w:trPr>
        <w:tc>
          <w:tcPr>
            <w:tcW w:w="2410" w:type="dxa"/>
          </w:tcPr>
          <w:p w14:paraId="0D38F01F" w14:textId="77777777" w:rsidR="00B75ED5" w:rsidRPr="00235ED9" w:rsidRDefault="00B75ED5">
            <w:pPr>
              <w:ind w:left="-142"/>
              <w:jc w:val="both"/>
              <w:rPr>
                <w:rFonts w:ascii="Verdana" w:eastAsia="Calibri" w:hAnsi="Verdana" w:cs="Arial"/>
                <w:b/>
                <w:bCs/>
                <w:color w:val="4472C4" w:themeColor="accent1"/>
                <w:lang w:val="es-ES" w:eastAsia="es-ES_tradnl"/>
              </w:rPr>
            </w:pPr>
          </w:p>
        </w:tc>
        <w:tc>
          <w:tcPr>
            <w:tcW w:w="6100" w:type="dxa"/>
          </w:tcPr>
          <w:p w14:paraId="5C607C73" w14:textId="77777777" w:rsidR="00B75ED5" w:rsidRPr="00E239D9" w:rsidRDefault="00B75ED5">
            <w:pPr>
              <w:ind w:left="3"/>
              <w:jc w:val="both"/>
              <w:rPr>
                <w:rFonts w:ascii="Verdana" w:eastAsia="Calibri" w:hAnsi="Verdana" w:cs="Arial"/>
                <w:b/>
                <w:bCs/>
                <w:lang w:val="es-ES" w:eastAsia="es-ES"/>
              </w:rPr>
            </w:pPr>
            <w:r w:rsidRPr="00E239D9">
              <w:rPr>
                <w:rFonts w:ascii="Verdana" w:eastAsia="Calibri" w:hAnsi="Verdana" w:cs="Arial"/>
                <w:b/>
                <w:bCs/>
                <w:lang w:val="es-ES" w:eastAsia="es-ES"/>
              </w:rPr>
              <w:t>Concepto C-1878 de 2025</w:t>
            </w:r>
          </w:p>
          <w:p w14:paraId="7C93218A" w14:textId="77777777" w:rsidR="00B75ED5" w:rsidRPr="00235ED9" w:rsidRDefault="00B75ED5">
            <w:pPr>
              <w:ind w:left="3"/>
              <w:jc w:val="both"/>
              <w:rPr>
                <w:rFonts w:ascii="Verdana" w:eastAsia="Calibri" w:hAnsi="Verdana" w:cs="Arial"/>
                <w:b/>
                <w:bCs/>
                <w:color w:val="4472C4" w:themeColor="accent1"/>
                <w:lang w:val="es-ES" w:eastAsia="es-ES"/>
              </w:rPr>
            </w:pPr>
          </w:p>
        </w:tc>
      </w:tr>
      <w:tr w:rsidR="00B75ED5" w:rsidRPr="00235ED9" w14:paraId="708C4093" w14:textId="77777777">
        <w:trPr>
          <w:trHeight w:val="300"/>
        </w:trPr>
        <w:tc>
          <w:tcPr>
            <w:tcW w:w="2410" w:type="dxa"/>
          </w:tcPr>
          <w:p w14:paraId="01C72E1E" w14:textId="77777777" w:rsidR="00B75ED5" w:rsidRPr="00235ED9" w:rsidRDefault="00B75ED5">
            <w:pPr>
              <w:ind w:left="424" w:firstLine="137"/>
              <w:jc w:val="both"/>
              <w:rPr>
                <w:rFonts w:ascii="Verdana" w:eastAsia="Calibri" w:hAnsi="Verdana" w:cs="Arial"/>
                <w:color w:val="4472C4" w:themeColor="accent1"/>
                <w:lang w:val="es-ES" w:eastAsia="es-ES_tradnl"/>
              </w:rPr>
            </w:pPr>
            <w:r w:rsidRPr="00E239D9">
              <w:rPr>
                <w:rFonts w:ascii="Verdana" w:eastAsia="Calibri" w:hAnsi="Verdana" w:cs="Arial"/>
                <w:b/>
                <w:lang w:val="es-ES" w:eastAsia="es-ES_tradnl"/>
              </w:rPr>
              <w:t>Temas:</w:t>
            </w:r>
            <w:r w:rsidRPr="00E239D9">
              <w:rPr>
                <w:rFonts w:ascii="Verdana" w:eastAsia="Calibri" w:hAnsi="Verdana" w:cs="Arial"/>
                <w:lang w:val="es-ES" w:eastAsia="es-ES_tradnl"/>
              </w:rPr>
              <w:t xml:space="preserve">                  </w:t>
            </w:r>
          </w:p>
        </w:tc>
        <w:tc>
          <w:tcPr>
            <w:tcW w:w="6100" w:type="dxa"/>
          </w:tcPr>
          <w:p w14:paraId="5140E35A" w14:textId="668F5757" w:rsidR="00B75ED5" w:rsidRDefault="005F6A40" w:rsidP="0060287D">
            <w:pPr>
              <w:spacing w:line="276" w:lineRule="auto"/>
              <w:jc w:val="both"/>
              <w:rPr>
                <w:rFonts w:ascii="Verdana" w:eastAsia="Calibri" w:hAnsi="Verdana" w:cs="Arial"/>
                <w:bCs/>
              </w:rPr>
            </w:pPr>
            <w:r w:rsidRPr="005F6A40">
              <w:rPr>
                <w:rFonts w:ascii="Verdana" w:eastAsia="Calibri" w:hAnsi="Verdana" w:cs="Arial"/>
                <w:bCs/>
              </w:rPr>
              <w:t>RÉGIMEN DE INHABILIDADES E INCOMPATIBILIDADES – Definición – Taxatividad – Interpretación restrictiva / INHABILIDADES E INCOMPATIBILIDADES – Ley 80 de 1993 – Artículo 8, literal d) – Sanción disciplinaria – Inhabilidad para contratar -Aplicación / INHABILIDADES E INCOMPATIBILIDADES – Ley 1952 de 2019 – Artículos 48 y 49 – Sanción disciplinaria – Inhabilidad general-Aplicación / INHABILIDADES E INCOMPATIBILIDADES – Ley 80 de 1993 – Artículo 8, literal d) – Sanción disciplinaria – Temporalidad / Ley 1952 de 2019 – Certificado Antecedentes Disciplinarios – Registro de sanciones</w:t>
            </w:r>
          </w:p>
          <w:p w14:paraId="415EE537" w14:textId="77777777" w:rsidR="00B75ED5" w:rsidRPr="00235ED9" w:rsidRDefault="00B75ED5">
            <w:pPr>
              <w:jc w:val="both"/>
              <w:rPr>
                <w:rFonts w:ascii="Verdana" w:hAnsi="Verdana"/>
                <w:color w:val="4472C4" w:themeColor="accent1"/>
              </w:rPr>
            </w:pPr>
          </w:p>
        </w:tc>
      </w:tr>
      <w:tr w:rsidR="00B75ED5" w:rsidRPr="00235ED9" w14:paraId="141A4167" w14:textId="77777777">
        <w:tc>
          <w:tcPr>
            <w:tcW w:w="2410" w:type="dxa"/>
          </w:tcPr>
          <w:p w14:paraId="4F964030" w14:textId="77777777" w:rsidR="00B75ED5" w:rsidRPr="00131548" w:rsidRDefault="00B75ED5">
            <w:pPr>
              <w:ind w:left="561"/>
              <w:jc w:val="both"/>
              <w:rPr>
                <w:rFonts w:ascii="Verdana" w:eastAsia="Calibri" w:hAnsi="Verdana" w:cs="Arial"/>
                <w:b/>
                <w:lang w:val="es-ES" w:eastAsia="es-ES_tradnl"/>
              </w:rPr>
            </w:pPr>
            <w:r w:rsidRPr="00131548">
              <w:rPr>
                <w:rFonts w:ascii="Verdana" w:eastAsia="Calibri" w:hAnsi="Verdana" w:cs="Arial"/>
                <w:b/>
                <w:lang w:val="es-ES" w:eastAsia="es-ES_tradnl"/>
              </w:rPr>
              <w:t>Radicación:</w:t>
            </w:r>
            <w:r w:rsidRPr="00131548">
              <w:rPr>
                <w:rFonts w:ascii="Verdana" w:eastAsia="Calibri" w:hAnsi="Verdana" w:cs="Arial"/>
                <w:lang w:val="es-ES" w:eastAsia="es-ES_tradnl"/>
              </w:rPr>
              <w:t xml:space="preserve">              </w:t>
            </w:r>
          </w:p>
        </w:tc>
        <w:tc>
          <w:tcPr>
            <w:tcW w:w="6100" w:type="dxa"/>
          </w:tcPr>
          <w:p w14:paraId="522943C8" w14:textId="77777777" w:rsidR="00B75ED5" w:rsidRPr="00131548" w:rsidRDefault="00B75ED5">
            <w:pPr>
              <w:ind w:left="3"/>
              <w:jc w:val="both"/>
              <w:rPr>
                <w:rFonts w:ascii="Verdana" w:hAnsi="Verdana"/>
                <w:lang w:val="es-ES"/>
              </w:rPr>
            </w:pPr>
            <w:r w:rsidRPr="00131548">
              <w:rPr>
                <w:rFonts w:ascii="Verdana" w:eastAsia="Calibri" w:hAnsi="Verdana" w:cs="Arial"/>
                <w:lang w:val="es-ES" w:eastAsia="es-ES"/>
              </w:rPr>
              <w:t>Respuesta a consulta con radicado No. 1_2025_12_30_014456</w:t>
            </w:r>
          </w:p>
        </w:tc>
      </w:tr>
    </w:tbl>
    <w:p w14:paraId="4E4BB58E" w14:textId="77777777" w:rsidR="00B75ED5" w:rsidRDefault="00B75ED5" w:rsidP="00B75ED5">
      <w:pPr>
        <w:spacing w:after="0" w:line="276" w:lineRule="auto"/>
        <w:jc w:val="both"/>
        <w:rPr>
          <w:rFonts w:ascii="Verdana" w:eastAsia="Calibri" w:hAnsi="Verdana" w:cs="Arial"/>
          <w:lang w:val="es-ES" w:eastAsia="es-ES"/>
        </w:rPr>
      </w:pPr>
    </w:p>
    <w:p w14:paraId="3D094C91" w14:textId="77777777" w:rsidR="00D33876" w:rsidRPr="00515CEB" w:rsidRDefault="00D33876" w:rsidP="00B75ED5">
      <w:pPr>
        <w:spacing w:after="0" w:line="276" w:lineRule="auto"/>
        <w:jc w:val="both"/>
        <w:rPr>
          <w:rFonts w:ascii="Verdana" w:eastAsia="Calibri" w:hAnsi="Verdana" w:cs="Arial"/>
          <w:lang w:val="es-ES" w:eastAsia="es-ES"/>
        </w:rPr>
      </w:pPr>
    </w:p>
    <w:p w14:paraId="4980D7B6" w14:textId="77777777" w:rsidR="00B75ED5" w:rsidRPr="00515CEB" w:rsidRDefault="00B75ED5" w:rsidP="00B75ED5">
      <w:pPr>
        <w:spacing w:after="0" w:line="276" w:lineRule="auto"/>
        <w:jc w:val="both"/>
        <w:rPr>
          <w:rFonts w:ascii="Verdana" w:eastAsia="Calibri" w:hAnsi="Verdana" w:cs="Arial"/>
          <w:lang w:val="es-ES" w:eastAsia="es-ES"/>
        </w:rPr>
      </w:pPr>
      <w:r w:rsidRPr="00515CEB">
        <w:rPr>
          <w:rFonts w:ascii="Verdana" w:eastAsia="Calibri" w:hAnsi="Verdana" w:cs="Arial"/>
          <w:lang w:val="es-ES" w:eastAsia="es-ES"/>
        </w:rPr>
        <w:t>Estimado Señor Martínez,</w:t>
      </w:r>
    </w:p>
    <w:p w14:paraId="6EE033C3" w14:textId="77777777" w:rsidR="00B75ED5" w:rsidRPr="00515CEB" w:rsidRDefault="00B75ED5" w:rsidP="00B75ED5">
      <w:pPr>
        <w:spacing w:after="0" w:line="276" w:lineRule="auto"/>
        <w:jc w:val="both"/>
        <w:rPr>
          <w:rFonts w:ascii="Verdana" w:eastAsia="Calibri" w:hAnsi="Verdana" w:cs="Arial"/>
          <w:lang w:val="es-ES" w:eastAsia="es-ES"/>
        </w:rPr>
      </w:pPr>
    </w:p>
    <w:p w14:paraId="2A2EA718" w14:textId="77777777" w:rsidR="00B75ED5" w:rsidRPr="00515CEB" w:rsidRDefault="00B75ED5" w:rsidP="00B75ED5">
      <w:pPr>
        <w:spacing w:after="0" w:line="276" w:lineRule="auto"/>
        <w:jc w:val="both"/>
        <w:rPr>
          <w:rFonts w:ascii="Verdana" w:eastAsia="Calibri" w:hAnsi="Verdana" w:cs="Arial"/>
          <w:lang w:val="es-ES" w:eastAsia="es-ES"/>
        </w:rPr>
      </w:pPr>
      <w:r w:rsidRPr="00515CEB">
        <w:rPr>
          <w:rFonts w:ascii="Verdana" w:eastAsia="Calibri" w:hAnsi="Verdana" w:cs="Arial"/>
          <w:lang w:val="es-ES" w:eastAsia="es-ES"/>
        </w:rPr>
        <w:t>En ejercicio de la competencia otorgada por los artículos 3, numeral 5º, y 11, numeral 8º, del Decreto Ley 4170 de 2011,</w:t>
      </w:r>
      <w:r w:rsidRPr="00515CEB">
        <w:rPr>
          <w:rFonts w:ascii="Verdana" w:eastAsia="Arial MT" w:hAnsi="Verdana" w:cs="Arial MT"/>
          <w:lang w:val="es-ES" w:eastAsia="es-ES"/>
        </w:rPr>
        <w:t xml:space="preserve"> </w:t>
      </w:r>
      <w:r w:rsidRPr="00515CEB">
        <w:rPr>
          <w:rFonts w:ascii="Verdana" w:hAnsi="Verdana" w:cs="Arial"/>
          <w:lang w:val="es-ES"/>
        </w:rPr>
        <w:t xml:space="preserve">así como lo establecido en el artículo 4 de la Resolución 1707 de 2018 expedida por esta Entidad, </w:t>
      </w:r>
      <w:r w:rsidRPr="00515CEB">
        <w:rPr>
          <w:rFonts w:ascii="Verdana" w:eastAsia="Calibri" w:hAnsi="Verdana" w:cs="Arial"/>
          <w:lang w:val="es-ES" w:eastAsia="es-ES"/>
        </w:rPr>
        <w:t xml:space="preserve">la Agencia Nacional de Contratación Pública – Colombia Compra Eficiente– responde su solicitud de consulta de fecha 30 de diciembre de 2025, en la cual manifiesta lo siguiente: </w:t>
      </w:r>
    </w:p>
    <w:p w14:paraId="5ACD02E2" w14:textId="77777777" w:rsidR="00B75ED5" w:rsidRPr="00235ED9" w:rsidRDefault="00B75ED5" w:rsidP="00B75ED5">
      <w:pPr>
        <w:tabs>
          <w:tab w:val="left" w:pos="142"/>
          <w:tab w:val="left" w:pos="284"/>
        </w:tabs>
        <w:spacing w:after="0" w:line="276" w:lineRule="auto"/>
        <w:contextualSpacing/>
        <w:jc w:val="both"/>
        <w:rPr>
          <w:rFonts w:ascii="Verdana" w:eastAsia="Century Gothic" w:hAnsi="Verdana" w:cs="Century Gothic"/>
          <w:b/>
          <w:bCs/>
          <w:color w:val="4472C4" w:themeColor="accent1"/>
          <w:lang w:val="es-ES"/>
        </w:rPr>
      </w:pPr>
    </w:p>
    <w:p w14:paraId="0E791414" w14:textId="7D5D63ED" w:rsidR="00B75ED5" w:rsidRPr="00F6040E" w:rsidRDefault="00B75ED5" w:rsidP="00B75ED5">
      <w:pPr>
        <w:spacing w:before="120" w:after="120"/>
        <w:ind w:left="709" w:right="709"/>
        <w:contextualSpacing/>
        <w:jc w:val="both"/>
        <w:rPr>
          <w:rFonts w:ascii="Verdana" w:eastAsia="Century Gothic" w:hAnsi="Verdana" w:cs="Century Gothic"/>
          <w:i/>
          <w:iCs/>
          <w:sz w:val="20"/>
          <w:szCs w:val="20"/>
          <w:lang w:val="es-ES"/>
        </w:rPr>
      </w:pPr>
      <w:r w:rsidRPr="00F6040E">
        <w:rPr>
          <w:rFonts w:ascii="Verdana" w:eastAsia="Century Gothic" w:hAnsi="Verdana" w:cs="Century Gothic"/>
          <w:i/>
          <w:iCs/>
          <w:sz w:val="20"/>
          <w:szCs w:val="20"/>
          <w:lang w:val="es-ES"/>
        </w:rPr>
        <w:t>“</w:t>
      </w:r>
      <w:r w:rsidR="00966162">
        <w:rPr>
          <w:rFonts w:ascii="Verdana" w:eastAsia="Century Gothic" w:hAnsi="Verdana" w:cs="Century Gothic"/>
          <w:i/>
          <w:iCs/>
          <w:sz w:val="20"/>
          <w:szCs w:val="20"/>
          <w:lang w:val="es-ES"/>
        </w:rPr>
        <w:t>[</w:t>
      </w:r>
      <w:r w:rsidRPr="00F6040E">
        <w:rPr>
          <w:rFonts w:ascii="Verdana" w:eastAsia="Century Gothic" w:hAnsi="Verdana" w:cs="Century Gothic"/>
          <w:i/>
          <w:iCs/>
          <w:sz w:val="20"/>
          <w:szCs w:val="20"/>
          <w:lang w:val="es-ES"/>
        </w:rPr>
        <w:t>…</w:t>
      </w:r>
      <w:r w:rsidR="00966162">
        <w:rPr>
          <w:rFonts w:ascii="Verdana" w:eastAsia="Century Gothic" w:hAnsi="Verdana" w:cs="Century Gothic"/>
          <w:i/>
          <w:iCs/>
          <w:sz w:val="20"/>
          <w:szCs w:val="20"/>
          <w:lang w:val="es-ES"/>
        </w:rPr>
        <w:t xml:space="preserve">] </w:t>
      </w:r>
      <w:r w:rsidRPr="00F6040E">
        <w:rPr>
          <w:rFonts w:ascii="Verdana" w:eastAsia="Century Gothic" w:hAnsi="Verdana" w:cs="Century Gothic"/>
          <w:i/>
          <w:iCs/>
          <w:sz w:val="20"/>
          <w:szCs w:val="20"/>
          <w:lang w:val="es-ES"/>
        </w:rPr>
        <w:t xml:space="preserve">acudo ante ustedes muy respetuosamente por medio del presente escrito con el fin de que me indiquen si una persona que ha sido destituido e inhabilitado por trece años o más puede contratar con entidades públicas </w:t>
      </w:r>
      <w:r w:rsidRPr="00F6040E">
        <w:rPr>
          <w:rFonts w:ascii="Verdana" w:eastAsia="Century Gothic" w:hAnsi="Verdana" w:cs="Century Gothic"/>
          <w:i/>
          <w:iCs/>
          <w:sz w:val="20"/>
          <w:szCs w:val="20"/>
          <w:lang w:val="es-ES"/>
        </w:rPr>
        <w:lastRenderedPageBreak/>
        <w:t xml:space="preserve">después de haber pasado cinco (5) años de la fecha en que se impuso la destitución e inhabilidad, es decir, puede firmar OPS, participar en procesos de contratación y de ser favorable su oferta podrá firmar el respectivo contrato, esto teniendo en cuenta lo establecido en el literal d), numeral 1 del artículo 8 de la ley 80 de 1983, el cual indica: “Las inhabilidades a que se refieren los </w:t>
      </w:r>
      <w:r w:rsidRPr="0060287D">
        <w:rPr>
          <w:rFonts w:ascii="Verdana" w:eastAsia="Century Gothic" w:hAnsi="Verdana" w:cs="Century Gothic"/>
          <w:i/>
          <w:iCs/>
          <w:sz w:val="18"/>
          <w:szCs w:val="18"/>
          <w:lang w:val="es-ES"/>
        </w:rPr>
        <w:t>literales c), d), e i) se extenderán por un término de cinco (5) años contados a partir de la fecha de ejecutoria del acto que declaró la caducidad</w:t>
      </w:r>
      <w:r w:rsidRPr="00F6040E">
        <w:rPr>
          <w:rFonts w:ascii="Verdana" w:eastAsia="Century Gothic" w:hAnsi="Verdana" w:cs="Century Gothic"/>
          <w:i/>
          <w:iCs/>
          <w:sz w:val="20"/>
          <w:szCs w:val="20"/>
          <w:lang w:val="es-ES"/>
        </w:rPr>
        <w:t>, o de la sentencia que impuso la pena, o del acto que dispuso la destitución; las previstas en los literales b) y e), se extenderán por un término de cinco (5) años contados a partir de la fecha de ocurrencia del hecho de la participación en la licitación o concurso, o de la celebración del contrato, o de la de expiración del plazo para su firma”.</w:t>
      </w:r>
    </w:p>
    <w:p w14:paraId="5603FF35" w14:textId="77777777" w:rsidR="00B75ED5" w:rsidRPr="00F6040E" w:rsidRDefault="00B75ED5" w:rsidP="00B75ED5">
      <w:pPr>
        <w:spacing w:before="120" w:after="120"/>
        <w:ind w:left="709" w:right="709"/>
        <w:contextualSpacing/>
        <w:jc w:val="both"/>
        <w:rPr>
          <w:rFonts w:ascii="Verdana" w:eastAsia="Century Gothic" w:hAnsi="Verdana" w:cs="Century Gothic"/>
          <w:i/>
          <w:iCs/>
          <w:sz w:val="20"/>
          <w:szCs w:val="20"/>
          <w:lang w:val="es-ES"/>
        </w:rPr>
      </w:pPr>
    </w:p>
    <w:p w14:paraId="72627A14" w14:textId="77777777" w:rsidR="00B75ED5" w:rsidRPr="00F6040E" w:rsidRDefault="00B75ED5" w:rsidP="00B75ED5">
      <w:pPr>
        <w:spacing w:before="120" w:after="120"/>
        <w:ind w:left="709" w:right="709"/>
        <w:contextualSpacing/>
        <w:jc w:val="both"/>
        <w:rPr>
          <w:rFonts w:ascii="Verdana" w:eastAsia="Century Gothic" w:hAnsi="Verdana" w:cs="Century Gothic"/>
          <w:i/>
          <w:iCs/>
          <w:sz w:val="20"/>
          <w:szCs w:val="20"/>
          <w:lang w:val="es-ES"/>
        </w:rPr>
      </w:pPr>
      <w:r w:rsidRPr="00F6040E">
        <w:rPr>
          <w:rFonts w:ascii="Verdana" w:eastAsia="Century Gothic" w:hAnsi="Verdana" w:cs="Century Gothic"/>
          <w:i/>
          <w:iCs/>
          <w:sz w:val="20"/>
          <w:szCs w:val="20"/>
          <w:lang w:val="es-ES"/>
        </w:rPr>
        <w:t>Como se puede ver la anotación de las inhabilidades indicadas en el certificado de fecha 4 de octubre de 2019 (hasta el 31 de enero de 2021) ha sido retirada en el certificado del 15 de agosto de 2025. (…)”</w:t>
      </w:r>
    </w:p>
    <w:p w14:paraId="46F24BB3" w14:textId="77777777" w:rsidR="00B75ED5" w:rsidRPr="00235ED9" w:rsidRDefault="00B75ED5" w:rsidP="00B75ED5">
      <w:pPr>
        <w:spacing w:before="120" w:after="120"/>
        <w:ind w:right="709"/>
        <w:contextualSpacing/>
        <w:jc w:val="both"/>
        <w:rPr>
          <w:rFonts w:ascii="Verdana" w:eastAsia="Century Gothic" w:hAnsi="Verdana" w:cs="Century Gothic"/>
          <w:i/>
          <w:iCs/>
          <w:color w:val="4472C4" w:themeColor="accent1"/>
          <w:sz w:val="20"/>
          <w:szCs w:val="20"/>
          <w:lang w:val="es-ES"/>
        </w:rPr>
      </w:pPr>
    </w:p>
    <w:p w14:paraId="584EE45F" w14:textId="77777777" w:rsidR="00B75ED5" w:rsidRPr="00171177" w:rsidRDefault="00B75ED5" w:rsidP="00B75ED5">
      <w:pPr>
        <w:spacing w:after="120" w:line="276" w:lineRule="auto"/>
        <w:ind w:firstLine="708"/>
        <w:jc w:val="both"/>
        <w:rPr>
          <w:rFonts w:ascii="Verdana" w:eastAsia="Calibri" w:hAnsi="Verdana" w:cs="Arial"/>
          <w:lang w:val="es-ES" w:eastAsia="es-ES"/>
        </w:rPr>
      </w:pPr>
      <w:r w:rsidRPr="00171177">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71177">
        <w:rPr>
          <w:rFonts w:ascii="Verdana" w:hAnsi="Verdana"/>
          <w:lang w:val="es-ES"/>
        </w:rPr>
        <w:tab/>
      </w:r>
    </w:p>
    <w:p w14:paraId="659C0240" w14:textId="77777777" w:rsidR="00B75ED5" w:rsidRPr="00171177" w:rsidRDefault="00B75ED5" w:rsidP="00B75ED5">
      <w:pPr>
        <w:spacing w:after="0" w:line="276" w:lineRule="auto"/>
        <w:ind w:firstLine="709"/>
        <w:jc w:val="both"/>
        <w:rPr>
          <w:rFonts w:ascii="Verdana" w:eastAsia="Calibri" w:hAnsi="Verdana" w:cs="Arial"/>
          <w:lang w:val="es-ES" w:eastAsia="es-ES"/>
        </w:rPr>
      </w:pPr>
      <w:r w:rsidRPr="00171177">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D0F471D" w14:textId="77777777" w:rsidR="00B75ED5" w:rsidRPr="00171177" w:rsidRDefault="00B75ED5" w:rsidP="00B75ED5">
      <w:pPr>
        <w:spacing w:after="0" w:line="276" w:lineRule="auto"/>
        <w:ind w:firstLine="709"/>
        <w:jc w:val="both"/>
        <w:rPr>
          <w:rFonts w:ascii="Verdana" w:eastAsia="Calibri" w:hAnsi="Verdana" w:cs="Arial"/>
          <w:lang w:val="es-ES" w:eastAsia="es-ES"/>
        </w:rPr>
      </w:pPr>
    </w:p>
    <w:p w14:paraId="3E27F2A9" w14:textId="77777777" w:rsidR="00B75ED5" w:rsidRPr="00C7597A" w:rsidRDefault="00B75ED5" w:rsidP="00B75ED5">
      <w:pPr>
        <w:tabs>
          <w:tab w:val="left" w:pos="142"/>
          <w:tab w:val="left" w:pos="284"/>
        </w:tabs>
        <w:spacing w:after="0" w:line="276" w:lineRule="auto"/>
        <w:contextualSpacing/>
        <w:jc w:val="both"/>
        <w:rPr>
          <w:rFonts w:ascii="Verdana" w:eastAsia="Century Gothic" w:hAnsi="Verdana" w:cs="Century Gothic"/>
          <w:b/>
          <w:lang w:val="es-ES"/>
        </w:rPr>
      </w:pPr>
      <w:r w:rsidRPr="00C7597A">
        <w:rPr>
          <w:rFonts w:ascii="Verdana" w:eastAsia="Century Gothic" w:hAnsi="Verdana" w:cs="Century Gothic"/>
          <w:b/>
          <w:lang w:val="es-ES"/>
        </w:rPr>
        <w:t>1. Problema planteado:</w:t>
      </w:r>
    </w:p>
    <w:p w14:paraId="1D95100B" w14:textId="77777777" w:rsidR="00B75ED5" w:rsidRPr="00C7597A" w:rsidRDefault="00B75ED5" w:rsidP="00B75ED5">
      <w:pPr>
        <w:tabs>
          <w:tab w:val="left" w:pos="426"/>
        </w:tabs>
        <w:spacing w:after="0" w:line="276" w:lineRule="auto"/>
        <w:jc w:val="both"/>
        <w:rPr>
          <w:rFonts w:ascii="Verdana" w:eastAsia="Century Gothic" w:hAnsi="Verdana" w:cs="Century Gothic"/>
          <w:lang w:val="es-ES"/>
        </w:rPr>
      </w:pPr>
    </w:p>
    <w:p w14:paraId="7A9536E1" w14:textId="77777777" w:rsidR="00B75ED5" w:rsidRDefault="00B75ED5" w:rsidP="00B75ED5">
      <w:pPr>
        <w:spacing w:after="0" w:line="276" w:lineRule="auto"/>
        <w:jc w:val="both"/>
        <w:rPr>
          <w:rFonts w:ascii="Verdana" w:eastAsia="Century Gothic" w:hAnsi="Verdana" w:cs="Century Gothic"/>
          <w:color w:val="4472C4" w:themeColor="accent1"/>
        </w:rPr>
      </w:pPr>
      <w:r w:rsidRPr="00C7597A">
        <w:rPr>
          <w:rFonts w:ascii="Verdana" w:eastAsia="Century Gothic" w:hAnsi="Verdana" w:cs="Century Gothic"/>
          <w:lang w:val="es-ES"/>
        </w:rPr>
        <w:lastRenderedPageBreak/>
        <w:t xml:space="preserve">De acuerdo con el contenido de su solicitud, esta Agencia resolverá el siguiente problema jurídico: </w:t>
      </w:r>
      <w:r w:rsidRPr="00E27005">
        <w:rPr>
          <w:rFonts w:ascii="Verdana" w:eastAsia="Century Gothic" w:hAnsi="Verdana" w:cs="Century Gothic"/>
          <w:color w:val="000000" w:themeColor="text1"/>
        </w:rPr>
        <w:t>¿La inhabilidad para contratar con el Estado impuesta como consecuencia de una sanción disciplinaria tiene carácter indefinido o está sujeta al término previsto en la Ley 80 de 1993?</w:t>
      </w:r>
    </w:p>
    <w:p w14:paraId="4967617B" w14:textId="77777777" w:rsidR="00B75ED5" w:rsidRPr="00235ED9" w:rsidRDefault="00B75ED5" w:rsidP="00B75ED5">
      <w:pPr>
        <w:spacing w:after="0" w:line="276" w:lineRule="auto"/>
        <w:jc w:val="both"/>
        <w:rPr>
          <w:rFonts w:ascii="Verdana" w:eastAsia="Century Gothic" w:hAnsi="Verdana" w:cs="Century Gothic"/>
          <w:color w:val="4472C4" w:themeColor="accent1"/>
        </w:rPr>
      </w:pPr>
    </w:p>
    <w:p w14:paraId="1E137C62" w14:textId="77777777" w:rsidR="00B75ED5" w:rsidRPr="00F6040E" w:rsidRDefault="00B75ED5" w:rsidP="00B75ED5">
      <w:pPr>
        <w:tabs>
          <w:tab w:val="left" w:pos="142"/>
          <w:tab w:val="left" w:pos="284"/>
        </w:tabs>
        <w:spacing w:after="0" w:line="276" w:lineRule="auto"/>
        <w:jc w:val="both"/>
        <w:rPr>
          <w:rFonts w:ascii="Verdana" w:eastAsia="Century Gothic" w:hAnsi="Verdana" w:cs="Century Gothic"/>
          <w:b/>
          <w:lang w:val="es-ES"/>
        </w:rPr>
      </w:pPr>
      <w:r w:rsidRPr="00F6040E">
        <w:rPr>
          <w:rFonts w:ascii="Verdana" w:eastAsia="Century Gothic" w:hAnsi="Verdana" w:cs="Century Gothic"/>
          <w:b/>
          <w:lang w:val="es-ES"/>
        </w:rPr>
        <w:t>2. Respuesta:</w:t>
      </w:r>
    </w:p>
    <w:p w14:paraId="6C978720" w14:textId="77777777" w:rsidR="00B75ED5" w:rsidRPr="00235ED9" w:rsidRDefault="00B75ED5" w:rsidP="00B75ED5">
      <w:pPr>
        <w:tabs>
          <w:tab w:val="left" w:pos="142"/>
          <w:tab w:val="left" w:pos="284"/>
        </w:tabs>
        <w:spacing w:after="0" w:line="276" w:lineRule="auto"/>
        <w:jc w:val="both"/>
        <w:rPr>
          <w:rFonts w:ascii="Verdana" w:eastAsia="Century Gothic" w:hAnsi="Verdana" w:cs="Century Gothic"/>
          <w:b/>
          <w:bCs/>
          <w:color w:val="4472C4" w:themeColor="accen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75ED5" w:rsidRPr="00235ED9" w14:paraId="2E73BDEE" w14:textId="77777777">
        <w:tc>
          <w:tcPr>
            <w:tcW w:w="8828" w:type="dxa"/>
          </w:tcPr>
          <w:p w14:paraId="0C27DA6D" w14:textId="77777777" w:rsidR="00B75ED5" w:rsidRPr="00826397" w:rsidRDefault="00B75ED5">
            <w:pPr>
              <w:spacing w:before="120" w:after="120" w:line="276" w:lineRule="auto"/>
              <w:jc w:val="both"/>
              <w:rPr>
                <w:rFonts w:ascii="Verdana" w:eastAsia="Calibri" w:hAnsi="Verdana" w:cs="Arial"/>
              </w:rPr>
            </w:pPr>
            <w:r w:rsidRPr="00826397">
              <w:rPr>
                <w:rFonts w:ascii="Verdana" w:eastAsia="Calibri" w:hAnsi="Verdana" w:cs="Arial"/>
              </w:rPr>
              <w:t xml:space="preserve">En primer lugar, debe señalarse que las inhabilidades e incompatibilidades, como límites especiales a la capacidad para participar en procesos de selección y celebrar contratos estatales, únicamente pueden establecerse por la Constitución o la ley y están sujetas a una interpretación </w:t>
            </w:r>
            <w:r w:rsidRPr="00826397">
              <w:rPr>
                <w:rFonts w:ascii="Verdana" w:eastAsia="Calibri" w:hAnsi="Verdana" w:cs="Arial"/>
                <w:i/>
                <w:iCs/>
              </w:rPr>
              <w:t>restrictiva</w:t>
            </w:r>
            <w:r w:rsidRPr="00826397">
              <w:rPr>
                <w:rFonts w:ascii="Verdana" w:eastAsia="Calibri" w:hAnsi="Verdana" w:cs="Arial"/>
              </w:rPr>
              <w:t>. Bajo ese entendido, el régimen de inhabilidades para contratar con el Estado se encuentra regulado de manera expresa en el artículo 8 de la Ley 80 de 1993.</w:t>
            </w:r>
          </w:p>
          <w:p w14:paraId="6FF34E8D" w14:textId="77777777" w:rsidR="00B75ED5" w:rsidRPr="00826397" w:rsidRDefault="00B75ED5">
            <w:pPr>
              <w:spacing w:before="120" w:after="120" w:line="276" w:lineRule="auto"/>
              <w:ind w:firstLine="709"/>
              <w:jc w:val="both"/>
              <w:rPr>
                <w:rFonts w:ascii="Verdana" w:eastAsia="Calibri" w:hAnsi="Verdana" w:cs="Arial"/>
              </w:rPr>
            </w:pPr>
            <w:r w:rsidRPr="001001DE">
              <w:rPr>
                <w:rFonts w:ascii="Verdana" w:eastAsia="Calibri" w:hAnsi="Verdana" w:cs="Arial"/>
              </w:rPr>
              <w:t>En ese orden de ideas, para</w:t>
            </w:r>
            <w:r w:rsidRPr="00826397">
              <w:rPr>
                <w:rFonts w:ascii="Verdana" w:eastAsia="Calibri" w:hAnsi="Verdana" w:cs="Arial"/>
              </w:rPr>
              <w:t xml:space="preserve"> dar respuesta al problema jurídico, si bien es cierto que una misma sanción disciplinaria puede generar distintas consecuencias jurídicas, ello no implica que todas compartan el mismo alcance</w:t>
            </w:r>
            <w:r>
              <w:rPr>
                <w:rFonts w:ascii="Verdana" w:eastAsia="Calibri" w:hAnsi="Verdana" w:cs="Arial"/>
              </w:rPr>
              <w:t xml:space="preserve">. Así, </w:t>
            </w:r>
            <w:r w:rsidRPr="00826397">
              <w:rPr>
                <w:rFonts w:ascii="Verdana" w:eastAsia="Calibri" w:hAnsi="Verdana" w:cs="Arial"/>
              </w:rPr>
              <w:t>mientras la inhabilidad para contratar con el Estado se circunscribe al ámbito de la actividad negocial estatal, la inhabilidad general derivada de una sanción disciplinaria, como la destitución, tiene efectos propios en materia de acceso, nombramiento o ejercicio de la función pública, conforme a la Constitución Política y al Código General Disciplinario.</w:t>
            </w:r>
          </w:p>
          <w:p w14:paraId="641977F3" w14:textId="77777777" w:rsidR="00B75ED5" w:rsidRPr="00826397" w:rsidRDefault="00B75ED5">
            <w:pPr>
              <w:spacing w:before="120" w:after="120" w:line="276" w:lineRule="auto"/>
              <w:ind w:firstLine="709"/>
              <w:jc w:val="both"/>
              <w:rPr>
                <w:rFonts w:ascii="Verdana" w:eastAsia="Calibri" w:hAnsi="Verdana" w:cs="Arial"/>
              </w:rPr>
            </w:pPr>
            <w:r w:rsidRPr="00826397">
              <w:rPr>
                <w:rFonts w:ascii="Verdana" w:eastAsia="Calibri" w:hAnsi="Verdana" w:cs="Arial"/>
              </w:rPr>
              <w:t>En particular, la inhabilidad para contratar con el Estado que se deriva de una sanción disciplinaria es de carácter legal, autónoma y temporalmente delimitada, en los términos del literal d) del artículo 8 de la Ley 80 de 1993, esto es, cinco (5) años contados desde la ejecutoria del acto sancionatorio, sin perjuicio de que subsistan otras inhabilidades de naturaleza distinta, como la inhabilidad general para ejercer función pública.</w:t>
            </w:r>
          </w:p>
          <w:p w14:paraId="401B8184" w14:textId="77777777" w:rsidR="00B75ED5" w:rsidRPr="005A4D19" w:rsidRDefault="00B75ED5">
            <w:pPr>
              <w:spacing w:after="120" w:line="276" w:lineRule="auto"/>
              <w:ind w:firstLine="708"/>
              <w:jc w:val="both"/>
              <w:rPr>
                <w:rFonts w:ascii="Verdana" w:eastAsia="Verdana" w:hAnsi="Verdana" w:cs="Verdana"/>
              </w:rPr>
            </w:pPr>
            <w:r w:rsidRPr="006A0474">
              <w:rPr>
                <w:rFonts w:ascii="Verdana" w:eastAsia="Verdana" w:hAnsi="Verdana" w:cs="Verdana"/>
              </w:rPr>
              <w:t>En consecuencia, aunque la inhabilidad para contratar con el Estado prevista en el artículo 8 de la Ley 80 de 1993 se extinga a los cinco (5) años contados desde la ejecutoria del acto sancionatorio, la inhabilidad general subsiste para aquellos contratos que impliquen el ejercicio de función pública. Por el contrario, en los eventos en que el contrato no comporte el ejercicio de funciones públicas, la capacidad para contratar se restablece una vez superado el término legal de la inhabilidad contractual</w:t>
            </w:r>
            <w:r>
              <w:rPr>
                <w:rFonts w:ascii="Verdana" w:eastAsia="Verdana" w:hAnsi="Verdana" w:cs="Verdana"/>
              </w:rPr>
              <w:t xml:space="preserve">. En tal sentido, </w:t>
            </w:r>
            <w:r w:rsidRPr="007C7B79">
              <w:rPr>
                <w:rFonts w:ascii="Verdana" w:eastAsia="Verdana" w:hAnsi="Verdana" w:cs="Verdana"/>
              </w:rPr>
              <w:t xml:space="preserve">la configuración, </w:t>
            </w:r>
            <w:r w:rsidRPr="007C7B79">
              <w:rPr>
                <w:rFonts w:ascii="Verdana" w:eastAsia="Verdana" w:hAnsi="Verdana" w:cs="Verdana"/>
              </w:rPr>
              <w:lastRenderedPageBreak/>
              <w:t>vigencia y verificación de las inhabilidades debe realizarse de manera diferenciada, atendiendo tanto a la naturaleza de la sanción como al tipo de vínculo contractual que se pretenda celebrar.</w:t>
            </w:r>
          </w:p>
          <w:p w14:paraId="7A446F6E" w14:textId="77777777" w:rsidR="00B75ED5" w:rsidRPr="00235ED9" w:rsidRDefault="00B75ED5">
            <w:pPr>
              <w:spacing w:before="120" w:after="120" w:line="276" w:lineRule="auto"/>
              <w:ind w:firstLine="709"/>
              <w:jc w:val="both"/>
              <w:rPr>
                <w:rFonts w:ascii="Verdana" w:eastAsia="Calibri" w:hAnsi="Verdana" w:cs="Arial"/>
                <w:color w:val="4472C4" w:themeColor="accent1"/>
              </w:rPr>
            </w:pPr>
            <w:r w:rsidRPr="003F122C">
              <w:rPr>
                <w:rFonts w:ascii="Verdana" w:eastAsia="Calibri" w:hAnsi="Verdana" w:cs="Arial"/>
                <w:bCs/>
                <w:color w:val="000000" w:themeColor="text1"/>
              </w:rPr>
              <w:t>Finalmente</w:t>
            </w:r>
            <w:r w:rsidRPr="003F122C">
              <w:rPr>
                <w:rFonts w:ascii="Verdana" w:eastAsia="Calibri" w:hAnsi="Verdana" w:cs="Times New Roman"/>
                <w:color w:val="000000" w:themeColor="text1"/>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3F122C">
              <w:rPr>
                <w:rFonts w:ascii="Verdana" w:hAnsi="Verdana"/>
                <w:color w:val="000000" w:themeColor="text1"/>
              </w:rPr>
              <w:t xml:space="preserve"> </w:t>
            </w:r>
          </w:p>
        </w:tc>
      </w:tr>
    </w:tbl>
    <w:p w14:paraId="294A2DC0" w14:textId="77777777" w:rsidR="00B75ED5" w:rsidRPr="00235ED9" w:rsidRDefault="00B75ED5" w:rsidP="00B75ED5">
      <w:pPr>
        <w:tabs>
          <w:tab w:val="left" w:pos="142"/>
          <w:tab w:val="left" w:pos="284"/>
        </w:tabs>
        <w:spacing w:after="0" w:line="276" w:lineRule="auto"/>
        <w:jc w:val="both"/>
        <w:rPr>
          <w:rFonts w:ascii="Verdana" w:eastAsia="Century Gothic" w:hAnsi="Verdana" w:cs="Century Gothic"/>
          <w:b/>
          <w:bCs/>
          <w:color w:val="4472C4" w:themeColor="accent1"/>
          <w:lang w:val="es-ES"/>
        </w:rPr>
      </w:pPr>
    </w:p>
    <w:p w14:paraId="1DC9F3DF" w14:textId="77777777" w:rsidR="00B75ED5" w:rsidRPr="00F6040E" w:rsidRDefault="00B75ED5" w:rsidP="00B75ED5">
      <w:pPr>
        <w:tabs>
          <w:tab w:val="left" w:pos="142"/>
          <w:tab w:val="left" w:pos="284"/>
        </w:tabs>
        <w:spacing w:after="0" w:line="276" w:lineRule="auto"/>
        <w:jc w:val="both"/>
        <w:rPr>
          <w:rFonts w:ascii="Verdana" w:eastAsia="Century Gothic" w:hAnsi="Verdana" w:cs="Century Gothic"/>
          <w:b/>
          <w:lang w:val="es-ES"/>
        </w:rPr>
      </w:pPr>
      <w:r w:rsidRPr="00F6040E">
        <w:rPr>
          <w:rFonts w:ascii="Verdana" w:eastAsia="Century Gothic" w:hAnsi="Verdana" w:cs="Century Gothic"/>
          <w:b/>
          <w:lang w:val="es-ES"/>
        </w:rPr>
        <w:t>3. Razones de la respuesta:</w:t>
      </w:r>
    </w:p>
    <w:p w14:paraId="679D72AC" w14:textId="77777777" w:rsidR="00B75ED5" w:rsidRPr="00F6040E" w:rsidRDefault="00B75ED5" w:rsidP="00B75ED5">
      <w:pPr>
        <w:tabs>
          <w:tab w:val="left" w:pos="142"/>
          <w:tab w:val="left" w:pos="284"/>
        </w:tabs>
        <w:spacing w:after="0" w:line="276" w:lineRule="auto"/>
        <w:jc w:val="both"/>
        <w:rPr>
          <w:rFonts w:ascii="Verdana" w:eastAsia="Century Gothic" w:hAnsi="Verdana" w:cs="Century Gothic"/>
          <w:b/>
          <w:lang w:val="es-ES"/>
        </w:rPr>
      </w:pPr>
    </w:p>
    <w:p w14:paraId="1E452753" w14:textId="77777777" w:rsidR="00B75ED5" w:rsidRPr="00F6040E" w:rsidRDefault="00B75ED5" w:rsidP="00B75ED5">
      <w:pPr>
        <w:spacing w:after="0" w:line="276" w:lineRule="auto"/>
        <w:jc w:val="both"/>
        <w:rPr>
          <w:rFonts w:ascii="Verdana" w:eastAsia="Calibri" w:hAnsi="Verdana" w:cs="Arial"/>
          <w:lang w:val="es-ES"/>
        </w:rPr>
      </w:pPr>
      <w:r w:rsidRPr="00F6040E">
        <w:rPr>
          <w:rFonts w:ascii="Verdana" w:eastAsia="Calibri" w:hAnsi="Verdana" w:cs="Arial"/>
          <w:lang w:val="es-ES"/>
        </w:rPr>
        <w:t>Lo anterior se sustenta en las siguientes consideraciones:</w:t>
      </w:r>
    </w:p>
    <w:p w14:paraId="5E0251C6" w14:textId="77777777" w:rsidR="00B75ED5" w:rsidRPr="00235ED9" w:rsidRDefault="00B75ED5" w:rsidP="00B75ED5">
      <w:pPr>
        <w:spacing w:after="0" w:line="276" w:lineRule="auto"/>
        <w:jc w:val="both"/>
        <w:rPr>
          <w:rFonts w:ascii="Verdana" w:eastAsia="Calibri" w:hAnsi="Verdana" w:cs="Arial"/>
          <w:color w:val="4472C4" w:themeColor="accent1"/>
          <w:lang w:val="es-ES"/>
        </w:rPr>
      </w:pPr>
    </w:p>
    <w:p w14:paraId="1A0802BB" w14:textId="77777777" w:rsidR="00B75ED5" w:rsidRPr="004B6089" w:rsidRDefault="00B75ED5" w:rsidP="00B75ED5">
      <w:pPr>
        <w:pStyle w:val="Sinespaciado"/>
        <w:spacing w:line="276" w:lineRule="auto"/>
        <w:jc w:val="both"/>
        <w:rPr>
          <w:rFonts w:ascii="Verdana" w:hAnsi="Verdana" w:cs="Arial"/>
          <w:color w:val="000000" w:themeColor="text1"/>
          <w:sz w:val="22"/>
        </w:rPr>
      </w:pPr>
      <w:bookmarkStart w:id="1" w:name="_Hlk102983874"/>
      <w:bookmarkStart w:id="2" w:name="_Hlk102388095"/>
      <w:r w:rsidRPr="004B6089">
        <w:rPr>
          <w:rFonts w:ascii="Verdana" w:eastAsia="Calibri" w:hAnsi="Verdana" w:cs="Arial"/>
          <w:color w:val="000000" w:themeColor="text1"/>
          <w:sz w:val="22"/>
          <w:lang w:val="es-ES"/>
        </w:rPr>
        <w:t>i.</w:t>
      </w:r>
      <w:r w:rsidRPr="004B6089">
        <w:rPr>
          <w:rFonts w:ascii="Verdana" w:eastAsia="Verdana" w:hAnsi="Verdana" w:cs="Verdana"/>
          <w:color w:val="000000" w:themeColor="text1"/>
          <w:sz w:val="22"/>
          <w:lang w:val="es-ES"/>
        </w:rPr>
        <w:t xml:space="preserve"> </w:t>
      </w:r>
      <w:r w:rsidRPr="004B6089">
        <w:rPr>
          <w:rFonts w:ascii="Verdana" w:hAnsi="Verdana" w:cs="Arial"/>
          <w:color w:val="000000" w:themeColor="text1"/>
          <w:sz w:val="22"/>
        </w:rPr>
        <w:t xml:space="preserve">Las inhabilidades e incompatibilidades son circunstancias establecidas por la Constitución o la ley que impiden la posibilidad de que ciertas personas sean elegidas o designadas en un cargo público o puedan celebrar contratos con el Estado, con el objetivo de garantizar la idoneidad, imparcialidad, probidad, transparencia y moralidad de la gestión pública.  El régimen de inhabilidades e incompatibilidades para contratar con el Estado es un conjunto de restricciones establecidas por el constituyente o por el legislador que afectan directamente la capacidad de las personas para establecer una relación jurídica contractual con el Estado, que pueden resultar de condenas, sanciones o situaciones previamente establecidas por el ordenamiento jurídico. Estas restricciones o limitaciones que afectan la capacidad jurídica de las personas para contratar realizan los principios de la función administrativa, consagrados en el artículo 209 de la Constitución Política, con especial énfasis en el de moralidad. Así lo ha entendido el Consejo de Estado: </w:t>
      </w:r>
    </w:p>
    <w:p w14:paraId="405D85B1" w14:textId="77777777" w:rsidR="00B75ED5" w:rsidRPr="00235ED9" w:rsidRDefault="00B75ED5" w:rsidP="00B75ED5">
      <w:pPr>
        <w:pStyle w:val="Sinespaciado"/>
        <w:spacing w:line="276" w:lineRule="auto"/>
        <w:jc w:val="both"/>
        <w:rPr>
          <w:rFonts w:ascii="Verdana" w:hAnsi="Verdana" w:cs="Arial"/>
          <w:color w:val="4472C4" w:themeColor="accent1"/>
          <w:sz w:val="20"/>
          <w:szCs w:val="20"/>
          <w:lang w:val="es-ES"/>
        </w:rPr>
      </w:pPr>
    </w:p>
    <w:p w14:paraId="5EDEB542" w14:textId="77777777" w:rsidR="00B75ED5" w:rsidRPr="00E90529" w:rsidRDefault="00B75ED5" w:rsidP="00B75ED5">
      <w:pPr>
        <w:pStyle w:val="NormalWeb"/>
        <w:shd w:val="clear" w:color="auto" w:fill="FFFFFF"/>
        <w:spacing w:before="0" w:beforeAutospacing="0" w:after="120" w:afterAutospacing="0"/>
        <w:ind w:left="709" w:right="709"/>
        <w:jc w:val="both"/>
        <w:rPr>
          <w:rFonts w:ascii="Verdana" w:hAnsi="Verdana" w:cs="Arial"/>
          <w:color w:val="000000" w:themeColor="text1"/>
          <w:sz w:val="20"/>
          <w:szCs w:val="20"/>
          <w:lang w:val="es-ES"/>
        </w:rPr>
      </w:pPr>
      <w:r w:rsidRPr="00E90529">
        <w:rPr>
          <w:rFonts w:ascii="Verdana" w:hAnsi="Verdana" w:cs="Arial"/>
          <w:color w:val="000000" w:themeColor="text1"/>
          <w:sz w:val="20"/>
          <w:szCs w:val="20"/>
          <w:lang w:val="es-ES"/>
        </w:rPr>
        <w:t xml:space="preserve">“De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w:t>
      </w:r>
      <w:r w:rsidRPr="00E90529">
        <w:rPr>
          <w:rFonts w:ascii="Verdana" w:hAnsi="Verdana" w:cs="Arial"/>
          <w:color w:val="000000" w:themeColor="text1"/>
          <w:sz w:val="20"/>
          <w:szCs w:val="20"/>
          <w:lang w:val="es-ES"/>
        </w:rPr>
        <w:lastRenderedPageBreak/>
        <w:t>constituye la Finalidad, el Deber Ser, la Razón de Primer Orden en la cual se inspira, justifica y legitima la existencia de las normas que definen y regulan las inhabilidades e incompatibilidades.</w:t>
      </w:r>
    </w:p>
    <w:p w14:paraId="20DC9CA4" w14:textId="77777777" w:rsidR="00B75ED5" w:rsidRPr="00E90529" w:rsidRDefault="00B75ED5" w:rsidP="00B75ED5">
      <w:pPr>
        <w:pStyle w:val="NormalWeb"/>
        <w:shd w:val="clear" w:color="auto" w:fill="FFFFFF"/>
        <w:spacing w:before="0" w:beforeAutospacing="0" w:after="0"/>
        <w:ind w:left="709" w:right="709"/>
        <w:jc w:val="both"/>
        <w:rPr>
          <w:rFonts w:ascii="Verdana" w:hAnsi="Verdana" w:cs="Arial"/>
          <w:color w:val="000000" w:themeColor="text1"/>
          <w:sz w:val="20"/>
          <w:szCs w:val="20"/>
          <w:lang w:val="es-ES"/>
        </w:rPr>
      </w:pPr>
      <w:r w:rsidRPr="00E90529">
        <w:rPr>
          <w:rFonts w:ascii="Verdana" w:hAnsi="Verdana" w:cs="Arial"/>
          <w:color w:val="000000" w:themeColor="text1"/>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E90529">
        <w:rPr>
          <w:rStyle w:val="Refdenotaalpie"/>
          <w:rFonts w:ascii="Verdana" w:hAnsi="Verdana" w:cs="Arial"/>
          <w:color w:val="000000" w:themeColor="text1"/>
          <w:sz w:val="20"/>
          <w:szCs w:val="20"/>
          <w:lang w:val="es-ES"/>
        </w:rPr>
        <w:footnoteReference w:id="1"/>
      </w:r>
      <w:r w:rsidRPr="00E90529">
        <w:rPr>
          <w:rFonts w:ascii="Verdana" w:hAnsi="Verdana" w:cs="Arial"/>
          <w:color w:val="000000" w:themeColor="text1"/>
          <w:sz w:val="20"/>
          <w:szCs w:val="20"/>
          <w:lang w:val="es-ES"/>
        </w:rPr>
        <w:t xml:space="preserve">. </w:t>
      </w:r>
    </w:p>
    <w:p w14:paraId="4A71F620" w14:textId="77777777" w:rsidR="00B75ED5" w:rsidRPr="00084873" w:rsidRDefault="00B75ED5" w:rsidP="00B75ED5">
      <w:pPr>
        <w:spacing w:after="120" w:line="276" w:lineRule="auto"/>
        <w:ind w:firstLine="708"/>
        <w:jc w:val="both"/>
        <w:rPr>
          <w:rFonts w:ascii="Verdana" w:hAnsi="Verdana" w:cs="Arial"/>
          <w:color w:val="000000" w:themeColor="text1"/>
        </w:rPr>
      </w:pPr>
      <w:r w:rsidRPr="00084873">
        <w:rPr>
          <w:rFonts w:ascii="Verdana" w:hAnsi="Verdana" w:cs="Arial"/>
          <w:color w:val="000000" w:themeColor="text1"/>
        </w:rPr>
        <w:t>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084873">
        <w:rPr>
          <w:rFonts w:ascii="Verdana" w:eastAsia="Calibri" w:hAnsi="Verdana" w:cs="Arial"/>
          <w:color w:val="000000" w:themeColor="text1"/>
          <w:lang w:val="es-ES_tradnl"/>
        </w:rPr>
        <w:t xml:space="preserve">, el carácter reconocidamente taxativo del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084873">
        <w:rPr>
          <w:rFonts w:ascii="Verdana" w:hAnsi="Verdana" w:cs="Arial"/>
          <w:color w:val="000000" w:themeColor="text1"/>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10FC0C75" w14:textId="77777777" w:rsidR="00B75ED5" w:rsidRPr="00363B54" w:rsidRDefault="00B75ED5" w:rsidP="00882532">
      <w:pPr>
        <w:spacing w:after="0" w:line="276" w:lineRule="auto"/>
        <w:ind w:firstLine="709"/>
        <w:contextualSpacing/>
        <w:jc w:val="both"/>
        <w:rPr>
          <w:rFonts w:ascii="Verdana" w:eastAsia="Calibri" w:hAnsi="Verdana" w:cs="Arial"/>
          <w:color w:val="000000" w:themeColor="text1"/>
          <w:lang w:val="es-ES_tradnl"/>
        </w:rPr>
      </w:pPr>
      <w:r w:rsidRPr="00363B54">
        <w:rPr>
          <w:rFonts w:ascii="Verdana" w:eastAsia="Calibri" w:hAnsi="Verdana" w:cs="Arial"/>
          <w:color w:val="000000" w:themeColor="text1"/>
          <w:lang w:val="es-ES_tradnl"/>
        </w:rPr>
        <w:t xml:space="preserve">De esta manera, las inhabilidades e incompatibilidades al ser límites especiales a la capacidad para presentar ofertas y celebrar contratos estatales, solo pueden tipificarse en la ley o la Constitución –o sea, deben satisfacer el principio de legalidad– y su interpretación debe ser </w:t>
      </w:r>
      <w:r w:rsidRPr="00363B54">
        <w:rPr>
          <w:rFonts w:ascii="Verdana" w:eastAsia="Calibri" w:hAnsi="Verdana" w:cs="Arial"/>
          <w:i/>
          <w:iCs/>
          <w:color w:val="000000" w:themeColor="text1"/>
          <w:lang w:val="es-ES_tradnl"/>
        </w:rPr>
        <w:t>restrictiva</w:t>
      </w:r>
      <w:r w:rsidRPr="00363B54">
        <w:rPr>
          <w:rFonts w:ascii="Verdana" w:eastAsia="Calibri" w:hAnsi="Verdana" w:cs="Arial"/>
          <w:color w:val="000000" w:themeColor="text1"/>
          <w:lang w:val="es-ES_tradnl"/>
        </w:rPr>
        <w:t xml:space="preserve">. En contraste, si se admitiera una interpretación amplia, extensiva, analógica o finalista de las </w:t>
      </w:r>
      <w:r w:rsidRPr="00363B54">
        <w:rPr>
          <w:rFonts w:ascii="Verdana" w:eastAsia="Calibri" w:hAnsi="Verdana" w:cs="Arial"/>
          <w:color w:val="000000" w:themeColor="text1"/>
          <w:lang w:val="es-ES_tradnl"/>
        </w:rPr>
        <w:lastRenderedPageBreak/>
        <w:t>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r w:rsidRPr="00363B54">
        <w:rPr>
          <w:rStyle w:val="Refdenotaalpie"/>
          <w:rFonts w:ascii="Verdana" w:eastAsia="Calibri" w:hAnsi="Verdana" w:cs="Arial"/>
          <w:color w:val="000000" w:themeColor="text1"/>
          <w:lang w:val="es-ES_tradnl"/>
        </w:rPr>
        <w:footnoteReference w:id="2"/>
      </w:r>
      <w:r w:rsidRPr="00363B54">
        <w:rPr>
          <w:rFonts w:ascii="Verdana" w:eastAsia="Calibri" w:hAnsi="Verdana" w:cs="Arial"/>
          <w:color w:val="000000" w:themeColor="text1"/>
          <w:lang w:val="es-ES_tradnl"/>
        </w:rPr>
        <w:t>.</w:t>
      </w:r>
    </w:p>
    <w:p w14:paraId="3076AE62" w14:textId="77777777" w:rsidR="00B75ED5" w:rsidRPr="00235ED9" w:rsidRDefault="00B75ED5" w:rsidP="00882532">
      <w:pPr>
        <w:spacing w:after="0" w:line="276" w:lineRule="auto"/>
        <w:ind w:firstLine="709"/>
        <w:contextualSpacing/>
        <w:jc w:val="both"/>
        <w:rPr>
          <w:rFonts w:ascii="Verdana" w:eastAsia="Calibri" w:hAnsi="Verdana" w:cs="Arial"/>
          <w:color w:val="4472C4" w:themeColor="accent1"/>
          <w:lang w:val="es-ES_tradnl"/>
        </w:rPr>
      </w:pPr>
    </w:p>
    <w:p w14:paraId="540CC330" w14:textId="1376C067" w:rsidR="00B75ED5" w:rsidRPr="00F9441F" w:rsidRDefault="00B75ED5" w:rsidP="00882532">
      <w:pPr>
        <w:spacing w:after="120" w:line="276" w:lineRule="auto"/>
        <w:jc w:val="both"/>
        <w:rPr>
          <w:rFonts w:ascii="Verdana" w:eastAsia="Verdana" w:hAnsi="Verdana" w:cs="Verdana"/>
          <w:color w:val="000000" w:themeColor="text1"/>
        </w:rPr>
      </w:pPr>
      <w:r w:rsidRPr="009A3E20">
        <w:rPr>
          <w:rFonts w:ascii="Verdana" w:eastAsia="Verdana" w:hAnsi="Verdana" w:cs="Verdana"/>
          <w:color w:val="000000" w:themeColor="text1"/>
        </w:rPr>
        <w:t xml:space="preserve">ii. </w:t>
      </w:r>
      <w:r w:rsidRPr="00F00D77">
        <w:rPr>
          <w:rFonts w:ascii="Verdana" w:eastAsia="Verdana" w:hAnsi="Verdana" w:cs="Verdana"/>
          <w:color w:val="000000" w:themeColor="text1"/>
        </w:rPr>
        <w:t xml:space="preserve">Dicho lo anterior, para resolver el problema jurídico planteado, resulta necesario </w:t>
      </w:r>
      <w:r w:rsidR="00EA4158">
        <w:rPr>
          <w:rFonts w:ascii="Verdana" w:eastAsia="Verdana" w:hAnsi="Verdana" w:cs="Verdana"/>
          <w:color w:val="000000" w:themeColor="text1"/>
        </w:rPr>
        <w:t xml:space="preserve">realizar una distinción entre </w:t>
      </w:r>
      <w:r w:rsidR="0029115F">
        <w:rPr>
          <w:rFonts w:ascii="Verdana" w:eastAsia="Verdana" w:hAnsi="Verdana" w:cs="Verdana"/>
          <w:color w:val="000000" w:themeColor="text1"/>
        </w:rPr>
        <w:t xml:space="preserve">la </w:t>
      </w:r>
      <w:r w:rsidR="0029115F">
        <w:rPr>
          <w:rFonts w:ascii="Verdana" w:eastAsia="Verdana" w:hAnsi="Verdana" w:cs="Verdana"/>
          <w:i/>
          <w:iCs/>
          <w:color w:val="000000" w:themeColor="text1"/>
        </w:rPr>
        <w:t xml:space="preserve">inhabilidad para contratar con el estado y </w:t>
      </w:r>
      <w:r w:rsidR="00740487" w:rsidRPr="006B096C">
        <w:rPr>
          <w:rFonts w:ascii="Verdana" w:eastAsia="Verdana" w:hAnsi="Verdana" w:cs="Verdana"/>
          <w:color w:val="000000" w:themeColor="text1"/>
        </w:rPr>
        <w:t xml:space="preserve">la </w:t>
      </w:r>
      <w:r w:rsidR="00740487" w:rsidRPr="006B096C">
        <w:rPr>
          <w:rFonts w:ascii="Verdana" w:eastAsia="Verdana" w:hAnsi="Verdana" w:cs="Verdana"/>
          <w:i/>
          <w:iCs/>
          <w:color w:val="000000" w:themeColor="text1"/>
        </w:rPr>
        <w:t>inhabilidad general</w:t>
      </w:r>
      <w:r w:rsidR="00740487" w:rsidRPr="006B096C">
        <w:rPr>
          <w:rFonts w:ascii="Verdana" w:eastAsia="Verdana" w:hAnsi="Verdana" w:cs="Verdana"/>
          <w:color w:val="000000" w:themeColor="text1"/>
        </w:rPr>
        <w:t xml:space="preserve"> que apareja la destitución</w:t>
      </w:r>
      <w:r w:rsidR="00206AB4">
        <w:rPr>
          <w:rFonts w:ascii="Verdana" w:eastAsia="Verdana" w:hAnsi="Verdana" w:cs="Verdana"/>
          <w:color w:val="000000" w:themeColor="text1"/>
        </w:rPr>
        <w:t xml:space="preserve">. La primera hace parte </w:t>
      </w:r>
      <w:r w:rsidR="00DF02B9">
        <w:rPr>
          <w:rFonts w:ascii="Verdana" w:eastAsia="Verdana" w:hAnsi="Verdana" w:cs="Verdana"/>
          <w:color w:val="000000" w:themeColor="text1"/>
        </w:rPr>
        <w:t xml:space="preserve">del </w:t>
      </w:r>
      <w:r w:rsidR="00DF02B9" w:rsidRPr="00F00D77">
        <w:rPr>
          <w:rFonts w:ascii="Verdana" w:eastAsia="Verdana" w:hAnsi="Verdana" w:cs="Verdana"/>
          <w:color w:val="000000" w:themeColor="text1"/>
        </w:rPr>
        <w:t>régimen</w:t>
      </w:r>
      <w:r w:rsidRPr="00F00D77">
        <w:rPr>
          <w:rFonts w:ascii="Verdana" w:eastAsia="Verdana" w:hAnsi="Verdana" w:cs="Verdana"/>
          <w:color w:val="000000" w:themeColor="text1"/>
        </w:rPr>
        <w:t xml:space="preserve"> de inhabilidades e incompatibilidades para contratar con el Estado previsto en el artículo 8</w:t>
      </w:r>
      <w:r w:rsidR="000C5FD2">
        <w:rPr>
          <w:rFonts w:ascii="Verdana" w:eastAsia="Verdana" w:hAnsi="Verdana" w:cs="Verdana"/>
          <w:color w:val="000000" w:themeColor="text1"/>
        </w:rPr>
        <w:t>-1</w:t>
      </w:r>
      <w:r w:rsidRPr="00F00D77">
        <w:rPr>
          <w:rFonts w:ascii="Verdana" w:eastAsia="Verdana" w:hAnsi="Verdana" w:cs="Verdana"/>
          <w:color w:val="000000" w:themeColor="text1"/>
        </w:rPr>
        <w:t xml:space="preserve"> de la Ley 80 de 1993, particularmente lo dispuesto en su literal</w:t>
      </w:r>
      <w:r w:rsidRPr="00F00D77">
        <w:rPr>
          <w:rFonts w:ascii="Verdana" w:eastAsia="Verdana" w:hAnsi="Verdana" w:cs="Verdana"/>
          <w:color w:val="000000" w:themeColor="text1"/>
          <w:lang w:val="es-ES"/>
        </w:rPr>
        <w:t xml:space="preserve"> </w:t>
      </w:r>
      <w:r w:rsidRPr="009A3E20">
        <w:rPr>
          <w:rFonts w:ascii="Verdana" w:eastAsia="Verdana" w:hAnsi="Verdana" w:cs="Verdana"/>
          <w:color w:val="000000" w:themeColor="text1"/>
          <w:lang w:val="es-ES"/>
        </w:rPr>
        <w:t>d)</w:t>
      </w:r>
      <w:r w:rsidRPr="009A3E20">
        <w:rPr>
          <w:rStyle w:val="Refdenotaalpie"/>
          <w:rFonts w:ascii="Verdana" w:eastAsia="Verdana" w:hAnsi="Verdana" w:cs="Verdana"/>
          <w:color w:val="000000" w:themeColor="text1"/>
          <w:lang w:val="es-ES"/>
        </w:rPr>
        <w:footnoteReference w:id="3"/>
      </w:r>
      <w:r w:rsidRPr="009A3E20">
        <w:rPr>
          <w:rFonts w:ascii="Verdana" w:eastAsia="Verdana" w:hAnsi="Verdana" w:cs="Verdana"/>
          <w:color w:val="000000" w:themeColor="text1"/>
          <w:lang w:val="es-ES"/>
        </w:rPr>
        <w:t>,</w:t>
      </w:r>
      <w:r>
        <w:rPr>
          <w:rFonts w:ascii="Verdana" w:eastAsia="Verdana" w:hAnsi="Verdana" w:cs="Verdana"/>
          <w:color w:val="000000" w:themeColor="text1"/>
          <w:lang w:val="es-ES"/>
        </w:rPr>
        <w:t xml:space="preserve"> </w:t>
      </w:r>
      <w:r w:rsidRPr="00F00D77">
        <w:rPr>
          <w:rFonts w:ascii="Verdana" w:eastAsia="Verdana" w:hAnsi="Verdana" w:cs="Verdana"/>
          <w:color w:val="000000" w:themeColor="text1"/>
        </w:rPr>
        <w:t>el cual regula las inhabilidades derivadas de sanciones disciplinarias.</w:t>
      </w:r>
      <w:r>
        <w:rPr>
          <w:rFonts w:ascii="Verdana" w:eastAsia="Verdana" w:hAnsi="Verdana" w:cs="Verdana"/>
          <w:color w:val="4472C4" w:themeColor="accent1"/>
          <w:lang w:val="es-ES"/>
        </w:rPr>
        <w:t xml:space="preserve"> </w:t>
      </w:r>
      <w:r w:rsidRPr="001D3047">
        <w:rPr>
          <w:rFonts w:ascii="Verdana" w:eastAsia="Verdana" w:hAnsi="Verdana" w:cs="Verdana"/>
          <w:color w:val="000000" w:themeColor="text1"/>
          <w:lang w:val="es-ES"/>
        </w:rPr>
        <w:t xml:space="preserve">Dicha inhabilidad </w:t>
      </w:r>
      <w:r w:rsidRPr="00BC7BD9">
        <w:rPr>
          <w:rFonts w:ascii="Verdana" w:eastAsia="Verdana" w:hAnsi="Verdana" w:cs="Verdana"/>
          <w:color w:val="000000" w:themeColor="text1"/>
          <w:lang w:val="es-ES"/>
        </w:rPr>
        <w:t>está dirigida a dos grupos de personas, en primer lugar, quienes hayan sido condenados por sentencia judicial a la pena accesoria de interdicción de derechos y funciones públicas, y la segunda, quienes hayan sido sancionados disciplinariamente con destitución cuando incurre en faltas gravísimas, especialmente aquellas que afectan principios como la moralidad, la legalidad, la imparcialidad o la eficiencia administrativa.</w:t>
      </w:r>
    </w:p>
    <w:p w14:paraId="08A8DD43" w14:textId="015EABA7" w:rsidR="00B75ED5" w:rsidRDefault="00B75ED5" w:rsidP="00882532">
      <w:pPr>
        <w:spacing w:after="120" w:line="276" w:lineRule="auto"/>
        <w:jc w:val="both"/>
        <w:rPr>
          <w:rFonts w:ascii="Verdana" w:eastAsia="Verdana" w:hAnsi="Verdana" w:cs="Verdana"/>
          <w:color w:val="000000" w:themeColor="text1"/>
        </w:rPr>
      </w:pPr>
      <w:r w:rsidRPr="008F5091">
        <w:rPr>
          <w:rFonts w:ascii="Verdana" w:eastAsia="Verdana" w:hAnsi="Verdana" w:cs="Verdana"/>
          <w:color w:val="000000" w:themeColor="text1"/>
        </w:rPr>
        <w:tab/>
      </w:r>
      <w:r w:rsidR="00DA7A28">
        <w:rPr>
          <w:rFonts w:ascii="Verdana" w:eastAsia="Verdana" w:hAnsi="Verdana" w:cs="Verdana"/>
          <w:color w:val="000000" w:themeColor="text1"/>
        </w:rPr>
        <w:t>De</w:t>
      </w:r>
      <w:r w:rsidRPr="008F5091">
        <w:rPr>
          <w:rFonts w:ascii="Verdana" w:eastAsia="Verdana" w:hAnsi="Verdana" w:cs="Verdana"/>
          <w:color w:val="000000" w:themeColor="text1"/>
        </w:rPr>
        <w:t xml:space="preserve"> conformidad con el mencionado artículo, se indica que, </w:t>
      </w:r>
      <w:r w:rsidRPr="00943078">
        <w:rPr>
          <w:rFonts w:ascii="Verdana" w:eastAsia="Verdana" w:hAnsi="Verdana" w:cs="Verdana"/>
          <w:color w:val="000000" w:themeColor="text1"/>
        </w:rPr>
        <w:t xml:space="preserve">se encuentran inhabilitadas para participar en procesos de selección y para celebrar contratos con las entidades estatales aquellas personas naturales o jurídicas que hayan </w:t>
      </w:r>
      <w:r w:rsidRPr="00943078">
        <w:rPr>
          <w:rFonts w:ascii="Verdana" w:eastAsia="Verdana" w:hAnsi="Verdana" w:cs="Verdana"/>
          <w:color w:val="000000" w:themeColor="text1"/>
        </w:rPr>
        <w:lastRenderedPageBreak/>
        <w:t xml:space="preserve">sido sancionadas disciplinariamente con destitución, mientras subsistan los efectos jurídicos de dicha sanción. </w:t>
      </w:r>
      <w:r w:rsidRPr="008F5091">
        <w:rPr>
          <w:rFonts w:ascii="Verdana" w:eastAsia="Verdana" w:hAnsi="Verdana" w:cs="Verdana"/>
          <w:color w:val="000000" w:themeColor="text1"/>
        </w:rPr>
        <w:t xml:space="preserve">Esta inhabilidad, tiene como </w:t>
      </w:r>
      <w:r w:rsidRPr="00943078">
        <w:rPr>
          <w:rFonts w:ascii="Verdana" w:eastAsia="Verdana" w:hAnsi="Verdana" w:cs="Verdana"/>
          <w:color w:val="000000" w:themeColor="text1"/>
        </w:rPr>
        <w:t xml:space="preserve">fundamento la protección de los principios de moralidad, transparencia y responsabilidad que rigen la contratación estatal, en la medida en que busca excluir temporalmente del vínculo contractual con el Estado a quienes, en ejercicio de funciones públicas o con ocasión de ellas, hayan incurrido en faltas disciplinarias </w:t>
      </w:r>
      <w:r w:rsidRPr="008F5091">
        <w:rPr>
          <w:rFonts w:ascii="Verdana" w:eastAsia="Verdana" w:hAnsi="Verdana" w:cs="Verdana"/>
          <w:color w:val="000000" w:themeColor="text1"/>
        </w:rPr>
        <w:t xml:space="preserve">y que por su gravedad ameritaron una sanción </w:t>
      </w:r>
      <w:r w:rsidRPr="00943078">
        <w:rPr>
          <w:rFonts w:ascii="Verdana" w:eastAsia="Verdana" w:hAnsi="Verdana" w:cs="Verdana"/>
          <w:color w:val="000000" w:themeColor="text1"/>
        </w:rPr>
        <w:t>impuesta en el marco del ejercicio de la potestad disciplinaria del Estado,</w:t>
      </w:r>
      <w:r w:rsidRPr="008F5091">
        <w:rPr>
          <w:rFonts w:ascii="Verdana" w:eastAsia="Verdana" w:hAnsi="Verdana" w:cs="Verdana"/>
          <w:color w:val="000000" w:themeColor="text1"/>
        </w:rPr>
        <w:t xml:space="preserve"> conforme al Código General Disciplinario </w:t>
      </w:r>
      <w:r w:rsidRPr="00943078">
        <w:rPr>
          <w:rFonts w:ascii="Verdana" w:eastAsia="Verdana" w:hAnsi="Verdana" w:cs="Verdana"/>
          <w:color w:val="000000" w:themeColor="text1"/>
        </w:rPr>
        <w:t>regulad</w:t>
      </w:r>
      <w:r w:rsidRPr="008F5091">
        <w:rPr>
          <w:rFonts w:ascii="Verdana" w:eastAsia="Verdana" w:hAnsi="Verdana" w:cs="Verdana"/>
          <w:color w:val="000000" w:themeColor="text1"/>
        </w:rPr>
        <w:t xml:space="preserve">o </w:t>
      </w:r>
      <w:r w:rsidRPr="00943078">
        <w:rPr>
          <w:rFonts w:ascii="Verdana" w:eastAsia="Verdana" w:hAnsi="Verdana" w:cs="Verdana"/>
          <w:color w:val="000000" w:themeColor="text1"/>
        </w:rPr>
        <w:t>por la Ley 1952 de 2019</w:t>
      </w:r>
      <w:r w:rsidRPr="008F5091">
        <w:rPr>
          <w:rFonts w:ascii="Verdana" w:eastAsia="Verdana" w:hAnsi="Verdana" w:cs="Verdana"/>
          <w:color w:val="000000" w:themeColor="text1"/>
        </w:rPr>
        <w:t>.</w:t>
      </w:r>
    </w:p>
    <w:p w14:paraId="513CF821" w14:textId="0B087EF8" w:rsidR="00B75ED5" w:rsidRDefault="00B75ED5" w:rsidP="00882532">
      <w:pPr>
        <w:spacing w:line="276" w:lineRule="auto"/>
        <w:jc w:val="both"/>
        <w:rPr>
          <w:rFonts w:ascii="Verdana" w:eastAsia="Verdana" w:hAnsi="Verdana" w:cs="Verdana"/>
          <w:color w:val="000000" w:themeColor="text1"/>
        </w:rPr>
      </w:pPr>
      <w:r>
        <w:rPr>
          <w:rFonts w:ascii="Verdana" w:eastAsia="Verdana" w:hAnsi="Verdana" w:cs="Verdana"/>
          <w:color w:val="000000" w:themeColor="text1"/>
        </w:rPr>
        <w:tab/>
      </w:r>
      <w:r w:rsidR="00DA7A28">
        <w:rPr>
          <w:rFonts w:ascii="Verdana" w:eastAsia="Verdana" w:hAnsi="Verdana" w:cs="Verdana"/>
          <w:color w:val="000000" w:themeColor="text1"/>
        </w:rPr>
        <w:t>Por otra parte, l</w:t>
      </w:r>
      <w:r w:rsidR="0031206F">
        <w:rPr>
          <w:rFonts w:ascii="Verdana" w:eastAsia="Verdana" w:hAnsi="Verdana" w:cs="Verdana"/>
          <w:color w:val="000000" w:themeColor="text1"/>
        </w:rPr>
        <w:t xml:space="preserve">a </w:t>
      </w:r>
      <w:r w:rsidR="0031206F" w:rsidRPr="0031206F">
        <w:rPr>
          <w:rFonts w:ascii="Verdana" w:eastAsia="Verdana" w:hAnsi="Verdana" w:cs="Verdana"/>
          <w:i/>
          <w:iCs/>
          <w:color w:val="000000" w:themeColor="text1"/>
        </w:rPr>
        <w:t>inhabilidad</w:t>
      </w:r>
      <w:r w:rsidR="0031206F">
        <w:rPr>
          <w:rFonts w:ascii="Verdana" w:eastAsia="Verdana" w:hAnsi="Verdana" w:cs="Verdana"/>
          <w:i/>
          <w:iCs/>
          <w:color w:val="000000" w:themeColor="text1"/>
        </w:rPr>
        <w:t xml:space="preserve"> </w:t>
      </w:r>
      <w:r w:rsidR="0031206F" w:rsidRPr="00A16B22">
        <w:rPr>
          <w:rFonts w:ascii="Verdana" w:eastAsia="Verdana" w:hAnsi="Verdana" w:cs="Verdana"/>
          <w:i/>
          <w:iCs/>
          <w:color w:val="000000" w:themeColor="text1"/>
        </w:rPr>
        <w:t>general</w:t>
      </w:r>
      <w:r w:rsidR="009A68BD">
        <w:rPr>
          <w:rFonts w:ascii="Verdana" w:eastAsia="Verdana" w:hAnsi="Verdana" w:cs="Verdana"/>
          <w:color w:val="000000" w:themeColor="text1"/>
        </w:rPr>
        <w:t>,</w:t>
      </w:r>
      <w:r w:rsidR="00A16B22">
        <w:rPr>
          <w:rFonts w:ascii="Verdana" w:eastAsia="Verdana" w:hAnsi="Verdana" w:cs="Verdana"/>
          <w:color w:val="000000" w:themeColor="text1"/>
        </w:rPr>
        <w:t xml:space="preserve"> </w:t>
      </w:r>
      <w:r w:rsidR="006F013B">
        <w:rPr>
          <w:rFonts w:ascii="Verdana" w:eastAsia="Verdana" w:hAnsi="Verdana" w:cs="Verdana"/>
          <w:color w:val="000000" w:themeColor="text1"/>
        </w:rPr>
        <w:t xml:space="preserve">está regulada en </w:t>
      </w:r>
      <w:r w:rsidR="00A16B22">
        <w:rPr>
          <w:rFonts w:ascii="Verdana" w:eastAsia="Verdana" w:hAnsi="Verdana" w:cs="Verdana"/>
          <w:color w:val="000000" w:themeColor="text1"/>
        </w:rPr>
        <w:t>l</w:t>
      </w:r>
      <w:r w:rsidRPr="009A68BD">
        <w:rPr>
          <w:rFonts w:ascii="Verdana" w:eastAsia="Verdana" w:hAnsi="Verdana" w:cs="Verdana"/>
          <w:color w:val="000000" w:themeColor="text1"/>
        </w:rPr>
        <w:t>os</w:t>
      </w:r>
      <w:r w:rsidRPr="0066094E">
        <w:rPr>
          <w:rFonts w:ascii="Verdana" w:eastAsia="Verdana" w:hAnsi="Verdana" w:cs="Verdana"/>
          <w:color w:val="000000" w:themeColor="text1"/>
        </w:rPr>
        <w:t xml:space="preserve"> artículos </w:t>
      </w:r>
      <w:r w:rsidRPr="004D319B">
        <w:rPr>
          <w:rFonts w:ascii="Verdana" w:eastAsia="Verdana" w:hAnsi="Verdana" w:cs="Verdana"/>
          <w:color w:val="000000" w:themeColor="text1"/>
        </w:rPr>
        <w:t>48</w:t>
      </w:r>
      <w:r w:rsidRPr="004D319B">
        <w:rPr>
          <w:rStyle w:val="Refdenotaalpie"/>
          <w:rFonts w:ascii="Verdana" w:eastAsia="Verdana" w:hAnsi="Verdana" w:cs="Verdana"/>
          <w:color w:val="000000" w:themeColor="text1"/>
        </w:rPr>
        <w:footnoteReference w:id="4"/>
      </w:r>
      <w:r w:rsidRPr="004D319B">
        <w:rPr>
          <w:rFonts w:ascii="Verdana" w:eastAsia="Verdana" w:hAnsi="Verdana" w:cs="Verdana"/>
          <w:color w:val="000000" w:themeColor="text1"/>
        </w:rPr>
        <w:t xml:space="preserve"> y 49</w:t>
      </w:r>
      <w:r w:rsidRPr="004D319B">
        <w:rPr>
          <w:rStyle w:val="Refdenotaalpie"/>
          <w:rFonts w:ascii="Verdana" w:eastAsia="Verdana" w:hAnsi="Verdana" w:cs="Verdana"/>
          <w:color w:val="000000" w:themeColor="text1"/>
        </w:rPr>
        <w:footnoteReference w:id="5"/>
      </w:r>
      <w:r w:rsidRPr="004D319B">
        <w:rPr>
          <w:rFonts w:ascii="Verdana" w:eastAsia="Verdana" w:hAnsi="Verdana" w:cs="Verdana"/>
          <w:color w:val="000000" w:themeColor="text1"/>
        </w:rPr>
        <w:t xml:space="preserve"> de la Ley 1952 de 2019. </w:t>
      </w:r>
      <w:r w:rsidR="006E1684" w:rsidRPr="004D319B">
        <w:rPr>
          <w:rFonts w:ascii="Verdana" w:eastAsia="Verdana" w:hAnsi="Verdana" w:cs="Verdana"/>
          <w:color w:val="000000" w:themeColor="text1"/>
        </w:rPr>
        <w:t>El artículo 48 establece cuáles son las sanciones disciplinarias y sus límites, según la gravedad de la falta y si fue cometida con dolo o culpa. Las sanciones van desde amonestaciones escritas y multas para faltas leves, suspensiones e inhabilidades para faltas graves, hasta destitución e inhabilidad por varios años para faltas gravísimas.</w:t>
      </w:r>
      <w:r w:rsidR="006E1684" w:rsidRPr="006E1684">
        <w:rPr>
          <w:rFonts w:ascii="Verdana" w:eastAsia="Verdana" w:hAnsi="Verdana" w:cs="Verdana"/>
          <w:color w:val="000000" w:themeColor="text1"/>
        </w:rPr>
        <w:t xml:space="preserve"> </w:t>
      </w:r>
      <w:r w:rsidRPr="0066094E">
        <w:rPr>
          <w:rFonts w:ascii="Verdana" w:eastAsia="Verdana" w:hAnsi="Verdana" w:cs="Verdana"/>
          <w:color w:val="000000" w:themeColor="text1"/>
        </w:rPr>
        <w:t>Por su parte, el artículo 49 determina las consecuencias jurídicas de la comisión de una falta gravísima, disponiendo que, cuando estas sean realizadas con dolo o culpa gravísima, la sanción aplicable será la destitución e inhabilidad general, lo que implica no solo la desvinculación inmediata del cargo, sino también la imposibilidad de ejercer función pública y, en los términos previstos por la ley, de contratar con el Estado durante el periodo fijado en el fallo disciplinario.</w:t>
      </w:r>
    </w:p>
    <w:p w14:paraId="5A19D68D" w14:textId="12E05CFD" w:rsidR="00336AF7" w:rsidRDefault="00C765D1" w:rsidP="00882532">
      <w:pPr>
        <w:spacing w:line="276" w:lineRule="auto"/>
        <w:jc w:val="both"/>
        <w:rPr>
          <w:rFonts w:ascii="Verdana" w:eastAsia="Verdana" w:hAnsi="Verdana" w:cs="Verdana"/>
          <w:color w:val="000000" w:themeColor="text1"/>
        </w:rPr>
      </w:pPr>
      <w:r>
        <w:rPr>
          <w:rFonts w:ascii="Verdana" w:eastAsia="Verdana" w:hAnsi="Verdana" w:cs="Verdana"/>
          <w:color w:val="000000" w:themeColor="text1"/>
        </w:rPr>
        <w:lastRenderedPageBreak/>
        <w:tab/>
      </w:r>
      <w:r w:rsidRPr="006B38BB">
        <w:rPr>
          <w:rFonts w:ascii="Verdana" w:eastAsia="Verdana" w:hAnsi="Verdana" w:cs="Verdana"/>
          <w:color w:val="000000" w:themeColor="text1"/>
        </w:rPr>
        <w:t>En ese contexto</w:t>
      </w:r>
      <w:r w:rsidR="000D516D" w:rsidRPr="006B38BB">
        <w:rPr>
          <w:rFonts w:ascii="Verdana" w:eastAsia="Verdana" w:hAnsi="Verdana" w:cs="Verdana"/>
          <w:color w:val="000000" w:themeColor="text1"/>
        </w:rPr>
        <w:t xml:space="preserve">, </w:t>
      </w:r>
      <w:r w:rsidR="000D516D" w:rsidRPr="006B38BB">
        <w:rPr>
          <w:rFonts w:ascii="Verdana" w:eastAsia="Verdana" w:hAnsi="Verdana" w:cs="Verdana"/>
          <w:i/>
          <w:iCs/>
          <w:color w:val="000000" w:themeColor="text1"/>
        </w:rPr>
        <w:t>la inhabilidad para</w:t>
      </w:r>
      <w:r w:rsidR="00A00E4D" w:rsidRPr="006B38BB">
        <w:rPr>
          <w:rFonts w:ascii="Verdana" w:eastAsia="Verdana" w:hAnsi="Verdana" w:cs="Verdana"/>
          <w:i/>
          <w:iCs/>
          <w:color w:val="000000" w:themeColor="text1"/>
        </w:rPr>
        <w:t xml:space="preserve"> contratar con el estado</w:t>
      </w:r>
      <w:r w:rsidR="0084427E" w:rsidRPr="006B38BB">
        <w:rPr>
          <w:rFonts w:ascii="Verdana" w:eastAsia="Verdana" w:hAnsi="Verdana" w:cs="Verdana"/>
          <w:i/>
          <w:iCs/>
          <w:color w:val="000000" w:themeColor="text1"/>
        </w:rPr>
        <w:t xml:space="preserve"> </w:t>
      </w:r>
      <w:r w:rsidR="0084427E" w:rsidRPr="006B38BB">
        <w:rPr>
          <w:rFonts w:ascii="Verdana" w:eastAsia="Verdana" w:hAnsi="Verdana" w:cs="Verdana"/>
          <w:color w:val="000000" w:themeColor="text1"/>
        </w:rPr>
        <w:t>de la que versa</w:t>
      </w:r>
      <w:r w:rsidR="00725172" w:rsidRPr="006B38BB">
        <w:rPr>
          <w:rFonts w:ascii="Verdana" w:eastAsia="Verdana" w:hAnsi="Verdana" w:cs="Verdana"/>
          <w:color w:val="000000" w:themeColor="text1"/>
        </w:rPr>
        <w:t xml:space="preserve"> el artículo 8-1, literal d), de la Ley 80 de 1993, opera por mérito de la ley durante el término de 5 años siguientes a la ejecutoria del acto que impone la sanción disciplinaría de destitución. El principal efecto de esta restricción</w:t>
      </w:r>
      <w:r w:rsidR="0098389C" w:rsidRPr="006B38BB">
        <w:rPr>
          <w:rFonts w:ascii="Verdana" w:eastAsia="Verdana" w:hAnsi="Verdana" w:cs="Verdana"/>
          <w:color w:val="000000" w:themeColor="text1"/>
        </w:rPr>
        <w:t xml:space="preserve">, </w:t>
      </w:r>
      <w:r w:rsidR="00725172" w:rsidRPr="006B38BB">
        <w:rPr>
          <w:rFonts w:ascii="Verdana" w:eastAsia="Verdana" w:hAnsi="Verdana" w:cs="Verdana"/>
          <w:color w:val="000000" w:themeColor="text1"/>
        </w:rPr>
        <w:t>al igual que de las demás previstas en el art. 8 de la L</w:t>
      </w:r>
      <w:r w:rsidR="0084427E" w:rsidRPr="006B38BB">
        <w:rPr>
          <w:rFonts w:ascii="Verdana" w:eastAsia="Verdana" w:hAnsi="Verdana" w:cs="Verdana"/>
          <w:color w:val="000000" w:themeColor="text1"/>
        </w:rPr>
        <w:t xml:space="preserve">ey 80 de 1993, </w:t>
      </w:r>
      <w:r w:rsidR="00725172" w:rsidRPr="006B38BB">
        <w:rPr>
          <w:rFonts w:ascii="Verdana" w:eastAsia="Verdana" w:hAnsi="Verdana" w:cs="Verdana"/>
          <w:color w:val="000000" w:themeColor="text1"/>
        </w:rPr>
        <w:t>es la imposibilidad de celebrar o ejecutar contratos estatales o participar en procesos de selección</w:t>
      </w:r>
      <w:r w:rsidR="009F7F5C" w:rsidRPr="006B38BB">
        <w:rPr>
          <w:rFonts w:ascii="Verdana" w:eastAsia="Verdana" w:hAnsi="Verdana" w:cs="Verdana"/>
          <w:color w:val="000000" w:themeColor="text1"/>
        </w:rPr>
        <w:t xml:space="preserve">, </w:t>
      </w:r>
      <w:r w:rsidR="009F7F5C" w:rsidRPr="000331C5">
        <w:rPr>
          <w:rFonts w:ascii="Verdana" w:eastAsia="Verdana" w:hAnsi="Verdana" w:cs="Verdana"/>
          <w:color w:val="000000" w:themeColor="text1"/>
        </w:rPr>
        <w:t xml:space="preserve">Por otra parte la </w:t>
      </w:r>
      <w:r w:rsidR="009F7F5C" w:rsidRPr="000331C5">
        <w:rPr>
          <w:rFonts w:ascii="Verdana" w:eastAsia="Verdana" w:hAnsi="Verdana" w:cs="Verdana"/>
          <w:i/>
          <w:iCs/>
          <w:color w:val="000000" w:themeColor="text1"/>
        </w:rPr>
        <w:t>inhabilidad general</w:t>
      </w:r>
      <w:r w:rsidR="009F7F5C" w:rsidRPr="000331C5">
        <w:rPr>
          <w:rFonts w:ascii="Verdana" w:eastAsia="Verdana" w:hAnsi="Verdana" w:cs="Verdana"/>
          <w:color w:val="000000" w:themeColor="text1"/>
        </w:rPr>
        <w:t xml:space="preserve"> </w:t>
      </w:r>
      <w:r w:rsidR="00F157CE" w:rsidRPr="006B096C">
        <w:rPr>
          <w:rFonts w:ascii="Verdana" w:hAnsi="Verdana"/>
        </w:rPr>
        <w:t xml:space="preserve">restringe la posibilidad ejercer la función pública, durante el término determinado por </w:t>
      </w:r>
      <w:r w:rsidR="006B38BB" w:rsidRPr="000331C5">
        <w:rPr>
          <w:rFonts w:ascii="Verdana" w:hAnsi="Verdana"/>
        </w:rPr>
        <w:t>la autoridad disciplinaria</w:t>
      </w:r>
      <w:r w:rsidR="00F157CE" w:rsidRPr="006B096C">
        <w:rPr>
          <w:rFonts w:ascii="Verdana" w:hAnsi="Verdana"/>
        </w:rPr>
        <w:t xml:space="preserve"> en función de la gravedad de la falta</w:t>
      </w:r>
      <w:r w:rsidR="006B38BB" w:rsidRPr="000331C5">
        <w:rPr>
          <w:rFonts w:ascii="Verdana" w:hAnsi="Verdana"/>
        </w:rPr>
        <w:t>, previsto en el artículo 49-1, literal d y artículo 48 numerales 1 y 2 de la Ley 1953 de 2019</w:t>
      </w:r>
      <w:r w:rsidR="00146FF3" w:rsidRPr="000331C5">
        <w:rPr>
          <w:rFonts w:ascii="Verdana" w:hAnsi="Verdana"/>
        </w:rPr>
        <w:t xml:space="preserve">. </w:t>
      </w:r>
      <w:r w:rsidR="000A0AC5" w:rsidRPr="000331C5">
        <w:rPr>
          <w:rFonts w:ascii="Verdana" w:hAnsi="Verdana"/>
        </w:rPr>
        <w:t xml:space="preserve">Dicho lo anterior, </w:t>
      </w:r>
      <w:r w:rsidR="00223A71" w:rsidRPr="000331C5">
        <w:rPr>
          <w:rFonts w:ascii="Verdana" w:eastAsia="Verdana" w:hAnsi="Verdana" w:cs="Verdana"/>
          <w:color w:val="000000" w:themeColor="text1"/>
        </w:rPr>
        <w:t>aunque la inhabilidad general que acompaña la destitución</w:t>
      </w:r>
      <w:r w:rsidR="000331C5">
        <w:rPr>
          <w:rFonts w:ascii="Verdana" w:eastAsia="Verdana" w:hAnsi="Verdana" w:cs="Verdana"/>
          <w:color w:val="000000" w:themeColor="text1"/>
        </w:rPr>
        <w:t xml:space="preserve"> </w:t>
      </w:r>
      <w:r w:rsidR="00223A71" w:rsidRPr="000331C5">
        <w:rPr>
          <w:rFonts w:ascii="Verdana" w:eastAsia="Verdana" w:hAnsi="Verdana" w:cs="Verdana"/>
          <w:color w:val="000000" w:themeColor="text1"/>
        </w:rPr>
        <w:t>guarda relación</w:t>
      </w:r>
      <w:r w:rsidR="000331C5">
        <w:rPr>
          <w:rFonts w:ascii="Verdana" w:eastAsia="Verdana" w:hAnsi="Verdana" w:cs="Verdana"/>
          <w:color w:val="000000" w:themeColor="text1"/>
        </w:rPr>
        <w:t xml:space="preserve"> con la prevista en </w:t>
      </w:r>
      <w:r w:rsidR="007704F2">
        <w:rPr>
          <w:rFonts w:ascii="Verdana" w:eastAsia="Verdana" w:hAnsi="Verdana" w:cs="Verdana"/>
          <w:color w:val="000000" w:themeColor="text1"/>
        </w:rPr>
        <w:t>la Ley 80 de 1993</w:t>
      </w:r>
      <w:r w:rsidR="00223A71" w:rsidRPr="000331C5">
        <w:rPr>
          <w:rFonts w:ascii="Verdana" w:eastAsia="Verdana" w:hAnsi="Verdana" w:cs="Verdana"/>
          <w:color w:val="000000" w:themeColor="text1"/>
        </w:rPr>
        <w:t>, presentan diferencias en cuanto a su ámbito de aplicación, tanto material como temporal, por lo que no producen los mismos efectos ni se aplican en las mismas circunstancias</w:t>
      </w:r>
      <w:r w:rsidR="00336AF7">
        <w:rPr>
          <w:rFonts w:ascii="Verdana" w:eastAsia="Verdana" w:hAnsi="Verdana" w:cs="Verdana"/>
          <w:color w:val="000000" w:themeColor="text1"/>
        </w:rPr>
        <w:t>.</w:t>
      </w:r>
    </w:p>
    <w:p w14:paraId="54BDC017" w14:textId="77777777" w:rsidR="00882532" w:rsidRDefault="00336AF7" w:rsidP="00882532">
      <w:pPr>
        <w:spacing w:line="276" w:lineRule="auto"/>
        <w:jc w:val="both"/>
        <w:rPr>
          <w:rFonts w:ascii="Verdana" w:eastAsia="Verdana" w:hAnsi="Verdana" w:cs="Verdana"/>
          <w:color w:val="000000" w:themeColor="text1"/>
        </w:rPr>
      </w:pPr>
      <w:r>
        <w:rPr>
          <w:rFonts w:ascii="Verdana" w:eastAsia="Verdana" w:hAnsi="Verdana" w:cs="Verdana"/>
          <w:color w:val="000000" w:themeColor="text1"/>
        </w:rPr>
        <w:tab/>
        <w:t xml:space="preserve">No obstante, </w:t>
      </w:r>
      <w:r w:rsidR="00661642" w:rsidRPr="00D729FA">
        <w:rPr>
          <w:rFonts w:ascii="Verdana" w:eastAsia="Verdana" w:hAnsi="Verdana" w:cs="Verdana"/>
          <w:color w:val="000000" w:themeColor="text1"/>
        </w:rPr>
        <w:t>aunque la inhabilidad general asociada a la destitución, por sí sola, no genera la pérdida de la capacidad para contratar una vez han transcurrido 5 años desde la ejecutoria de la sanción, sí puede producir dicho efecto cuando el objeto del contrato implique el desarrollo de actividades restringidas por el artículo 49-1, literal d), de la Ley 1952 de 2019, esto es, el ejercicio de funciones públicas. En este escenario, la inhabilidad general impuesta junto con la destitución impide la celebración de contratos estatales que comporten el ejercicio de funciones públicas durante el término de vigencia de la sanción fijad</w:t>
      </w:r>
      <w:r w:rsidR="00DD047C">
        <w:rPr>
          <w:rFonts w:ascii="Verdana" w:eastAsia="Verdana" w:hAnsi="Verdana" w:cs="Verdana"/>
          <w:color w:val="000000" w:themeColor="text1"/>
        </w:rPr>
        <w:t>a</w:t>
      </w:r>
      <w:r w:rsidR="00661642" w:rsidRPr="00D729FA">
        <w:rPr>
          <w:rFonts w:ascii="Verdana" w:eastAsia="Verdana" w:hAnsi="Verdana" w:cs="Verdana"/>
          <w:color w:val="000000" w:themeColor="text1"/>
        </w:rPr>
        <w:t xml:space="preserve"> por la autoridad disciplinaria.</w:t>
      </w:r>
    </w:p>
    <w:p w14:paraId="6B7FE529" w14:textId="08F50052" w:rsidR="00FD6639" w:rsidRPr="004D3E98" w:rsidRDefault="00B16875" w:rsidP="004D3E98">
      <w:pPr>
        <w:jc w:val="both"/>
        <w:rPr>
          <w:rFonts w:ascii="Verdana" w:hAnsi="Verdana"/>
        </w:rPr>
      </w:pPr>
      <w:r w:rsidRPr="00B16875">
        <w:rPr>
          <w:rFonts w:ascii="Verdana" w:hAnsi="Verdana"/>
        </w:rPr>
        <w:tab/>
        <w:t xml:space="preserve">Sin perjuicio de lo anterior, una vez transcurridos los </w:t>
      </w:r>
      <w:r>
        <w:rPr>
          <w:rFonts w:ascii="Verdana" w:hAnsi="Verdana"/>
        </w:rPr>
        <w:t>5</w:t>
      </w:r>
      <w:r w:rsidRPr="00B16875">
        <w:rPr>
          <w:rFonts w:ascii="Verdana" w:hAnsi="Verdana"/>
        </w:rPr>
        <w:t xml:space="preserve"> años previstos en la Ley 80 de 1993, </w:t>
      </w:r>
      <w:r w:rsidR="005E4339">
        <w:rPr>
          <w:rFonts w:ascii="Verdana" w:hAnsi="Verdana"/>
        </w:rPr>
        <w:t>independientemente</w:t>
      </w:r>
      <w:r w:rsidRPr="00B16875">
        <w:rPr>
          <w:rFonts w:ascii="Verdana" w:hAnsi="Verdana"/>
        </w:rPr>
        <w:t xml:space="preserve"> de que haya finalizado o no el término de la </w:t>
      </w:r>
      <w:r w:rsidRPr="005F7C2C">
        <w:rPr>
          <w:rFonts w:ascii="Verdana" w:hAnsi="Verdana"/>
          <w:i/>
          <w:iCs/>
        </w:rPr>
        <w:t>inhabilidad general</w:t>
      </w:r>
      <w:r w:rsidRPr="00B16875">
        <w:rPr>
          <w:rFonts w:ascii="Verdana" w:hAnsi="Verdana"/>
        </w:rPr>
        <w:t xml:space="preserve"> impuesta por la autoridad disciplinaria, </w:t>
      </w:r>
      <w:r w:rsidR="006F16B3">
        <w:rPr>
          <w:rFonts w:ascii="Verdana" w:hAnsi="Verdana"/>
        </w:rPr>
        <w:t xml:space="preserve">el </w:t>
      </w:r>
      <w:r w:rsidRPr="00B16875">
        <w:rPr>
          <w:rFonts w:ascii="Verdana" w:hAnsi="Verdana"/>
        </w:rPr>
        <w:t>sancionad</w:t>
      </w:r>
      <w:r w:rsidR="006F16B3">
        <w:rPr>
          <w:rFonts w:ascii="Verdana" w:hAnsi="Verdana"/>
        </w:rPr>
        <w:t>o</w:t>
      </w:r>
      <w:r w:rsidRPr="00B16875">
        <w:rPr>
          <w:rFonts w:ascii="Verdana" w:hAnsi="Verdana"/>
        </w:rPr>
        <w:t xml:space="preserve"> con destitución podrá celebrar contratos estatales que no impliquen el ejercicio de funciones públicas. Lo anterior, en la medida en que habrán cesado los efectos de la inhabilidad prevista en el literal d) del artículo 8-1 de la Ley 80 de 1993, y siempre que el objeto contractual no se encuentre comprendido dentro de las restricciones derivadas de la inhabilidad regulada en el artículo 49 de la Ley 1952 de 2019.</w:t>
      </w:r>
    </w:p>
    <w:p w14:paraId="69CD2166" w14:textId="77777777" w:rsidR="00B75ED5" w:rsidRDefault="00B75ED5" w:rsidP="00B75ED5">
      <w:pPr>
        <w:spacing w:after="120" w:line="276" w:lineRule="auto"/>
        <w:jc w:val="both"/>
        <w:rPr>
          <w:rFonts w:ascii="Verdana" w:eastAsia="Verdana" w:hAnsi="Verdana" w:cs="Verdana"/>
        </w:rPr>
      </w:pPr>
      <w:r w:rsidRPr="007213C8">
        <w:rPr>
          <w:rFonts w:ascii="Verdana" w:eastAsia="Verdana" w:hAnsi="Verdana" w:cs="Verdana"/>
        </w:rPr>
        <w:t xml:space="preserve">iii. </w:t>
      </w:r>
      <w:r w:rsidRPr="0057323A">
        <w:rPr>
          <w:rFonts w:ascii="Verdana" w:eastAsia="Verdana" w:hAnsi="Verdana" w:cs="Verdana"/>
        </w:rPr>
        <w:t>Por otra parte, es importante precisar que la inhabilidad para contratar con el Estado y la sanción disciplinaria en cuanto produce inhabilidades corresponden a consecuencias jurídicas distintas</w:t>
      </w:r>
      <w:r>
        <w:rPr>
          <w:rFonts w:ascii="Verdana" w:eastAsia="Verdana" w:hAnsi="Verdana" w:cs="Verdana"/>
        </w:rPr>
        <w:t>, toda vez que</w:t>
      </w:r>
      <w:r w:rsidRPr="0057323A">
        <w:rPr>
          <w:rFonts w:ascii="Verdana" w:eastAsia="Verdana" w:hAnsi="Verdana" w:cs="Verdana"/>
        </w:rPr>
        <w:t xml:space="preserve">, si bien ambas inhabilidades </w:t>
      </w:r>
      <w:r w:rsidRPr="0057323A">
        <w:rPr>
          <w:rFonts w:ascii="Verdana" w:eastAsia="Verdana" w:hAnsi="Verdana" w:cs="Verdana"/>
        </w:rPr>
        <w:lastRenderedPageBreak/>
        <w:t>pueden tener origen en una misma sanción disciplinaria</w:t>
      </w:r>
      <w:r>
        <w:rPr>
          <w:rFonts w:ascii="Verdana" w:eastAsia="Verdana" w:hAnsi="Verdana" w:cs="Verdana"/>
        </w:rPr>
        <w:t xml:space="preserve">, la </w:t>
      </w:r>
      <w:r w:rsidRPr="0057323A">
        <w:rPr>
          <w:rFonts w:ascii="Verdana" w:eastAsia="Verdana" w:hAnsi="Verdana" w:cs="Verdana"/>
        </w:rPr>
        <w:t xml:space="preserve">primera se rige por las disposiciones propias del régimen de contratación estatal y, por regla general, se circunscribe al ámbito de la actividad negocial del Estado; la segunda incide directamente en la posibilidad de acceder y desempeñar cargos o ejercer funciones públicas en los términos previstos por la Constitución Política y el Código General Disciplinario. </w:t>
      </w:r>
      <w:r w:rsidRPr="007C7B79">
        <w:rPr>
          <w:rFonts w:ascii="Verdana" w:eastAsia="Verdana" w:hAnsi="Verdana" w:cs="Verdana"/>
        </w:rPr>
        <w:t xml:space="preserve">No obstante, cuando el objeto del contrato implique el ejercicio de función pública, la vigencia de una inhabilidad general resulta jurídicamente relevante. </w:t>
      </w:r>
    </w:p>
    <w:p w14:paraId="7D873DF0" w14:textId="0441F622" w:rsidR="00B75ED5" w:rsidRPr="000C7FE3" w:rsidRDefault="00B75ED5" w:rsidP="00B75ED5">
      <w:pPr>
        <w:spacing w:after="120" w:line="276" w:lineRule="auto"/>
        <w:ind w:firstLine="708"/>
        <w:jc w:val="both"/>
        <w:rPr>
          <w:rFonts w:ascii="Verdana" w:eastAsia="Verdana" w:hAnsi="Verdana" w:cs="Verdana"/>
        </w:rPr>
      </w:pPr>
      <w:r w:rsidRPr="001B3054">
        <w:rPr>
          <w:rFonts w:ascii="Verdana" w:eastAsia="Verdana" w:hAnsi="Verdana" w:cs="Verdana"/>
        </w:rPr>
        <w:t xml:space="preserve">Aunado a lo anterior, debe precisarse que las anotaciones registradas en el certificado de antecedentes disciplinarios, de conformidad con lo previsto en </w:t>
      </w:r>
      <w:r w:rsidRPr="00A06019">
        <w:rPr>
          <w:rFonts w:ascii="Verdana" w:eastAsia="Verdana" w:hAnsi="Verdana" w:cs="Verdana"/>
        </w:rPr>
        <w:t xml:space="preserve">la Ley </w:t>
      </w:r>
      <w:r w:rsidR="00EC209C" w:rsidRPr="00A06019">
        <w:rPr>
          <w:rFonts w:ascii="Verdana" w:eastAsia="Verdana" w:hAnsi="Verdana" w:cs="Verdana"/>
        </w:rPr>
        <w:t>1952</w:t>
      </w:r>
      <w:r w:rsidR="00BE1F3B" w:rsidRPr="00A06019">
        <w:rPr>
          <w:rFonts w:ascii="Verdana" w:eastAsia="Verdana" w:hAnsi="Verdana" w:cs="Verdana"/>
        </w:rPr>
        <w:t xml:space="preserve"> de 2019</w:t>
      </w:r>
      <w:r w:rsidRPr="00A06019">
        <w:rPr>
          <w:rFonts w:ascii="Verdana" w:eastAsia="Verdana" w:hAnsi="Verdana" w:cs="Verdana"/>
        </w:rPr>
        <w:t xml:space="preserve">, artículo </w:t>
      </w:r>
      <w:r w:rsidR="00BE1F3B" w:rsidRPr="00A06019">
        <w:rPr>
          <w:rFonts w:ascii="Verdana" w:eastAsia="Verdana" w:hAnsi="Verdana" w:cs="Verdana"/>
        </w:rPr>
        <w:t>238</w:t>
      </w:r>
      <w:r w:rsidRPr="00A06019">
        <w:rPr>
          <w:rStyle w:val="Refdenotaalpie"/>
          <w:rFonts w:ascii="Verdana" w:eastAsia="Verdana" w:hAnsi="Verdana" w:cs="Verdana"/>
        </w:rPr>
        <w:footnoteReference w:id="6"/>
      </w:r>
      <w:r w:rsidRPr="00A06019">
        <w:rPr>
          <w:rFonts w:ascii="Verdana" w:eastAsia="Verdana" w:hAnsi="Verdana" w:cs="Verdana"/>
        </w:rPr>
        <w:t xml:space="preserve">, tienen un carácter estrictamente informativo y no constituyen, por sí mismas, una sanción ni generan efectos restrictivos automáticos. En dicho certificado se consignan </w:t>
      </w:r>
      <w:r w:rsidR="000C7FE3" w:rsidRPr="00A06019">
        <w:rPr>
          <w:rFonts w:ascii="Verdana" w:eastAsia="Verdana" w:hAnsi="Verdana" w:cs="Verdana"/>
        </w:rPr>
        <w:t xml:space="preserve">las anotaciones de las </w:t>
      </w:r>
      <w:r w:rsidRPr="00A06019">
        <w:rPr>
          <w:rFonts w:ascii="Verdana" w:eastAsia="Verdana" w:hAnsi="Verdana" w:cs="Verdana"/>
        </w:rPr>
        <w:t>sanciones o inhabilidades que se encuentren vigentes. Así las cosas, la sola existencia de un antecedente disciplinario no implica necesariamente una inhabilidad para contratar con el Estado, salvo que del mismo se derive una sanción disciplinaria con efectos jurídicos vigentes que expresamente restrinjan dicha posibilidad, como ocurre en los casos de destitución con inhabilidad general</w:t>
      </w:r>
      <w:r w:rsidR="00A06019" w:rsidRPr="00A06019">
        <w:rPr>
          <w:rFonts w:ascii="Verdana" w:eastAsia="Verdana" w:hAnsi="Verdana" w:cs="Verdana"/>
        </w:rPr>
        <w:t>.</w:t>
      </w:r>
    </w:p>
    <w:p w14:paraId="48601201" w14:textId="77777777" w:rsidR="00B75ED5" w:rsidRPr="00317A7B" w:rsidRDefault="00B75ED5" w:rsidP="00B75ED5">
      <w:pPr>
        <w:spacing w:after="120" w:line="276" w:lineRule="auto"/>
        <w:ind w:firstLine="708"/>
        <w:jc w:val="both"/>
        <w:rPr>
          <w:rFonts w:ascii="Verdana" w:eastAsia="Verdana" w:hAnsi="Verdana" w:cs="Verdana"/>
        </w:rPr>
      </w:pPr>
      <w:r w:rsidRPr="006A0474">
        <w:rPr>
          <w:rFonts w:ascii="Verdana" w:eastAsia="Verdana" w:hAnsi="Verdana" w:cs="Verdana"/>
        </w:rPr>
        <w:t>En consecuencia, aunque la inhabilidad para contratar con el Estado prevista en el artículo 8 de la Ley 80 de 1993 se extinga a los cinco (5) años contados desde la ejecutoria del acto sancionatorio, la inhabilidad general subsiste para aquellos contratos que impliquen el ejercicio de función pública. Por el contrario, en los eventos en que el contrato no comporte el ejercicio de funciones públicas, la capacidad para contratar se restablece una vez superado el término legal de la inhabilidad contractual</w:t>
      </w:r>
      <w:r>
        <w:rPr>
          <w:rFonts w:ascii="Verdana" w:eastAsia="Verdana" w:hAnsi="Verdana" w:cs="Verdana"/>
        </w:rPr>
        <w:t xml:space="preserve">. En tal sentido, </w:t>
      </w:r>
      <w:r w:rsidRPr="007C7B79">
        <w:rPr>
          <w:rFonts w:ascii="Verdana" w:eastAsia="Verdana" w:hAnsi="Verdana" w:cs="Verdana"/>
        </w:rPr>
        <w:t>la configuración, vigencia y verificación de las inhabilidades debe realizarse de manera diferenciada, atendiendo tanto a la naturaleza de la sanción como al tipo de vínculo contractual que se pretenda celebrar.</w:t>
      </w:r>
    </w:p>
    <w:p w14:paraId="289F86E8" w14:textId="77777777" w:rsidR="00B75ED5" w:rsidRPr="001F13B8" w:rsidRDefault="00B75ED5" w:rsidP="00B75ED5">
      <w:pPr>
        <w:spacing w:after="0" w:line="276" w:lineRule="auto"/>
        <w:ind w:firstLine="709"/>
        <w:jc w:val="both"/>
        <w:rPr>
          <w:rFonts w:ascii="Verdana" w:eastAsia="Times New Roman" w:hAnsi="Verdana" w:cs="Times New Roman"/>
          <w:color w:val="000000" w:themeColor="text1"/>
          <w:lang w:eastAsia="es-ES"/>
        </w:rPr>
      </w:pPr>
      <w:r w:rsidRPr="001F13B8">
        <w:rPr>
          <w:rFonts w:ascii="Verdana" w:eastAsia="Calibri" w:hAnsi="Verdana" w:cs="Arial"/>
          <w:color w:val="000000" w:themeColor="text1"/>
        </w:rPr>
        <w:t xml:space="preserve">Finalmente, es pertinente indicar que Colombia Compra Eficiente, por vía consultiva, no puede definir un criterio universal y absoluto, sino que brinda </w:t>
      </w:r>
      <w:r w:rsidRPr="001F13B8">
        <w:rPr>
          <w:rFonts w:ascii="Verdana" w:eastAsia="Calibri" w:hAnsi="Verdana" w:cs="Arial"/>
          <w:color w:val="000000" w:themeColor="text1"/>
        </w:rPr>
        <w:lastRenderedPageBreak/>
        <w:t xml:space="preserve">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1F13B8">
        <w:rPr>
          <w:rFonts w:ascii="Verdana" w:eastAsia="Times New Roman" w:hAnsi="Verdana" w:cs="Times New Roman"/>
          <w:color w:val="000000" w:themeColor="text1"/>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0B074442" w14:textId="77777777" w:rsidR="00B75ED5" w:rsidRPr="00235ED9" w:rsidRDefault="00B75ED5" w:rsidP="00B75ED5">
      <w:pPr>
        <w:spacing w:after="0" w:line="276" w:lineRule="auto"/>
        <w:ind w:firstLine="709"/>
        <w:jc w:val="both"/>
        <w:rPr>
          <w:rFonts w:ascii="Verdana" w:eastAsia="Times New Roman" w:hAnsi="Verdana" w:cs="Times New Roman"/>
          <w:color w:val="4472C4" w:themeColor="accent1"/>
          <w:lang w:eastAsia="es-ES"/>
        </w:rPr>
      </w:pPr>
    </w:p>
    <w:p w14:paraId="30D24084" w14:textId="77777777" w:rsidR="00B75ED5" w:rsidRPr="001A1BB6" w:rsidRDefault="00B75ED5" w:rsidP="00B75ED5">
      <w:pPr>
        <w:spacing w:after="120" w:line="276" w:lineRule="auto"/>
        <w:jc w:val="both"/>
        <w:rPr>
          <w:rFonts w:ascii="Verdana" w:eastAsia="Century Gothic" w:hAnsi="Verdana" w:cs="Century Gothic"/>
          <w:b/>
          <w:lang w:val="es-ES"/>
        </w:rPr>
      </w:pPr>
      <w:r w:rsidRPr="001A1BB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75ED5" w:rsidRPr="00235ED9" w14:paraId="3F191006" w14:textId="77777777">
        <w:trPr>
          <w:trHeight w:val="1689"/>
        </w:trPr>
        <w:tc>
          <w:tcPr>
            <w:tcW w:w="8647" w:type="dxa"/>
          </w:tcPr>
          <w:p w14:paraId="0D01C5B3" w14:textId="77777777" w:rsidR="00B75ED5" w:rsidRPr="00D34660" w:rsidRDefault="00B75ED5">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D34660">
              <w:rPr>
                <w:rFonts w:ascii="Verdana" w:eastAsia="Arial MT" w:hAnsi="Verdana" w:cs="Arial"/>
                <w:bCs/>
                <w:lang w:eastAsia="es-ES" w:bidi="es-ES"/>
              </w:rPr>
              <w:t>Ley 80 de 1993. Artículo 8, literal d.</w:t>
            </w:r>
          </w:p>
          <w:p w14:paraId="54519743" w14:textId="389AA846" w:rsidR="00B75ED5" w:rsidRPr="00D34660" w:rsidRDefault="00B75ED5">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D34660">
              <w:rPr>
                <w:rFonts w:ascii="Verdana" w:eastAsia="Arial MT" w:hAnsi="Verdana" w:cs="Arial"/>
                <w:bCs/>
                <w:lang w:eastAsia="es-ES" w:bidi="es-ES"/>
              </w:rPr>
              <w:t>Ley 1952 de 2019. Artículo</w:t>
            </w:r>
            <w:r>
              <w:rPr>
                <w:rFonts w:ascii="Verdana" w:eastAsia="Arial MT" w:hAnsi="Verdana" w:cs="Arial"/>
                <w:bCs/>
                <w:lang w:eastAsia="es-ES" w:bidi="es-ES"/>
              </w:rPr>
              <w:t>s</w:t>
            </w:r>
            <w:r w:rsidRPr="00D34660">
              <w:rPr>
                <w:rFonts w:ascii="Verdana" w:eastAsia="Arial MT" w:hAnsi="Verdana" w:cs="Arial"/>
                <w:bCs/>
                <w:lang w:eastAsia="es-ES" w:bidi="es-ES"/>
              </w:rPr>
              <w:t xml:space="preserve"> 48</w:t>
            </w:r>
            <w:r w:rsidR="00CA78E2">
              <w:rPr>
                <w:rFonts w:ascii="Verdana" w:eastAsia="Arial MT" w:hAnsi="Verdana" w:cs="Arial"/>
                <w:bCs/>
                <w:lang w:eastAsia="es-ES" w:bidi="es-ES"/>
              </w:rPr>
              <w:t>,</w:t>
            </w:r>
            <w:r w:rsidRPr="00D34660">
              <w:rPr>
                <w:rFonts w:ascii="Verdana" w:eastAsia="Arial MT" w:hAnsi="Verdana" w:cs="Arial"/>
                <w:bCs/>
                <w:lang w:eastAsia="es-ES" w:bidi="es-ES"/>
              </w:rPr>
              <w:t xml:space="preserve"> 49</w:t>
            </w:r>
            <w:r w:rsidR="00CA78E2">
              <w:rPr>
                <w:rFonts w:ascii="Verdana" w:eastAsia="Arial MT" w:hAnsi="Verdana" w:cs="Arial"/>
                <w:bCs/>
                <w:lang w:eastAsia="es-ES" w:bidi="es-ES"/>
              </w:rPr>
              <w:t xml:space="preserve"> y 238.</w:t>
            </w:r>
          </w:p>
          <w:p w14:paraId="5924C087" w14:textId="77777777" w:rsidR="00B75ED5" w:rsidRPr="0060287D" w:rsidRDefault="00B75ED5">
            <w:pPr>
              <w:widowControl w:val="0"/>
              <w:numPr>
                <w:ilvl w:val="0"/>
                <w:numId w:val="16"/>
              </w:numPr>
              <w:autoSpaceDE w:val="0"/>
              <w:autoSpaceDN w:val="0"/>
              <w:spacing w:line="276" w:lineRule="auto"/>
              <w:ind w:left="714" w:hanging="357"/>
              <w:jc w:val="both"/>
              <w:rPr>
                <w:rFonts w:ascii="Verdana" w:eastAsia="Arial MT" w:hAnsi="Verdana" w:cs="Arial"/>
                <w:bCs/>
                <w:lang w:val="it-CH" w:eastAsia="es-ES" w:bidi="es-ES"/>
              </w:rPr>
            </w:pPr>
            <w:r w:rsidRPr="00D34660">
              <w:rPr>
                <w:rFonts w:ascii="Verdana" w:eastAsia="Arial MT" w:hAnsi="Verdana" w:cs="Arial"/>
                <w:bCs/>
                <w:lang w:eastAsia="es-ES" w:bidi="es-ES"/>
              </w:rPr>
              <w:t xml:space="preserve">Corte Constitucional. Sentencia T-1039 de 2006. </w:t>
            </w:r>
            <w:r w:rsidRPr="0060287D">
              <w:rPr>
                <w:rFonts w:ascii="Verdana" w:eastAsia="Arial MT" w:hAnsi="Verdana" w:cs="Arial"/>
                <w:bCs/>
                <w:lang w:val="it-CH" w:eastAsia="es-ES" w:bidi="es-ES"/>
              </w:rPr>
              <w:t xml:space="preserve">M.P. Humberto Sierra Porto. </w:t>
            </w:r>
          </w:p>
          <w:p w14:paraId="71FAD70D" w14:textId="77777777" w:rsidR="00B75ED5" w:rsidRPr="00CD4D90" w:rsidRDefault="00B75ED5">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D34660">
              <w:rPr>
                <w:rFonts w:ascii="Verdana" w:eastAsia="Arial MT" w:hAnsi="Verdana" w:cs="Arial"/>
                <w:bCs/>
                <w:lang w:eastAsia="es-ES" w:bidi="es-ES"/>
              </w:rPr>
              <w:t xml:space="preserve">Consejo De Estado. Sección Tercera, Subsección A. Sentencia del 13 de noviembre de 2013. Rad. 25.646.C.P. Mauricio Fajardo Gómez. </w:t>
            </w:r>
          </w:p>
        </w:tc>
      </w:tr>
    </w:tbl>
    <w:p w14:paraId="3F888B39" w14:textId="77777777" w:rsidR="00B75ED5" w:rsidRPr="00AB7215" w:rsidRDefault="00B75ED5" w:rsidP="00B75ED5">
      <w:pPr>
        <w:widowControl w:val="0"/>
        <w:autoSpaceDE w:val="0"/>
        <w:autoSpaceDN w:val="0"/>
        <w:spacing w:after="0" w:line="276" w:lineRule="auto"/>
        <w:jc w:val="both"/>
        <w:rPr>
          <w:rFonts w:ascii="Verdana" w:hAnsi="Verdana" w:cs="Arial"/>
          <w:lang w:val="es-ES"/>
        </w:rPr>
      </w:pPr>
    </w:p>
    <w:p w14:paraId="7451E9C3" w14:textId="77777777" w:rsidR="00B75ED5" w:rsidRPr="00AB7215" w:rsidRDefault="00B75ED5" w:rsidP="00B75ED5">
      <w:pPr>
        <w:tabs>
          <w:tab w:val="left" w:pos="142"/>
          <w:tab w:val="left" w:pos="284"/>
        </w:tabs>
        <w:spacing w:after="0" w:line="276" w:lineRule="auto"/>
        <w:jc w:val="both"/>
        <w:rPr>
          <w:rFonts w:ascii="Verdana" w:eastAsia="Century Gothic" w:hAnsi="Verdana" w:cs="Century Gothic"/>
          <w:b/>
          <w:lang w:val="es-ES"/>
        </w:rPr>
      </w:pPr>
      <w:r w:rsidRPr="00AB7215">
        <w:rPr>
          <w:rFonts w:ascii="Verdana" w:eastAsia="Century Gothic" w:hAnsi="Verdana" w:cs="Century Gothic"/>
          <w:b/>
          <w:lang w:val="es-ES"/>
        </w:rPr>
        <w:t>5. Doctrina de la Agencia Nacional de Contratación Pública:</w:t>
      </w:r>
    </w:p>
    <w:p w14:paraId="0581D8CD" w14:textId="77777777" w:rsidR="00B75ED5" w:rsidRPr="00235ED9" w:rsidRDefault="00B75ED5" w:rsidP="00B75ED5">
      <w:pPr>
        <w:widowControl w:val="0"/>
        <w:autoSpaceDE w:val="0"/>
        <w:autoSpaceDN w:val="0"/>
        <w:spacing w:after="0" w:line="276" w:lineRule="auto"/>
        <w:jc w:val="both"/>
        <w:rPr>
          <w:rFonts w:ascii="Verdana" w:hAnsi="Verdana" w:cs="Arial"/>
          <w:color w:val="4472C4" w:themeColor="accent1"/>
          <w:lang w:val="es-ES"/>
        </w:rPr>
      </w:pPr>
    </w:p>
    <w:p w14:paraId="6166E6CB" w14:textId="77777777" w:rsidR="00B75ED5" w:rsidRPr="001F13B8" w:rsidRDefault="00B75ED5" w:rsidP="00B75ED5">
      <w:pPr>
        <w:spacing w:after="0" w:line="276" w:lineRule="auto"/>
        <w:jc w:val="both"/>
        <w:rPr>
          <w:rStyle w:val="normaltextrun"/>
          <w:rFonts w:ascii="Verdana" w:hAnsi="Verdana" w:cs="Arial"/>
          <w:color w:val="000000" w:themeColor="text1"/>
          <w:shd w:val="clear" w:color="auto" w:fill="FFFFFF"/>
          <w:lang w:val="es-ES"/>
        </w:rPr>
      </w:pPr>
      <w:r w:rsidRPr="001F13B8">
        <w:rPr>
          <w:rFonts w:ascii="Verdana" w:eastAsia="Calibri" w:hAnsi="Verdana" w:cs="Arial"/>
          <w:color w:val="000000" w:themeColor="text1"/>
          <w:lang w:val="es-ES"/>
        </w:rPr>
        <w:t xml:space="preserve">La Agencia Nacional de Contratación Pública – Colombia Compra Eficiente se ha referido </w:t>
      </w:r>
      <w:r w:rsidRPr="001F13B8">
        <w:rPr>
          <w:rFonts w:ascii="Verdana" w:hAnsi="Verdana" w:cs="Arial"/>
          <w:color w:val="000000" w:themeColor="text1"/>
          <w:shd w:val="clear" w:color="auto" w:fill="FFFFFF"/>
          <w:lang w:val="es-ES"/>
        </w:rPr>
        <w:t xml:space="preserve">sobre el régimen de inhabilidades en los conceptos </w:t>
      </w:r>
      <w:r w:rsidRPr="001F13B8">
        <w:rPr>
          <w:rStyle w:val="normaltextrun"/>
          <w:rFonts w:ascii="Verdana" w:hAnsi="Verdana" w:cs="Arial"/>
          <w:color w:val="000000" w:themeColor="text1"/>
          <w:shd w:val="clear" w:color="auto" w:fill="FFFFFF"/>
          <w:lang w:val="es-ES"/>
        </w:rPr>
        <w:t>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C-410 del 7 de julio del 2021, C-491 del 14 de septiembre de 2021, C-028 del 28 de febrero de 2022, C-318 del 18 de mayo de 2022, C-252 del 30 de mayo de 2022, C-175 del 4 de mayo de 2023, C-234 del 5 de julio de 2023, C-408 del 21 de agosto de 2024, C-975 del 16 de diciembre de 2024, C-1716 del 23 de diciembre de 2025, C-1790 del 30 de diciembre de 2025, C-1655 del 03 de febrero de 2026.</w:t>
      </w:r>
    </w:p>
    <w:p w14:paraId="43B0EE09" w14:textId="77777777" w:rsidR="00B75ED5" w:rsidRPr="00235ED9" w:rsidRDefault="00B75ED5" w:rsidP="00B75ED5">
      <w:pPr>
        <w:spacing w:after="0" w:line="276" w:lineRule="auto"/>
        <w:jc w:val="both"/>
        <w:rPr>
          <w:rStyle w:val="normaltextrun"/>
          <w:rFonts w:ascii="Verdana" w:hAnsi="Verdana" w:cs="Arial"/>
          <w:color w:val="4472C4" w:themeColor="accent1"/>
          <w:shd w:val="clear" w:color="auto" w:fill="FFFFFF"/>
          <w:lang w:val="es-ES"/>
        </w:rPr>
      </w:pPr>
    </w:p>
    <w:p w14:paraId="75A8A582" w14:textId="77777777" w:rsidR="00B75ED5" w:rsidRPr="00AB7215" w:rsidRDefault="00B75ED5" w:rsidP="00B75ED5">
      <w:pPr>
        <w:spacing w:after="0" w:line="276" w:lineRule="auto"/>
        <w:jc w:val="both"/>
        <w:rPr>
          <w:rFonts w:ascii="Verdana" w:hAnsi="Verdana"/>
          <w:lang w:val="es-ES"/>
        </w:rPr>
      </w:pPr>
      <w:r w:rsidRPr="00AB7215">
        <w:rPr>
          <w:rFonts w:ascii="Verdana" w:hAnsi="Verdana" w:cs="Arial"/>
          <w:shd w:val="clear" w:color="auto" w:fill="FFFFFF"/>
          <w:lang w:val="es-ES"/>
        </w:rPr>
        <w:lastRenderedPageBreak/>
        <w:t>Estos</w:t>
      </w:r>
      <w:r w:rsidRPr="00AB7215">
        <w:rPr>
          <w:rFonts w:ascii="Verdana" w:hAnsi="Verdana"/>
          <w:lang w:val="es-ES"/>
        </w:rPr>
        <w:t xml:space="preserve"> y otros se encuentran disponibles para consulta en el Sistema de relatoría de la Agencia, al cual se puede acceder a través del siguiente enlace:</w:t>
      </w:r>
      <w:r w:rsidRPr="00AB7215">
        <w:rPr>
          <w:rFonts w:ascii="Verdana" w:hAnsi="Verdana" w:cs="Arial"/>
          <w:shd w:val="clear" w:color="auto" w:fill="FFFFFF"/>
          <w:lang w:val="es-ES"/>
        </w:rPr>
        <w:t xml:space="preserve"> </w:t>
      </w:r>
      <w:hyperlink r:id="rId12" w:history="1">
        <w:r w:rsidRPr="00AB7215">
          <w:rPr>
            <w:rStyle w:val="Hipervnculo"/>
            <w:rFonts w:ascii="Verdana" w:hAnsi="Verdana" w:cs="Arial"/>
            <w:shd w:val="clear" w:color="auto" w:fill="FFFFFF"/>
            <w:lang w:val="es-ES"/>
          </w:rPr>
          <w:t>https://relatoria.colombiacompra.gov.co/busqueda/conceptos</w:t>
        </w:r>
      </w:hyperlink>
    </w:p>
    <w:p w14:paraId="61E26F0D" w14:textId="77777777" w:rsidR="00B75ED5" w:rsidRPr="00235ED9" w:rsidRDefault="00B75ED5" w:rsidP="00B75ED5">
      <w:pPr>
        <w:spacing w:after="0"/>
        <w:jc w:val="both"/>
        <w:rPr>
          <w:rFonts w:ascii="Verdana" w:hAnsi="Verdana" w:cs="Arial"/>
          <w:color w:val="4472C4" w:themeColor="accent1"/>
          <w:shd w:val="clear" w:color="auto" w:fill="FFFFFF"/>
          <w:lang w:val="es-ES"/>
        </w:rPr>
      </w:pPr>
    </w:p>
    <w:p w14:paraId="46CB2542" w14:textId="77777777" w:rsidR="00B75ED5" w:rsidRPr="00AB7215" w:rsidRDefault="00B75ED5" w:rsidP="00B75ED5">
      <w:pPr>
        <w:spacing w:after="0"/>
        <w:jc w:val="both"/>
        <w:rPr>
          <w:rFonts w:ascii="Verdana" w:hAnsi="Verdana" w:cs="Arial"/>
          <w:shd w:val="clear" w:color="auto" w:fill="FFFFFF"/>
        </w:rPr>
      </w:pPr>
      <w:r w:rsidRPr="00AB7215">
        <w:rPr>
          <w:rFonts w:ascii="Verdana" w:hAnsi="Verdana" w:cs="Arial"/>
          <w:shd w:val="clear" w:color="auto" w:fill="FFFFFF"/>
        </w:rPr>
        <w:t>También le contamos que ya se encuentra disponible la </w:t>
      </w:r>
      <w:r w:rsidRPr="00AB7215">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AB7215">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AB7215">
          <w:rPr>
            <w:rStyle w:val="Hipervnculo"/>
            <w:rFonts w:ascii="Verdana" w:hAnsi="Verdana"/>
          </w:rPr>
          <w:t>Guía de lineamientos de transparencia y selección objetiva para el departamento de La Guajira – Objetivo sexto constitucional de la Sentencia T-302 del 2017</w:t>
        </w:r>
      </w:hyperlink>
    </w:p>
    <w:p w14:paraId="7A611F27" w14:textId="77777777" w:rsidR="00B75ED5" w:rsidRPr="00235ED9" w:rsidRDefault="00B75ED5" w:rsidP="00B75ED5">
      <w:pPr>
        <w:spacing w:after="0"/>
        <w:jc w:val="both"/>
        <w:rPr>
          <w:rFonts w:ascii="Verdana" w:hAnsi="Verdana" w:cs="Arial"/>
          <w:color w:val="4472C4" w:themeColor="accent1"/>
          <w:shd w:val="clear" w:color="auto" w:fill="FFFFFF"/>
        </w:rPr>
      </w:pPr>
    </w:p>
    <w:p w14:paraId="7AF514A0" w14:textId="77777777" w:rsidR="00B75ED5" w:rsidRPr="00AB7215" w:rsidRDefault="00B75ED5" w:rsidP="00B75ED5">
      <w:pPr>
        <w:spacing w:after="0"/>
        <w:jc w:val="both"/>
        <w:rPr>
          <w:rFonts w:ascii="Verdana" w:hAnsi="Verdana" w:cs="Arial"/>
          <w:shd w:val="clear" w:color="auto" w:fill="FFFFFF"/>
        </w:rPr>
      </w:pPr>
      <w:r w:rsidRPr="00AB7215">
        <w:rPr>
          <w:rFonts w:ascii="Verdana" w:hAnsi="Verdana" w:cs="Arial"/>
          <w:shd w:val="clear" w:color="auto" w:fill="FFFFFF"/>
        </w:rPr>
        <w:t xml:space="preserve">Por último, lo invitamos a seguirnos en las redes sociales en las cuales se difunde información institucional: </w:t>
      </w:r>
    </w:p>
    <w:p w14:paraId="272528E6" w14:textId="77777777" w:rsidR="00B75ED5" w:rsidRPr="00235ED9" w:rsidRDefault="00B75ED5" w:rsidP="00B75ED5">
      <w:pPr>
        <w:spacing w:after="0"/>
        <w:jc w:val="both"/>
        <w:rPr>
          <w:rFonts w:ascii="Verdana" w:hAnsi="Verdana" w:cs="Arial"/>
          <w:color w:val="4472C4" w:themeColor="accent1"/>
          <w:shd w:val="clear" w:color="auto" w:fill="FFFFFF"/>
        </w:rPr>
      </w:pPr>
    </w:p>
    <w:p w14:paraId="579ED340" w14:textId="77777777" w:rsidR="00B75ED5" w:rsidRPr="00905557" w:rsidRDefault="00B75ED5" w:rsidP="00B75ED5">
      <w:pPr>
        <w:spacing w:after="0"/>
        <w:jc w:val="both"/>
        <w:rPr>
          <w:rFonts w:ascii="Verdana" w:hAnsi="Verdana" w:cs="Arial"/>
          <w:shd w:val="clear" w:color="auto" w:fill="FFFFFF"/>
        </w:rPr>
      </w:pPr>
      <w:r w:rsidRPr="00905557">
        <w:rPr>
          <w:rFonts w:ascii="Verdana" w:hAnsi="Verdana" w:cs="Arial"/>
          <w:shd w:val="clear" w:color="auto" w:fill="FFFFFF"/>
        </w:rPr>
        <w:t xml:space="preserve">Twitter: </w:t>
      </w:r>
      <w:r w:rsidRPr="00905557">
        <w:rPr>
          <w:rStyle w:val="Hipervnculo"/>
          <w:rFonts w:ascii="Verdana" w:hAnsi="Verdana"/>
          <w:lang w:val="es-ES"/>
        </w:rPr>
        <w:t xml:space="preserve">@colombiacompra </w:t>
      </w:r>
    </w:p>
    <w:p w14:paraId="031B13F9" w14:textId="77777777" w:rsidR="00B75ED5" w:rsidRPr="00905557" w:rsidRDefault="00B75ED5" w:rsidP="00B75ED5">
      <w:pPr>
        <w:spacing w:after="0"/>
        <w:jc w:val="both"/>
        <w:rPr>
          <w:rFonts w:ascii="Verdana" w:hAnsi="Verdana" w:cs="Arial"/>
          <w:shd w:val="clear" w:color="auto" w:fill="FFFFFF"/>
        </w:rPr>
      </w:pPr>
      <w:r w:rsidRPr="00905557">
        <w:rPr>
          <w:rFonts w:ascii="Verdana" w:hAnsi="Verdana" w:cs="Arial"/>
          <w:shd w:val="clear" w:color="auto" w:fill="FFFFFF"/>
        </w:rPr>
        <w:t>Facebook:</w:t>
      </w:r>
      <w:r w:rsidRPr="00905557">
        <w:rPr>
          <w:rStyle w:val="Hipervnculo"/>
          <w:rFonts w:ascii="Verdana" w:hAnsi="Verdana"/>
          <w:lang w:val="es-ES"/>
        </w:rPr>
        <w:t xml:space="preserve"> ColombiaCompraEficiente</w:t>
      </w:r>
    </w:p>
    <w:p w14:paraId="40D9E324" w14:textId="77777777" w:rsidR="00B75ED5" w:rsidRPr="00905557" w:rsidRDefault="00B75ED5" w:rsidP="00B75ED5">
      <w:pPr>
        <w:spacing w:after="0"/>
        <w:jc w:val="both"/>
        <w:rPr>
          <w:rFonts w:ascii="Verdana" w:hAnsi="Verdana" w:cs="Arial"/>
          <w:shd w:val="clear" w:color="auto" w:fill="FFFFFF"/>
        </w:rPr>
      </w:pPr>
      <w:r w:rsidRPr="00905557">
        <w:rPr>
          <w:rFonts w:ascii="Verdana" w:hAnsi="Verdana" w:cs="Arial"/>
          <w:shd w:val="clear" w:color="auto" w:fill="FFFFFF"/>
        </w:rPr>
        <w:t xml:space="preserve">LinkedIn: </w:t>
      </w:r>
      <w:r w:rsidRPr="00905557">
        <w:rPr>
          <w:rStyle w:val="Hipervnculo"/>
          <w:rFonts w:ascii="Verdana" w:hAnsi="Verdana"/>
          <w:lang w:val="es-ES"/>
        </w:rPr>
        <w:t>Agencia Nacional de Contratación Pública - Colombia Compra Eficiente</w:t>
      </w:r>
      <w:r w:rsidRPr="00905557">
        <w:rPr>
          <w:rFonts w:ascii="Verdana" w:hAnsi="Verdana" w:cs="Arial"/>
          <w:color w:val="0000FF"/>
          <w:shd w:val="clear" w:color="auto" w:fill="FFFFFF"/>
        </w:rPr>
        <w:t xml:space="preserve"> </w:t>
      </w:r>
    </w:p>
    <w:p w14:paraId="01EBB1F4" w14:textId="77777777" w:rsidR="00B75ED5" w:rsidRPr="00905557" w:rsidRDefault="00B75ED5" w:rsidP="00B75ED5">
      <w:pPr>
        <w:spacing w:after="0"/>
        <w:jc w:val="both"/>
        <w:rPr>
          <w:rFonts w:ascii="Verdana" w:hAnsi="Verdana" w:cs="Arial"/>
          <w:shd w:val="clear" w:color="auto" w:fill="FFFFFF"/>
        </w:rPr>
      </w:pPr>
      <w:r w:rsidRPr="00905557">
        <w:rPr>
          <w:rFonts w:ascii="Verdana" w:hAnsi="Verdana" w:cs="Arial"/>
          <w:shd w:val="clear" w:color="auto" w:fill="FFFFFF"/>
        </w:rPr>
        <w:t xml:space="preserve">Instagram: </w:t>
      </w:r>
      <w:r w:rsidRPr="00905557">
        <w:rPr>
          <w:rStyle w:val="Hipervnculo"/>
          <w:rFonts w:ascii="Verdana" w:hAnsi="Verdana"/>
          <w:lang w:val="es-ES"/>
        </w:rPr>
        <w:t>@colombiacompraeficiente_cce</w:t>
      </w:r>
    </w:p>
    <w:p w14:paraId="4A1687E6" w14:textId="77777777" w:rsidR="00B75ED5" w:rsidRPr="00905557" w:rsidRDefault="00B75ED5" w:rsidP="00B75ED5">
      <w:pPr>
        <w:widowControl w:val="0"/>
        <w:autoSpaceDE w:val="0"/>
        <w:autoSpaceDN w:val="0"/>
        <w:spacing w:after="0" w:line="276" w:lineRule="auto"/>
        <w:jc w:val="both"/>
        <w:rPr>
          <w:rFonts w:ascii="Verdana" w:hAnsi="Verdana" w:cs="Arial"/>
          <w:lang w:val="es-ES"/>
        </w:rPr>
      </w:pPr>
    </w:p>
    <w:p w14:paraId="5D686D7A" w14:textId="77777777" w:rsidR="00B75ED5" w:rsidRPr="00905557" w:rsidRDefault="00B75ED5" w:rsidP="00B75ED5">
      <w:pPr>
        <w:widowControl w:val="0"/>
        <w:autoSpaceDE w:val="0"/>
        <w:autoSpaceDN w:val="0"/>
        <w:spacing w:after="0" w:line="276" w:lineRule="auto"/>
        <w:jc w:val="both"/>
        <w:rPr>
          <w:rFonts w:ascii="Verdana" w:hAnsi="Verdana" w:cs="Arial"/>
          <w:lang w:val="es-ES"/>
        </w:rPr>
      </w:pPr>
      <w:r w:rsidRPr="00905557">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A3CD9E2" w14:textId="77777777" w:rsidR="00B75ED5" w:rsidRPr="00905557" w:rsidRDefault="00B75ED5" w:rsidP="00B75ED5">
      <w:pPr>
        <w:widowControl w:val="0"/>
        <w:autoSpaceDE w:val="0"/>
        <w:autoSpaceDN w:val="0"/>
        <w:spacing w:after="0" w:line="276" w:lineRule="auto"/>
        <w:jc w:val="both"/>
        <w:rPr>
          <w:rFonts w:ascii="Verdana" w:hAnsi="Verdana" w:cs="Arial"/>
          <w:lang w:val="es-ES"/>
        </w:rPr>
      </w:pPr>
    </w:p>
    <w:p w14:paraId="5A6F8775" w14:textId="152B832F" w:rsidR="00B75ED5" w:rsidRDefault="00B75ED5" w:rsidP="001543B2">
      <w:pPr>
        <w:spacing w:after="0" w:line="276" w:lineRule="auto"/>
        <w:rPr>
          <w:rFonts w:ascii="Verdana" w:hAnsi="Verdana" w:cs="Arial"/>
          <w:lang w:val="es-ES" w:eastAsia="es-CO"/>
        </w:rPr>
      </w:pPr>
      <w:r w:rsidRPr="00905557">
        <w:rPr>
          <w:rFonts w:ascii="Verdana" w:eastAsia="Times New Roman" w:hAnsi="Verdana" w:cs="Arial"/>
          <w:lang w:val="es-ES" w:eastAsia="es-CO"/>
        </w:rPr>
        <w:t>Atentamente,</w:t>
      </w:r>
    </w:p>
    <w:p w14:paraId="5B2C365A" w14:textId="77777777" w:rsidR="001543B2" w:rsidRPr="001543B2" w:rsidRDefault="001543B2" w:rsidP="001543B2">
      <w:pPr>
        <w:spacing w:after="0" w:line="276" w:lineRule="auto"/>
        <w:rPr>
          <w:rFonts w:ascii="Verdana" w:hAnsi="Verdana" w:cs="Arial"/>
          <w:lang w:val="es-ES" w:eastAsia="es-CO"/>
        </w:rPr>
      </w:pPr>
    </w:p>
    <w:p w14:paraId="03AC7DAE" w14:textId="6728B359" w:rsidR="00B75ED5" w:rsidRPr="00235ED9" w:rsidRDefault="001543B2" w:rsidP="00B75ED5">
      <w:pPr>
        <w:spacing w:after="0" w:line="276" w:lineRule="auto"/>
        <w:jc w:val="center"/>
        <w:rPr>
          <w:rFonts w:ascii="Verdana" w:hAnsi="Verdana"/>
          <w:noProof/>
          <w:color w:val="4472C4" w:themeColor="accent1"/>
        </w:rPr>
      </w:pPr>
      <w:r w:rsidRPr="001543B2">
        <w:rPr>
          <w:rFonts w:ascii="Verdana" w:hAnsi="Verdana"/>
          <w:noProof/>
          <w:color w:val="4472C4" w:themeColor="accent1"/>
        </w:rPr>
        <w:drawing>
          <wp:inline distT="0" distB="0" distL="0" distR="0" wp14:anchorId="1F75458F" wp14:editId="1D729A84">
            <wp:extent cx="3104707" cy="1113412"/>
            <wp:effectExtent l="0" t="0" r="635" b="0"/>
            <wp:docPr id="176157084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570847" name="Imagen 1" descr="Texto&#10;&#10;El contenido generado por IA puede ser incorrecto."/>
                    <pic:cNvPicPr/>
                  </pic:nvPicPr>
                  <pic:blipFill>
                    <a:blip r:embed="rId14"/>
                    <a:stretch>
                      <a:fillRect/>
                    </a:stretch>
                  </pic:blipFill>
                  <pic:spPr>
                    <a:xfrm>
                      <a:off x="0" y="0"/>
                      <a:ext cx="3112204" cy="1116101"/>
                    </a:xfrm>
                    <a:prstGeom prst="rect">
                      <a:avLst/>
                    </a:prstGeom>
                  </pic:spPr>
                </pic:pic>
              </a:graphicData>
            </a:graphic>
          </wp:inline>
        </w:drawing>
      </w:r>
    </w:p>
    <w:p w14:paraId="3C0F61FC" w14:textId="77777777" w:rsidR="00B75ED5" w:rsidRPr="00235ED9" w:rsidRDefault="00B75ED5" w:rsidP="00B75ED5">
      <w:pPr>
        <w:spacing w:after="0" w:line="276" w:lineRule="auto"/>
        <w:jc w:val="center"/>
        <w:rPr>
          <w:rFonts w:ascii="Verdana" w:hAnsi="Verdana" w:cs="Arial"/>
          <w:color w:val="4472C4" w:themeColor="accen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75ED5" w:rsidRPr="00AB7215" w14:paraId="247178B2" w14:textId="77777777">
        <w:trPr>
          <w:trHeight w:val="315"/>
        </w:trPr>
        <w:tc>
          <w:tcPr>
            <w:tcW w:w="893" w:type="dxa"/>
            <w:vAlign w:val="center"/>
            <w:hideMark/>
          </w:tcPr>
          <w:p w14:paraId="352EC914" w14:textId="77777777" w:rsidR="00B75ED5" w:rsidRPr="00AB7215" w:rsidRDefault="00B75ED5">
            <w:pPr>
              <w:contextualSpacing/>
              <w:rPr>
                <w:rFonts w:ascii="Verdana" w:hAnsi="Verdana" w:cs="Arial"/>
                <w:sz w:val="16"/>
                <w:szCs w:val="16"/>
                <w:lang w:val="es-ES" w:eastAsia="es-ES"/>
              </w:rPr>
            </w:pPr>
            <w:r w:rsidRPr="00AB7215">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5EE4D782" w14:textId="77777777" w:rsidR="00B75ED5" w:rsidRPr="00AB7215" w:rsidRDefault="00B75ED5">
            <w:pPr>
              <w:rPr>
                <w:rFonts w:ascii="Verdana" w:eastAsia="Times New Roman" w:hAnsi="Verdana" w:cs="Arial"/>
                <w:sz w:val="16"/>
                <w:szCs w:val="16"/>
                <w:lang w:eastAsia="es-ES"/>
              </w:rPr>
            </w:pPr>
            <w:r w:rsidRPr="00AB7215">
              <w:rPr>
                <w:rFonts w:ascii="Verdana" w:eastAsia="Times New Roman" w:hAnsi="Verdana" w:cs="Arial"/>
                <w:sz w:val="16"/>
                <w:szCs w:val="16"/>
                <w:lang w:eastAsia="es-ES"/>
              </w:rPr>
              <w:t>Camila Alejandra Naranjo Gómez</w:t>
            </w:r>
          </w:p>
          <w:p w14:paraId="0C2C8EDD" w14:textId="77777777" w:rsidR="00B75ED5" w:rsidRPr="00AB7215" w:rsidRDefault="00B75ED5">
            <w:pPr>
              <w:contextualSpacing/>
              <w:rPr>
                <w:rFonts w:ascii="Verdana" w:eastAsia="Arial" w:hAnsi="Verdana" w:cs="Arial"/>
                <w:sz w:val="16"/>
                <w:szCs w:val="16"/>
                <w:lang w:val="es-ES"/>
              </w:rPr>
            </w:pPr>
            <w:r w:rsidRPr="00AB7215">
              <w:rPr>
                <w:rFonts w:ascii="Verdana" w:eastAsia="Times New Roman" w:hAnsi="Verdana" w:cs="Arial"/>
                <w:sz w:val="16"/>
                <w:szCs w:val="16"/>
                <w:lang w:eastAsia="es-ES"/>
              </w:rPr>
              <w:t>Analista T2-02 de la Subdirección de Gestión Contractual</w:t>
            </w:r>
          </w:p>
        </w:tc>
      </w:tr>
      <w:tr w:rsidR="00B75ED5" w:rsidRPr="00AB7215" w14:paraId="7D879B49" w14:textId="77777777">
        <w:trPr>
          <w:trHeight w:val="330"/>
        </w:trPr>
        <w:tc>
          <w:tcPr>
            <w:tcW w:w="893" w:type="dxa"/>
            <w:vAlign w:val="center"/>
            <w:hideMark/>
          </w:tcPr>
          <w:p w14:paraId="30301849" w14:textId="77777777" w:rsidR="00B75ED5" w:rsidRPr="00AB7215" w:rsidRDefault="00B75ED5">
            <w:pPr>
              <w:contextualSpacing/>
              <w:rPr>
                <w:rFonts w:ascii="Verdana" w:hAnsi="Verdana" w:cs="Arial"/>
                <w:sz w:val="16"/>
                <w:szCs w:val="16"/>
                <w:lang w:val="es-ES" w:eastAsia="es-ES"/>
              </w:rPr>
            </w:pPr>
            <w:r w:rsidRPr="00AB7215">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0207745" w14:textId="77777777" w:rsidR="00B75ED5" w:rsidRPr="00AB7215" w:rsidRDefault="00B75ED5">
            <w:pPr>
              <w:rPr>
                <w:rFonts w:ascii="Verdana" w:eastAsia="Times New Roman" w:hAnsi="Verdana" w:cs="Arial"/>
                <w:sz w:val="16"/>
                <w:szCs w:val="16"/>
                <w:lang w:eastAsia="es-ES"/>
              </w:rPr>
            </w:pPr>
            <w:r w:rsidRPr="00AB7215">
              <w:rPr>
                <w:rFonts w:ascii="Verdana" w:eastAsia="Times New Roman" w:hAnsi="Verdana" w:cs="Arial"/>
                <w:sz w:val="16"/>
                <w:szCs w:val="16"/>
                <w:lang w:eastAsia="es-ES"/>
              </w:rPr>
              <w:t>Alejandro Sarmiento Cantillo</w:t>
            </w:r>
          </w:p>
          <w:p w14:paraId="388C683C" w14:textId="77777777" w:rsidR="00B75ED5" w:rsidRPr="00AB7215" w:rsidRDefault="00B75ED5">
            <w:pPr>
              <w:pStyle w:val="paragraph"/>
              <w:spacing w:before="0" w:beforeAutospacing="0" w:after="0" w:afterAutospacing="0"/>
              <w:contextualSpacing/>
              <w:textAlignment w:val="baseline"/>
              <w:rPr>
                <w:rFonts w:ascii="Verdana" w:hAnsi="Verdana" w:cs="Segoe UI"/>
                <w:sz w:val="16"/>
                <w:szCs w:val="16"/>
                <w:lang w:val="es-ES"/>
              </w:rPr>
            </w:pPr>
            <w:r w:rsidRPr="00AB7215">
              <w:rPr>
                <w:rFonts w:ascii="Verdana" w:hAnsi="Verdana" w:cs="Arial"/>
                <w:sz w:val="16"/>
                <w:szCs w:val="16"/>
                <w:lang w:eastAsia="es-ES"/>
              </w:rPr>
              <w:t>Gestor T1 ‒ 15 de la Subdirección de Gestión Contractual</w:t>
            </w:r>
          </w:p>
        </w:tc>
      </w:tr>
      <w:tr w:rsidR="00B75ED5" w:rsidRPr="00AB7215" w14:paraId="3AB76C5F" w14:textId="77777777">
        <w:trPr>
          <w:trHeight w:val="300"/>
        </w:trPr>
        <w:tc>
          <w:tcPr>
            <w:tcW w:w="893" w:type="dxa"/>
            <w:vAlign w:val="center"/>
          </w:tcPr>
          <w:p w14:paraId="565D4963" w14:textId="77777777" w:rsidR="00B75ED5" w:rsidRPr="00AB7215" w:rsidRDefault="00B75ED5">
            <w:pPr>
              <w:contextualSpacing/>
              <w:rPr>
                <w:rFonts w:ascii="Verdana" w:hAnsi="Verdana" w:cs="Arial"/>
                <w:sz w:val="16"/>
                <w:szCs w:val="16"/>
                <w:lang w:val="es-ES" w:eastAsia="es-ES"/>
              </w:rPr>
            </w:pPr>
            <w:r w:rsidRPr="00AB7215">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3D53D32" w14:textId="77777777" w:rsidR="00B75ED5" w:rsidRPr="00AB7215" w:rsidRDefault="00B75ED5">
            <w:pPr>
              <w:contextualSpacing/>
              <w:rPr>
                <w:rFonts w:ascii="Verdana" w:eastAsia="Calibri" w:hAnsi="Verdana" w:cs="Arial"/>
                <w:sz w:val="16"/>
                <w:szCs w:val="16"/>
                <w:lang w:val="es-ES" w:eastAsia="es-ES"/>
              </w:rPr>
            </w:pPr>
            <w:r w:rsidRPr="00AB7215">
              <w:rPr>
                <w:rFonts w:ascii="Verdana" w:eastAsia="Calibri" w:hAnsi="Verdana" w:cs="Arial"/>
                <w:sz w:val="16"/>
                <w:szCs w:val="16"/>
                <w:lang w:val="es-ES" w:eastAsia="es-ES"/>
              </w:rPr>
              <w:t>Carolina Quintero Gacharná</w:t>
            </w:r>
          </w:p>
          <w:p w14:paraId="36998606" w14:textId="77777777" w:rsidR="00B75ED5" w:rsidRPr="00AB7215" w:rsidRDefault="00B75ED5">
            <w:pPr>
              <w:contextualSpacing/>
              <w:rPr>
                <w:rFonts w:ascii="Verdana" w:eastAsia="Calibri" w:hAnsi="Verdana" w:cs="Arial"/>
                <w:sz w:val="16"/>
                <w:szCs w:val="16"/>
                <w:lang w:val="es-ES" w:eastAsia="es-ES"/>
              </w:rPr>
            </w:pPr>
            <w:r w:rsidRPr="00AB7215">
              <w:rPr>
                <w:rFonts w:ascii="Verdana" w:eastAsia="Calibri" w:hAnsi="Verdana" w:cs="Arial"/>
                <w:sz w:val="16"/>
                <w:szCs w:val="16"/>
                <w:lang w:val="es-ES" w:eastAsia="es-ES"/>
              </w:rPr>
              <w:t>Subdirectora de Gestión Contractual ANCP – CCE</w:t>
            </w:r>
          </w:p>
        </w:tc>
      </w:tr>
    </w:tbl>
    <w:p w14:paraId="29C54A56" w14:textId="77777777" w:rsidR="00B75ED5" w:rsidRPr="00235ED9" w:rsidRDefault="00B75ED5" w:rsidP="00B75ED5">
      <w:pPr>
        <w:spacing w:after="120" w:line="276" w:lineRule="auto"/>
        <w:jc w:val="both"/>
        <w:rPr>
          <w:rFonts w:ascii="Verdana" w:eastAsia="Century Gothic" w:hAnsi="Verdana" w:cs="Century Gothic"/>
          <w:b/>
          <w:color w:val="4472C4" w:themeColor="accent1"/>
        </w:rPr>
      </w:pPr>
    </w:p>
    <w:bookmarkEnd w:id="0"/>
    <w:p w14:paraId="10C18635" w14:textId="77777777" w:rsidR="00B75ED5" w:rsidRPr="00235ED9" w:rsidRDefault="00B75ED5" w:rsidP="00B75ED5">
      <w:pPr>
        <w:spacing w:after="120" w:line="276" w:lineRule="auto"/>
        <w:jc w:val="both"/>
        <w:rPr>
          <w:rFonts w:ascii="Verdana" w:eastAsia="Century Gothic" w:hAnsi="Verdana" w:cs="Century Gothic"/>
          <w:b/>
          <w:color w:val="4472C4" w:themeColor="accent1"/>
          <w:lang w:val="es-ES"/>
        </w:rPr>
      </w:pPr>
    </w:p>
    <w:p w14:paraId="0F293BF4" w14:textId="247EA58B" w:rsidR="00127233" w:rsidRPr="00B75ED5" w:rsidRDefault="00127233" w:rsidP="00B75ED5">
      <w:pPr>
        <w:rPr>
          <w:lang w:val="es-ES"/>
        </w:rPr>
      </w:pPr>
    </w:p>
    <w:sectPr w:rsidR="00127233" w:rsidRPr="00B75ED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82B0C1" w14:textId="77777777" w:rsidR="00DD5E98" w:rsidRDefault="00DD5E98" w:rsidP="004A1847">
      <w:pPr>
        <w:spacing w:after="0" w:line="240" w:lineRule="auto"/>
      </w:pPr>
      <w:r>
        <w:separator/>
      </w:r>
    </w:p>
  </w:endnote>
  <w:endnote w:type="continuationSeparator" w:id="0">
    <w:p w14:paraId="68DD922F" w14:textId="77777777" w:rsidR="00DD5E98" w:rsidRDefault="00DD5E9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34A6C8" w14:textId="77777777" w:rsidR="00DD5E98" w:rsidRDefault="00DD5E98" w:rsidP="004A1847">
      <w:pPr>
        <w:spacing w:after="0" w:line="240" w:lineRule="auto"/>
      </w:pPr>
      <w:r>
        <w:separator/>
      </w:r>
    </w:p>
  </w:footnote>
  <w:footnote w:type="continuationSeparator" w:id="0">
    <w:p w14:paraId="2BCA7BD3" w14:textId="77777777" w:rsidR="00DD5E98" w:rsidRDefault="00DD5E98" w:rsidP="004A1847">
      <w:pPr>
        <w:spacing w:after="0" w:line="240" w:lineRule="auto"/>
      </w:pPr>
      <w:r>
        <w:continuationSeparator/>
      </w:r>
    </w:p>
  </w:footnote>
  <w:footnote w:id="1">
    <w:p w14:paraId="4194BBC4" w14:textId="77777777" w:rsidR="00B75ED5" w:rsidRPr="00D4796C" w:rsidRDefault="00B75ED5" w:rsidP="00B75ED5">
      <w:pPr>
        <w:pStyle w:val="Textonotapie"/>
        <w:ind w:firstLine="708"/>
        <w:jc w:val="both"/>
        <w:rPr>
          <w:rFonts w:ascii="Verdana" w:hAnsi="Verdana" w:cs="Arial"/>
          <w:color w:val="000000" w:themeColor="text1"/>
          <w:sz w:val="16"/>
          <w:szCs w:val="16"/>
        </w:rPr>
      </w:pPr>
      <w:r w:rsidRPr="00D4796C">
        <w:rPr>
          <w:rStyle w:val="Refdenotaalpie"/>
          <w:rFonts w:ascii="Verdana" w:hAnsi="Verdana" w:cs="Arial"/>
          <w:color w:val="000000" w:themeColor="text1"/>
          <w:sz w:val="16"/>
          <w:szCs w:val="16"/>
        </w:rPr>
        <w:footnoteRef/>
      </w:r>
      <w:r w:rsidRPr="00D4796C">
        <w:rPr>
          <w:rFonts w:ascii="Verdana" w:hAnsi="Verdana" w:cs="Arial"/>
          <w:color w:val="000000" w:themeColor="text1"/>
          <w:sz w:val="16"/>
          <w:szCs w:val="16"/>
        </w:rPr>
        <w:t xml:space="preserve"> Consejo De Estado. Sección Tercera, Subsección A. Sentencia del 13 de noviembre de 2013. Rad. 25.646.C.P. Mauricio Fajardo Gómez. </w:t>
      </w:r>
    </w:p>
  </w:footnote>
  <w:footnote w:id="2">
    <w:p w14:paraId="01F43336" w14:textId="77777777" w:rsidR="00B75ED5" w:rsidRDefault="00B75ED5" w:rsidP="00B75ED5">
      <w:pPr>
        <w:pStyle w:val="Textonotapie"/>
        <w:ind w:firstLine="708"/>
        <w:jc w:val="both"/>
        <w:rPr>
          <w:rFonts w:ascii="Verdana" w:hAnsi="Verdana"/>
          <w:sz w:val="16"/>
          <w:szCs w:val="16"/>
        </w:rPr>
      </w:pPr>
      <w:r w:rsidRPr="001664CE">
        <w:rPr>
          <w:rStyle w:val="Refdenotaalpie"/>
          <w:rFonts w:ascii="Verdana" w:hAnsi="Verdana"/>
          <w:sz w:val="16"/>
          <w:szCs w:val="16"/>
        </w:rPr>
        <w:footnoteRef/>
      </w:r>
      <w:r w:rsidRPr="001664CE">
        <w:rPr>
          <w:rFonts w:ascii="Verdana" w:hAnsi="Verdana"/>
          <w:sz w:val="16"/>
          <w:szCs w:val="16"/>
        </w:rPr>
        <w:t xml:space="preserve"> </w:t>
      </w:r>
      <w:r>
        <w:rPr>
          <w:rFonts w:ascii="Verdana" w:hAnsi="Verdana"/>
          <w:sz w:val="16"/>
          <w:szCs w:val="16"/>
        </w:rPr>
        <w:t>Por ejemplo</w:t>
      </w:r>
      <w:r w:rsidRPr="001664CE">
        <w:rPr>
          <w:rFonts w:ascii="Verdana" w:hAnsi="Verdana"/>
          <w:sz w:val="16"/>
          <w:szCs w:val="16"/>
        </w:rPr>
        <w:t>,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Pr>
          <w:rFonts w:ascii="Verdana" w:hAnsi="Verdana"/>
          <w:sz w:val="16"/>
          <w:szCs w:val="16"/>
        </w:rPr>
        <w:t xml:space="preserve"> (Cfr. </w:t>
      </w:r>
      <w:r w:rsidRPr="001664CE">
        <w:rPr>
          <w:rFonts w:ascii="Verdana" w:hAnsi="Verdana"/>
          <w:sz w:val="16"/>
          <w:szCs w:val="16"/>
        </w:rPr>
        <w:t>Corte Constitucional. Sentencia T-1039 de 2006. M.P. Humberto Sierra Porto. La Corte Constitucional ha mantenido este criterio en las sentencias: C-903 de 2008. M.P. Jaime Araujo Rentería; C-101 de 2018. M.P. Gloria Stella Ortiz Delgado; entre otras</w:t>
      </w:r>
      <w:r>
        <w:rPr>
          <w:rFonts w:ascii="Verdana" w:hAnsi="Verdana"/>
          <w:sz w:val="16"/>
          <w:szCs w:val="16"/>
        </w:rPr>
        <w:t>)</w:t>
      </w:r>
      <w:r w:rsidRPr="001664CE">
        <w:rPr>
          <w:rFonts w:ascii="Verdana" w:hAnsi="Verdana"/>
          <w:sz w:val="16"/>
          <w:szCs w:val="16"/>
        </w:rPr>
        <w:t>.</w:t>
      </w:r>
      <w:r>
        <w:rPr>
          <w:rFonts w:ascii="Verdana" w:hAnsi="Verdana"/>
          <w:sz w:val="16"/>
          <w:szCs w:val="16"/>
        </w:rPr>
        <w:t xml:space="preserve"> </w:t>
      </w:r>
    </w:p>
    <w:p w14:paraId="105D4C67" w14:textId="77777777" w:rsidR="00B75ED5" w:rsidRPr="001664CE" w:rsidRDefault="00B75ED5" w:rsidP="00B75ED5">
      <w:pPr>
        <w:pStyle w:val="Textonotapie"/>
        <w:ind w:firstLine="708"/>
        <w:jc w:val="both"/>
        <w:rPr>
          <w:rFonts w:ascii="Verdana" w:hAnsi="Verdana"/>
          <w:sz w:val="16"/>
          <w:szCs w:val="16"/>
          <w:lang w:val="es-CO"/>
        </w:rPr>
      </w:pPr>
      <w:r w:rsidRPr="001664CE">
        <w:rPr>
          <w:rFonts w:ascii="Verdana" w:hAnsi="Verdana"/>
          <w:sz w:val="16"/>
          <w:szCs w:val="16"/>
        </w:rPr>
        <w:t xml:space="preserve">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w:t>
      </w:r>
      <w:r>
        <w:rPr>
          <w:rFonts w:ascii="Verdana" w:hAnsi="Verdana"/>
          <w:sz w:val="16"/>
          <w:szCs w:val="16"/>
        </w:rPr>
        <w:t>‘</w:t>
      </w:r>
      <w:r w:rsidRPr="001664CE">
        <w:rPr>
          <w:rFonts w:ascii="Verdana" w:hAnsi="Verdana"/>
          <w:sz w:val="16"/>
          <w:szCs w:val="16"/>
        </w:rPr>
        <w:t>Los particulares sólo son responsables ante las autoridades por infringir la Constitución y las leyes</w:t>
      </w:r>
      <w:r>
        <w:rPr>
          <w:rFonts w:ascii="Verdana" w:hAnsi="Verdana"/>
          <w:sz w:val="16"/>
          <w:szCs w:val="16"/>
        </w:rPr>
        <w:t>’</w:t>
      </w:r>
      <w:r w:rsidRPr="001664CE">
        <w:rPr>
          <w:rFonts w:ascii="Verdana" w:hAnsi="Verdana"/>
          <w:sz w:val="16"/>
          <w:szCs w:val="16"/>
        </w:rPr>
        <w:t xml:space="preserve"> lo que se traduce en que pueden hacer todo aquello que no les esté expresamente prohibido”</w:t>
      </w:r>
      <w:r>
        <w:rPr>
          <w:rFonts w:ascii="Verdana" w:hAnsi="Verdana"/>
          <w:sz w:val="16"/>
          <w:szCs w:val="16"/>
        </w:rPr>
        <w:t xml:space="preserve"> (Cfr. </w:t>
      </w:r>
      <w:r w:rsidRPr="001664CE">
        <w:rPr>
          <w:rFonts w:ascii="Verdana" w:hAnsi="Verdana"/>
          <w:sz w:val="16"/>
          <w:szCs w:val="16"/>
        </w:rPr>
        <w:t>Consejo De Estado. Sala de Consulta y Servicio Civil. Concepto del 30 de abril de 2015. Exp. 2251. C.P. Álvaro Namén Vargas.</w:t>
      </w:r>
      <w:r>
        <w:rPr>
          <w:rFonts w:ascii="Verdana" w:hAnsi="Verdana"/>
          <w:sz w:val="16"/>
          <w:szCs w:val="16"/>
        </w:rPr>
        <w:t xml:space="preserve"> En un sentido similar, </w:t>
      </w:r>
      <w:r w:rsidRPr="001664CE">
        <w:rPr>
          <w:rFonts w:ascii="Verdana" w:hAnsi="Verdana"/>
          <w:sz w:val="16"/>
          <w:szCs w:val="16"/>
        </w:rPr>
        <w:t>Sección Tercera. Subsección A. Sentencia del 24 de junio de 2015. Exp. 40.635. C.P. Hernán Andrade Rincón (E)</w:t>
      </w:r>
      <w:r>
        <w:rPr>
          <w:rFonts w:ascii="Verdana" w:hAnsi="Verdana"/>
          <w:sz w:val="16"/>
          <w:szCs w:val="16"/>
        </w:rPr>
        <w:t xml:space="preserve"> y </w:t>
      </w:r>
      <w:r w:rsidRPr="001664CE">
        <w:rPr>
          <w:rFonts w:ascii="Verdana" w:hAnsi="Verdana"/>
          <w:sz w:val="16"/>
          <w:szCs w:val="16"/>
        </w:rPr>
        <w:t>Sección Tercera. Subsección C. Sentencia del 22 de mayo de 2013. Rad. 24.057. C.P. Olga Mélida Valle De La Hoz</w:t>
      </w:r>
      <w:r>
        <w:rPr>
          <w:rFonts w:ascii="Verdana" w:hAnsi="Verdana"/>
          <w:sz w:val="16"/>
          <w:szCs w:val="16"/>
        </w:rPr>
        <w:t>)</w:t>
      </w:r>
      <w:r w:rsidRPr="001664CE">
        <w:rPr>
          <w:rFonts w:ascii="Verdana" w:hAnsi="Verdana"/>
          <w:sz w:val="16"/>
          <w:szCs w:val="16"/>
        </w:rPr>
        <w:t>.</w:t>
      </w:r>
    </w:p>
  </w:footnote>
  <w:footnote w:id="3">
    <w:p w14:paraId="6648BE38" w14:textId="77777777" w:rsidR="00B75ED5" w:rsidRDefault="00B75ED5" w:rsidP="00B75ED5">
      <w:pPr>
        <w:pStyle w:val="Textonotapie"/>
        <w:ind w:firstLine="709"/>
        <w:rPr>
          <w:rFonts w:ascii="Verdana" w:hAnsi="Verdana"/>
          <w:sz w:val="16"/>
          <w:szCs w:val="16"/>
        </w:rPr>
      </w:pPr>
      <w:r>
        <w:rPr>
          <w:rStyle w:val="Refdenotaalpie"/>
        </w:rPr>
        <w:footnoteRef/>
      </w:r>
      <w:r>
        <w:t xml:space="preserve"> </w:t>
      </w:r>
      <w:r w:rsidRPr="00BA0618">
        <w:rPr>
          <w:rFonts w:ascii="Verdana" w:hAnsi="Verdana"/>
          <w:sz w:val="16"/>
          <w:szCs w:val="16"/>
        </w:rPr>
        <w:t>Ley 80 de 1993, Artículo 8</w:t>
      </w:r>
      <w:r>
        <w:rPr>
          <w:rFonts w:ascii="Verdana" w:hAnsi="Verdana"/>
          <w:sz w:val="16"/>
          <w:szCs w:val="16"/>
        </w:rPr>
        <w:t>:”</w:t>
      </w:r>
      <w:r w:rsidRPr="00942136">
        <w:t xml:space="preserve"> </w:t>
      </w:r>
      <w:r w:rsidRPr="00942136">
        <w:rPr>
          <w:rFonts w:ascii="Verdana" w:hAnsi="Verdana"/>
          <w:sz w:val="16"/>
          <w:szCs w:val="16"/>
        </w:rPr>
        <w:t>Son inhábiles para participar en licitaciones y para celebrar contratos con las entidades estatales:</w:t>
      </w:r>
      <w:r>
        <w:rPr>
          <w:rFonts w:ascii="Verdana" w:hAnsi="Verdana"/>
          <w:sz w:val="16"/>
          <w:szCs w:val="16"/>
        </w:rPr>
        <w:t xml:space="preserve"> […]</w:t>
      </w:r>
    </w:p>
    <w:p w14:paraId="0FB66109" w14:textId="77777777" w:rsidR="00B75ED5" w:rsidRPr="00BC4501" w:rsidRDefault="00B75ED5" w:rsidP="00B75ED5">
      <w:pPr>
        <w:pStyle w:val="Textonotapie"/>
        <w:ind w:right="-93" w:firstLine="709"/>
        <w:jc w:val="both"/>
        <w:rPr>
          <w:rFonts w:ascii="Verdana" w:hAnsi="Verdana"/>
        </w:rPr>
      </w:pPr>
      <w:r w:rsidRPr="00050BBA">
        <w:rPr>
          <w:rFonts w:ascii="Verdana" w:hAnsi="Verdana"/>
          <w:sz w:val="16"/>
          <w:szCs w:val="16"/>
        </w:rPr>
        <w:t>d) Quienes en sentencia judicial hayan sido condenados a la pena accesoria de interdicción de derechos y funciones públicas</w:t>
      </w:r>
      <w:r w:rsidRPr="00BC4501">
        <w:rPr>
          <w:rFonts w:ascii="Verdana" w:hAnsi="Verdana"/>
          <w:sz w:val="16"/>
          <w:szCs w:val="16"/>
        </w:rPr>
        <w:t xml:space="preserve"> y quienes hayan sido sancionados disciplinariamente con destitución.</w:t>
      </w:r>
    </w:p>
  </w:footnote>
  <w:footnote w:id="4">
    <w:p w14:paraId="62B53EF4" w14:textId="77777777" w:rsidR="00B75ED5" w:rsidRPr="0050057D" w:rsidRDefault="00B75ED5" w:rsidP="00B75ED5">
      <w:pPr>
        <w:pStyle w:val="Textonotapie"/>
        <w:ind w:firstLine="709"/>
        <w:jc w:val="both"/>
        <w:rPr>
          <w:rFonts w:ascii="Verdana" w:hAnsi="Verdana"/>
          <w:sz w:val="16"/>
          <w:szCs w:val="16"/>
        </w:rPr>
      </w:pPr>
      <w:r w:rsidRPr="0050057D">
        <w:rPr>
          <w:rStyle w:val="Refdenotaalpie"/>
          <w:rFonts w:ascii="Verdana" w:hAnsi="Verdana"/>
          <w:sz w:val="16"/>
          <w:szCs w:val="16"/>
        </w:rPr>
        <w:footnoteRef/>
      </w:r>
      <w:r w:rsidRPr="0050057D">
        <w:rPr>
          <w:rFonts w:ascii="Verdana" w:hAnsi="Verdana"/>
          <w:sz w:val="16"/>
          <w:szCs w:val="16"/>
        </w:rPr>
        <w:t xml:space="preserve"> Artículo 48. Clases y límites de las sanciones disciplinarias. “El disciplinable está sometido a las siguientes sanciones:</w:t>
      </w:r>
    </w:p>
    <w:p w14:paraId="5E3D08AE" w14:textId="77777777" w:rsidR="00B75ED5" w:rsidRPr="0050057D" w:rsidRDefault="00B75ED5" w:rsidP="00B75ED5">
      <w:pPr>
        <w:pStyle w:val="Textonotapie"/>
        <w:ind w:firstLine="709"/>
        <w:jc w:val="both"/>
        <w:rPr>
          <w:rFonts w:ascii="Verdana" w:hAnsi="Verdana"/>
          <w:sz w:val="16"/>
          <w:szCs w:val="16"/>
        </w:rPr>
      </w:pPr>
      <w:r w:rsidRPr="0050057D">
        <w:rPr>
          <w:rFonts w:ascii="Verdana" w:hAnsi="Verdana"/>
          <w:sz w:val="16"/>
          <w:szCs w:val="16"/>
        </w:rPr>
        <w:t>1. Destitución e inhabilidad general de diez (10) a veinte (20) años para las faltas gravísimas dolosas.</w:t>
      </w:r>
    </w:p>
    <w:p w14:paraId="6682E695" w14:textId="77777777" w:rsidR="00B75ED5" w:rsidRPr="0050057D" w:rsidRDefault="00B75ED5" w:rsidP="00B75ED5">
      <w:pPr>
        <w:pStyle w:val="Textonotapie"/>
        <w:ind w:firstLine="709"/>
        <w:jc w:val="both"/>
        <w:rPr>
          <w:rFonts w:ascii="Verdana" w:hAnsi="Verdana"/>
          <w:sz w:val="16"/>
          <w:szCs w:val="16"/>
        </w:rPr>
      </w:pPr>
      <w:r w:rsidRPr="0050057D">
        <w:rPr>
          <w:rFonts w:ascii="Verdana" w:hAnsi="Verdana"/>
          <w:sz w:val="16"/>
          <w:szCs w:val="16"/>
        </w:rPr>
        <w:t>2. Destitución e inhabilidad general de ocho (8) a diez (10) años para las faltas gravísimas realizadas con culpa gravísima.</w:t>
      </w:r>
      <w:r>
        <w:rPr>
          <w:rFonts w:ascii="Verdana" w:hAnsi="Verdana"/>
          <w:sz w:val="16"/>
          <w:szCs w:val="16"/>
        </w:rPr>
        <w:t xml:space="preserve"> […] </w:t>
      </w:r>
      <w:r w:rsidRPr="0050057D">
        <w:rPr>
          <w:rFonts w:ascii="Verdana" w:hAnsi="Verdana"/>
          <w:sz w:val="16"/>
          <w:szCs w:val="16"/>
        </w:rPr>
        <w:t>Parágrafo. En el evento que el disciplinado haya cesado en sus funciones para el momento de la ejecutoria del fallo o durante su ejecución, cuando no fuere posible ejecutar la sanción, se convertirá el término de suspensión o el que faltare, según el caso, en salarios básicos devengados para el momento de la comisión de la falta, sin perjuicio de la inhabilidad.”</w:t>
      </w:r>
    </w:p>
  </w:footnote>
  <w:footnote w:id="5">
    <w:p w14:paraId="46D4C722" w14:textId="77777777" w:rsidR="00B75ED5" w:rsidRPr="0050057D" w:rsidRDefault="00B75ED5" w:rsidP="00B75ED5">
      <w:pPr>
        <w:pStyle w:val="Textonotapie"/>
        <w:ind w:firstLine="709"/>
        <w:jc w:val="both"/>
        <w:rPr>
          <w:rFonts w:ascii="Verdana" w:hAnsi="Verdana"/>
          <w:sz w:val="16"/>
          <w:szCs w:val="16"/>
        </w:rPr>
      </w:pPr>
      <w:r w:rsidRPr="0050057D">
        <w:rPr>
          <w:rStyle w:val="Refdenotaalpie"/>
          <w:rFonts w:ascii="Verdana" w:hAnsi="Verdana"/>
          <w:sz w:val="16"/>
          <w:szCs w:val="16"/>
        </w:rPr>
        <w:footnoteRef/>
      </w:r>
      <w:r w:rsidRPr="0050057D">
        <w:rPr>
          <w:rFonts w:ascii="Verdana" w:hAnsi="Verdana"/>
          <w:sz w:val="16"/>
          <w:szCs w:val="16"/>
        </w:rPr>
        <w:t xml:space="preserve"> Artículo 49. Definición de las sanciones.”</w:t>
      </w:r>
    </w:p>
    <w:p w14:paraId="6BE8377E" w14:textId="77777777" w:rsidR="00B75ED5" w:rsidRPr="0050057D" w:rsidRDefault="00B75ED5" w:rsidP="00B75ED5">
      <w:pPr>
        <w:pStyle w:val="Textonotapie"/>
        <w:ind w:firstLine="709"/>
        <w:jc w:val="both"/>
        <w:rPr>
          <w:rFonts w:ascii="Verdana" w:hAnsi="Verdana"/>
          <w:sz w:val="16"/>
          <w:szCs w:val="16"/>
        </w:rPr>
      </w:pPr>
      <w:r w:rsidRPr="0050057D">
        <w:rPr>
          <w:rFonts w:ascii="Verdana" w:hAnsi="Verdana"/>
          <w:sz w:val="16"/>
          <w:szCs w:val="16"/>
        </w:rPr>
        <w:t>1. La destitución e inhabilidad general implica:</w:t>
      </w:r>
    </w:p>
    <w:p w14:paraId="46A5DC4D" w14:textId="77777777" w:rsidR="00B75ED5" w:rsidRPr="0050057D" w:rsidRDefault="00B75ED5" w:rsidP="00B75ED5">
      <w:pPr>
        <w:pStyle w:val="Textonotapie"/>
        <w:ind w:firstLine="709"/>
        <w:jc w:val="both"/>
        <w:rPr>
          <w:rFonts w:ascii="Verdana" w:hAnsi="Verdana"/>
          <w:sz w:val="16"/>
          <w:szCs w:val="16"/>
        </w:rPr>
      </w:pPr>
      <w:r w:rsidRPr="0050057D">
        <w:rPr>
          <w:rFonts w:ascii="Verdana" w:hAnsi="Verdana"/>
          <w:sz w:val="16"/>
          <w:szCs w:val="16"/>
        </w:rPr>
        <w:t>a. La terminación de la relación del servidor público o del particular con la administración, sin que importe que sea de libre nombramiento y remoción, de carrera o elección; o</w:t>
      </w:r>
    </w:p>
    <w:p w14:paraId="640155CE" w14:textId="77777777" w:rsidR="00B75ED5" w:rsidRPr="0050057D" w:rsidRDefault="00B75ED5" w:rsidP="00B75ED5">
      <w:pPr>
        <w:pStyle w:val="Textonotapie"/>
        <w:ind w:firstLine="709"/>
        <w:jc w:val="both"/>
        <w:rPr>
          <w:rFonts w:ascii="Verdana" w:hAnsi="Verdana"/>
          <w:sz w:val="16"/>
          <w:szCs w:val="16"/>
        </w:rPr>
      </w:pPr>
      <w:r w:rsidRPr="0050057D">
        <w:rPr>
          <w:rFonts w:ascii="Verdana" w:hAnsi="Verdana"/>
          <w:sz w:val="16"/>
          <w:szCs w:val="16"/>
        </w:rPr>
        <w:t>b. La desvinculación del cargo, en los casos previstos en la Constitución Política y la ley; o</w:t>
      </w:r>
    </w:p>
    <w:p w14:paraId="2245A5E4" w14:textId="77777777" w:rsidR="00B75ED5" w:rsidRPr="0050057D" w:rsidRDefault="00B75ED5" w:rsidP="00B75ED5">
      <w:pPr>
        <w:pStyle w:val="Textonotapie"/>
        <w:ind w:firstLine="709"/>
        <w:jc w:val="both"/>
        <w:rPr>
          <w:rFonts w:ascii="Verdana" w:hAnsi="Verdana"/>
          <w:sz w:val="16"/>
          <w:szCs w:val="16"/>
        </w:rPr>
      </w:pPr>
      <w:r w:rsidRPr="0050057D">
        <w:rPr>
          <w:rFonts w:ascii="Verdana" w:hAnsi="Verdana"/>
          <w:sz w:val="16"/>
          <w:szCs w:val="16"/>
        </w:rPr>
        <w:t>c. La terminación del contrato de trabajo; y</w:t>
      </w:r>
    </w:p>
    <w:p w14:paraId="64F9DE70" w14:textId="77777777" w:rsidR="00B75ED5" w:rsidRPr="00D06508" w:rsidRDefault="00B75ED5" w:rsidP="00B75ED5">
      <w:pPr>
        <w:pStyle w:val="Textonotapie"/>
        <w:ind w:firstLine="709"/>
        <w:jc w:val="both"/>
        <w:rPr>
          <w:rFonts w:ascii="Verdana" w:hAnsi="Verdana"/>
          <w:sz w:val="16"/>
          <w:szCs w:val="16"/>
        </w:rPr>
      </w:pPr>
      <w:r w:rsidRPr="0050057D">
        <w:rPr>
          <w:rFonts w:ascii="Verdana" w:hAnsi="Verdana"/>
          <w:sz w:val="16"/>
          <w:szCs w:val="16"/>
        </w:rPr>
        <w:t>d. En todos los casos anteriores, la imposibilidad de ejercer la función pública en cualquier cargo o función, por el termino señalado en el fallo, y la exclusión del escalafón o carrera. […] Parágrafo. Si al momento del fallo el servidor público o el particular sancionado presta servicios en el mismo o en otro cargo similar en la misma entidad o en otra entidad oficial, incluso en periodo diferente, deberá comunicarse la sanción al representante legal a quien corresponda para que proceda a hacerla efectiva.</w:t>
      </w:r>
    </w:p>
  </w:footnote>
  <w:footnote w:id="6">
    <w:p w14:paraId="60D75AE2" w14:textId="10AB24FF" w:rsidR="00B75ED5" w:rsidRPr="00E272DC" w:rsidRDefault="00B75ED5" w:rsidP="00B75ED5">
      <w:pPr>
        <w:pStyle w:val="Textonotapie"/>
        <w:ind w:firstLine="709"/>
        <w:jc w:val="both"/>
        <w:rPr>
          <w:rFonts w:ascii="Verdana" w:hAnsi="Verdana"/>
          <w:sz w:val="16"/>
          <w:szCs w:val="16"/>
        </w:rPr>
      </w:pPr>
      <w:r w:rsidRPr="00E55829">
        <w:rPr>
          <w:rStyle w:val="Refdenotaalpie"/>
          <w:rFonts w:ascii="Verdana" w:hAnsi="Verdana"/>
          <w:sz w:val="16"/>
          <w:szCs w:val="16"/>
        </w:rPr>
        <w:footnoteRef/>
      </w:r>
      <w:r w:rsidRPr="00E55829">
        <w:rPr>
          <w:rFonts w:ascii="Verdana" w:hAnsi="Verdana"/>
          <w:sz w:val="16"/>
          <w:szCs w:val="16"/>
        </w:rPr>
        <w:t xml:space="preserve"> Artículo </w:t>
      </w:r>
      <w:r w:rsidR="00CC4698">
        <w:rPr>
          <w:rFonts w:ascii="Verdana" w:hAnsi="Verdana"/>
          <w:sz w:val="16"/>
          <w:szCs w:val="16"/>
        </w:rPr>
        <w:t>238</w:t>
      </w:r>
      <w:r w:rsidRPr="00E55829">
        <w:rPr>
          <w:rFonts w:ascii="Verdana" w:hAnsi="Verdana"/>
          <w:sz w:val="16"/>
          <w:szCs w:val="16"/>
        </w:rPr>
        <w:t xml:space="preserve">. Registro de sanciones. </w:t>
      </w:r>
      <w:r>
        <w:rPr>
          <w:rFonts w:ascii="Verdana" w:hAnsi="Verdana"/>
          <w:sz w:val="16"/>
          <w:szCs w:val="16"/>
        </w:rPr>
        <w:t>“</w:t>
      </w:r>
      <w:r w:rsidR="00276D58">
        <w:rPr>
          <w:rFonts w:ascii="Verdana" w:hAnsi="Verdana"/>
          <w:sz w:val="16"/>
          <w:szCs w:val="16"/>
        </w:rPr>
        <w:t>L</w:t>
      </w:r>
      <w:r w:rsidR="00156278" w:rsidRPr="00156278">
        <w:rPr>
          <w:rFonts w:ascii="Verdana" w:hAnsi="Verdana"/>
          <w:sz w:val="16"/>
          <w:szCs w:val="16"/>
        </w:rPr>
        <w:t xml:space="preserve">as sanciones penales y disciplinarias, las inhabilidades que se deriven de las relaciones contractuales con el Estado, de los fallos corresponsabilidad fiscal, de las decisiones de perdida de investidura y de las condenas proferidas en ejercicio de la acción de repetición o llamamiento en garantía con fines de repetición y de las provenientes del ejercicio de profesiones liberales, deberán ser registradas en la División de Registro y Control y Correspondencia de la Procuraduría General de la Nación, para efectos de la expedición del certificado de antecedentes. </w:t>
      </w:r>
      <w:r>
        <w:rPr>
          <w:rFonts w:ascii="Verdana" w:hAnsi="Verdana"/>
          <w:sz w:val="16"/>
          <w:szCs w:val="16"/>
        </w:rPr>
        <w:t xml:space="preserve">[…] </w:t>
      </w:r>
      <w:r w:rsidR="00156278" w:rsidRPr="00156278">
        <w:rPr>
          <w:rFonts w:ascii="Verdana" w:hAnsi="Verdana"/>
          <w:sz w:val="16"/>
          <w:szCs w:val="16"/>
        </w:rPr>
        <w:t xml:space="preserve">La certificación de antecedentes deberá contener las anotaciones de las sanciones o inhabilidades que se encuentren vigentes. </w:t>
      </w:r>
      <w:r>
        <w:rPr>
          <w:rFonts w:ascii="Verdana" w:hAnsi="Verdana"/>
          <w:sz w:val="16"/>
          <w:szCs w:val="16"/>
        </w:rPr>
        <w:t>[…]</w:t>
      </w:r>
      <w:r w:rsidR="008750A0">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pt;height:10.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4BF"/>
    <w:rsid w:val="00016F78"/>
    <w:rsid w:val="00023AD6"/>
    <w:rsid w:val="000331C5"/>
    <w:rsid w:val="000421FA"/>
    <w:rsid w:val="00045E0E"/>
    <w:rsid w:val="00046945"/>
    <w:rsid w:val="00047887"/>
    <w:rsid w:val="00061B2A"/>
    <w:rsid w:val="00072F7A"/>
    <w:rsid w:val="00082362"/>
    <w:rsid w:val="000A0AC5"/>
    <w:rsid w:val="000A683E"/>
    <w:rsid w:val="000B19B9"/>
    <w:rsid w:val="000C5FD2"/>
    <w:rsid w:val="000C7FE3"/>
    <w:rsid w:val="000D0334"/>
    <w:rsid w:val="000D516D"/>
    <w:rsid w:val="000D5DA7"/>
    <w:rsid w:val="000F6486"/>
    <w:rsid w:val="0010776F"/>
    <w:rsid w:val="00116940"/>
    <w:rsid w:val="00125105"/>
    <w:rsid w:val="00127233"/>
    <w:rsid w:val="00146FF3"/>
    <w:rsid w:val="00150331"/>
    <w:rsid w:val="001543B2"/>
    <w:rsid w:val="00156278"/>
    <w:rsid w:val="0015699B"/>
    <w:rsid w:val="00161797"/>
    <w:rsid w:val="001758C3"/>
    <w:rsid w:val="00176E4B"/>
    <w:rsid w:val="001A33BF"/>
    <w:rsid w:val="001A47AF"/>
    <w:rsid w:val="001B3054"/>
    <w:rsid w:val="001C5934"/>
    <w:rsid w:val="001E4177"/>
    <w:rsid w:val="001F0B24"/>
    <w:rsid w:val="001F7DC6"/>
    <w:rsid w:val="00200A30"/>
    <w:rsid w:val="00200D08"/>
    <w:rsid w:val="00206AB4"/>
    <w:rsid w:val="002158E2"/>
    <w:rsid w:val="00223A71"/>
    <w:rsid w:val="0022400B"/>
    <w:rsid w:val="002363AF"/>
    <w:rsid w:val="002421BB"/>
    <w:rsid w:val="00250128"/>
    <w:rsid w:val="0025796E"/>
    <w:rsid w:val="002707A2"/>
    <w:rsid w:val="00273CD7"/>
    <w:rsid w:val="00276D58"/>
    <w:rsid w:val="0029115F"/>
    <w:rsid w:val="002951A0"/>
    <w:rsid w:val="002962BC"/>
    <w:rsid w:val="002A093D"/>
    <w:rsid w:val="002A0DD0"/>
    <w:rsid w:val="002A49AC"/>
    <w:rsid w:val="002A64FD"/>
    <w:rsid w:val="002C7A84"/>
    <w:rsid w:val="002E2571"/>
    <w:rsid w:val="002E2BF8"/>
    <w:rsid w:val="002E4FD9"/>
    <w:rsid w:val="0030657A"/>
    <w:rsid w:val="00306687"/>
    <w:rsid w:val="0031206F"/>
    <w:rsid w:val="00322A85"/>
    <w:rsid w:val="00324168"/>
    <w:rsid w:val="00330834"/>
    <w:rsid w:val="00336AF7"/>
    <w:rsid w:val="003448F4"/>
    <w:rsid w:val="003654D3"/>
    <w:rsid w:val="00374F5E"/>
    <w:rsid w:val="00377E3E"/>
    <w:rsid w:val="003A4E68"/>
    <w:rsid w:val="003A4F79"/>
    <w:rsid w:val="003A779E"/>
    <w:rsid w:val="003C0476"/>
    <w:rsid w:val="003D0F4D"/>
    <w:rsid w:val="003D5B0D"/>
    <w:rsid w:val="003E0499"/>
    <w:rsid w:val="003E4F80"/>
    <w:rsid w:val="003E6439"/>
    <w:rsid w:val="003F3941"/>
    <w:rsid w:val="003F79D2"/>
    <w:rsid w:val="00406575"/>
    <w:rsid w:val="00414C74"/>
    <w:rsid w:val="0042722E"/>
    <w:rsid w:val="0043638E"/>
    <w:rsid w:val="00440177"/>
    <w:rsid w:val="0044528D"/>
    <w:rsid w:val="00463C21"/>
    <w:rsid w:val="00466E39"/>
    <w:rsid w:val="00482B92"/>
    <w:rsid w:val="004A1847"/>
    <w:rsid w:val="004A305D"/>
    <w:rsid w:val="004C2FF5"/>
    <w:rsid w:val="004D319B"/>
    <w:rsid w:val="004D3E98"/>
    <w:rsid w:val="004F10EE"/>
    <w:rsid w:val="004F1763"/>
    <w:rsid w:val="004F21C4"/>
    <w:rsid w:val="004F685F"/>
    <w:rsid w:val="0050005D"/>
    <w:rsid w:val="00505463"/>
    <w:rsid w:val="00506F53"/>
    <w:rsid w:val="00542B55"/>
    <w:rsid w:val="005566E8"/>
    <w:rsid w:val="00574867"/>
    <w:rsid w:val="00591460"/>
    <w:rsid w:val="005A65E0"/>
    <w:rsid w:val="005A6BE3"/>
    <w:rsid w:val="005B14A6"/>
    <w:rsid w:val="005C3777"/>
    <w:rsid w:val="005C5CDC"/>
    <w:rsid w:val="005D476C"/>
    <w:rsid w:val="005E4339"/>
    <w:rsid w:val="005E4B8B"/>
    <w:rsid w:val="005F6A40"/>
    <w:rsid w:val="005F7C2C"/>
    <w:rsid w:val="0060287D"/>
    <w:rsid w:val="006200BF"/>
    <w:rsid w:val="006219F8"/>
    <w:rsid w:val="00623E22"/>
    <w:rsid w:val="006302F7"/>
    <w:rsid w:val="006425B3"/>
    <w:rsid w:val="00646B9F"/>
    <w:rsid w:val="00661642"/>
    <w:rsid w:val="00665D70"/>
    <w:rsid w:val="006900D9"/>
    <w:rsid w:val="006B38BB"/>
    <w:rsid w:val="006C2528"/>
    <w:rsid w:val="006D22F5"/>
    <w:rsid w:val="006E02AC"/>
    <w:rsid w:val="006E1684"/>
    <w:rsid w:val="006F013B"/>
    <w:rsid w:val="006F16B3"/>
    <w:rsid w:val="006F6474"/>
    <w:rsid w:val="00706C16"/>
    <w:rsid w:val="00725172"/>
    <w:rsid w:val="007340C3"/>
    <w:rsid w:val="00740487"/>
    <w:rsid w:val="0075235A"/>
    <w:rsid w:val="00753113"/>
    <w:rsid w:val="0075585D"/>
    <w:rsid w:val="00756841"/>
    <w:rsid w:val="007649AB"/>
    <w:rsid w:val="007704F2"/>
    <w:rsid w:val="00771D0C"/>
    <w:rsid w:val="00775F65"/>
    <w:rsid w:val="007833AC"/>
    <w:rsid w:val="007B268C"/>
    <w:rsid w:val="007B2FCD"/>
    <w:rsid w:val="007B7171"/>
    <w:rsid w:val="007C0C0F"/>
    <w:rsid w:val="007C3DC2"/>
    <w:rsid w:val="007E3725"/>
    <w:rsid w:val="007E5497"/>
    <w:rsid w:val="00806F5F"/>
    <w:rsid w:val="00820278"/>
    <w:rsid w:val="008258C9"/>
    <w:rsid w:val="0084427E"/>
    <w:rsid w:val="00844AE9"/>
    <w:rsid w:val="00867F95"/>
    <w:rsid w:val="008750A0"/>
    <w:rsid w:val="00876A11"/>
    <w:rsid w:val="00882532"/>
    <w:rsid w:val="008843B6"/>
    <w:rsid w:val="00891928"/>
    <w:rsid w:val="008A446D"/>
    <w:rsid w:val="008B25F1"/>
    <w:rsid w:val="008C35A8"/>
    <w:rsid w:val="008D180B"/>
    <w:rsid w:val="008F0EA7"/>
    <w:rsid w:val="00923EEF"/>
    <w:rsid w:val="009419F9"/>
    <w:rsid w:val="00942F5B"/>
    <w:rsid w:val="00951FBB"/>
    <w:rsid w:val="009527A5"/>
    <w:rsid w:val="009560A1"/>
    <w:rsid w:val="0095685E"/>
    <w:rsid w:val="00961B09"/>
    <w:rsid w:val="00965334"/>
    <w:rsid w:val="00966162"/>
    <w:rsid w:val="0097093E"/>
    <w:rsid w:val="0098389C"/>
    <w:rsid w:val="009A0DFA"/>
    <w:rsid w:val="009A1C6F"/>
    <w:rsid w:val="009A571C"/>
    <w:rsid w:val="009A68BD"/>
    <w:rsid w:val="009B2D26"/>
    <w:rsid w:val="009B431B"/>
    <w:rsid w:val="009B56D8"/>
    <w:rsid w:val="009C5A1A"/>
    <w:rsid w:val="009C5B8C"/>
    <w:rsid w:val="009C71FA"/>
    <w:rsid w:val="009C72E7"/>
    <w:rsid w:val="009C7F7E"/>
    <w:rsid w:val="009D3058"/>
    <w:rsid w:val="009D3374"/>
    <w:rsid w:val="009F3A13"/>
    <w:rsid w:val="009F5F36"/>
    <w:rsid w:val="009F7F5C"/>
    <w:rsid w:val="00A00E4D"/>
    <w:rsid w:val="00A06019"/>
    <w:rsid w:val="00A122D3"/>
    <w:rsid w:val="00A14468"/>
    <w:rsid w:val="00A16B22"/>
    <w:rsid w:val="00A17F13"/>
    <w:rsid w:val="00A20739"/>
    <w:rsid w:val="00A23AF9"/>
    <w:rsid w:val="00A33C78"/>
    <w:rsid w:val="00A45113"/>
    <w:rsid w:val="00AB0ADB"/>
    <w:rsid w:val="00AD113C"/>
    <w:rsid w:val="00AE710C"/>
    <w:rsid w:val="00AF7013"/>
    <w:rsid w:val="00B00C0E"/>
    <w:rsid w:val="00B01B1A"/>
    <w:rsid w:val="00B0381D"/>
    <w:rsid w:val="00B16875"/>
    <w:rsid w:val="00B172FB"/>
    <w:rsid w:val="00B44A47"/>
    <w:rsid w:val="00B62462"/>
    <w:rsid w:val="00B72CD3"/>
    <w:rsid w:val="00B72FFF"/>
    <w:rsid w:val="00B75ED5"/>
    <w:rsid w:val="00BA1E00"/>
    <w:rsid w:val="00BC3D36"/>
    <w:rsid w:val="00BD54A6"/>
    <w:rsid w:val="00BD7F72"/>
    <w:rsid w:val="00BE1F3B"/>
    <w:rsid w:val="00BF703D"/>
    <w:rsid w:val="00BF7425"/>
    <w:rsid w:val="00C04FB3"/>
    <w:rsid w:val="00C11D8B"/>
    <w:rsid w:val="00C15139"/>
    <w:rsid w:val="00C1614B"/>
    <w:rsid w:val="00C25F57"/>
    <w:rsid w:val="00C330EB"/>
    <w:rsid w:val="00C40302"/>
    <w:rsid w:val="00C50D69"/>
    <w:rsid w:val="00C5365C"/>
    <w:rsid w:val="00C754BE"/>
    <w:rsid w:val="00C765D1"/>
    <w:rsid w:val="00C76B1C"/>
    <w:rsid w:val="00C84C29"/>
    <w:rsid w:val="00C864C6"/>
    <w:rsid w:val="00C925AC"/>
    <w:rsid w:val="00CA78E2"/>
    <w:rsid w:val="00CB6357"/>
    <w:rsid w:val="00CB7434"/>
    <w:rsid w:val="00CC1B26"/>
    <w:rsid w:val="00CC4698"/>
    <w:rsid w:val="00CC774A"/>
    <w:rsid w:val="00D27168"/>
    <w:rsid w:val="00D33876"/>
    <w:rsid w:val="00D361FD"/>
    <w:rsid w:val="00D423A2"/>
    <w:rsid w:val="00D44E26"/>
    <w:rsid w:val="00D520D8"/>
    <w:rsid w:val="00D63AC2"/>
    <w:rsid w:val="00D729FA"/>
    <w:rsid w:val="00D7383B"/>
    <w:rsid w:val="00D7788A"/>
    <w:rsid w:val="00D87743"/>
    <w:rsid w:val="00D929CD"/>
    <w:rsid w:val="00DA231B"/>
    <w:rsid w:val="00DA7A28"/>
    <w:rsid w:val="00DC39FC"/>
    <w:rsid w:val="00DD047C"/>
    <w:rsid w:val="00DD476E"/>
    <w:rsid w:val="00DD5E98"/>
    <w:rsid w:val="00DF02B9"/>
    <w:rsid w:val="00DF5254"/>
    <w:rsid w:val="00E02524"/>
    <w:rsid w:val="00E16408"/>
    <w:rsid w:val="00E20894"/>
    <w:rsid w:val="00E245AB"/>
    <w:rsid w:val="00E2764C"/>
    <w:rsid w:val="00E27F2E"/>
    <w:rsid w:val="00E50AFE"/>
    <w:rsid w:val="00E75C92"/>
    <w:rsid w:val="00E771DC"/>
    <w:rsid w:val="00E824C9"/>
    <w:rsid w:val="00E839B5"/>
    <w:rsid w:val="00E8772A"/>
    <w:rsid w:val="00E90F6B"/>
    <w:rsid w:val="00E92C27"/>
    <w:rsid w:val="00EA0E3D"/>
    <w:rsid w:val="00EA0F4B"/>
    <w:rsid w:val="00EA4158"/>
    <w:rsid w:val="00EA4EF5"/>
    <w:rsid w:val="00EC209C"/>
    <w:rsid w:val="00EC288F"/>
    <w:rsid w:val="00EC38A7"/>
    <w:rsid w:val="00ED5D58"/>
    <w:rsid w:val="00EE1AA8"/>
    <w:rsid w:val="00F157CE"/>
    <w:rsid w:val="00F23FEA"/>
    <w:rsid w:val="00F31EDC"/>
    <w:rsid w:val="00F462B3"/>
    <w:rsid w:val="00F5664F"/>
    <w:rsid w:val="00F666C4"/>
    <w:rsid w:val="00F7147F"/>
    <w:rsid w:val="00F72E06"/>
    <w:rsid w:val="00F76AFC"/>
    <w:rsid w:val="00F77DEF"/>
    <w:rsid w:val="00F90B4B"/>
    <w:rsid w:val="00F9441F"/>
    <w:rsid w:val="00FA47C0"/>
    <w:rsid w:val="00FB5DD1"/>
    <w:rsid w:val="00FC2B5D"/>
    <w:rsid w:val="00FC7069"/>
    <w:rsid w:val="00FD6639"/>
    <w:rsid w:val="00FE648B"/>
    <w:rsid w:val="00FF1449"/>
    <w:rsid w:val="00FF74FB"/>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D2145238-DAC2-4D5A-9D0C-006F40B39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75ED5"/>
    <w:pPr>
      <w:spacing w:line="240" w:lineRule="exact"/>
    </w:pPr>
    <w:rPr>
      <w:vertAlign w:val="superscript"/>
    </w:rPr>
  </w:style>
  <w:style w:type="character" w:customStyle="1" w:styleId="NormalWebCar">
    <w:name w:val="Normal (Web) Car"/>
    <w:link w:val="NormalWeb"/>
    <w:uiPriority w:val="99"/>
    <w:locked/>
    <w:rsid w:val="00B75ED5"/>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B75ED5"/>
    <w:pPr>
      <w:spacing w:after="0" w:line="240" w:lineRule="auto"/>
    </w:pPr>
    <w:rPr>
      <w:sz w:val="24"/>
      <w:lang w:val="es-MX"/>
    </w:rPr>
  </w:style>
  <w:style w:type="character" w:styleId="Refdecomentario">
    <w:name w:val="annotation reference"/>
    <w:basedOn w:val="Fuentedeprrafopredeter"/>
    <w:uiPriority w:val="99"/>
    <w:semiHidden/>
    <w:unhideWhenUsed/>
    <w:rsid w:val="00045E0E"/>
    <w:rPr>
      <w:sz w:val="16"/>
      <w:szCs w:val="16"/>
    </w:rPr>
  </w:style>
  <w:style w:type="paragraph" w:styleId="Textocomentario">
    <w:name w:val="annotation text"/>
    <w:basedOn w:val="Normal"/>
    <w:link w:val="TextocomentarioCar"/>
    <w:uiPriority w:val="99"/>
    <w:unhideWhenUsed/>
    <w:rsid w:val="00045E0E"/>
    <w:pPr>
      <w:spacing w:line="240" w:lineRule="auto"/>
    </w:pPr>
    <w:rPr>
      <w:sz w:val="20"/>
      <w:szCs w:val="20"/>
    </w:rPr>
  </w:style>
  <w:style w:type="character" w:customStyle="1" w:styleId="TextocomentarioCar">
    <w:name w:val="Texto comentario Car"/>
    <w:basedOn w:val="Fuentedeprrafopredeter"/>
    <w:link w:val="Textocomentario"/>
    <w:uiPriority w:val="99"/>
    <w:rsid w:val="00045E0E"/>
    <w:rPr>
      <w:sz w:val="20"/>
      <w:szCs w:val="20"/>
    </w:rPr>
  </w:style>
  <w:style w:type="paragraph" w:styleId="Asuntodelcomentario">
    <w:name w:val="annotation subject"/>
    <w:basedOn w:val="Textocomentario"/>
    <w:next w:val="Textocomentario"/>
    <w:link w:val="AsuntodelcomentarioCar"/>
    <w:uiPriority w:val="99"/>
    <w:semiHidden/>
    <w:unhideWhenUsed/>
    <w:rsid w:val="00045E0E"/>
    <w:rPr>
      <w:b/>
      <w:bCs/>
    </w:rPr>
  </w:style>
  <w:style w:type="character" w:customStyle="1" w:styleId="AsuntodelcomentarioCar">
    <w:name w:val="Asunto del comentario Car"/>
    <w:basedOn w:val="TextocomentarioCar"/>
    <w:link w:val="Asuntodelcomentario"/>
    <w:uiPriority w:val="99"/>
    <w:semiHidden/>
    <w:rsid w:val="00045E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martinezblanc@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443FEE5-7261-4F7B-88ED-0A78081368C8}"/>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15</Pages>
  <Words>4587</Words>
  <Characters>27432</Characters>
  <Application>Microsoft Office Word</Application>
  <DocSecurity>0</DocSecurity>
  <Lines>623</Lines>
  <Paragraphs>323</Paragraphs>
  <ScaleCrop>false</ScaleCrop>
  <Company/>
  <LinksUpToDate>false</LinksUpToDate>
  <CharactersWithSpaces>31696</CharactersWithSpaces>
  <SharedDoc>false</SharedDoc>
  <HLinks>
    <vt:vector size="18" baseType="variant">
      <vt:variant>
        <vt:i4>3276900</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720944</vt:i4>
      </vt:variant>
      <vt:variant>
        <vt:i4>0</vt:i4>
      </vt:variant>
      <vt:variant>
        <vt:i4>0</vt:i4>
      </vt:variant>
      <vt:variant>
        <vt:i4>5</vt:i4>
      </vt:variant>
      <vt:variant>
        <vt:lpwstr>mailto:omartinezblanc@gmail.com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6</cp:revision>
  <cp:lastPrinted>2023-01-10T21:18:00Z</cp:lastPrinted>
  <dcterms:created xsi:type="dcterms:W3CDTF">2026-02-09T22:17:00Z</dcterms:created>
  <dcterms:modified xsi:type="dcterms:W3CDTF">2026-02-09T22:45:00Z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