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4794E" w14:textId="77777777" w:rsidR="009E6473" w:rsidRDefault="009E6473">
      <w:pPr>
        <w:rPr>
          <w:rFonts w:ascii="Verdana" w:hAnsi="Verdana"/>
          <w:b/>
          <w:bCs/>
        </w:rPr>
      </w:pPr>
      <w:bookmarkStart w:id="0" w:name="_Hlk143780582"/>
      <w:r w:rsidRPr="009E6473">
        <w:rPr>
          <w:rFonts w:ascii="Verdana" w:hAnsi="Verdana"/>
          <w:b/>
          <w:bCs/>
        </w:rPr>
        <w:t>LEY</w:t>
      </w:r>
      <w:r w:rsidRPr="009E6473">
        <w:rPr>
          <w:rFonts w:ascii="Verdana" w:hAnsi="Verdana"/>
          <w:b/>
          <w:bCs/>
          <w:spacing w:val="-17"/>
        </w:rPr>
        <w:t xml:space="preserve"> </w:t>
      </w:r>
      <w:r w:rsidRPr="009E6473">
        <w:rPr>
          <w:rFonts w:ascii="Verdana" w:hAnsi="Verdana"/>
          <w:b/>
          <w:bCs/>
        </w:rPr>
        <w:t>DE</w:t>
      </w:r>
      <w:r w:rsidRPr="009E6473">
        <w:rPr>
          <w:rFonts w:ascii="Verdana" w:hAnsi="Verdana"/>
          <w:b/>
          <w:bCs/>
          <w:spacing w:val="-16"/>
        </w:rPr>
        <w:t xml:space="preserve"> </w:t>
      </w:r>
      <w:r w:rsidRPr="009E6473">
        <w:rPr>
          <w:rFonts w:ascii="Verdana" w:hAnsi="Verdana"/>
          <w:b/>
          <w:bCs/>
        </w:rPr>
        <w:t>GARANTÍAS</w:t>
      </w:r>
      <w:r w:rsidRPr="009E6473">
        <w:rPr>
          <w:rFonts w:ascii="Verdana" w:hAnsi="Verdana"/>
          <w:b/>
          <w:bCs/>
          <w:spacing w:val="-15"/>
        </w:rPr>
        <w:t xml:space="preserve"> </w:t>
      </w:r>
      <w:r w:rsidRPr="009E6473">
        <w:rPr>
          <w:rFonts w:ascii="Verdana" w:hAnsi="Verdana"/>
          <w:b/>
          <w:bCs/>
        </w:rPr>
        <w:t>ELECTORALES</w:t>
      </w:r>
      <w:r w:rsidRPr="009E6473">
        <w:rPr>
          <w:rFonts w:ascii="Verdana" w:hAnsi="Verdana"/>
          <w:b/>
          <w:bCs/>
          <w:spacing w:val="-14"/>
        </w:rPr>
        <w:t xml:space="preserve"> </w:t>
      </w:r>
      <w:r w:rsidRPr="009E6473">
        <w:rPr>
          <w:rFonts w:ascii="Verdana" w:hAnsi="Verdana"/>
          <w:b/>
          <w:bCs/>
        </w:rPr>
        <w:t>–</w:t>
      </w:r>
      <w:r w:rsidRPr="009E6473">
        <w:rPr>
          <w:rFonts w:ascii="Verdana" w:hAnsi="Verdana"/>
          <w:b/>
          <w:bCs/>
          <w:spacing w:val="-18"/>
        </w:rPr>
        <w:t xml:space="preserve"> </w:t>
      </w:r>
      <w:r w:rsidRPr="009E6473">
        <w:rPr>
          <w:rFonts w:ascii="Verdana" w:hAnsi="Verdana"/>
          <w:b/>
          <w:bCs/>
        </w:rPr>
        <w:t>Finalidad</w:t>
      </w:r>
      <w:r w:rsidRPr="009E6473">
        <w:rPr>
          <w:rFonts w:ascii="Verdana" w:hAnsi="Verdana"/>
          <w:b/>
          <w:bCs/>
          <w:spacing w:val="-14"/>
        </w:rPr>
        <w:t xml:space="preserve"> </w:t>
      </w:r>
    </w:p>
    <w:p w14:paraId="3BE74EB9" w14:textId="77777777" w:rsidR="009E6473" w:rsidRDefault="009E6473" w:rsidP="009E6473">
      <w:pPr>
        <w:spacing w:after="0" w:line="240" w:lineRule="auto"/>
        <w:jc w:val="both"/>
        <w:rPr>
          <w:rFonts w:ascii="Verdana" w:hAnsi="Verdana" w:cs="Arial"/>
          <w:b/>
          <w:lang w:val="es-MX" w:eastAsia="es-ES_tradnl"/>
        </w:rPr>
      </w:pPr>
    </w:p>
    <w:p w14:paraId="33C3D08C" w14:textId="77777777" w:rsidR="009E6473" w:rsidRDefault="009E6473" w:rsidP="009E647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0EB6085" w14:textId="77777777" w:rsidR="009E6473" w:rsidRDefault="009E6473" w:rsidP="009E6473">
      <w:pPr>
        <w:spacing w:after="0" w:line="240" w:lineRule="auto"/>
        <w:jc w:val="both"/>
        <w:rPr>
          <w:rFonts w:ascii="Verdana" w:eastAsia="Times New Roman" w:hAnsi="Verdana" w:cs="Arial"/>
          <w:sz w:val="20"/>
          <w:lang w:val="es-MX" w:eastAsia="es-CO"/>
        </w:rPr>
      </w:pPr>
    </w:p>
    <w:p w14:paraId="6D9CCEC7" w14:textId="77777777" w:rsidR="009E6473" w:rsidRDefault="009E6473" w:rsidP="009E6473">
      <w:pPr>
        <w:spacing w:after="0" w:line="240" w:lineRule="auto"/>
        <w:jc w:val="both"/>
        <w:rPr>
          <w:rFonts w:ascii="Verdana" w:eastAsia="Times New Roman" w:hAnsi="Verdana" w:cs="Arial"/>
          <w:sz w:val="20"/>
          <w:lang w:val="es-MX" w:eastAsia="es-CO"/>
        </w:rPr>
      </w:pPr>
    </w:p>
    <w:p w14:paraId="679A1598" w14:textId="77777777" w:rsidR="009E6473" w:rsidRDefault="009E6473" w:rsidP="009E6473">
      <w:pPr>
        <w:jc w:val="both"/>
        <w:rPr>
          <w:rFonts w:ascii="Verdana" w:hAnsi="Verdana"/>
          <w:b/>
          <w:bCs/>
        </w:rPr>
      </w:pPr>
      <w:r w:rsidRPr="009E6473">
        <w:rPr>
          <w:rFonts w:ascii="Verdana" w:hAnsi="Verdana"/>
          <w:b/>
          <w:bCs/>
        </w:rPr>
        <w:t>LEY</w:t>
      </w:r>
      <w:r w:rsidRPr="009E6473">
        <w:rPr>
          <w:rFonts w:ascii="Verdana" w:hAnsi="Verdana"/>
          <w:b/>
          <w:bCs/>
          <w:spacing w:val="-17"/>
        </w:rPr>
        <w:t xml:space="preserve"> </w:t>
      </w:r>
      <w:r w:rsidRPr="009E6473">
        <w:rPr>
          <w:rFonts w:ascii="Verdana" w:hAnsi="Verdana"/>
          <w:b/>
          <w:bCs/>
          <w:spacing w:val="-5"/>
        </w:rPr>
        <w:t>DE</w:t>
      </w:r>
      <w:r w:rsidRPr="009E6473">
        <w:rPr>
          <w:rFonts w:ascii="Verdana" w:hAnsi="Verdana"/>
          <w:b/>
          <w:bCs/>
        </w:rPr>
        <w:t xml:space="preserve"> GARANTÍAS ELECTORALES ‒ Restricciones ‒ Contratación ‒ Tipos de elección</w:t>
      </w:r>
      <w:r w:rsidRPr="009E6473">
        <w:rPr>
          <w:rFonts w:ascii="Verdana" w:hAnsi="Verdana"/>
          <w:b/>
          <w:bCs/>
        </w:rPr>
        <w:t xml:space="preserve"> </w:t>
      </w:r>
    </w:p>
    <w:p w14:paraId="0858E8FC" w14:textId="77777777" w:rsidR="009E6473" w:rsidRDefault="009E6473" w:rsidP="009E6473">
      <w:pPr>
        <w:spacing w:after="0"/>
        <w:jc w:val="both"/>
        <w:rPr>
          <w:rFonts w:ascii="Verdana" w:hAnsi="Verdana"/>
          <w:b/>
          <w:bCs/>
        </w:rPr>
      </w:pPr>
    </w:p>
    <w:p w14:paraId="2E9834D7" w14:textId="77777777" w:rsidR="009E6473" w:rsidRPr="00E41F23" w:rsidRDefault="009E6473" w:rsidP="009E647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02FDA43" w14:textId="77777777" w:rsidR="009E6473" w:rsidRPr="00E41F23" w:rsidRDefault="009E6473" w:rsidP="009E6473">
      <w:pPr>
        <w:spacing w:after="0" w:line="240" w:lineRule="auto"/>
        <w:jc w:val="both"/>
        <w:rPr>
          <w:rFonts w:ascii="Verdana" w:eastAsia="Calibri" w:hAnsi="Verdana" w:cs="Arial"/>
          <w:sz w:val="20"/>
        </w:rPr>
      </w:pPr>
    </w:p>
    <w:p w14:paraId="66D4F65F" w14:textId="77777777" w:rsidR="009E6473" w:rsidRDefault="009E6473" w:rsidP="009E647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12FC7B49" w14:textId="77777777" w:rsidR="009E6473" w:rsidRPr="00E41F23" w:rsidRDefault="009E6473" w:rsidP="009E6473">
      <w:pPr>
        <w:widowControl w:val="0"/>
        <w:autoSpaceDE w:val="0"/>
        <w:autoSpaceDN w:val="0"/>
        <w:spacing w:after="0" w:line="240" w:lineRule="auto"/>
        <w:ind w:right="113"/>
        <w:jc w:val="both"/>
        <w:rPr>
          <w:rFonts w:ascii="Verdana" w:eastAsia="Arial" w:hAnsi="Verdana" w:cs="Arial"/>
          <w:sz w:val="20"/>
          <w:lang w:val="es-ES" w:eastAsia="es-ES" w:bidi="es-ES"/>
        </w:rPr>
      </w:pPr>
    </w:p>
    <w:p w14:paraId="7B12565D" w14:textId="77777777" w:rsidR="009E6473" w:rsidRDefault="009E6473" w:rsidP="009E647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A889ED3" w14:textId="77777777" w:rsidR="009E6473" w:rsidRDefault="009E6473" w:rsidP="009E6473">
      <w:pPr>
        <w:spacing w:after="0" w:line="240" w:lineRule="auto"/>
        <w:jc w:val="both"/>
        <w:rPr>
          <w:rFonts w:ascii="Verdana" w:eastAsia="Times New Roman" w:hAnsi="Verdana" w:cs="Arial"/>
          <w:bCs/>
          <w:sz w:val="20"/>
          <w:lang w:val="es-ES" w:eastAsia="es-CO"/>
        </w:rPr>
      </w:pPr>
    </w:p>
    <w:p w14:paraId="69FB42AF" w14:textId="77777777" w:rsidR="009E6473" w:rsidRPr="00E41F23" w:rsidRDefault="009E6473" w:rsidP="009E6473">
      <w:pPr>
        <w:spacing w:after="0" w:line="240" w:lineRule="auto"/>
        <w:jc w:val="both"/>
        <w:rPr>
          <w:rFonts w:ascii="Verdana" w:eastAsia="Times New Roman" w:hAnsi="Verdana" w:cs="Arial"/>
          <w:bCs/>
          <w:sz w:val="20"/>
          <w:lang w:val="es-ES" w:eastAsia="es-CO"/>
        </w:rPr>
      </w:pPr>
    </w:p>
    <w:p w14:paraId="3F75CB5C" w14:textId="77777777" w:rsidR="009E6473" w:rsidRDefault="009E6473" w:rsidP="009E6473">
      <w:pPr>
        <w:jc w:val="both"/>
        <w:rPr>
          <w:rFonts w:ascii="Verdana" w:hAnsi="Verdana"/>
          <w:b/>
          <w:bCs/>
        </w:rPr>
      </w:pPr>
      <w:r w:rsidRPr="009E6473">
        <w:rPr>
          <w:rFonts w:ascii="Verdana" w:hAnsi="Verdana"/>
          <w:b/>
          <w:bCs/>
        </w:rPr>
        <w:lastRenderedPageBreak/>
        <w:t>LEY DE GARANTÍAS ELECTORALES</w:t>
      </w:r>
      <w:r w:rsidRPr="009E6473">
        <w:rPr>
          <w:rFonts w:ascii="Verdana" w:hAnsi="Verdana"/>
          <w:b/>
          <w:bCs/>
          <w:spacing w:val="-11"/>
        </w:rPr>
        <w:t xml:space="preserve"> </w:t>
      </w:r>
      <w:r w:rsidRPr="009E6473">
        <w:rPr>
          <w:rFonts w:ascii="Verdana" w:hAnsi="Verdana"/>
          <w:b/>
          <w:bCs/>
        </w:rPr>
        <w:t>‒</w:t>
      </w:r>
      <w:r w:rsidRPr="009E6473">
        <w:rPr>
          <w:rFonts w:ascii="Verdana" w:hAnsi="Verdana"/>
          <w:b/>
          <w:bCs/>
          <w:spacing w:val="-13"/>
        </w:rPr>
        <w:t xml:space="preserve"> </w:t>
      </w:r>
      <w:r w:rsidRPr="009E6473">
        <w:rPr>
          <w:rFonts w:ascii="Verdana" w:hAnsi="Verdana"/>
          <w:b/>
          <w:bCs/>
        </w:rPr>
        <w:t>Artículo</w:t>
      </w:r>
      <w:r w:rsidRPr="009E6473">
        <w:rPr>
          <w:rFonts w:ascii="Verdana" w:hAnsi="Verdana"/>
          <w:b/>
          <w:bCs/>
          <w:spacing w:val="-12"/>
        </w:rPr>
        <w:t xml:space="preserve"> </w:t>
      </w:r>
      <w:r w:rsidRPr="009E6473">
        <w:rPr>
          <w:rFonts w:ascii="Verdana" w:hAnsi="Verdana"/>
          <w:b/>
          <w:bCs/>
        </w:rPr>
        <w:t>33</w:t>
      </w:r>
      <w:r w:rsidRPr="009E6473">
        <w:rPr>
          <w:rFonts w:ascii="Verdana" w:hAnsi="Verdana"/>
          <w:b/>
          <w:bCs/>
          <w:spacing w:val="-13"/>
        </w:rPr>
        <w:t xml:space="preserve"> </w:t>
      </w:r>
      <w:r w:rsidRPr="009E6473">
        <w:rPr>
          <w:rFonts w:ascii="Verdana" w:hAnsi="Verdana"/>
          <w:b/>
          <w:bCs/>
        </w:rPr>
        <w:t>‒</w:t>
      </w:r>
      <w:r w:rsidRPr="009E6473">
        <w:rPr>
          <w:rFonts w:ascii="Verdana" w:hAnsi="Verdana"/>
          <w:b/>
          <w:bCs/>
          <w:spacing w:val="-13"/>
        </w:rPr>
        <w:t xml:space="preserve"> </w:t>
      </w:r>
      <w:r w:rsidRPr="009E6473">
        <w:rPr>
          <w:rFonts w:ascii="Verdana" w:hAnsi="Verdana"/>
          <w:b/>
          <w:bCs/>
        </w:rPr>
        <w:t>Ámbito</w:t>
      </w:r>
      <w:r w:rsidRPr="009E6473">
        <w:rPr>
          <w:rFonts w:ascii="Verdana" w:hAnsi="Verdana"/>
          <w:b/>
          <w:bCs/>
          <w:spacing w:val="-13"/>
        </w:rPr>
        <w:t xml:space="preserve"> </w:t>
      </w:r>
      <w:r w:rsidRPr="009E6473">
        <w:rPr>
          <w:rFonts w:ascii="Verdana" w:hAnsi="Verdana"/>
          <w:b/>
          <w:bCs/>
        </w:rPr>
        <w:t>material</w:t>
      </w:r>
      <w:r w:rsidRPr="009E6473">
        <w:rPr>
          <w:rFonts w:ascii="Verdana" w:hAnsi="Verdana"/>
          <w:b/>
          <w:bCs/>
        </w:rPr>
        <w:t xml:space="preserve"> </w:t>
      </w:r>
    </w:p>
    <w:p w14:paraId="2409BFC4" w14:textId="77777777" w:rsidR="009E6473" w:rsidRDefault="009E6473" w:rsidP="009E6473">
      <w:pPr>
        <w:jc w:val="both"/>
        <w:rPr>
          <w:rFonts w:ascii="Verdana" w:hAnsi="Verdana"/>
          <w:b/>
          <w:bCs/>
        </w:rPr>
      </w:pPr>
    </w:p>
    <w:p w14:paraId="2650837E" w14:textId="77777777" w:rsidR="009E6473" w:rsidRDefault="009E6473" w:rsidP="009E6473">
      <w:pPr>
        <w:spacing w:after="0" w:line="240" w:lineRule="auto"/>
        <w:jc w:val="both"/>
        <w:rPr>
          <w:rFonts w:ascii="Verdana" w:eastAsia="Calibri" w:hAnsi="Verdana" w:cs="Arial"/>
          <w:sz w:val="20"/>
          <w:szCs w:val="20"/>
          <w:lang w:eastAsia="x-none"/>
        </w:rPr>
      </w:pPr>
      <w:r w:rsidRPr="009E6473">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9E6473">
        <w:rPr>
          <w:rFonts w:ascii="Verdana" w:eastAsia="Times New Roman" w:hAnsi="Verdana" w:cs="Arial"/>
          <w:sz w:val="20"/>
          <w:szCs w:val="20"/>
          <w:lang w:eastAsia="en-GB"/>
        </w:rPr>
        <w:t>“</w:t>
      </w:r>
      <w:r w:rsidRPr="009E6473">
        <w:rPr>
          <w:rFonts w:ascii="Verdana" w:eastAsia="Times New Roman" w:hAnsi="Verdana" w:cs="Arial"/>
          <w:sz w:val="20"/>
          <w:szCs w:val="20"/>
          <w:lang w:eastAsia="x-none"/>
        </w:rPr>
        <w:t>cualquier sistema que no implique convocatoria pública y posibilidad de pluralidad de oferentes</w:t>
      </w:r>
      <w:r w:rsidRPr="009E6473">
        <w:rPr>
          <w:rFonts w:ascii="Verdana" w:eastAsia="Times New Roman" w:hAnsi="Verdana" w:cs="Arial"/>
          <w:sz w:val="20"/>
          <w:szCs w:val="20"/>
          <w:lang w:eastAsia="en-GB"/>
        </w:rPr>
        <w:t>”</w:t>
      </w:r>
      <w:r w:rsidRPr="009E6473">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9E6473">
        <w:rPr>
          <w:rFonts w:ascii="Verdana" w:eastAsia="Times New Roman" w:hAnsi="Verdana" w:cs="Arial"/>
          <w:sz w:val="20"/>
          <w:szCs w:val="20"/>
          <w:lang w:val="es-ES_tradnl" w:eastAsia="x-none"/>
        </w:rPr>
        <w:t>y la mínima cuantía</w:t>
      </w:r>
      <w:r w:rsidRPr="009E6473" w:rsidDel="00A85D9F">
        <w:rPr>
          <w:rFonts w:ascii="Verdana" w:eastAsia="Times New Roman" w:hAnsi="Verdana" w:cs="Arial"/>
          <w:sz w:val="20"/>
          <w:szCs w:val="20"/>
          <w:lang w:eastAsia="x-none"/>
        </w:rPr>
        <w:t xml:space="preserve"> </w:t>
      </w:r>
      <w:r w:rsidRPr="009E6473">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9E6473">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06F822AB" w14:textId="77777777" w:rsidR="009E6473" w:rsidRDefault="009E6473" w:rsidP="009E6473">
      <w:pPr>
        <w:spacing w:after="0" w:line="240" w:lineRule="auto"/>
        <w:jc w:val="both"/>
        <w:rPr>
          <w:rFonts w:ascii="Verdana" w:eastAsia="Calibri" w:hAnsi="Verdana" w:cs="Arial"/>
          <w:sz w:val="20"/>
          <w:szCs w:val="20"/>
          <w:lang w:eastAsia="x-none"/>
        </w:rPr>
      </w:pPr>
    </w:p>
    <w:p w14:paraId="2EE7486C" w14:textId="77777777" w:rsidR="009E6473" w:rsidRPr="009E6473" w:rsidRDefault="009E6473" w:rsidP="009E6473">
      <w:pPr>
        <w:spacing w:after="0" w:line="240" w:lineRule="auto"/>
        <w:jc w:val="both"/>
        <w:rPr>
          <w:rFonts w:ascii="Verdana" w:eastAsia="Times New Roman" w:hAnsi="Verdana" w:cs="Arial"/>
          <w:bCs/>
          <w:sz w:val="20"/>
          <w:szCs w:val="20"/>
          <w:lang w:eastAsia="x-none"/>
        </w:rPr>
      </w:pPr>
    </w:p>
    <w:p w14:paraId="44FE4468" w14:textId="51C693BC" w:rsidR="009E6473" w:rsidRDefault="009E6473" w:rsidP="009E6473">
      <w:pPr>
        <w:rPr>
          <w:rFonts w:ascii="Verdana" w:hAnsi="Verdana"/>
          <w:b/>
          <w:bCs/>
          <w:spacing w:val="-2"/>
        </w:rPr>
      </w:pPr>
      <w:r w:rsidRPr="009E6473">
        <w:rPr>
          <w:rFonts w:ascii="Verdana" w:hAnsi="Verdana"/>
          <w:b/>
          <w:bCs/>
        </w:rPr>
        <w:t>LEY</w:t>
      </w:r>
      <w:r w:rsidRPr="009E6473">
        <w:rPr>
          <w:rFonts w:ascii="Verdana" w:hAnsi="Verdana"/>
          <w:b/>
          <w:bCs/>
          <w:spacing w:val="-13"/>
        </w:rPr>
        <w:t xml:space="preserve"> </w:t>
      </w:r>
      <w:r w:rsidRPr="009E6473">
        <w:rPr>
          <w:rFonts w:ascii="Verdana" w:hAnsi="Verdana"/>
          <w:b/>
          <w:bCs/>
        </w:rPr>
        <w:t xml:space="preserve">DE GARANTÍAS ELECTORALES ‒ Artículo 38 – Contratos </w:t>
      </w:r>
      <w:r w:rsidRPr="009E6473">
        <w:rPr>
          <w:rFonts w:ascii="Verdana" w:hAnsi="Verdana"/>
          <w:b/>
          <w:bCs/>
          <w:spacing w:val="-2"/>
        </w:rPr>
        <w:t>interadministrativos</w:t>
      </w:r>
    </w:p>
    <w:p w14:paraId="0CC943D4" w14:textId="77777777" w:rsidR="009E6473" w:rsidRDefault="009E6473" w:rsidP="009E6473">
      <w:pPr>
        <w:spacing w:after="0"/>
        <w:rPr>
          <w:rFonts w:ascii="Verdana" w:hAnsi="Verdana"/>
          <w:b/>
          <w:bCs/>
          <w:spacing w:val="-2"/>
        </w:rPr>
      </w:pPr>
    </w:p>
    <w:p w14:paraId="455A9617" w14:textId="77777777" w:rsidR="009E6473" w:rsidRDefault="009E6473" w:rsidP="009E6473">
      <w:pPr>
        <w:spacing w:after="0" w:line="240" w:lineRule="auto"/>
        <w:jc w:val="both"/>
        <w:rPr>
          <w:rFonts w:ascii="Verdana" w:hAnsi="Verdana"/>
          <w:sz w:val="20"/>
        </w:rPr>
      </w:pPr>
      <w:r w:rsidRPr="007F019B">
        <w:rPr>
          <w:rFonts w:ascii="Verdana" w:hAnsi="Verdana"/>
          <w:sz w:val="20"/>
        </w:rPr>
        <w:t>En este contexto, se encuentra la Resolución 574 de 2022 del Ministerio de Vivienda, Ciudad y Territorio que regula que este organismo implementa el Programa de Conexiones Intradomiciliarias (PCI) de agua potable y saneamiento básico, seleccionando entre los municipios preseleccionados aquellos que serán intervenidos según los recursos disponibles, el interés de las entidades territoriales y la identificación de problemáticas de conectividad en barrios y centros poblados rurales. En esta etapa se acuerdan las condiciones de la contrapartida, conforme al artículo 2.3.4.4.8 del Decreto 1077 de 2015, y los compromisos de las partes, consignados en el convenio interadministrativo de cooperación regulado en el artículo 2.3.4.4.11 del mismo decreto. Además, pueden vincularse otras entidades que aporten apoyo técnico o financiero, siendo obligación de las entidades territoriales contribuir en dinero o en especie, al menos con los costos de socialización del programa, en los términos definidos por el Ministerio.</w:t>
      </w:r>
    </w:p>
    <w:p w14:paraId="3F3CB8F6" w14:textId="77777777" w:rsidR="009E6473" w:rsidRPr="007F019B" w:rsidRDefault="009E6473" w:rsidP="009E6473">
      <w:pPr>
        <w:spacing w:after="0" w:line="240" w:lineRule="auto"/>
        <w:jc w:val="both"/>
        <w:rPr>
          <w:rFonts w:ascii="Verdana" w:hAnsi="Verdana"/>
          <w:sz w:val="20"/>
        </w:rPr>
      </w:pPr>
    </w:p>
    <w:p w14:paraId="17908F95" w14:textId="77777777" w:rsidR="009E6473" w:rsidRDefault="009E6473" w:rsidP="009E6473">
      <w:pPr>
        <w:spacing w:after="0" w:line="240" w:lineRule="auto"/>
        <w:jc w:val="both"/>
        <w:rPr>
          <w:rFonts w:ascii="Verdana" w:hAnsi="Verdana"/>
          <w:bCs/>
          <w:sz w:val="20"/>
          <w:lang w:val="es-MX"/>
        </w:rPr>
      </w:pPr>
      <w:r w:rsidRPr="007F019B">
        <w:rPr>
          <w:rFonts w:ascii="Verdana" w:hAnsi="Verdana"/>
          <w:sz w:val="20"/>
        </w:rPr>
        <w:t xml:space="preserve">Dichos convenios interadministrativos de cooperación que se adelantan con fundamento en estos programas se encuentran en la restricción del artículo 33 de la Ley 996 de 2005, al estar la restricción que </w:t>
      </w:r>
      <w:r w:rsidRPr="007F019B">
        <w:rPr>
          <w:rFonts w:ascii="Verdana" w:hAnsi="Verdana"/>
          <w:bCs/>
          <w:sz w:val="20"/>
          <w:lang w:val="es-MX"/>
        </w:rPr>
        <w:t>prohíbe adelantar cualquier modalidad de contratación bajo la figura de contratación directa, entendida como todo mecanismo no competitivo. Es decir, dicha restricción aplica en aquellos supuestos, en los que se pretenda celebrar convenios interadministrativos de cooperación de forma directa, que están sujetas a la restricción del artículo 33 de la Ley 996 de 2005. 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w:t>
      </w:r>
    </w:p>
    <w:p w14:paraId="1FE11548" w14:textId="77777777" w:rsidR="009E6473" w:rsidRPr="007F019B" w:rsidRDefault="009E6473" w:rsidP="009E6473">
      <w:pPr>
        <w:spacing w:after="0" w:line="240" w:lineRule="auto"/>
        <w:jc w:val="both"/>
        <w:rPr>
          <w:rFonts w:ascii="Verdana" w:hAnsi="Verdana"/>
          <w:bCs/>
          <w:sz w:val="20"/>
          <w:lang w:val="es-MX"/>
        </w:rPr>
      </w:pPr>
      <w:r w:rsidRPr="007F019B">
        <w:rPr>
          <w:rFonts w:ascii="Verdana" w:hAnsi="Verdana"/>
          <w:bCs/>
          <w:sz w:val="20"/>
          <w:lang w:val="es-MX"/>
        </w:rPr>
        <w:t xml:space="preserve"> </w:t>
      </w:r>
    </w:p>
    <w:p w14:paraId="18FA2FF1" w14:textId="77777777" w:rsidR="009E6473" w:rsidRPr="007F019B" w:rsidRDefault="009E6473" w:rsidP="009E6473">
      <w:pPr>
        <w:spacing w:after="0" w:line="240" w:lineRule="auto"/>
        <w:jc w:val="both"/>
        <w:rPr>
          <w:rFonts w:ascii="Verdana" w:hAnsi="Verdana"/>
          <w:sz w:val="20"/>
        </w:rPr>
      </w:pPr>
      <w:r w:rsidRPr="007F019B">
        <w:rPr>
          <w:rFonts w:ascii="Verdana" w:hAnsi="Verdana"/>
          <w:sz w:val="20"/>
        </w:rPr>
        <w:t>De igual manera, resulta pertinente precisar que los convenios interadministrativos de cooperación suscritos entre entidades del orden nacional y las entidades territoriales —departamentos, distritos, municipios y entidades descentralizadas—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4CE71B24" w14:textId="77777777" w:rsidR="009E6473" w:rsidRPr="009E6473" w:rsidRDefault="009E6473" w:rsidP="009E6473">
      <w:pPr>
        <w:rPr>
          <w:rFonts w:ascii="Verdana" w:hAnsi="Verdana"/>
          <w:b/>
          <w:bCs/>
        </w:rPr>
      </w:pPr>
    </w:p>
    <w:p w14:paraId="5FAFA0B8" w14:textId="77777777" w:rsidR="009E6473" w:rsidRDefault="009E6473" w:rsidP="009E6473">
      <w:pPr>
        <w:jc w:val="both"/>
        <w:rPr>
          <w:rFonts w:ascii="Verdana" w:hAnsi="Verdana"/>
          <w:b/>
          <w:bCs/>
          <w:sz w:val="20"/>
          <w:szCs w:val="20"/>
        </w:rPr>
      </w:pPr>
    </w:p>
    <w:p w14:paraId="24AED28E" w14:textId="77777777" w:rsidR="009E6473" w:rsidRDefault="009E6473" w:rsidP="009E6473">
      <w:pPr>
        <w:jc w:val="both"/>
        <w:rPr>
          <w:rFonts w:ascii="Verdana" w:hAnsi="Verdana"/>
          <w:b/>
          <w:bCs/>
          <w:sz w:val="20"/>
          <w:szCs w:val="20"/>
        </w:rPr>
      </w:pPr>
    </w:p>
    <w:p w14:paraId="12969335" w14:textId="77777777" w:rsidR="009E6473" w:rsidRDefault="009E6473" w:rsidP="009E6473">
      <w:pPr>
        <w:jc w:val="both"/>
        <w:rPr>
          <w:rFonts w:ascii="Verdana" w:hAnsi="Verdana"/>
          <w:b/>
          <w:bCs/>
          <w:sz w:val="20"/>
          <w:szCs w:val="20"/>
        </w:rPr>
      </w:pPr>
    </w:p>
    <w:p w14:paraId="70342873" w14:textId="77777777" w:rsidR="009E6473" w:rsidRDefault="009E6473" w:rsidP="009E6473">
      <w:pPr>
        <w:jc w:val="both"/>
        <w:rPr>
          <w:rFonts w:ascii="Verdana" w:hAnsi="Verdana"/>
          <w:b/>
          <w:bCs/>
          <w:sz w:val="20"/>
          <w:szCs w:val="20"/>
        </w:rPr>
      </w:pPr>
    </w:p>
    <w:p w14:paraId="63575258" w14:textId="77777777" w:rsidR="009E6473" w:rsidRDefault="009E6473" w:rsidP="009E6473">
      <w:pPr>
        <w:jc w:val="both"/>
        <w:rPr>
          <w:rFonts w:ascii="Verdana" w:hAnsi="Verdana"/>
          <w:b/>
          <w:bCs/>
          <w:sz w:val="20"/>
          <w:szCs w:val="20"/>
        </w:rPr>
      </w:pPr>
    </w:p>
    <w:p w14:paraId="78D67DED" w14:textId="77777777" w:rsidR="009E6473" w:rsidRDefault="009E6473" w:rsidP="009E6473">
      <w:pPr>
        <w:jc w:val="both"/>
        <w:rPr>
          <w:rFonts w:ascii="Verdana" w:hAnsi="Verdana"/>
          <w:b/>
          <w:bCs/>
          <w:sz w:val="20"/>
          <w:szCs w:val="20"/>
        </w:rPr>
      </w:pPr>
    </w:p>
    <w:p w14:paraId="29DF78BA" w14:textId="77777777" w:rsidR="009E6473" w:rsidRDefault="009E6473" w:rsidP="009E6473">
      <w:pPr>
        <w:jc w:val="both"/>
        <w:rPr>
          <w:rFonts w:ascii="Verdana" w:hAnsi="Verdana"/>
          <w:b/>
          <w:bCs/>
          <w:sz w:val="20"/>
          <w:szCs w:val="20"/>
        </w:rPr>
      </w:pPr>
    </w:p>
    <w:p w14:paraId="682E9D88" w14:textId="77777777" w:rsidR="009E6473" w:rsidRDefault="009E6473" w:rsidP="009E6473">
      <w:pPr>
        <w:jc w:val="both"/>
        <w:rPr>
          <w:rFonts w:ascii="Verdana" w:hAnsi="Verdana"/>
          <w:b/>
          <w:bCs/>
          <w:sz w:val="20"/>
          <w:szCs w:val="20"/>
        </w:rPr>
      </w:pPr>
    </w:p>
    <w:p w14:paraId="3FD72644" w14:textId="77777777" w:rsidR="009E6473" w:rsidRDefault="009E6473" w:rsidP="009E6473">
      <w:pPr>
        <w:jc w:val="both"/>
        <w:rPr>
          <w:rFonts w:ascii="Verdana" w:hAnsi="Verdana"/>
          <w:b/>
          <w:bCs/>
          <w:sz w:val="20"/>
          <w:szCs w:val="20"/>
        </w:rPr>
      </w:pPr>
    </w:p>
    <w:p w14:paraId="2BD24261" w14:textId="77777777" w:rsidR="009E6473" w:rsidRDefault="009E6473" w:rsidP="009E6473">
      <w:pPr>
        <w:jc w:val="both"/>
        <w:rPr>
          <w:rFonts w:ascii="Verdana" w:hAnsi="Verdana"/>
          <w:b/>
          <w:bCs/>
          <w:sz w:val="20"/>
          <w:szCs w:val="20"/>
        </w:rPr>
      </w:pPr>
    </w:p>
    <w:p w14:paraId="65E6558A" w14:textId="77777777" w:rsidR="009E6473" w:rsidRDefault="009E6473" w:rsidP="009E6473">
      <w:pPr>
        <w:jc w:val="both"/>
        <w:rPr>
          <w:rFonts w:ascii="Verdana" w:hAnsi="Verdana"/>
          <w:b/>
          <w:bCs/>
          <w:sz w:val="20"/>
          <w:szCs w:val="20"/>
        </w:rPr>
      </w:pPr>
    </w:p>
    <w:p w14:paraId="6BF253E2" w14:textId="77777777" w:rsidR="009E6473" w:rsidRDefault="009E6473" w:rsidP="009E6473">
      <w:pPr>
        <w:jc w:val="both"/>
        <w:rPr>
          <w:rFonts w:ascii="Verdana" w:hAnsi="Verdana"/>
          <w:b/>
          <w:bCs/>
          <w:sz w:val="20"/>
          <w:szCs w:val="20"/>
        </w:rPr>
      </w:pPr>
    </w:p>
    <w:p w14:paraId="02CEB36B" w14:textId="77777777" w:rsidR="009E6473" w:rsidRDefault="009E6473" w:rsidP="009E6473">
      <w:pPr>
        <w:jc w:val="both"/>
        <w:rPr>
          <w:rFonts w:ascii="Verdana" w:hAnsi="Verdana"/>
          <w:b/>
          <w:bCs/>
          <w:sz w:val="20"/>
          <w:szCs w:val="20"/>
        </w:rPr>
      </w:pPr>
    </w:p>
    <w:p w14:paraId="14095D54" w14:textId="77777777" w:rsidR="009E6473" w:rsidRDefault="009E6473" w:rsidP="009E6473">
      <w:pPr>
        <w:jc w:val="both"/>
        <w:rPr>
          <w:rFonts w:ascii="Verdana" w:hAnsi="Verdana"/>
          <w:b/>
          <w:bCs/>
          <w:sz w:val="20"/>
          <w:szCs w:val="20"/>
        </w:rPr>
      </w:pPr>
    </w:p>
    <w:p w14:paraId="3D551F46" w14:textId="77777777" w:rsidR="009E6473" w:rsidRDefault="009E6473" w:rsidP="009E6473">
      <w:pPr>
        <w:jc w:val="both"/>
        <w:rPr>
          <w:rFonts w:ascii="Verdana" w:hAnsi="Verdana"/>
          <w:b/>
          <w:bCs/>
          <w:sz w:val="20"/>
          <w:szCs w:val="20"/>
        </w:rPr>
      </w:pPr>
    </w:p>
    <w:p w14:paraId="071ABE70" w14:textId="77777777" w:rsidR="009E6473" w:rsidRDefault="009E6473" w:rsidP="009E6473">
      <w:pPr>
        <w:jc w:val="both"/>
        <w:rPr>
          <w:rFonts w:ascii="Verdana" w:hAnsi="Verdana"/>
          <w:b/>
          <w:bCs/>
          <w:sz w:val="20"/>
          <w:szCs w:val="20"/>
        </w:rPr>
      </w:pPr>
    </w:p>
    <w:p w14:paraId="675FAEFB" w14:textId="77777777" w:rsidR="009E6473" w:rsidRDefault="009E6473" w:rsidP="009E6473">
      <w:pPr>
        <w:jc w:val="both"/>
        <w:rPr>
          <w:rFonts w:ascii="Verdana" w:hAnsi="Verdana"/>
          <w:b/>
          <w:bCs/>
          <w:sz w:val="20"/>
          <w:szCs w:val="20"/>
        </w:rPr>
      </w:pPr>
    </w:p>
    <w:p w14:paraId="1F3450B5" w14:textId="77777777" w:rsidR="009E6473" w:rsidRDefault="009E6473" w:rsidP="009E6473">
      <w:pPr>
        <w:jc w:val="both"/>
        <w:rPr>
          <w:rFonts w:ascii="Verdana" w:hAnsi="Verdana"/>
          <w:b/>
          <w:bCs/>
          <w:sz w:val="20"/>
          <w:szCs w:val="20"/>
        </w:rPr>
      </w:pPr>
    </w:p>
    <w:p w14:paraId="3512B14A" w14:textId="77777777" w:rsidR="009E6473" w:rsidRDefault="009E6473" w:rsidP="009E6473">
      <w:pPr>
        <w:jc w:val="both"/>
        <w:rPr>
          <w:rFonts w:ascii="Verdana" w:hAnsi="Verdana"/>
          <w:b/>
          <w:bCs/>
          <w:sz w:val="20"/>
          <w:szCs w:val="20"/>
        </w:rPr>
      </w:pPr>
    </w:p>
    <w:p w14:paraId="086A2D28" w14:textId="77777777" w:rsidR="009E6473" w:rsidRDefault="009E6473" w:rsidP="009E6473">
      <w:pPr>
        <w:jc w:val="both"/>
        <w:rPr>
          <w:rFonts w:ascii="Verdana" w:hAnsi="Verdana"/>
          <w:b/>
          <w:bCs/>
          <w:sz w:val="20"/>
          <w:szCs w:val="20"/>
        </w:rPr>
      </w:pPr>
    </w:p>
    <w:p w14:paraId="4B2A42C2" w14:textId="77777777" w:rsidR="009E6473" w:rsidRDefault="009E6473" w:rsidP="009E6473">
      <w:pPr>
        <w:jc w:val="both"/>
        <w:rPr>
          <w:rFonts w:ascii="Verdana" w:hAnsi="Verdana"/>
          <w:b/>
          <w:bCs/>
          <w:sz w:val="20"/>
          <w:szCs w:val="20"/>
        </w:rPr>
      </w:pPr>
    </w:p>
    <w:p w14:paraId="26748C69" w14:textId="77777777" w:rsidR="009E6473" w:rsidRDefault="009E6473" w:rsidP="009E6473">
      <w:pPr>
        <w:jc w:val="both"/>
        <w:rPr>
          <w:rFonts w:ascii="Verdana" w:hAnsi="Verdana"/>
          <w:b/>
          <w:bCs/>
          <w:sz w:val="20"/>
          <w:szCs w:val="20"/>
        </w:rPr>
      </w:pPr>
    </w:p>
    <w:p w14:paraId="61F87495" w14:textId="77777777" w:rsidR="009E6473" w:rsidRDefault="009E6473" w:rsidP="009E6473">
      <w:pPr>
        <w:jc w:val="both"/>
        <w:rPr>
          <w:rFonts w:ascii="Verdana" w:hAnsi="Verdana"/>
          <w:b/>
          <w:bCs/>
          <w:sz w:val="20"/>
          <w:szCs w:val="20"/>
        </w:rPr>
      </w:pPr>
    </w:p>
    <w:p w14:paraId="1468C46D" w14:textId="603B6758" w:rsidR="00C15139" w:rsidRPr="009E6473" w:rsidRDefault="00C15139" w:rsidP="009E6473">
      <w:pPr>
        <w:jc w:val="both"/>
        <w:rPr>
          <w:rFonts w:ascii="Verdana" w:hAnsi="Verdana"/>
          <w:b/>
          <w:bCs/>
          <w:sz w:val="20"/>
          <w:szCs w:val="20"/>
        </w:rPr>
      </w:pPr>
      <w:r w:rsidRPr="0024624F">
        <w:rPr>
          <w:rFonts w:ascii="Verdana" w:hAnsi="Verdana"/>
        </w:rPr>
        <w:t xml:space="preserve">Bogotá D.C., </w:t>
      </w:r>
      <w:r w:rsidR="009E6473">
        <w:rPr>
          <w:rFonts w:ascii="Verdana" w:hAnsi="Verdana"/>
        </w:rPr>
        <w:t>09 de febrero de 2026</w:t>
      </w:r>
      <w:r w:rsidRPr="000E2B93">
        <w:rPr>
          <w:rFonts w:ascii="Verdana" w:hAnsi="Verdana"/>
        </w:rPr>
        <w:tab/>
      </w:r>
      <w:r w:rsidRPr="000E2B93">
        <w:rPr>
          <w:rFonts w:ascii="Verdana" w:hAnsi="Verdana"/>
        </w:rPr>
        <w:br/>
      </w:r>
      <w:r w:rsidRPr="0024624F">
        <w:rPr>
          <w:rFonts w:ascii="Verdana" w:hAnsi="Verdana"/>
        </w:rPr>
        <w:tab/>
      </w:r>
    </w:p>
    <w:p w14:paraId="12443EE0" w14:textId="6FA6D68B" w:rsidR="00C15139" w:rsidRPr="0024624F" w:rsidRDefault="009E6473" w:rsidP="00C15139">
      <w:pPr>
        <w:spacing w:after="0"/>
        <w:rPr>
          <w:rFonts w:ascii="Verdana" w:hAnsi="Verdana"/>
        </w:rPr>
      </w:pPr>
      <w:r>
        <w:rPr>
          <w:noProof/>
        </w:rPr>
        <w:drawing>
          <wp:anchor distT="0" distB="0" distL="0" distR="0" simplePos="0" relativeHeight="251660800" behindDoc="1" locked="0" layoutInCell="1" allowOverlap="1" wp14:anchorId="43540F22" wp14:editId="6E78CDD3">
            <wp:simplePos x="0" y="0"/>
            <wp:positionH relativeFrom="page">
              <wp:posOffset>4851400</wp:posOffset>
            </wp:positionH>
            <wp:positionV relativeFrom="paragraph">
              <wp:posOffset>161290</wp:posOffset>
            </wp:positionV>
            <wp:extent cx="1924050" cy="661670"/>
            <wp:effectExtent l="0" t="0" r="0" b="5080"/>
            <wp:wrapTight wrapText="bothSides">
              <wp:wrapPolygon edited="0">
                <wp:start x="0" y="0"/>
                <wp:lineTo x="0" y="21144"/>
                <wp:lineTo x="21386" y="21144"/>
                <wp:lineTo x="21386" y="0"/>
                <wp:lineTo x="0" y="0"/>
              </wp:wrapPolygon>
            </wp:wrapTight>
            <wp:docPr id="6" name="Image 6"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Texto&#10;&#10;El contenido generado por IA puede ser incorrecto."/>
                    <pic:cNvPicPr/>
                  </pic:nvPicPr>
                  <pic:blipFill>
                    <a:blip r:embed="rId10" cstate="print"/>
                    <a:stretch>
                      <a:fillRect/>
                    </a:stretch>
                  </pic:blipFill>
                  <pic:spPr>
                    <a:xfrm>
                      <a:off x="0" y="0"/>
                      <a:ext cx="1924050" cy="661670"/>
                    </a:xfrm>
                    <a:prstGeom prst="rect">
                      <a:avLst/>
                    </a:prstGeom>
                  </pic:spPr>
                </pic:pic>
              </a:graphicData>
            </a:graphic>
            <wp14:sizeRelH relativeFrom="margin">
              <wp14:pctWidth>0</wp14:pctWidth>
            </wp14:sizeRelH>
            <wp14:sizeRelV relativeFrom="margin">
              <wp14:pctHeight>0</wp14:pctHeight>
            </wp14:sizeRelV>
          </wp:anchor>
        </w:drawing>
      </w:r>
    </w:p>
    <w:p w14:paraId="4EED72CF" w14:textId="6FFA47F1" w:rsidR="00C15139" w:rsidRDefault="00C15139" w:rsidP="00271EC5">
      <w:pPr>
        <w:spacing w:after="0"/>
        <w:rPr>
          <w:rFonts w:ascii="Verdana" w:hAnsi="Verdana"/>
          <w:lang w:val="es-MX"/>
        </w:rPr>
      </w:pPr>
      <w:r w:rsidRPr="0024624F">
        <w:rPr>
          <w:rFonts w:ascii="Verdana" w:hAnsi="Verdana"/>
          <w:lang w:val="es-MX"/>
        </w:rPr>
        <w:t>Señor</w:t>
      </w:r>
    </w:p>
    <w:p w14:paraId="4EF21602" w14:textId="5C154ADB" w:rsidR="00271EC5" w:rsidRPr="003D3D93" w:rsidRDefault="00271EC5" w:rsidP="00271EC5">
      <w:pPr>
        <w:spacing w:after="0"/>
        <w:rPr>
          <w:rFonts w:ascii="Verdana" w:hAnsi="Verdana"/>
          <w:b/>
          <w:bCs/>
          <w:lang w:val="es-MX"/>
        </w:rPr>
      </w:pPr>
      <w:r w:rsidRPr="003D3D93">
        <w:rPr>
          <w:rFonts w:ascii="Verdana" w:hAnsi="Verdana"/>
          <w:b/>
          <w:bCs/>
          <w:lang w:val="es-MX"/>
        </w:rPr>
        <w:t xml:space="preserve">Diego Fernando Andrade Santofimio </w:t>
      </w:r>
    </w:p>
    <w:p w14:paraId="7E59DD9C" w14:textId="71F2D14C" w:rsidR="00271EC5" w:rsidRDefault="003D3D93" w:rsidP="00271EC5">
      <w:pPr>
        <w:spacing w:after="0"/>
        <w:rPr>
          <w:rFonts w:ascii="Verdana" w:hAnsi="Verdana"/>
          <w:lang w:val="es-MX"/>
        </w:rPr>
      </w:pPr>
      <w:hyperlink r:id="rId11" w:history="1">
        <w:r w:rsidRPr="005F2379">
          <w:rPr>
            <w:rStyle w:val="Hipervnculo"/>
            <w:rFonts w:ascii="Verdana" w:hAnsi="Verdana"/>
            <w:lang w:val="es-MX"/>
          </w:rPr>
          <w:t>diferansa@gmail.com</w:t>
        </w:r>
      </w:hyperlink>
      <w:r>
        <w:rPr>
          <w:rFonts w:ascii="Verdana" w:hAnsi="Verdana"/>
          <w:lang w:val="es-MX"/>
        </w:rPr>
        <w:t xml:space="preserve"> </w:t>
      </w:r>
    </w:p>
    <w:p w14:paraId="605525F5" w14:textId="0CD0D748" w:rsidR="003D3D93" w:rsidRPr="00271EC5" w:rsidRDefault="003D3D93" w:rsidP="00271EC5">
      <w:pPr>
        <w:spacing w:after="0"/>
        <w:rPr>
          <w:rFonts w:ascii="Verdana" w:hAnsi="Verdana"/>
          <w:lang w:val="es-MX"/>
        </w:rPr>
      </w:pPr>
      <w:r>
        <w:rPr>
          <w:rFonts w:ascii="Verdana" w:hAnsi="Verdana"/>
          <w:lang w:val="es-MX"/>
        </w:rPr>
        <w:t xml:space="preserve">Florencia, </w:t>
      </w:r>
      <w:r w:rsidR="00A82814">
        <w:rPr>
          <w:rFonts w:ascii="Verdana" w:hAnsi="Verdana"/>
          <w:lang w:val="es-MX"/>
        </w:rPr>
        <w:t xml:space="preserve">Caquetá  </w:t>
      </w:r>
    </w:p>
    <w:bookmarkEnd w:id="0"/>
    <w:p w14:paraId="3F327BAA" w14:textId="77777777" w:rsidR="00F10405" w:rsidRPr="00F10405" w:rsidRDefault="00F10405" w:rsidP="00F10405">
      <w:pPr>
        <w:spacing w:after="0" w:line="240" w:lineRule="auto"/>
        <w:jc w:val="both"/>
        <w:textAlignment w:val="baseline"/>
        <w:rPr>
          <w:rFonts w:ascii="Verdana" w:eastAsia="Times New Roman" w:hAnsi="Verdana" w:cs="Segoe UI"/>
          <w:b/>
          <w:bCs/>
          <w:lang w:val="es-ES_tradnl" w:eastAsia="es-CO"/>
        </w:rPr>
      </w:pPr>
    </w:p>
    <w:p w14:paraId="0EBEFC88" w14:textId="77777777" w:rsidR="00F10405" w:rsidRPr="00F10405" w:rsidRDefault="00F10405" w:rsidP="00F10405">
      <w:pPr>
        <w:spacing w:after="0" w:line="240" w:lineRule="auto"/>
        <w:jc w:val="both"/>
        <w:textAlignment w:val="baseline"/>
        <w:rPr>
          <w:rFonts w:ascii="Verdana" w:eastAsia="Times New Roman" w:hAnsi="Verdana" w:cs="Segoe UI"/>
          <w:b/>
          <w:bCs/>
          <w:lang w:val="es-ES_tradnl" w:eastAsia="es-CO"/>
        </w:rPr>
      </w:pPr>
    </w:p>
    <w:p w14:paraId="461E9AE6" w14:textId="0C739E9B" w:rsidR="009E6473" w:rsidRDefault="009E6473" w:rsidP="009E6473">
      <w:pPr>
        <w:pStyle w:val="Ttulo1"/>
        <w:ind w:left="0" w:right="790" w:firstLine="0"/>
        <w:jc w:val="center"/>
        <w:rPr>
          <w:spacing w:val="-4"/>
        </w:rPr>
      </w:pPr>
      <w:r>
        <w:t xml:space="preserve">           </w:t>
      </w:r>
      <w:r>
        <w:t>Concepto</w:t>
      </w:r>
      <w:r>
        <w:rPr>
          <w:spacing w:val="-8"/>
        </w:rPr>
        <w:t xml:space="preserve"> </w:t>
      </w:r>
      <w:r>
        <w:t>C</w:t>
      </w:r>
      <w:r>
        <w:rPr>
          <w:spacing w:val="-5"/>
        </w:rPr>
        <w:t xml:space="preserve"> </w:t>
      </w:r>
      <w:r>
        <w:t>–</w:t>
      </w:r>
      <w:r>
        <w:rPr>
          <w:spacing w:val="-8"/>
        </w:rPr>
        <w:t xml:space="preserve"> </w:t>
      </w:r>
      <w:r>
        <w:t>1880</w:t>
      </w:r>
      <w:r>
        <w:rPr>
          <w:spacing w:val="-7"/>
        </w:rPr>
        <w:t xml:space="preserve"> </w:t>
      </w:r>
      <w:r>
        <w:t>de</w:t>
      </w:r>
      <w:r>
        <w:rPr>
          <w:spacing w:val="-7"/>
        </w:rPr>
        <w:t xml:space="preserve"> </w:t>
      </w:r>
      <w:r>
        <w:rPr>
          <w:spacing w:val="-4"/>
        </w:rPr>
        <w:t>2025</w:t>
      </w:r>
    </w:p>
    <w:p w14:paraId="0EBC1C3D" w14:textId="77777777" w:rsidR="009E6473" w:rsidRDefault="009E6473" w:rsidP="009E6473">
      <w:pPr>
        <w:pStyle w:val="Ttulo1"/>
        <w:ind w:left="0" w:right="790" w:firstLine="0"/>
        <w:jc w:val="center"/>
      </w:pPr>
    </w:p>
    <w:p w14:paraId="0DC24124" w14:textId="2AF5C3C0" w:rsidR="009E6473" w:rsidRDefault="009E6473" w:rsidP="009E6473">
      <w:pPr>
        <w:pStyle w:val="Textoindependiente"/>
        <w:tabs>
          <w:tab w:val="left" w:pos="2949"/>
        </w:tabs>
        <w:ind w:left="260"/>
        <w:jc w:val="both"/>
      </w:pPr>
      <w:r>
        <w:rPr>
          <w:b/>
          <w:spacing w:val="-2"/>
        </w:rPr>
        <w:t>Temas:</w:t>
      </w:r>
      <w:r>
        <w:rPr>
          <w:b/>
        </w:rPr>
        <w:t xml:space="preserve">                       </w:t>
      </w:r>
      <w:r>
        <w:t xml:space="preserve"> </w:t>
      </w:r>
      <w:r>
        <w:t>LEY</w:t>
      </w:r>
      <w:r>
        <w:rPr>
          <w:spacing w:val="-17"/>
        </w:rPr>
        <w:t xml:space="preserve"> </w:t>
      </w:r>
      <w:r>
        <w:t>DE</w:t>
      </w:r>
      <w:r>
        <w:rPr>
          <w:spacing w:val="-16"/>
        </w:rPr>
        <w:t xml:space="preserve"> </w:t>
      </w:r>
      <w:r>
        <w:t>GARANTÍAS</w:t>
      </w:r>
      <w:r>
        <w:rPr>
          <w:spacing w:val="-15"/>
        </w:rPr>
        <w:t xml:space="preserve"> </w:t>
      </w:r>
      <w:r>
        <w:t>ELECTORALES</w:t>
      </w:r>
      <w:r>
        <w:rPr>
          <w:spacing w:val="-14"/>
        </w:rPr>
        <w:t xml:space="preserve"> </w:t>
      </w:r>
      <w:r>
        <w:t>–</w:t>
      </w:r>
      <w:r>
        <w:rPr>
          <w:spacing w:val="-18"/>
        </w:rPr>
        <w:t xml:space="preserve"> </w:t>
      </w:r>
      <w:r>
        <w:t>Finalidad</w:t>
      </w:r>
      <w:r>
        <w:rPr>
          <w:spacing w:val="-14"/>
        </w:rPr>
        <w:t xml:space="preserve"> </w:t>
      </w:r>
      <w:r>
        <w:t xml:space="preserve">/ </w:t>
      </w:r>
    </w:p>
    <w:p w14:paraId="7049B45A" w14:textId="7FB439F8" w:rsidR="009E6473" w:rsidRDefault="009E6473" w:rsidP="009E6473">
      <w:pPr>
        <w:pStyle w:val="Textoindependiente"/>
        <w:spacing w:before="40" w:line="276" w:lineRule="auto"/>
        <w:ind w:left="2950" w:right="1028"/>
        <w:jc w:val="both"/>
      </w:pPr>
      <w:r>
        <w:t>LEY</w:t>
      </w:r>
      <w:r>
        <w:rPr>
          <w:spacing w:val="-17"/>
        </w:rPr>
        <w:t xml:space="preserve"> </w:t>
      </w:r>
      <w:r>
        <w:rPr>
          <w:spacing w:val="-5"/>
        </w:rPr>
        <w:t>DE</w:t>
      </w:r>
      <w:r>
        <w:t xml:space="preserve"> </w:t>
      </w:r>
      <w:r>
        <w:t>GARANTÍAS ELECTORALES ‒ Restricciones ‒ Contratación ‒ Tipos de elección / LEY DE GARANTÍAS ELECTORALES</w:t>
      </w:r>
      <w:r>
        <w:rPr>
          <w:spacing w:val="-11"/>
        </w:rPr>
        <w:t xml:space="preserve"> </w:t>
      </w:r>
      <w:r>
        <w:t>‒</w:t>
      </w:r>
      <w:r>
        <w:rPr>
          <w:spacing w:val="-13"/>
        </w:rPr>
        <w:t xml:space="preserve"> </w:t>
      </w:r>
      <w:r>
        <w:t>Artículo</w:t>
      </w:r>
      <w:r>
        <w:rPr>
          <w:spacing w:val="-12"/>
        </w:rPr>
        <w:t xml:space="preserve"> </w:t>
      </w:r>
      <w:r>
        <w:t>33</w:t>
      </w:r>
      <w:r>
        <w:rPr>
          <w:spacing w:val="-13"/>
        </w:rPr>
        <w:t xml:space="preserve"> </w:t>
      </w:r>
      <w:r>
        <w:t>‒</w:t>
      </w:r>
      <w:r>
        <w:rPr>
          <w:spacing w:val="-13"/>
        </w:rPr>
        <w:t xml:space="preserve"> </w:t>
      </w:r>
      <w:r>
        <w:t>Ámbito</w:t>
      </w:r>
      <w:r>
        <w:rPr>
          <w:spacing w:val="-13"/>
        </w:rPr>
        <w:t xml:space="preserve"> </w:t>
      </w:r>
      <w:r>
        <w:t>material</w:t>
      </w:r>
      <w:r>
        <w:rPr>
          <w:spacing w:val="-12"/>
        </w:rPr>
        <w:t xml:space="preserve"> </w:t>
      </w:r>
      <w:r>
        <w:t>/</w:t>
      </w:r>
      <w:r>
        <w:rPr>
          <w:spacing w:val="-13"/>
        </w:rPr>
        <w:t xml:space="preserve"> </w:t>
      </w:r>
      <w:r>
        <w:t>LEY</w:t>
      </w:r>
      <w:r>
        <w:rPr>
          <w:spacing w:val="-13"/>
        </w:rPr>
        <w:t xml:space="preserve"> </w:t>
      </w:r>
      <w:r>
        <w:t xml:space="preserve">DE GARANTÍAS ELECTORALES ‒ Artículo 38 – Contratos </w:t>
      </w:r>
      <w:r>
        <w:rPr>
          <w:spacing w:val="-2"/>
        </w:rPr>
        <w:t>interadministrativos</w:t>
      </w:r>
    </w:p>
    <w:p w14:paraId="5C4E4CDF" w14:textId="5698DC53" w:rsidR="009E6473" w:rsidRPr="009E6473" w:rsidRDefault="009E6473" w:rsidP="009E6473">
      <w:pPr>
        <w:pStyle w:val="Textoindependiente"/>
        <w:tabs>
          <w:tab w:val="left" w:pos="2949"/>
        </w:tabs>
        <w:jc w:val="both"/>
      </w:pPr>
    </w:p>
    <w:p w14:paraId="42E7E1E6" w14:textId="77777777" w:rsidR="009E6473" w:rsidRPr="009E6473" w:rsidRDefault="009E6473" w:rsidP="009E6473">
      <w:pPr>
        <w:tabs>
          <w:tab w:val="left" w:pos="2688"/>
          <w:tab w:val="left" w:pos="4163"/>
          <w:tab w:val="left" w:pos="4630"/>
          <w:tab w:val="left" w:pos="5157"/>
          <w:tab w:val="left" w:pos="6412"/>
          <w:tab w:val="left" w:pos="7135"/>
          <w:tab w:val="left" w:pos="8410"/>
        </w:tabs>
        <w:spacing w:before="170"/>
        <w:ind w:right="767"/>
        <w:jc w:val="center"/>
        <w:rPr>
          <w:rFonts w:ascii="Verdana" w:hAnsi="Verdana"/>
        </w:rPr>
      </w:pPr>
      <w:r w:rsidRPr="009E6473">
        <w:rPr>
          <w:rFonts w:ascii="Verdana" w:hAnsi="Verdana"/>
          <w:b/>
          <w:spacing w:val="-2"/>
        </w:rPr>
        <w:t>Radicación:</w:t>
      </w:r>
      <w:r w:rsidRPr="009E6473">
        <w:rPr>
          <w:rFonts w:ascii="Verdana" w:hAnsi="Verdana"/>
          <w:b/>
        </w:rPr>
        <w:tab/>
      </w:r>
      <w:r w:rsidRPr="009E6473">
        <w:rPr>
          <w:rFonts w:ascii="Verdana" w:hAnsi="Verdana"/>
          <w:spacing w:val="-2"/>
        </w:rPr>
        <w:t>Respuesta</w:t>
      </w:r>
      <w:r w:rsidRPr="009E6473">
        <w:rPr>
          <w:rFonts w:ascii="Verdana" w:hAnsi="Verdana"/>
        </w:rPr>
        <w:tab/>
      </w:r>
      <w:r w:rsidRPr="009E6473">
        <w:rPr>
          <w:rFonts w:ascii="Verdana" w:hAnsi="Verdana"/>
          <w:spacing w:val="-10"/>
        </w:rPr>
        <w:t>a</w:t>
      </w:r>
      <w:r w:rsidRPr="009E6473">
        <w:rPr>
          <w:rFonts w:ascii="Verdana" w:hAnsi="Verdana"/>
        </w:rPr>
        <w:tab/>
      </w:r>
      <w:r w:rsidRPr="009E6473">
        <w:rPr>
          <w:rFonts w:ascii="Verdana" w:hAnsi="Verdana"/>
          <w:spacing w:val="-5"/>
        </w:rPr>
        <w:t>la</w:t>
      </w:r>
      <w:r w:rsidRPr="009E6473">
        <w:rPr>
          <w:rFonts w:ascii="Verdana" w:hAnsi="Verdana"/>
        </w:rPr>
        <w:tab/>
      </w:r>
      <w:r w:rsidRPr="009E6473">
        <w:rPr>
          <w:rFonts w:ascii="Verdana" w:hAnsi="Verdana"/>
          <w:spacing w:val="-2"/>
        </w:rPr>
        <w:t>consulta</w:t>
      </w:r>
      <w:r w:rsidRPr="009E6473">
        <w:rPr>
          <w:rFonts w:ascii="Verdana" w:hAnsi="Verdana"/>
        </w:rPr>
        <w:tab/>
      </w:r>
      <w:r w:rsidRPr="009E6473">
        <w:rPr>
          <w:rFonts w:ascii="Verdana" w:hAnsi="Verdana"/>
          <w:spacing w:val="-5"/>
        </w:rPr>
        <w:t>con</w:t>
      </w:r>
      <w:r w:rsidRPr="009E6473">
        <w:rPr>
          <w:rFonts w:ascii="Verdana" w:hAnsi="Verdana"/>
        </w:rPr>
        <w:tab/>
      </w:r>
      <w:r w:rsidRPr="009E6473">
        <w:rPr>
          <w:rFonts w:ascii="Verdana" w:hAnsi="Verdana"/>
          <w:spacing w:val="-2"/>
        </w:rPr>
        <w:t>radicado</w:t>
      </w:r>
      <w:r w:rsidRPr="009E6473">
        <w:rPr>
          <w:rFonts w:ascii="Verdana" w:hAnsi="Verdana"/>
        </w:rPr>
        <w:tab/>
      </w:r>
      <w:r w:rsidRPr="009E6473">
        <w:rPr>
          <w:rFonts w:ascii="Verdana" w:hAnsi="Verdana"/>
          <w:spacing w:val="-5"/>
        </w:rPr>
        <w:t>No.</w:t>
      </w:r>
    </w:p>
    <w:p w14:paraId="54D21B0E" w14:textId="77777777" w:rsidR="009E6473" w:rsidRPr="009E6473" w:rsidRDefault="009E6473" w:rsidP="009E6473">
      <w:pPr>
        <w:pStyle w:val="Textoindependiente"/>
        <w:ind w:left="2950"/>
      </w:pPr>
      <w:r w:rsidRPr="009E6473">
        <w:rPr>
          <w:spacing w:val="-2"/>
        </w:rPr>
        <w:t>1_2025_12_31_014485</w:t>
      </w:r>
    </w:p>
    <w:p w14:paraId="1215880F" w14:textId="77777777" w:rsidR="00F10405" w:rsidRPr="00F10405" w:rsidRDefault="00F10405" w:rsidP="00F10405">
      <w:pPr>
        <w:spacing w:after="0" w:line="240" w:lineRule="auto"/>
        <w:jc w:val="both"/>
        <w:textAlignment w:val="baseline"/>
        <w:rPr>
          <w:rFonts w:ascii="Verdana" w:eastAsia="Times New Roman" w:hAnsi="Verdana" w:cs="Segoe UI"/>
          <w:lang w:val="es-ES_tradnl" w:eastAsia="es-CO"/>
        </w:rPr>
      </w:pPr>
    </w:p>
    <w:p w14:paraId="5F1174C6" w14:textId="77777777" w:rsidR="00F10405" w:rsidRPr="00F10405" w:rsidRDefault="00F10405" w:rsidP="00F10405">
      <w:pPr>
        <w:spacing w:after="0" w:line="240" w:lineRule="auto"/>
        <w:jc w:val="both"/>
        <w:textAlignment w:val="baseline"/>
        <w:rPr>
          <w:rFonts w:ascii="Verdana" w:eastAsia="Times New Roman" w:hAnsi="Verdana" w:cs="Segoe UI"/>
          <w:lang w:val="es-ES_tradnl" w:eastAsia="es-CO"/>
        </w:rPr>
      </w:pPr>
    </w:p>
    <w:p w14:paraId="3BB9BB27" w14:textId="5F35A76C" w:rsidR="00F10405" w:rsidRPr="00F10405" w:rsidRDefault="00F10405" w:rsidP="00F10405">
      <w:pPr>
        <w:spacing w:after="0" w:line="240" w:lineRule="auto"/>
        <w:jc w:val="both"/>
        <w:textAlignment w:val="baseline"/>
        <w:rPr>
          <w:rFonts w:ascii="Verdana" w:eastAsia="Times New Roman" w:hAnsi="Verdana" w:cs="Segoe UI"/>
          <w:lang w:val="es-ES_tradnl" w:eastAsia="es-CO"/>
        </w:rPr>
      </w:pPr>
      <w:r w:rsidRPr="00F10405">
        <w:rPr>
          <w:rFonts w:ascii="Verdana" w:eastAsia="Times New Roman" w:hAnsi="Verdana" w:cs="Segoe UI"/>
          <w:lang w:val="es-ES_tradnl" w:eastAsia="es-CO"/>
        </w:rPr>
        <w:t xml:space="preserve">Estimado señor </w:t>
      </w:r>
      <w:r w:rsidR="00315FAD">
        <w:rPr>
          <w:rFonts w:ascii="Verdana" w:eastAsia="Times New Roman" w:hAnsi="Verdana" w:cs="Segoe UI"/>
          <w:lang w:val="es-ES_tradnl" w:eastAsia="es-CO"/>
        </w:rPr>
        <w:t xml:space="preserve">Andrade, cordial saludo, </w:t>
      </w:r>
    </w:p>
    <w:p w14:paraId="5F4D9E3C" w14:textId="77777777" w:rsidR="00F10405" w:rsidRPr="00F10405" w:rsidRDefault="00F10405" w:rsidP="00F10405">
      <w:pPr>
        <w:spacing w:after="0" w:line="240" w:lineRule="auto"/>
        <w:jc w:val="both"/>
        <w:textAlignment w:val="baseline"/>
        <w:rPr>
          <w:rFonts w:ascii="Verdana" w:eastAsia="Times New Roman" w:hAnsi="Verdana" w:cs="Segoe UI"/>
          <w:lang w:val="es-ES_tradnl" w:eastAsia="es-CO"/>
        </w:rPr>
      </w:pPr>
      <w:r w:rsidRPr="00F10405">
        <w:rPr>
          <w:rFonts w:ascii="Verdana" w:eastAsia="Times New Roman" w:hAnsi="Verdana" w:cs="Segoe UI"/>
          <w:lang w:val="es-ES_tradnl" w:eastAsia="es-CO"/>
        </w:rPr>
        <w:tab/>
      </w:r>
    </w:p>
    <w:p w14:paraId="2B195923" w14:textId="3F4BFF23" w:rsidR="00F10405" w:rsidRPr="004B326C" w:rsidRDefault="00F10405" w:rsidP="004B326C">
      <w:pPr>
        <w:spacing w:after="120" w:line="276" w:lineRule="auto"/>
        <w:jc w:val="both"/>
        <w:textAlignment w:val="baseline"/>
        <w:rPr>
          <w:rFonts w:ascii="Verdana" w:eastAsia="Times New Roman" w:hAnsi="Verdana" w:cs="Segoe UI"/>
          <w:i/>
          <w:lang w:val="es-ES" w:eastAsia="es-CO"/>
        </w:rPr>
      </w:pPr>
      <w:r w:rsidRPr="00F10405">
        <w:rPr>
          <w:rFonts w:ascii="Verdana" w:eastAsia="Times New Roman" w:hAnsi="Verdana" w:cs="Segoe UI"/>
          <w:lang w:val="es-ES_tradnl" w:eastAsia="es-CO"/>
        </w:rPr>
        <w:t>En ejercicio de la competencia otorgada por los artículos 3, numeral 5º, y 11, numeral 8º, del Decreto Ley 4170 de 2011, así como lo establecido en</w:t>
      </w:r>
      <w:r w:rsidRPr="00F10405">
        <w:rPr>
          <w:rFonts w:ascii="Verdana" w:eastAsia="Times New Roman" w:hAnsi="Verdana" w:cs="Segoe UI"/>
          <w:lang w:eastAsia="es-CO"/>
        </w:rPr>
        <w:t xml:space="preserve"> la Resolución 469 de 2025 expedida por esta Entidad</w:t>
      </w:r>
      <w:r w:rsidRPr="00F10405">
        <w:rPr>
          <w:rFonts w:ascii="Verdana" w:eastAsia="Times New Roman" w:hAnsi="Verdana" w:cs="Segoe UI"/>
          <w:lang w:val="es-ES_tradnl" w:eastAsia="es-CO"/>
        </w:rPr>
        <w:t>, la Agencia Nacional de Contratación Pública – Colombia Compra Eficiente responde su solicitud de consulta de fech</w:t>
      </w:r>
      <w:r w:rsidR="002A5862">
        <w:rPr>
          <w:rFonts w:ascii="Verdana" w:eastAsia="Times New Roman" w:hAnsi="Verdana" w:cs="Segoe UI"/>
          <w:lang w:val="es-ES_tradnl" w:eastAsia="es-CO"/>
        </w:rPr>
        <w:t xml:space="preserve">a </w:t>
      </w:r>
      <w:r w:rsidR="004E1738">
        <w:rPr>
          <w:rFonts w:ascii="Verdana" w:eastAsia="Times New Roman" w:hAnsi="Verdana" w:cs="Segoe UI"/>
          <w:lang w:val="es-ES_tradnl" w:eastAsia="es-CO"/>
        </w:rPr>
        <w:t>31</w:t>
      </w:r>
      <w:r w:rsidRPr="00F10405">
        <w:rPr>
          <w:rFonts w:ascii="Verdana" w:eastAsia="Times New Roman" w:hAnsi="Verdana" w:cs="Segoe UI"/>
          <w:lang w:val="es-ES_tradnl" w:eastAsia="es-CO"/>
        </w:rPr>
        <w:t xml:space="preserve"> de </w:t>
      </w:r>
      <w:r w:rsidR="004E1738">
        <w:rPr>
          <w:rFonts w:ascii="Verdana" w:eastAsia="Times New Roman" w:hAnsi="Verdana" w:cs="Segoe UI"/>
          <w:lang w:val="es-ES_tradnl" w:eastAsia="es-CO"/>
        </w:rPr>
        <w:t>diciembre</w:t>
      </w:r>
      <w:r w:rsidRPr="00F10405">
        <w:rPr>
          <w:rFonts w:ascii="Verdana" w:eastAsia="Times New Roman" w:hAnsi="Verdana" w:cs="Segoe UI"/>
          <w:lang w:val="es-ES_tradnl" w:eastAsia="es-CO"/>
        </w:rPr>
        <w:t xml:space="preserve"> de 202</w:t>
      </w:r>
      <w:r w:rsidR="004E1738">
        <w:rPr>
          <w:rFonts w:ascii="Verdana" w:eastAsia="Times New Roman" w:hAnsi="Verdana" w:cs="Segoe UI"/>
          <w:lang w:val="es-ES_tradnl" w:eastAsia="es-CO"/>
        </w:rPr>
        <w:t>5</w:t>
      </w:r>
      <w:r w:rsidRPr="00F10405">
        <w:rPr>
          <w:rFonts w:ascii="Verdana" w:eastAsia="Times New Roman" w:hAnsi="Verdana" w:cs="Segoe UI"/>
          <w:lang w:val="es-ES_tradnl" w:eastAsia="es-CO"/>
        </w:rPr>
        <w:t xml:space="preserve">, en la cual, respecto de la aplicación de la Ley de Garantías Electorales en la contratación de empréstitos, manifiesta lo siguiente: </w:t>
      </w:r>
      <w:r w:rsidR="00A5544C" w:rsidRPr="004B326C">
        <w:rPr>
          <w:rFonts w:ascii="Verdana" w:eastAsia="Times New Roman" w:hAnsi="Verdana" w:cs="Segoe UI"/>
          <w:i/>
          <w:lang w:val="es-ES" w:eastAsia="es-CO"/>
        </w:rPr>
        <w:t>“</w:t>
      </w:r>
      <w:r w:rsidR="005F5299" w:rsidRPr="004B326C">
        <w:rPr>
          <w:rFonts w:ascii="Verdana" w:eastAsia="Times New Roman" w:hAnsi="Verdana" w:cs="Segoe UI"/>
          <w:i/>
          <w:lang w:val="es-ES" w:eastAsia="es-CO"/>
        </w:rPr>
        <w:t xml:space="preserve">¿Es viable autorizar la suscripción de los convenios y/o contratos interadministrativos en una fecha posterior al 31 de enero, teniendo en cuenta </w:t>
      </w:r>
      <w:r w:rsidR="000E5BBD" w:rsidRPr="004B326C">
        <w:rPr>
          <w:rFonts w:ascii="Verdana" w:eastAsia="Times New Roman" w:hAnsi="Verdana" w:cs="Segoe UI"/>
          <w:i/>
          <w:lang w:val="es-ES" w:eastAsia="es-CO"/>
        </w:rPr>
        <w:t>que</w:t>
      </w:r>
      <w:r w:rsidR="005F5299" w:rsidRPr="004B326C">
        <w:rPr>
          <w:rFonts w:ascii="Verdana" w:eastAsia="Times New Roman" w:hAnsi="Verdana" w:cs="Segoe UI"/>
          <w:i/>
          <w:lang w:val="es-ES" w:eastAsia="es-CO"/>
        </w:rPr>
        <w:t xml:space="preserve"> la </w:t>
      </w:r>
      <w:r w:rsidR="000E5BBD" w:rsidRPr="004B326C">
        <w:rPr>
          <w:rFonts w:ascii="Verdana" w:eastAsia="Times New Roman" w:hAnsi="Verdana" w:cs="Segoe UI"/>
          <w:i/>
          <w:lang w:val="es-ES" w:eastAsia="es-CO"/>
        </w:rPr>
        <w:t>asignación de los recursos se realiza con posterioridad a la segunda vuelta presidencial?”.</w:t>
      </w:r>
    </w:p>
    <w:p w14:paraId="278FC74A" w14:textId="77777777" w:rsidR="00E36890" w:rsidRPr="00E36890" w:rsidRDefault="00E36890" w:rsidP="00E36890">
      <w:pPr>
        <w:spacing w:after="120" w:line="276" w:lineRule="auto"/>
        <w:ind w:firstLine="709"/>
        <w:jc w:val="both"/>
        <w:textAlignment w:val="baseline"/>
        <w:rPr>
          <w:rFonts w:ascii="Verdana" w:eastAsia="Times New Roman" w:hAnsi="Verdana" w:cs="Segoe UI"/>
          <w:lang w:val="es-ES" w:eastAsia="es-CO"/>
        </w:rPr>
      </w:pPr>
      <w:r w:rsidRPr="00E36890">
        <w:rPr>
          <w:rFonts w:ascii="Verdana" w:eastAsia="Times New Roman" w:hAnsi="Verdana" w:cs="Segoe UI"/>
          <w:lang w:val="es-ES" w:eastAsia="es-CO"/>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36890">
        <w:rPr>
          <w:rFonts w:ascii="Verdana" w:eastAsia="Times New Roman" w:hAnsi="Verdana" w:cs="Segoe UI"/>
          <w:lang w:eastAsia="es-CO"/>
        </w:rPr>
        <w:tab/>
      </w:r>
    </w:p>
    <w:p w14:paraId="51DD2F5C" w14:textId="77777777" w:rsidR="00E36890" w:rsidRDefault="00E36890" w:rsidP="004B326C">
      <w:pPr>
        <w:spacing w:after="0" w:line="276" w:lineRule="auto"/>
        <w:ind w:firstLine="709"/>
        <w:jc w:val="both"/>
        <w:textAlignment w:val="baseline"/>
        <w:rPr>
          <w:rFonts w:ascii="Verdana" w:eastAsia="Times New Roman" w:hAnsi="Verdana" w:cs="Segoe UI"/>
          <w:lang w:val="es-ES_tradnl" w:eastAsia="es-CO"/>
        </w:rPr>
      </w:pPr>
      <w:r w:rsidRPr="00E36890">
        <w:rPr>
          <w:rFonts w:ascii="Verdana" w:eastAsia="Times New Roman" w:hAnsi="Verdana" w:cs="Segoe UI"/>
          <w:lang w:val="es-ES_tradnl" w:eastAsia="es-CO"/>
        </w:rPr>
        <w:t xml:space="preserve">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 problema jurídico de su consulta.  </w:t>
      </w:r>
    </w:p>
    <w:p w14:paraId="1684EFD8" w14:textId="77777777" w:rsidR="00E36890" w:rsidRDefault="00E36890" w:rsidP="004B326C">
      <w:pPr>
        <w:spacing w:after="0" w:line="276" w:lineRule="auto"/>
        <w:ind w:firstLine="709"/>
        <w:jc w:val="both"/>
        <w:textAlignment w:val="baseline"/>
        <w:rPr>
          <w:rFonts w:ascii="Verdana" w:eastAsia="Times New Roman" w:hAnsi="Verdana" w:cs="Segoe UI"/>
          <w:lang w:val="es-ES_tradnl" w:eastAsia="es-CO"/>
        </w:rPr>
      </w:pPr>
    </w:p>
    <w:p w14:paraId="5CF3F241" w14:textId="3EA1D2DD" w:rsidR="00E36890" w:rsidRDefault="00E36890" w:rsidP="00E36890">
      <w:pPr>
        <w:spacing w:after="120" w:line="276" w:lineRule="auto"/>
        <w:jc w:val="both"/>
        <w:textAlignment w:val="baseline"/>
        <w:rPr>
          <w:rFonts w:ascii="Verdana" w:eastAsia="Times New Roman" w:hAnsi="Verdana" w:cs="Segoe UI"/>
          <w:b/>
          <w:bCs/>
          <w:lang w:val="es-ES_tradnl" w:eastAsia="es-CO"/>
        </w:rPr>
      </w:pPr>
      <w:r>
        <w:rPr>
          <w:rFonts w:ascii="Verdana" w:eastAsia="Times New Roman" w:hAnsi="Verdana" w:cs="Segoe UI"/>
          <w:b/>
          <w:bCs/>
          <w:lang w:val="es-ES_tradnl" w:eastAsia="es-CO"/>
        </w:rPr>
        <w:t xml:space="preserve">1. </w:t>
      </w:r>
      <w:r w:rsidR="00A45456">
        <w:rPr>
          <w:rFonts w:ascii="Verdana" w:eastAsia="Times New Roman" w:hAnsi="Verdana" w:cs="Segoe UI"/>
          <w:b/>
          <w:bCs/>
          <w:lang w:val="es-ES_tradnl" w:eastAsia="es-CO"/>
        </w:rPr>
        <w:t>Problema planteado:</w:t>
      </w:r>
    </w:p>
    <w:p w14:paraId="1E3FB33C" w14:textId="77777777" w:rsidR="00A45456" w:rsidRDefault="00A45456" w:rsidP="004B326C">
      <w:pPr>
        <w:spacing w:after="0" w:line="276" w:lineRule="auto"/>
        <w:jc w:val="both"/>
        <w:textAlignment w:val="baseline"/>
        <w:rPr>
          <w:rFonts w:ascii="Verdana" w:eastAsia="Times New Roman" w:hAnsi="Verdana" w:cs="Segoe UI"/>
          <w:b/>
          <w:bCs/>
          <w:lang w:val="es-ES_tradnl" w:eastAsia="es-CO"/>
        </w:rPr>
      </w:pPr>
    </w:p>
    <w:p w14:paraId="7F82DA6D" w14:textId="30D86F44" w:rsidR="00A45456" w:rsidRDefault="00357484" w:rsidP="00E36890">
      <w:pPr>
        <w:spacing w:after="120" w:line="276" w:lineRule="auto"/>
        <w:jc w:val="both"/>
        <w:textAlignment w:val="baseline"/>
        <w:rPr>
          <w:rFonts w:ascii="Verdana" w:eastAsia="Times New Roman" w:hAnsi="Verdana" w:cs="Segoe UI"/>
          <w:lang w:val="es-ES_tradnl" w:eastAsia="es-CO"/>
        </w:rPr>
      </w:pPr>
      <w:r>
        <w:rPr>
          <w:rFonts w:ascii="Verdana" w:eastAsia="Times New Roman" w:hAnsi="Verdana" w:cs="Segoe UI"/>
          <w:lang w:val="es-ES_tradnl" w:eastAsia="es-CO"/>
        </w:rPr>
        <w:t>D</w:t>
      </w:r>
      <w:r w:rsidR="0098780C">
        <w:rPr>
          <w:rFonts w:ascii="Verdana" w:eastAsia="Times New Roman" w:hAnsi="Verdana" w:cs="Segoe UI"/>
          <w:lang w:val="es-ES_tradnl" w:eastAsia="es-CO"/>
        </w:rPr>
        <w:t xml:space="preserve">e acuerdo con el contenido de su solicitud, esta Agencia resolverá el siguiente problema jurídico: </w:t>
      </w:r>
      <w:r w:rsidR="00F5671B" w:rsidRPr="00B16266">
        <w:rPr>
          <w:rFonts w:ascii="Verdana" w:eastAsia="Times New Roman" w:hAnsi="Verdana" w:cs="Segoe UI"/>
          <w:lang w:eastAsia="es-CO"/>
        </w:rPr>
        <w:t>¿</w:t>
      </w:r>
      <w:r w:rsidR="00B16266" w:rsidRPr="00B16266">
        <w:rPr>
          <w:rFonts w:ascii="Verdana" w:eastAsia="Times New Roman" w:hAnsi="Verdana" w:cs="Segoe UI"/>
          <w:lang w:eastAsia="es-CO"/>
        </w:rPr>
        <w:t>Las restricciones en materia de contratación previstas en la Ley de Garantías Electorales son aplicables a los convenios interadministrativos?</w:t>
      </w:r>
    </w:p>
    <w:p w14:paraId="15CE9CCD" w14:textId="155A492A" w:rsidR="009A5953" w:rsidRDefault="00AE77E7" w:rsidP="00E36890">
      <w:pPr>
        <w:spacing w:after="120" w:line="276" w:lineRule="auto"/>
        <w:jc w:val="both"/>
        <w:textAlignment w:val="baseline"/>
        <w:rPr>
          <w:rFonts w:ascii="Verdana" w:eastAsia="Times New Roman" w:hAnsi="Verdana" w:cs="Segoe UI"/>
          <w:b/>
          <w:bCs/>
          <w:lang w:val="es-ES_tradnl" w:eastAsia="es-CO"/>
        </w:rPr>
      </w:pPr>
      <w:r w:rsidRPr="00AE77E7">
        <w:rPr>
          <w:rFonts w:ascii="Verdana" w:eastAsia="Times New Roman" w:hAnsi="Verdana" w:cs="Segoe UI"/>
          <w:b/>
          <w:bCs/>
          <w:lang w:val="es-ES_tradnl" w:eastAsia="es-CO"/>
        </w:rPr>
        <w:t xml:space="preserve">2. Respuesta: </w:t>
      </w:r>
    </w:p>
    <w:p w14:paraId="77D2C27F" w14:textId="51771F55" w:rsidR="00971193" w:rsidRDefault="00B82358" w:rsidP="004B326C">
      <w:pPr>
        <w:pBdr>
          <w:top w:val="single" w:sz="4" w:space="1" w:color="auto"/>
          <w:left w:val="single" w:sz="4" w:space="4" w:color="auto"/>
          <w:bottom w:val="single" w:sz="4" w:space="1" w:color="auto"/>
          <w:right w:val="single" w:sz="4" w:space="4" w:color="auto"/>
        </w:pBdr>
        <w:spacing w:after="120" w:line="276" w:lineRule="auto"/>
        <w:jc w:val="both"/>
        <w:textAlignment w:val="baseline"/>
        <w:rPr>
          <w:rFonts w:ascii="Verdana" w:eastAsia="Times New Roman" w:hAnsi="Verdana" w:cs="Segoe UI"/>
          <w:lang w:val="es-ES_tradnl" w:eastAsia="es-CO"/>
        </w:rPr>
      </w:pPr>
      <w:r>
        <w:rPr>
          <w:rFonts w:ascii="Verdana" w:eastAsia="Times New Roman" w:hAnsi="Verdana" w:cs="Segoe UI"/>
          <w:lang w:val="es-ES_tradnl" w:eastAsia="es-CO"/>
        </w:rPr>
        <w:t xml:space="preserve"> </w:t>
      </w:r>
      <w:r w:rsidR="00ED184F">
        <w:rPr>
          <w:rFonts w:ascii="Verdana" w:eastAsia="Times New Roman" w:hAnsi="Verdana" w:cs="Segoe UI"/>
          <w:lang w:val="es-ES_tradnl" w:eastAsia="es-CO"/>
        </w:rPr>
        <w:t>L</w:t>
      </w:r>
      <w:r>
        <w:rPr>
          <w:rFonts w:ascii="Verdana" w:eastAsia="Times New Roman" w:hAnsi="Verdana" w:cs="Segoe UI"/>
          <w:lang w:val="es-ES_tradnl" w:eastAsia="es-CO"/>
        </w:rPr>
        <w:t>a Ley 996 de 2005</w:t>
      </w:r>
      <w:r w:rsidR="007516AE">
        <w:rPr>
          <w:rFonts w:ascii="Verdana" w:eastAsia="Times New Roman" w:hAnsi="Verdana" w:cs="Segoe UI"/>
          <w:lang w:val="es-ES_tradnl" w:eastAsia="es-CO"/>
        </w:rPr>
        <w:t xml:space="preserve"> establece dos (2) tipos de restricciones en materia de contratación, las cuales coinciden parcialmente: </w:t>
      </w:r>
    </w:p>
    <w:p w14:paraId="65C8598F" w14:textId="61F9E9C0" w:rsidR="007516AE" w:rsidRDefault="005F6E4D"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val="es-ES" w:eastAsia="es-CO"/>
        </w:rPr>
      </w:pPr>
      <w:r>
        <w:rPr>
          <w:rFonts w:ascii="Verdana" w:eastAsia="Times New Roman" w:hAnsi="Verdana" w:cs="Segoe UI"/>
          <w:lang w:val="es-ES_tradnl" w:eastAsia="es-CO"/>
        </w:rPr>
        <w:t xml:space="preserve">En primer lugar, se encuentra la consagrada en el artículo 33, que opera solo respecto de las elecciones presidenciales, en virtud de la cual </w:t>
      </w:r>
      <w:r w:rsidR="00227BBA">
        <w:rPr>
          <w:rFonts w:ascii="Verdana" w:eastAsia="Times New Roman" w:hAnsi="Verdana" w:cs="Segoe UI"/>
          <w:lang w:val="es-ES_tradnl" w:eastAsia="es-CO"/>
        </w:rPr>
        <w:t>queda proscrita</w:t>
      </w:r>
      <w:r w:rsidR="002144D4">
        <w:rPr>
          <w:rFonts w:ascii="Verdana" w:eastAsia="Times New Roman" w:hAnsi="Verdana" w:cs="Segoe UI"/>
          <w:lang w:val="es-ES_tradnl" w:eastAsia="es-CO"/>
        </w:rPr>
        <w:t xml:space="preserve"> la contratación directa dentro de los cuatro (4) meses anteriores a la celebración de los comicios, salvo las excepciones contempladas en la misma norma. Sin embargo, si ningún candidato obtiene la mitad </w:t>
      </w:r>
      <w:r w:rsidR="00A82814">
        <w:rPr>
          <w:rFonts w:ascii="Verdana" w:eastAsia="Times New Roman" w:hAnsi="Verdana" w:cs="Segoe UI"/>
          <w:lang w:val="es-ES_tradnl" w:eastAsia="es-CO"/>
        </w:rPr>
        <w:t>más</w:t>
      </w:r>
      <w:r w:rsidR="002144D4">
        <w:rPr>
          <w:rFonts w:ascii="Verdana" w:eastAsia="Times New Roman" w:hAnsi="Verdana" w:cs="Segoe UI"/>
          <w:lang w:val="es-ES_tradnl" w:eastAsia="es-CO"/>
        </w:rPr>
        <w:t xml:space="preserve"> uno de los votos que, </w:t>
      </w:r>
      <w:r w:rsidR="008D3DB1" w:rsidRPr="008D3DB1">
        <w:rPr>
          <w:rFonts w:ascii="Verdana" w:eastAsia="Times New Roman" w:hAnsi="Verdana" w:cs="Segoe UI"/>
          <w:lang w:val="es-ES" w:eastAsia="es-CO"/>
        </w:rPr>
        <w:t xml:space="preserve">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la cual debe aplicarse respecto de cualquier tipo de contienda electoral, y que </w:t>
      </w:r>
      <w:r w:rsidR="008D3DB1" w:rsidRPr="008D3DB1">
        <w:rPr>
          <w:rFonts w:ascii="Verdana" w:eastAsia="Times New Roman" w:hAnsi="Verdana" w:cs="Segoe UI"/>
          <w:lang w:val="es-MX" w:eastAsia="es-CO"/>
        </w:rPr>
        <w:t xml:space="preserve">prohíbe a los Alcaldes, Gobernadores, Secretarios, Gerentes y Directores de las entidades del orden municipal, departamental o distrital celebrar </w:t>
      </w:r>
      <w:r w:rsidR="008D3DB1" w:rsidRPr="008D3DB1">
        <w:rPr>
          <w:rFonts w:ascii="Verdana" w:eastAsia="Times New Roman" w:hAnsi="Verdana" w:cs="Segoe UI"/>
          <w:i/>
          <w:iCs/>
          <w:lang w:val="es-MX" w:eastAsia="es-CO"/>
        </w:rPr>
        <w:t>convenios interadministrativos</w:t>
      </w:r>
      <w:r w:rsidR="008D3DB1" w:rsidRPr="008D3DB1">
        <w:rPr>
          <w:rFonts w:ascii="Verdana" w:eastAsia="Times New Roman" w:hAnsi="Verdana" w:cs="Segoe UI"/>
          <w:lang w:val="es-MX" w:eastAsia="es-CO"/>
        </w:rPr>
        <w:t xml:space="preserve"> </w:t>
      </w:r>
      <w:r w:rsidR="008D3DB1" w:rsidRPr="008D3DB1">
        <w:rPr>
          <w:rFonts w:ascii="Verdana" w:eastAsia="Times New Roman" w:hAnsi="Verdana" w:cs="Segoe UI"/>
          <w:i/>
          <w:iCs/>
          <w:lang w:val="es-MX" w:eastAsia="es-CO"/>
        </w:rPr>
        <w:t>para la ejecución de recursos públicos</w:t>
      </w:r>
      <w:r w:rsidR="008D3DB1" w:rsidRPr="008D3DB1">
        <w:rPr>
          <w:rFonts w:ascii="Verdana" w:eastAsia="Times New Roman" w:hAnsi="Verdana" w:cs="Segoe UI"/>
          <w:lang w:val="es-MX" w:eastAsia="es-CO"/>
        </w:rPr>
        <w:t xml:space="preserve">. </w:t>
      </w:r>
      <w:r w:rsidR="008D3DB1" w:rsidRPr="008D3DB1">
        <w:rPr>
          <w:rFonts w:ascii="Verdana" w:eastAsia="Times New Roman" w:hAnsi="Verdana" w:cs="Segoe UI"/>
          <w:lang w:val="es-ES" w:eastAsia="es-CO"/>
        </w:rPr>
        <w:t xml:space="preserve">   </w:t>
      </w:r>
    </w:p>
    <w:p w14:paraId="436A8631" w14:textId="77777777" w:rsidR="008D3DB1" w:rsidRPr="008D3DB1" w:rsidRDefault="008D3DB1"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val="es-ES" w:eastAsia="es-CO"/>
        </w:rPr>
      </w:pPr>
      <w:r w:rsidRPr="008D3DB1">
        <w:rPr>
          <w:rFonts w:ascii="Verdana" w:eastAsia="Times New Roman" w:hAnsi="Verdana" w:cs="Segoe UI"/>
          <w:lang w:val="es-ES" w:eastAsia="es-CO"/>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entidades allí mencionadas sólo deben aplicar las restricciones contenidas en el parágrafo del artículo 38.</w:t>
      </w:r>
    </w:p>
    <w:p w14:paraId="29005840" w14:textId="77777777" w:rsidR="002C79D2" w:rsidRPr="002C79D2" w:rsidRDefault="002C79D2"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eastAsia="es-CO"/>
        </w:rPr>
      </w:pPr>
      <w:r w:rsidRPr="002C79D2">
        <w:rPr>
          <w:rFonts w:ascii="Verdana" w:eastAsia="Times New Roman" w:hAnsi="Verdana" w:cs="Segoe UI"/>
          <w:lang w:val="es-ES" w:eastAsia="es-CO"/>
        </w:rPr>
        <w:t xml:space="preserve">Teniendo en cuenta la explicación precedente, los </w:t>
      </w:r>
      <w:r w:rsidRPr="002C79D2">
        <w:rPr>
          <w:rFonts w:ascii="Verdana" w:eastAsia="Times New Roman" w:hAnsi="Verdana" w:cs="Segoe UI"/>
          <w:lang w:eastAsia="es-CO"/>
        </w:rPr>
        <w:t xml:space="preserve">contratos interadministrativos que celebren de manera directa las entidades del estado están prohibidos durante los cuatro (4) meses previos a las elecciones de presidente, pues se restringe toda contratación que cualquier ente público celebre a través una modalidad de contratación que no implique pluralidad de oferentes. </w:t>
      </w:r>
    </w:p>
    <w:p w14:paraId="0D4655C3" w14:textId="77777777" w:rsidR="002C79D2" w:rsidRPr="002C79D2" w:rsidRDefault="002C79D2"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eastAsia="es-CO"/>
        </w:rPr>
      </w:pPr>
      <w:r w:rsidRPr="002C79D2">
        <w:rPr>
          <w:rFonts w:ascii="Verdana" w:eastAsia="Times New Roman" w:hAnsi="Verdana" w:cs="Segoe UI"/>
          <w:lang w:eastAsia="es-CO"/>
        </w:rPr>
        <w:t xml:space="preserve">Por otra parte, el parágrafo del artículo 38 </w:t>
      </w:r>
      <w:r w:rsidRPr="002C79D2">
        <w:rPr>
          <w:rFonts w:ascii="Verdana" w:eastAsia="Times New Roman" w:hAnsi="Verdana" w:cs="Segoe UI"/>
          <w:lang w:val="es-MX" w:eastAsia="es-CO"/>
        </w:rPr>
        <w:t xml:space="preserve">prohíbe de forma específica a los alcaldes, gobernadores, secretarios, gerentes y directores de las entidades del orden municipal, departamental o distrital celebrar </w:t>
      </w:r>
      <w:r w:rsidRPr="002C79D2">
        <w:rPr>
          <w:rFonts w:ascii="Verdana" w:eastAsia="Times New Roman" w:hAnsi="Verdana" w:cs="Segoe UI"/>
          <w:i/>
          <w:iCs/>
          <w:lang w:val="es-MX" w:eastAsia="es-CO"/>
        </w:rPr>
        <w:t>convenios interadministrativos</w:t>
      </w:r>
      <w:r w:rsidRPr="002C79D2">
        <w:rPr>
          <w:rFonts w:ascii="Verdana" w:eastAsia="Times New Roman" w:hAnsi="Verdana" w:cs="Segoe UI"/>
          <w:lang w:val="es-MX" w:eastAsia="es-CO"/>
        </w:rPr>
        <w:t xml:space="preserve"> </w:t>
      </w:r>
      <w:r w:rsidRPr="002C79D2">
        <w:rPr>
          <w:rFonts w:ascii="Verdana" w:eastAsia="Times New Roman" w:hAnsi="Verdana" w:cs="Segoe UI"/>
          <w:i/>
          <w:iCs/>
          <w:lang w:val="es-MX" w:eastAsia="es-CO"/>
        </w:rPr>
        <w:t>para la ejecución de recursos públicos</w:t>
      </w:r>
      <w:r w:rsidRPr="002C79D2">
        <w:rPr>
          <w:rFonts w:ascii="Verdana" w:eastAsia="Times New Roman" w:hAnsi="Verdana" w:cs="Segoe UI"/>
          <w:lang w:val="es-MX" w:eastAsia="es-CO"/>
        </w:rPr>
        <w:t xml:space="preserve">. En este sentido, si una o ambas partes de la relación contractual es una entidad de aquellas descritas, no podrá celebrar tales </w:t>
      </w:r>
      <w:r w:rsidRPr="002C79D2">
        <w:rPr>
          <w:rFonts w:ascii="Verdana" w:eastAsia="Times New Roman" w:hAnsi="Verdana" w:cs="Segoe UI"/>
          <w:i/>
          <w:iCs/>
          <w:lang w:val="es-MX" w:eastAsia="es-CO"/>
        </w:rPr>
        <w:t>convenios</w:t>
      </w:r>
      <w:r w:rsidRPr="002C79D2">
        <w:rPr>
          <w:rFonts w:ascii="Verdana" w:eastAsia="Times New Roman" w:hAnsi="Verdana" w:cs="Segoe UI"/>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sidRPr="002C79D2">
        <w:rPr>
          <w:rFonts w:ascii="Verdana" w:eastAsia="Times New Roman" w:hAnsi="Verdana" w:cs="Segoe UI"/>
          <w:lang w:eastAsia="es-CO"/>
        </w:rPr>
        <w:t xml:space="preserve"> </w:t>
      </w:r>
    </w:p>
    <w:p w14:paraId="25F5ADAF" w14:textId="77777777" w:rsidR="002C79D2" w:rsidRPr="002C79D2" w:rsidRDefault="002C79D2"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eastAsia="es-CO"/>
        </w:rPr>
      </w:pPr>
      <w:r w:rsidRPr="002C79D2">
        <w:rPr>
          <w:rFonts w:ascii="Verdana" w:eastAsia="Times New Roman" w:hAnsi="Verdana" w:cs="Segoe UI"/>
          <w:lang w:eastAsia="es-CO"/>
        </w:rPr>
        <w:t xml:space="preserve">En línea con lo anterior, la Sala de lo Contencioso Administrativo del Consejo de Estado emitió sentencia el 17 de octubre de 2025 dentro del expediente 11001-03-26-000-2023-00139-00, mediante la cual declaró la nulidad parcial del numeral 16.2 de la Circular Externa Única de 2022 expedida por la Agencia Nacional de Contratación Pública - Colombia Compra Eficiente que indicaba que la restricción del parágrafo 38 de la Ley de Garantías Electorales “es aplicable tanto a los convenios como a los contratos interadministrativos […]”. </w:t>
      </w:r>
    </w:p>
    <w:p w14:paraId="5B75302E" w14:textId="77777777" w:rsidR="002C79D2" w:rsidRPr="002C79D2" w:rsidRDefault="002C79D2"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eastAsia="es-CO"/>
        </w:rPr>
      </w:pPr>
      <w:r w:rsidRPr="002C79D2">
        <w:rPr>
          <w:rFonts w:ascii="Verdana" w:eastAsia="Times New Roman" w:hAnsi="Verdana" w:cs="Segoe UI"/>
          <w:lang w:eastAsia="es-CO"/>
        </w:rPr>
        <w:t xml:space="preserve">En la anterior decisión, el Consejo de Estado consideró que la Agencia excedió su competencia material al incluir los contratos interadministrativos en una restricción que la Ley de Garantías Electorales solo previó para los convenios interadministrativos,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24209F6" w14:textId="015C1F09" w:rsidR="008D3DB1" w:rsidRPr="002C79D2" w:rsidRDefault="002C79D2" w:rsidP="00C047EA">
      <w:pPr>
        <w:pBdr>
          <w:top w:val="single" w:sz="4" w:space="1" w:color="auto"/>
          <w:left w:val="single" w:sz="4" w:space="4" w:color="auto"/>
          <w:bottom w:val="single" w:sz="4" w:space="1" w:color="auto"/>
          <w:right w:val="single" w:sz="4" w:space="4" w:color="auto"/>
        </w:pBdr>
        <w:spacing w:after="120" w:line="276" w:lineRule="auto"/>
        <w:ind w:firstLine="709"/>
        <w:jc w:val="both"/>
        <w:textAlignment w:val="baseline"/>
        <w:rPr>
          <w:rFonts w:ascii="Verdana" w:eastAsia="Times New Roman" w:hAnsi="Verdana" w:cs="Segoe UI"/>
          <w:lang w:eastAsia="es-CO"/>
        </w:rPr>
      </w:pPr>
      <w:r w:rsidRPr="002C79D2">
        <w:rPr>
          <w:rFonts w:ascii="Verdana" w:eastAsia="Times New Roman" w:hAnsi="Verdana" w:cs="Segoe UI"/>
          <w:lang w:eastAsia="es-CO"/>
        </w:rPr>
        <w:t xml:space="preserve">En consecuencia, a la luz de lo expuesto por el Consejo de Estado en la sentencia expedida el 17 de octubre de 2025 por la Sección Tercera de la Sala de lo Contencioso Administrativo, la prohibición del parágrafo del artículo 38 de la Ley de Garantías Electorales no es aplicable a los </w:t>
      </w:r>
      <w:r w:rsidRPr="002C79D2">
        <w:rPr>
          <w:rFonts w:ascii="Verdana" w:eastAsia="Times New Roman" w:hAnsi="Verdana" w:cs="Segoe UI"/>
          <w:i/>
          <w:iCs/>
          <w:lang w:eastAsia="es-CO"/>
        </w:rPr>
        <w:t>contratos interadministrativos</w:t>
      </w:r>
      <w:r w:rsidRPr="002C79D2">
        <w:rPr>
          <w:rFonts w:ascii="Verdana" w:eastAsia="Times New Roman" w:hAnsi="Verdana" w:cs="Segoe UI"/>
          <w:lang w:eastAsia="es-CO"/>
        </w:rPr>
        <w:t xml:space="preserve">, esta prohibición solo aplica a los </w:t>
      </w:r>
      <w:r w:rsidRPr="002C79D2">
        <w:rPr>
          <w:rFonts w:ascii="Verdana" w:eastAsia="Times New Roman" w:hAnsi="Verdana" w:cs="Segoe UI"/>
          <w:i/>
          <w:iCs/>
          <w:lang w:eastAsia="es-CO"/>
        </w:rPr>
        <w:t>convenios interadministrativos</w:t>
      </w:r>
      <w:r w:rsidRPr="002C79D2">
        <w:rPr>
          <w:rFonts w:ascii="Verdana" w:eastAsia="Times New Roman" w:hAnsi="Verdana" w:cs="Segoe UI"/>
          <w:lang w:eastAsia="es-CO"/>
        </w:rPr>
        <w:t xml:space="preserve"> que impliquen la ejecución de recursos públicos</w:t>
      </w:r>
      <w:r w:rsidRPr="002C79D2">
        <w:rPr>
          <w:rFonts w:ascii="Verdana" w:eastAsia="Times New Roman" w:hAnsi="Verdana" w:cs="Segoe UI"/>
          <w:vertAlign w:val="superscript"/>
          <w:lang w:eastAsia="es-CO"/>
        </w:rPr>
        <w:footnoteReference w:id="1"/>
      </w:r>
      <w:r w:rsidRPr="002C79D2">
        <w:rPr>
          <w:rFonts w:ascii="Verdana" w:eastAsia="Times New Roman" w:hAnsi="Verdana" w:cs="Segoe UI"/>
          <w:lang w:eastAsia="es-CO"/>
        </w:rPr>
        <w:t xml:space="preserve">. </w:t>
      </w:r>
      <w:r w:rsidR="00F4174A">
        <w:rPr>
          <w:rFonts w:ascii="Verdana" w:eastAsia="Times New Roman" w:hAnsi="Verdana" w:cs="Segoe UI"/>
          <w:lang w:eastAsia="es-CO"/>
        </w:rPr>
        <w:t xml:space="preserve">No obstante, una vez </w:t>
      </w:r>
      <w:r w:rsidR="00F901B8">
        <w:rPr>
          <w:rFonts w:ascii="Verdana" w:eastAsia="Times New Roman" w:hAnsi="Verdana" w:cs="Segoe UI"/>
          <w:lang w:eastAsia="es-CO"/>
        </w:rPr>
        <w:t>entra en vigor</w:t>
      </w:r>
      <w:r w:rsidR="00F4174A">
        <w:rPr>
          <w:rFonts w:ascii="Verdana" w:eastAsia="Times New Roman" w:hAnsi="Verdana" w:cs="Segoe UI"/>
          <w:lang w:eastAsia="es-CO"/>
        </w:rPr>
        <w:t xml:space="preserve"> la restricción del artículo 33, sin perjuicio de lo establecido en el artículo 38, no es </w:t>
      </w:r>
      <w:r w:rsidR="000D7220">
        <w:rPr>
          <w:rFonts w:ascii="Verdana" w:eastAsia="Times New Roman" w:hAnsi="Verdana" w:cs="Segoe UI"/>
          <w:lang w:eastAsia="es-CO"/>
        </w:rPr>
        <w:t>jurídicamente</w:t>
      </w:r>
      <w:r w:rsidR="00F4174A">
        <w:rPr>
          <w:rFonts w:ascii="Verdana" w:eastAsia="Times New Roman" w:hAnsi="Verdana" w:cs="Segoe UI"/>
          <w:lang w:eastAsia="es-CO"/>
        </w:rPr>
        <w:t xml:space="preserve"> viable celebrar ni contratos</w:t>
      </w:r>
      <w:r w:rsidR="00CC058E">
        <w:rPr>
          <w:rFonts w:ascii="Verdana" w:eastAsia="Times New Roman" w:hAnsi="Verdana" w:cs="Segoe UI"/>
          <w:lang w:eastAsia="es-CO"/>
        </w:rPr>
        <w:t>,</w:t>
      </w:r>
      <w:r w:rsidR="00F4174A">
        <w:rPr>
          <w:rFonts w:ascii="Verdana" w:eastAsia="Times New Roman" w:hAnsi="Verdana" w:cs="Segoe UI"/>
          <w:lang w:eastAsia="es-CO"/>
        </w:rPr>
        <w:t xml:space="preserve"> ni convenios </w:t>
      </w:r>
      <w:r w:rsidR="000D7220">
        <w:rPr>
          <w:rFonts w:ascii="Verdana" w:eastAsia="Times New Roman" w:hAnsi="Verdana" w:cs="Segoe UI"/>
          <w:lang w:eastAsia="es-CO"/>
        </w:rPr>
        <w:t>interadministrativos</w:t>
      </w:r>
      <w:r w:rsidR="00CC058E">
        <w:rPr>
          <w:rFonts w:ascii="Verdana" w:eastAsia="Times New Roman" w:hAnsi="Verdana" w:cs="Segoe UI"/>
          <w:lang w:eastAsia="es-CO"/>
        </w:rPr>
        <w:t xml:space="preserve"> de manera directa. </w:t>
      </w:r>
      <w:r w:rsidR="000D7220">
        <w:rPr>
          <w:rFonts w:ascii="Verdana" w:eastAsia="Times New Roman" w:hAnsi="Verdana" w:cs="Segoe UI"/>
          <w:lang w:eastAsia="es-CO"/>
        </w:rPr>
        <w:t xml:space="preserve"> </w:t>
      </w:r>
      <w:r w:rsidR="00F4174A">
        <w:rPr>
          <w:rFonts w:ascii="Verdana" w:eastAsia="Times New Roman" w:hAnsi="Verdana" w:cs="Segoe UI"/>
          <w:lang w:eastAsia="es-CO"/>
        </w:rPr>
        <w:t xml:space="preserve"> </w:t>
      </w:r>
    </w:p>
    <w:p w14:paraId="6164DE1B" w14:textId="77777777" w:rsidR="00AE77E7" w:rsidRPr="00E36890" w:rsidRDefault="00AE77E7" w:rsidP="00E36890">
      <w:pPr>
        <w:spacing w:after="120" w:line="276" w:lineRule="auto"/>
        <w:jc w:val="both"/>
        <w:textAlignment w:val="baseline"/>
        <w:rPr>
          <w:rFonts w:ascii="Verdana" w:eastAsia="Times New Roman" w:hAnsi="Verdana" w:cs="Segoe UI"/>
          <w:lang w:val="es-ES_tradnl" w:eastAsia="es-CO"/>
        </w:rPr>
      </w:pPr>
    </w:p>
    <w:p w14:paraId="64341FFC" w14:textId="77777777" w:rsidR="0004774A" w:rsidRPr="0004774A" w:rsidRDefault="0004774A" w:rsidP="0004774A">
      <w:pPr>
        <w:spacing w:after="0" w:line="240" w:lineRule="auto"/>
        <w:jc w:val="both"/>
        <w:textAlignment w:val="baseline"/>
        <w:rPr>
          <w:rFonts w:ascii="Verdana" w:eastAsia="Times New Roman" w:hAnsi="Verdana" w:cs="Segoe UI"/>
          <w:b/>
          <w:bCs/>
          <w:lang w:eastAsia="es-CO"/>
        </w:rPr>
      </w:pPr>
      <w:r w:rsidRPr="0004774A">
        <w:rPr>
          <w:rFonts w:ascii="Verdana" w:eastAsia="Times New Roman" w:hAnsi="Verdana" w:cs="Segoe UI"/>
          <w:b/>
          <w:bCs/>
          <w:lang w:eastAsia="es-CO"/>
        </w:rPr>
        <w:t>3. Razones de la respuesta:</w:t>
      </w:r>
    </w:p>
    <w:p w14:paraId="3EBC003B" w14:textId="77777777" w:rsidR="0004774A" w:rsidRPr="0004774A" w:rsidRDefault="0004774A" w:rsidP="0004774A">
      <w:pPr>
        <w:spacing w:after="0" w:line="240" w:lineRule="auto"/>
        <w:jc w:val="both"/>
        <w:textAlignment w:val="baseline"/>
        <w:rPr>
          <w:rFonts w:ascii="Verdana" w:eastAsia="Times New Roman" w:hAnsi="Verdana" w:cs="Segoe UI"/>
          <w:lang w:val="es-ES" w:eastAsia="es-CO"/>
        </w:rPr>
      </w:pPr>
    </w:p>
    <w:p w14:paraId="7D442A26" w14:textId="77777777" w:rsidR="009C32AC" w:rsidRPr="009C32AC" w:rsidRDefault="009C32AC" w:rsidP="009C32AC">
      <w:pPr>
        <w:spacing w:after="0" w:line="240" w:lineRule="auto"/>
        <w:jc w:val="both"/>
        <w:textAlignment w:val="baseline"/>
        <w:rPr>
          <w:rFonts w:ascii="Verdana" w:eastAsia="Times New Roman" w:hAnsi="Verdana" w:cs="Segoe UI"/>
          <w:lang w:val="es-ES" w:eastAsia="es-CO"/>
        </w:rPr>
      </w:pPr>
      <w:r w:rsidRPr="009C32AC">
        <w:rPr>
          <w:rFonts w:ascii="Verdana" w:eastAsia="Times New Roman" w:hAnsi="Verdana" w:cs="Segoe UI"/>
          <w:lang w:val="es-ES" w:eastAsia="es-CO"/>
        </w:rPr>
        <w:t xml:space="preserve">Lo anterior se sustenta en las siguientes consideraciones: </w:t>
      </w:r>
    </w:p>
    <w:p w14:paraId="07A47826" w14:textId="77777777" w:rsidR="009508FB" w:rsidRDefault="009508FB" w:rsidP="00F10405">
      <w:pPr>
        <w:spacing w:after="0" w:line="240" w:lineRule="auto"/>
        <w:jc w:val="both"/>
        <w:textAlignment w:val="baseline"/>
        <w:rPr>
          <w:rFonts w:ascii="Verdana" w:eastAsia="Times New Roman" w:hAnsi="Verdana" w:cs="Segoe UI"/>
          <w:lang w:val="es-ES" w:eastAsia="es-CO"/>
        </w:rPr>
      </w:pPr>
    </w:p>
    <w:p w14:paraId="52DE0EDD" w14:textId="461F5211" w:rsidR="00C00407" w:rsidRPr="00C00407" w:rsidRDefault="00C00407" w:rsidP="004B326C">
      <w:pPr>
        <w:spacing w:after="120" w:line="276" w:lineRule="auto"/>
        <w:jc w:val="both"/>
        <w:textAlignment w:val="baseline"/>
        <w:rPr>
          <w:rFonts w:ascii="Verdana" w:eastAsia="Times New Roman" w:hAnsi="Verdana" w:cs="Segoe UI"/>
          <w:lang w:val="es-ES_tradnl" w:eastAsia="es-CO"/>
        </w:rPr>
      </w:pPr>
      <w:r w:rsidRPr="00C00407">
        <w:rPr>
          <w:rFonts w:ascii="Verdana" w:eastAsia="Times New Roman" w:hAnsi="Verdana" w:cs="Segoe UI"/>
          <w:lang w:val="es-ES" w:eastAsia="es-CO"/>
        </w:rPr>
        <w:t>i</w:t>
      </w:r>
      <w:r w:rsidR="00CC058E">
        <w:rPr>
          <w:rFonts w:ascii="Verdana" w:eastAsia="Times New Roman" w:hAnsi="Verdana" w:cs="Segoe UI"/>
          <w:lang w:val="es-ES" w:eastAsia="es-CO"/>
        </w:rPr>
        <w:t>.</w:t>
      </w:r>
      <w:r w:rsidRPr="00C00407">
        <w:rPr>
          <w:rFonts w:ascii="Verdana" w:eastAsia="Times New Roman" w:hAnsi="Verdana" w:cs="Segoe UI"/>
          <w:lang w:val="es-ES" w:eastAsia="es-CO"/>
        </w:rPr>
        <w:t xml:space="preserve">  El ordenamiento jurídico colombiano contempla medidas para evitar la obtención de beneficios personales en asuntos propios de la administración pública</w:t>
      </w:r>
      <w:r w:rsidRPr="00C00407">
        <w:rPr>
          <w:rFonts w:ascii="Verdana" w:eastAsia="Times New Roman" w:hAnsi="Verdana" w:cs="Segoe UI"/>
          <w:i/>
          <w:lang w:val="es-ES" w:eastAsia="es-CO"/>
        </w:rPr>
        <w:t xml:space="preserve">. </w:t>
      </w:r>
      <w:r w:rsidRPr="00C00407">
        <w:rPr>
          <w:rFonts w:ascii="Verdana" w:eastAsia="Times New Roman" w:hAnsi="Verdana" w:cs="Segoe UI"/>
          <w:lang w:val="es-ES" w:eastAsia="es-CO"/>
        </w:rPr>
        <w:t>La Ley 996 de 2005, conocida como “Ley de Garantías Electorales”, hace parte del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00407">
        <w:rPr>
          <w:rFonts w:ascii="Verdana" w:eastAsia="Times New Roman" w:hAnsi="Verdana" w:cs="Segoe UI"/>
          <w:vertAlign w:val="superscript"/>
          <w:lang w:val="es-ES" w:eastAsia="es-CO"/>
        </w:rPr>
        <w:footnoteReference w:id="2"/>
      </w:r>
      <w:r w:rsidRPr="00C00407">
        <w:rPr>
          <w:rFonts w:ascii="Verdana" w:eastAsia="Times New Roman" w:hAnsi="Verdana" w:cs="Segoe UI"/>
          <w:lang w:val="es-ES" w:eastAsia="es-CO"/>
        </w:rPr>
        <w:t xml:space="preserve">. En esta medida, introduce limitaciones para realizar nombramientos, postulaciones, contrataciones o cualquier otro tipo de actividad que implique destinación de recursos públicos bajo el devenir propio de las Entidades Estatales. </w:t>
      </w:r>
    </w:p>
    <w:p w14:paraId="2BED19AA" w14:textId="77777777" w:rsidR="00C00407" w:rsidRDefault="00C00407" w:rsidP="00C047EA">
      <w:pPr>
        <w:spacing w:after="120" w:line="276" w:lineRule="auto"/>
        <w:ind w:firstLine="709"/>
        <w:jc w:val="both"/>
        <w:textAlignment w:val="baseline"/>
        <w:rPr>
          <w:rFonts w:ascii="Verdana" w:eastAsia="Times New Roman" w:hAnsi="Verdana" w:cs="Segoe UI"/>
          <w:lang w:val="es-ES" w:eastAsia="es-CO"/>
        </w:rPr>
      </w:pPr>
      <w:r w:rsidRPr="00C00407">
        <w:rPr>
          <w:rFonts w:ascii="Verdana" w:eastAsia="Times New Roman" w:hAnsi="Verdana" w:cs="Segoe UI"/>
          <w:lang w:val="es-ES" w:eastAsia="es-CO"/>
        </w:rPr>
        <w:t>En armonía con lo anterior, la Corte Constitucional ha abordado la definición de la Ley de Garantías Electorales. De esta manera, explica que tiene como propósito:</w:t>
      </w:r>
    </w:p>
    <w:p w14:paraId="7D0D5F7B" w14:textId="77777777" w:rsidR="00C047EA" w:rsidRDefault="00C047EA" w:rsidP="00C047EA">
      <w:pPr>
        <w:spacing w:after="0" w:line="240" w:lineRule="auto"/>
        <w:ind w:firstLine="709"/>
        <w:jc w:val="both"/>
        <w:textAlignment w:val="baseline"/>
        <w:rPr>
          <w:rFonts w:ascii="Verdana" w:eastAsia="Times New Roman" w:hAnsi="Verdana" w:cs="Segoe UI"/>
          <w:lang w:val="es-ES" w:eastAsia="es-CO"/>
        </w:rPr>
      </w:pPr>
    </w:p>
    <w:p w14:paraId="7A5F0838" w14:textId="77777777" w:rsidR="00C00407" w:rsidRPr="004B326C" w:rsidRDefault="00C00407" w:rsidP="004B326C">
      <w:pPr>
        <w:spacing w:after="12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 la definición de reglas claras que permitan acceder a los canales de expresión democrática de manera efectiva e igualitaria. El objetivo de una ley de garantías es definir esas reglas.</w:t>
      </w:r>
    </w:p>
    <w:p w14:paraId="2ACB5038" w14:textId="77777777" w:rsidR="00C00407" w:rsidRPr="004B326C" w:rsidRDefault="00C00407" w:rsidP="004B326C">
      <w:pPr>
        <w:spacing w:after="12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 xml:space="preserve">[…] </w:t>
      </w:r>
    </w:p>
    <w:p w14:paraId="54D14231" w14:textId="77777777" w:rsidR="00C00407" w:rsidRPr="004B326C" w:rsidRDefault="00C00407" w:rsidP="004B326C">
      <w:pPr>
        <w:spacing w:after="12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B326C">
        <w:rPr>
          <w:rFonts w:ascii="Verdana" w:eastAsia="Times New Roman" w:hAnsi="Verdana" w:cs="Segoe UI"/>
          <w:sz w:val="20"/>
          <w:szCs w:val="20"/>
          <w:vertAlign w:val="superscript"/>
          <w:lang w:val="es-ES" w:eastAsia="es-CO"/>
        </w:rPr>
        <w:footnoteReference w:id="3"/>
      </w:r>
    </w:p>
    <w:p w14:paraId="7AE5476F" w14:textId="77777777" w:rsidR="00C00407" w:rsidRPr="00C00407" w:rsidRDefault="00C00407" w:rsidP="00C00407">
      <w:pPr>
        <w:spacing w:after="0" w:line="240" w:lineRule="auto"/>
        <w:ind w:firstLine="709"/>
        <w:jc w:val="both"/>
        <w:textAlignment w:val="baseline"/>
        <w:rPr>
          <w:rFonts w:ascii="Verdana" w:eastAsia="Times New Roman" w:hAnsi="Verdana" w:cs="Segoe UI"/>
          <w:lang w:val="es-ES" w:eastAsia="es-CO"/>
        </w:rPr>
      </w:pPr>
    </w:p>
    <w:p w14:paraId="7A61EEB4" w14:textId="77777777" w:rsidR="00C00407" w:rsidRDefault="00C00407" w:rsidP="004B326C">
      <w:pPr>
        <w:spacing w:after="0" w:line="276" w:lineRule="auto"/>
        <w:ind w:firstLine="709"/>
        <w:jc w:val="both"/>
        <w:textAlignment w:val="baseline"/>
        <w:rPr>
          <w:rFonts w:ascii="Verdana" w:eastAsia="Times New Roman" w:hAnsi="Verdana" w:cs="Segoe UI"/>
          <w:lang w:val="es-ES" w:eastAsia="es-CO"/>
        </w:rPr>
      </w:pPr>
      <w:r w:rsidRPr="00C00407">
        <w:rPr>
          <w:rFonts w:ascii="Verdana" w:eastAsia="Times New Roman" w:hAnsi="Verdana" w:cs="Segoe UI"/>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3C0C4CA" w14:textId="77777777" w:rsidR="00C047EA" w:rsidRDefault="00C047EA" w:rsidP="00C047EA">
      <w:pPr>
        <w:spacing w:after="0" w:line="240" w:lineRule="auto"/>
        <w:ind w:firstLine="709"/>
        <w:jc w:val="both"/>
        <w:textAlignment w:val="baseline"/>
        <w:rPr>
          <w:rFonts w:ascii="Verdana" w:eastAsia="Times New Roman" w:hAnsi="Verdana" w:cs="Segoe UI"/>
          <w:lang w:val="es-ES" w:eastAsia="es-CO"/>
        </w:rPr>
      </w:pPr>
    </w:p>
    <w:p w14:paraId="39BCAB84" w14:textId="77777777" w:rsidR="00ED31C9" w:rsidRPr="004B326C" w:rsidRDefault="00ED31C9" w:rsidP="004B326C">
      <w:pPr>
        <w:spacing w:after="12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B326C">
        <w:rPr>
          <w:rFonts w:ascii="Verdana" w:eastAsia="Times New Roman" w:hAnsi="Verdana" w:cs="Segoe UI"/>
          <w:sz w:val="20"/>
          <w:szCs w:val="20"/>
          <w:lang w:val="es-ES" w:eastAsia="es-CO"/>
        </w:rPr>
        <w:t>legis</w:t>
      </w:r>
      <w:proofErr w:type="spellEnd"/>
      <w:r w:rsidRPr="004B326C">
        <w:rPr>
          <w:rFonts w:ascii="Verdana" w:eastAsia="Times New Roman" w:hAnsi="Verdana" w:cs="Segoe UI"/>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60CC331" w14:textId="77777777" w:rsidR="00ED31C9" w:rsidRPr="004B326C" w:rsidRDefault="00ED31C9" w:rsidP="004B326C">
      <w:pPr>
        <w:spacing w:after="120" w:line="240" w:lineRule="auto"/>
        <w:ind w:left="709" w:right="709"/>
        <w:jc w:val="both"/>
        <w:textAlignment w:val="baseline"/>
        <w:rPr>
          <w:rFonts w:ascii="Verdana" w:eastAsia="Times New Roman" w:hAnsi="Verdana" w:cs="Segoe UI"/>
          <w:sz w:val="20"/>
          <w:szCs w:val="20"/>
          <w:lang w:val="es-ES" w:eastAsia="es-CO"/>
        </w:rPr>
      </w:pPr>
    </w:p>
    <w:p w14:paraId="02A8F949" w14:textId="77777777" w:rsidR="00ED31C9" w:rsidRPr="004B326C" w:rsidRDefault="00ED31C9" w:rsidP="004B326C">
      <w:pPr>
        <w:spacing w:after="12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La jurisprudencia de la Corte Constitucional</w:t>
      </w:r>
      <w:r w:rsidRPr="004B326C">
        <w:rPr>
          <w:rFonts w:ascii="Verdana" w:eastAsia="Times New Roman" w:hAnsi="Verdana" w:cs="Segoe UI"/>
          <w:sz w:val="20"/>
          <w:szCs w:val="20"/>
          <w:vertAlign w:val="superscript"/>
          <w:lang w:val="es-ES" w:eastAsia="es-CO"/>
        </w:rPr>
        <w:footnoteReference w:id="4"/>
      </w:r>
      <w:r w:rsidRPr="004B326C">
        <w:rPr>
          <w:rFonts w:ascii="Verdana" w:eastAsia="Times New Roman" w:hAnsi="Verdana" w:cs="Segoe UI"/>
          <w:sz w:val="20"/>
          <w:szCs w:val="20"/>
          <w:lang w:val="es-ES" w:eastAsia="es-CO"/>
        </w:rPr>
        <w:t> y del Consejo de Estado</w:t>
      </w:r>
      <w:r w:rsidRPr="004B326C">
        <w:rPr>
          <w:rFonts w:ascii="Verdana" w:eastAsia="Times New Roman" w:hAnsi="Verdana" w:cs="Segoe UI"/>
          <w:sz w:val="20"/>
          <w:szCs w:val="20"/>
          <w:vertAlign w:val="superscript"/>
          <w:lang w:val="es-ES" w:eastAsia="es-CO"/>
        </w:rPr>
        <w:footnoteReference w:id="5"/>
      </w:r>
      <w:r w:rsidRPr="004B326C">
        <w:rPr>
          <w:rFonts w:ascii="Verdana" w:eastAsia="Times New Roman" w:hAnsi="Verdana" w:cs="Segoe UI"/>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B326C">
        <w:rPr>
          <w:rFonts w:ascii="Verdana" w:eastAsia="Times New Roman" w:hAnsi="Verdana" w:cs="Segoe UI"/>
          <w:sz w:val="20"/>
          <w:szCs w:val="20"/>
          <w:vertAlign w:val="superscript"/>
          <w:lang w:val="es-ES" w:eastAsia="es-CO"/>
        </w:rPr>
        <w:footnoteReference w:id="6"/>
      </w:r>
      <w:r w:rsidRPr="004B326C">
        <w:rPr>
          <w:rFonts w:ascii="Verdana" w:eastAsia="Times New Roman" w:hAnsi="Verdana" w:cs="Segoe UI"/>
          <w:sz w:val="20"/>
          <w:szCs w:val="20"/>
          <w:lang w:val="es-ES" w:eastAsia="es-CO"/>
        </w:rPr>
        <w:t>.</w:t>
      </w:r>
    </w:p>
    <w:p w14:paraId="7A8A0F5D" w14:textId="77777777" w:rsidR="00C047EA" w:rsidRPr="00ED31C9" w:rsidRDefault="00C047EA" w:rsidP="00C047EA">
      <w:pPr>
        <w:spacing w:after="0" w:line="240" w:lineRule="auto"/>
        <w:ind w:left="709" w:right="709"/>
        <w:jc w:val="both"/>
        <w:textAlignment w:val="baseline"/>
        <w:rPr>
          <w:rFonts w:ascii="Verdana" w:eastAsia="Times New Roman" w:hAnsi="Verdana" w:cs="Segoe UI"/>
          <w:sz w:val="21"/>
          <w:szCs w:val="21"/>
          <w:lang w:val="es-ES" w:eastAsia="es-CO"/>
        </w:rPr>
      </w:pPr>
    </w:p>
    <w:p w14:paraId="1E69B8DD" w14:textId="77777777" w:rsidR="00ED31C9" w:rsidRPr="00ED31C9" w:rsidRDefault="00ED31C9" w:rsidP="00C047EA">
      <w:pPr>
        <w:spacing w:after="120" w:line="276" w:lineRule="auto"/>
        <w:ind w:firstLine="709"/>
        <w:jc w:val="both"/>
        <w:textAlignment w:val="baseline"/>
        <w:rPr>
          <w:rFonts w:ascii="Verdana" w:eastAsia="Times New Roman" w:hAnsi="Verdana" w:cs="Segoe UI"/>
          <w:lang w:val="es-ES" w:eastAsia="es-CO"/>
        </w:rPr>
      </w:pPr>
      <w:r w:rsidRPr="00ED31C9">
        <w:rPr>
          <w:rFonts w:ascii="Verdana" w:eastAsia="Times New Roman" w:hAnsi="Verdana" w:cs="Segoe UI"/>
          <w:lang w:val="es-ES" w:eastAsia="es-CO"/>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FD656AD" w14:textId="417984D4" w:rsidR="00ED31C9" w:rsidRPr="00ED31C9" w:rsidRDefault="00ED31C9" w:rsidP="004B326C">
      <w:pPr>
        <w:spacing w:after="120" w:line="276" w:lineRule="auto"/>
        <w:jc w:val="both"/>
        <w:textAlignment w:val="baseline"/>
        <w:rPr>
          <w:rFonts w:ascii="Verdana" w:eastAsia="Times New Roman" w:hAnsi="Verdana" w:cs="Segoe UI"/>
          <w:lang w:val="es-ES" w:eastAsia="es-CO"/>
        </w:rPr>
      </w:pPr>
      <w:r w:rsidRPr="00ED31C9">
        <w:rPr>
          <w:rFonts w:ascii="Verdana" w:eastAsia="Times New Roman" w:hAnsi="Verdana" w:cs="Segoe UI"/>
          <w:lang w:val="es-ES" w:eastAsia="es-CO"/>
        </w:rPr>
        <w:t>ii</w:t>
      </w:r>
      <w:r w:rsidR="00CC058E">
        <w:rPr>
          <w:rFonts w:ascii="Verdana" w:eastAsia="Times New Roman" w:hAnsi="Verdana" w:cs="Segoe UI"/>
          <w:lang w:val="es-ES" w:eastAsia="es-CO"/>
        </w:rPr>
        <w:t>.</w:t>
      </w:r>
      <w:r w:rsidRPr="00ED31C9">
        <w:rPr>
          <w:rFonts w:ascii="Verdana" w:eastAsia="Times New Roman" w:hAnsi="Verdana" w:cs="Segoe UI"/>
          <w:lang w:val="es-ES" w:eastAsia="es-CO"/>
        </w:rPr>
        <w:t xml:space="preserve">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5CC838FC" w14:textId="77777777" w:rsidR="00ED31C9" w:rsidRPr="00ED31C9" w:rsidRDefault="00ED31C9" w:rsidP="00C047EA">
      <w:pPr>
        <w:spacing w:after="120" w:line="276" w:lineRule="auto"/>
        <w:ind w:firstLine="709"/>
        <w:jc w:val="both"/>
        <w:textAlignment w:val="baseline"/>
        <w:rPr>
          <w:rFonts w:ascii="Verdana" w:eastAsia="Times New Roman" w:hAnsi="Verdana" w:cs="Segoe UI"/>
          <w:lang w:val="es-ES" w:eastAsia="es-CO"/>
        </w:rPr>
      </w:pPr>
      <w:r w:rsidRPr="00ED31C9">
        <w:rPr>
          <w:rFonts w:ascii="Verdana" w:eastAsia="Times New Roman" w:hAnsi="Verdana" w:cs="Segoe UI"/>
          <w:lang w:val="es-ES" w:eastAsia="es-CO"/>
        </w:rPr>
        <w:t xml:space="preserve">Por un lado, el </w:t>
      </w:r>
      <w:r w:rsidRPr="00ED31C9">
        <w:rPr>
          <w:rFonts w:ascii="Verdana" w:eastAsia="Times New Roman" w:hAnsi="Verdana" w:cs="Segoe UI"/>
          <w:i/>
          <w:iCs/>
          <w:lang w:val="es-ES" w:eastAsia="es-CO"/>
        </w:rPr>
        <w:t xml:space="preserve">artículo 33 </w:t>
      </w:r>
      <w:r w:rsidRPr="00ED31C9">
        <w:rPr>
          <w:rFonts w:ascii="Verdana" w:eastAsia="Times New Roman" w:hAnsi="Verdana" w:cs="Segoe UI"/>
          <w:lang w:val="es-ES" w:eastAsia="es-CO"/>
        </w:rPr>
        <w:t xml:space="preserve">de la Ley 996 de 2005 prohíbe “[…] la contratación directa por parte de </w:t>
      </w:r>
      <w:r w:rsidRPr="00ED31C9">
        <w:rPr>
          <w:rFonts w:ascii="Verdana" w:eastAsia="Times New Roman" w:hAnsi="Verdana" w:cs="Segoe UI"/>
          <w:i/>
          <w:iCs/>
          <w:lang w:val="es-ES" w:eastAsia="es-CO"/>
        </w:rPr>
        <w:t>todos los entes del Estado</w:t>
      </w:r>
      <w:r w:rsidRPr="00ED31C9">
        <w:rPr>
          <w:rFonts w:ascii="Verdana" w:eastAsia="Times New Roman" w:hAnsi="Verdana" w:cs="Segoe UI"/>
          <w:lang w:val="es-ES" w:eastAsia="es-CO"/>
        </w:rPr>
        <w:t xml:space="preserve">” durante los cuatro (4) meses anteriores a las </w:t>
      </w:r>
      <w:r w:rsidRPr="00ED31C9">
        <w:rPr>
          <w:rFonts w:ascii="Verdana" w:eastAsia="Times New Roman" w:hAnsi="Verdana" w:cs="Segoe UI"/>
          <w:i/>
          <w:iCs/>
          <w:lang w:val="es-ES" w:eastAsia="es-CO"/>
        </w:rPr>
        <w:t>elecciones presidenciales</w:t>
      </w:r>
      <w:r w:rsidRPr="00ED31C9">
        <w:rPr>
          <w:rFonts w:ascii="Verdana" w:eastAsia="Times New Roman" w:hAnsi="Verdana" w:cs="Segoe UI"/>
          <w:lang w:val="es-ES" w:eastAsia="es-CO"/>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D31C9">
        <w:rPr>
          <w:rFonts w:ascii="Verdana" w:eastAsia="Times New Roman" w:hAnsi="Verdana" w:cs="Segoe UI"/>
          <w:vertAlign w:val="superscript"/>
          <w:lang w:val="es-ES" w:eastAsia="es-CO"/>
        </w:rPr>
        <w:footnoteReference w:id="7"/>
      </w:r>
      <w:r w:rsidRPr="00ED31C9">
        <w:rPr>
          <w:rFonts w:ascii="Verdana" w:eastAsia="Times New Roman" w:hAnsi="Verdana" w:cs="Segoe UI"/>
          <w:lang w:val="es-ES" w:eastAsia="es-CO"/>
        </w:rPr>
        <w:t>.</w:t>
      </w:r>
    </w:p>
    <w:p w14:paraId="083F0B6B" w14:textId="77777777" w:rsidR="00ED31C9" w:rsidRDefault="00ED31C9" w:rsidP="00C047EA">
      <w:pPr>
        <w:spacing w:after="120" w:line="276" w:lineRule="auto"/>
        <w:ind w:firstLine="709"/>
        <w:jc w:val="both"/>
        <w:textAlignment w:val="baseline"/>
        <w:rPr>
          <w:rFonts w:ascii="Verdana" w:eastAsia="Times New Roman" w:hAnsi="Verdana" w:cs="Segoe UI"/>
          <w:lang w:val="es-ES" w:eastAsia="es-CO"/>
        </w:rPr>
      </w:pPr>
      <w:r w:rsidRPr="00ED31C9">
        <w:rPr>
          <w:rFonts w:ascii="Verdana" w:eastAsia="Times New Roman" w:hAnsi="Verdana" w:cs="Segoe UI"/>
          <w:lang w:val="es-ES" w:eastAsia="es-CO"/>
        </w:rPr>
        <w:t xml:space="preserve">Por otro lado, </w:t>
      </w:r>
      <w:r w:rsidRPr="00ED31C9">
        <w:rPr>
          <w:rFonts w:ascii="Verdana" w:eastAsia="Times New Roman" w:hAnsi="Verdana" w:cs="Segoe UI"/>
          <w:i/>
          <w:iCs/>
          <w:lang w:val="es-ES" w:eastAsia="es-CO"/>
        </w:rPr>
        <w:t xml:space="preserve">el parágrafo del artículo 38 </w:t>
      </w:r>
      <w:r w:rsidRPr="00ED31C9">
        <w:rPr>
          <w:rFonts w:ascii="Verdana" w:eastAsia="Times New Roman" w:hAnsi="Verdana" w:cs="Segoe UI"/>
          <w:lang w:val="es-ES" w:eastAsia="es-CO"/>
        </w:rPr>
        <w:t xml:space="preserve">de la Ley 996 de 2005 prevé una restricción aplicable respecto de </w:t>
      </w:r>
      <w:r w:rsidRPr="00ED31C9">
        <w:rPr>
          <w:rFonts w:ascii="Verdana" w:eastAsia="Times New Roman" w:hAnsi="Verdana" w:cs="Segoe UI"/>
          <w:i/>
          <w:iCs/>
          <w:lang w:val="es-ES" w:eastAsia="es-CO"/>
        </w:rPr>
        <w:t>cualquier tipo de contienda electoral</w:t>
      </w:r>
      <w:r w:rsidRPr="00ED31C9">
        <w:rPr>
          <w:rFonts w:ascii="Verdana" w:eastAsia="Times New Roman" w:hAnsi="Verdana" w:cs="Segoe UI"/>
          <w:lang w:val="es-ES" w:eastAsia="es-CO"/>
        </w:rPr>
        <w:t>, que prohíbe de manera expresa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D31C9">
        <w:rPr>
          <w:rFonts w:ascii="Verdana" w:eastAsia="Times New Roman" w:hAnsi="Verdana" w:cs="Segoe UI"/>
          <w:vertAlign w:val="superscript"/>
          <w:lang w:val="es-ES" w:eastAsia="es-CO"/>
        </w:rPr>
        <w:footnoteReference w:id="8"/>
      </w:r>
      <w:r w:rsidRPr="00ED31C9">
        <w:rPr>
          <w:rFonts w:ascii="Verdana" w:eastAsia="Times New Roman" w:hAnsi="Verdana" w:cs="Segoe UI"/>
          <w:lang w:val="es-ES" w:eastAsia="es-CO"/>
        </w:rPr>
        <w:t xml:space="preserve">. </w:t>
      </w:r>
    </w:p>
    <w:p w14:paraId="74457BE4" w14:textId="77777777" w:rsidR="00A136B1" w:rsidRDefault="00A136B1" w:rsidP="004B326C">
      <w:pPr>
        <w:spacing w:after="0" w:line="276" w:lineRule="auto"/>
        <w:ind w:firstLine="709"/>
        <w:jc w:val="both"/>
        <w:textAlignment w:val="baseline"/>
        <w:rPr>
          <w:rFonts w:ascii="Verdana" w:eastAsia="Times New Roman" w:hAnsi="Verdana" w:cs="Segoe UI"/>
          <w:lang w:val="es-ES" w:eastAsia="es-CO"/>
        </w:rPr>
      </w:pPr>
      <w:r w:rsidRPr="00A136B1">
        <w:rPr>
          <w:rFonts w:ascii="Verdana" w:eastAsia="Times New Roman" w:hAnsi="Verdana" w:cs="Segoe UI"/>
          <w:lang w:val="es-ES" w:eastAsia="es-CO"/>
        </w:rPr>
        <w:t>La Sala de Consulta y Servicio Civil del Consejo de Estado ha aclarado la distinción en la aplicación de las prohibiciones de la Ley 996 de 2005, dependiendo del tipo de elección que se trate. Al respecto, señala:</w:t>
      </w:r>
    </w:p>
    <w:p w14:paraId="65F61A69" w14:textId="77777777" w:rsidR="00C047EA" w:rsidRPr="00A136B1" w:rsidRDefault="00C047EA" w:rsidP="00C047EA">
      <w:pPr>
        <w:spacing w:after="0" w:line="240" w:lineRule="auto"/>
        <w:ind w:firstLine="709"/>
        <w:jc w:val="both"/>
        <w:textAlignment w:val="baseline"/>
        <w:rPr>
          <w:rFonts w:ascii="Verdana" w:eastAsia="Times New Roman" w:hAnsi="Verdana" w:cs="Segoe UI"/>
          <w:lang w:val="es-ES" w:eastAsia="es-CO"/>
        </w:rPr>
      </w:pPr>
    </w:p>
    <w:p w14:paraId="203FE142" w14:textId="77777777" w:rsidR="00A136B1" w:rsidRDefault="00A136B1" w:rsidP="00906DC1">
      <w:pPr>
        <w:spacing w:after="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4B326C">
        <w:rPr>
          <w:rFonts w:ascii="Verdana" w:eastAsia="Times New Roman" w:hAnsi="Verdana" w:cs="Segoe UI"/>
          <w:sz w:val="20"/>
          <w:szCs w:val="20"/>
          <w:vertAlign w:val="superscript"/>
          <w:lang w:val="es-ES" w:eastAsia="es-CO"/>
        </w:rPr>
        <w:footnoteReference w:id="9"/>
      </w:r>
    </w:p>
    <w:p w14:paraId="6E532A01" w14:textId="77777777" w:rsidR="00906DC1" w:rsidRPr="004B326C" w:rsidRDefault="00906DC1" w:rsidP="004B326C">
      <w:pPr>
        <w:spacing w:after="0" w:line="240" w:lineRule="auto"/>
        <w:ind w:left="709" w:right="709"/>
        <w:jc w:val="both"/>
        <w:textAlignment w:val="baseline"/>
        <w:rPr>
          <w:rFonts w:ascii="Verdana" w:eastAsia="Times New Roman" w:hAnsi="Verdana" w:cs="Segoe UI"/>
          <w:sz w:val="20"/>
          <w:szCs w:val="20"/>
          <w:lang w:val="es-ES" w:eastAsia="es-CO"/>
        </w:rPr>
      </w:pPr>
    </w:p>
    <w:p w14:paraId="401B8E3F" w14:textId="77777777" w:rsidR="00A136B1" w:rsidRPr="00A136B1" w:rsidRDefault="00A136B1" w:rsidP="00C047EA">
      <w:pPr>
        <w:spacing w:after="120" w:line="276" w:lineRule="auto"/>
        <w:ind w:firstLine="709"/>
        <w:jc w:val="both"/>
        <w:textAlignment w:val="baseline"/>
        <w:rPr>
          <w:rFonts w:ascii="Verdana" w:eastAsia="Times New Roman" w:hAnsi="Verdana" w:cs="Segoe UI"/>
          <w:lang w:val="es-ES" w:eastAsia="es-CO"/>
        </w:rPr>
      </w:pPr>
      <w:r w:rsidRPr="00A136B1">
        <w:rPr>
          <w:rFonts w:ascii="Verdana" w:eastAsia="Times New Roman" w:hAnsi="Verdana" w:cs="Segoe UI"/>
          <w:lang w:val="es-ES" w:eastAsia="es-CO"/>
        </w:rPr>
        <w:t xml:space="preserve">De conformidad con lo anterior, la Ley 996 de 2005 establece dos (2) tipos de restricciones en materia de contratación, las cuales coinciden parcialmente. </w:t>
      </w:r>
      <w:r w:rsidRPr="00A136B1">
        <w:rPr>
          <w:rFonts w:ascii="Verdana" w:eastAsia="Times New Roman" w:hAnsi="Verdana" w:cs="Segoe UI"/>
          <w:i/>
          <w:lang w:val="es-ES" w:eastAsia="es-CO"/>
        </w:rPr>
        <w:t>En primer lugar</w:t>
      </w:r>
      <w:r w:rsidRPr="00A136B1">
        <w:rPr>
          <w:rFonts w:ascii="Verdana" w:eastAsia="Times New Roman" w:hAnsi="Verdana" w:cs="Segoe UI"/>
          <w:lang w:val="es-ES" w:eastAsia="es-CO"/>
        </w:rPr>
        <w:t xml:space="preserve">, la del artículo 33 que aplica solo respecto de las elecciones presidenciales, en virtud de la cual queda proscrita la contratación directa por parte de cualquier ente público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136B1">
        <w:rPr>
          <w:rFonts w:ascii="Verdana" w:eastAsia="Times New Roman" w:hAnsi="Verdana" w:cs="Segoe UI"/>
          <w:i/>
          <w:lang w:val="es-ES" w:eastAsia="es-CO"/>
        </w:rPr>
        <w:t>En segundo lugar</w:t>
      </w:r>
      <w:r w:rsidRPr="00A136B1">
        <w:rPr>
          <w:rFonts w:ascii="Verdana" w:eastAsia="Times New Roman" w:hAnsi="Verdana" w:cs="Segoe UI"/>
          <w:lang w:val="es-ES" w:eastAsia="es-CO"/>
        </w:rPr>
        <w:t>, también se encuentra la prohibición del parágrafo del artículo 38, el cual debe aplicarse respecto de cualquier tipo de contienda electoral, y que prohíbe la celebración de convenios interadministrativos que impliquen la ejecución de recursos públicos por parte de los sujetos allí establecidos dentro de los cuatro (4) meses anteriores a la respectiva jornada de votaciones.</w:t>
      </w:r>
    </w:p>
    <w:p w14:paraId="7C2CCFB7" w14:textId="77777777" w:rsidR="00A136B1" w:rsidRPr="00A136B1" w:rsidRDefault="00A136B1" w:rsidP="00C047EA">
      <w:pPr>
        <w:spacing w:after="120" w:line="276" w:lineRule="auto"/>
        <w:ind w:firstLine="709"/>
        <w:jc w:val="both"/>
        <w:textAlignment w:val="baseline"/>
        <w:rPr>
          <w:rFonts w:ascii="Verdana" w:eastAsia="Times New Roman" w:hAnsi="Verdana" w:cs="Segoe UI"/>
          <w:lang w:val="es-ES" w:eastAsia="es-CO"/>
        </w:rPr>
      </w:pPr>
      <w:r w:rsidRPr="00A136B1">
        <w:rPr>
          <w:rFonts w:ascii="Verdana" w:eastAsia="Times New Roman" w:hAnsi="Verdana" w:cs="Segoe UI"/>
          <w:lang w:val="es-ES" w:eastAsia="es-CO"/>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los sujetos allí mencionados sólo deben aplicar las restricciones contenidas en el parágrafo del artículo 38.</w:t>
      </w:r>
    </w:p>
    <w:p w14:paraId="4A96EEB1" w14:textId="77777777" w:rsidR="00FE02E9" w:rsidRPr="00FE02E9" w:rsidRDefault="00FE02E9" w:rsidP="00C047EA">
      <w:pPr>
        <w:spacing w:after="120" w:line="276" w:lineRule="auto"/>
        <w:ind w:firstLine="709"/>
        <w:jc w:val="both"/>
        <w:textAlignment w:val="baseline"/>
        <w:rPr>
          <w:rFonts w:ascii="Verdana" w:eastAsia="Times New Roman" w:hAnsi="Verdana" w:cs="Segoe UI"/>
          <w:lang w:val="es-ES" w:eastAsia="es-CO"/>
        </w:rPr>
      </w:pPr>
      <w:r w:rsidRPr="00FE02E9">
        <w:rPr>
          <w:rFonts w:ascii="Verdana" w:eastAsia="Times New Roman" w:hAnsi="Verdana" w:cs="Segoe UI"/>
          <w:lang w:val="es-ES" w:eastAsia="es-CO"/>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EDFEB61" w14:textId="758BFE4A" w:rsidR="00FE02E9" w:rsidRDefault="00FE02E9" w:rsidP="00906DC1">
      <w:pPr>
        <w:spacing w:after="0" w:line="276" w:lineRule="auto"/>
        <w:jc w:val="both"/>
        <w:textAlignment w:val="baseline"/>
        <w:rPr>
          <w:rFonts w:ascii="Verdana" w:eastAsia="Times New Roman" w:hAnsi="Verdana" w:cs="Segoe UI"/>
          <w:lang w:val="es-ES" w:eastAsia="es-CO"/>
        </w:rPr>
      </w:pPr>
      <w:r w:rsidRPr="004B326C">
        <w:rPr>
          <w:rFonts w:ascii="Verdana" w:eastAsia="Times New Roman" w:hAnsi="Verdana" w:cs="Segoe UI"/>
          <w:lang w:val="es-ES" w:eastAsia="es-CO"/>
        </w:rPr>
        <w:t>iii</w:t>
      </w:r>
      <w:r w:rsidR="00906DC1" w:rsidRPr="004B326C">
        <w:rPr>
          <w:rFonts w:ascii="Verdana" w:eastAsia="Times New Roman" w:hAnsi="Verdana" w:cs="Segoe UI"/>
          <w:lang w:val="es-ES" w:eastAsia="es-CO"/>
        </w:rPr>
        <w:t>.</w:t>
      </w:r>
      <w:r w:rsidRPr="004B326C">
        <w:rPr>
          <w:rFonts w:ascii="Verdana" w:eastAsia="Times New Roman" w:hAnsi="Verdana" w:cs="Segoe UI"/>
          <w:lang w:val="es-ES" w:eastAsia="es-CO"/>
        </w:rPr>
        <w:t xml:space="preserve"> El </w:t>
      </w:r>
      <w:r w:rsidRPr="004B326C">
        <w:rPr>
          <w:rFonts w:ascii="Verdana" w:eastAsia="Times New Roman" w:hAnsi="Verdana" w:cs="Segoe UI"/>
          <w:i/>
          <w:lang w:val="es-ES" w:eastAsia="es-CO"/>
        </w:rPr>
        <w:t>ámbito material</w:t>
      </w:r>
      <w:r w:rsidRPr="004B326C">
        <w:rPr>
          <w:rFonts w:ascii="Verdana" w:eastAsia="Times New Roman" w:hAnsi="Verdana" w:cs="Segoe UI"/>
          <w:lang w:val="es-ES" w:eastAsia="es-CO"/>
        </w:rPr>
        <w:t xml:space="preserve"> de la prohibición establecida en el artículo 33 de la Ley 996 de 2005 está delimitado por la expresión “queda prohibida la contratación directa. Sobre esta restricción, la Sala de Consulta y Servicio Civil del Consejo de Estado ha considerado que:</w:t>
      </w:r>
    </w:p>
    <w:p w14:paraId="2655EC0D" w14:textId="77777777" w:rsidR="00906DC1" w:rsidRPr="004B326C" w:rsidRDefault="00906DC1" w:rsidP="004B326C">
      <w:pPr>
        <w:spacing w:after="0" w:line="276" w:lineRule="auto"/>
        <w:jc w:val="both"/>
        <w:textAlignment w:val="baseline"/>
        <w:rPr>
          <w:rFonts w:ascii="Verdana" w:eastAsia="Times New Roman" w:hAnsi="Verdana" w:cs="Segoe UI"/>
          <w:bCs/>
          <w:lang w:val="es-ES" w:eastAsia="es-CO"/>
        </w:rPr>
      </w:pPr>
    </w:p>
    <w:p w14:paraId="5DF6D315" w14:textId="77777777" w:rsidR="009A1950" w:rsidRPr="004B326C" w:rsidRDefault="009A1950" w:rsidP="004B326C">
      <w:pPr>
        <w:spacing w:after="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B326C">
        <w:rPr>
          <w:rFonts w:ascii="Verdana" w:eastAsia="Times New Roman" w:hAnsi="Verdana" w:cs="Segoe UI"/>
          <w:sz w:val="20"/>
          <w:szCs w:val="20"/>
          <w:vertAlign w:val="superscript"/>
          <w:lang w:val="es-ES" w:eastAsia="es-CO"/>
        </w:rPr>
        <w:footnoteReference w:id="10"/>
      </w:r>
      <w:r w:rsidRPr="004B326C">
        <w:rPr>
          <w:rFonts w:ascii="Verdana" w:eastAsia="Times New Roman" w:hAnsi="Verdana" w:cs="Segoe UI"/>
          <w:sz w:val="20"/>
          <w:szCs w:val="20"/>
          <w:vertAlign w:val="superscript"/>
          <w:lang w:val="es-ES" w:eastAsia="es-CO"/>
        </w:rPr>
        <w:t>.</w:t>
      </w:r>
      <w:r w:rsidRPr="004B326C">
        <w:rPr>
          <w:rFonts w:ascii="Verdana" w:eastAsia="Times New Roman" w:hAnsi="Verdana" w:cs="Segoe UI"/>
          <w:sz w:val="20"/>
          <w:szCs w:val="20"/>
          <w:lang w:val="es-ES" w:eastAsia="es-CO"/>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4B326C">
        <w:rPr>
          <w:rFonts w:ascii="Verdana" w:eastAsia="Times New Roman" w:hAnsi="Verdana" w:cs="Segoe UI"/>
          <w:sz w:val="20"/>
          <w:szCs w:val="20"/>
          <w:vertAlign w:val="superscript"/>
          <w:lang w:val="es-ES" w:eastAsia="es-CO"/>
        </w:rPr>
        <w:footnoteReference w:id="11"/>
      </w:r>
      <w:r w:rsidRPr="004B326C">
        <w:rPr>
          <w:rFonts w:ascii="Verdana" w:eastAsia="Times New Roman" w:hAnsi="Verdana" w:cs="Segoe UI"/>
          <w:sz w:val="20"/>
          <w:szCs w:val="20"/>
          <w:lang w:val="es-ES" w:eastAsia="es-CO"/>
        </w:rPr>
        <w:t xml:space="preserve"> .</w:t>
      </w:r>
    </w:p>
    <w:p w14:paraId="32BA4ED0" w14:textId="77777777" w:rsidR="00C047EA" w:rsidRPr="009A1950" w:rsidRDefault="00C047EA" w:rsidP="00C047EA">
      <w:pPr>
        <w:spacing w:after="0" w:line="240" w:lineRule="auto"/>
        <w:ind w:left="709" w:right="709"/>
        <w:jc w:val="both"/>
        <w:textAlignment w:val="baseline"/>
        <w:rPr>
          <w:rFonts w:ascii="Verdana" w:eastAsia="Times New Roman" w:hAnsi="Verdana" w:cs="Segoe UI"/>
          <w:sz w:val="21"/>
          <w:szCs w:val="21"/>
          <w:lang w:val="es-ES" w:eastAsia="es-CO"/>
        </w:rPr>
      </w:pPr>
    </w:p>
    <w:p w14:paraId="31513550" w14:textId="77777777" w:rsidR="009A1950" w:rsidRPr="009A1950" w:rsidRDefault="009A1950" w:rsidP="00C047EA">
      <w:pPr>
        <w:spacing w:after="120" w:line="276" w:lineRule="auto"/>
        <w:ind w:firstLine="709"/>
        <w:jc w:val="both"/>
        <w:textAlignment w:val="baseline"/>
        <w:rPr>
          <w:rFonts w:ascii="Verdana" w:eastAsia="Times New Roman" w:hAnsi="Verdana" w:cs="Segoe UI"/>
          <w:bCs/>
          <w:lang w:val="es-ES" w:eastAsia="es-CO"/>
        </w:rPr>
      </w:pPr>
      <w:r w:rsidRPr="009A1950">
        <w:rPr>
          <w:rFonts w:ascii="Verdana" w:eastAsia="Times New Roman" w:hAnsi="Verdana" w:cs="Segoe UI"/>
          <w:lang w:val="es-ES" w:eastAsia="es-CO"/>
        </w:rPr>
        <w:t>De acuerdo con este concepto, la prohibición del artículo 33 de la Ley de Garantías Electorales se refiere a “</w:t>
      </w:r>
      <w:r w:rsidRPr="009A1950">
        <w:rPr>
          <w:rFonts w:ascii="Verdana" w:eastAsia="Times New Roman" w:hAnsi="Verdana" w:cs="Segoe UI"/>
          <w:i/>
          <w:iCs/>
          <w:lang w:val="es-ES" w:eastAsia="es-CO"/>
        </w:rPr>
        <w:t>cualquier</w:t>
      </w:r>
      <w:r w:rsidRPr="009A1950">
        <w:rPr>
          <w:rFonts w:ascii="Verdana" w:eastAsia="Times New Roman" w:hAnsi="Verdana" w:cs="Segoe UI"/>
          <w:lang w:val="es-ES" w:eastAsia="es-CO"/>
        </w:rPr>
        <w:t xml:space="preserve">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w:t>
      </w:r>
      <w:r w:rsidRPr="009A1950" w:rsidDel="00A85D9F">
        <w:rPr>
          <w:rFonts w:ascii="Verdana" w:eastAsia="Times New Roman" w:hAnsi="Verdana" w:cs="Segoe UI"/>
          <w:lang w:val="es-ES" w:eastAsia="es-CO"/>
        </w:rPr>
        <w:t xml:space="preserve"> </w:t>
      </w:r>
      <w:r w:rsidRPr="009A1950">
        <w:rPr>
          <w:rFonts w:ascii="Verdana" w:eastAsia="Times New Roman" w:hAnsi="Verdana" w:cs="Segoe UI"/>
          <w:lang w:val="es-ES" w:eastAsia="es-CO"/>
        </w:rPr>
        <w:t>u otros previstos en normas especiales. Esta posición es congruente con la expedición de la Ley 1150 de 2007 que, entre otras reformas, introdujo la selección abreviada, rediseñó el concurso de méritos</w:t>
      </w:r>
      <w:r w:rsidRPr="009A1950">
        <w:rPr>
          <w:rFonts w:ascii="Verdana" w:eastAsia="Times New Roman" w:hAnsi="Verdana" w:cs="Segoe UI"/>
          <w:vertAlign w:val="superscript"/>
          <w:lang w:val="es-ES" w:eastAsia="es-CO"/>
        </w:rPr>
        <w:footnoteReference w:id="12"/>
      </w:r>
      <w:r w:rsidRPr="009A1950">
        <w:rPr>
          <w:rFonts w:ascii="Verdana" w:eastAsia="Times New Roman" w:hAnsi="Verdana" w:cs="Segoe UI"/>
          <w:lang w:val="es-ES" w:eastAsia="es-CO"/>
        </w:rPr>
        <w:t xml:space="preserve"> y sistematizó las causales de contratación directa</w:t>
      </w:r>
      <w:r w:rsidRPr="009A1950">
        <w:rPr>
          <w:rFonts w:ascii="Verdana" w:eastAsia="Times New Roman" w:hAnsi="Verdana" w:cs="Segoe UI"/>
          <w:vertAlign w:val="superscript"/>
          <w:lang w:val="es-ES" w:eastAsia="es-CO"/>
        </w:rPr>
        <w:footnoteReference w:id="13"/>
      </w:r>
      <w:r w:rsidRPr="009A1950">
        <w:rPr>
          <w:rFonts w:ascii="Verdana" w:eastAsia="Times New Roman" w:hAnsi="Verdana" w:cs="Segoe UI"/>
          <w:lang w:val="es-ES" w:eastAsia="es-CO"/>
        </w:rPr>
        <w:t>, además lo es con la posterior creación de la modalidad de mínima cuantía establecida actualmente en el numeral 5 del artículo 2 de la Ley 1150 de 2007, de acuerdo con las modificaciones realizadas por leyes posteriores.</w:t>
      </w:r>
    </w:p>
    <w:p w14:paraId="13771B20" w14:textId="77777777" w:rsidR="009A1950" w:rsidRDefault="009A1950" w:rsidP="00C047EA">
      <w:pPr>
        <w:spacing w:after="120" w:line="276" w:lineRule="auto"/>
        <w:ind w:firstLine="709"/>
        <w:jc w:val="both"/>
        <w:textAlignment w:val="baseline"/>
        <w:rPr>
          <w:rFonts w:ascii="Verdana" w:eastAsia="Times New Roman" w:hAnsi="Verdana" w:cs="Segoe UI"/>
          <w:vertAlign w:val="superscript"/>
          <w:lang w:val="es-ES" w:eastAsia="es-CO"/>
        </w:rPr>
      </w:pPr>
      <w:r w:rsidRPr="009A1950">
        <w:rPr>
          <w:rFonts w:ascii="Verdana" w:eastAsia="Times New Roman" w:hAnsi="Verdana" w:cs="Segoe UI"/>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9A1950">
        <w:rPr>
          <w:rFonts w:ascii="Verdana" w:eastAsia="Times New Roman" w:hAnsi="Verdana" w:cs="Segoe UI"/>
          <w:bCs/>
          <w:i/>
          <w:iCs/>
          <w:lang w:val="es-ES" w:eastAsia="es-CO"/>
        </w:rPr>
        <w:t>, sino también frente a las entidades que tengan un régimen especial de contratación</w:t>
      </w:r>
      <w:r w:rsidRPr="009A1950">
        <w:rPr>
          <w:rFonts w:ascii="Verdana" w:eastAsia="Times New Roman" w:hAnsi="Verdana" w:cs="Segoe UI"/>
          <w:bCs/>
          <w:lang w:val="es-ES" w:eastAsia="es-CO"/>
        </w:rPr>
        <w:t xml:space="preserve">. No obstante, también se observa que luego de la expedición de Ley 1150 de 2007, el Consejo de Estado comenzó a delimitar con mayor precisión el término de “contratación directa”. </w:t>
      </w:r>
      <w:r w:rsidRPr="009A1950">
        <w:rPr>
          <w:rFonts w:ascii="Verdana" w:eastAsia="Times New Roman" w:hAnsi="Verdana" w:cs="Segoe UI"/>
          <w:lang w:val="es-ES" w:eastAsia="es-CO"/>
        </w:rPr>
        <w:t xml:space="preserve">Así, para la prohibición o restricción temporal contenida en su artículo 33, “contratación directa” es </w:t>
      </w:r>
      <w:r w:rsidRPr="009A1950">
        <w:rPr>
          <w:rFonts w:ascii="Verdana" w:eastAsia="Times New Roman" w:hAnsi="Verdana" w:cs="Segoe UI"/>
          <w:i/>
          <w:iCs/>
          <w:lang w:val="es-ES" w:eastAsia="es-CO"/>
        </w:rPr>
        <w:t>cualquier</w:t>
      </w:r>
      <w:r w:rsidRPr="009A1950">
        <w:rPr>
          <w:rFonts w:ascii="Verdana" w:eastAsia="Times New Roman" w:hAnsi="Verdana" w:cs="Segoe UI"/>
          <w:lang w:val="es-ES" w:eastAsia="es-CO"/>
        </w:rPr>
        <w:t xml:space="preserve"> sistema de selección o procedimiento de contratación utilizado por las entidades estatales que no incluya la convocatoria pública en alguna de sus etapas, ni permita la participación de una pluralidad de oferentes</w:t>
      </w:r>
      <w:r w:rsidRPr="009A1950">
        <w:rPr>
          <w:rFonts w:ascii="Verdana" w:eastAsia="Times New Roman" w:hAnsi="Verdana" w:cs="Segoe UI"/>
          <w:vertAlign w:val="superscript"/>
          <w:lang w:val="es-ES" w:eastAsia="es-CO"/>
        </w:rPr>
        <w:footnoteReference w:id="14"/>
      </w:r>
      <w:r w:rsidRPr="009A1950">
        <w:rPr>
          <w:rFonts w:ascii="Verdana" w:eastAsia="Times New Roman" w:hAnsi="Verdana" w:cs="Segoe UI"/>
          <w:lang w:val="es-ES" w:eastAsia="es-CO"/>
        </w:rPr>
        <w:t>.</w:t>
      </w:r>
      <w:r w:rsidRPr="009A1950">
        <w:rPr>
          <w:rFonts w:ascii="Verdana" w:eastAsia="Times New Roman" w:hAnsi="Verdana" w:cs="Segoe UI"/>
          <w:vertAlign w:val="superscript"/>
          <w:lang w:val="es-ES" w:eastAsia="es-CO"/>
        </w:rPr>
        <w:t xml:space="preserve"> </w:t>
      </w:r>
    </w:p>
    <w:p w14:paraId="019E81FA" w14:textId="77777777" w:rsidR="00FC18E1" w:rsidRPr="00FC18E1" w:rsidRDefault="00FC18E1" w:rsidP="00C047EA">
      <w:pPr>
        <w:spacing w:after="120" w:line="276" w:lineRule="auto"/>
        <w:ind w:firstLine="709"/>
        <w:jc w:val="both"/>
        <w:textAlignment w:val="baseline"/>
        <w:rPr>
          <w:rFonts w:ascii="Verdana" w:eastAsia="Times New Roman" w:hAnsi="Verdana" w:cs="Segoe UI"/>
          <w:bCs/>
          <w:lang w:val="es-ES" w:eastAsia="es-CO"/>
        </w:rPr>
      </w:pPr>
      <w:r w:rsidRPr="00FC18E1">
        <w:rPr>
          <w:rFonts w:ascii="Verdana" w:eastAsia="Times New Roman" w:hAnsi="Verdana" w:cs="Segoe UI"/>
          <w:bCs/>
          <w:lang w:val="es-ES" w:eastAsia="es-CO"/>
        </w:rPr>
        <w:t xml:space="preserve">De lo anterior se desprende que la restricción aplica, sin perjuicio de las excepciones establecidas en la misma ley, para celebrar </w:t>
      </w:r>
      <w:r w:rsidRPr="00FC18E1">
        <w:rPr>
          <w:rFonts w:ascii="Verdana" w:eastAsia="Times New Roman" w:hAnsi="Verdana" w:cs="Segoe UI"/>
          <w:bCs/>
          <w:i/>
          <w:iCs/>
          <w:lang w:val="es-ES" w:eastAsia="es-CO"/>
        </w:rPr>
        <w:t>cualquier contrato o convenio de forma directa</w:t>
      </w:r>
      <w:r w:rsidRPr="00FC18E1">
        <w:rPr>
          <w:rFonts w:ascii="Verdana" w:eastAsia="Times New Roman" w:hAnsi="Verdana" w:cs="Segoe UI"/>
          <w:bCs/>
          <w:lang w:val="es-ES" w:eastAsia="es-CO"/>
        </w:rPr>
        <w:t>, esto es, sin que exista un proceso abierto y competitivo. En contraste,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7AE06BF" w14:textId="00D12910" w:rsidR="00FC18E1" w:rsidRDefault="00FC18E1" w:rsidP="00906DC1">
      <w:pPr>
        <w:spacing w:after="0" w:line="276" w:lineRule="auto"/>
        <w:jc w:val="both"/>
        <w:textAlignment w:val="baseline"/>
        <w:rPr>
          <w:rFonts w:ascii="Verdana" w:eastAsia="Times New Roman" w:hAnsi="Verdana" w:cs="Segoe UI"/>
          <w:bCs/>
          <w:lang w:val="es-ES" w:eastAsia="es-CO"/>
        </w:rPr>
      </w:pPr>
      <w:proofErr w:type="spellStart"/>
      <w:r w:rsidRPr="00FC18E1">
        <w:rPr>
          <w:rFonts w:ascii="Verdana" w:eastAsia="Times New Roman" w:hAnsi="Verdana" w:cs="Segoe UI"/>
          <w:bCs/>
          <w:lang w:val="es-ES" w:eastAsia="es-CO"/>
        </w:rPr>
        <w:t>iv</w:t>
      </w:r>
      <w:proofErr w:type="spellEnd"/>
      <w:r w:rsidR="00906DC1">
        <w:rPr>
          <w:rFonts w:ascii="Verdana" w:eastAsia="Times New Roman" w:hAnsi="Verdana" w:cs="Segoe UI"/>
          <w:bCs/>
          <w:lang w:val="es-ES" w:eastAsia="es-CO"/>
        </w:rPr>
        <w:t>.</w:t>
      </w:r>
      <w:r w:rsidRPr="00FC18E1">
        <w:rPr>
          <w:rFonts w:ascii="Verdana" w:eastAsia="Times New Roman" w:hAnsi="Verdana" w:cs="Segoe UI"/>
          <w:bCs/>
          <w:lang w:val="es-ES" w:eastAsia="es-CO"/>
        </w:rPr>
        <w:t xml:space="preserve"> Con respecto a los </w:t>
      </w:r>
      <w:r w:rsidRPr="00FC18E1">
        <w:rPr>
          <w:rFonts w:ascii="Verdana" w:eastAsia="Times New Roman" w:hAnsi="Verdana" w:cs="Segoe UI"/>
          <w:bCs/>
          <w:i/>
          <w:iCs/>
          <w:lang w:val="es-ES" w:eastAsia="es-CO"/>
        </w:rPr>
        <w:t>sujetos</w:t>
      </w:r>
      <w:r w:rsidRPr="00FC18E1">
        <w:rPr>
          <w:rFonts w:ascii="Verdana" w:eastAsia="Times New Roman" w:hAnsi="Verdana" w:cs="Segoe UI"/>
          <w:bCs/>
          <w:lang w:val="es-ES" w:eastAsia="es-CO"/>
        </w:rPr>
        <w:t xml:space="preserve"> que se encuentran enmarcados en la prohibición del artículo 33, la Ley 996 de 2005 señala expresamente que son “</w:t>
      </w:r>
      <w:r w:rsidRPr="00FC18E1">
        <w:rPr>
          <w:rFonts w:ascii="Verdana" w:eastAsia="Times New Roman" w:hAnsi="Verdana" w:cs="Segoe UI"/>
          <w:bCs/>
          <w:i/>
          <w:iCs/>
          <w:u w:val="single"/>
          <w:lang w:val="es-ES" w:eastAsia="es-CO"/>
        </w:rPr>
        <w:t>todos</w:t>
      </w:r>
      <w:r w:rsidRPr="00FC18E1">
        <w:rPr>
          <w:rFonts w:ascii="Verdana" w:eastAsia="Times New Roman" w:hAnsi="Verdana" w:cs="Segoe UI"/>
          <w:bCs/>
          <w:i/>
          <w:iCs/>
          <w:lang w:val="es-ES" w:eastAsia="es-CO"/>
        </w:rPr>
        <w:t xml:space="preserve"> los entes del Estado</w:t>
      </w:r>
      <w:r w:rsidRPr="00FC18E1">
        <w:rPr>
          <w:rFonts w:ascii="Verdana" w:eastAsia="Times New Roman" w:hAnsi="Verdana" w:cs="Segoe UI"/>
          <w:bCs/>
          <w:lang w:val="es-ES" w:eastAsia="es-CO"/>
        </w:rPr>
        <w:t>” [énfasis propio]. Al respecto la Sala De Consulta y Servicio Civil del Consejo de Estado señaló lo siguiente:</w:t>
      </w:r>
    </w:p>
    <w:p w14:paraId="7DB0032C" w14:textId="77777777" w:rsidR="00906DC1" w:rsidRDefault="00906DC1" w:rsidP="004B326C">
      <w:pPr>
        <w:spacing w:after="0" w:line="276" w:lineRule="auto"/>
        <w:jc w:val="both"/>
        <w:textAlignment w:val="baseline"/>
        <w:rPr>
          <w:rFonts w:ascii="Verdana" w:eastAsia="Times New Roman" w:hAnsi="Verdana" w:cs="Segoe UI"/>
          <w:bCs/>
          <w:lang w:val="es-ES" w:eastAsia="es-CO"/>
        </w:rPr>
      </w:pPr>
    </w:p>
    <w:p w14:paraId="24181F3A" w14:textId="77777777" w:rsidR="00FC18E1" w:rsidRPr="004B326C" w:rsidRDefault="00FC18E1" w:rsidP="004B326C">
      <w:pPr>
        <w:spacing w:after="0" w:line="240" w:lineRule="auto"/>
        <w:ind w:left="709" w:right="709"/>
        <w:jc w:val="both"/>
        <w:textAlignment w:val="baseline"/>
        <w:rPr>
          <w:rFonts w:ascii="Verdana" w:eastAsia="Times New Roman" w:hAnsi="Verdana" w:cs="Segoe UI"/>
          <w:sz w:val="20"/>
          <w:szCs w:val="20"/>
          <w:lang w:val="es-ES" w:eastAsia="es-CO"/>
        </w:rPr>
      </w:pPr>
      <w:r w:rsidRPr="004B326C">
        <w:rPr>
          <w:rFonts w:ascii="Verdana" w:eastAsia="Times New Roman" w:hAnsi="Verdana" w:cs="Segoe UI"/>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4B326C">
        <w:rPr>
          <w:rFonts w:ascii="Verdana" w:eastAsia="Times New Roman" w:hAnsi="Verdana" w:cs="Segoe UI"/>
          <w:sz w:val="20"/>
          <w:szCs w:val="20"/>
          <w:vertAlign w:val="superscript"/>
          <w:lang w:val="es-ES" w:eastAsia="es-CO"/>
        </w:rPr>
        <w:footnoteReference w:id="15"/>
      </w:r>
      <w:r w:rsidRPr="004B326C">
        <w:rPr>
          <w:rFonts w:ascii="Verdana" w:eastAsia="Times New Roman" w:hAnsi="Verdana" w:cs="Segoe UI"/>
          <w:sz w:val="20"/>
          <w:szCs w:val="20"/>
          <w:lang w:val="es-ES" w:eastAsia="es-CO"/>
        </w:rPr>
        <w:t>.</w:t>
      </w:r>
    </w:p>
    <w:p w14:paraId="6B292E13" w14:textId="77777777" w:rsidR="00FC18E1" w:rsidRPr="00FC18E1" w:rsidRDefault="00FC18E1" w:rsidP="004B326C">
      <w:pPr>
        <w:spacing w:after="0" w:line="240" w:lineRule="auto"/>
        <w:ind w:left="709" w:right="709"/>
        <w:jc w:val="both"/>
        <w:textAlignment w:val="baseline"/>
        <w:rPr>
          <w:rFonts w:ascii="Verdana" w:eastAsia="Times New Roman" w:hAnsi="Verdana" w:cs="Segoe UI"/>
          <w:bCs/>
          <w:sz w:val="21"/>
          <w:szCs w:val="21"/>
          <w:lang w:val="es-ES" w:eastAsia="es-CO"/>
        </w:rPr>
      </w:pPr>
    </w:p>
    <w:p w14:paraId="3B6005B9" w14:textId="77777777" w:rsidR="00FC18E1" w:rsidRDefault="00FC18E1" w:rsidP="00C047EA">
      <w:pPr>
        <w:spacing w:after="120" w:line="276" w:lineRule="auto"/>
        <w:ind w:firstLine="709"/>
        <w:jc w:val="both"/>
        <w:textAlignment w:val="baseline"/>
        <w:rPr>
          <w:rFonts w:ascii="Verdana" w:eastAsia="Times New Roman" w:hAnsi="Verdana" w:cs="Segoe UI"/>
          <w:bCs/>
          <w:lang w:val="es-ES" w:eastAsia="es-CO"/>
        </w:rPr>
      </w:pPr>
      <w:r w:rsidRPr="00FC18E1">
        <w:rPr>
          <w:rFonts w:ascii="Verdana" w:eastAsia="Times New Roman" w:hAnsi="Verdana" w:cs="Segoe UI"/>
          <w:bCs/>
          <w:lang w:val="es-ES" w:eastAsia="es-CO"/>
        </w:rPr>
        <w:t xml:space="preserve">En consecuencia, el artículo 33 de la Ley 996 de 2005 señala expresamente que los destinatarios de la prohibición son “todos los entes del Estado”, expresión que contempla a los diferentes organismos o entidades autorizadas por la ley para suscribir contratos. Tal como lo ha sostenido el Consejo de Estado, el vocablo “todos” utilizado por el legislador comprende a la </w:t>
      </w:r>
      <w:r w:rsidRPr="00FC18E1">
        <w:rPr>
          <w:rFonts w:ascii="Verdana" w:eastAsia="Times New Roman" w:hAnsi="Verdana" w:cs="Segoe UI"/>
          <w:bCs/>
          <w:i/>
          <w:iCs/>
          <w:lang w:val="es-ES" w:eastAsia="es-CO"/>
        </w:rPr>
        <w:t>totalidad</w:t>
      </w:r>
      <w:r w:rsidRPr="00FC18E1">
        <w:rPr>
          <w:rFonts w:ascii="Verdana" w:eastAsia="Times New Roman" w:hAnsi="Verdana" w:cs="Segoe UI"/>
          <w:bCs/>
          <w:lang w:val="es-ES" w:eastAsia="es-CO"/>
        </w:rPr>
        <w:t xml:space="preserve">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18E1">
        <w:rPr>
          <w:rFonts w:ascii="Verdana" w:eastAsia="Times New Roman" w:hAnsi="Verdana" w:cs="Segoe UI"/>
          <w:bCs/>
          <w:vertAlign w:val="superscript"/>
          <w:lang w:val="es-ES" w:eastAsia="es-CO"/>
        </w:rPr>
        <w:footnoteReference w:id="16"/>
      </w:r>
      <w:r w:rsidRPr="00FC18E1">
        <w:rPr>
          <w:rFonts w:ascii="Verdana" w:eastAsia="Times New Roman" w:hAnsi="Verdana" w:cs="Segoe UI"/>
          <w:bCs/>
          <w:lang w:val="es-ES" w:eastAsia="es-CO"/>
        </w:rPr>
        <w:t>.”</w:t>
      </w:r>
    </w:p>
    <w:p w14:paraId="6C357D0C" w14:textId="77777777" w:rsidR="00D64782" w:rsidRPr="00D64782" w:rsidRDefault="00D64782" w:rsidP="00C047EA">
      <w:pPr>
        <w:spacing w:after="120" w:line="276" w:lineRule="auto"/>
        <w:ind w:firstLine="709"/>
        <w:jc w:val="both"/>
        <w:textAlignment w:val="baseline"/>
        <w:rPr>
          <w:rFonts w:ascii="Verdana" w:eastAsia="Times New Roman" w:hAnsi="Verdana" w:cs="Segoe UI"/>
          <w:bCs/>
          <w:lang w:val="es-ES" w:eastAsia="es-CO"/>
        </w:rPr>
      </w:pPr>
      <w:r w:rsidRPr="00D64782">
        <w:rPr>
          <w:rFonts w:ascii="Verdana" w:eastAsia="Times New Roman" w:hAnsi="Verdana" w:cs="Segoe UI"/>
          <w:bCs/>
          <w:lang w:val="es-ES" w:eastAsia="es-CO"/>
        </w:rPr>
        <w:t>Por lo tanto, la restricción del artículo 33 prevista en la Ley 996 de 2005 cobija a cualquier ente público que pretenda celebrar contratos de manera directa, independientemente de la naturaleza de la contraparte con quien los suscriba. Lo anterior incluye a aquellos entes públicos de régimen especial,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1D1815CC" w14:textId="7B7D95D5"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Por lo anterior, en principio, todos los entes del Estado están cobijados por la prohibición para contratar directamente establecida en el artículo 33 de la Ley de Garantías Electorales. Sin embargo, es importante reiterar que el segundo inciso de la misma disposición consagró las excepciones aplicables a la prohibición de contratación directa establecida en el mismo artículo. Como se indicó, las excepciones a la prohibición del artículo 33 de la norma mencionada son las siguientes:</w:t>
      </w:r>
      <w:r w:rsidRPr="008700EC">
        <w:rPr>
          <w:rFonts w:ascii="Verdana" w:eastAsia="Times New Roman" w:hAnsi="Verdana" w:cs="Segoe UI"/>
          <w:bCs/>
          <w:lang w:val="es-ES" w:eastAsia="es-CO"/>
        </w:rPr>
        <w:tab/>
        <w:t>1) La contratación referente a la defensa y seguridad del Estado;</w:t>
      </w:r>
      <w:r w:rsidR="00194428">
        <w:rPr>
          <w:rFonts w:ascii="Verdana" w:eastAsia="Times New Roman" w:hAnsi="Verdana" w:cs="Segoe UI"/>
          <w:bCs/>
          <w:lang w:val="es-ES" w:eastAsia="es-CO"/>
        </w:rPr>
        <w:t xml:space="preserve"> </w:t>
      </w:r>
      <w:r w:rsidRPr="008700EC">
        <w:rPr>
          <w:rFonts w:ascii="Verdana" w:eastAsia="Times New Roman" w:hAnsi="Verdana" w:cs="Segoe UI"/>
          <w:bCs/>
          <w:lang w:val="es-ES" w:eastAsia="es-CO"/>
        </w:rPr>
        <w:t>2) Los contratos de crédito público;</w:t>
      </w:r>
      <w:r w:rsidR="00194428">
        <w:rPr>
          <w:rFonts w:ascii="Verdana" w:eastAsia="Times New Roman" w:hAnsi="Verdana" w:cs="Segoe UI"/>
          <w:bCs/>
          <w:lang w:val="es-ES" w:eastAsia="es-CO"/>
        </w:rPr>
        <w:t xml:space="preserve"> </w:t>
      </w:r>
      <w:r w:rsidRPr="008700EC">
        <w:rPr>
          <w:rFonts w:ascii="Verdana" w:eastAsia="Times New Roman" w:hAnsi="Verdana" w:cs="Segoe UI"/>
          <w:bCs/>
          <w:lang w:val="es-ES" w:eastAsia="es-CO"/>
        </w:rPr>
        <w:tab/>
        <w:t>3) Los contratos requeridos para cubrir las emergencias educativas, sanitarias y desastres; 4) La contratación para la reconstrucción de vías, puentes, carreteras, infraestructura energética y de comunicaciones, en caso de que hayan sido objeto de atentados, acciones terroristas, desastres naturales o casos de fuerza mayor y;</w:t>
      </w:r>
      <w:r w:rsidR="00194428">
        <w:rPr>
          <w:rFonts w:ascii="Verdana" w:eastAsia="Times New Roman" w:hAnsi="Verdana" w:cs="Segoe UI"/>
          <w:bCs/>
          <w:lang w:val="es-ES" w:eastAsia="es-CO"/>
        </w:rPr>
        <w:t xml:space="preserve"> </w:t>
      </w:r>
      <w:r w:rsidRPr="008700EC">
        <w:rPr>
          <w:rFonts w:ascii="Verdana" w:eastAsia="Times New Roman" w:hAnsi="Verdana" w:cs="Segoe UI"/>
          <w:bCs/>
          <w:lang w:val="es-ES" w:eastAsia="es-CO"/>
        </w:rPr>
        <w:t xml:space="preserve">5) La contratación que deban realizar las entidades sanitarias y hospitalarias. </w:t>
      </w:r>
    </w:p>
    <w:p w14:paraId="4008EAEE"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8700EC">
        <w:rPr>
          <w:rFonts w:ascii="Verdana" w:eastAsia="Times New Roman" w:hAnsi="Verdana" w:cs="Segoe UI"/>
          <w:bCs/>
          <w:vertAlign w:val="superscript"/>
          <w:lang w:val="es-ES" w:eastAsia="es-CO"/>
        </w:rPr>
        <w:t xml:space="preserve"> </w:t>
      </w:r>
      <w:r w:rsidRPr="008700EC">
        <w:rPr>
          <w:rFonts w:ascii="Verdana" w:eastAsia="Times New Roman" w:hAnsi="Verdana" w:cs="Segoe UI"/>
          <w:bCs/>
          <w:vertAlign w:val="superscript"/>
          <w:lang w:val="es-ES" w:eastAsia="es-CO"/>
        </w:rPr>
        <w:footnoteReference w:id="17"/>
      </w:r>
      <w:r w:rsidRPr="008700EC">
        <w:rPr>
          <w:rFonts w:ascii="Verdana" w:eastAsia="Times New Roman" w:hAnsi="Verdana" w:cs="Segoe UI"/>
          <w:bCs/>
          <w:lang w:val="es-ES" w:eastAsia="es-CO"/>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12992AA"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w:t>
      </w:r>
      <w:r w:rsidRPr="008700EC">
        <w:rPr>
          <w:rFonts w:ascii="Verdana" w:eastAsia="Times New Roman" w:hAnsi="Verdana" w:cs="Segoe UI"/>
          <w:bCs/>
          <w:i/>
          <w:lang w:val="es-ES" w:eastAsia="es-CO"/>
        </w:rPr>
        <w:t xml:space="preserve">Las excepciones aplicables a la restricción de contratación pública </w:t>
      </w:r>
      <w:r w:rsidRPr="008700EC">
        <w:rPr>
          <w:rFonts w:ascii="Verdana" w:eastAsia="Times New Roman" w:hAnsi="Verdana" w:cs="Segoe UI"/>
          <w:bCs/>
          <w:lang w:val="es-ES" w:eastAsia="es-CO"/>
        </w:rPr>
        <w:t>Ahora bien, las únicas excepciones a las disposiciones previstas en la Ley de Garantías se encuentran numeradas taxativamente en el último inciso del artículo 33 de la ley 996 de 2005 […]”</w:t>
      </w:r>
      <w:r w:rsidRPr="008700EC">
        <w:rPr>
          <w:rFonts w:ascii="Verdana" w:eastAsia="Times New Roman" w:hAnsi="Verdana" w:cs="Segoe UI"/>
          <w:bCs/>
          <w:vertAlign w:val="superscript"/>
          <w:lang w:val="es-ES" w:eastAsia="es-CO"/>
        </w:rPr>
        <w:footnoteReference w:id="18"/>
      </w:r>
      <w:r w:rsidRPr="008700EC">
        <w:rPr>
          <w:rFonts w:ascii="Verdana" w:eastAsia="Times New Roman" w:hAnsi="Verdana" w:cs="Segoe UI"/>
          <w:bCs/>
          <w:lang w:val="es-ES" w:eastAsia="es-CO"/>
        </w:rPr>
        <w:t>.</w:t>
      </w:r>
    </w:p>
    <w:p w14:paraId="22EC544F"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 xml:space="preserve">Lo anterior implica que las excepciones al artículo 33 en comento deben interpretarse y aplicarse de manera </w:t>
      </w:r>
      <w:r w:rsidRPr="008700EC">
        <w:rPr>
          <w:rFonts w:ascii="Verdana" w:eastAsia="Times New Roman" w:hAnsi="Verdana" w:cs="Segoe UI"/>
          <w:bCs/>
          <w:i/>
          <w:iCs/>
          <w:lang w:val="es-ES" w:eastAsia="es-CO"/>
        </w:rPr>
        <w:t>estricta</w:t>
      </w:r>
      <w:r w:rsidRPr="008700EC">
        <w:rPr>
          <w:rFonts w:ascii="Verdana" w:eastAsia="Times New Roman" w:hAnsi="Verdana" w:cs="Segoe UI"/>
          <w:bCs/>
          <w:lang w:val="es-ES" w:eastAsia="es-CO"/>
        </w:rPr>
        <w:t>. En otras palabras, no es factible hacer interpretaciones extensivas</w:t>
      </w:r>
      <w:r w:rsidRPr="008700EC">
        <w:rPr>
          <w:rFonts w:ascii="Verdana" w:eastAsia="Times New Roman" w:hAnsi="Verdana" w:cs="Segoe UI"/>
          <w:bCs/>
          <w:i/>
          <w:iCs/>
          <w:lang w:val="es-ES" w:eastAsia="es-CO"/>
        </w:rPr>
        <w:t xml:space="preserve"> </w:t>
      </w:r>
      <w:r w:rsidRPr="008700EC">
        <w:rPr>
          <w:rFonts w:ascii="Verdana" w:eastAsia="Times New Roman" w:hAnsi="Verdana" w:cs="Segoe UI"/>
          <w:bCs/>
          <w:lang w:val="es-ES" w:eastAsia="es-CO"/>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F6B184A" w14:textId="1BEA155A" w:rsidR="008700EC" w:rsidRPr="008700EC" w:rsidRDefault="008700EC" w:rsidP="004B326C">
      <w:pPr>
        <w:spacing w:after="120" w:line="276" w:lineRule="auto"/>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v</w:t>
      </w:r>
      <w:r w:rsidR="00194428">
        <w:rPr>
          <w:rFonts w:ascii="Verdana" w:eastAsia="Times New Roman" w:hAnsi="Verdana" w:cs="Segoe UI"/>
          <w:bCs/>
          <w:lang w:val="es-ES" w:eastAsia="es-CO"/>
        </w:rPr>
        <w:t>.</w:t>
      </w:r>
      <w:r w:rsidRPr="008700EC">
        <w:rPr>
          <w:rFonts w:ascii="Verdana" w:eastAsia="Times New Roman" w:hAnsi="Verdana" w:cs="Segoe UI"/>
          <w:bCs/>
          <w:lang w:val="es-ES" w:eastAsia="es-CO"/>
        </w:rPr>
        <w:t xml:space="preserve"> Por otro lado, la prohibición establecida en el </w:t>
      </w:r>
      <w:r w:rsidRPr="008700EC">
        <w:rPr>
          <w:rFonts w:ascii="Verdana" w:eastAsia="Times New Roman" w:hAnsi="Verdana" w:cs="Segoe UI"/>
          <w:bCs/>
          <w:i/>
          <w:iCs/>
          <w:lang w:val="es-ES" w:eastAsia="es-CO"/>
        </w:rPr>
        <w:t xml:space="preserve">parágrafo del artículo 38 </w:t>
      </w:r>
      <w:r w:rsidRPr="008700EC">
        <w:rPr>
          <w:rFonts w:ascii="Verdana" w:eastAsia="Times New Roman" w:hAnsi="Verdana" w:cs="Segoe UI"/>
          <w:bCs/>
          <w:lang w:val="es-ES" w:eastAsia="es-CO"/>
        </w:rPr>
        <w:t xml:space="preserve">de la Ley 996 de 2005 dispone que “los Gobernadores, Alcaldes Municipales y/o Distritales, Secretarios, Gerentes y directores de Entidades Descentralizadas del orden Municipal, Departamental o Distrital, dentro de los cuatro (4) meses anteriores a las elecciones, no podrán celebrar </w:t>
      </w:r>
      <w:r w:rsidRPr="008700EC">
        <w:rPr>
          <w:rFonts w:ascii="Verdana" w:eastAsia="Times New Roman" w:hAnsi="Verdana" w:cs="Segoe UI"/>
          <w:bCs/>
          <w:i/>
          <w:iCs/>
          <w:lang w:val="es-ES" w:eastAsia="es-CO"/>
        </w:rPr>
        <w:t>convenios interadministrativos</w:t>
      </w:r>
      <w:r w:rsidRPr="008700EC">
        <w:rPr>
          <w:rFonts w:ascii="Verdana" w:eastAsia="Times New Roman" w:hAnsi="Verdana" w:cs="Segoe UI"/>
          <w:bCs/>
          <w:lang w:val="es-ES" w:eastAsia="es-CO"/>
        </w:rPr>
        <w:t xml:space="preserve"> para la ejecución de recursos públicos”.</w:t>
      </w:r>
      <w:r w:rsidRPr="008700EC">
        <w:rPr>
          <w:rFonts w:ascii="Verdana" w:eastAsia="Times New Roman" w:hAnsi="Verdana" w:cs="Segoe UI"/>
          <w:bCs/>
          <w:iCs/>
          <w:lang w:val="es-ES" w:eastAsia="es-CO"/>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8700EC">
        <w:rPr>
          <w:rFonts w:ascii="Verdana" w:eastAsia="Times New Roman" w:hAnsi="Verdana" w:cs="Segoe UI"/>
          <w:bCs/>
          <w:iCs/>
          <w:vertAlign w:val="superscript"/>
          <w:lang w:val="es-ES" w:eastAsia="es-CO"/>
        </w:rPr>
        <w:footnoteReference w:id="19"/>
      </w:r>
      <w:r w:rsidRPr="008700EC">
        <w:rPr>
          <w:rFonts w:ascii="Verdana" w:eastAsia="Times New Roman" w:hAnsi="Verdana" w:cs="Segoe UI"/>
          <w:bCs/>
          <w:iCs/>
          <w:lang w:val="es-ES" w:eastAsia="es-CO"/>
        </w:rPr>
        <w:t>.</w:t>
      </w:r>
      <w:r w:rsidRPr="008700EC">
        <w:rPr>
          <w:rFonts w:ascii="Verdana" w:eastAsia="Times New Roman" w:hAnsi="Verdana" w:cs="Segoe UI"/>
          <w:bCs/>
          <w:lang w:val="es-ES" w:eastAsia="es-CO"/>
        </w:rPr>
        <w:t xml:space="preserve"> </w:t>
      </w:r>
      <w:bookmarkStart w:id="1" w:name="_Hlk78820161"/>
    </w:p>
    <w:p w14:paraId="2A8FB490"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 xml:space="preserve">Aunque la ley no definió ni desarrolló la tipología de convenios interadministrativos, el Decreto 1082 de 2015 califica a los convenios o contratos interadministrativos como aquella contratación </w:t>
      </w:r>
      <w:r w:rsidRPr="008700EC">
        <w:rPr>
          <w:rFonts w:ascii="Verdana" w:eastAsia="Times New Roman" w:hAnsi="Verdana" w:cs="Segoe UI"/>
          <w:bCs/>
          <w:i/>
          <w:iCs/>
          <w:lang w:val="es-ES" w:eastAsia="es-CO"/>
        </w:rPr>
        <w:t>entre entidades estatales</w:t>
      </w:r>
      <w:r w:rsidRPr="008700EC">
        <w:rPr>
          <w:rFonts w:ascii="Verdana" w:eastAsia="Times New Roman" w:hAnsi="Verdana" w:cs="Segoe UI"/>
          <w:bCs/>
          <w:vertAlign w:val="superscript"/>
          <w:lang w:val="es-ES" w:eastAsia="es-CO"/>
        </w:rPr>
        <w:footnoteReference w:id="20"/>
      </w:r>
      <w:r w:rsidRPr="008700EC">
        <w:rPr>
          <w:rFonts w:ascii="Verdana" w:eastAsia="Times New Roman" w:hAnsi="Verdana" w:cs="Segoe UI"/>
          <w:bCs/>
          <w:lang w:val="es-ES" w:eastAsia="es-CO"/>
        </w:rPr>
        <w:t xml:space="preserve">. De acuerdo con lo anterior, el convenio interadministrativo es el acuerdo donde concurre la voluntad de </w:t>
      </w:r>
      <w:r w:rsidRPr="008700EC">
        <w:rPr>
          <w:rFonts w:ascii="Verdana" w:eastAsia="Times New Roman" w:hAnsi="Verdana" w:cs="Segoe UI"/>
          <w:bCs/>
          <w:i/>
          <w:iCs/>
          <w:lang w:val="es-ES" w:eastAsia="es-CO"/>
        </w:rPr>
        <w:t>dos o más personas jurídicas de derecho público</w:t>
      </w:r>
      <w:r w:rsidRPr="008700EC">
        <w:rPr>
          <w:rFonts w:ascii="Verdana" w:eastAsia="Times New Roman" w:hAnsi="Verdana" w:cs="Segoe UI"/>
          <w:bCs/>
          <w:lang w:val="es-ES" w:eastAsia="es-CO"/>
        </w:rPr>
        <w:t xml:space="preserve"> con la finalidad de cumplir, en el marco de sus objetivos misionales y sus competencias, con los fines del Estado. Es decir, los convenios interadministrativos están determinados por un criterio orgánico, pues es necesario que los extremos de la relación contractual sean Entidades Estatales.</w:t>
      </w:r>
      <w:bookmarkStart w:id="2" w:name="_Hlk78820654"/>
      <w:bookmarkEnd w:id="1"/>
    </w:p>
    <w:p w14:paraId="660EBE72"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 w:eastAsia="es-CO"/>
        </w:rPr>
      </w:pPr>
      <w:r w:rsidRPr="008700EC">
        <w:rPr>
          <w:rFonts w:ascii="Verdana" w:eastAsia="Times New Roman" w:hAnsi="Verdana" w:cs="Segoe UI"/>
          <w:bCs/>
          <w:lang w:val="es-ES" w:eastAsia="es-CO"/>
        </w:rPr>
        <w:t>Si bien los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convenio interadministrativo.</w:t>
      </w:r>
      <w:bookmarkEnd w:id="2"/>
      <w:r w:rsidRPr="008700EC">
        <w:rPr>
          <w:rFonts w:ascii="Verdana" w:eastAsia="Times New Roman" w:hAnsi="Verdana" w:cs="Segoe UI"/>
          <w:bCs/>
          <w:lang w:val="es-ES" w:eastAsia="es-CO"/>
        </w:rPr>
        <w:t xml:space="preserve"> Teniendo en cuenta lo anterior, se reitera que los convenios interadministrativos están definidos por la naturaleza de las partes, de manera que se identifican por un criterio orgánico y serán aquellos celebrados entre entidades estatales.</w:t>
      </w:r>
    </w:p>
    <w:p w14:paraId="5EACF5DA"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_tradnl" w:eastAsia="es-CO"/>
        </w:rPr>
      </w:pPr>
      <w:r w:rsidRPr="008700EC">
        <w:rPr>
          <w:rFonts w:ascii="Verdana" w:eastAsia="Times New Roman" w:hAnsi="Verdana" w:cs="Segoe UI"/>
          <w:bCs/>
          <w:lang w:val="es-ES" w:eastAsia="es-CO"/>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8700EC">
        <w:rPr>
          <w:rFonts w:ascii="Verdana" w:eastAsia="Times New Roman" w:hAnsi="Verdana" w:cs="Segoe UI"/>
          <w:bCs/>
          <w:vertAlign w:val="superscript"/>
          <w:lang w:val="es-ES" w:eastAsia="es-CO"/>
        </w:rPr>
        <w:footnoteReference w:id="21"/>
      </w:r>
      <w:r w:rsidRPr="008700EC">
        <w:rPr>
          <w:rFonts w:ascii="Verdana" w:eastAsia="Times New Roman" w:hAnsi="Verdana" w:cs="Segoe UI"/>
          <w:bCs/>
          <w:lang w:val="es-ES" w:eastAsia="es-CO"/>
        </w:rPr>
        <w:t>. Nótese que, en este caso, lo que cambia es la modalidad de selección y no la naturaleza de contrato interadministrativo.</w:t>
      </w:r>
    </w:p>
    <w:p w14:paraId="2C608F41"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ES_tradnl" w:eastAsia="es-CO"/>
        </w:rPr>
      </w:pPr>
      <w:r w:rsidRPr="008700EC">
        <w:rPr>
          <w:rFonts w:ascii="Verdana" w:eastAsia="Times New Roman" w:hAnsi="Verdana" w:cs="Segoe UI"/>
          <w:bCs/>
          <w:lang w:val="es-ES" w:eastAsia="es-CO"/>
        </w:rPr>
        <w:t>Además, es necesario tener en cuenta que para que un contrato o convenio interadministrativo exista debe cumplir con los siguientes elementos: acuerdo sobre el objeto y la contraprestación y que conste por escrito</w:t>
      </w:r>
      <w:r w:rsidRPr="008700EC">
        <w:rPr>
          <w:rFonts w:ascii="Verdana" w:eastAsia="Times New Roman" w:hAnsi="Verdana" w:cs="Segoe UI"/>
          <w:bCs/>
          <w:vertAlign w:val="superscript"/>
          <w:lang w:val="es-ES" w:eastAsia="es-CO"/>
        </w:rPr>
        <w:footnoteReference w:id="22"/>
      </w:r>
      <w:r w:rsidRPr="008700EC">
        <w:rPr>
          <w:rFonts w:ascii="Verdana" w:eastAsia="Times New Roman" w:hAnsi="Verdana" w:cs="Segoe UI"/>
          <w:bCs/>
          <w:lang w:val="es-ES" w:eastAsia="es-CO"/>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F64690A"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eastAsia="es-CO"/>
        </w:rPr>
      </w:pPr>
      <w:r w:rsidRPr="008700EC">
        <w:rPr>
          <w:rFonts w:ascii="Verdana" w:eastAsia="Times New Roman" w:hAnsi="Verdana" w:cs="Segoe UI"/>
          <w:bCs/>
          <w:lang w:val="es-ES" w:eastAsia="es-CO"/>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8700EC">
        <w:rPr>
          <w:rFonts w:ascii="Verdana" w:eastAsia="Times New Roman" w:hAnsi="Verdana" w:cs="Segoe UI"/>
          <w:bCs/>
          <w:vertAlign w:val="superscript"/>
          <w:lang w:val="es-ES" w:eastAsia="es-CO"/>
        </w:rPr>
        <w:footnoteReference w:id="23"/>
      </w:r>
      <w:r w:rsidRPr="008700EC">
        <w:rPr>
          <w:rFonts w:ascii="Verdana" w:eastAsia="Times New Roman" w:hAnsi="Verdana" w:cs="Segoe UI"/>
          <w:bCs/>
          <w:lang w:val="es-ES" w:eastAsia="es-CO"/>
        </w:rPr>
        <w:t>, pues, de acuerdo con lo anotado, esta clase de acuerdos de voluntades se definen por un criterio orgánico, por lo que uno de sus elementos esenciales es que en los extremos de la relación jurídico negocial concurran personas de derecho público</w:t>
      </w:r>
      <w:r w:rsidRPr="008700EC">
        <w:rPr>
          <w:rFonts w:ascii="Verdana" w:eastAsia="Times New Roman" w:hAnsi="Verdana" w:cs="Segoe UI"/>
          <w:bCs/>
          <w:lang w:eastAsia="es-CO"/>
        </w:rPr>
        <w:t>.</w:t>
      </w:r>
      <w:r w:rsidRPr="008700EC">
        <w:rPr>
          <w:rFonts w:ascii="Verdana" w:eastAsia="Times New Roman" w:hAnsi="Verdana" w:cs="Segoe UI"/>
          <w:bCs/>
          <w:lang w:val="es-ES" w:eastAsia="es-CO"/>
        </w:rPr>
        <w:t xml:space="preserve"> </w:t>
      </w:r>
    </w:p>
    <w:p w14:paraId="1A1E4F7F"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val="es-MX" w:eastAsia="es-CO"/>
        </w:rPr>
      </w:pPr>
      <w:r w:rsidRPr="008700EC">
        <w:rPr>
          <w:rFonts w:ascii="Verdana" w:eastAsia="Times New Roman" w:hAnsi="Verdana" w:cs="Segoe UI"/>
          <w:bCs/>
          <w:lang w:val="es-ES" w:eastAsia="es-CO"/>
        </w:rPr>
        <w:t xml:space="preserve">En consecuencia, el parágrafo del artículo 38 de la Ley 996 de 2005 prohíbe específicamente a los </w:t>
      </w:r>
      <w:r w:rsidRPr="008700EC">
        <w:rPr>
          <w:rFonts w:ascii="Verdana" w:eastAsia="Times New Roman" w:hAnsi="Verdana" w:cs="Segoe UI"/>
          <w:bCs/>
          <w:i/>
          <w:iCs/>
          <w:lang w:val="es-ES" w:eastAsia="es-CO"/>
        </w:rPr>
        <w:t>alcaldes, gobernadores, secretarios, gerentes y directores de las entidades del orden municipal, departamental o distrital</w:t>
      </w:r>
      <w:r w:rsidRPr="008700EC">
        <w:rPr>
          <w:rFonts w:ascii="Verdana" w:eastAsia="Times New Roman" w:hAnsi="Verdana" w:cs="Segoe UI"/>
          <w:bCs/>
          <w:lang w:val="es-ES" w:eastAsia="es-CO"/>
        </w:rPr>
        <w:t xml:space="preserve"> celebrar convenios interadministrativos para la ejecución de recursos públicos. En este sentido, </w:t>
      </w:r>
      <w:proofErr w:type="spellStart"/>
      <w:r w:rsidRPr="008700EC">
        <w:rPr>
          <w:rFonts w:ascii="Verdana" w:eastAsia="Times New Roman" w:hAnsi="Verdana" w:cs="Segoe UI"/>
          <w:bCs/>
          <w:lang w:val="es-MX" w:eastAsia="es-CO"/>
        </w:rPr>
        <w:t>si</w:t>
      </w:r>
      <w:proofErr w:type="spellEnd"/>
      <w:r w:rsidRPr="008700EC">
        <w:rPr>
          <w:rFonts w:ascii="Verdana" w:eastAsia="Times New Roman" w:hAnsi="Verdana" w:cs="Segoe UI"/>
          <w:bCs/>
          <w:lang w:val="es-MX" w:eastAsia="es-CO"/>
        </w:rPr>
        <w:t xml:space="preserve"> una o ambas partes de la relación contractual es una entidad de aquellas descritas en el parágrafo </w:t>
      </w:r>
      <w:r w:rsidRPr="008700EC">
        <w:rPr>
          <w:rFonts w:ascii="Verdana" w:eastAsia="Times New Roman" w:hAnsi="Verdana" w:cs="Segoe UI"/>
          <w:bCs/>
          <w:i/>
          <w:lang w:val="es-MX" w:eastAsia="es-CO"/>
        </w:rPr>
        <w:t>ibidem</w:t>
      </w:r>
      <w:r w:rsidRPr="008700EC">
        <w:rPr>
          <w:rFonts w:ascii="Verdana" w:eastAsia="Times New Roman" w:hAnsi="Verdana" w:cs="Segoe UI"/>
          <w:bCs/>
          <w:lang w:val="es-MX" w:eastAsia="es-CO"/>
        </w:rPr>
        <w:t xml:space="preserve">, no podrá celebrar tales </w:t>
      </w:r>
      <w:r w:rsidRPr="008700EC">
        <w:rPr>
          <w:rFonts w:ascii="Verdana" w:eastAsia="Times New Roman" w:hAnsi="Verdana" w:cs="Segoe UI"/>
          <w:bCs/>
          <w:i/>
          <w:iCs/>
          <w:lang w:val="es-MX" w:eastAsia="es-CO"/>
        </w:rPr>
        <w:t>convenios</w:t>
      </w:r>
      <w:r w:rsidRPr="008700EC">
        <w:rPr>
          <w:rFonts w:ascii="Verdana" w:eastAsia="Times New Roman" w:hAnsi="Verdana" w:cs="Segoe UI"/>
          <w:bCs/>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7DC6AB8"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eastAsia="es-CO"/>
        </w:rPr>
      </w:pPr>
      <w:r w:rsidRPr="008700EC">
        <w:rPr>
          <w:rFonts w:ascii="Verdana" w:eastAsia="Times New Roman" w:hAnsi="Verdana" w:cs="Segoe UI"/>
          <w:bCs/>
          <w:lang w:val="es-MX" w:eastAsia="es-CO"/>
        </w:rPr>
        <w:t xml:space="preserve">Respecto del alcance de esta prohibición la Circular Externa No. 006 de 2025 expedida por la ANCP -CCE, en los literales ii) y </w:t>
      </w:r>
      <w:proofErr w:type="spellStart"/>
      <w:r w:rsidRPr="008700EC">
        <w:rPr>
          <w:rFonts w:ascii="Verdana" w:eastAsia="Times New Roman" w:hAnsi="Verdana" w:cs="Segoe UI"/>
          <w:bCs/>
          <w:lang w:val="es-MX" w:eastAsia="es-CO"/>
        </w:rPr>
        <w:t>iv</w:t>
      </w:r>
      <w:proofErr w:type="spellEnd"/>
      <w:r w:rsidRPr="008700EC">
        <w:rPr>
          <w:rFonts w:ascii="Verdana" w:eastAsia="Times New Roman" w:hAnsi="Verdana" w:cs="Segoe UI"/>
          <w:bCs/>
          <w:lang w:val="es-MX" w:eastAsia="es-CO"/>
        </w:rPr>
        <w:t>) del numeral 2</w:t>
      </w:r>
      <w:r w:rsidRPr="008700EC">
        <w:rPr>
          <w:rFonts w:ascii="Verdana" w:eastAsia="Times New Roman" w:hAnsi="Verdana" w:cs="Segoe UI"/>
          <w:bCs/>
          <w:lang w:eastAsia="es-CO"/>
        </w:rPr>
        <w:t>,</w:t>
      </w:r>
      <w:r w:rsidRPr="008700EC">
        <w:rPr>
          <w:rFonts w:ascii="Verdana" w:eastAsia="Times New Roman" w:hAnsi="Verdana" w:cs="Segoe UI"/>
          <w:bCs/>
          <w:lang w:val="es-MX" w:eastAsia="es-CO"/>
        </w:rPr>
        <w:t xml:space="preserve"> indica que el </w:t>
      </w:r>
      <w:r w:rsidRPr="008700EC">
        <w:rPr>
          <w:rFonts w:ascii="Verdana" w:eastAsia="Times New Roman" w:hAnsi="Verdana" w:cs="Segoe UI"/>
          <w:bCs/>
          <w:lang w:eastAsia="es-CO"/>
        </w:rPr>
        <w:t xml:space="preserve">parágrafo del artículo 38 de la Ley 996 de 2005 cobija expresamente a los </w:t>
      </w:r>
      <w:r w:rsidRPr="008700EC">
        <w:rPr>
          <w:rFonts w:ascii="Verdana" w:eastAsia="Times New Roman" w:hAnsi="Verdana" w:cs="Segoe UI"/>
          <w:bCs/>
          <w:i/>
          <w:iCs/>
          <w:lang w:eastAsia="es-CO"/>
        </w:rPr>
        <w:t>convenios interadministrativos</w:t>
      </w:r>
      <w:r w:rsidRPr="008700EC">
        <w:rPr>
          <w:rFonts w:ascii="Verdana" w:eastAsia="Times New Roman" w:hAnsi="Verdana" w:cs="Segoe UI"/>
          <w:bCs/>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8700EC">
        <w:rPr>
          <w:rFonts w:ascii="Verdana" w:eastAsia="Times New Roman" w:hAnsi="Verdana" w:cs="Segoe UI"/>
          <w:bCs/>
          <w:i/>
          <w:iCs/>
          <w:lang w:eastAsia="es-CO"/>
        </w:rPr>
        <w:t>“aunque se configure alguno de los supuestos de excepción que señaló el inciso final del artículo 33”.</w:t>
      </w:r>
      <w:r w:rsidRPr="008700EC">
        <w:rPr>
          <w:rFonts w:ascii="Verdana" w:eastAsia="Times New Roman" w:hAnsi="Verdana" w:cs="Segoe UI"/>
          <w:bCs/>
          <w:lang w:eastAsia="es-CO"/>
        </w:rPr>
        <w:t xml:space="preserve"> </w:t>
      </w:r>
    </w:p>
    <w:p w14:paraId="7DF6D56E" w14:textId="77777777" w:rsidR="008700EC" w:rsidRPr="008700EC" w:rsidRDefault="008700EC" w:rsidP="00C047EA">
      <w:pPr>
        <w:spacing w:after="120" w:line="276" w:lineRule="auto"/>
        <w:ind w:firstLine="709"/>
        <w:jc w:val="both"/>
        <w:textAlignment w:val="baseline"/>
        <w:rPr>
          <w:rFonts w:ascii="Verdana" w:eastAsia="Times New Roman" w:hAnsi="Verdana" w:cs="Segoe UI"/>
          <w:bCs/>
          <w:lang w:eastAsia="es-CO"/>
        </w:rPr>
      </w:pPr>
      <w:r w:rsidRPr="008700EC">
        <w:rPr>
          <w:rFonts w:ascii="Verdana" w:eastAsia="Times New Roman" w:hAnsi="Verdana" w:cs="Segoe UI"/>
          <w:bCs/>
          <w:lang w:eastAsia="es-CO"/>
        </w:rPr>
        <w:t xml:space="preserve">Sin embargo, es importante tener en cuenta que el ámbito de aplicación de la restricción prevista en el parágrafo del artículo 38 de la Ley 996 de 2005 solo se extiende a los </w:t>
      </w:r>
      <w:r w:rsidRPr="008700EC">
        <w:rPr>
          <w:rFonts w:ascii="Verdana" w:eastAsia="Times New Roman" w:hAnsi="Verdana" w:cs="Segoe UI"/>
          <w:bCs/>
          <w:i/>
          <w:iCs/>
          <w:lang w:eastAsia="es-CO"/>
        </w:rPr>
        <w:t>convenios interadministrativos</w:t>
      </w:r>
      <w:r w:rsidRPr="008700EC">
        <w:rPr>
          <w:rFonts w:ascii="Verdana" w:eastAsia="Times New Roman" w:hAnsi="Verdana" w:cs="Segoe UI"/>
          <w:bCs/>
          <w:lang w:eastAsia="es-CO"/>
        </w:rPr>
        <w:t xml:space="preserve"> en los que se contemple la </w:t>
      </w:r>
      <w:r w:rsidRPr="008700EC">
        <w:rPr>
          <w:rFonts w:ascii="Verdana" w:eastAsia="Times New Roman" w:hAnsi="Verdana" w:cs="Segoe UI"/>
          <w:bCs/>
          <w:i/>
          <w:iCs/>
          <w:lang w:eastAsia="es-CO"/>
        </w:rPr>
        <w:t>ejecución de recursos públicos</w:t>
      </w:r>
      <w:r w:rsidRPr="008700EC">
        <w:rPr>
          <w:rFonts w:ascii="Verdana" w:eastAsia="Times New Roman" w:hAnsi="Verdana" w:cs="Segoe UI"/>
          <w:bCs/>
          <w:lang w:eastAsia="es-CO"/>
        </w:rPr>
        <w:t xml:space="preserve">. Esto significa que la prohibición no resulta aplicable a </w:t>
      </w:r>
      <w:r w:rsidRPr="008700EC">
        <w:rPr>
          <w:rFonts w:ascii="Verdana" w:eastAsia="Times New Roman" w:hAnsi="Verdana" w:cs="Segoe UI"/>
          <w:bCs/>
          <w:i/>
          <w:iCs/>
          <w:lang w:eastAsia="es-CO"/>
        </w:rPr>
        <w:t>convenios interadministrativos a título gratuito,</w:t>
      </w:r>
      <w:r w:rsidRPr="008700EC">
        <w:rPr>
          <w:rFonts w:ascii="Verdana" w:eastAsia="Times New Roman" w:hAnsi="Verdana" w:cs="Segoe UI"/>
          <w:bCs/>
          <w:lang w:eastAsia="es-CO"/>
        </w:rPr>
        <w:t xml:space="preserve"> los cuales pueden celebrarse válidamente durante la vigencia de la mencionada restricción. </w:t>
      </w:r>
    </w:p>
    <w:p w14:paraId="0166CCD5" w14:textId="77777777" w:rsidR="008700EC" w:rsidRDefault="008700EC" w:rsidP="00C047EA">
      <w:pPr>
        <w:spacing w:after="120" w:line="276" w:lineRule="auto"/>
        <w:ind w:firstLine="709"/>
        <w:jc w:val="both"/>
        <w:textAlignment w:val="baseline"/>
        <w:rPr>
          <w:rFonts w:ascii="Verdana" w:eastAsia="Times New Roman" w:hAnsi="Verdana" w:cs="Segoe UI"/>
          <w:bCs/>
          <w:lang w:eastAsia="es-CO"/>
        </w:rPr>
      </w:pPr>
      <w:r w:rsidRPr="008700EC">
        <w:rPr>
          <w:rFonts w:ascii="Verdana" w:eastAsia="Times New Roman" w:hAnsi="Verdana" w:cs="Segoe UI"/>
          <w:bCs/>
          <w:lang w:eastAsia="es-CO"/>
        </w:rPr>
        <w:t xml:space="preserve">Finalmente, teniendo en cuenta lo señalado en el contenido de su petición, vale la pena destacar que </w:t>
      </w:r>
      <w:r w:rsidRPr="008700EC">
        <w:rPr>
          <w:rFonts w:ascii="Verdana" w:eastAsia="Times New Roman" w:hAnsi="Verdana" w:cs="Segoe UI"/>
          <w:bCs/>
          <w:lang w:val="es-MX" w:eastAsia="es-CO"/>
        </w:rPr>
        <w:t xml:space="preserve">mediante auto de 4 de octubre del 2024, el Consejo de Estado, Subsección C de la Sección Tercera, decretó medida de suspensión provisional parcial del </w:t>
      </w:r>
      <w:r w:rsidRPr="008700EC">
        <w:rPr>
          <w:rFonts w:ascii="Verdana" w:eastAsia="Times New Roman" w:hAnsi="Verdana" w:cs="Segoe UI"/>
          <w:bCs/>
          <w:lang w:eastAsia="es-CO"/>
        </w:rPr>
        <w:t>numeral 16.2 de la Circular Externa Única de 2022 expedida por la Agencia Nacional de Contratación Pública, concretamente, respecto de los siguientes apartes normativos</w:t>
      </w:r>
      <w:r w:rsidRPr="008700EC">
        <w:rPr>
          <w:rFonts w:ascii="Verdana" w:eastAsia="Times New Roman" w:hAnsi="Verdana" w:cs="Segoe UI"/>
          <w:bCs/>
          <w:vertAlign w:val="superscript"/>
          <w:lang w:eastAsia="es-CO"/>
        </w:rPr>
        <w:footnoteReference w:id="24"/>
      </w:r>
      <w:r w:rsidRPr="008700EC">
        <w:rPr>
          <w:rFonts w:ascii="Verdana" w:eastAsia="Times New Roman" w:hAnsi="Verdana" w:cs="Segoe UI"/>
          <w:bCs/>
          <w:lang w:eastAsia="es-CO"/>
        </w:rPr>
        <w:t xml:space="preserve">: </w:t>
      </w:r>
    </w:p>
    <w:p w14:paraId="0213F656" w14:textId="47872298" w:rsidR="008700EC" w:rsidRPr="004B326C" w:rsidRDefault="00194428" w:rsidP="008700EC">
      <w:pPr>
        <w:spacing w:after="120" w:line="240" w:lineRule="auto"/>
        <w:ind w:left="709" w:right="709"/>
        <w:jc w:val="both"/>
        <w:textAlignment w:val="baseline"/>
        <w:rPr>
          <w:rFonts w:ascii="Verdana" w:eastAsia="Times New Roman" w:hAnsi="Verdana" w:cs="Segoe UI"/>
          <w:sz w:val="20"/>
          <w:szCs w:val="20"/>
          <w:lang w:eastAsia="es-CO"/>
        </w:rPr>
      </w:pPr>
      <w:r w:rsidRPr="004B326C">
        <w:rPr>
          <w:rFonts w:ascii="Verdana" w:eastAsia="Times New Roman" w:hAnsi="Verdana" w:cs="Segoe UI"/>
          <w:bCs/>
          <w:sz w:val="20"/>
          <w:szCs w:val="20"/>
          <w:lang w:val="es-MX" w:eastAsia="es-CO"/>
        </w:rPr>
        <w:t>“</w:t>
      </w:r>
      <w:r w:rsidR="008700EC" w:rsidRPr="004B326C">
        <w:rPr>
          <w:rFonts w:ascii="Verdana" w:eastAsia="Times New Roman" w:hAnsi="Verdana" w:cs="Segoe UI"/>
          <w:sz w:val="20"/>
          <w:szCs w:val="20"/>
          <w:lang w:val="es-MX" w:eastAsia="es-CO"/>
        </w:rPr>
        <w:t>i)</w:t>
      </w:r>
      <w:r w:rsidR="008700EC" w:rsidRPr="004B326C">
        <w:rPr>
          <w:rFonts w:ascii="Verdana" w:eastAsia="Times New Roman" w:hAnsi="Verdana" w:cs="Segoe UI"/>
          <w:sz w:val="20"/>
          <w:szCs w:val="20"/>
          <w:lang w:eastAsia="es-CO"/>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7C88B1B" w14:textId="77777777" w:rsidR="008700EC" w:rsidRPr="004B326C" w:rsidRDefault="008700EC" w:rsidP="008700EC">
      <w:pPr>
        <w:spacing w:after="120" w:line="240" w:lineRule="auto"/>
        <w:ind w:left="709" w:right="709"/>
        <w:jc w:val="both"/>
        <w:textAlignment w:val="baseline"/>
        <w:rPr>
          <w:rFonts w:ascii="Verdana" w:eastAsia="Times New Roman" w:hAnsi="Verdana" w:cs="Segoe UI"/>
          <w:sz w:val="20"/>
          <w:szCs w:val="20"/>
          <w:lang w:eastAsia="es-CO"/>
        </w:rPr>
      </w:pPr>
      <w:r w:rsidRPr="004B326C">
        <w:rPr>
          <w:rFonts w:ascii="Verdana" w:eastAsia="Times New Roman" w:hAnsi="Verdana" w:cs="Segoe UI"/>
          <w:sz w:val="20"/>
          <w:szCs w:val="20"/>
          <w:lang w:eastAsia="es-CO"/>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4829C89" w14:textId="77777777" w:rsidR="008700EC" w:rsidRPr="008700EC" w:rsidRDefault="008700EC" w:rsidP="00C047EA">
      <w:pPr>
        <w:spacing w:after="120" w:line="276" w:lineRule="auto"/>
        <w:ind w:firstLine="709"/>
        <w:jc w:val="both"/>
        <w:textAlignment w:val="baseline"/>
        <w:rPr>
          <w:rFonts w:ascii="Verdana" w:eastAsia="Times New Roman" w:hAnsi="Verdana" w:cs="Segoe UI"/>
          <w:bCs/>
          <w:i/>
          <w:iCs/>
          <w:lang w:eastAsia="es-CO"/>
        </w:rPr>
      </w:pPr>
      <w:r w:rsidRPr="008700EC">
        <w:rPr>
          <w:rFonts w:ascii="Verdana" w:eastAsia="Times New Roman" w:hAnsi="Verdana" w:cs="Segoe UI"/>
          <w:bCs/>
          <w:lang w:val="es-MX" w:eastAsia="es-CO"/>
        </w:rPr>
        <w:t xml:space="preserve">De conformidad con los argumentos de dicha providencia, se parte de la distinción entre los conceptos </w:t>
      </w:r>
      <w:r w:rsidRPr="008700EC">
        <w:rPr>
          <w:rFonts w:ascii="Verdana" w:eastAsia="Times New Roman" w:hAnsi="Verdana" w:cs="Segoe UI"/>
          <w:bCs/>
          <w:lang w:eastAsia="es-CO"/>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8700EC">
        <w:rPr>
          <w:rFonts w:ascii="Verdana" w:eastAsia="Times New Roman" w:hAnsi="Verdana" w:cs="Segoe UI"/>
          <w:bCs/>
          <w:i/>
          <w:iCs/>
          <w:lang w:eastAsia="es-CO"/>
        </w:rPr>
        <w:t xml:space="preserve">“si el legislador no diferenció al establecer la prohibición o la restricción, mal haría el reglamento en aplicar un efecto expansivo o extensivo para incluir una categoría no cobijada con la limitación, (…)”. </w:t>
      </w:r>
      <w:r w:rsidRPr="008700EC">
        <w:rPr>
          <w:rFonts w:ascii="Verdana" w:eastAsia="Times New Roman" w:hAnsi="Verdana" w:cs="Segoe UI"/>
          <w:bCs/>
          <w:lang w:eastAsia="es-CO"/>
        </w:rPr>
        <w:t xml:space="preserve">Por tal motivo, para efectos de decretar la medida de suspensión provisional de los apartes señalados del numeral 16.2 de la Circular Externa Única, argumentó que </w:t>
      </w:r>
      <w:r w:rsidRPr="008700EC">
        <w:rPr>
          <w:rFonts w:ascii="Verdana" w:eastAsia="Times New Roman" w:hAnsi="Verdana" w:cs="Segoe UI"/>
          <w:bCs/>
          <w:i/>
          <w:iCs/>
          <w:lang w:eastAsia="es-CO"/>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1BC09C9" w14:textId="77777777" w:rsidR="008700EC" w:rsidRDefault="008700EC" w:rsidP="00C047EA">
      <w:pPr>
        <w:spacing w:after="120" w:line="276" w:lineRule="auto"/>
        <w:ind w:firstLine="709"/>
        <w:jc w:val="both"/>
        <w:textAlignment w:val="baseline"/>
        <w:rPr>
          <w:rFonts w:ascii="Verdana" w:eastAsia="Times New Roman" w:hAnsi="Verdana" w:cs="Segoe UI"/>
          <w:bCs/>
          <w:lang w:eastAsia="es-CO"/>
        </w:rPr>
      </w:pPr>
      <w:r w:rsidRPr="008700EC">
        <w:rPr>
          <w:rFonts w:ascii="Verdana" w:eastAsia="Times New Roman" w:hAnsi="Verdana" w:cs="Segoe UI"/>
          <w:bCs/>
          <w:lang w:eastAsia="es-CO"/>
        </w:rPr>
        <w:t>De igual manera, mediante auto del 6 de noviembre de 2025, el Consejo de Estado, Subsección A de la Sección Tercera, decretó</w:t>
      </w:r>
      <w:r w:rsidRPr="008700EC">
        <w:rPr>
          <w:rFonts w:ascii="Verdana" w:eastAsia="Times New Roman" w:hAnsi="Verdana" w:cs="Segoe UI"/>
          <w:b/>
          <w:bCs/>
          <w:lang w:eastAsia="es-CO"/>
        </w:rPr>
        <w:t xml:space="preserve"> </w:t>
      </w:r>
      <w:r w:rsidRPr="008700EC">
        <w:rPr>
          <w:rFonts w:ascii="Verdana" w:eastAsia="Times New Roman" w:hAnsi="Verdana" w:cs="Segoe UI"/>
          <w:bCs/>
          <w:lang w:eastAsia="es-CO"/>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w:t>
      </w:r>
      <w:r w:rsidRPr="008700EC">
        <w:rPr>
          <w:rFonts w:ascii="Verdana" w:eastAsia="Times New Roman" w:hAnsi="Verdana" w:cs="Segoe UI"/>
          <w:bCs/>
          <w:i/>
          <w:iCs/>
          <w:lang w:eastAsia="es-CO"/>
        </w:rPr>
        <w:t>contratos interadministrativos</w:t>
      </w:r>
      <w:r w:rsidRPr="008700EC">
        <w:rPr>
          <w:rFonts w:ascii="Verdana" w:eastAsia="Times New Roman" w:hAnsi="Verdana" w:cs="Segoe UI"/>
          <w:bCs/>
          <w:vertAlign w:val="superscript"/>
          <w:lang w:eastAsia="es-CO"/>
        </w:rPr>
        <w:footnoteReference w:id="25"/>
      </w:r>
      <w:r w:rsidRPr="008700EC">
        <w:rPr>
          <w:rFonts w:ascii="Verdana" w:eastAsia="Times New Roman" w:hAnsi="Verdana" w:cs="Segoe UI"/>
          <w:bCs/>
          <w:lang w:eastAsia="es-CO"/>
        </w:rPr>
        <w:t xml:space="preserve">. Para tales efectos, el alto tribunal resaltó la interpretación restrictiva de las normas que contienen prohibiciones, como la del parágrafo del artículo 38 de la Ley 996 de 2005, de modo que se excluye la analogía </w:t>
      </w:r>
      <w:proofErr w:type="spellStart"/>
      <w:r w:rsidRPr="008700EC">
        <w:rPr>
          <w:rFonts w:ascii="Verdana" w:eastAsia="Times New Roman" w:hAnsi="Verdana" w:cs="Segoe UI"/>
          <w:bCs/>
          <w:lang w:eastAsia="es-CO"/>
        </w:rPr>
        <w:t>legis</w:t>
      </w:r>
      <w:proofErr w:type="spellEnd"/>
      <w:r w:rsidRPr="008700EC">
        <w:rPr>
          <w:rFonts w:ascii="Verdana" w:eastAsia="Times New Roman" w:hAnsi="Verdana" w:cs="Segoe UI"/>
          <w:bCs/>
          <w:lang w:eastAsia="es-CO"/>
        </w:rPr>
        <w:t xml:space="preserve"> o iuris y la interpretación extensiva. Con base en lo anterior, reiteró los argumentos sobre la diferencia entre contratos y convenios interadministrativos. </w:t>
      </w:r>
    </w:p>
    <w:p w14:paraId="3AFF6A9D" w14:textId="77777777" w:rsidR="00E95FEC" w:rsidRPr="00E95FEC" w:rsidRDefault="00E95FEC" w:rsidP="00C047EA">
      <w:pPr>
        <w:spacing w:after="120" w:line="276" w:lineRule="auto"/>
        <w:ind w:firstLine="709"/>
        <w:jc w:val="both"/>
        <w:textAlignment w:val="baseline"/>
        <w:rPr>
          <w:rFonts w:ascii="Verdana" w:eastAsia="Times New Roman" w:hAnsi="Verdana" w:cs="Segoe UI"/>
          <w:bCs/>
          <w:lang w:eastAsia="es-CO"/>
        </w:rPr>
      </w:pPr>
      <w:r w:rsidRPr="00E95FEC">
        <w:rPr>
          <w:rFonts w:ascii="Verdana" w:eastAsia="Times New Roman" w:hAnsi="Verdana" w:cs="Segoe UI"/>
          <w:bCs/>
          <w:lang w:eastAsia="es-CO"/>
        </w:rPr>
        <w:t xml:space="preserve">Finalmente, mediante sentencia del 17 de octubre de 2025, emitida por la Sala de lo Contencioso Administrativo del Consejo de Estado, dentro del expediente 11001-03-26-000-2023-00139-00, el Consejo de Estado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73A9E3B2" w14:textId="77777777" w:rsidR="00E95FEC" w:rsidRPr="00E95FEC" w:rsidRDefault="00E95FEC" w:rsidP="00C047EA">
      <w:pPr>
        <w:spacing w:after="120" w:line="276" w:lineRule="auto"/>
        <w:ind w:firstLine="709"/>
        <w:jc w:val="both"/>
        <w:textAlignment w:val="baseline"/>
        <w:rPr>
          <w:rFonts w:ascii="Verdana" w:eastAsia="Times New Roman" w:hAnsi="Verdana" w:cs="Segoe UI"/>
          <w:bCs/>
          <w:lang w:eastAsia="es-CO"/>
        </w:rPr>
      </w:pPr>
      <w:r w:rsidRPr="00E95FEC">
        <w:rPr>
          <w:rFonts w:ascii="Verdana" w:eastAsia="Times New Roman" w:hAnsi="Verdana" w:cs="Segoe UI"/>
          <w:bCs/>
          <w:lang w:eastAsia="es-CO"/>
        </w:rPr>
        <w:t>En la anterior decisión consideró que la Agencia excedió su competencia material al incluir los contratos en una restricción que la Ley de Garantías Electorales solo previó para los convenios, cuando no es posible aplicar por analogía o extensión una norma que establece prohibiciones</w:t>
      </w:r>
      <w:r w:rsidRPr="00E95FEC">
        <w:rPr>
          <w:rFonts w:ascii="Verdana" w:eastAsia="Times New Roman" w:hAnsi="Verdana" w:cs="Segoe UI"/>
          <w:bCs/>
          <w:vertAlign w:val="superscript"/>
          <w:lang w:eastAsia="es-CO"/>
        </w:rPr>
        <w:footnoteReference w:id="26"/>
      </w:r>
      <w:r w:rsidRPr="00E95FEC">
        <w:rPr>
          <w:rFonts w:ascii="Verdana" w:eastAsia="Times New Roman" w:hAnsi="Verdana" w:cs="Segoe UI"/>
          <w:bCs/>
          <w:lang w:eastAsia="es-CO"/>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57911BA0" w14:textId="77777777" w:rsidR="00E95FEC" w:rsidRPr="00E95FEC" w:rsidRDefault="00E95FEC" w:rsidP="00C047EA">
      <w:pPr>
        <w:spacing w:after="120" w:line="276" w:lineRule="auto"/>
        <w:ind w:firstLine="709"/>
        <w:jc w:val="both"/>
        <w:textAlignment w:val="baseline"/>
        <w:rPr>
          <w:rFonts w:ascii="Verdana" w:eastAsia="Times New Roman" w:hAnsi="Verdana" w:cs="Segoe UI"/>
          <w:bCs/>
          <w:lang w:eastAsia="es-CO"/>
        </w:rPr>
      </w:pPr>
      <w:r w:rsidRPr="00E95FEC">
        <w:rPr>
          <w:rFonts w:ascii="Verdana" w:eastAsia="Times New Roman" w:hAnsi="Verdana" w:cs="Segoe UI"/>
          <w:bCs/>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E95FEC">
        <w:rPr>
          <w:rFonts w:ascii="Verdana" w:eastAsia="Times New Roman" w:hAnsi="Verdana" w:cs="Segoe UI"/>
          <w:bCs/>
          <w:i/>
          <w:iCs/>
          <w:lang w:eastAsia="es-CO"/>
        </w:rPr>
        <w:t>contratos interadministrativos</w:t>
      </w:r>
      <w:r w:rsidRPr="00E95FEC">
        <w:rPr>
          <w:rFonts w:ascii="Verdana" w:eastAsia="Times New Roman" w:hAnsi="Verdana" w:cs="Segoe UI"/>
          <w:bCs/>
          <w:lang w:eastAsia="es-CO"/>
        </w:rPr>
        <w:t>, esta prohibición solo aplicaría a los convenios interadministrativos que impliquen la ejecución de recursos públicos</w:t>
      </w:r>
      <w:r w:rsidRPr="00E95FEC">
        <w:rPr>
          <w:rFonts w:ascii="Verdana" w:eastAsia="Times New Roman" w:hAnsi="Verdana" w:cs="Segoe UI"/>
          <w:bCs/>
          <w:vertAlign w:val="superscript"/>
          <w:lang w:eastAsia="es-CO"/>
        </w:rPr>
        <w:footnoteReference w:id="27"/>
      </w:r>
      <w:r w:rsidRPr="00E95FEC">
        <w:rPr>
          <w:rFonts w:ascii="Verdana" w:eastAsia="Times New Roman" w:hAnsi="Verdana" w:cs="Segoe UI"/>
          <w:bCs/>
          <w:lang w:eastAsia="es-CO"/>
        </w:rPr>
        <w:t>.</w:t>
      </w:r>
    </w:p>
    <w:p w14:paraId="74DD9B9E" w14:textId="77777777" w:rsidR="00E95FEC" w:rsidRPr="00E95FEC" w:rsidRDefault="00E95FEC" w:rsidP="00C047EA">
      <w:pPr>
        <w:spacing w:after="120" w:line="276" w:lineRule="auto"/>
        <w:ind w:firstLine="709"/>
        <w:jc w:val="both"/>
        <w:textAlignment w:val="baseline"/>
        <w:rPr>
          <w:rFonts w:ascii="Verdana" w:eastAsia="Times New Roman" w:hAnsi="Verdana" w:cs="Segoe UI"/>
          <w:bCs/>
          <w:lang w:eastAsia="es-CO"/>
        </w:rPr>
      </w:pPr>
      <w:r w:rsidRPr="00E95FEC">
        <w:rPr>
          <w:rFonts w:ascii="Verdana" w:eastAsia="Times New Roman" w:hAnsi="Verdana" w:cs="Segoe UI"/>
          <w:bCs/>
          <w:lang w:eastAsia="es-CO"/>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3E70BF3" w14:textId="39369F75" w:rsidR="00694C03" w:rsidRPr="00694C03" w:rsidRDefault="00E95FEC" w:rsidP="004B326C">
      <w:pPr>
        <w:spacing w:after="120" w:line="276" w:lineRule="auto"/>
        <w:ind w:firstLine="709"/>
        <w:jc w:val="both"/>
        <w:textAlignment w:val="baseline"/>
        <w:rPr>
          <w:rFonts w:ascii="Verdana" w:eastAsia="Times New Roman" w:hAnsi="Verdana" w:cs="Segoe UI"/>
          <w:bCs/>
          <w:lang w:val="es-ES" w:eastAsia="es-CO"/>
        </w:rPr>
      </w:pPr>
      <w:r w:rsidRPr="00E95FEC">
        <w:rPr>
          <w:rFonts w:ascii="Verdana" w:eastAsia="Times New Roman" w:hAnsi="Verdana" w:cs="Segoe UI"/>
          <w:bCs/>
          <w:lang w:eastAsia="es-CO"/>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24F2B92" w14:textId="3A0FC2F6" w:rsidR="00694C03" w:rsidRDefault="00694C03" w:rsidP="00C047EA">
      <w:pPr>
        <w:spacing w:after="120" w:line="240" w:lineRule="auto"/>
        <w:jc w:val="both"/>
        <w:textAlignment w:val="baseline"/>
        <w:rPr>
          <w:rFonts w:ascii="Verdana" w:eastAsia="Times New Roman" w:hAnsi="Verdana" w:cs="Segoe UI"/>
          <w:b/>
          <w:bCs/>
          <w:lang w:val="es-ES" w:eastAsia="es-CO"/>
        </w:rPr>
      </w:pPr>
      <w:r w:rsidRPr="00694C03">
        <w:rPr>
          <w:rFonts w:ascii="Verdana" w:eastAsia="Times New Roman" w:hAnsi="Verdana" w:cs="Segoe UI"/>
          <w:b/>
          <w:bCs/>
          <w:lang w:val="es-ES" w:eastAsia="es-CO"/>
        </w:rPr>
        <w:t>4.</w:t>
      </w:r>
      <w:r w:rsidR="00194428">
        <w:rPr>
          <w:rFonts w:ascii="Verdana" w:eastAsia="Times New Roman" w:hAnsi="Verdana" w:cs="Segoe UI"/>
          <w:b/>
          <w:bCs/>
          <w:lang w:val="es-ES" w:eastAsia="es-CO"/>
        </w:rPr>
        <w:t xml:space="preserve"> </w:t>
      </w:r>
      <w:r w:rsidRPr="00694C03">
        <w:rPr>
          <w:rFonts w:ascii="Verdana" w:eastAsia="Times New Roman" w:hAnsi="Verdana" w:cs="Segoe UI"/>
          <w:b/>
          <w:bCs/>
          <w:lang w:val="es-ES" w:eastAsia="es-CO"/>
        </w:rPr>
        <w:t>Referencias normativas, jurisprudenciales y otras fuentes:</w:t>
      </w:r>
    </w:p>
    <w:p w14:paraId="7E590477" w14:textId="77777777" w:rsidR="00C047EA" w:rsidRDefault="00C047EA" w:rsidP="00C047EA">
      <w:pPr>
        <w:spacing w:after="0" w:line="240" w:lineRule="auto"/>
        <w:jc w:val="both"/>
        <w:textAlignment w:val="baseline"/>
        <w:rPr>
          <w:rFonts w:ascii="Verdana" w:eastAsia="Times New Roman" w:hAnsi="Verdana" w:cs="Segoe UI"/>
          <w:b/>
          <w:bCs/>
          <w:lang w:val="es-ES" w:eastAsia="es-CO"/>
        </w:rPr>
      </w:pPr>
    </w:p>
    <w:p w14:paraId="0FE2880D"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Constitución Política, artículo 127.</w:t>
      </w:r>
    </w:p>
    <w:p w14:paraId="008A1EE9"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Ley 996 de 2005, artículos 33 y 38.</w:t>
      </w:r>
    </w:p>
    <w:p w14:paraId="4DD08F5C"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Decreto 1068 de 2015, artículo 2.2.1.1.1.</w:t>
      </w:r>
    </w:p>
    <w:p w14:paraId="55189789"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pt-BR" w:eastAsia="es-CO"/>
        </w:rPr>
        <w:t>Corte Constitucional. Sentencia C-671 de 2015. M.P. Alberto Rojas Ríos.</w:t>
      </w:r>
    </w:p>
    <w:p w14:paraId="2B7A4347"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 xml:space="preserve">Consejo de Estado, Sección Primera. Sentencia de 3 de marzo de 2005, Exp. 2004-00823-01(PI). </w:t>
      </w:r>
    </w:p>
    <w:p w14:paraId="0C73D2D6"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eastAsia="es-CO"/>
        </w:rPr>
        <w:t>Consejo de Estado. Sala de Consulta y Servicio Civil. Concepto del 15 de noviembre de 2007. Expediente número 1863. Consejero Ponente: Luis Fernando Álvarez Jaramillo</w:t>
      </w:r>
    </w:p>
    <w:p w14:paraId="526C1FA0"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 xml:space="preserve">Consejo de Estado, Sala de Consulta y Servicio Civil, Concepto de fecha 24 de julio de 2013, Rad. 2166, C. P. Álvaro Namén Vargas. </w:t>
      </w:r>
    </w:p>
    <w:p w14:paraId="19062CB2"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eastAsia="es-CO"/>
        </w:rPr>
        <w:t>Consejo de Estado. Sala de Consulta y Servicio Civil. Concepto del 2 de septiembre de 2013 Radicado No: 2168. CP: Alvaro Namén Vargas.</w:t>
      </w:r>
    </w:p>
    <w:p w14:paraId="1CED6DE6"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Consejo de Estado. Sala de Consulta y Servicio Civil. Concepto del 17 de febrero de 2015. C.P. William Zambrano Cetina. Radicación No. 11001-03-06-000-2015-00164-00(2269).</w:t>
      </w:r>
    </w:p>
    <w:p w14:paraId="5B9DE419"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val="es-ES" w:eastAsia="es-CO"/>
        </w:rPr>
        <w:t>Consejo de Estado, Sala de Consulta y Servicio Civil, Concepto de fecha 8 de mayo de 2018, No. 2382. C. P. Álvaro Namén Vargas.</w:t>
      </w:r>
    </w:p>
    <w:p w14:paraId="5344813A" w14:textId="77777777"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proofErr w:type="spellStart"/>
      <w:r w:rsidRPr="00694C03">
        <w:rPr>
          <w:rFonts w:ascii="Verdana" w:eastAsia="Times New Roman" w:hAnsi="Verdana" w:cs="Segoe UI"/>
          <w:lang w:val="pt-BR" w:eastAsia="es-CO"/>
        </w:rPr>
        <w:t>Consejo</w:t>
      </w:r>
      <w:proofErr w:type="spellEnd"/>
      <w:r w:rsidRPr="00694C03">
        <w:rPr>
          <w:rFonts w:ascii="Verdana" w:eastAsia="Times New Roman" w:hAnsi="Verdana" w:cs="Segoe UI"/>
          <w:lang w:val="pt-BR" w:eastAsia="es-CO"/>
        </w:rPr>
        <w:t xml:space="preserve"> de Estado, </w:t>
      </w:r>
      <w:proofErr w:type="spellStart"/>
      <w:r w:rsidRPr="00694C03">
        <w:rPr>
          <w:rFonts w:ascii="Verdana" w:eastAsia="Times New Roman" w:hAnsi="Verdana" w:cs="Segoe UI"/>
          <w:lang w:val="pt-BR" w:eastAsia="es-CO"/>
        </w:rPr>
        <w:t>Sección</w:t>
      </w:r>
      <w:proofErr w:type="spellEnd"/>
      <w:r w:rsidRPr="00694C03">
        <w:rPr>
          <w:rFonts w:ascii="Verdana" w:eastAsia="Times New Roman" w:hAnsi="Verdana" w:cs="Segoe UI"/>
          <w:lang w:val="pt-BR" w:eastAsia="es-CO"/>
        </w:rPr>
        <w:t xml:space="preserve"> Tercera. Auto </w:t>
      </w:r>
      <w:proofErr w:type="spellStart"/>
      <w:r w:rsidRPr="00694C03">
        <w:rPr>
          <w:rFonts w:ascii="Verdana" w:eastAsia="Times New Roman" w:hAnsi="Verdana" w:cs="Segoe UI"/>
          <w:lang w:val="pt-BR" w:eastAsia="es-CO"/>
        </w:rPr>
        <w:t>del</w:t>
      </w:r>
      <w:proofErr w:type="spellEnd"/>
      <w:r w:rsidRPr="00694C03">
        <w:rPr>
          <w:rFonts w:ascii="Verdana" w:eastAsia="Times New Roman" w:hAnsi="Verdana" w:cs="Segoe UI"/>
          <w:lang w:val="pt-BR" w:eastAsia="es-CO"/>
        </w:rPr>
        <w:t xml:space="preserve"> 4 de </w:t>
      </w:r>
      <w:proofErr w:type="spellStart"/>
      <w:r w:rsidRPr="00694C03">
        <w:rPr>
          <w:rFonts w:ascii="Verdana" w:eastAsia="Times New Roman" w:hAnsi="Verdana" w:cs="Segoe UI"/>
          <w:lang w:val="pt-BR" w:eastAsia="es-CO"/>
        </w:rPr>
        <w:t>octubre</w:t>
      </w:r>
      <w:proofErr w:type="spellEnd"/>
      <w:r w:rsidRPr="00694C03">
        <w:rPr>
          <w:rFonts w:ascii="Verdana" w:eastAsia="Times New Roman" w:hAnsi="Verdana" w:cs="Segoe UI"/>
          <w:lang w:val="pt-BR" w:eastAsia="es-CO"/>
        </w:rPr>
        <w:t xml:space="preserve"> de 2024. Exp. 70.313. C.P: Fredy Ibarra Martínez.</w:t>
      </w:r>
    </w:p>
    <w:p w14:paraId="7056E726" w14:textId="77777777" w:rsid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eastAsia="es-CO"/>
        </w:rPr>
        <w:t xml:space="preserve">Consejo de Estado. Sala de lo Contencioso Administrativo. Sección Tercera. Subsección B. 17 de octubre de 2025. Magistrado Ponente: Fredy Ibarra Martínez.  </w:t>
      </w:r>
    </w:p>
    <w:p w14:paraId="68AE6345" w14:textId="56BB73D0" w:rsidR="00694C03" w:rsidRPr="00694C03" w:rsidRDefault="00694C03" w:rsidP="004B326C">
      <w:pPr>
        <w:numPr>
          <w:ilvl w:val="0"/>
          <w:numId w:val="16"/>
        </w:numPr>
        <w:pBdr>
          <w:top w:val="single" w:sz="4" w:space="1" w:color="auto"/>
          <w:left w:val="single" w:sz="4" w:space="20" w:color="auto"/>
          <w:bottom w:val="single" w:sz="4" w:space="1" w:color="auto"/>
          <w:right w:val="single" w:sz="4" w:space="4" w:color="auto"/>
        </w:pBdr>
        <w:spacing w:after="120" w:line="240" w:lineRule="auto"/>
        <w:textAlignment w:val="baseline"/>
        <w:rPr>
          <w:rFonts w:ascii="Verdana" w:eastAsia="Times New Roman" w:hAnsi="Verdana" w:cs="Segoe UI"/>
          <w:lang w:val="es-ES" w:eastAsia="es-CO"/>
        </w:rPr>
      </w:pPr>
      <w:r w:rsidRPr="00694C03">
        <w:rPr>
          <w:rFonts w:ascii="Verdana" w:eastAsia="Times New Roman" w:hAnsi="Verdana" w:cs="Segoe UI"/>
          <w:lang w:eastAsia="es-CO"/>
        </w:rPr>
        <w:t xml:space="preserve">Circular Externa No. 006 de 2025 </w:t>
      </w:r>
      <w:hyperlink r:id="rId12" w:history="1">
        <w:r w:rsidRPr="00694C03">
          <w:rPr>
            <w:rStyle w:val="Hipervnculo"/>
            <w:rFonts w:ascii="Verdana" w:eastAsia="Times New Roman" w:hAnsi="Verdana" w:cs="Segoe UI"/>
            <w:lang w:eastAsia="es-CO"/>
          </w:rPr>
          <w:t>https://www.colombiacompra.gov.co/archivos/circular/circular-externa-006-de-2025</w:t>
        </w:r>
      </w:hyperlink>
    </w:p>
    <w:p w14:paraId="3B79BAB5" w14:textId="77777777" w:rsidR="009008D9" w:rsidRPr="009008D9" w:rsidRDefault="009008D9" w:rsidP="009008D9">
      <w:pPr>
        <w:tabs>
          <w:tab w:val="left" w:pos="142"/>
          <w:tab w:val="left" w:pos="284"/>
        </w:tabs>
        <w:spacing w:after="0" w:line="276" w:lineRule="auto"/>
        <w:ind w:left="360"/>
        <w:jc w:val="both"/>
        <w:rPr>
          <w:rFonts w:ascii="Verdana" w:eastAsia="Times New Roman" w:hAnsi="Verdana" w:cs="Century Gothic"/>
          <w:b/>
          <w:color w:val="000000" w:themeColor="text1"/>
        </w:rPr>
      </w:pPr>
    </w:p>
    <w:p w14:paraId="0FF4068D" w14:textId="45C052BA" w:rsidR="009008D9" w:rsidRPr="009008D9" w:rsidRDefault="009008D9" w:rsidP="009008D9">
      <w:pPr>
        <w:tabs>
          <w:tab w:val="left" w:pos="142"/>
          <w:tab w:val="left" w:pos="284"/>
        </w:tabs>
        <w:spacing w:after="0" w:line="276" w:lineRule="auto"/>
        <w:jc w:val="both"/>
        <w:rPr>
          <w:rFonts w:ascii="Verdana" w:eastAsia="Times New Roman" w:hAnsi="Verdana" w:cs="Century Gothic"/>
          <w:b/>
          <w:color w:val="000000" w:themeColor="text1"/>
        </w:rPr>
      </w:pPr>
      <w:r w:rsidRPr="009008D9">
        <w:rPr>
          <w:rFonts w:ascii="Verdana" w:eastAsia="Times New Roman" w:hAnsi="Verdana" w:cs="Century Gothic"/>
          <w:b/>
          <w:color w:val="000000" w:themeColor="text1"/>
        </w:rPr>
        <w:t>5.</w:t>
      </w:r>
      <w:r w:rsidR="00194428">
        <w:rPr>
          <w:rFonts w:ascii="Verdana" w:eastAsia="Times New Roman" w:hAnsi="Verdana" w:cs="Century Gothic"/>
          <w:b/>
          <w:color w:val="000000" w:themeColor="text1"/>
        </w:rPr>
        <w:t xml:space="preserve"> </w:t>
      </w:r>
      <w:r w:rsidRPr="009008D9">
        <w:rPr>
          <w:rFonts w:ascii="Verdana" w:eastAsia="Times New Roman" w:hAnsi="Verdana" w:cs="Century Gothic"/>
          <w:b/>
          <w:color w:val="000000" w:themeColor="text1"/>
        </w:rPr>
        <w:t>Doctrina de la Agencia Nacional de Contratación Pública:</w:t>
      </w:r>
    </w:p>
    <w:p w14:paraId="3AA71F86" w14:textId="77777777" w:rsidR="008700EC" w:rsidRPr="008700EC" w:rsidRDefault="008700EC" w:rsidP="004B326C">
      <w:pPr>
        <w:spacing w:after="0" w:line="240" w:lineRule="auto"/>
        <w:ind w:firstLine="709"/>
        <w:jc w:val="both"/>
        <w:textAlignment w:val="baseline"/>
        <w:rPr>
          <w:rFonts w:ascii="Verdana" w:eastAsia="Times New Roman" w:hAnsi="Verdana" w:cs="Segoe UI"/>
          <w:bCs/>
          <w:lang w:val="es-ES" w:eastAsia="es-CO"/>
        </w:rPr>
      </w:pPr>
    </w:p>
    <w:p w14:paraId="67F15430" w14:textId="77777777" w:rsidR="009008D9" w:rsidRPr="009E6473" w:rsidRDefault="009008D9" w:rsidP="00C047EA">
      <w:pPr>
        <w:spacing w:after="120" w:line="276" w:lineRule="auto"/>
        <w:jc w:val="both"/>
        <w:textAlignment w:val="baseline"/>
        <w:rPr>
          <w:rFonts w:ascii="Verdana" w:eastAsia="Times New Roman" w:hAnsi="Verdana" w:cs="Segoe UI"/>
          <w:bCs/>
          <w:lang w:val="es-ES" w:eastAsia="es-CO"/>
        </w:rPr>
      </w:pPr>
      <w:r w:rsidRPr="009008D9">
        <w:rPr>
          <w:rFonts w:ascii="Verdana" w:eastAsia="Times New Roman" w:hAnsi="Verdana" w:cs="Segoe UI"/>
          <w:bCs/>
          <w:lang w:val="es-ES" w:eastAsia="es-CO"/>
        </w:rPr>
        <w:t xml:space="preserve">La Agencia Nacional de Contratación Pública – Colombia Compra Eficiente se ha referido sobre la Ley de Garantías Electorales en los conceptos con radicado </w:t>
      </w:r>
      <w:r w:rsidRPr="009E6473">
        <w:rPr>
          <w:rFonts w:ascii="Verdana" w:eastAsia="Times New Roman" w:hAnsi="Verdana" w:cs="Segoe UI"/>
          <w:bCs/>
          <w:lang w:val="es-ES" w:eastAsia="es-CO"/>
        </w:rPr>
        <w:t>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C-273-A de 2025, y C-1587 del 09 de diciembre de 2025,</w:t>
      </w:r>
      <w:r w:rsidRPr="009E6473">
        <w:rPr>
          <w:rFonts w:ascii="Verdana" w:eastAsia="Times New Roman" w:hAnsi="Verdana" w:cs="Segoe UI"/>
          <w:b/>
          <w:bCs/>
          <w:lang w:val="es-ES" w:eastAsia="es-CO"/>
        </w:rPr>
        <w:t xml:space="preserve"> </w:t>
      </w:r>
      <w:r w:rsidRPr="009E6473">
        <w:rPr>
          <w:rFonts w:ascii="Verdana" w:eastAsia="Times New Roman" w:hAnsi="Verdana" w:cs="Segoe UI"/>
          <w:bCs/>
          <w:lang w:val="es-ES" w:eastAsia="es-CO"/>
        </w:rPr>
        <w:t xml:space="preserve">entre otros. Estos y otros se encuentran disponibles para consulta en el Sistema de relatoría de la Agencia, al cual se puede acceder a través del siguiente enlace: </w:t>
      </w:r>
      <w:hyperlink r:id="rId13" w:history="1">
        <w:r w:rsidRPr="009E6473">
          <w:rPr>
            <w:rStyle w:val="Hipervnculo"/>
            <w:rFonts w:ascii="Verdana" w:eastAsia="Times New Roman" w:hAnsi="Verdana" w:cs="Segoe UI"/>
            <w:bCs/>
            <w:lang w:val="es-ES" w:eastAsia="es-CO"/>
          </w:rPr>
          <w:t>https://relatoria.colombiacompra.gov.co/busqueda/concept os</w:t>
        </w:r>
      </w:hyperlink>
      <w:r w:rsidRPr="009E6473">
        <w:rPr>
          <w:rFonts w:ascii="Verdana" w:eastAsia="Times New Roman" w:hAnsi="Verdana" w:cs="Segoe UI"/>
          <w:bCs/>
          <w:lang w:val="es-ES" w:eastAsia="es-CO"/>
        </w:rPr>
        <w:t>.   </w:t>
      </w:r>
    </w:p>
    <w:p w14:paraId="3037ABD3" w14:textId="77777777" w:rsidR="009008D9" w:rsidRPr="009008D9" w:rsidRDefault="009008D9" w:rsidP="004B326C">
      <w:pPr>
        <w:spacing w:after="120" w:line="276" w:lineRule="auto"/>
        <w:jc w:val="both"/>
        <w:textAlignment w:val="baseline"/>
        <w:rPr>
          <w:rFonts w:ascii="Verdana" w:eastAsia="Times New Roman" w:hAnsi="Verdana" w:cs="Segoe UI"/>
          <w:bCs/>
          <w:lang w:eastAsia="es-CO"/>
        </w:rPr>
      </w:pPr>
      <w:r w:rsidRPr="009E6473">
        <w:rPr>
          <w:rFonts w:ascii="Verdana" w:eastAsia="Times New Roman" w:hAnsi="Verdana" w:cs="Segoe UI"/>
          <w:bCs/>
          <w:lang w:eastAsia="es-CO"/>
        </w:rPr>
        <w:t>Por último</w:t>
      </w:r>
      <w:r w:rsidRPr="009008D9">
        <w:rPr>
          <w:rFonts w:ascii="Verdana" w:eastAsia="Times New Roman" w:hAnsi="Verdana" w:cs="Segoe UI"/>
          <w:bCs/>
          <w:lang w:eastAsia="es-CO"/>
        </w:rPr>
        <w:t xml:space="preserve">, lo invitamos a seguirnos en las redes sociales en las cuales se difunde información institucional: </w:t>
      </w:r>
    </w:p>
    <w:p w14:paraId="1E000EF7" w14:textId="77777777" w:rsidR="009008D9" w:rsidRPr="009008D9" w:rsidRDefault="009008D9" w:rsidP="004B326C">
      <w:pPr>
        <w:spacing w:after="120" w:line="240" w:lineRule="auto"/>
        <w:ind w:left="567"/>
        <w:jc w:val="both"/>
        <w:textAlignment w:val="baseline"/>
        <w:rPr>
          <w:rFonts w:ascii="Verdana" w:eastAsia="Times New Roman" w:hAnsi="Verdana" w:cs="Segoe UI"/>
          <w:bCs/>
          <w:lang w:eastAsia="es-CO"/>
        </w:rPr>
      </w:pPr>
      <w:r w:rsidRPr="009008D9">
        <w:rPr>
          <w:rFonts w:ascii="Verdana" w:eastAsia="Times New Roman" w:hAnsi="Verdana" w:cs="Segoe UI"/>
          <w:bCs/>
          <w:lang w:eastAsia="es-CO"/>
        </w:rPr>
        <w:t xml:space="preserve">Twitter: </w:t>
      </w:r>
      <w:r w:rsidRPr="009008D9">
        <w:rPr>
          <w:rFonts w:ascii="Verdana" w:eastAsia="Times New Roman" w:hAnsi="Verdana" w:cs="Segoe UI"/>
          <w:bCs/>
          <w:u w:val="single"/>
          <w:lang w:eastAsia="es-CO"/>
        </w:rPr>
        <w:t>@colombiacompra</w:t>
      </w:r>
      <w:r w:rsidRPr="009008D9">
        <w:rPr>
          <w:rFonts w:ascii="Verdana" w:eastAsia="Times New Roman" w:hAnsi="Verdana" w:cs="Segoe UI"/>
          <w:bCs/>
          <w:lang w:eastAsia="es-CO"/>
        </w:rPr>
        <w:t xml:space="preserve"> </w:t>
      </w:r>
    </w:p>
    <w:p w14:paraId="034ADD3F" w14:textId="77777777" w:rsidR="009008D9" w:rsidRPr="009008D9" w:rsidRDefault="009008D9" w:rsidP="004B326C">
      <w:pPr>
        <w:spacing w:after="120" w:line="240" w:lineRule="auto"/>
        <w:ind w:left="567"/>
        <w:jc w:val="both"/>
        <w:textAlignment w:val="baseline"/>
        <w:rPr>
          <w:rFonts w:ascii="Verdana" w:eastAsia="Times New Roman" w:hAnsi="Verdana" w:cs="Segoe UI"/>
          <w:bCs/>
          <w:lang w:eastAsia="es-CO"/>
        </w:rPr>
      </w:pPr>
      <w:r w:rsidRPr="009008D9">
        <w:rPr>
          <w:rFonts w:ascii="Verdana" w:eastAsia="Times New Roman" w:hAnsi="Verdana" w:cs="Segoe UI"/>
          <w:bCs/>
          <w:lang w:eastAsia="es-CO"/>
        </w:rPr>
        <w:t xml:space="preserve">Facebook: </w:t>
      </w:r>
      <w:proofErr w:type="spellStart"/>
      <w:r w:rsidRPr="009008D9">
        <w:rPr>
          <w:rFonts w:ascii="Verdana" w:eastAsia="Times New Roman" w:hAnsi="Verdana" w:cs="Segoe UI"/>
          <w:bCs/>
          <w:u w:val="single"/>
          <w:lang w:eastAsia="es-CO"/>
        </w:rPr>
        <w:t>ColombiaCompraEficiente</w:t>
      </w:r>
      <w:proofErr w:type="spellEnd"/>
    </w:p>
    <w:p w14:paraId="6A16603F" w14:textId="77777777" w:rsidR="009008D9" w:rsidRPr="009008D9" w:rsidRDefault="009008D9" w:rsidP="004B326C">
      <w:pPr>
        <w:spacing w:after="120" w:line="240" w:lineRule="auto"/>
        <w:ind w:left="567"/>
        <w:jc w:val="both"/>
        <w:textAlignment w:val="baseline"/>
        <w:rPr>
          <w:rFonts w:ascii="Verdana" w:eastAsia="Times New Roman" w:hAnsi="Verdana" w:cs="Segoe UI"/>
          <w:bCs/>
          <w:lang w:val="es-ES" w:eastAsia="es-CO"/>
        </w:rPr>
      </w:pPr>
      <w:r w:rsidRPr="009008D9">
        <w:rPr>
          <w:rFonts w:ascii="Verdana" w:eastAsia="Times New Roman" w:hAnsi="Verdana" w:cs="Segoe UI"/>
          <w:bCs/>
          <w:lang w:eastAsia="es-CO"/>
        </w:rPr>
        <w:t xml:space="preserve">LinkedIn: </w:t>
      </w:r>
      <w:r w:rsidRPr="009008D9">
        <w:rPr>
          <w:rFonts w:ascii="Verdana" w:eastAsia="Times New Roman" w:hAnsi="Verdana" w:cs="Segoe UI"/>
          <w:bCs/>
          <w:u w:val="single"/>
          <w:lang w:eastAsia="es-CO"/>
        </w:rPr>
        <w:t>Agencia Nacional de Contratación Pública - Colombia Compra Eficiente</w:t>
      </w:r>
      <w:r w:rsidRPr="009008D9">
        <w:rPr>
          <w:rFonts w:ascii="Verdana" w:eastAsia="Times New Roman" w:hAnsi="Verdana" w:cs="Segoe UI"/>
          <w:bCs/>
          <w:lang w:eastAsia="es-CO"/>
        </w:rPr>
        <w:t xml:space="preserve"> Instagram: </w:t>
      </w:r>
      <w:r w:rsidRPr="009008D9">
        <w:rPr>
          <w:rFonts w:ascii="Verdana" w:eastAsia="Times New Roman" w:hAnsi="Verdana" w:cs="Segoe UI"/>
          <w:bCs/>
          <w:lang w:val="es-ES" w:eastAsia="es-CO"/>
        </w:rPr>
        <w:t>@colombiacompraeficiente_cce</w:t>
      </w:r>
    </w:p>
    <w:p w14:paraId="77775117" w14:textId="77777777" w:rsidR="009008D9" w:rsidRPr="009008D9" w:rsidRDefault="009008D9" w:rsidP="009008D9">
      <w:pPr>
        <w:spacing w:after="120" w:line="240" w:lineRule="auto"/>
        <w:ind w:firstLine="709"/>
        <w:jc w:val="both"/>
        <w:textAlignment w:val="baseline"/>
        <w:rPr>
          <w:rFonts w:ascii="Verdana" w:eastAsia="Times New Roman" w:hAnsi="Verdana" w:cs="Segoe UI"/>
          <w:b/>
          <w:bCs/>
          <w:lang w:val="es-ES_tradnl" w:eastAsia="es-CO"/>
        </w:rPr>
      </w:pPr>
    </w:p>
    <w:p w14:paraId="376EC808" w14:textId="77777777" w:rsidR="009008D9" w:rsidRPr="009008D9" w:rsidRDefault="009008D9" w:rsidP="004B326C">
      <w:pPr>
        <w:spacing w:after="120" w:line="276" w:lineRule="auto"/>
        <w:jc w:val="both"/>
        <w:textAlignment w:val="baseline"/>
        <w:rPr>
          <w:rFonts w:ascii="Verdana" w:eastAsia="Times New Roman" w:hAnsi="Verdana" w:cs="Segoe UI"/>
          <w:bCs/>
          <w:lang w:val="es-ES" w:eastAsia="es-CO"/>
        </w:rPr>
      </w:pPr>
      <w:r w:rsidRPr="009008D9">
        <w:rPr>
          <w:rFonts w:ascii="Verdana" w:eastAsia="Times New Roman" w:hAnsi="Verdana" w:cs="Segoe UI"/>
          <w:bCs/>
          <w:lang w:val="es-ES" w:eastAsia="es-CO"/>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44A55B" w14:textId="2A19EC72" w:rsidR="009008D9" w:rsidRDefault="009E6473" w:rsidP="009E6473">
      <w:pPr>
        <w:spacing w:after="120" w:line="240" w:lineRule="auto"/>
        <w:jc w:val="both"/>
        <w:textAlignment w:val="baseline"/>
        <w:rPr>
          <w:noProof/>
        </w:rPr>
      </w:pPr>
      <w:r>
        <w:rPr>
          <w:noProof/>
        </w:rPr>
        <w:drawing>
          <wp:anchor distT="0" distB="0" distL="114300" distR="114300" simplePos="0" relativeHeight="251661824" behindDoc="1" locked="0" layoutInCell="1" allowOverlap="1" wp14:anchorId="74E87796" wp14:editId="56FDA423">
            <wp:simplePos x="0" y="0"/>
            <wp:positionH relativeFrom="column">
              <wp:posOffset>1369108</wp:posOffset>
            </wp:positionH>
            <wp:positionV relativeFrom="paragraph">
              <wp:posOffset>127976</wp:posOffset>
            </wp:positionV>
            <wp:extent cx="3028950" cy="941070"/>
            <wp:effectExtent l="0" t="0" r="0" b="0"/>
            <wp:wrapTight wrapText="bothSides">
              <wp:wrapPolygon edited="0">
                <wp:start x="0" y="0"/>
                <wp:lineTo x="0" y="20988"/>
                <wp:lineTo x="21464" y="20988"/>
                <wp:lineTo x="21464" y="0"/>
                <wp:lineTo x="0" y="0"/>
              </wp:wrapPolygon>
            </wp:wrapTight>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3028950" cy="941070"/>
                    </a:xfrm>
                    <a:prstGeom prst="rect">
                      <a:avLst/>
                    </a:prstGeom>
                  </pic:spPr>
                </pic:pic>
              </a:graphicData>
            </a:graphic>
            <wp14:sizeRelH relativeFrom="margin">
              <wp14:pctWidth>0</wp14:pctWidth>
            </wp14:sizeRelH>
            <wp14:sizeRelV relativeFrom="margin">
              <wp14:pctHeight>0</wp14:pctHeight>
            </wp14:sizeRelV>
          </wp:anchor>
        </w:drawing>
      </w:r>
      <w:r w:rsidR="009008D9" w:rsidRPr="009008D9">
        <w:rPr>
          <w:rFonts w:ascii="Verdana" w:eastAsia="Times New Roman" w:hAnsi="Verdana" w:cs="Segoe UI"/>
          <w:bCs/>
          <w:lang w:val="es-ES" w:eastAsia="es-CO"/>
        </w:rPr>
        <w:t xml:space="preserve">Atentamente, </w:t>
      </w:r>
    </w:p>
    <w:p w14:paraId="10169C16" w14:textId="7CFA519D" w:rsidR="009E6473" w:rsidRDefault="009E6473" w:rsidP="009E6473">
      <w:pPr>
        <w:spacing w:after="120" w:line="240" w:lineRule="auto"/>
        <w:jc w:val="both"/>
        <w:textAlignment w:val="baseline"/>
        <w:rPr>
          <w:rFonts w:ascii="Verdana" w:eastAsia="Times New Roman" w:hAnsi="Verdana" w:cs="Segoe UI"/>
          <w:bCs/>
          <w:lang w:val="es-ES" w:eastAsia="es-CO"/>
        </w:rPr>
      </w:pPr>
    </w:p>
    <w:p w14:paraId="78E05C9A" w14:textId="68A86E96" w:rsidR="009008D9" w:rsidRPr="009008D9" w:rsidRDefault="009008D9" w:rsidP="009008D9">
      <w:pPr>
        <w:spacing w:after="120" w:line="240" w:lineRule="auto"/>
        <w:ind w:firstLine="709"/>
        <w:jc w:val="both"/>
        <w:textAlignment w:val="baseline"/>
        <w:rPr>
          <w:rFonts w:ascii="Verdana" w:eastAsia="Times New Roman" w:hAnsi="Verdana" w:cs="Segoe UI"/>
          <w:bCs/>
          <w:lang w:val="es-ES" w:eastAsia="es-CO"/>
        </w:rPr>
      </w:pPr>
    </w:p>
    <w:p w14:paraId="5A8D0DE4" w14:textId="77777777" w:rsidR="006A3AFD" w:rsidRPr="00ED31C9" w:rsidRDefault="006A3AFD" w:rsidP="009E6473">
      <w:pPr>
        <w:spacing w:after="120" w:line="240" w:lineRule="auto"/>
        <w:jc w:val="both"/>
        <w:textAlignment w:val="baseline"/>
        <w:rPr>
          <w:rFonts w:ascii="Verdana" w:eastAsia="Times New Roman" w:hAnsi="Verdana" w:cs="Segoe UI"/>
          <w:lang w:val="es-ES" w:eastAsia="es-CO"/>
        </w:rPr>
      </w:pPr>
    </w:p>
    <w:p w14:paraId="75843716" w14:textId="77777777" w:rsidR="009E6473" w:rsidRPr="009E6473" w:rsidRDefault="009E6473" w:rsidP="009E6473">
      <w:pPr>
        <w:widowControl w:val="0"/>
        <w:autoSpaceDE w:val="0"/>
        <w:autoSpaceDN w:val="0"/>
        <w:spacing w:before="53" w:after="0" w:line="240" w:lineRule="auto"/>
        <w:jc w:val="both"/>
        <w:rPr>
          <w:rFonts w:ascii="Verdana" w:eastAsia="Verdana" w:hAnsi="Verdana" w:cs="Verdana"/>
          <w:lang w:val="es-ES"/>
        </w:rPr>
      </w:pPr>
    </w:p>
    <w:p w14:paraId="2FC25B21" w14:textId="77777777" w:rsidR="009E6473" w:rsidRDefault="009E6473" w:rsidP="009E6473">
      <w:pPr>
        <w:widowControl w:val="0"/>
        <w:autoSpaceDE w:val="0"/>
        <w:autoSpaceDN w:val="0"/>
        <w:spacing w:before="1" w:after="0" w:line="240" w:lineRule="auto"/>
        <w:ind w:left="1118"/>
        <w:jc w:val="both"/>
        <w:rPr>
          <w:rFonts w:ascii="Verdana" w:eastAsia="Verdana" w:hAnsi="Verdana" w:cs="Verdana"/>
          <w:sz w:val="16"/>
          <w:lang w:val="es-ES"/>
        </w:rPr>
      </w:pPr>
      <w:r w:rsidRPr="009E6473">
        <w:rPr>
          <w:rFonts w:ascii="Verdana" w:eastAsia="Verdana" w:hAnsi="Verdana" w:cs="Verdana"/>
          <w:noProof/>
          <w:sz w:val="16"/>
          <w:lang w:val="es-ES"/>
        </w:rPr>
        <mc:AlternateContent>
          <mc:Choice Requires="wps">
            <w:drawing>
              <wp:anchor distT="0" distB="0" distL="0" distR="0" simplePos="0" relativeHeight="251663872" behindDoc="0" locked="0" layoutInCell="1" allowOverlap="1" wp14:anchorId="296F3A04" wp14:editId="2B11648D">
                <wp:simplePos x="0" y="0"/>
                <wp:positionH relativeFrom="page">
                  <wp:posOffset>1080135</wp:posOffset>
                </wp:positionH>
                <wp:positionV relativeFrom="paragraph">
                  <wp:posOffset>62288</wp:posOffset>
                </wp:positionV>
                <wp:extent cx="428625" cy="12382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14:paraId="2EEDD800" w14:textId="77777777" w:rsidR="009E6473" w:rsidRDefault="009E6473" w:rsidP="009E6473">
                            <w:pPr>
                              <w:rPr>
                                <w:sz w:val="16"/>
                              </w:rPr>
                            </w:pPr>
                            <w:r>
                              <w:rPr>
                                <w:spacing w:val="-2"/>
                                <w:sz w:val="16"/>
                              </w:rPr>
                              <w:t>Elaboró:</w:t>
                            </w:r>
                          </w:p>
                        </w:txbxContent>
                      </wps:txbx>
                      <wps:bodyPr wrap="square" lIns="0" tIns="0" rIns="0" bIns="0" rtlCol="0">
                        <a:noAutofit/>
                      </wps:bodyPr>
                    </wps:wsp>
                  </a:graphicData>
                </a:graphic>
              </wp:anchor>
            </w:drawing>
          </mc:Choice>
          <mc:Fallback>
            <w:pict>
              <v:shapetype w14:anchorId="296F3A04" id="_x0000_t202" coordsize="21600,21600" o:spt="202" path="m,l,21600r21600,l21600,xe">
                <v:stroke joinstyle="miter"/>
                <v:path gradientshapeok="t" o:connecttype="rect"/>
              </v:shapetype>
              <v:shape id="Textbox 35" o:spid="_x0000_s1026" type="#_x0000_t202" style="position:absolute;left:0;text-align:left;margin-left:85.05pt;margin-top:4.9pt;width:33.75pt;height:9.75pt;z-index:25166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938kwEAABoDAAAOAAAAZHJzL2Uyb0RvYy54bWysUsFu2zAMvQ/YPwi6N07ctQiMOMW2YsWA&#10;YhvQ9gMUWYqNWaJGKrHz96UUJynW27ALRUnU43uPWt2Nrhd7g9SBr+ViNpfCeA1N57e1fHn+drWU&#10;gqLyjerBm1oeDMm79ccPqyFUpoQW+sagYBBP1RBq2cYYqqIg3RqnaAbBeL60gE5F3uK2aFANjO76&#10;opzPb4sBsAkI2hDx6f3xUq4zvrVGx5/WkomiryVzizlijpsUi/VKVVtUoe30REP9AwunOs9Nz1D3&#10;Kiqxw+4dlOs0AoGNMw2uAGs7bbIGVrOY/6XmqVXBZC1sDoWzTfT/YPWP/VP4hSKOX2DkAWYRFB5B&#10;/yb2phgCVVNN8pQq4uokdLTo0soSBD9kbw9nP80YhebDT+XytryRQvPVorxecp4wL48DUnww4ERK&#10;aok8rkxA7R8pHktPJROXY/tEJI6bkUtSuoHmwBoGHmMt6c9OoZGi/+7ZpzTzU4KnZHNKMPZfIf+M&#10;JMXD510E2+XOF9ypMw8gc58+S5rw232uunzp9SsAAAD//wMAUEsDBBQABgAIAAAAIQBY4/Uz3QAA&#10;AAgBAAAPAAAAZHJzL2Rvd25yZXYueG1sTI/BTsMwEETvSPyDtUjcqNNWSkmIU1UITkiINBw4OvE2&#10;sRqvQ+y24e9ZTvS2oxnNvim2sxvEGadgPSlYLhIQSK03ljoFn/XrwyOIEDUZPXhCBT8YYFve3hQ6&#10;N/5CFZ73sRNcQiHXCvoYx1zK0PbodFj4EYm9g5+cjiynTppJX7jcDXKVJKl02hJ/6PWIzz22x/3J&#10;Kdh9UfViv9+bj+pQ2brOEnpLj0rd3827JxAR5/gfhj98RoeSmRp/IhPEwHqTLDmqIOMF7K/WmxRE&#10;w0e2BlkW8npA+QsAAP//AwBQSwECLQAUAAYACAAAACEAtoM4kv4AAADhAQAAEwAAAAAAAAAAAAAA&#10;AAAAAAAAW0NvbnRlbnRfVHlwZXNdLnhtbFBLAQItABQABgAIAAAAIQA4/SH/1gAAAJQBAAALAAAA&#10;AAAAAAAAAAAAAC8BAABfcmVscy8ucmVsc1BLAQItABQABgAIAAAAIQA33938kwEAABoDAAAOAAAA&#10;AAAAAAAAAAAAAC4CAABkcnMvZTJvRG9jLnhtbFBLAQItABQABgAIAAAAIQBY4/Uz3QAAAAgBAAAP&#10;AAAAAAAAAAAAAAAAAO0DAABkcnMvZG93bnJldi54bWxQSwUGAAAAAAQABADzAAAA9wQAAAAA&#10;" filled="f" stroked="f">
                <v:textbox inset="0,0,0,0">
                  <w:txbxContent>
                    <w:p w14:paraId="2EEDD800" w14:textId="77777777" w:rsidR="009E6473" w:rsidRDefault="009E6473" w:rsidP="009E6473">
                      <w:pPr>
                        <w:rPr>
                          <w:sz w:val="16"/>
                        </w:rPr>
                      </w:pPr>
                      <w:r>
                        <w:rPr>
                          <w:spacing w:val="-2"/>
                          <w:sz w:val="16"/>
                        </w:rPr>
                        <w:t>Elaboró:</w:t>
                      </w:r>
                    </w:p>
                  </w:txbxContent>
                </v:textbox>
                <w10:wrap anchorx="page"/>
              </v:shape>
            </w:pict>
          </mc:Fallback>
        </mc:AlternateContent>
      </w:r>
      <w:r w:rsidRPr="009E6473">
        <w:rPr>
          <w:rFonts w:ascii="Verdana" w:eastAsia="Verdana" w:hAnsi="Verdana" w:cs="Verdana"/>
          <w:sz w:val="16"/>
          <w:lang w:val="es-ES"/>
        </w:rPr>
        <w:t>Kelmis</w:t>
      </w:r>
      <w:r w:rsidRPr="009E6473">
        <w:rPr>
          <w:rFonts w:ascii="Verdana" w:eastAsia="Verdana" w:hAnsi="Verdana" w:cs="Verdana"/>
          <w:spacing w:val="-12"/>
          <w:sz w:val="16"/>
          <w:lang w:val="es-ES"/>
        </w:rPr>
        <w:t xml:space="preserve"> </w:t>
      </w:r>
      <w:r w:rsidRPr="009E6473">
        <w:rPr>
          <w:rFonts w:ascii="Verdana" w:eastAsia="Verdana" w:hAnsi="Verdana" w:cs="Verdana"/>
          <w:sz w:val="16"/>
          <w:lang w:val="es-ES"/>
        </w:rPr>
        <w:t>Yirama</w:t>
      </w:r>
      <w:r w:rsidRPr="009E6473">
        <w:rPr>
          <w:rFonts w:ascii="Verdana" w:eastAsia="Verdana" w:hAnsi="Verdana" w:cs="Verdana"/>
          <w:spacing w:val="-11"/>
          <w:sz w:val="16"/>
          <w:lang w:val="es-ES"/>
        </w:rPr>
        <w:t xml:space="preserve"> </w:t>
      </w:r>
      <w:r w:rsidRPr="009E6473">
        <w:rPr>
          <w:rFonts w:ascii="Verdana" w:eastAsia="Verdana" w:hAnsi="Verdana" w:cs="Verdana"/>
          <w:sz w:val="16"/>
          <w:lang w:val="es-ES"/>
        </w:rPr>
        <w:t>Brugés</w:t>
      </w:r>
      <w:r w:rsidRPr="009E6473">
        <w:rPr>
          <w:rFonts w:ascii="Verdana" w:eastAsia="Verdana" w:hAnsi="Verdana" w:cs="Verdana"/>
          <w:spacing w:val="-12"/>
          <w:sz w:val="16"/>
          <w:lang w:val="es-ES"/>
        </w:rPr>
        <w:t xml:space="preserve"> </w:t>
      </w:r>
      <w:r w:rsidRPr="009E6473">
        <w:rPr>
          <w:rFonts w:ascii="Verdana" w:eastAsia="Verdana" w:hAnsi="Verdana" w:cs="Verdana"/>
          <w:spacing w:val="-2"/>
          <w:sz w:val="16"/>
          <w:lang w:val="es-ES"/>
        </w:rPr>
        <w:t>Alvarado</w:t>
      </w:r>
    </w:p>
    <w:p w14:paraId="455BDECA" w14:textId="23CDF87B" w:rsidR="009E6473" w:rsidRPr="009E6473" w:rsidRDefault="009E6473" w:rsidP="009E6473">
      <w:pPr>
        <w:widowControl w:val="0"/>
        <w:autoSpaceDE w:val="0"/>
        <w:autoSpaceDN w:val="0"/>
        <w:spacing w:before="1" w:after="0" w:line="240" w:lineRule="auto"/>
        <w:ind w:left="1118"/>
        <w:jc w:val="both"/>
        <w:rPr>
          <w:rFonts w:ascii="Verdana" w:eastAsia="Verdana" w:hAnsi="Verdana" w:cs="Verdana"/>
          <w:sz w:val="16"/>
          <w:lang w:val="es-ES"/>
        </w:rPr>
      </w:pPr>
      <w:r w:rsidRPr="009E6473">
        <w:rPr>
          <w:rFonts w:ascii="Verdana" w:eastAsia="Verdana" w:hAnsi="Verdana" w:cs="Verdana"/>
          <w:sz w:val="16"/>
          <w:lang w:val="es-ES"/>
        </w:rPr>
        <w:t>Analista</w:t>
      </w:r>
      <w:r w:rsidRPr="009E6473">
        <w:rPr>
          <w:rFonts w:ascii="Verdana" w:eastAsia="Verdana" w:hAnsi="Verdana" w:cs="Verdana"/>
          <w:spacing w:val="-11"/>
          <w:sz w:val="16"/>
          <w:lang w:val="es-ES"/>
        </w:rPr>
        <w:t xml:space="preserve"> </w:t>
      </w:r>
      <w:r w:rsidRPr="009E6473">
        <w:rPr>
          <w:rFonts w:ascii="Verdana" w:eastAsia="Verdana" w:hAnsi="Verdana" w:cs="Verdana"/>
          <w:sz w:val="16"/>
          <w:lang w:val="es-ES"/>
        </w:rPr>
        <w:t>T2-04</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de</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la</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Subdirección</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de</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Gestión</w:t>
      </w:r>
      <w:r w:rsidRPr="009E6473">
        <w:rPr>
          <w:rFonts w:ascii="Verdana" w:eastAsia="Verdana" w:hAnsi="Verdana" w:cs="Verdana"/>
          <w:spacing w:val="-10"/>
          <w:sz w:val="16"/>
          <w:lang w:val="es-ES"/>
        </w:rPr>
        <w:t xml:space="preserve"> </w:t>
      </w:r>
      <w:r w:rsidRPr="009E6473">
        <w:rPr>
          <w:rFonts w:ascii="Verdana" w:eastAsia="Verdana" w:hAnsi="Verdana" w:cs="Verdana"/>
          <w:spacing w:val="-2"/>
          <w:sz w:val="16"/>
          <w:lang w:val="es-ES"/>
        </w:rPr>
        <w:t>Contractual</w:t>
      </w:r>
    </w:p>
    <w:p w14:paraId="707ED45B" w14:textId="77777777" w:rsidR="009E6473" w:rsidRPr="009E6473" w:rsidRDefault="009E6473" w:rsidP="009E6473">
      <w:pPr>
        <w:widowControl w:val="0"/>
        <w:autoSpaceDE w:val="0"/>
        <w:autoSpaceDN w:val="0"/>
        <w:spacing w:after="0" w:line="20" w:lineRule="exact"/>
        <w:ind w:left="1110"/>
        <w:jc w:val="both"/>
        <w:rPr>
          <w:rFonts w:ascii="Verdana" w:eastAsia="Verdana" w:hAnsi="Verdana" w:cs="Verdana"/>
          <w:sz w:val="2"/>
          <w:lang w:val="es-ES"/>
        </w:rPr>
      </w:pPr>
      <w:r w:rsidRPr="009E6473">
        <w:rPr>
          <w:rFonts w:ascii="Verdana" w:eastAsia="Verdana" w:hAnsi="Verdana" w:cs="Verdana"/>
          <w:noProof/>
          <w:sz w:val="2"/>
          <w:lang w:val="es-ES"/>
        </w:rPr>
        <mc:AlternateContent>
          <mc:Choice Requires="wpg">
            <w:drawing>
              <wp:inline distT="0" distB="0" distL="0" distR="0" wp14:anchorId="554B386F" wp14:editId="41C0D18A">
                <wp:extent cx="3326765" cy="9525"/>
                <wp:effectExtent l="9525" t="0" r="0" b="0"/>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26765" cy="9525"/>
                          <a:chOff x="0" y="0"/>
                          <a:chExt cx="3326765" cy="9525"/>
                        </a:xfrm>
                      </wpg:grpSpPr>
                      <wps:wsp>
                        <wps:cNvPr id="37" name="Graphic 37"/>
                        <wps:cNvSpPr/>
                        <wps:spPr>
                          <a:xfrm>
                            <a:off x="0" y="4762"/>
                            <a:ext cx="3326765" cy="1270"/>
                          </a:xfrm>
                          <a:custGeom>
                            <a:avLst/>
                            <a:gdLst/>
                            <a:ahLst/>
                            <a:cxnLst/>
                            <a:rect l="l" t="t" r="r" b="b"/>
                            <a:pathLst>
                              <a:path w="3326765">
                                <a:moveTo>
                                  <a:pt x="0" y="0"/>
                                </a:moveTo>
                                <a:lnTo>
                                  <a:pt x="3326765" y="0"/>
                                </a:lnTo>
                              </a:path>
                              <a:path w="3326765">
                                <a:moveTo>
                                  <a:pt x="0" y="0"/>
                                </a:moveTo>
                                <a:lnTo>
                                  <a:pt x="3326765" y="0"/>
                                </a:lnTo>
                              </a:path>
                            </a:pathLst>
                          </a:custGeom>
                          <a:ln w="9525">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116E760B" id="Group 36" o:spid="_x0000_s1026" style="width:261.95pt;height:.75pt;mso-position-horizontal-relative:char;mso-position-vertical-relative:line" coordsize="3326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fUbgIAAP8FAAAOAAAAZHJzL2Uyb0RvYy54bWy8VNtqGzEQfS/0H4Tem7Wdxk4Xr0NJGlMI&#10;SSApfZa12gvVatSR7HX+viPtxc6FPqRQFpYzmtFcjo60vNg3mu0UuhpMxqcnE86UkZDXpsz4j8fr&#10;T+ecOS9MLjQYlfEn5fjF6uOHZWtTNYMKdK6QURLj0tZmvPLepkniZKUa4U7AKkPOArARnkwskxxF&#10;S9kbncwmk3nSAuYWQSrnaPWqc/JVzF8USvq7onDKM51x6s3HP8b/JvyT1VKkJQpb1bJvQ7yji0bU&#10;hoqOqa6EF2yL9atUTS0RHBT+REKTQFHUUsUZaJrp5MU0a4StjbOUaVvakSai9gVP704rb3drtA/2&#10;HrvuCd6A/OWIl6S1ZXrsD3Z5CN4X2IRNNATbR0afRkbV3jNJi6ens/lifsaZJN+Xs9lZR7is6FRe&#10;bZLVt79tS0TalYyNjY20lpTjDuS4fyPnoRJWRc5dGP4eWZ3THAvOjGhIwOteK7RCHIXiFBX46y3X&#10;U/kmO58X81nHwJsETWeLqMhxUpHKrfNrBZFosbtxvhNsPiBRDUjuzQCRZB8Er6PgPWckeOSMBL/p&#10;qlvhw75wegGy9nBSYa2BnXqE6PUvTolaO3i1OY4az3qQAcV2EQRCmf9erq8bJyV8zKU2YeioyNCW&#10;A13n17XW0cByc6mR7QRxeD4JX6CNMjwLs+j8lXBVF5eD74O0iXfHpZ0UgkQ2kD+RklrSTsbd761A&#10;xZn+bkir4VEaAA5gMwD0+hLi0xXJo4qP+58CLQvFM+5JRrcwSFakg0LC4GNs2Gng69ZDUQf50PUZ&#10;OuoNuj4RxVeG0LNn7NiOUYd3e/UHAAD//wMAUEsDBBQABgAIAAAAIQCjIoPT2wAAAAMBAAAPAAAA&#10;ZHJzL2Rvd25yZXYueG1sTI9BS8NAEIXvgv9hGcGb3aQlYmM2pRT1VARbQXqbJtMkNDsbstsk/feO&#10;XvTyYHiP977JVpNt1UC9bxwbiGcRKOLClQ1XBj73rw9PoHxALrF1TAau5GGV395kmJZu5A8adqFS&#10;UsI+RQN1CF2qtS9qsuhnriMW7+R6i0HOvtJlj6OU21bPo+hRW2xYFmrsaFNTcd5drIG3Ecf1In4Z&#10;tufT5nrYJ+9f25iMub+b1s+gAk3hLww/+IIOuTAd3YVLr1oD8kj4VfGS+WIJ6iihBHSe6f/s+TcA&#10;AAD//wMAUEsBAi0AFAAGAAgAAAAhALaDOJL+AAAA4QEAABMAAAAAAAAAAAAAAAAAAAAAAFtDb250&#10;ZW50X1R5cGVzXS54bWxQSwECLQAUAAYACAAAACEAOP0h/9YAAACUAQAACwAAAAAAAAAAAAAAAAAv&#10;AQAAX3JlbHMvLnJlbHNQSwECLQAUAAYACAAAACEArAqn1G4CAAD/BQAADgAAAAAAAAAAAAAAAAAu&#10;AgAAZHJzL2Uyb0RvYy54bWxQSwECLQAUAAYACAAAACEAoyKD09sAAAADAQAADwAAAAAAAAAAAAAA&#10;AADIBAAAZHJzL2Rvd25yZXYueG1sUEsFBgAAAAAEAAQA8wAAANAFAAAAAA==&#10;">
                <v:shape id="Graphic 37" o:spid="_x0000_s1027" style="position:absolute;top:47;width:33267;height:13;visibility:visible;mso-wrap-style:square;v-text-anchor:top" coordsize="3326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nGPwwAAANsAAAAPAAAAZHJzL2Rvd25yZXYueG1sRI9fa8Iw&#10;FMXfB36HcIW9aapjTqpRRBQEYWC3iY+X5q4pa25qEzXbp18Gwh4P58+PM19G24grdb52rGA0zEAQ&#10;l07XXCl4f9sOpiB8QNbYOCYF3+Rhueg9zDHX7sYHuhahEmmEfY4KTAhtLqUvDVn0Q9cSJ+/TdRZD&#10;kl0ldYe3NG4bOc6yibRYcyIYbGltqPwqLjZBNlU8fZzpeXIs94Z/9KUYxVelHvtxNQMRKIb/8L29&#10;0wqeXuDvS/oBcvELAAD//wMAUEsBAi0AFAAGAAgAAAAhANvh9svuAAAAhQEAABMAAAAAAAAAAAAA&#10;AAAAAAAAAFtDb250ZW50X1R5cGVzXS54bWxQSwECLQAUAAYACAAAACEAWvQsW78AAAAVAQAACwAA&#10;AAAAAAAAAAAAAAAfAQAAX3JlbHMvLnJlbHNQSwECLQAUAAYACAAAACEAhgpxj8MAAADbAAAADwAA&#10;AAAAAAAAAAAAAAAHAgAAZHJzL2Rvd25yZXYueG1sUEsFBgAAAAADAAMAtwAAAPcCAAAAAA==&#10;" path="m,l3326765,em,l3326765,e" filled="f" strokecolor="gray">
                  <v:stroke dashstyle="dot"/>
                  <v:path arrowok="t"/>
                </v:shape>
                <w10:anchorlock/>
              </v:group>
            </w:pict>
          </mc:Fallback>
        </mc:AlternateContent>
      </w:r>
    </w:p>
    <w:p w14:paraId="4CA59341" w14:textId="595E7387" w:rsidR="009E6473" w:rsidRPr="009E6473" w:rsidRDefault="009E6473" w:rsidP="009E6473">
      <w:pPr>
        <w:widowControl w:val="0"/>
        <w:autoSpaceDE w:val="0"/>
        <w:autoSpaceDN w:val="0"/>
        <w:spacing w:before="13" w:after="0" w:line="148" w:lineRule="auto"/>
        <w:jc w:val="both"/>
        <w:rPr>
          <w:rFonts w:ascii="Verdana" w:eastAsia="Verdana" w:hAnsi="Verdana" w:cs="Verdana"/>
          <w:sz w:val="16"/>
          <w:lang w:val="es-ES"/>
        </w:rPr>
      </w:pPr>
      <w:r w:rsidRPr="009E6473">
        <w:rPr>
          <w:rFonts w:ascii="Verdana" w:eastAsia="Verdana" w:hAnsi="Verdana" w:cs="Verdana"/>
          <w:position w:val="-9"/>
          <w:sz w:val="16"/>
          <w:lang w:val="es-ES"/>
        </w:rPr>
        <w:t>Revisó:</w:t>
      </w:r>
      <w:r w:rsidRPr="009E6473">
        <w:rPr>
          <w:rFonts w:ascii="Verdana" w:eastAsia="Verdana" w:hAnsi="Verdana" w:cs="Verdana"/>
          <w:spacing w:val="60"/>
          <w:position w:val="-9"/>
          <w:sz w:val="16"/>
          <w:lang w:val="es-ES"/>
        </w:rPr>
        <w:t xml:space="preserve">  </w:t>
      </w:r>
      <w:r>
        <w:rPr>
          <w:rFonts w:ascii="Verdana" w:eastAsia="Verdana" w:hAnsi="Verdana" w:cs="Verdana"/>
          <w:spacing w:val="60"/>
          <w:position w:val="-9"/>
          <w:sz w:val="16"/>
          <w:lang w:val="es-ES"/>
        </w:rPr>
        <w:t xml:space="preserve">  </w:t>
      </w:r>
      <w:r w:rsidRPr="009E6473">
        <w:rPr>
          <w:rFonts w:ascii="Verdana" w:eastAsia="Verdana" w:hAnsi="Verdana" w:cs="Verdana"/>
          <w:sz w:val="16"/>
          <w:lang w:val="es-ES"/>
        </w:rPr>
        <w:t>Alejandro</w:t>
      </w:r>
      <w:r w:rsidRPr="009E6473">
        <w:rPr>
          <w:rFonts w:ascii="Verdana" w:eastAsia="Verdana" w:hAnsi="Verdana" w:cs="Verdana"/>
          <w:spacing w:val="-3"/>
          <w:sz w:val="16"/>
          <w:lang w:val="es-ES"/>
        </w:rPr>
        <w:t xml:space="preserve"> </w:t>
      </w:r>
      <w:r w:rsidRPr="009E6473">
        <w:rPr>
          <w:rFonts w:ascii="Verdana" w:eastAsia="Verdana" w:hAnsi="Verdana" w:cs="Verdana"/>
          <w:sz w:val="16"/>
          <w:lang w:val="es-ES"/>
        </w:rPr>
        <w:t>R.</w:t>
      </w:r>
      <w:r w:rsidRPr="009E6473">
        <w:rPr>
          <w:rFonts w:ascii="Verdana" w:eastAsia="Verdana" w:hAnsi="Verdana" w:cs="Verdana"/>
          <w:spacing w:val="-6"/>
          <w:sz w:val="16"/>
          <w:lang w:val="es-ES"/>
        </w:rPr>
        <w:t xml:space="preserve"> </w:t>
      </w:r>
      <w:r w:rsidRPr="009E6473">
        <w:rPr>
          <w:rFonts w:ascii="Verdana" w:eastAsia="Verdana" w:hAnsi="Verdana" w:cs="Verdana"/>
          <w:sz w:val="16"/>
          <w:lang w:val="es-ES"/>
        </w:rPr>
        <w:t>Sarmiento</w:t>
      </w:r>
      <w:r w:rsidRPr="009E6473">
        <w:rPr>
          <w:rFonts w:ascii="Verdana" w:eastAsia="Verdana" w:hAnsi="Verdana" w:cs="Verdana"/>
          <w:spacing w:val="-6"/>
          <w:sz w:val="16"/>
          <w:lang w:val="es-ES"/>
        </w:rPr>
        <w:t xml:space="preserve"> </w:t>
      </w:r>
      <w:r w:rsidRPr="009E6473">
        <w:rPr>
          <w:rFonts w:ascii="Verdana" w:eastAsia="Verdana" w:hAnsi="Verdana" w:cs="Verdana"/>
          <w:spacing w:val="-2"/>
          <w:sz w:val="16"/>
          <w:lang w:val="es-ES"/>
        </w:rPr>
        <w:t>Cantillo</w:t>
      </w:r>
    </w:p>
    <w:p w14:paraId="070F098C" w14:textId="77777777" w:rsidR="009E6473" w:rsidRPr="009E6473" w:rsidRDefault="009E6473" w:rsidP="009E6473">
      <w:pPr>
        <w:widowControl w:val="0"/>
        <w:autoSpaceDE w:val="0"/>
        <w:autoSpaceDN w:val="0"/>
        <w:spacing w:after="0" w:line="144" w:lineRule="exact"/>
        <w:ind w:left="1118"/>
        <w:jc w:val="both"/>
        <w:rPr>
          <w:rFonts w:ascii="Verdana" w:eastAsia="Verdana" w:hAnsi="Verdana" w:cs="Verdana"/>
          <w:sz w:val="16"/>
          <w:lang w:val="es-ES"/>
        </w:rPr>
      </w:pPr>
      <w:r w:rsidRPr="009E6473">
        <w:rPr>
          <w:rFonts w:ascii="Verdana" w:eastAsia="Verdana" w:hAnsi="Verdana" w:cs="Verdana"/>
          <w:sz w:val="16"/>
          <w:lang w:val="es-ES"/>
        </w:rPr>
        <w:t>Gestor</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T1-15</w:t>
      </w:r>
      <w:r w:rsidRPr="009E6473">
        <w:rPr>
          <w:rFonts w:ascii="Verdana" w:eastAsia="Verdana" w:hAnsi="Verdana" w:cs="Verdana"/>
          <w:spacing w:val="-7"/>
          <w:sz w:val="16"/>
          <w:lang w:val="es-ES"/>
        </w:rPr>
        <w:t xml:space="preserve"> </w:t>
      </w:r>
      <w:r w:rsidRPr="009E6473">
        <w:rPr>
          <w:rFonts w:ascii="Verdana" w:eastAsia="Verdana" w:hAnsi="Verdana" w:cs="Verdana"/>
          <w:sz w:val="16"/>
          <w:lang w:val="es-ES"/>
        </w:rPr>
        <w:t>de</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la</w:t>
      </w:r>
      <w:r w:rsidRPr="009E6473">
        <w:rPr>
          <w:rFonts w:ascii="Verdana" w:eastAsia="Verdana" w:hAnsi="Verdana" w:cs="Verdana"/>
          <w:spacing w:val="-9"/>
          <w:sz w:val="16"/>
          <w:lang w:val="es-ES"/>
        </w:rPr>
        <w:t xml:space="preserve"> </w:t>
      </w:r>
      <w:r w:rsidRPr="009E6473">
        <w:rPr>
          <w:rFonts w:ascii="Verdana" w:eastAsia="Verdana" w:hAnsi="Verdana" w:cs="Verdana"/>
          <w:sz w:val="16"/>
          <w:lang w:val="es-ES"/>
        </w:rPr>
        <w:t>Subdirección</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de</w:t>
      </w:r>
      <w:r w:rsidRPr="009E6473">
        <w:rPr>
          <w:rFonts w:ascii="Verdana" w:eastAsia="Verdana" w:hAnsi="Verdana" w:cs="Verdana"/>
          <w:spacing w:val="-10"/>
          <w:sz w:val="16"/>
          <w:lang w:val="es-ES"/>
        </w:rPr>
        <w:t xml:space="preserve"> </w:t>
      </w:r>
      <w:r w:rsidRPr="009E6473">
        <w:rPr>
          <w:rFonts w:ascii="Verdana" w:eastAsia="Verdana" w:hAnsi="Verdana" w:cs="Verdana"/>
          <w:sz w:val="16"/>
          <w:lang w:val="es-ES"/>
        </w:rPr>
        <w:t>Gestión</w:t>
      </w:r>
      <w:r w:rsidRPr="009E6473">
        <w:rPr>
          <w:rFonts w:ascii="Verdana" w:eastAsia="Verdana" w:hAnsi="Verdana" w:cs="Verdana"/>
          <w:spacing w:val="-9"/>
          <w:sz w:val="16"/>
          <w:lang w:val="es-ES"/>
        </w:rPr>
        <w:t xml:space="preserve"> </w:t>
      </w:r>
      <w:r w:rsidRPr="009E6473">
        <w:rPr>
          <w:rFonts w:ascii="Verdana" w:eastAsia="Verdana" w:hAnsi="Verdana" w:cs="Verdana"/>
          <w:spacing w:val="-2"/>
          <w:sz w:val="16"/>
          <w:lang w:val="es-ES"/>
        </w:rPr>
        <w:t>Contractual</w:t>
      </w:r>
    </w:p>
    <w:p w14:paraId="66EDE6AC" w14:textId="77777777" w:rsidR="009E6473" w:rsidRPr="009E6473" w:rsidRDefault="009E6473" w:rsidP="009E6473">
      <w:pPr>
        <w:widowControl w:val="0"/>
        <w:autoSpaceDE w:val="0"/>
        <w:autoSpaceDN w:val="0"/>
        <w:spacing w:after="0" w:line="20" w:lineRule="exact"/>
        <w:ind w:left="1110"/>
        <w:jc w:val="both"/>
        <w:rPr>
          <w:rFonts w:ascii="Verdana" w:eastAsia="Verdana" w:hAnsi="Verdana" w:cs="Verdana"/>
          <w:sz w:val="2"/>
          <w:lang w:val="es-ES"/>
        </w:rPr>
      </w:pPr>
      <w:r w:rsidRPr="009E6473">
        <w:rPr>
          <w:rFonts w:ascii="Verdana" w:eastAsia="Verdana" w:hAnsi="Verdana" w:cs="Verdana"/>
          <w:noProof/>
          <w:sz w:val="2"/>
          <w:lang w:val="es-ES"/>
        </w:rPr>
        <mc:AlternateContent>
          <mc:Choice Requires="wpg">
            <w:drawing>
              <wp:inline distT="0" distB="0" distL="0" distR="0" wp14:anchorId="1D338575" wp14:editId="5C93A9AD">
                <wp:extent cx="3326765" cy="9525"/>
                <wp:effectExtent l="9525" t="0" r="0" b="0"/>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26765" cy="9525"/>
                          <a:chOff x="0" y="0"/>
                          <a:chExt cx="3326765" cy="9525"/>
                        </a:xfrm>
                      </wpg:grpSpPr>
                      <wps:wsp>
                        <wps:cNvPr id="39" name="Graphic 39"/>
                        <wps:cNvSpPr/>
                        <wps:spPr>
                          <a:xfrm>
                            <a:off x="0" y="4762"/>
                            <a:ext cx="3326765" cy="1270"/>
                          </a:xfrm>
                          <a:custGeom>
                            <a:avLst/>
                            <a:gdLst/>
                            <a:ahLst/>
                            <a:cxnLst/>
                            <a:rect l="l" t="t" r="r" b="b"/>
                            <a:pathLst>
                              <a:path w="3326765">
                                <a:moveTo>
                                  <a:pt x="0" y="0"/>
                                </a:moveTo>
                                <a:lnTo>
                                  <a:pt x="3326765" y="0"/>
                                </a:lnTo>
                              </a:path>
                              <a:path w="3326765">
                                <a:moveTo>
                                  <a:pt x="0" y="0"/>
                                </a:moveTo>
                                <a:lnTo>
                                  <a:pt x="3326765" y="0"/>
                                </a:lnTo>
                              </a:path>
                            </a:pathLst>
                          </a:custGeom>
                          <a:ln w="9525">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768B9DEA" id="Group 38" o:spid="_x0000_s1026" style="width:261.95pt;height:.75pt;mso-position-horizontal-relative:char;mso-position-vertical-relative:line" coordsize="3326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zllbwIAAP8FAAAOAAAAZHJzL2Uyb0RvYy54bWy8VNtqGzEQfS/0H4Tem3WcxkkWr0OJG1MI&#10;aSApfZa12gvVatSR7HX+viPtxY4T+pBCWVjOaEZzOTrS/HrXaLZV6GowGT89mXCmjIS8NmXGfzzd&#10;frrkzHlhcqHBqIw/K8evFx8/zFubqilUoHOFjJIYl7Y245X3Nk0SJyvVCHcCVhlyFoCN8GRimeQo&#10;Wsre6GQ6mcySFjC3CFI5R6vLzskXMX9RKOm/F4VTnumMU28+/jH+1+GfLOYiLVHYqpZ9G+IdXTSi&#10;NlR0TLUUXrAN1q9SNbVEcFD4EwlNAkVRSxVnoGlOJ0fTrBA2Ns5Spm1pR5qI2iOe3p1W3m9XaB/t&#10;A3bdE7wD+csRL0lry/TQH+xyH7wrsAmbaAi2i4w+j4yqnWeSFs/OprOL2TlnknxX59PzjnBZ0am8&#10;2iSrr3/bloi0KxkbGxtpLSnH7clx/0bOYyWsipy7MPwDsjqnOa44M6IhAa96rdAKcRSKU1Tgr7dc&#10;T+Wb7Hy+mE07Bt4k6HR6ERU5TipSuXF+pSASLbZ3zneCzQckqgHJnRkgkuyD4HUUvOeMBI+ckeDX&#10;XXUrfNgXTi9A1u5PKqw1sFVPEL3+6JSotb1Xm8Oo8awHGVBsF0EglPnv5fq6cVLCh1xqE4aOigxt&#10;OdB1fltrHQ0s1zca2VYQh5eT8AXaKMOLMIvOL4WrurgcfB+kTbw7Lu2kECSyhvyZlNSSdjLufm8E&#10;Ks70N0NaDY/SAHAA6wGg1zcQn65IHlV82v0UaFkonnFPMrqHQbIiHRQSBh9jw04DXzYeijrIh67P&#10;0FFv0PWJKL4yhF48Y4d2jNq/24s/AAAA//8DAFBLAwQUAAYACAAAACEAoyKD09sAAAADAQAADwAA&#10;AGRycy9kb3ducmV2LnhtbEyPQUvDQBCF74L/YRnBm92kJWJjNqUU9VQEW0F6mybTJDQ7G7LbJP33&#10;jl708mB4j/e+yVaTbdVAvW8cG4hnESjiwpUNVwY+968PT6B8QC6xdUwGruRhld/eZJiWbuQPGnah&#10;UlLCPkUDdQhdqrUvarLoZ64jFu/keotBzr7SZY+jlNtWz6PoUVtsWBZq7GhTU3HeXayBtxHH9SJ+&#10;Gbbn0+Z62CfvX9uYjLm/m9bPoAJN4S8MP/iCDrkwHd2FS69aA/JI+FXxkvliCeoooQR0nun/7Pk3&#10;AAAA//8DAFBLAQItABQABgAIAAAAIQC2gziS/gAAAOEBAAATAAAAAAAAAAAAAAAAAAAAAABbQ29u&#10;dGVudF9UeXBlc10ueG1sUEsBAi0AFAAGAAgAAAAhADj9If/WAAAAlAEAAAsAAAAAAAAAAAAAAAAA&#10;LwEAAF9yZWxzLy5yZWxzUEsBAi0AFAAGAAgAAAAhADjzOWVvAgAA/wUAAA4AAAAAAAAAAAAAAAAA&#10;LgIAAGRycy9lMm9Eb2MueG1sUEsBAi0AFAAGAAgAAAAhAKMig9PbAAAAAwEAAA8AAAAAAAAAAAAA&#10;AAAAyQQAAGRycy9kb3ducmV2LnhtbFBLBQYAAAAABAAEAPMAAADRBQAAAAA=&#10;">
                <v:shape id="Graphic 39" o:spid="_x0000_s1027" style="position:absolute;top:47;width:33267;height:13;visibility:visible;mso-wrap-style:square;v-text-anchor:top" coordsize="3326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UBmwwAAANsAAAAPAAAAZHJzL2Rvd25yZXYueG1sRI9fa8Iw&#10;FMXfB36HcIW9aapjMqtRRBQEYWC3iY+X5q4pa25qEzXbp18Gwh4P58+PM19G24grdb52rGA0zEAQ&#10;l07XXCl4f9sOXkD4gKyxcUwKvsnDctF7mGOu3Y0PdC1CJdII+xwVmBDaXEpfGrLoh64lTt6n6yyG&#10;JLtK6g5vadw2cpxlE2mx5kQw2NLaUPlVXGyCbKp4+jjT8+RY7g3/6Esxiq9KPfbjagYiUAz/4Xt7&#10;pxU8TeHvS/oBcvELAAD//wMAUEsBAi0AFAAGAAgAAAAhANvh9svuAAAAhQEAABMAAAAAAAAAAAAA&#10;AAAAAAAAAFtDb250ZW50X1R5cGVzXS54bWxQSwECLQAUAAYACAAAACEAWvQsW78AAAAVAQAACwAA&#10;AAAAAAAAAAAAAAAfAQAAX3JlbHMvLnJlbHNQSwECLQAUAAYACAAAACEAmNlAZsMAAADbAAAADwAA&#10;AAAAAAAAAAAAAAAHAgAAZHJzL2Rvd25yZXYueG1sUEsFBgAAAAADAAMAtwAAAPcCAAAAAA==&#10;" path="m,l3326765,em,l3326765,e" filled="f" strokecolor="gray">
                  <v:stroke dashstyle="dot"/>
                  <v:path arrowok="t"/>
                </v:shape>
                <w10:anchorlock/>
              </v:group>
            </w:pict>
          </mc:Fallback>
        </mc:AlternateContent>
      </w:r>
    </w:p>
    <w:p w14:paraId="63791A10" w14:textId="77777777" w:rsidR="009E6473" w:rsidRDefault="009E6473" w:rsidP="009E6473">
      <w:pPr>
        <w:widowControl w:val="0"/>
        <w:autoSpaceDE w:val="0"/>
        <w:autoSpaceDN w:val="0"/>
        <w:spacing w:before="18" w:after="0" w:line="148" w:lineRule="auto"/>
        <w:jc w:val="both"/>
        <w:rPr>
          <w:rFonts w:ascii="Verdana" w:eastAsia="Verdana" w:hAnsi="Verdana" w:cs="Verdana"/>
          <w:sz w:val="16"/>
          <w:lang w:val="es-ES"/>
        </w:rPr>
      </w:pPr>
      <w:r w:rsidRPr="009E6473">
        <w:rPr>
          <w:rFonts w:ascii="Verdana" w:eastAsia="Verdana" w:hAnsi="Verdana" w:cs="Verdana"/>
          <w:position w:val="-9"/>
          <w:sz w:val="16"/>
          <w:lang w:val="es-ES"/>
        </w:rPr>
        <w:t>Aprobó:</w:t>
      </w:r>
      <w:r>
        <w:rPr>
          <w:rFonts w:ascii="Verdana" w:eastAsia="Verdana" w:hAnsi="Verdana" w:cs="Verdana"/>
          <w:spacing w:val="37"/>
          <w:position w:val="-9"/>
          <w:sz w:val="16"/>
          <w:lang w:val="es-ES"/>
        </w:rPr>
        <w:t xml:space="preserve">     </w:t>
      </w:r>
      <w:r w:rsidRPr="009E6473">
        <w:rPr>
          <w:rFonts w:ascii="Verdana" w:eastAsia="Verdana" w:hAnsi="Verdana" w:cs="Verdana"/>
          <w:sz w:val="16"/>
          <w:lang w:val="es-ES"/>
        </w:rPr>
        <w:t>Carolina</w:t>
      </w:r>
      <w:r w:rsidRPr="009E6473">
        <w:rPr>
          <w:rFonts w:ascii="Verdana" w:eastAsia="Verdana" w:hAnsi="Verdana" w:cs="Verdana"/>
          <w:spacing w:val="-8"/>
          <w:sz w:val="16"/>
          <w:lang w:val="es-ES"/>
        </w:rPr>
        <w:t xml:space="preserve"> </w:t>
      </w:r>
      <w:r w:rsidRPr="009E6473">
        <w:rPr>
          <w:rFonts w:ascii="Verdana" w:eastAsia="Verdana" w:hAnsi="Verdana" w:cs="Verdana"/>
          <w:sz w:val="16"/>
          <w:lang w:val="es-ES"/>
        </w:rPr>
        <w:t>Quintero</w:t>
      </w:r>
      <w:r w:rsidRPr="009E6473">
        <w:rPr>
          <w:rFonts w:ascii="Verdana" w:eastAsia="Verdana" w:hAnsi="Verdana" w:cs="Verdana"/>
          <w:spacing w:val="-8"/>
          <w:sz w:val="16"/>
          <w:lang w:val="es-ES"/>
        </w:rPr>
        <w:t xml:space="preserve"> </w:t>
      </w:r>
      <w:r w:rsidRPr="009E6473">
        <w:rPr>
          <w:rFonts w:ascii="Verdana" w:eastAsia="Verdana" w:hAnsi="Verdana" w:cs="Verdana"/>
          <w:spacing w:val="-2"/>
          <w:sz w:val="16"/>
          <w:lang w:val="es-ES"/>
        </w:rPr>
        <w:t>Gacharná</w:t>
      </w:r>
    </w:p>
    <w:p w14:paraId="41FD31E0" w14:textId="3E0F13D8" w:rsidR="009E6473" w:rsidRPr="009E6473" w:rsidRDefault="009E6473" w:rsidP="009E6473">
      <w:pPr>
        <w:widowControl w:val="0"/>
        <w:autoSpaceDE w:val="0"/>
        <w:autoSpaceDN w:val="0"/>
        <w:spacing w:before="18" w:after="0" w:line="148" w:lineRule="auto"/>
        <w:jc w:val="both"/>
        <w:rPr>
          <w:rFonts w:ascii="Verdana" w:eastAsia="Verdana" w:hAnsi="Verdana" w:cs="Verdana"/>
          <w:sz w:val="16"/>
          <w:lang w:val="es-ES"/>
        </w:rPr>
      </w:pPr>
      <w:r>
        <w:rPr>
          <w:rFonts w:ascii="Verdana" w:eastAsia="Verdana" w:hAnsi="Verdana" w:cs="Verdana"/>
          <w:sz w:val="16"/>
          <w:u w:val="dotted" w:color="808080"/>
          <w:lang w:val="es-ES"/>
        </w:rPr>
        <w:t xml:space="preserve">                    </w:t>
      </w:r>
      <w:r w:rsidRPr="009E6473">
        <w:rPr>
          <w:rFonts w:ascii="Verdana" w:eastAsia="Verdana" w:hAnsi="Verdana" w:cs="Verdana"/>
          <w:sz w:val="16"/>
          <w:u w:val="dotted" w:color="808080"/>
          <w:lang w:val="es-ES"/>
        </w:rPr>
        <w:t>Subdirectora</w:t>
      </w:r>
      <w:r w:rsidRPr="009E6473">
        <w:rPr>
          <w:rFonts w:ascii="Verdana" w:eastAsia="Verdana" w:hAnsi="Verdana" w:cs="Verdana"/>
          <w:spacing w:val="-14"/>
          <w:sz w:val="16"/>
          <w:u w:val="dotted" w:color="808080"/>
          <w:lang w:val="es-ES"/>
        </w:rPr>
        <w:t xml:space="preserve"> </w:t>
      </w:r>
      <w:r w:rsidRPr="009E6473">
        <w:rPr>
          <w:rFonts w:ascii="Verdana" w:eastAsia="Verdana" w:hAnsi="Verdana" w:cs="Verdana"/>
          <w:sz w:val="16"/>
          <w:u w:val="dotted" w:color="808080"/>
          <w:lang w:val="es-ES"/>
        </w:rPr>
        <w:t>de</w:t>
      </w:r>
      <w:r w:rsidRPr="009E6473">
        <w:rPr>
          <w:rFonts w:ascii="Verdana" w:eastAsia="Verdana" w:hAnsi="Verdana" w:cs="Verdana"/>
          <w:spacing w:val="-13"/>
          <w:sz w:val="16"/>
          <w:u w:val="dotted" w:color="808080"/>
          <w:lang w:val="es-ES"/>
        </w:rPr>
        <w:t xml:space="preserve"> </w:t>
      </w:r>
      <w:r w:rsidRPr="009E6473">
        <w:rPr>
          <w:rFonts w:ascii="Verdana" w:eastAsia="Verdana" w:hAnsi="Verdana" w:cs="Verdana"/>
          <w:sz w:val="16"/>
          <w:u w:val="dotted" w:color="808080"/>
          <w:lang w:val="es-ES"/>
        </w:rPr>
        <w:t>Gestión</w:t>
      </w:r>
      <w:r w:rsidRPr="009E6473">
        <w:rPr>
          <w:rFonts w:ascii="Verdana" w:eastAsia="Verdana" w:hAnsi="Verdana" w:cs="Verdana"/>
          <w:spacing w:val="-13"/>
          <w:sz w:val="16"/>
          <w:u w:val="dotted" w:color="808080"/>
          <w:lang w:val="es-ES"/>
        </w:rPr>
        <w:t xml:space="preserve"> </w:t>
      </w:r>
      <w:r w:rsidRPr="009E6473">
        <w:rPr>
          <w:rFonts w:ascii="Verdana" w:eastAsia="Verdana" w:hAnsi="Verdana" w:cs="Verdana"/>
          <w:spacing w:val="-2"/>
          <w:sz w:val="16"/>
          <w:u w:val="dotted" w:color="808080"/>
          <w:lang w:val="es-ES"/>
        </w:rPr>
        <w:t>Contractual</w:t>
      </w:r>
      <w:r w:rsidRPr="009E6473">
        <w:rPr>
          <w:rFonts w:ascii="Verdana" w:eastAsia="Verdana" w:hAnsi="Verdana" w:cs="Verdana"/>
          <w:sz w:val="16"/>
          <w:u w:val="dotted" w:color="808080"/>
          <w:lang w:val="es-ES"/>
        </w:rPr>
        <w:tab/>
      </w:r>
    </w:p>
    <w:p w14:paraId="5F71D83C" w14:textId="1BBB808F" w:rsidR="003D3D93" w:rsidRPr="00F10405" w:rsidRDefault="003D3D93" w:rsidP="009E6473">
      <w:pPr>
        <w:spacing w:after="120" w:line="240" w:lineRule="auto"/>
        <w:jc w:val="both"/>
        <w:textAlignment w:val="baseline"/>
        <w:rPr>
          <w:rFonts w:ascii="Verdana" w:eastAsia="Times New Roman" w:hAnsi="Verdana" w:cs="Segoe UI"/>
          <w:lang w:val="es-ES_tradnl" w:eastAsia="es-CO"/>
        </w:rPr>
      </w:pPr>
    </w:p>
    <w:sectPr w:rsidR="003D3D93" w:rsidRPr="00F1040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7597F" w14:textId="77777777" w:rsidR="00DF41C9" w:rsidRDefault="00DF41C9" w:rsidP="004A1847">
      <w:pPr>
        <w:spacing w:after="0" w:line="240" w:lineRule="auto"/>
      </w:pPr>
      <w:r>
        <w:separator/>
      </w:r>
    </w:p>
  </w:endnote>
  <w:endnote w:type="continuationSeparator" w:id="0">
    <w:p w14:paraId="34BCE68D" w14:textId="77777777" w:rsidR="00DF41C9" w:rsidRDefault="00DF41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E698E" w14:textId="77777777" w:rsidR="00DF41C9" w:rsidRDefault="00DF41C9" w:rsidP="004A1847">
      <w:pPr>
        <w:spacing w:after="0" w:line="240" w:lineRule="auto"/>
      </w:pPr>
      <w:r>
        <w:separator/>
      </w:r>
    </w:p>
  </w:footnote>
  <w:footnote w:type="continuationSeparator" w:id="0">
    <w:p w14:paraId="4A6F6ED2" w14:textId="77777777" w:rsidR="00DF41C9" w:rsidRDefault="00DF41C9" w:rsidP="004A1847">
      <w:pPr>
        <w:spacing w:after="0" w:line="240" w:lineRule="auto"/>
      </w:pPr>
      <w:r>
        <w:continuationSeparator/>
      </w:r>
    </w:p>
  </w:footnote>
  <w:footnote w:id="1">
    <w:p w14:paraId="2CCDBA46" w14:textId="77777777" w:rsidR="002C79D2" w:rsidRDefault="002C79D2" w:rsidP="002C79D2">
      <w:pPr>
        <w:pStyle w:val="Textonotapie"/>
        <w:snapToGrid w:val="0"/>
        <w:ind w:firstLine="709"/>
        <w:contextualSpacing/>
        <w:jc w:val="both"/>
      </w:pPr>
      <w:r w:rsidRPr="000C3E29">
        <w:rPr>
          <w:rFonts w:ascii="Verdana" w:hAnsi="Verdana"/>
          <w:sz w:val="15"/>
          <w:szCs w:val="15"/>
          <w:vertAlign w:val="superscript"/>
        </w:rPr>
        <w:footnoteRef/>
      </w:r>
      <w:r w:rsidRPr="000C3E29">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
    <w:p w14:paraId="41FE5F62" w14:textId="77777777" w:rsidR="00C00407" w:rsidRDefault="00C00407" w:rsidP="00C00407">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Gaceta del Congreso de la República No. 71 del 2005.</w:t>
      </w:r>
    </w:p>
  </w:footnote>
  <w:footnote w:id="3">
    <w:p w14:paraId="48F27445" w14:textId="77777777" w:rsidR="00C00407" w:rsidRDefault="00C00407" w:rsidP="00C00407">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lang w:val="pt-BR"/>
        </w:rPr>
        <w:t xml:space="preserve"> Corte Constitucional, Sentencia C- 1153 de 2005, M.P. Marco Gerardo </w:t>
      </w:r>
      <w:proofErr w:type="spellStart"/>
      <w:r w:rsidRPr="000C3E29">
        <w:rPr>
          <w:rFonts w:ascii="Verdana" w:hAnsi="Verdana" w:cs="Arial"/>
          <w:sz w:val="15"/>
          <w:szCs w:val="15"/>
          <w:lang w:val="pt-BR"/>
        </w:rPr>
        <w:t>Monroy</w:t>
      </w:r>
      <w:proofErr w:type="spellEnd"/>
      <w:r w:rsidRPr="000C3E29">
        <w:rPr>
          <w:rFonts w:ascii="Verdana" w:hAnsi="Verdana" w:cs="Arial"/>
          <w:sz w:val="15"/>
          <w:szCs w:val="15"/>
          <w:lang w:val="pt-BR"/>
        </w:rPr>
        <w:t xml:space="preserve"> Cabra.</w:t>
      </w:r>
    </w:p>
  </w:footnote>
  <w:footnote w:id="4">
    <w:p w14:paraId="277007C3" w14:textId="77777777" w:rsidR="00ED31C9" w:rsidRDefault="00ED31C9" w:rsidP="00ED31C9">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lang w:val="pt-BR"/>
        </w:rPr>
        <w:t xml:space="preserve"> Corte Constitucional. Sentencias: C-233 de 4 de abril de 2002, expediente: D-3704; C-551 de 9 de </w:t>
      </w:r>
      <w:proofErr w:type="spellStart"/>
      <w:r w:rsidRPr="000C3E29">
        <w:rPr>
          <w:rFonts w:ascii="Verdana" w:hAnsi="Verdana" w:cs="Arial"/>
          <w:sz w:val="15"/>
          <w:szCs w:val="15"/>
          <w:lang w:val="pt-BR"/>
        </w:rPr>
        <w:t>julio</w:t>
      </w:r>
      <w:proofErr w:type="spellEnd"/>
      <w:r w:rsidRPr="000C3E29">
        <w:rPr>
          <w:rFonts w:ascii="Verdana" w:hAnsi="Verdana" w:cs="Arial"/>
          <w:sz w:val="15"/>
          <w:szCs w:val="15"/>
          <w:lang w:val="pt-BR"/>
        </w:rPr>
        <w:t xml:space="preserve"> de 2003, expediente: CRF-001 de 9 de </w:t>
      </w:r>
      <w:proofErr w:type="spellStart"/>
      <w:r w:rsidRPr="000C3E29">
        <w:rPr>
          <w:rFonts w:ascii="Verdana" w:hAnsi="Verdana" w:cs="Arial"/>
          <w:sz w:val="15"/>
          <w:szCs w:val="15"/>
          <w:lang w:val="pt-BR"/>
        </w:rPr>
        <w:t>julio</w:t>
      </w:r>
      <w:proofErr w:type="spellEnd"/>
      <w:r w:rsidRPr="000C3E29">
        <w:rPr>
          <w:rFonts w:ascii="Verdana" w:hAnsi="Verdana" w:cs="Arial"/>
          <w:sz w:val="15"/>
          <w:szCs w:val="15"/>
          <w:lang w:val="pt-BR"/>
        </w:rPr>
        <w:t xml:space="preserve"> de 2003; C-652 de 5 de agosto de 2003, expediente: D-4330; C-353 de 20 de </w:t>
      </w:r>
      <w:proofErr w:type="spellStart"/>
      <w:r w:rsidRPr="000C3E29">
        <w:rPr>
          <w:rFonts w:ascii="Verdana" w:hAnsi="Verdana" w:cs="Arial"/>
          <w:sz w:val="15"/>
          <w:szCs w:val="15"/>
          <w:lang w:val="pt-BR"/>
        </w:rPr>
        <w:t>mayo</w:t>
      </w:r>
      <w:proofErr w:type="spellEnd"/>
      <w:r w:rsidRPr="000C3E29">
        <w:rPr>
          <w:rFonts w:ascii="Verdana" w:hAnsi="Verdana" w:cs="Arial"/>
          <w:sz w:val="15"/>
          <w:szCs w:val="15"/>
          <w:lang w:val="pt-BR"/>
        </w:rPr>
        <w:t xml:space="preserve"> de 2009, expediente: D-7518, C-541 de 30 de </w:t>
      </w:r>
      <w:proofErr w:type="spellStart"/>
      <w:r w:rsidRPr="000C3E29">
        <w:rPr>
          <w:rFonts w:ascii="Verdana" w:hAnsi="Verdana" w:cs="Arial"/>
          <w:sz w:val="15"/>
          <w:szCs w:val="15"/>
          <w:lang w:val="pt-BR"/>
        </w:rPr>
        <w:t>junio</w:t>
      </w:r>
      <w:proofErr w:type="spellEnd"/>
      <w:r w:rsidRPr="000C3E29">
        <w:rPr>
          <w:rFonts w:ascii="Verdana" w:hAnsi="Verdana" w:cs="Arial"/>
          <w:sz w:val="15"/>
          <w:szCs w:val="15"/>
          <w:lang w:val="pt-BR"/>
        </w:rPr>
        <w:t xml:space="preserve"> de 2010, expediente: DD7966; entre </w:t>
      </w:r>
      <w:proofErr w:type="spellStart"/>
      <w:r w:rsidRPr="000C3E29">
        <w:rPr>
          <w:rFonts w:ascii="Verdana" w:hAnsi="Verdana" w:cs="Arial"/>
          <w:sz w:val="15"/>
          <w:szCs w:val="15"/>
          <w:lang w:val="pt-BR"/>
        </w:rPr>
        <w:t>otras</w:t>
      </w:r>
      <w:proofErr w:type="spellEnd"/>
      <w:r w:rsidRPr="000C3E29">
        <w:rPr>
          <w:rFonts w:ascii="Verdana" w:hAnsi="Verdana" w:cs="Arial"/>
          <w:sz w:val="15"/>
          <w:szCs w:val="15"/>
          <w:lang w:val="pt-BR"/>
        </w:rPr>
        <w:t>.</w:t>
      </w:r>
    </w:p>
  </w:footnote>
  <w:footnote w:id="5">
    <w:p w14:paraId="0FE69E0F" w14:textId="77777777" w:rsidR="00ED31C9" w:rsidRDefault="00ED31C9" w:rsidP="00ED31C9">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D4A643E" w14:textId="77777777" w:rsidR="00ED31C9" w:rsidRPr="009E6473" w:rsidRDefault="00ED31C9" w:rsidP="00ED31C9">
      <w:pPr>
        <w:pStyle w:val="Textonotapie"/>
        <w:snapToGrid w:val="0"/>
        <w:ind w:firstLine="709"/>
        <w:contextualSpacing/>
        <w:jc w:val="both"/>
        <w:rPr>
          <w:sz w:val="16"/>
          <w:szCs w:val="16"/>
        </w:rPr>
      </w:pPr>
      <w:r w:rsidRPr="009E6473">
        <w:rPr>
          <w:rFonts w:ascii="Verdana" w:hAnsi="Verdana" w:cs="Arial"/>
          <w:sz w:val="16"/>
          <w:szCs w:val="16"/>
          <w:vertAlign w:val="superscript"/>
        </w:rPr>
        <w:footnoteRef/>
      </w:r>
      <w:r w:rsidRPr="009E6473">
        <w:rPr>
          <w:rFonts w:ascii="Verdana" w:hAnsi="Verdana" w:cs="Arial"/>
          <w:sz w:val="16"/>
          <w:szCs w:val="16"/>
        </w:rPr>
        <w:t xml:space="preserve"> Consejo de Estado, Sala de Consulta y Servicio Civil de fecha 24 de julio de 2013, Rad. 2166, C. P. Álvaro Namén Vargas.  </w:t>
      </w:r>
    </w:p>
  </w:footnote>
  <w:footnote w:id="7">
    <w:p w14:paraId="75A5C29D" w14:textId="77777777" w:rsidR="00ED31C9" w:rsidRPr="009E6473" w:rsidRDefault="00ED31C9" w:rsidP="00ED31C9">
      <w:pPr>
        <w:snapToGrid w:val="0"/>
        <w:spacing w:after="0" w:line="240" w:lineRule="auto"/>
        <w:ind w:firstLine="709"/>
        <w:contextualSpacing/>
        <w:jc w:val="both"/>
        <w:rPr>
          <w:rFonts w:ascii="Verdana" w:hAnsi="Verdana" w:cs="Arial"/>
          <w:sz w:val="16"/>
          <w:szCs w:val="16"/>
        </w:rPr>
      </w:pPr>
      <w:r w:rsidRPr="009E6473">
        <w:rPr>
          <w:rStyle w:val="Refdenotaalpie"/>
          <w:rFonts w:ascii="Verdana" w:hAnsi="Verdana" w:cs="Arial"/>
          <w:sz w:val="16"/>
          <w:szCs w:val="16"/>
        </w:rPr>
        <w:footnoteRef/>
      </w:r>
      <w:r w:rsidRPr="009E6473">
        <w:rPr>
          <w:rFonts w:ascii="Verdana" w:hAnsi="Verdana" w:cs="Arial"/>
          <w:sz w:val="16"/>
          <w:szCs w:val="16"/>
        </w:rPr>
        <w:t xml:space="preserve"> </w:t>
      </w:r>
      <w:r w:rsidRPr="009E6473">
        <w:rPr>
          <w:rFonts w:ascii="Verdana" w:hAnsi="Verdana" w:cs="Arial"/>
          <w:color w:val="000000"/>
          <w:sz w:val="16"/>
          <w:szCs w:val="16"/>
        </w:rPr>
        <w:t>“</w:t>
      </w:r>
      <w:r w:rsidRPr="009E6473">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327EA75" w14:textId="77777777" w:rsidR="00ED31C9" w:rsidRDefault="00ED31C9" w:rsidP="00ED31C9">
      <w:pPr>
        <w:snapToGrid w:val="0"/>
        <w:spacing w:after="0" w:line="240" w:lineRule="auto"/>
        <w:ind w:firstLine="709"/>
        <w:contextualSpacing/>
        <w:jc w:val="both"/>
      </w:pPr>
      <w:r w:rsidRPr="009E6473">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6473">
        <w:rPr>
          <w:rFonts w:ascii="Verdana" w:hAnsi="Verdana" w:cs="Arial"/>
          <w:color w:val="000000"/>
          <w:sz w:val="16"/>
          <w:szCs w:val="16"/>
        </w:rPr>
        <w:t>”</w:t>
      </w:r>
      <w:r w:rsidRPr="009E6473">
        <w:rPr>
          <w:rFonts w:ascii="Verdana" w:hAnsi="Verdana" w:cs="Arial"/>
          <w:sz w:val="16"/>
          <w:szCs w:val="16"/>
        </w:rPr>
        <w:t>.</w:t>
      </w:r>
    </w:p>
  </w:footnote>
  <w:footnote w:id="8">
    <w:p w14:paraId="5D5A7A38" w14:textId="77777777" w:rsidR="00ED31C9" w:rsidRPr="000C3E29" w:rsidRDefault="00ED31C9" w:rsidP="00ED31C9">
      <w:pPr>
        <w:pStyle w:val="NormalWeb"/>
        <w:snapToGrid w:val="0"/>
        <w:spacing w:before="0" w:beforeAutospacing="0" w:after="0" w:afterAutospacing="0"/>
        <w:ind w:firstLine="709"/>
        <w:contextualSpacing/>
        <w:jc w:val="both"/>
        <w:rPr>
          <w:rFonts w:ascii="Verdana" w:hAnsi="Verdana" w:cs="Arial"/>
          <w:sz w:val="15"/>
          <w:szCs w:val="15"/>
          <w:lang w:val="es-MX"/>
        </w:rPr>
      </w:pPr>
      <w:r w:rsidRPr="000C3E29">
        <w:rPr>
          <w:rStyle w:val="Refdenotaalpie"/>
          <w:rFonts w:ascii="Verdana" w:hAnsi="Verdana" w:cs="Arial"/>
          <w:sz w:val="15"/>
          <w:szCs w:val="15"/>
        </w:rPr>
        <w:footnoteRef/>
      </w:r>
      <w:r w:rsidRPr="000C3E29">
        <w:rPr>
          <w:rFonts w:ascii="Verdana" w:hAnsi="Verdana" w:cs="Arial"/>
          <w:sz w:val="15"/>
          <w:szCs w:val="15"/>
        </w:rPr>
        <w:t xml:space="preserve"> </w:t>
      </w:r>
      <w:r w:rsidRPr="000C3E29">
        <w:rPr>
          <w:rFonts w:ascii="Verdana" w:hAnsi="Verdana" w:cs="Arial"/>
          <w:color w:val="000000"/>
          <w:sz w:val="15"/>
          <w:szCs w:val="15"/>
        </w:rPr>
        <w:t>“</w:t>
      </w:r>
      <w:r w:rsidRPr="000C3E29">
        <w:rPr>
          <w:rFonts w:ascii="Verdana" w:hAnsi="Verdana" w:cs="Arial"/>
          <w:sz w:val="15"/>
          <w:szCs w:val="15"/>
          <w:lang w:val="es-MX"/>
        </w:rPr>
        <w:t>Artículo 38. Prohibiciones para los servidores públicos. A los empleados del Estado les está prohibido: […]</w:t>
      </w:r>
    </w:p>
    <w:p w14:paraId="730FAFF3" w14:textId="77777777" w:rsidR="00ED31C9" w:rsidRDefault="00ED31C9" w:rsidP="00ED31C9">
      <w:pPr>
        <w:pStyle w:val="NormalWeb"/>
        <w:snapToGrid w:val="0"/>
        <w:spacing w:before="0" w:beforeAutospacing="0" w:after="0" w:afterAutospacing="0"/>
        <w:ind w:firstLine="709"/>
        <w:contextualSpacing/>
        <w:jc w:val="both"/>
      </w:pPr>
      <w:r w:rsidRPr="000C3E29">
        <w:rPr>
          <w:rFonts w:ascii="Verdana" w:hAnsi="Verdana" w:cs="Arial"/>
          <w:sz w:val="15"/>
          <w:szCs w:val="15"/>
          <w:lang w:val="es-MX"/>
        </w:rPr>
        <w:t>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3E29">
        <w:rPr>
          <w:rFonts w:ascii="Verdana" w:hAnsi="Verdana" w:cs="Arial"/>
          <w:color w:val="000000"/>
          <w:sz w:val="15"/>
          <w:szCs w:val="15"/>
        </w:rPr>
        <w:t>”</w:t>
      </w:r>
      <w:r w:rsidRPr="000C3E29">
        <w:rPr>
          <w:rFonts w:ascii="Verdana" w:hAnsi="Verdana" w:cs="Arial"/>
          <w:sz w:val="15"/>
          <w:szCs w:val="15"/>
          <w:lang w:val="es-MX"/>
        </w:rPr>
        <w:t>.</w:t>
      </w:r>
    </w:p>
  </w:footnote>
  <w:footnote w:id="9">
    <w:p w14:paraId="4DB15CD8" w14:textId="77777777" w:rsidR="00A136B1" w:rsidRDefault="00A136B1" w:rsidP="00A136B1">
      <w:pPr>
        <w:snapToGrid w:val="0"/>
        <w:spacing w:after="0" w:line="240" w:lineRule="auto"/>
        <w:ind w:left="100" w:right="244" w:firstLine="709"/>
        <w:contextualSpacing/>
        <w:jc w:val="both"/>
      </w:pPr>
      <w:r w:rsidRPr="000C3E29">
        <w:rPr>
          <w:rStyle w:val="Refdenotaalpie"/>
          <w:rFonts w:ascii="Verdana" w:hAnsi="Verdana" w:cs="Arial"/>
          <w:sz w:val="15"/>
          <w:szCs w:val="15"/>
        </w:rPr>
        <w:footnoteRef/>
      </w:r>
      <w:r w:rsidRPr="000C3E29">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0">
    <w:p w14:paraId="610CC5F0" w14:textId="77777777" w:rsidR="009A1950" w:rsidRDefault="009A1950" w:rsidP="009A1950">
      <w:pPr>
        <w:pStyle w:val="Textonotapie"/>
        <w:snapToGrid w:val="0"/>
        <w:ind w:right="51"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w:t>
      </w:r>
      <w:r w:rsidRPr="000C3E29">
        <w:rPr>
          <w:rFonts w:ascii="Verdana" w:hAnsi="Verdana" w:cs="Arial"/>
          <w:sz w:val="15"/>
          <w:szCs w:val="15"/>
          <w:lang w:val="es-ES"/>
        </w:rPr>
        <w:t xml:space="preserve">[26] </w:t>
      </w:r>
      <w:r w:rsidRPr="000C3E29">
        <w:rPr>
          <w:rFonts w:ascii="Verdana" w:hAnsi="Verdana" w:cs="Arial"/>
          <w:sz w:val="15"/>
          <w:szCs w:val="15"/>
        </w:rPr>
        <w:t>Al respecto ver el concepto 1712 de 2 de febrero de 2006. Consejo de Estado Sala de Consulta y Servicio Civil”.</w:t>
      </w:r>
    </w:p>
  </w:footnote>
  <w:footnote w:id="11">
    <w:p w14:paraId="421264F3" w14:textId="77777777" w:rsidR="009A1950" w:rsidRDefault="009A1950" w:rsidP="009A1950">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2">
    <w:p w14:paraId="5B586507" w14:textId="77777777" w:rsidR="009A1950" w:rsidRDefault="009A1950" w:rsidP="009A1950">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w:t>
      </w:r>
      <w:r w:rsidRPr="000C3E29">
        <w:rPr>
          <w:rFonts w:ascii="Verdana" w:hAnsi="Verdana" w:cs="Arial"/>
          <w:sz w:val="15"/>
          <w:szCs w:val="15"/>
          <w:lang w:val="es-ES"/>
        </w:rPr>
        <w:t xml:space="preserve">Artículo 2. </w:t>
      </w:r>
    </w:p>
  </w:footnote>
  <w:footnote w:id="13">
    <w:p w14:paraId="6928A58B" w14:textId="77777777" w:rsidR="009A1950" w:rsidRDefault="009A1950" w:rsidP="009A1950">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w:t>
      </w:r>
      <w:r w:rsidRPr="000C3E29">
        <w:rPr>
          <w:rFonts w:ascii="Verdana" w:hAnsi="Verdana" w:cs="Arial"/>
          <w:i/>
          <w:sz w:val="15"/>
          <w:szCs w:val="15"/>
          <w:lang w:val="es-ES"/>
        </w:rPr>
        <w:t>Ídem</w:t>
      </w:r>
      <w:r w:rsidRPr="000C3E29">
        <w:rPr>
          <w:rFonts w:ascii="Verdana" w:hAnsi="Verdana" w:cs="Arial"/>
          <w:sz w:val="15"/>
          <w:szCs w:val="15"/>
          <w:lang w:val="es-ES"/>
        </w:rPr>
        <w:t>.</w:t>
      </w:r>
    </w:p>
  </w:footnote>
  <w:footnote w:id="14">
    <w:p w14:paraId="5763A3D4" w14:textId="77777777" w:rsidR="009A1950" w:rsidRDefault="009A1950" w:rsidP="009A1950">
      <w:pPr>
        <w:pStyle w:val="Textonotapie"/>
        <w:snapToGrid w:val="0"/>
        <w:ind w:firstLine="709"/>
        <w:contextualSpacing/>
        <w:jc w:val="both"/>
      </w:pPr>
      <w:r w:rsidRPr="000C3E29">
        <w:rPr>
          <w:rFonts w:ascii="Verdana" w:hAnsi="Verdana" w:cs="Arial"/>
          <w:sz w:val="15"/>
          <w:szCs w:val="15"/>
          <w:vertAlign w:val="superscript"/>
        </w:rPr>
        <w:footnoteRef/>
      </w:r>
      <w:r w:rsidRPr="000C3E29">
        <w:rPr>
          <w:rFonts w:ascii="Verdana" w:hAnsi="Verdana" w:cs="Arial"/>
          <w:sz w:val="15"/>
          <w:szCs w:val="15"/>
        </w:rPr>
        <w:t xml:space="preserve"> Consejo de Estado. Sala de Consulta y Servicio Civil. Concepto del 08 de mayo de 2018. Exp. 2.382. C.P. Álvaro Namén Vargas.</w:t>
      </w:r>
    </w:p>
  </w:footnote>
  <w:footnote w:id="15">
    <w:p w14:paraId="4C72A872" w14:textId="77777777" w:rsidR="00FC18E1" w:rsidRDefault="00FC18E1" w:rsidP="00FC18E1">
      <w:pPr>
        <w:pStyle w:val="Textonotapie"/>
        <w:snapToGrid w:val="0"/>
        <w:ind w:firstLine="708"/>
        <w:contextualSpacing/>
        <w:jc w:val="both"/>
      </w:pPr>
      <w:r w:rsidRPr="000C3E29">
        <w:rPr>
          <w:rFonts w:ascii="Verdana" w:hAnsi="Verdana"/>
          <w:sz w:val="15"/>
          <w:szCs w:val="15"/>
          <w:vertAlign w:val="superscript"/>
        </w:rPr>
        <w:footnoteRef/>
      </w:r>
      <w:r w:rsidRPr="000C3E29">
        <w:rPr>
          <w:rFonts w:ascii="Verdana" w:hAnsi="Verdana"/>
          <w:sz w:val="15"/>
          <w:szCs w:val="15"/>
        </w:rPr>
        <w:t xml:space="preserve"> </w:t>
      </w:r>
      <w:r w:rsidRPr="000C3E29">
        <w:rPr>
          <w:rFonts w:ascii="Verdana" w:hAnsi="Verdana" w:cs="Arial"/>
          <w:sz w:val="15"/>
          <w:szCs w:val="15"/>
          <w:lang w:val="es-ES"/>
        </w:rPr>
        <w:t xml:space="preserve">Consejo de Estado, Sala de Consulta y Servicio Civil, Concepto de fecha 8 de mayo de 2018, No. </w:t>
      </w:r>
      <w:r w:rsidRPr="000C3E29">
        <w:rPr>
          <w:rFonts w:ascii="Verdana" w:hAnsi="Verdana"/>
          <w:sz w:val="15"/>
          <w:szCs w:val="15"/>
          <w:lang w:val="es-CO"/>
        </w:rPr>
        <w:t>2382.</w:t>
      </w:r>
      <w:r w:rsidRPr="000C3E29">
        <w:rPr>
          <w:rFonts w:ascii="Verdana" w:hAnsi="Verdana"/>
          <w:sz w:val="15"/>
          <w:szCs w:val="15"/>
        </w:rPr>
        <w:t xml:space="preserve"> </w:t>
      </w:r>
      <w:r w:rsidRPr="000C3E29">
        <w:rPr>
          <w:rFonts w:ascii="Verdana" w:hAnsi="Verdana"/>
          <w:sz w:val="15"/>
          <w:szCs w:val="15"/>
          <w:lang w:val="es-CO"/>
        </w:rPr>
        <w:t>C. P. Álvaro Namén Vargas.</w:t>
      </w:r>
    </w:p>
  </w:footnote>
  <w:footnote w:id="16">
    <w:p w14:paraId="6DC8634B" w14:textId="77777777" w:rsidR="00FC18E1" w:rsidRDefault="00FC18E1" w:rsidP="00FC18E1">
      <w:pPr>
        <w:snapToGrid w:val="0"/>
        <w:spacing w:after="0" w:line="240" w:lineRule="auto"/>
        <w:ind w:firstLine="709"/>
        <w:contextualSpacing/>
        <w:jc w:val="both"/>
      </w:pPr>
      <w:r w:rsidRPr="000C3E29">
        <w:rPr>
          <w:rStyle w:val="Refdenotaalpie"/>
          <w:rFonts w:ascii="Verdana" w:hAnsi="Verdana" w:cs="Arial"/>
          <w:color w:val="000000" w:themeColor="text1"/>
          <w:sz w:val="15"/>
          <w:szCs w:val="15"/>
        </w:rPr>
        <w:footnoteRef/>
      </w:r>
      <w:r w:rsidRPr="000C3E29">
        <w:rPr>
          <w:rFonts w:ascii="Verdana" w:hAnsi="Verdana" w:cs="Arial"/>
          <w:color w:val="000000" w:themeColor="text1"/>
          <w:sz w:val="15"/>
          <w:szCs w:val="15"/>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5FCCC232" w14:textId="77777777" w:rsidR="008700EC" w:rsidRDefault="008700EC" w:rsidP="008700EC">
      <w:pPr>
        <w:pStyle w:val="Textonotapie"/>
        <w:snapToGrid w:val="0"/>
        <w:ind w:firstLine="708"/>
        <w:contextualSpacing/>
        <w:jc w:val="both"/>
      </w:pPr>
      <w:r w:rsidRPr="000C3E29">
        <w:rPr>
          <w:rFonts w:ascii="Verdana" w:hAnsi="Verdana" w:cs="Arial"/>
          <w:color w:val="000000" w:themeColor="text1"/>
          <w:sz w:val="15"/>
          <w:szCs w:val="15"/>
          <w:vertAlign w:val="superscript"/>
        </w:rPr>
        <w:footnoteRef/>
      </w:r>
      <w:r w:rsidRPr="000C3E29">
        <w:rPr>
          <w:rFonts w:ascii="Verdana" w:hAnsi="Verdana" w:cs="Arial"/>
          <w:color w:val="000000" w:themeColor="text1"/>
          <w:sz w:val="15"/>
          <w:szCs w:val="15"/>
        </w:rPr>
        <w:t xml:space="preserve"> CORTE CONSTITUCIONAL. Sentencia C-1153 de 2005 M.P. Marco Gerardo Monroy Cabra. </w:t>
      </w:r>
    </w:p>
  </w:footnote>
  <w:footnote w:id="18">
    <w:p w14:paraId="4D42E88F" w14:textId="77777777" w:rsidR="008700EC" w:rsidRDefault="008700EC" w:rsidP="008700EC">
      <w:pPr>
        <w:pStyle w:val="Textonotapie"/>
        <w:snapToGrid w:val="0"/>
        <w:ind w:firstLine="708"/>
        <w:contextualSpacing/>
        <w:jc w:val="both"/>
      </w:pPr>
      <w:r w:rsidRPr="000C3E29">
        <w:rPr>
          <w:rFonts w:ascii="Verdana" w:hAnsi="Verdana" w:cs="Arial"/>
          <w:color w:val="000000" w:themeColor="text1"/>
          <w:sz w:val="15"/>
          <w:szCs w:val="15"/>
          <w:vertAlign w:val="superscript"/>
        </w:rPr>
        <w:footnoteRef/>
      </w:r>
      <w:r w:rsidRPr="000C3E29">
        <w:rPr>
          <w:rFonts w:ascii="Verdana" w:hAnsi="Verdana" w:cs="Arial"/>
          <w:color w:val="000000" w:themeColor="text1"/>
          <w:sz w:val="15"/>
          <w:szCs w:val="15"/>
        </w:rPr>
        <w:t xml:space="preserve"> Consejo de Estado. Sala de Consulta y Servicio Civil. Concepto del 02 de septiembre de 2013. Rad. 11001-03-06-000-2013-00412-00 (2168). C.P. Álvaro Namén Vargas.</w:t>
      </w:r>
    </w:p>
  </w:footnote>
  <w:footnote w:id="19">
    <w:p w14:paraId="1AE08693" w14:textId="77777777" w:rsidR="008700EC" w:rsidRDefault="008700EC" w:rsidP="008700EC">
      <w:pPr>
        <w:pStyle w:val="Textonotapie"/>
        <w:snapToGrid w:val="0"/>
        <w:ind w:firstLine="709"/>
        <w:contextualSpacing/>
        <w:jc w:val="both"/>
      </w:pPr>
      <w:r w:rsidRPr="000C3E29">
        <w:rPr>
          <w:rFonts w:ascii="Verdana" w:hAnsi="Verdana" w:cs="Arial"/>
          <w:color w:val="000000" w:themeColor="text1"/>
          <w:sz w:val="15"/>
          <w:szCs w:val="15"/>
          <w:vertAlign w:val="superscript"/>
        </w:rPr>
        <w:footnoteRef/>
      </w:r>
      <w:r w:rsidRPr="000C3E29">
        <w:rPr>
          <w:rFonts w:ascii="Verdana" w:hAnsi="Verdana" w:cs="Arial"/>
          <w:color w:val="000000" w:themeColor="text1"/>
          <w:sz w:val="15"/>
          <w:szCs w:val="15"/>
        </w:rPr>
        <w:t xml:space="preserve"> Consejo de Estado. Sala de Consulta y Servicio Civil. Concepto de 20 de febrero de2006. Radicación 11001-03-06-000-2006-00023-00(1724). Consejero Ponente: Flavio Augusto Rodríguez Arce.</w:t>
      </w:r>
    </w:p>
  </w:footnote>
  <w:footnote w:id="20">
    <w:p w14:paraId="329779F6" w14:textId="77777777" w:rsidR="008700EC" w:rsidRPr="000C3E29" w:rsidRDefault="008700EC" w:rsidP="008700EC">
      <w:pPr>
        <w:snapToGrid w:val="0"/>
        <w:spacing w:after="0" w:line="240" w:lineRule="auto"/>
        <w:ind w:firstLine="709"/>
        <w:contextualSpacing/>
        <w:jc w:val="both"/>
        <w:rPr>
          <w:rFonts w:ascii="Verdana" w:hAnsi="Verdana" w:cs="Arial"/>
          <w:color w:val="000000" w:themeColor="text1"/>
          <w:sz w:val="15"/>
          <w:szCs w:val="15"/>
        </w:rPr>
      </w:pPr>
      <w:r w:rsidRPr="000C3E29">
        <w:rPr>
          <w:rFonts w:ascii="Verdana" w:hAnsi="Verdana" w:cs="Arial"/>
          <w:color w:val="000000" w:themeColor="text1"/>
          <w:sz w:val="15"/>
          <w:szCs w:val="15"/>
          <w:vertAlign w:val="superscript"/>
        </w:rPr>
        <w:footnoteRef/>
      </w:r>
      <w:r w:rsidRPr="000C3E29">
        <w:rPr>
          <w:rFonts w:ascii="Verdana" w:hAnsi="Verdana" w:cs="Arial"/>
          <w:color w:val="000000" w:themeColor="text1"/>
          <w:sz w:val="15"/>
          <w:szCs w:val="15"/>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782EB3EC" w14:textId="77777777" w:rsidR="008700EC" w:rsidRDefault="008700EC" w:rsidP="008700EC">
      <w:pPr>
        <w:snapToGrid w:val="0"/>
        <w:spacing w:after="0" w:line="240" w:lineRule="auto"/>
        <w:ind w:firstLine="709"/>
        <w:contextualSpacing/>
        <w:jc w:val="both"/>
      </w:pPr>
      <w:r w:rsidRPr="000C3E29">
        <w:rPr>
          <w:rFonts w:ascii="Verdana" w:hAnsi="Verdana" w:cs="Arial"/>
          <w:color w:val="000000" w:themeColor="text1"/>
          <w:sz w:val="15"/>
          <w:szCs w:val="15"/>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C3E29">
        <w:rPr>
          <w:rFonts w:ascii="Verdana" w:hAnsi="Verdana" w:cs="Arial"/>
          <w:color w:val="000000" w:themeColor="text1"/>
          <w:spacing w:val="-1"/>
          <w:sz w:val="15"/>
          <w:szCs w:val="15"/>
        </w:rPr>
        <w:t xml:space="preserve"> </w:t>
      </w:r>
      <w:r w:rsidRPr="000C3E29">
        <w:rPr>
          <w:rFonts w:ascii="Verdana" w:hAnsi="Verdana" w:cs="Arial"/>
          <w:color w:val="000000" w:themeColor="text1"/>
          <w:sz w:val="15"/>
          <w:szCs w:val="15"/>
        </w:rPr>
        <w:t>Estatales».</w:t>
      </w:r>
    </w:p>
  </w:footnote>
  <w:footnote w:id="21">
    <w:p w14:paraId="32B9519B" w14:textId="77777777" w:rsidR="008700EC" w:rsidRPr="000C3E29" w:rsidRDefault="008700EC" w:rsidP="008700EC">
      <w:pPr>
        <w:pStyle w:val="Textonotapie"/>
        <w:snapToGrid w:val="0"/>
        <w:ind w:firstLine="709"/>
        <w:contextualSpacing/>
        <w:jc w:val="both"/>
        <w:rPr>
          <w:rFonts w:ascii="Verdana" w:hAnsi="Verdana" w:cs="Arial"/>
          <w:sz w:val="15"/>
          <w:szCs w:val="15"/>
        </w:rPr>
      </w:pPr>
      <w:r w:rsidRPr="000C3E29">
        <w:rPr>
          <w:rFonts w:ascii="Verdana" w:hAnsi="Verdana"/>
          <w:sz w:val="15"/>
          <w:szCs w:val="15"/>
          <w:vertAlign w:val="superscript"/>
        </w:rPr>
        <w:footnoteRef/>
      </w:r>
      <w:r w:rsidRPr="000C3E29">
        <w:rPr>
          <w:rFonts w:ascii="Verdana" w:hAnsi="Verdana"/>
          <w:sz w:val="15"/>
          <w:szCs w:val="15"/>
          <w:vertAlign w:val="superscript"/>
        </w:rPr>
        <w:t xml:space="preserve"> </w:t>
      </w:r>
      <w:r w:rsidRPr="000C3E29">
        <w:rPr>
          <w:rFonts w:ascii="Verdana" w:hAnsi="Verdana" w:cs="Arial"/>
          <w:sz w:val="15"/>
          <w:szCs w:val="15"/>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A7C7E4E" w14:textId="77777777" w:rsidR="008700EC" w:rsidRDefault="008700EC" w:rsidP="008700EC">
      <w:pPr>
        <w:pStyle w:val="Textonotapie"/>
        <w:snapToGrid w:val="0"/>
        <w:ind w:firstLine="709"/>
        <w:contextualSpacing/>
        <w:jc w:val="both"/>
      </w:pPr>
    </w:p>
  </w:footnote>
  <w:footnote w:id="22">
    <w:p w14:paraId="65062564" w14:textId="77777777" w:rsidR="008700EC" w:rsidRPr="000C3E29" w:rsidRDefault="008700EC" w:rsidP="008700EC">
      <w:pPr>
        <w:pStyle w:val="Textonotapie"/>
        <w:snapToGrid w:val="0"/>
        <w:ind w:firstLine="709"/>
        <w:contextualSpacing/>
        <w:jc w:val="both"/>
        <w:rPr>
          <w:rFonts w:ascii="Verdana" w:hAnsi="Verdana" w:cs="Arial"/>
          <w:sz w:val="15"/>
          <w:szCs w:val="15"/>
        </w:rPr>
      </w:pPr>
      <w:r w:rsidRPr="000C3E29">
        <w:rPr>
          <w:rFonts w:ascii="Verdana" w:hAnsi="Verdana"/>
          <w:sz w:val="15"/>
          <w:szCs w:val="15"/>
          <w:vertAlign w:val="superscript"/>
        </w:rPr>
        <w:footnoteRef/>
      </w:r>
      <w:r w:rsidRPr="000C3E29">
        <w:rPr>
          <w:rFonts w:ascii="Verdana" w:hAnsi="Verdana" w:cs="Arial"/>
          <w:sz w:val="15"/>
          <w:szCs w:val="15"/>
          <w:vertAlign w:val="superscript"/>
        </w:rPr>
        <w:t xml:space="preserve"> </w:t>
      </w:r>
      <w:r w:rsidRPr="000C3E29">
        <w:rPr>
          <w:rFonts w:ascii="Verdana" w:hAnsi="Verdana" w:cs="Arial"/>
          <w:sz w:val="15"/>
          <w:szCs w:val="15"/>
        </w:rPr>
        <w:t>Ley 80 de 1993: “Artículo 41. Del perfeccionamiento del contrato. Los contratos del Estado se perfeccionan cuando se logre acuerdo sobre el objeto y la contraprestación y éste se eleve a escrito.</w:t>
      </w:r>
    </w:p>
    <w:p w14:paraId="37D549DE" w14:textId="77777777" w:rsidR="008700EC" w:rsidRDefault="008700EC" w:rsidP="008700EC">
      <w:pPr>
        <w:pStyle w:val="Textonotapie"/>
        <w:snapToGrid w:val="0"/>
        <w:ind w:firstLine="709"/>
        <w:contextualSpacing/>
        <w:jc w:val="both"/>
      </w:pPr>
      <w:r w:rsidRPr="000C3E29">
        <w:rPr>
          <w:rFonts w:ascii="Verdana" w:hAnsi="Verdana" w:cs="Arial"/>
          <w:sz w:val="15"/>
          <w:szCs w:val="15"/>
        </w:rPr>
        <w:t>[…]”.</w:t>
      </w:r>
    </w:p>
  </w:footnote>
  <w:footnote w:id="23">
    <w:p w14:paraId="0C7F89A4" w14:textId="77777777" w:rsidR="008700EC" w:rsidRDefault="008700EC" w:rsidP="008700EC">
      <w:pPr>
        <w:pStyle w:val="Textonotapie"/>
        <w:snapToGrid w:val="0"/>
        <w:ind w:firstLine="709"/>
        <w:contextualSpacing/>
        <w:jc w:val="both"/>
      </w:pPr>
      <w:r w:rsidRPr="000C3E29">
        <w:rPr>
          <w:rFonts w:ascii="Verdana" w:hAnsi="Verdana"/>
          <w:sz w:val="15"/>
          <w:szCs w:val="15"/>
          <w:vertAlign w:val="superscript"/>
        </w:rPr>
        <w:footnoteRef/>
      </w:r>
      <w:r w:rsidRPr="000C3E29">
        <w:rPr>
          <w:rFonts w:ascii="Verdana" w:hAnsi="Verdana" w:cs="Arial"/>
          <w:sz w:val="15"/>
          <w:szCs w:val="15"/>
          <w:vertAlign w:val="superscript"/>
        </w:rPr>
        <w:t xml:space="preserve"> </w:t>
      </w:r>
      <w:r w:rsidRPr="000C3E29">
        <w:rPr>
          <w:rFonts w:ascii="Verdana" w:hAnsi="Verdana" w:cs="Arial"/>
          <w:sz w:val="15"/>
          <w:szCs w:val="15"/>
        </w:rPr>
        <w:t>Código Civil: “Artículo 27. Cuando el sentido de la ley sea claro, no se desatenderá su tenor a pretexto de consultar su espíritu”.</w:t>
      </w:r>
    </w:p>
  </w:footnote>
  <w:footnote w:id="24">
    <w:p w14:paraId="13D010B4" w14:textId="77777777" w:rsidR="008700EC" w:rsidRDefault="008700EC" w:rsidP="008700EC">
      <w:pPr>
        <w:pStyle w:val="Textonotapie"/>
        <w:snapToGrid w:val="0"/>
        <w:ind w:firstLine="709"/>
        <w:contextualSpacing/>
        <w:jc w:val="both"/>
      </w:pPr>
      <w:r w:rsidRPr="000C3E29">
        <w:rPr>
          <w:rFonts w:ascii="Verdana" w:hAnsi="Verdana"/>
          <w:sz w:val="15"/>
          <w:szCs w:val="15"/>
          <w:vertAlign w:val="superscript"/>
        </w:rPr>
        <w:footnoteRef/>
      </w:r>
      <w:r w:rsidRPr="000C3E29">
        <w:rPr>
          <w:rFonts w:ascii="Verdana" w:hAnsi="Verdana"/>
          <w:sz w:val="15"/>
          <w:szCs w:val="15"/>
          <w:lang w:val="es-CO"/>
        </w:rPr>
        <w:t xml:space="preserve"> Consejo de Estado, Sección Tercera. Auto del 4 de octubre de 2024. Exp. 70.313. C.P: Fredy Ibarra Martínez.</w:t>
      </w:r>
    </w:p>
  </w:footnote>
  <w:footnote w:id="25">
    <w:p w14:paraId="05D051F1" w14:textId="77777777" w:rsidR="008700EC" w:rsidRPr="000C3E29" w:rsidRDefault="008700EC" w:rsidP="008700EC">
      <w:pPr>
        <w:pStyle w:val="Textonotapie"/>
        <w:snapToGrid w:val="0"/>
        <w:ind w:firstLine="709"/>
        <w:contextualSpacing/>
        <w:jc w:val="both"/>
        <w:rPr>
          <w:rFonts w:ascii="Verdana" w:hAnsi="Verdana"/>
          <w:sz w:val="15"/>
          <w:szCs w:val="15"/>
          <w:lang w:val="es-CO"/>
        </w:rPr>
      </w:pPr>
      <w:r w:rsidRPr="000C3E29">
        <w:rPr>
          <w:rFonts w:ascii="Verdana" w:hAnsi="Verdana"/>
          <w:sz w:val="15"/>
          <w:szCs w:val="15"/>
          <w:vertAlign w:val="superscript"/>
        </w:rPr>
        <w:footnoteRef/>
      </w:r>
      <w:r w:rsidRPr="000C3E29">
        <w:rPr>
          <w:rFonts w:ascii="Verdana" w:hAnsi="Verdana"/>
          <w:sz w:val="15"/>
          <w:szCs w:val="15"/>
        </w:rPr>
        <w:t xml:space="preserve"> La parte resolutiva del auto dispone lo siguiente; “</w:t>
      </w:r>
      <w:r w:rsidRPr="000C3E29">
        <w:rPr>
          <w:rFonts w:ascii="Verdana" w:hAnsi="Verdana"/>
          <w:bCs/>
          <w:sz w:val="15"/>
          <w:szCs w:val="15"/>
          <w:lang w:val="es-CO"/>
        </w:rPr>
        <w:t>PRIMERO: DECRETAR</w:t>
      </w:r>
      <w:r w:rsidRPr="000C3E29">
        <w:rPr>
          <w:rFonts w:ascii="Verdana" w:hAnsi="Verdana"/>
          <w:b/>
          <w:sz w:val="15"/>
          <w:szCs w:val="15"/>
          <w:lang w:val="es-CO"/>
        </w:rPr>
        <w:t xml:space="preserve"> </w:t>
      </w:r>
      <w:r w:rsidRPr="000C3E29">
        <w:rPr>
          <w:rFonts w:ascii="Verdana" w:hAnsi="Verdana"/>
          <w:sz w:val="15"/>
          <w:szCs w:val="15"/>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C3E29">
        <w:rPr>
          <w:rFonts w:ascii="Verdana" w:hAnsi="Verdana"/>
          <w:i/>
          <w:sz w:val="15"/>
          <w:szCs w:val="15"/>
          <w:lang w:val="es-CO"/>
        </w:rPr>
        <w:t>“[e]</w:t>
      </w:r>
      <w:proofErr w:type="spellStart"/>
      <w:r w:rsidRPr="000C3E29">
        <w:rPr>
          <w:rFonts w:ascii="Verdana" w:hAnsi="Verdana"/>
          <w:i/>
          <w:sz w:val="15"/>
          <w:szCs w:val="15"/>
          <w:lang w:val="es-CO"/>
        </w:rPr>
        <w:t>sta</w:t>
      </w:r>
      <w:proofErr w:type="spellEnd"/>
      <w:r w:rsidRPr="000C3E29">
        <w:rPr>
          <w:rFonts w:ascii="Verdana" w:hAnsi="Verdana"/>
          <w:i/>
          <w:sz w:val="15"/>
          <w:szCs w:val="15"/>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C3E29">
        <w:rPr>
          <w:rFonts w:ascii="Verdana" w:hAnsi="Verdana"/>
          <w:sz w:val="15"/>
          <w:szCs w:val="15"/>
          <w:lang w:val="es-CO"/>
        </w:rPr>
        <w:t xml:space="preserve">, por las razones expuestas en precedencia. </w:t>
      </w:r>
    </w:p>
    <w:p w14:paraId="23E44FF0" w14:textId="77777777" w:rsidR="008700EC" w:rsidRDefault="008700EC" w:rsidP="008700EC">
      <w:pPr>
        <w:pStyle w:val="Textonotapie"/>
        <w:snapToGrid w:val="0"/>
        <w:ind w:firstLine="709"/>
        <w:contextualSpacing/>
        <w:jc w:val="both"/>
      </w:pPr>
      <w:r w:rsidRPr="000C3E29">
        <w:rPr>
          <w:rFonts w:ascii="Verdana" w:hAnsi="Verdana"/>
          <w:bCs/>
          <w:sz w:val="15"/>
          <w:szCs w:val="15"/>
          <w:lang w:val="es-CO"/>
        </w:rPr>
        <w:t>SEGUNDO: DECRETAR</w:t>
      </w:r>
      <w:r w:rsidRPr="000C3E29">
        <w:rPr>
          <w:rFonts w:ascii="Verdana" w:hAnsi="Verdana"/>
          <w:b/>
          <w:sz w:val="15"/>
          <w:szCs w:val="15"/>
          <w:lang w:val="es-CO"/>
        </w:rPr>
        <w:t xml:space="preserve"> </w:t>
      </w:r>
      <w:r w:rsidRPr="000C3E29">
        <w:rPr>
          <w:rFonts w:ascii="Verdana" w:hAnsi="Verdana"/>
          <w:sz w:val="15"/>
          <w:szCs w:val="15"/>
          <w:lang w:val="es-CO"/>
        </w:rPr>
        <w:t>la suspensión provisional de la expresión “</w:t>
      </w:r>
      <w:r w:rsidRPr="000C3E29">
        <w:rPr>
          <w:rFonts w:ascii="Verdana" w:hAnsi="Verdana"/>
          <w:i/>
          <w:sz w:val="15"/>
          <w:szCs w:val="15"/>
          <w:lang w:val="es-CO"/>
        </w:rPr>
        <w:t>contratos</w:t>
      </w:r>
      <w:r w:rsidRPr="000C3E29">
        <w:rPr>
          <w:rFonts w:ascii="Verdana" w:hAnsi="Verdana"/>
          <w:sz w:val="15"/>
          <w:szCs w:val="15"/>
          <w:lang w:val="es-CO"/>
        </w:rPr>
        <w:t xml:space="preserve">” y del párrafo </w:t>
      </w:r>
      <w:r w:rsidRPr="000C3E29">
        <w:rPr>
          <w:rFonts w:ascii="Verdana" w:hAnsi="Verdana"/>
          <w:i/>
          <w:sz w:val="15"/>
          <w:szCs w:val="15"/>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C3E29">
        <w:rPr>
          <w:rFonts w:ascii="Verdana" w:hAnsi="Verdana"/>
          <w:sz w:val="15"/>
          <w:szCs w:val="15"/>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w:t>
      </w:r>
      <w:proofErr w:type="spellStart"/>
      <w:r w:rsidRPr="000C3E29">
        <w:rPr>
          <w:rFonts w:ascii="Verdana" w:hAnsi="Verdana"/>
          <w:sz w:val="15"/>
          <w:szCs w:val="15"/>
          <w:lang w:val="es-CO"/>
        </w:rPr>
        <w:t>Florez</w:t>
      </w:r>
      <w:proofErr w:type="spellEnd"/>
      <w:r w:rsidRPr="000C3E29">
        <w:rPr>
          <w:rFonts w:ascii="Verdana" w:hAnsi="Verdana"/>
          <w:sz w:val="15"/>
          <w:szCs w:val="15"/>
          <w:lang w:val="es-CO"/>
        </w:rPr>
        <w:t xml:space="preserve">. </w:t>
      </w:r>
    </w:p>
  </w:footnote>
  <w:footnote w:id="26">
    <w:p w14:paraId="6B7E5285" w14:textId="77777777" w:rsidR="00E95FEC" w:rsidRDefault="00E95FEC" w:rsidP="00E95FEC">
      <w:pPr>
        <w:snapToGrid w:val="0"/>
        <w:spacing w:after="0" w:line="240" w:lineRule="auto"/>
        <w:ind w:firstLine="709"/>
        <w:contextualSpacing/>
        <w:jc w:val="both"/>
      </w:pPr>
      <w:r w:rsidRPr="000C3E29">
        <w:rPr>
          <w:rFonts w:ascii="Verdana" w:hAnsi="Verdana"/>
          <w:sz w:val="15"/>
          <w:szCs w:val="15"/>
          <w:vertAlign w:val="superscript"/>
        </w:rPr>
        <w:footnoteRef/>
      </w:r>
      <w:r w:rsidRPr="000C3E29">
        <w:rPr>
          <w:rFonts w:ascii="Verdana" w:hAnsi="Verdana"/>
          <w:sz w:val="15"/>
          <w:szCs w:val="15"/>
        </w:rPr>
        <w:t xml:space="preserve"> </w:t>
      </w:r>
      <w:r w:rsidRPr="000C3E29">
        <w:rPr>
          <w:rFonts w:ascii="Verdana" w:hAnsi="Verdana"/>
          <w:sz w:val="15"/>
          <w:szCs w:val="15"/>
          <w:lang w:eastAsia="es-ES"/>
        </w:rPr>
        <w:t xml:space="preserve">Consejo de Estado. Sala de lo Contencioso Administrativo. Sección Tercera. Subsección B. 17 de octubre de 2025. Magistrado Ponente: Fredy Ibarra Martínez.  </w:t>
      </w:r>
      <w:r w:rsidRPr="000C3E29">
        <w:rPr>
          <w:rFonts w:ascii="Verdana" w:hAnsi="Verdana"/>
          <w:sz w:val="15"/>
          <w:szCs w:val="15"/>
        </w:rPr>
        <w:t xml:space="preserve">La parte de la providencia señala: </w:t>
      </w:r>
      <w:r w:rsidRPr="000C3E29">
        <w:rPr>
          <w:rFonts w:ascii="Verdana" w:hAnsi="Verdana"/>
          <w:sz w:val="15"/>
          <w:szCs w:val="15"/>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7">
    <w:p w14:paraId="6830AEA0" w14:textId="77777777" w:rsidR="00E95FEC" w:rsidRDefault="00E95FEC" w:rsidP="00E95FEC">
      <w:pPr>
        <w:pStyle w:val="Textonotapie"/>
        <w:snapToGrid w:val="0"/>
        <w:ind w:firstLine="709"/>
        <w:contextualSpacing/>
        <w:jc w:val="both"/>
      </w:pPr>
      <w:r w:rsidRPr="000C3E29">
        <w:rPr>
          <w:rFonts w:ascii="Verdana" w:hAnsi="Verdana"/>
          <w:sz w:val="15"/>
          <w:szCs w:val="15"/>
          <w:vertAlign w:val="superscript"/>
        </w:rPr>
        <w:footnoteRef/>
      </w:r>
      <w:r w:rsidRPr="000C3E29">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3C251C7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354278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87B"/>
    <w:rsid w:val="00024822"/>
    <w:rsid w:val="00027954"/>
    <w:rsid w:val="000410E4"/>
    <w:rsid w:val="000423AC"/>
    <w:rsid w:val="00046945"/>
    <w:rsid w:val="0004774A"/>
    <w:rsid w:val="00061B2A"/>
    <w:rsid w:val="000625B7"/>
    <w:rsid w:val="000649B9"/>
    <w:rsid w:val="000655E2"/>
    <w:rsid w:val="00082362"/>
    <w:rsid w:val="000A5EAF"/>
    <w:rsid w:val="000A683E"/>
    <w:rsid w:val="000B19B9"/>
    <w:rsid w:val="000C0C1D"/>
    <w:rsid w:val="000C2E24"/>
    <w:rsid w:val="000D0334"/>
    <w:rsid w:val="000D5DA7"/>
    <w:rsid w:val="000D7220"/>
    <w:rsid w:val="000E410B"/>
    <w:rsid w:val="000E5BBD"/>
    <w:rsid w:val="000F6486"/>
    <w:rsid w:val="001034A6"/>
    <w:rsid w:val="00113921"/>
    <w:rsid w:val="00116940"/>
    <w:rsid w:val="00125105"/>
    <w:rsid w:val="00127233"/>
    <w:rsid w:val="0013167E"/>
    <w:rsid w:val="00141FD9"/>
    <w:rsid w:val="00142ABB"/>
    <w:rsid w:val="00153A6D"/>
    <w:rsid w:val="0015699B"/>
    <w:rsid w:val="0017190A"/>
    <w:rsid w:val="001872D1"/>
    <w:rsid w:val="00187D02"/>
    <w:rsid w:val="001902B1"/>
    <w:rsid w:val="00194428"/>
    <w:rsid w:val="001A33BF"/>
    <w:rsid w:val="001A70FA"/>
    <w:rsid w:val="001E118F"/>
    <w:rsid w:val="001E4177"/>
    <w:rsid w:val="001F0B24"/>
    <w:rsid w:val="001F7DC6"/>
    <w:rsid w:val="00205ACE"/>
    <w:rsid w:val="002144D4"/>
    <w:rsid w:val="0022400B"/>
    <w:rsid w:val="002265DC"/>
    <w:rsid w:val="00227BBA"/>
    <w:rsid w:val="002421BB"/>
    <w:rsid w:val="0025796E"/>
    <w:rsid w:val="002638FD"/>
    <w:rsid w:val="002707A2"/>
    <w:rsid w:val="00271EC5"/>
    <w:rsid w:val="0028421A"/>
    <w:rsid w:val="002951A0"/>
    <w:rsid w:val="002962BC"/>
    <w:rsid w:val="002A093D"/>
    <w:rsid w:val="002A0DD0"/>
    <w:rsid w:val="002A49AC"/>
    <w:rsid w:val="002A5862"/>
    <w:rsid w:val="002A64FD"/>
    <w:rsid w:val="002C742E"/>
    <w:rsid w:val="002C79D2"/>
    <w:rsid w:val="002C7A84"/>
    <w:rsid w:val="002D1538"/>
    <w:rsid w:val="002D3947"/>
    <w:rsid w:val="002E2BF8"/>
    <w:rsid w:val="002E3DBA"/>
    <w:rsid w:val="002E4FD9"/>
    <w:rsid w:val="002E56EA"/>
    <w:rsid w:val="0030657A"/>
    <w:rsid w:val="00313D21"/>
    <w:rsid w:val="003141BA"/>
    <w:rsid w:val="00315FAD"/>
    <w:rsid w:val="00322A85"/>
    <w:rsid w:val="00324168"/>
    <w:rsid w:val="00330834"/>
    <w:rsid w:val="003448F4"/>
    <w:rsid w:val="00344E58"/>
    <w:rsid w:val="003541C6"/>
    <w:rsid w:val="00356164"/>
    <w:rsid w:val="00357484"/>
    <w:rsid w:val="00357AB1"/>
    <w:rsid w:val="00374F5E"/>
    <w:rsid w:val="00377E3E"/>
    <w:rsid w:val="003A4DBF"/>
    <w:rsid w:val="003A779E"/>
    <w:rsid w:val="003D0F4D"/>
    <w:rsid w:val="003D3D93"/>
    <w:rsid w:val="003D5B0D"/>
    <w:rsid w:val="003D5D46"/>
    <w:rsid w:val="003E0499"/>
    <w:rsid w:val="003E2E88"/>
    <w:rsid w:val="003E4F80"/>
    <w:rsid w:val="003E6439"/>
    <w:rsid w:val="003F3941"/>
    <w:rsid w:val="00406575"/>
    <w:rsid w:val="00414C74"/>
    <w:rsid w:val="0042722E"/>
    <w:rsid w:val="0044528D"/>
    <w:rsid w:val="00450B9D"/>
    <w:rsid w:val="00466E39"/>
    <w:rsid w:val="00492B3A"/>
    <w:rsid w:val="004A1847"/>
    <w:rsid w:val="004A305D"/>
    <w:rsid w:val="004A32B9"/>
    <w:rsid w:val="004B326C"/>
    <w:rsid w:val="004C68AA"/>
    <w:rsid w:val="004E1738"/>
    <w:rsid w:val="004F09EA"/>
    <w:rsid w:val="004F0D68"/>
    <w:rsid w:val="004F21C4"/>
    <w:rsid w:val="004F685F"/>
    <w:rsid w:val="00503E58"/>
    <w:rsid w:val="00504B95"/>
    <w:rsid w:val="00507FF5"/>
    <w:rsid w:val="00544C45"/>
    <w:rsid w:val="005566E8"/>
    <w:rsid w:val="0056616B"/>
    <w:rsid w:val="00574867"/>
    <w:rsid w:val="005875AB"/>
    <w:rsid w:val="00591460"/>
    <w:rsid w:val="005A65E0"/>
    <w:rsid w:val="005B0E23"/>
    <w:rsid w:val="005C3777"/>
    <w:rsid w:val="005C5CDC"/>
    <w:rsid w:val="005D476C"/>
    <w:rsid w:val="005F10E2"/>
    <w:rsid w:val="005F5299"/>
    <w:rsid w:val="005F53D0"/>
    <w:rsid w:val="005F6485"/>
    <w:rsid w:val="005F6E4D"/>
    <w:rsid w:val="00606212"/>
    <w:rsid w:val="006200BF"/>
    <w:rsid w:val="006219F8"/>
    <w:rsid w:val="006302F7"/>
    <w:rsid w:val="006462F2"/>
    <w:rsid w:val="00646B9F"/>
    <w:rsid w:val="006520B3"/>
    <w:rsid w:val="0066145C"/>
    <w:rsid w:val="00665D70"/>
    <w:rsid w:val="006900D9"/>
    <w:rsid w:val="00692C29"/>
    <w:rsid w:val="00694C03"/>
    <w:rsid w:val="006966C3"/>
    <w:rsid w:val="006A3AFD"/>
    <w:rsid w:val="006C4B38"/>
    <w:rsid w:val="006C4B7C"/>
    <w:rsid w:val="006D582E"/>
    <w:rsid w:val="006F5E1D"/>
    <w:rsid w:val="00706C16"/>
    <w:rsid w:val="0072257A"/>
    <w:rsid w:val="007340C3"/>
    <w:rsid w:val="007516AE"/>
    <w:rsid w:val="0075235A"/>
    <w:rsid w:val="00752F75"/>
    <w:rsid w:val="00755AA6"/>
    <w:rsid w:val="00756841"/>
    <w:rsid w:val="00761D09"/>
    <w:rsid w:val="00761F3D"/>
    <w:rsid w:val="007649AB"/>
    <w:rsid w:val="00771D0C"/>
    <w:rsid w:val="00776547"/>
    <w:rsid w:val="007833AC"/>
    <w:rsid w:val="00785143"/>
    <w:rsid w:val="00797926"/>
    <w:rsid w:val="007B268C"/>
    <w:rsid w:val="007B7171"/>
    <w:rsid w:val="007C0C0F"/>
    <w:rsid w:val="007C35E1"/>
    <w:rsid w:val="007C3DC2"/>
    <w:rsid w:val="007C5FEA"/>
    <w:rsid w:val="007C71DC"/>
    <w:rsid w:val="007D0572"/>
    <w:rsid w:val="007D3E58"/>
    <w:rsid w:val="007E5497"/>
    <w:rsid w:val="007F3E56"/>
    <w:rsid w:val="00806F5F"/>
    <w:rsid w:val="00810DDB"/>
    <w:rsid w:val="00811E1B"/>
    <w:rsid w:val="00820278"/>
    <w:rsid w:val="008258C9"/>
    <w:rsid w:val="008435EA"/>
    <w:rsid w:val="00844AE9"/>
    <w:rsid w:val="00867F95"/>
    <w:rsid w:val="008700EC"/>
    <w:rsid w:val="008843B6"/>
    <w:rsid w:val="00891573"/>
    <w:rsid w:val="00891928"/>
    <w:rsid w:val="008969E1"/>
    <w:rsid w:val="00896D48"/>
    <w:rsid w:val="008978DD"/>
    <w:rsid w:val="008A446D"/>
    <w:rsid w:val="008B25F1"/>
    <w:rsid w:val="008B5AE7"/>
    <w:rsid w:val="008C158E"/>
    <w:rsid w:val="008C5324"/>
    <w:rsid w:val="008C53F5"/>
    <w:rsid w:val="008D180B"/>
    <w:rsid w:val="008D3DB1"/>
    <w:rsid w:val="008E6C7F"/>
    <w:rsid w:val="008F0EA7"/>
    <w:rsid w:val="009008D9"/>
    <w:rsid w:val="00906DC1"/>
    <w:rsid w:val="00923EEF"/>
    <w:rsid w:val="00924EA8"/>
    <w:rsid w:val="009369DB"/>
    <w:rsid w:val="009419F9"/>
    <w:rsid w:val="009508FB"/>
    <w:rsid w:val="00955B84"/>
    <w:rsid w:val="0095685E"/>
    <w:rsid w:val="00961B09"/>
    <w:rsid w:val="00965334"/>
    <w:rsid w:val="0097093E"/>
    <w:rsid w:val="00971193"/>
    <w:rsid w:val="009855C6"/>
    <w:rsid w:val="0098780C"/>
    <w:rsid w:val="00992284"/>
    <w:rsid w:val="009A02AC"/>
    <w:rsid w:val="009A0DFA"/>
    <w:rsid w:val="009A1950"/>
    <w:rsid w:val="009A1C6F"/>
    <w:rsid w:val="009A5953"/>
    <w:rsid w:val="009B2D26"/>
    <w:rsid w:val="009C32AC"/>
    <w:rsid w:val="009C71FA"/>
    <w:rsid w:val="009C72E7"/>
    <w:rsid w:val="009C7F7E"/>
    <w:rsid w:val="009D3058"/>
    <w:rsid w:val="009E6473"/>
    <w:rsid w:val="009F3A13"/>
    <w:rsid w:val="009F5F5A"/>
    <w:rsid w:val="00A122D3"/>
    <w:rsid w:val="00A136B1"/>
    <w:rsid w:val="00A13F1A"/>
    <w:rsid w:val="00A14468"/>
    <w:rsid w:val="00A15209"/>
    <w:rsid w:val="00A17F13"/>
    <w:rsid w:val="00A20739"/>
    <w:rsid w:val="00A23AF9"/>
    <w:rsid w:val="00A33C78"/>
    <w:rsid w:val="00A366C8"/>
    <w:rsid w:val="00A41E66"/>
    <w:rsid w:val="00A45456"/>
    <w:rsid w:val="00A53C82"/>
    <w:rsid w:val="00A5544C"/>
    <w:rsid w:val="00A60E7A"/>
    <w:rsid w:val="00A62F5C"/>
    <w:rsid w:val="00A7713D"/>
    <w:rsid w:val="00A81FB8"/>
    <w:rsid w:val="00A82814"/>
    <w:rsid w:val="00A92EFD"/>
    <w:rsid w:val="00A968E8"/>
    <w:rsid w:val="00AA03B1"/>
    <w:rsid w:val="00AA1B59"/>
    <w:rsid w:val="00AB0ADB"/>
    <w:rsid w:val="00AB4CE0"/>
    <w:rsid w:val="00AE77E7"/>
    <w:rsid w:val="00AF197E"/>
    <w:rsid w:val="00B00C0E"/>
    <w:rsid w:val="00B01B1A"/>
    <w:rsid w:val="00B0381D"/>
    <w:rsid w:val="00B1247C"/>
    <w:rsid w:val="00B16266"/>
    <w:rsid w:val="00B31856"/>
    <w:rsid w:val="00B44A47"/>
    <w:rsid w:val="00B5136F"/>
    <w:rsid w:val="00B60EDE"/>
    <w:rsid w:val="00B72CD3"/>
    <w:rsid w:val="00B72FFF"/>
    <w:rsid w:val="00B77BF4"/>
    <w:rsid w:val="00B82358"/>
    <w:rsid w:val="00B82C9B"/>
    <w:rsid w:val="00BA09BD"/>
    <w:rsid w:val="00BC3D36"/>
    <w:rsid w:val="00BD54A6"/>
    <w:rsid w:val="00BD7F72"/>
    <w:rsid w:val="00BE1E21"/>
    <w:rsid w:val="00BE6FE4"/>
    <w:rsid w:val="00BF7425"/>
    <w:rsid w:val="00C00407"/>
    <w:rsid w:val="00C047EA"/>
    <w:rsid w:val="00C04FB3"/>
    <w:rsid w:val="00C11D8B"/>
    <w:rsid w:val="00C15139"/>
    <w:rsid w:val="00C205B7"/>
    <w:rsid w:val="00C330EB"/>
    <w:rsid w:val="00C50D27"/>
    <w:rsid w:val="00C50D69"/>
    <w:rsid w:val="00C5365C"/>
    <w:rsid w:val="00C62520"/>
    <w:rsid w:val="00C754BE"/>
    <w:rsid w:val="00C76B1C"/>
    <w:rsid w:val="00C82193"/>
    <w:rsid w:val="00C925AC"/>
    <w:rsid w:val="00CA7874"/>
    <w:rsid w:val="00CB143E"/>
    <w:rsid w:val="00CB6357"/>
    <w:rsid w:val="00CB72C3"/>
    <w:rsid w:val="00CC058E"/>
    <w:rsid w:val="00CC1B26"/>
    <w:rsid w:val="00CC364D"/>
    <w:rsid w:val="00CC7FF1"/>
    <w:rsid w:val="00CD01F0"/>
    <w:rsid w:val="00CE25AA"/>
    <w:rsid w:val="00CF4CA3"/>
    <w:rsid w:val="00D00C9D"/>
    <w:rsid w:val="00D13BFC"/>
    <w:rsid w:val="00D17E05"/>
    <w:rsid w:val="00D2341A"/>
    <w:rsid w:val="00D32D79"/>
    <w:rsid w:val="00D355F3"/>
    <w:rsid w:val="00D361FD"/>
    <w:rsid w:val="00D37273"/>
    <w:rsid w:val="00D423A2"/>
    <w:rsid w:val="00D44E26"/>
    <w:rsid w:val="00D478C0"/>
    <w:rsid w:val="00D520D8"/>
    <w:rsid w:val="00D63AC2"/>
    <w:rsid w:val="00D64782"/>
    <w:rsid w:val="00D7383B"/>
    <w:rsid w:val="00D7788A"/>
    <w:rsid w:val="00D82E68"/>
    <w:rsid w:val="00DA231B"/>
    <w:rsid w:val="00DC0FD3"/>
    <w:rsid w:val="00DC39FC"/>
    <w:rsid w:val="00DD0EBF"/>
    <w:rsid w:val="00DD7BDF"/>
    <w:rsid w:val="00DF41C9"/>
    <w:rsid w:val="00DF5254"/>
    <w:rsid w:val="00E02524"/>
    <w:rsid w:val="00E05543"/>
    <w:rsid w:val="00E12833"/>
    <w:rsid w:val="00E16408"/>
    <w:rsid w:val="00E20894"/>
    <w:rsid w:val="00E245AB"/>
    <w:rsid w:val="00E25D1A"/>
    <w:rsid w:val="00E2764C"/>
    <w:rsid w:val="00E27F2E"/>
    <w:rsid w:val="00E36890"/>
    <w:rsid w:val="00E50AFE"/>
    <w:rsid w:val="00E75C92"/>
    <w:rsid w:val="00E771DC"/>
    <w:rsid w:val="00E8772A"/>
    <w:rsid w:val="00E90F6B"/>
    <w:rsid w:val="00E92C27"/>
    <w:rsid w:val="00E95FEC"/>
    <w:rsid w:val="00EA0E3D"/>
    <w:rsid w:val="00EC0979"/>
    <w:rsid w:val="00EC3468"/>
    <w:rsid w:val="00EC38A7"/>
    <w:rsid w:val="00ED184F"/>
    <w:rsid w:val="00ED31C9"/>
    <w:rsid w:val="00EE1AA8"/>
    <w:rsid w:val="00EE6B15"/>
    <w:rsid w:val="00F00000"/>
    <w:rsid w:val="00F04B9C"/>
    <w:rsid w:val="00F10405"/>
    <w:rsid w:val="00F122E4"/>
    <w:rsid w:val="00F136E9"/>
    <w:rsid w:val="00F211C2"/>
    <w:rsid w:val="00F23FEA"/>
    <w:rsid w:val="00F31EDC"/>
    <w:rsid w:val="00F4174A"/>
    <w:rsid w:val="00F462B3"/>
    <w:rsid w:val="00F5664F"/>
    <w:rsid w:val="00F5671B"/>
    <w:rsid w:val="00F666C4"/>
    <w:rsid w:val="00F66BCA"/>
    <w:rsid w:val="00F76AFC"/>
    <w:rsid w:val="00F901B8"/>
    <w:rsid w:val="00FA1EC1"/>
    <w:rsid w:val="00FA47C0"/>
    <w:rsid w:val="00FA7F05"/>
    <w:rsid w:val="00FB5DD1"/>
    <w:rsid w:val="00FB6683"/>
    <w:rsid w:val="00FC18E1"/>
    <w:rsid w:val="00FC2B5D"/>
    <w:rsid w:val="00FD0DE5"/>
    <w:rsid w:val="00FE02E9"/>
    <w:rsid w:val="00FF1449"/>
    <w:rsid w:val="00FF7963"/>
    <w:rsid w:val="00FF7CD4"/>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3526E5D-E5B8-4360-A173-BDB298D48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link w:val="Ttulo1Car"/>
    <w:uiPriority w:val="9"/>
    <w:qFormat/>
    <w:rsid w:val="009E6473"/>
    <w:pPr>
      <w:widowControl w:val="0"/>
      <w:autoSpaceDE w:val="0"/>
      <w:autoSpaceDN w:val="0"/>
      <w:spacing w:after="0" w:line="240" w:lineRule="auto"/>
      <w:ind w:left="569" w:hanging="309"/>
      <w:jc w:val="both"/>
      <w:outlineLvl w:val="0"/>
    </w:pPr>
    <w:rPr>
      <w:rFonts w:ascii="Verdana" w:eastAsia="Verdana" w:hAnsi="Verdana" w:cs="Verdana"/>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Refdecomentario">
    <w:name w:val="annotation reference"/>
    <w:basedOn w:val="Fuentedeprrafopredeter"/>
    <w:uiPriority w:val="99"/>
    <w:semiHidden/>
    <w:unhideWhenUsed/>
    <w:rsid w:val="00CB72C3"/>
    <w:rPr>
      <w:sz w:val="16"/>
      <w:szCs w:val="16"/>
    </w:rPr>
  </w:style>
  <w:style w:type="paragraph" w:styleId="Textocomentario">
    <w:name w:val="annotation text"/>
    <w:basedOn w:val="Normal"/>
    <w:link w:val="TextocomentarioCar"/>
    <w:uiPriority w:val="99"/>
    <w:unhideWhenUsed/>
    <w:rsid w:val="00CB72C3"/>
    <w:pPr>
      <w:spacing w:line="240" w:lineRule="auto"/>
    </w:pPr>
    <w:rPr>
      <w:sz w:val="20"/>
      <w:szCs w:val="20"/>
    </w:rPr>
  </w:style>
  <w:style w:type="character" w:customStyle="1" w:styleId="TextocomentarioCar">
    <w:name w:val="Texto comentario Car"/>
    <w:basedOn w:val="Fuentedeprrafopredeter"/>
    <w:link w:val="Textocomentario"/>
    <w:uiPriority w:val="99"/>
    <w:rsid w:val="00CB72C3"/>
    <w:rPr>
      <w:sz w:val="20"/>
      <w:szCs w:val="20"/>
    </w:rPr>
  </w:style>
  <w:style w:type="paragraph" w:styleId="Asuntodelcomentario">
    <w:name w:val="annotation subject"/>
    <w:basedOn w:val="Textocomentario"/>
    <w:next w:val="Textocomentario"/>
    <w:link w:val="AsuntodelcomentarioCar"/>
    <w:uiPriority w:val="99"/>
    <w:semiHidden/>
    <w:unhideWhenUsed/>
    <w:rsid w:val="00CB72C3"/>
    <w:rPr>
      <w:b/>
      <w:bCs/>
    </w:rPr>
  </w:style>
  <w:style w:type="character" w:customStyle="1" w:styleId="AsuntodelcomentarioCar">
    <w:name w:val="Asunto del comentario Car"/>
    <w:basedOn w:val="TextocomentarioCar"/>
    <w:link w:val="Asuntodelcomentario"/>
    <w:uiPriority w:val="99"/>
    <w:semiHidden/>
    <w:rsid w:val="00CB72C3"/>
    <w:rPr>
      <w:b/>
      <w:bCs/>
      <w:sz w:val="20"/>
      <w:szCs w:val="20"/>
    </w:rPr>
  </w:style>
  <w:style w:type="character" w:customStyle="1" w:styleId="Ttulo1Car">
    <w:name w:val="Título 1 Car"/>
    <w:basedOn w:val="Fuentedeprrafopredeter"/>
    <w:link w:val="Ttulo1"/>
    <w:uiPriority w:val="9"/>
    <w:rsid w:val="009E6473"/>
    <w:rPr>
      <w:rFonts w:ascii="Verdana" w:eastAsia="Verdana" w:hAnsi="Verdana" w:cs="Verdana"/>
      <w:b/>
      <w:bCs/>
      <w:lang w:val="es-ES"/>
    </w:rPr>
  </w:style>
  <w:style w:type="paragraph" w:styleId="Textoindependiente">
    <w:name w:val="Body Text"/>
    <w:basedOn w:val="Normal"/>
    <w:link w:val="TextoindependienteCar"/>
    <w:uiPriority w:val="1"/>
    <w:qFormat/>
    <w:rsid w:val="009E6473"/>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E6473"/>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ferans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966B40-40F4-4CBB-9188-29430DFF0F7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7661</Words>
  <Characters>42295</Characters>
  <Application>Microsoft Office Word</Application>
  <DocSecurity>0</DocSecurity>
  <Lines>769</Lines>
  <Paragraphs>130</Paragraphs>
  <ScaleCrop>false</ScaleCrop>
  <Company/>
  <LinksUpToDate>false</LinksUpToDate>
  <CharactersWithSpaces>49826</CharactersWithSpaces>
  <SharedDoc>false</SharedDoc>
  <HLinks>
    <vt:vector size="6" baseType="variant">
      <vt:variant>
        <vt:i4>7929937</vt:i4>
      </vt:variant>
      <vt:variant>
        <vt:i4>0</vt:i4>
      </vt:variant>
      <vt:variant>
        <vt:i4>0</vt:i4>
      </vt:variant>
      <vt:variant>
        <vt:i4>5</vt:i4>
      </vt:variant>
      <vt:variant>
        <vt:lpwstr>mailto:diferansa@gmail.com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2023-01-11T00:18:00Z</cp:lastPrinted>
  <dcterms:created xsi:type="dcterms:W3CDTF">2026-02-16T14:39:00Z</dcterms:created>
  <dcterms:modified xsi:type="dcterms:W3CDTF">2026-02-16T14:39:00Z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