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8E18AE" w14:textId="77777777" w:rsidR="00516BFF" w:rsidRPr="00516BFF" w:rsidRDefault="00516BFF" w:rsidP="00516BFF">
      <w:pPr>
        <w:spacing w:after="0" w:line="240" w:lineRule="auto"/>
        <w:jc w:val="both"/>
        <w:rPr>
          <w:rFonts w:ascii="Verdana" w:hAnsi="Verdana" w:cs="Arial"/>
          <w:b/>
          <w:lang w:val="es-ES" w:eastAsia="es-ES"/>
        </w:rPr>
      </w:pPr>
      <w:bookmarkStart w:id="0" w:name="_Hlk143780582"/>
      <w:r w:rsidRPr="00516BFF">
        <w:rPr>
          <w:rFonts w:ascii="Verdana" w:hAnsi="Verdana" w:cs="Arial"/>
          <w:b/>
          <w:lang w:val="es-ES" w:eastAsia="es-ES"/>
        </w:rPr>
        <w:t>PLIEGOS DE CONDICIONES – Naturaleza</w:t>
      </w:r>
      <w:r w:rsidRPr="00516BFF">
        <w:rPr>
          <w:rFonts w:ascii="Verdana" w:hAnsi="Verdana" w:cs="Arial"/>
          <w:b/>
          <w:lang w:val="es-ES" w:eastAsia="es-ES"/>
        </w:rPr>
        <w:t xml:space="preserve"> </w:t>
      </w:r>
    </w:p>
    <w:p w14:paraId="13B4B24C" w14:textId="00113318" w:rsidR="00516BFF" w:rsidRPr="00516BFF" w:rsidRDefault="00516BFF" w:rsidP="00516BFF">
      <w:pPr>
        <w:spacing w:after="0" w:line="240" w:lineRule="auto"/>
        <w:jc w:val="both"/>
        <w:rPr>
          <w:rFonts w:ascii="Verdana" w:hAnsi="Verdana" w:cs="Arial"/>
          <w:sz w:val="20"/>
          <w:lang w:val="es-ES" w:eastAsia="es-ES"/>
        </w:rPr>
      </w:pPr>
    </w:p>
    <w:p w14:paraId="2EE1C03D" w14:textId="6E1BC138" w:rsidR="00516BFF" w:rsidRPr="00516BFF" w:rsidRDefault="00516BFF" w:rsidP="00516BFF">
      <w:pPr>
        <w:spacing w:after="0" w:line="240" w:lineRule="auto"/>
        <w:jc w:val="both"/>
        <w:rPr>
          <w:rFonts w:ascii="Verdana" w:hAnsi="Verdana" w:cs="Arial"/>
          <w:sz w:val="20"/>
          <w:lang w:val="es-ES_tradnl" w:eastAsia="es-ES"/>
        </w:rPr>
      </w:pPr>
      <w:r w:rsidRPr="00516BFF">
        <w:rPr>
          <w:rFonts w:ascii="Verdana" w:hAnsi="Verdana" w:cs="Arial"/>
          <w:sz w:val="20"/>
          <w:lang w:val="es-ES" w:eastAsia="es-ES"/>
        </w:rPr>
        <w:t>El pliego de condiciones es la hoja de ruta o plan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516BFF">
        <w:rPr>
          <w:rFonts w:ascii="Verdana" w:hAnsi="Verdana" w:cs="Arial"/>
          <w:sz w:val="20"/>
          <w:lang w:val="es-ES_tradnl" w:eastAsia="es-ES"/>
        </w:rPr>
        <w:t xml:space="preserve">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p>
    <w:p w14:paraId="2BD7957C" w14:textId="77777777" w:rsidR="00516BFF" w:rsidRPr="00516BFF" w:rsidRDefault="00516BFF" w:rsidP="00516BFF">
      <w:pPr>
        <w:spacing w:after="0" w:line="240" w:lineRule="auto"/>
        <w:jc w:val="both"/>
        <w:rPr>
          <w:rFonts w:ascii="Verdana" w:hAnsi="Verdana" w:cs="Arial"/>
          <w:b/>
          <w:lang w:val="es-ES" w:eastAsia="es-ES"/>
        </w:rPr>
      </w:pPr>
    </w:p>
    <w:p w14:paraId="204672A1" w14:textId="77777777" w:rsidR="00516BFF" w:rsidRPr="00516BFF" w:rsidRDefault="00516BFF" w:rsidP="00516BFF">
      <w:pPr>
        <w:spacing w:after="0" w:line="240" w:lineRule="auto"/>
        <w:jc w:val="both"/>
        <w:rPr>
          <w:rFonts w:ascii="Verdana" w:hAnsi="Verdana" w:cs="Arial"/>
          <w:b/>
          <w:lang w:val="es-ES" w:eastAsia="es-ES"/>
        </w:rPr>
      </w:pPr>
      <w:r w:rsidRPr="00516BFF">
        <w:rPr>
          <w:rFonts w:ascii="Verdana" w:hAnsi="Verdana" w:cs="Arial"/>
          <w:b/>
          <w:lang w:val="es-ES" w:eastAsia="es-ES"/>
        </w:rPr>
        <w:t>PLIE</w:t>
      </w:r>
      <w:r w:rsidRPr="00516BFF">
        <w:rPr>
          <w:rFonts w:ascii="Verdana" w:hAnsi="Verdana" w:cs="Arial"/>
          <w:b/>
          <w:lang w:val="es-ES" w:eastAsia="es-ES"/>
        </w:rPr>
        <w:t xml:space="preserve">GO DE CONDICIONES – Contenido </w:t>
      </w:r>
    </w:p>
    <w:p w14:paraId="5D58E5F4" w14:textId="2F3B9C05" w:rsidR="00516BFF" w:rsidRPr="00516BFF" w:rsidRDefault="00516BFF" w:rsidP="00516BFF">
      <w:pPr>
        <w:spacing w:after="0" w:line="240" w:lineRule="auto"/>
        <w:jc w:val="both"/>
        <w:rPr>
          <w:rFonts w:ascii="Verdana" w:hAnsi="Verdana" w:cs="Arial"/>
          <w:sz w:val="20"/>
          <w:szCs w:val="20"/>
          <w:lang w:val="es-ES" w:eastAsia="es-ES"/>
        </w:rPr>
      </w:pPr>
    </w:p>
    <w:p w14:paraId="1CDD4223" w14:textId="5859FF51" w:rsidR="00516BFF" w:rsidRPr="00516BFF" w:rsidRDefault="00516BFF" w:rsidP="00516BFF">
      <w:pPr>
        <w:spacing w:after="0" w:line="240" w:lineRule="auto"/>
        <w:jc w:val="both"/>
        <w:rPr>
          <w:rFonts w:ascii="Verdana" w:hAnsi="Verdana" w:cs="Arial"/>
          <w:sz w:val="20"/>
          <w:szCs w:val="20"/>
          <w:lang w:val="es-ES" w:eastAsia="es-ES"/>
        </w:rPr>
      </w:pPr>
      <w:r w:rsidRPr="00516BFF">
        <w:rPr>
          <w:rFonts w:ascii="Verdana" w:hAnsi="Verdana" w:cs="Arial"/>
          <w:sz w:val="20"/>
          <w:szCs w:val="20"/>
          <w:lang w:val="es-ES" w:eastAsia="es-ES"/>
        </w:rPr>
        <w:t xml:space="preserve">De este modo, el pliego de condiciones 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r w:rsidRPr="00516BFF">
        <w:rPr>
          <w:rFonts w:ascii="Verdana" w:hAnsi="Verdana" w:cs="Arial"/>
          <w:i/>
          <w:iCs/>
          <w:sz w:val="20"/>
          <w:szCs w:val="20"/>
          <w:lang w:val="es-ES" w:eastAsia="es-ES"/>
        </w:rPr>
        <w:t>iter</w:t>
      </w:r>
      <w:r w:rsidRPr="00516BFF">
        <w:rPr>
          <w:rFonts w:ascii="Verdana" w:hAnsi="Verdana" w:cs="Arial"/>
          <w:sz w:val="20"/>
          <w:szCs w:val="20"/>
          <w:lang w:val="es-ES" w:eastAsia="es-ES"/>
        </w:rPr>
        <w:t xml:space="preserve"> contractual. Su contenido está previsto en el numeral 5 del artículo 24 de la Ley 80 de 1993, que establece algunas directrices que se deben tenerse en cuenta en su elaboración.</w:t>
      </w:r>
    </w:p>
    <w:p w14:paraId="1D16CA58" w14:textId="77777777" w:rsidR="00516BFF" w:rsidRPr="00516BFF" w:rsidRDefault="00516BFF" w:rsidP="00516BFF">
      <w:pPr>
        <w:spacing w:after="0" w:line="240" w:lineRule="auto"/>
        <w:jc w:val="both"/>
        <w:rPr>
          <w:rFonts w:ascii="Verdana" w:hAnsi="Verdana" w:cs="Arial"/>
          <w:b/>
          <w:lang w:val="es-ES" w:eastAsia="es-ES"/>
        </w:rPr>
      </w:pPr>
    </w:p>
    <w:p w14:paraId="187A7525" w14:textId="77777777" w:rsidR="00516BFF" w:rsidRPr="00516BFF" w:rsidRDefault="00516BFF" w:rsidP="00516BFF">
      <w:pPr>
        <w:spacing w:after="0" w:line="240" w:lineRule="auto"/>
        <w:jc w:val="both"/>
        <w:rPr>
          <w:rFonts w:ascii="Verdana" w:hAnsi="Verdana" w:cs="Arial"/>
          <w:b/>
          <w:lang w:val="es-ES" w:eastAsia="es-ES"/>
        </w:rPr>
      </w:pPr>
      <w:r w:rsidRPr="00516BFF">
        <w:rPr>
          <w:rFonts w:ascii="Verdana" w:hAnsi="Verdana" w:cs="Arial"/>
          <w:b/>
          <w:lang w:val="es-ES" w:eastAsia="es-ES"/>
        </w:rPr>
        <w:t>PLIEGO DE CO</w:t>
      </w:r>
      <w:r w:rsidRPr="00516BFF">
        <w:rPr>
          <w:rFonts w:ascii="Verdana" w:hAnsi="Verdana" w:cs="Arial"/>
          <w:b/>
          <w:lang w:val="es-ES" w:eastAsia="es-ES"/>
        </w:rPr>
        <w:t>NDICIONES – Selección Objetiva</w:t>
      </w:r>
    </w:p>
    <w:p w14:paraId="56E9D290" w14:textId="478115D7" w:rsidR="00516BFF" w:rsidRPr="00516BFF" w:rsidRDefault="00516BFF" w:rsidP="00516BFF">
      <w:pPr>
        <w:spacing w:after="0" w:line="240" w:lineRule="auto"/>
        <w:jc w:val="both"/>
        <w:rPr>
          <w:rFonts w:ascii="Verdana" w:hAnsi="Verdana" w:cs="Arial"/>
          <w:sz w:val="20"/>
          <w:szCs w:val="20"/>
          <w:lang w:val="es-ES" w:eastAsia="es-ES"/>
        </w:rPr>
      </w:pPr>
    </w:p>
    <w:p w14:paraId="7EFE84D3" w14:textId="773EFC34" w:rsidR="00516BFF" w:rsidRDefault="00516BFF" w:rsidP="00516BFF">
      <w:pPr>
        <w:spacing w:after="0" w:line="240" w:lineRule="auto"/>
        <w:jc w:val="both"/>
        <w:rPr>
          <w:rFonts w:ascii="Verdana" w:hAnsi="Verdana" w:cs="Arial"/>
          <w:sz w:val="20"/>
          <w:szCs w:val="20"/>
          <w:lang w:val="es-ES" w:eastAsia="es-ES"/>
        </w:rPr>
      </w:pPr>
      <w:r w:rsidRPr="00516BFF">
        <w:rPr>
          <w:rFonts w:ascii="Verdana" w:hAnsi="Verdana" w:cs="Arial"/>
          <w:sz w:val="20"/>
          <w:szCs w:val="20"/>
          <w:lang w:val="es-ES" w:eastAsia="es-ES"/>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516BFF">
        <w:rPr>
          <w:rFonts w:ascii="Verdana" w:hAnsi="Verdana" w:cs="Arial"/>
          <w:sz w:val="20"/>
          <w:szCs w:val="20"/>
          <w:lang w:val="es-ES" w:eastAsia="es-ES" w:bidi="es-ES"/>
        </w:rPr>
        <w:t>establecidos por el ordenamiento jurídico</w:t>
      </w:r>
      <w:r w:rsidRPr="00516BFF">
        <w:rPr>
          <w:rFonts w:ascii="Verdana" w:hAnsi="Verdana" w:cs="Arial"/>
          <w:sz w:val="20"/>
          <w:szCs w:val="20"/>
          <w:lang w:val="es-ES" w:eastAsia="es-ES"/>
        </w:rPr>
        <w:t>, con fundamento en los estudios realizados en la fase de planeación. Además, tienen la carga de elaborarlos de manera idónea, objetiva, clara, precisa y completa, tal como se deduce de la disposición citada.</w:t>
      </w:r>
    </w:p>
    <w:p w14:paraId="465E5CA3" w14:textId="77777777" w:rsidR="00516BFF" w:rsidRPr="00516BFF" w:rsidRDefault="00516BFF" w:rsidP="00516BFF">
      <w:pPr>
        <w:spacing w:after="0" w:line="240" w:lineRule="auto"/>
        <w:jc w:val="both"/>
        <w:rPr>
          <w:rFonts w:ascii="Verdana" w:hAnsi="Verdana" w:cs="Arial"/>
          <w:sz w:val="20"/>
          <w:szCs w:val="20"/>
          <w:lang w:val="es-ES" w:eastAsia="es-ES"/>
        </w:rPr>
      </w:pPr>
    </w:p>
    <w:p w14:paraId="053A7FFA" w14:textId="72E5D323" w:rsidR="00516BFF" w:rsidRPr="00516BFF" w:rsidRDefault="00516BFF" w:rsidP="00516BFF">
      <w:pPr>
        <w:spacing w:after="0" w:line="240" w:lineRule="auto"/>
        <w:jc w:val="both"/>
        <w:rPr>
          <w:rFonts w:ascii="Verdana" w:hAnsi="Verdana" w:cs="Arial"/>
          <w:sz w:val="20"/>
          <w:szCs w:val="20"/>
          <w:lang w:eastAsia="es-ES"/>
        </w:rPr>
      </w:pPr>
      <w:r w:rsidRPr="00516BFF">
        <w:rPr>
          <w:rFonts w:ascii="Verdana" w:hAnsi="Verdana" w:cs="Arial"/>
          <w:sz w:val="20"/>
          <w:szCs w:val="20"/>
          <w:lang w:eastAsia="es-ES"/>
        </w:rPr>
        <w:t>Sumado a lo anterior, la Corte Constitucional ha señalado, frente a la selección objetiva, que las entidades estatales no pueden establecer reglas subjetivas, sino que deben adoptar criterios razonables y objetivos, de acuerdo con las normas que rigen la actividad contractual. En otro pronunciamiento, el Consejo de Estado precisó que la autonomía que tienen las entidades frente a la configuración de los pliegos de condiciones y los criterios de selección de los procedimientos de contratación no es absoluta.</w:t>
      </w:r>
    </w:p>
    <w:p w14:paraId="3E2FB44B" w14:textId="77777777" w:rsidR="00516BFF" w:rsidRPr="00516BFF" w:rsidRDefault="00516BFF" w:rsidP="00516BFF">
      <w:pPr>
        <w:spacing w:after="0" w:line="240" w:lineRule="auto"/>
        <w:jc w:val="both"/>
        <w:rPr>
          <w:rFonts w:ascii="Verdana" w:hAnsi="Verdana" w:cs="Arial"/>
          <w:b/>
          <w:lang w:eastAsia="es-ES"/>
        </w:rPr>
      </w:pPr>
    </w:p>
    <w:p w14:paraId="5129E786" w14:textId="18FDE957" w:rsidR="00516BFF" w:rsidRPr="00516BFF" w:rsidRDefault="00516BFF" w:rsidP="00516BFF">
      <w:pPr>
        <w:spacing w:after="0" w:line="240" w:lineRule="auto"/>
        <w:jc w:val="both"/>
        <w:rPr>
          <w:rFonts w:ascii="Verdana" w:hAnsi="Verdana" w:cs="Arial"/>
          <w:b/>
          <w:lang w:val="es-ES" w:eastAsia="es-ES"/>
        </w:rPr>
      </w:pPr>
      <w:r w:rsidRPr="00516BFF">
        <w:rPr>
          <w:rFonts w:ascii="Verdana" w:hAnsi="Verdana" w:cs="Arial"/>
          <w:b/>
          <w:lang w:val="es-ES" w:eastAsia="es-ES"/>
        </w:rPr>
        <w:t xml:space="preserve">CAUSALES DE RECHAZO </w:t>
      </w:r>
      <w:r w:rsidRPr="00516BFF">
        <w:rPr>
          <w:rFonts w:ascii="Verdana" w:hAnsi="Verdana" w:cs="Arial"/>
          <w:b/>
          <w:lang w:val="es-ES" w:eastAsia="es-ES"/>
        </w:rPr>
        <w:t xml:space="preserve">– Alcance – Selección Objetiva </w:t>
      </w:r>
    </w:p>
    <w:p w14:paraId="5F8B7C41" w14:textId="26AC61E2" w:rsidR="00516BFF" w:rsidRPr="00DB686C" w:rsidRDefault="00516BFF" w:rsidP="00DB686C">
      <w:pPr>
        <w:spacing w:after="0" w:line="240" w:lineRule="auto"/>
        <w:jc w:val="both"/>
        <w:rPr>
          <w:rFonts w:ascii="Verdana" w:hAnsi="Verdana" w:cs="Arial"/>
          <w:sz w:val="20"/>
          <w:lang w:val="es-ES" w:eastAsia="es-ES"/>
        </w:rPr>
      </w:pPr>
    </w:p>
    <w:p w14:paraId="521CEFCC" w14:textId="5EFA399A" w:rsidR="00DB686C" w:rsidRPr="00DB686C" w:rsidRDefault="00DB686C" w:rsidP="00DB686C">
      <w:pPr>
        <w:spacing w:after="0" w:line="240" w:lineRule="auto"/>
        <w:jc w:val="both"/>
        <w:rPr>
          <w:rFonts w:ascii="Verdana" w:hAnsi="Verdana" w:cs="Arial"/>
          <w:sz w:val="20"/>
          <w:lang w:eastAsia="es-ES"/>
        </w:rPr>
      </w:pPr>
      <w:r w:rsidRPr="00DB686C">
        <w:rPr>
          <w:rFonts w:ascii="Verdana" w:hAnsi="Verdana" w:cs="Arial"/>
          <w:sz w:val="20"/>
          <w:lang w:eastAsia="es-ES"/>
        </w:rPr>
        <w:t xml:space="preserve">Para garantizar la selección objetiva, es necesario, entre otras, que las entidades estatales se abstengan de rechazar las ofertas por el incumplimiento de requisitos meramente formales, sacrificando la favorabilidad que podría representar la oferta que </w:t>
      </w:r>
      <w:r w:rsidRPr="00DB686C">
        <w:rPr>
          <w:rFonts w:ascii="Verdana" w:hAnsi="Verdana" w:cs="Arial"/>
          <w:sz w:val="20"/>
          <w:lang w:eastAsia="es-ES"/>
        </w:rPr>
        <w:lastRenderedPageBreak/>
        <w:t>adolezca de estos defectos, si se permitiese su corrección. En otras palabras, la selección objetiva se encuentra ligada a la obligación que tienen las entidades estatales de permitir la subsanación de los requisitos de participación, bajo las condiciones indicadas en la ley, antes de tomar la decisión de rechazar las propuestas que hayan omitido la observancia de requisitos no necesarios para la comparación de las ofertas.</w:t>
      </w:r>
    </w:p>
    <w:p w14:paraId="4080BD02" w14:textId="77777777" w:rsidR="00DB686C" w:rsidRPr="00DB686C" w:rsidRDefault="00DB686C" w:rsidP="00DB686C">
      <w:pPr>
        <w:spacing w:after="0" w:line="240" w:lineRule="auto"/>
        <w:jc w:val="both"/>
        <w:rPr>
          <w:rFonts w:ascii="Verdana" w:hAnsi="Verdana" w:cs="Arial"/>
          <w:sz w:val="20"/>
          <w:lang w:val="es-ES" w:eastAsia="es-ES"/>
        </w:rPr>
      </w:pPr>
    </w:p>
    <w:p w14:paraId="3B284AF0" w14:textId="77777777" w:rsidR="00DB686C" w:rsidRPr="00DB686C" w:rsidRDefault="00DB686C" w:rsidP="00DB686C">
      <w:pPr>
        <w:spacing w:after="0" w:line="240" w:lineRule="auto"/>
        <w:jc w:val="both"/>
        <w:rPr>
          <w:rFonts w:ascii="Verdana" w:hAnsi="Verdana" w:cs="Arial"/>
          <w:bCs/>
          <w:sz w:val="20"/>
          <w:lang w:eastAsia="es-ES"/>
        </w:rPr>
      </w:pPr>
      <w:r w:rsidRPr="00DB686C">
        <w:rPr>
          <w:rFonts w:ascii="Verdana" w:hAnsi="Verdana" w:cs="Arial"/>
          <w:sz w:val="20"/>
          <w:lang w:eastAsia="es-ES"/>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r w:rsidRPr="00DB686C">
        <w:rPr>
          <w:rFonts w:ascii="Verdana" w:hAnsi="Verdana" w:cs="Arial"/>
          <w:bCs/>
          <w:sz w:val="20"/>
          <w:lang w:eastAsia="es-ES"/>
        </w:rPr>
        <w:t xml:space="preserve"> En ese orden de ideas, el rechazo de las ofertas debe provenir entre otros factores, de la imposibilidad de hacer una escogencia favorable a la entidad estatal y a los fines que ella busca en cumplimiento del deber de selección objetiva, que garantiza la libertad de competencia regulado en el artículo 333 constitucional.</w:t>
      </w:r>
    </w:p>
    <w:p w14:paraId="3E33D4B9" w14:textId="77777777" w:rsidR="00516BFF" w:rsidRPr="00DB686C" w:rsidRDefault="00516BFF" w:rsidP="00516BFF">
      <w:pPr>
        <w:spacing w:after="0" w:line="240" w:lineRule="auto"/>
        <w:jc w:val="both"/>
        <w:rPr>
          <w:rFonts w:ascii="Verdana" w:hAnsi="Verdana" w:cs="Arial"/>
          <w:b/>
          <w:lang w:eastAsia="es-ES"/>
        </w:rPr>
      </w:pPr>
    </w:p>
    <w:p w14:paraId="2723ADF2" w14:textId="46F5D224" w:rsidR="00516BFF" w:rsidRPr="00516BFF" w:rsidRDefault="00516BFF" w:rsidP="00516BFF">
      <w:pPr>
        <w:spacing w:after="0" w:line="240" w:lineRule="auto"/>
        <w:jc w:val="both"/>
        <w:rPr>
          <w:rFonts w:ascii="Verdana" w:hAnsi="Verdana" w:cs="Arial"/>
          <w:b/>
          <w:bCs/>
          <w:highlight w:val="yellow"/>
          <w:lang w:val="es-MX" w:eastAsia="es-ES"/>
        </w:rPr>
      </w:pPr>
      <w:r w:rsidRPr="00516BFF">
        <w:rPr>
          <w:rFonts w:ascii="Verdana" w:hAnsi="Verdana" w:cs="Arial"/>
          <w:b/>
          <w:lang w:val="es-ES" w:eastAsia="es-ES"/>
        </w:rPr>
        <w:t xml:space="preserve"> PLIEGOS DE CONDICIONES – Discrecionalidad – Proporcionalidad.   </w:t>
      </w:r>
    </w:p>
    <w:p w14:paraId="3841D86D" w14:textId="77777777" w:rsidR="00516BFF" w:rsidRPr="00DB686C" w:rsidRDefault="00516BFF" w:rsidP="00DB686C">
      <w:pPr>
        <w:spacing w:after="0"/>
        <w:jc w:val="both"/>
        <w:rPr>
          <w:rFonts w:ascii="Verdana" w:eastAsia="Verdana" w:hAnsi="Verdana" w:cs="Verdana"/>
          <w:sz w:val="20"/>
          <w:lang w:val="es-MX"/>
        </w:rPr>
      </w:pPr>
    </w:p>
    <w:p w14:paraId="001DD960" w14:textId="77777777" w:rsidR="00DB686C" w:rsidRPr="00DB686C" w:rsidRDefault="00DB686C" w:rsidP="00DB686C">
      <w:pPr>
        <w:spacing w:after="0"/>
        <w:jc w:val="both"/>
        <w:rPr>
          <w:rFonts w:ascii="Verdana" w:eastAsia="Verdana" w:hAnsi="Verdana" w:cs="Verdana"/>
          <w:sz w:val="20"/>
        </w:rPr>
      </w:pPr>
      <w:r w:rsidRPr="00DB686C">
        <w:rPr>
          <w:rFonts w:ascii="Verdana" w:eastAsia="Verdana" w:hAnsi="Verdana" w:cs="Verdana"/>
          <w:sz w:val="20"/>
        </w:rPr>
        <w:t xml:space="preserve">En este escenario, el principio de autonomía de la voluntad, reconocido en los artículos 13, 32 y 40 de la Ley 80 de 1993 para las entidades sometidas al Estatuto General de Contratación de la Administración Pública, actúa entonces como el fundamento normativo que otorga a las Entidades Estatales competencia para que puedan establecer causales de rechazo, requisitos habilitantes, así como criterios de evaluación para la participación en un proceso de contratación pública. </w:t>
      </w:r>
      <w:r w:rsidRPr="00DB686C">
        <w:rPr>
          <w:rFonts w:ascii="Verdana" w:eastAsia="Verdana" w:hAnsi="Verdana" w:cs="Verdana"/>
          <w:bCs/>
          <w:sz w:val="20"/>
        </w:rPr>
        <w:t xml:space="preserve">En todo caso, se recuerda a las entidades públicas que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“En la medida en que el contenido de una decisión de carácter general o particular sea discrecional, debe ser adecuada a los fines de la norma que la autoriza, y proporcional a los hechos que le sirven de causa”. Así las cosas, el cumplimiento de las exigencias derivadas del principio de proporcionalidad es una condición ineludible para la admisibilidad de cualquier criterio de adjudicación del contrato, así como para su acreditación dentro de un proceso de acreditación. </w:t>
      </w:r>
    </w:p>
    <w:p w14:paraId="37C4492C" w14:textId="77777777" w:rsidR="00516BFF" w:rsidRDefault="00516BFF" w:rsidP="007A7D11">
      <w:pPr>
        <w:spacing w:after="0"/>
        <w:rPr>
          <w:rFonts w:ascii="Verdana" w:eastAsia="Verdana" w:hAnsi="Verdana" w:cs="Verdana"/>
        </w:rPr>
      </w:pPr>
    </w:p>
    <w:p w14:paraId="2F1EE1A8" w14:textId="77777777" w:rsidR="00516BFF" w:rsidRDefault="00516BFF" w:rsidP="007A7D11">
      <w:pPr>
        <w:spacing w:after="0"/>
        <w:rPr>
          <w:rFonts w:ascii="Verdana" w:eastAsia="Verdana" w:hAnsi="Verdana" w:cs="Verdana"/>
        </w:rPr>
      </w:pPr>
    </w:p>
    <w:p w14:paraId="6D972EF9" w14:textId="0C7CE9B8" w:rsidR="007A7D11" w:rsidRDefault="00516BFF" w:rsidP="007A7D11">
      <w:pPr>
        <w:spacing w:after="0"/>
      </w:pPr>
      <w:bookmarkStart w:id="1" w:name="_GoBack"/>
      <w:r w:rsidRPr="00516BFF">
        <w:rPr>
          <w:noProof/>
          <w:lang w:val="en-US"/>
        </w:rPr>
        <w:lastRenderedPageBreak/>
        <w:drawing>
          <wp:anchor distT="0" distB="0" distL="114300" distR="114300" simplePos="0" relativeHeight="251658240" behindDoc="0" locked="0" layoutInCell="1" allowOverlap="1" wp14:anchorId="200432B8" wp14:editId="58C105DE">
            <wp:simplePos x="0" y="0"/>
            <wp:positionH relativeFrom="margin">
              <wp:posOffset>2909570</wp:posOffset>
            </wp:positionH>
            <wp:positionV relativeFrom="paragraph">
              <wp:posOffset>163195</wp:posOffset>
            </wp:positionV>
            <wp:extent cx="2690495" cy="760095"/>
            <wp:effectExtent l="0" t="0" r="0" b="190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90495" cy="760095"/>
                    </a:xfrm>
                    <a:prstGeom prst="rect">
                      <a:avLst/>
                    </a:prstGeom>
                    <a:noFill/>
                    <a:ln>
                      <a:noFill/>
                    </a:ln>
                  </pic:spPr>
                </pic:pic>
              </a:graphicData>
            </a:graphic>
            <wp14:sizeRelH relativeFrom="margin">
              <wp14:pctWidth>0</wp14:pctWidth>
            </wp14:sizeRelH>
          </wp:anchor>
        </w:drawing>
      </w:r>
      <w:bookmarkEnd w:id="1"/>
      <w:r w:rsidR="007A7D11" w:rsidRPr="30821638">
        <w:rPr>
          <w:rFonts w:ascii="Verdana" w:eastAsia="Verdana" w:hAnsi="Verdana" w:cs="Verdana"/>
        </w:rPr>
        <w:t>Bogotá D.C.,</w:t>
      </w:r>
      <w:r>
        <w:rPr>
          <w:rFonts w:ascii="Verdana" w:eastAsia="Verdana" w:hAnsi="Verdana" w:cs="Verdana"/>
        </w:rPr>
        <w:t xml:space="preserve"> 18 de marzo de 2026</w:t>
      </w:r>
      <w:r w:rsidR="007A7D11">
        <w:tab/>
      </w:r>
      <w:r w:rsidR="007A7D11">
        <w:br/>
      </w:r>
    </w:p>
    <w:p w14:paraId="5BF1EF94" w14:textId="77777777" w:rsidR="007A7D11" w:rsidRPr="002B4BE9" w:rsidRDefault="007A7D11" w:rsidP="007A7D11">
      <w:pPr>
        <w:spacing w:after="0" w:line="240" w:lineRule="auto"/>
        <w:ind w:left="708" w:hanging="708"/>
        <w:rPr>
          <w:rFonts w:ascii="Verdana" w:hAnsi="Verdana"/>
        </w:rPr>
      </w:pPr>
    </w:p>
    <w:p w14:paraId="6B80FAF9" w14:textId="77777777" w:rsidR="007A7D11" w:rsidRDefault="007A7D11" w:rsidP="007A7D11">
      <w:pPr>
        <w:spacing w:after="0" w:line="240" w:lineRule="auto"/>
        <w:rPr>
          <w:rFonts w:ascii="Verdana" w:eastAsia="Calibri" w:hAnsi="Verdana" w:cs="Times New Roman"/>
          <w:lang w:val="es-MX"/>
        </w:rPr>
      </w:pPr>
      <w:r w:rsidRPr="002B4BE9">
        <w:rPr>
          <w:rFonts w:ascii="Verdana" w:eastAsia="Calibri" w:hAnsi="Verdana" w:cs="Times New Roman"/>
          <w:lang w:val="es-MX"/>
        </w:rPr>
        <w:t>Señor</w:t>
      </w:r>
    </w:p>
    <w:p w14:paraId="4E29061C" w14:textId="77777777" w:rsidR="007A7D11" w:rsidRPr="00506CF2" w:rsidRDefault="007A7D11" w:rsidP="007A7D11">
      <w:pPr>
        <w:spacing w:after="0" w:line="240" w:lineRule="auto"/>
        <w:rPr>
          <w:rFonts w:ascii="Verdana" w:eastAsia="Calibri" w:hAnsi="Verdana" w:cs="Times New Roman"/>
          <w:b/>
          <w:lang w:val="es-MX"/>
        </w:rPr>
      </w:pPr>
      <w:r w:rsidRPr="00506CF2">
        <w:rPr>
          <w:rFonts w:ascii="Verdana" w:eastAsia="Calibri" w:hAnsi="Verdana" w:cs="Times New Roman"/>
          <w:b/>
          <w:lang w:val="es-MX"/>
        </w:rPr>
        <w:t xml:space="preserve">Ciudadano </w:t>
      </w:r>
    </w:p>
    <w:p w14:paraId="16DC507E" w14:textId="77777777" w:rsidR="007A7D11" w:rsidRPr="00D46C24" w:rsidRDefault="007A7D11" w:rsidP="007A7D11">
      <w:pPr>
        <w:spacing w:after="0" w:line="240" w:lineRule="auto"/>
        <w:rPr>
          <w:rFonts w:ascii="Verdana" w:eastAsia="Calibri" w:hAnsi="Verdana" w:cs="Times New Roman"/>
          <w:lang w:val="es-MX"/>
        </w:rPr>
      </w:pPr>
      <w:r>
        <w:rPr>
          <w:rFonts w:ascii="Verdana" w:eastAsia="Calibri" w:hAnsi="Verdana" w:cs="Times New Roman"/>
          <w:bCs/>
        </w:rPr>
        <w:t>Bogotá D.C.</w:t>
      </w:r>
      <w:r w:rsidRPr="003B0DFC">
        <w:rPr>
          <w:rFonts w:ascii="Verdana" w:eastAsia="Calibri" w:hAnsi="Verdana" w:cs="Times New Roman"/>
          <w:bCs/>
        </w:rPr>
        <w:t xml:space="preserve"> </w:t>
      </w:r>
    </w:p>
    <w:p w14:paraId="1D08AFF7" w14:textId="77777777" w:rsidR="007A7D11" w:rsidRPr="002B4BE9" w:rsidRDefault="007A7D11" w:rsidP="007A7D11">
      <w:pPr>
        <w:spacing w:after="0" w:line="240" w:lineRule="auto"/>
        <w:rPr>
          <w:rFonts w:ascii="Verdana" w:eastAsia="Calibri" w:hAnsi="Verdana" w:cs="Times New Roman"/>
        </w:rPr>
      </w:pPr>
    </w:p>
    <w:p w14:paraId="7153676D" w14:textId="77777777" w:rsidR="007A7D11" w:rsidRPr="002B4BE9" w:rsidRDefault="007A7D11" w:rsidP="007A7D11">
      <w:pPr>
        <w:spacing w:after="0" w:line="240" w:lineRule="auto"/>
        <w:rPr>
          <w:rFonts w:ascii="Verdana" w:eastAsia="Calibri" w:hAnsi="Verdana" w:cs="Times New Roman"/>
        </w:rPr>
      </w:pPr>
    </w:p>
    <w:p w14:paraId="27B3B27E" w14:textId="77777777" w:rsidR="007A7D11" w:rsidRPr="002B4BE9" w:rsidRDefault="007A7D11" w:rsidP="007A7D11">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C–191 de 2026</w:t>
      </w:r>
    </w:p>
    <w:p w14:paraId="33D342D9" w14:textId="77777777" w:rsidR="007A7D11" w:rsidRPr="002B4BE9" w:rsidRDefault="007A7D11" w:rsidP="007A7D11">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A7D11" w:rsidRPr="002B4BE9" w14:paraId="4EFC3CE9" w14:textId="77777777" w:rsidTr="00156BC1">
        <w:trPr>
          <w:trHeight w:val="645"/>
        </w:trPr>
        <w:tc>
          <w:tcPr>
            <w:tcW w:w="2685" w:type="dxa"/>
            <w:hideMark/>
          </w:tcPr>
          <w:p w14:paraId="4AB845B7" w14:textId="77777777" w:rsidR="007A7D11" w:rsidRPr="002B4BE9" w:rsidRDefault="007A7D11" w:rsidP="00156BC1">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1A5750E1" w14:textId="77777777" w:rsidR="007A7D11" w:rsidRPr="005A730F" w:rsidRDefault="007A7D11" w:rsidP="00156BC1">
            <w:pPr>
              <w:spacing w:line="276" w:lineRule="auto"/>
              <w:jc w:val="both"/>
              <w:rPr>
                <w:rFonts w:ascii="Verdana" w:hAnsi="Verdana" w:cs="Arial"/>
                <w:bCs/>
                <w:highlight w:val="yellow"/>
                <w:lang w:val="es-MX" w:eastAsia="es-ES"/>
              </w:rPr>
            </w:pPr>
            <w:r w:rsidRPr="00CF4909">
              <w:rPr>
                <w:rFonts w:ascii="Verdana" w:hAnsi="Verdana" w:cs="Arial"/>
                <w:lang w:val="es-ES" w:eastAsia="es-ES"/>
              </w:rPr>
              <w:t>PLIEGOS DE CONDICIONES – Naturaleza</w:t>
            </w:r>
            <w:r>
              <w:rPr>
                <w:rFonts w:ascii="Verdana" w:hAnsi="Verdana" w:cs="Arial"/>
                <w:lang w:val="es-ES" w:eastAsia="es-ES"/>
              </w:rPr>
              <w:t xml:space="preserve"> / PLIEGO DE CONDICIONES – Contenido / PLIEGO DE CONDICIONES – Selección Objetiva / CAUSALES DE RECHAZO – Alcance – Selección Objetiva / PLIEGOS DE CONDICIONES – Discrecionalidad – Proporcionalidad.  </w:t>
            </w:r>
            <w:r w:rsidRPr="00CF4909">
              <w:rPr>
                <w:rFonts w:ascii="Verdana" w:hAnsi="Verdana" w:cs="Arial"/>
                <w:lang w:val="es-ES" w:eastAsia="es-ES"/>
              </w:rPr>
              <w:t xml:space="preserve"> </w:t>
            </w:r>
          </w:p>
          <w:p w14:paraId="22C68196" w14:textId="77777777" w:rsidR="007A7D11" w:rsidRPr="005A730F" w:rsidRDefault="007A7D11" w:rsidP="00156BC1">
            <w:pPr>
              <w:snapToGrid w:val="0"/>
              <w:spacing w:line="276" w:lineRule="auto"/>
              <w:jc w:val="both"/>
              <w:rPr>
                <w:rFonts w:ascii="Verdana" w:hAnsi="Verdana" w:cs="Arial"/>
                <w:bCs/>
                <w:highlight w:val="yellow"/>
                <w:lang w:val="es-ES" w:eastAsia="es-ES"/>
              </w:rPr>
            </w:pPr>
          </w:p>
          <w:p w14:paraId="346613A9" w14:textId="77777777" w:rsidR="007A7D11" w:rsidRPr="005A730F" w:rsidRDefault="007A7D11" w:rsidP="00156BC1">
            <w:pPr>
              <w:snapToGrid w:val="0"/>
              <w:spacing w:line="276" w:lineRule="auto"/>
              <w:jc w:val="both"/>
              <w:rPr>
                <w:rFonts w:ascii="Verdana" w:hAnsi="Verdana" w:cs="Arial"/>
                <w:bCs/>
                <w:highlight w:val="yellow"/>
                <w:lang w:val="es-ES" w:eastAsia="es-ES"/>
              </w:rPr>
            </w:pPr>
          </w:p>
        </w:tc>
        <w:tc>
          <w:tcPr>
            <w:tcW w:w="6237" w:type="dxa"/>
          </w:tcPr>
          <w:p w14:paraId="4B0D0EC3" w14:textId="77777777" w:rsidR="007A7D11" w:rsidRPr="002B4BE9" w:rsidRDefault="007A7D11" w:rsidP="00156BC1">
            <w:pPr>
              <w:rPr>
                <w:rFonts w:ascii="Verdana" w:hAnsi="Verdana"/>
                <w:lang w:val="es-ES"/>
              </w:rPr>
            </w:pPr>
          </w:p>
        </w:tc>
      </w:tr>
      <w:tr w:rsidR="007A7D11" w:rsidRPr="002B4BE9" w14:paraId="5DC90AF1" w14:textId="77777777" w:rsidTr="00156BC1">
        <w:tc>
          <w:tcPr>
            <w:tcW w:w="2685" w:type="dxa"/>
          </w:tcPr>
          <w:p w14:paraId="3DB989F7" w14:textId="77777777" w:rsidR="007A7D11" w:rsidRPr="00995618" w:rsidRDefault="007A7D11" w:rsidP="00156BC1">
            <w:pPr>
              <w:rPr>
                <w:rFonts w:ascii="Verdana" w:hAnsi="Verdana"/>
                <w:b/>
                <w:bCs/>
                <w:lang w:val="es-ES_tradnl"/>
              </w:rPr>
            </w:pPr>
            <w:r w:rsidRPr="002B4BE9">
              <w:rPr>
                <w:rFonts w:ascii="Verdana" w:hAnsi="Verdana"/>
                <w:b/>
                <w:bCs/>
                <w:lang w:val="es-ES_tradnl"/>
              </w:rPr>
              <w:t xml:space="preserve">Radicación:               </w:t>
            </w:r>
          </w:p>
        </w:tc>
        <w:tc>
          <w:tcPr>
            <w:tcW w:w="6241" w:type="dxa"/>
          </w:tcPr>
          <w:p w14:paraId="11EEA1F9" w14:textId="77777777" w:rsidR="007A7D11" w:rsidRPr="002B4BE9" w:rsidRDefault="007A7D11" w:rsidP="00156BC1">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D46C24">
              <w:rPr>
                <w:rFonts w:ascii="Verdana" w:hAnsi="Verdana"/>
              </w:rPr>
              <w:t>1_2026_02_10_001684</w:t>
            </w:r>
          </w:p>
          <w:p w14:paraId="0AC88DC0" w14:textId="77777777" w:rsidR="007A7D11" w:rsidRPr="002B4BE9" w:rsidRDefault="007A7D11" w:rsidP="00156BC1">
            <w:pPr>
              <w:spacing w:line="276" w:lineRule="auto"/>
              <w:jc w:val="both"/>
              <w:rPr>
                <w:rFonts w:ascii="Verdana" w:hAnsi="Verdana"/>
              </w:rPr>
            </w:pPr>
          </w:p>
          <w:p w14:paraId="4AF2AC62" w14:textId="77777777" w:rsidR="007A7D11" w:rsidRPr="002B4BE9" w:rsidRDefault="007A7D11" w:rsidP="00156BC1">
            <w:pPr>
              <w:spacing w:line="276" w:lineRule="auto"/>
              <w:jc w:val="both"/>
              <w:rPr>
                <w:rFonts w:ascii="Verdana" w:hAnsi="Verdana"/>
              </w:rPr>
            </w:pPr>
          </w:p>
        </w:tc>
        <w:tc>
          <w:tcPr>
            <w:tcW w:w="6237" w:type="dxa"/>
          </w:tcPr>
          <w:p w14:paraId="5ACBF6D4" w14:textId="77777777" w:rsidR="007A7D11" w:rsidRPr="002B4BE9" w:rsidRDefault="007A7D11" w:rsidP="00156BC1">
            <w:pPr>
              <w:rPr>
                <w:rFonts w:ascii="Verdana" w:hAnsi="Verdana"/>
              </w:rPr>
            </w:pPr>
          </w:p>
        </w:tc>
      </w:tr>
    </w:tbl>
    <w:p w14:paraId="04B596EC" w14:textId="77777777" w:rsidR="007A7D11" w:rsidRPr="009037F6" w:rsidRDefault="007A7D11" w:rsidP="007A7D11">
      <w:pPr>
        <w:spacing w:after="0" w:line="256" w:lineRule="auto"/>
        <w:rPr>
          <w:rFonts w:ascii="Verdana" w:eastAsia="Calibri" w:hAnsi="Verdana" w:cs="Times New Roman"/>
          <w:lang w:val="es-ES"/>
        </w:rPr>
      </w:pPr>
      <w:r>
        <w:rPr>
          <w:rFonts w:ascii="Verdana" w:eastAsia="Calibri" w:hAnsi="Verdana" w:cs="Times New Roman"/>
          <w:lang w:val="es-ES"/>
        </w:rPr>
        <w:t>Estimado Ciudadano</w:t>
      </w:r>
      <w:r w:rsidRPr="009037F6">
        <w:rPr>
          <w:rFonts w:ascii="Verdana" w:eastAsia="Calibri" w:hAnsi="Verdana" w:cs="Times New Roman"/>
          <w:lang w:val="es-ES"/>
        </w:rPr>
        <w:t xml:space="preserve">: </w:t>
      </w:r>
    </w:p>
    <w:p w14:paraId="456B8745" w14:textId="77777777" w:rsidR="007A7D11" w:rsidRPr="009037F6" w:rsidRDefault="007A7D11" w:rsidP="007A7D11">
      <w:pPr>
        <w:spacing w:after="120" w:line="276" w:lineRule="auto"/>
        <w:rPr>
          <w:rFonts w:ascii="Verdana" w:eastAsia="Calibri" w:hAnsi="Verdana" w:cs="Times New Roman"/>
          <w:lang w:val="es-ES"/>
        </w:rPr>
      </w:pPr>
    </w:p>
    <w:p w14:paraId="493129FF" w14:textId="77777777" w:rsidR="007A7D11" w:rsidRPr="005A730F" w:rsidRDefault="007A7D11" w:rsidP="007A7D11">
      <w:pPr>
        <w:spacing w:after="120" w:line="276" w:lineRule="auto"/>
        <w:jc w:val="both"/>
        <w:rPr>
          <w:rFonts w:ascii="Verdana" w:eastAsia="Calibri" w:hAnsi="Verdana" w:cs="Times New Roman"/>
          <w:bCs/>
          <w:lang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10 de febrero de 2026</w:t>
      </w:r>
      <w:r w:rsidRPr="009037F6">
        <w:rPr>
          <w:rFonts w:ascii="Verdana" w:eastAsia="Calibri" w:hAnsi="Verdana" w:cs="Times New Roman"/>
          <w:bCs/>
          <w:lang w:val="es-ES" w:bidi="es-ES"/>
        </w:rPr>
        <w:t xml:space="preserve">, en la cual manifiesta: </w:t>
      </w:r>
      <w:r>
        <w:rPr>
          <w:rFonts w:ascii="Verdana" w:eastAsia="Calibri" w:hAnsi="Verdana" w:cs="Times New Roman"/>
          <w:bCs/>
          <w:lang w:val="es-ES" w:bidi="es-ES"/>
        </w:rPr>
        <w:t>“</w:t>
      </w:r>
      <w:r w:rsidRPr="005A730F">
        <w:rPr>
          <w:rFonts w:ascii="Verdana" w:eastAsia="Calibri" w:hAnsi="Verdana" w:cs="Times New Roman"/>
          <w:bCs/>
          <w:lang w:bidi="es-ES"/>
        </w:rPr>
        <w:t>Presentar la oferta económica de una licitación</w:t>
      </w:r>
      <w:r>
        <w:rPr>
          <w:rFonts w:ascii="Verdana" w:eastAsia="Calibri" w:hAnsi="Verdana" w:cs="Times New Roman"/>
          <w:bCs/>
          <w:lang w:bidi="es-ES"/>
        </w:rPr>
        <w:t xml:space="preserve"> de obra publica (sic) en una caja de </w:t>
      </w:r>
      <w:r w:rsidRPr="005A730F">
        <w:rPr>
          <w:rFonts w:ascii="Verdana" w:eastAsia="Calibri" w:hAnsi="Verdana" w:cs="Times New Roman"/>
          <w:bCs/>
          <w:lang w:bidi="es-ES"/>
        </w:rPr>
        <w:t>seguridad con clave de acceso para abrirla, puede considerarse como</w:t>
      </w:r>
      <w:r>
        <w:rPr>
          <w:rFonts w:ascii="Verdana" w:eastAsia="Calibri" w:hAnsi="Verdana" w:cs="Times New Roman"/>
          <w:bCs/>
          <w:lang w:bidi="es-ES"/>
        </w:rPr>
        <w:t xml:space="preserve"> condicionamiento de oferta?”.</w:t>
      </w:r>
    </w:p>
    <w:p w14:paraId="7E2503DC" w14:textId="77777777" w:rsidR="007A7D11" w:rsidRPr="009037F6" w:rsidRDefault="007A7D11" w:rsidP="007A7D11">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9037F6">
        <w:rPr>
          <w:rFonts w:ascii="Verdana" w:eastAsia="Calibri" w:hAnsi="Verdana" w:cs="Times New Roman"/>
          <w:lang w:val="es-ES"/>
        </w:rPr>
        <w:lastRenderedPageBreak/>
        <w:t>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D120229" w14:textId="77777777" w:rsidR="007A7D11" w:rsidRPr="009037F6" w:rsidRDefault="007A7D11" w:rsidP="007A7D11">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el problema jurídico de su consulta. </w:t>
      </w:r>
    </w:p>
    <w:p w14:paraId="66E9C6D1" w14:textId="77777777" w:rsidR="007A7D11" w:rsidRPr="009037F6" w:rsidRDefault="007A7D11" w:rsidP="007A7D11">
      <w:pPr>
        <w:spacing w:after="0" w:line="276" w:lineRule="auto"/>
        <w:rPr>
          <w:rFonts w:ascii="Verdana" w:eastAsia="Calibri" w:hAnsi="Verdana" w:cs="Times New Roman"/>
          <w:lang w:val="es-ES"/>
        </w:rPr>
      </w:pPr>
    </w:p>
    <w:p w14:paraId="317D3DBB" w14:textId="77777777" w:rsidR="007A7D11" w:rsidRPr="009037F6" w:rsidRDefault="007A7D11" w:rsidP="007A7D11">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2CB607CD" w14:textId="77777777" w:rsidR="007A7D11" w:rsidRPr="009037F6" w:rsidRDefault="007A7D11" w:rsidP="007A7D11">
      <w:pPr>
        <w:spacing w:after="0" w:line="276" w:lineRule="auto"/>
        <w:rPr>
          <w:rFonts w:ascii="Verdana" w:eastAsia="Calibri" w:hAnsi="Verdana" w:cs="Times New Roman"/>
        </w:rPr>
      </w:pPr>
    </w:p>
    <w:p w14:paraId="5E560748" w14:textId="77777777" w:rsidR="007A7D11" w:rsidRPr="00120B69" w:rsidRDefault="007A7D11" w:rsidP="007A7D11">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w:t>
      </w:r>
      <w:r w:rsidRPr="009262BC">
        <w:rPr>
          <w:rFonts w:ascii="Verdana" w:eastAsia="Calibri" w:hAnsi="Verdana" w:cs="Times New Roman"/>
        </w:rPr>
        <w:t>¿La exigencia de presentar la oferta económica en una caja de seguridad con clave de acceso constituye una restricción indebida que limita la libre concurrencia de los proponentes en los procesos de contratación pública?</w:t>
      </w:r>
    </w:p>
    <w:p w14:paraId="25623DC2" w14:textId="77777777" w:rsidR="007A7D11" w:rsidRPr="009037F6" w:rsidRDefault="007A7D11" w:rsidP="007A7D11">
      <w:pPr>
        <w:spacing w:after="0" w:line="276" w:lineRule="auto"/>
        <w:jc w:val="both"/>
        <w:rPr>
          <w:rFonts w:ascii="Verdana" w:eastAsia="Calibri" w:hAnsi="Verdana" w:cs="Times New Roman"/>
          <w:i/>
          <w:iCs/>
          <w:lang w:val="es-ES"/>
        </w:rPr>
      </w:pPr>
    </w:p>
    <w:p w14:paraId="44E804D5" w14:textId="77777777" w:rsidR="007A7D11" w:rsidRPr="009037F6" w:rsidRDefault="007A7D11" w:rsidP="007A7D11">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140E328D" w14:textId="77777777" w:rsidR="007A7D11" w:rsidRPr="009037F6" w:rsidRDefault="007A7D11" w:rsidP="007A7D11">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7A7D11" w:rsidRPr="009037F6" w14:paraId="510ECB53" w14:textId="77777777" w:rsidTr="00156BC1">
        <w:trPr>
          <w:trHeight w:val="345"/>
          <w:jc w:val="center"/>
        </w:trPr>
        <w:tc>
          <w:tcPr>
            <w:tcW w:w="8784" w:type="dxa"/>
            <w:tcBorders>
              <w:bottom w:val="single" w:sz="4" w:space="0" w:color="auto"/>
            </w:tcBorders>
          </w:tcPr>
          <w:p w14:paraId="7FB61686" w14:textId="77777777" w:rsidR="007A7D11" w:rsidRPr="004E0CFE" w:rsidRDefault="007A7D11" w:rsidP="00156BC1">
            <w:pPr>
              <w:widowControl w:val="0"/>
              <w:autoSpaceDE w:val="0"/>
              <w:autoSpaceDN w:val="0"/>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En torno al problema jurídico</w:t>
            </w:r>
            <w:r w:rsidRPr="009859FE">
              <w:rPr>
                <w:rFonts w:ascii="Verdana" w:eastAsia="Calibri" w:hAnsi="Verdana" w:cs="Arial"/>
                <w:color w:val="000000" w:themeColor="text1"/>
              </w:rPr>
              <w:t>,</w:t>
            </w:r>
            <w:r>
              <w:rPr>
                <w:rFonts w:ascii="Verdana" w:eastAsia="Calibri" w:hAnsi="Verdana" w:cs="Arial"/>
                <w:color w:val="000000" w:themeColor="text1"/>
              </w:rPr>
              <w:t xml:space="preserve"> se precisa que</w:t>
            </w:r>
            <w:r w:rsidRPr="009859FE">
              <w:rPr>
                <w:rFonts w:ascii="Verdana" w:eastAsia="Calibri" w:hAnsi="Verdana" w:cs="Arial"/>
                <w:color w:val="000000" w:themeColor="text1"/>
              </w:rPr>
              <w:t xml:space="preserve"> el principio de autonomía de la voluntad, reconocido en los artículos 13, 32 y 40 de la Ley 80 de 1993 para </w:t>
            </w:r>
            <w:r>
              <w:rPr>
                <w:rFonts w:ascii="Verdana" w:eastAsia="Calibri" w:hAnsi="Verdana" w:cs="Arial"/>
                <w:color w:val="000000" w:themeColor="text1"/>
              </w:rPr>
              <w:t>las entidades sometidas al Estatuto General de Contratación de la Administración Pública</w:t>
            </w:r>
            <w:r w:rsidRPr="009859FE">
              <w:rPr>
                <w:rFonts w:ascii="Verdana" w:eastAsia="Calibri" w:hAnsi="Verdana" w:cs="Arial"/>
                <w:color w:val="000000" w:themeColor="text1"/>
              </w:rPr>
              <w:t xml:space="preserve">, actúa entonces como el fundamento normativo que otorga a las Entidades Estatales competencia para que puedan </w:t>
            </w:r>
            <w:r>
              <w:rPr>
                <w:rFonts w:ascii="Verdana" w:eastAsia="Calibri" w:hAnsi="Verdana" w:cs="Arial"/>
                <w:color w:val="000000" w:themeColor="text1"/>
              </w:rPr>
              <w:t>establecer causales de rechazo, requisitos habilitantes, así como criterios de evaluación para la participación en un proceso de contratación pública</w:t>
            </w:r>
            <w:r w:rsidRPr="009859FE">
              <w:rPr>
                <w:rFonts w:ascii="Verdana" w:eastAsia="Calibri" w:hAnsi="Verdana" w:cs="Arial"/>
                <w:color w:val="000000" w:themeColor="text1"/>
              </w:rPr>
              <w:t>.</w:t>
            </w:r>
            <w:r>
              <w:rPr>
                <w:rFonts w:ascii="Verdana" w:eastAsia="Calibri" w:hAnsi="Verdana" w:cs="Arial"/>
                <w:color w:val="000000" w:themeColor="text1"/>
              </w:rPr>
              <w:t xml:space="preserve"> </w:t>
            </w:r>
            <w:r>
              <w:rPr>
                <w:rFonts w:ascii="Verdana" w:eastAsia="Calibri" w:hAnsi="Verdana" w:cs="Arial"/>
                <w:bCs/>
              </w:rPr>
              <w:t>En todo caso, se recuerda a las entidades públicas que</w:t>
            </w:r>
            <w:r w:rsidRPr="006A5798">
              <w:rPr>
                <w:rFonts w:ascii="Verdana" w:eastAsia="Calibri" w:hAnsi="Verdana" w:cs="Arial"/>
                <w:bCs/>
              </w:rPr>
              <w:t xml:space="preserve"> el ordenamiento impone una carga de motivación en el ejercicio de este tipo de facultades, pues –teniendo en cuenta la remisión del artículo 77 de la Ley 80 de 1993 a las normas que rigen los </w:t>
            </w:r>
            <w:r w:rsidRPr="006A5798">
              <w:rPr>
                <w:rFonts w:ascii="Verdana" w:eastAsia="Calibri" w:hAnsi="Verdana" w:cs="Arial"/>
                <w:bCs/>
              </w:rPr>
              <w:lastRenderedPageBreak/>
              <w:t xml:space="preserve">procedimientos y actuaciones en la función administrativa– el artículo 44 de la Ley 1437 de 2011 dispone: “En la medida en que el contenido de una decisión de carácter general o particular sea discrecional, debe ser adecuada a los fines de la norma que la autoriza, y proporcional a los hechos que le sirven de causa”. Así las cosas, el cumplimiento de las exigencias derivadas del principio de proporcionalidad es una condición ineludible para la admisibilidad de cualquier criterio de adjudicación del contrato, así como para su acreditación dentro de un proceso de acreditación. </w:t>
            </w:r>
          </w:p>
          <w:p w14:paraId="078B0194" w14:textId="77777777" w:rsidR="007A7D11" w:rsidRDefault="007A7D11" w:rsidP="00156BC1">
            <w:pPr>
              <w:spacing w:after="120" w:line="276" w:lineRule="auto"/>
              <w:ind w:firstLine="709"/>
              <w:jc w:val="both"/>
              <w:rPr>
                <w:rFonts w:ascii="Verdana" w:eastAsia="Arial" w:hAnsi="Verdana" w:cs="Arial"/>
                <w:color w:val="000000"/>
              </w:rPr>
            </w:pPr>
            <w:r>
              <w:rPr>
                <w:rFonts w:ascii="Verdana" w:eastAsia="Arial" w:hAnsi="Verdana" w:cs="Arial"/>
                <w:color w:val="000000"/>
              </w:rPr>
              <w:t>Ahora bien, l</w:t>
            </w:r>
            <w:r w:rsidRPr="00540117">
              <w:rPr>
                <w:rFonts w:ascii="Verdana" w:eastAsia="Arial" w:hAnsi="Verdana" w:cs="Arial"/>
                <w:color w:val="000000"/>
              </w:rPr>
              <w:t xml:space="preserve">a exigencia de presentar la oferta económica en una caja de seguridad con clave de acceso puede interpretarse como una medida de control destinada a garantizar la confidencialidad y la integridad de las propuestas. </w:t>
            </w:r>
            <w:r>
              <w:rPr>
                <w:rFonts w:ascii="Verdana" w:eastAsia="Arial" w:hAnsi="Verdana" w:cs="Arial"/>
                <w:color w:val="000000"/>
              </w:rPr>
              <w:t>Desde la perspectiva de la Entidad Pública contratante</w:t>
            </w:r>
            <w:r w:rsidRPr="00540117">
              <w:rPr>
                <w:rFonts w:ascii="Verdana" w:eastAsia="Arial" w:hAnsi="Verdana" w:cs="Arial"/>
                <w:color w:val="000000"/>
              </w:rPr>
              <w:t>, este mecanismo busca evitar filtraciones, manipulaciones o accesos indebidos antes de la apertura oficial, lo cual fortalece la transparencia y la igualdad de condiciones entre los proponentes.</w:t>
            </w:r>
            <w:r>
              <w:rPr>
                <w:rFonts w:ascii="Verdana" w:eastAsia="Arial" w:hAnsi="Verdana" w:cs="Arial"/>
                <w:color w:val="000000"/>
              </w:rPr>
              <w:t xml:space="preserve"> </w:t>
            </w:r>
            <w:r w:rsidRPr="00540117">
              <w:rPr>
                <w:rFonts w:ascii="Verdana" w:eastAsia="Arial" w:hAnsi="Verdana" w:cs="Arial"/>
                <w:color w:val="000000"/>
              </w:rPr>
              <w:t>Sin embargo, si la medida no está debidamente justificada en los pliegos de condiciones o resulta excesiva frente a los fines que persigue, podría convertirse en una restricción indebida</w:t>
            </w:r>
            <w:r>
              <w:rPr>
                <w:rFonts w:ascii="Verdana" w:eastAsia="Arial" w:hAnsi="Verdana" w:cs="Arial"/>
                <w:color w:val="000000"/>
              </w:rPr>
              <w:t xml:space="preserve"> para la participación en los procesos de contratación</w:t>
            </w:r>
            <w:r w:rsidRPr="00540117">
              <w:rPr>
                <w:rFonts w:ascii="Verdana" w:eastAsia="Arial" w:hAnsi="Verdana" w:cs="Arial"/>
                <w:color w:val="000000"/>
              </w:rPr>
              <w:t>. En particular, si el requisito implica costos adicionales, dificultades técnicas o barreras logísticas que no todos los oferentes pueden superar, se estaría li</w:t>
            </w:r>
            <w:r>
              <w:rPr>
                <w:rFonts w:ascii="Verdana" w:eastAsia="Arial" w:hAnsi="Verdana" w:cs="Arial"/>
                <w:color w:val="000000"/>
              </w:rPr>
              <w:t>mitando la libre concurrencia</w:t>
            </w:r>
            <w:r w:rsidRPr="00540117">
              <w:rPr>
                <w:rFonts w:ascii="Verdana" w:eastAsia="Arial" w:hAnsi="Verdana" w:cs="Arial"/>
                <w:color w:val="000000"/>
              </w:rPr>
              <w:t xml:space="preserve"> el principio de igualdad </w:t>
            </w:r>
            <w:r>
              <w:rPr>
                <w:rFonts w:ascii="Verdana" w:eastAsia="Arial" w:hAnsi="Verdana" w:cs="Arial"/>
                <w:color w:val="000000"/>
              </w:rPr>
              <w:t xml:space="preserve">y de cierto modo el deber de selección objetiva </w:t>
            </w:r>
            <w:r w:rsidRPr="00540117">
              <w:rPr>
                <w:rFonts w:ascii="Verdana" w:eastAsia="Arial" w:hAnsi="Verdana" w:cs="Arial"/>
                <w:color w:val="000000"/>
              </w:rPr>
              <w:t xml:space="preserve">en la contratación pública. </w:t>
            </w:r>
          </w:p>
          <w:p w14:paraId="7AC837A5" w14:textId="77777777" w:rsidR="007A7D11" w:rsidRPr="00174FB0" w:rsidRDefault="007A7D11" w:rsidP="00156BC1">
            <w:pPr>
              <w:spacing w:after="120" w:line="276" w:lineRule="auto"/>
              <w:ind w:firstLine="709"/>
              <w:jc w:val="both"/>
              <w:rPr>
                <w:rFonts w:ascii="Verdana" w:eastAsia="Arial" w:hAnsi="Verdana" w:cs="Arial"/>
                <w:color w:val="000000"/>
                <w:lang w:val="es-MX"/>
              </w:rPr>
            </w:pPr>
            <w:r>
              <w:rPr>
                <w:rFonts w:ascii="Verdana" w:eastAsia="Arial" w:hAnsi="Verdana" w:cs="Arial"/>
                <w:color w:val="000000"/>
              </w:rPr>
              <w:t xml:space="preserve">En este aspecto, debe recordarse que la discrecionalidad de la Entidad para la configuración de los pliegos de condiciones exige que los requisitos </w:t>
            </w:r>
            <w:r w:rsidRPr="00540117">
              <w:rPr>
                <w:rFonts w:ascii="Verdana" w:eastAsia="Arial" w:hAnsi="Verdana" w:cs="Arial"/>
                <w:color w:val="000000"/>
              </w:rPr>
              <w:t>sean proporcionales y razonables, evitando que excluyan injustificadamente a posibles participantes.</w:t>
            </w:r>
            <w:r w:rsidRPr="009C7B67">
              <w:t xml:space="preserve"> </w:t>
            </w:r>
            <w:r w:rsidRPr="009C7B67">
              <w:rPr>
                <w:rFonts w:ascii="Verdana" w:eastAsia="Arial" w:hAnsi="Verdana" w:cs="Arial"/>
                <w:color w:val="000000"/>
              </w:rPr>
              <w:t>En este sentido, la entidad debe evitar imponer condiciones que restrinjan injustificadamente la participación de posibles oferentes, pues ello vulneraría el principio de selección objetiva y afectaría la transparencia del proceso. La elaboración de los pliegos exige, entonces, un ejercicio cuidadoso y responsable, en el que las reglas sean claras, precisas y completas, pero también inclusivas y no discriminatorias, de manera que se garantice la igualdad de oportunidades y se promueva una competencia real y efectiva entre los interesados.</w:t>
            </w:r>
            <w:r>
              <w:rPr>
                <w:rFonts w:ascii="Verdana" w:eastAsia="Arial" w:hAnsi="Verdana" w:cs="Arial"/>
                <w:color w:val="000000"/>
              </w:rPr>
              <w:t xml:space="preserve"> </w:t>
            </w:r>
          </w:p>
          <w:p w14:paraId="6E0BAD93" w14:textId="77777777" w:rsidR="007A7D11" w:rsidRPr="001B0499" w:rsidRDefault="007A7D11" w:rsidP="00156BC1">
            <w:pPr>
              <w:spacing w:after="120" w:line="276" w:lineRule="auto"/>
              <w:ind w:firstLine="709"/>
              <w:jc w:val="both"/>
              <w:rPr>
                <w:rFonts w:ascii="Verdana" w:eastAsia="Arial" w:hAnsi="Verdana" w:cs="Arial"/>
                <w:color w:val="000000"/>
              </w:rPr>
            </w:pPr>
            <w:r>
              <w:rPr>
                <w:rFonts w:ascii="Verdana" w:eastAsia="Arial" w:hAnsi="Verdana" w:cs="Arial"/>
                <w:color w:val="000000"/>
              </w:rPr>
              <w:lastRenderedPageBreak/>
              <w:t>Por tanto</w:t>
            </w:r>
            <w:r w:rsidRPr="00540117">
              <w:rPr>
                <w:rFonts w:ascii="Verdana" w:eastAsia="Arial" w:hAnsi="Verdana" w:cs="Arial"/>
                <w:color w:val="000000"/>
              </w:rPr>
              <w:t>, la validez de esta exigencia depende de su proporcionalidad y de la justificación que la ent</w:t>
            </w:r>
            <w:r>
              <w:rPr>
                <w:rFonts w:ascii="Verdana" w:eastAsia="Arial" w:hAnsi="Verdana" w:cs="Arial"/>
                <w:color w:val="000000"/>
              </w:rPr>
              <w:t>idad contratante aporte. Si se comprueba</w:t>
            </w:r>
            <w:r w:rsidRPr="00540117">
              <w:rPr>
                <w:rFonts w:ascii="Verdana" w:eastAsia="Arial" w:hAnsi="Verdana" w:cs="Arial"/>
                <w:color w:val="000000"/>
              </w:rPr>
              <w:t xml:space="preserve"> que la caja de seguridad con clave es necesaria para proteger la transparencia del proceso y no genera cargas de</w:t>
            </w:r>
            <w:r>
              <w:rPr>
                <w:rFonts w:ascii="Verdana" w:eastAsia="Arial" w:hAnsi="Verdana" w:cs="Arial"/>
                <w:color w:val="000000"/>
              </w:rPr>
              <w:t>smedidas, la medida puede ser proporcional</w:t>
            </w:r>
            <w:r w:rsidRPr="00540117">
              <w:rPr>
                <w:rFonts w:ascii="Verdana" w:eastAsia="Arial" w:hAnsi="Verdana" w:cs="Arial"/>
                <w:color w:val="000000"/>
              </w:rPr>
              <w:t xml:space="preserve">. </w:t>
            </w:r>
            <w:r>
              <w:rPr>
                <w:rFonts w:ascii="Verdana" w:eastAsia="Arial" w:hAnsi="Verdana" w:cs="Arial"/>
                <w:color w:val="000000"/>
              </w:rPr>
              <w:t xml:space="preserve">Sin embargo, </w:t>
            </w:r>
            <w:r w:rsidRPr="00540117">
              <w:rPr>
                <w:rFonts w:ascii="Verdana" w:eastAsia="Arial" w:hAnsi="Verdana" w:cs="Arial"/>
                <w:color w:val="000000"/>
              </w:rPr>
              <w:t>si se convierte en un obstáculo que restringe la participación de oferentes sin una razón objetiva</w:t>
            </w:r>
            <w:r>
              <w:rPr>
                <w:rFonts w:ascii="Verdana" w:eastAsia="Arial" w:hAnsi="Verdana" w:cs="Arial"/>
                <w:color w:val="000000"/>
              </w:rPr>
              <w:t>, constituyéndose en una causal de rechazo</w:t>
            </w:r>
            <w:r w:rsidRPr="00540117">
              <w:rPr>
                <w:rFonts w:ascii="Verdana" w:eastAsia="Arial" w:hAnsi="Verdana" w:cs="Arial"/>
                <w:color w:val="000000"/>
              </w:rPr>
              <w:t xml:space="preserve">, sí </w:t>
            </w:r>
            <w:r>
              <w:rPr>
                <w:rFonts w:ascii="Verdana" w:eastAsia="Arial" w:hAnsi="Verdana" w:cs="Arial"/>
                <w:color w:val="000000"/>
              </w:rPr>
              <w:t xml:space="preserve">podría implicar </w:t>
            </w:r>
            <w:r w:rsidRPr="00540117">
              <w:rPr>
                <w:rFonts w:ascii="Verdana" w:eastAsia="Arial" w:hAnsi="Verdana" w:cs="Arial"/>
                <w:color w:val="000000"/>
              </w:rPr>
              <w:t>una limitación indebida a la libre concurrencia.</w:t>
            </w:r>
          </w:p>
        </w:tc>
      </w:tr>
    </w:tbl>
    <w:p w14:paraId="3F9B10C9" w14:textId="77777777" w:rsidR="007A7D11" w:rsidRPr="00B57A1B" w:rsidRDefault="007A7D11" w:rsidP="007A7D11">
      <w:pPr>
        <w:spacing w:after="0" w:line="276" w:lineRule="auto"/>
        <w:jc w:val="both"/>
        <w:rPr>
          <w:rFonts w:ascii="Verdana" w:eastAsia="Calibri" w:hAnsi="Verdana" w:cs="Arial"/>
          <w:bCs/>
          <w:color w:val="000000" w:themeColor="text1"/>
        </w:rPr>
      </w:pPr>
    </w:p>
    <w:p w14:paraId="3ADFBC7F" w14:textId="77777777" w:rsidR="007A7D11" w:rsidRPr="00B57A1B" w:rsidRDefault="007A7D11" w:rsidP="007A7D11">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344F26EF" w14:textId="77777777" w:rsidR="007A7D11" w:rsidRDefault="007A7D11" w:rsidP="007A7D11">
      <w:pPr>
        <w:spacing w:after="0" w:line="276" w:lineRule="auto"/>
        <w:jc w:val="both"/>
        <w:rPr>
          <w:rFonts w:ascii="Verdana" w:eastAsia="Calibri" w:hAnsi="Verdana" w:cs="Arial"/>
          <w:lang w:val="es-ES"/>
        </w:rPr>
      </w:pPr>
    </w:p>
    <w:p w14:paraId="5B956DA6" w14:textId="77777777" w:rsidR="007A7D11" w:rsidRDefault="007A7D11" w:rsidP="007A7D11">
      <w:pPr>
        <w:spacing w:after="0" w:line="276" w:lineRule="auto"/>
        <w:jc w:val="both"/>
        <w:rPr>
          <w:rFonts w:ascii="Verdana" w:eastAsia="Calibri" w:hAnsi="Verdana" w:cs="Arial"/>
          <w:lang w:val="es-ES"/>
        </w:rPr>
      </w:pPr>
      <w:r w:rsidRPr="00185EE9">
        <w:rPr>
          <w:rFonts w:ascii="Verdana" w:eastAsia="Calibri" w:hAnsi="Verdana" w:cs="Arial"/>
          <w:lang w:val="es-ES"/>
        </w:rPr>
        <w:t xml:space="preserve">Lo anterior se sustenta en </w:t>
      </w:r>
      <w:r>
        <w:rPr>
          <w:rFonts w:ascii="Verdana" w:eastAsia="Calibri" w:hAnsi="Verdana" w:cs="Arial"/>
          <w:lang w:val="es-ES"/>
        </w:rPr>
        <w:t>las siguientes consideraciones:</w:t>
      </w:r>
    </w:p>
    <w:p w14:paraId="0E9C5672" w14:textId="77777777" w:rsidR="007A7D11" w:rsidRDefault="007A7D11" w:rsidP="007A7D11">
      <w:pPr>
        <w:spacing w:after="0" w:line="276" w:lineRule="auto"/>
        <w:jc w:val="both"/>
        <w:rPr>
          <w:rFonts w:ascii="Verdana" w:eastAsia="Calibri" w:hAnsi="Verdana" w:cs="Arial"/>
          <w:bCs/>
          <w:color w:val="000000" w:themeColor="text1"/>
        </w:rPr>
      </w:pPr>
    </w:p>
    <w:p w14:paraId="1EACFE6D" w14:textId="77777777" w:rsidR="007A7D11" w:rsidRPr="004D3A9E" w:rsidRDefault="007A7D11" w:rsidP="007A7D11">
      <w:pPr>
        <w:spacing w:after="120" w:line="276" w:lineRule="auto"/>
        <w:jc w:val="both"/>
        <w:rPr>
          <w:rFonts w:ascii="Verdana" w:eastAsia="Calibri" w:hAnsi="Verdana" w:cs="Arial"/>
          <w:lang w:val="es-ES"/>
        </w:rPr>
      </w:pPr>
      <w:r>
        <w:rPr>
          <w:rFonts w:ascii="Verdana" w:eastAsia="Calibri" w:hAnsi="Verdana" w:cs="Arial"/>
          <w:bCs/>
          <w:color w:val="000000" w:themeColor="text1"/>
        </w:rPr>
        <w:t xml:space="preserve">i. </w:t>
      </w:r>
      <w:r w:rsidRPr="00C10179">
        <w:rPr>
          <w:rFonts w:ascii="Verdana" w:eastAsia="Calibri" w:hAnsi="Verdana" w:cs="Arial"/>
          <w:color w:val="000000"/>
          <w:lang w:val="es-ES" w:eastAsia="es-ES_tradnl"/>
        </w:rPr>
        <w:t>El pliego de condiciones es la hoja de ruta o plan</w:t>
      </w:r>
      <w:r w:rsidRPr="00C10179">
        <w:rPr>
          <w:rFonts w:ascii="Verdana" w:eastAsia="Calibri" w:hAnsi="Verdana" w:cs="Arial"/>
          <w:color w:val="000000"/>
          <w:vertAlign w:val="superscript"/>
          <w:lang w:val="es-ES" w:eastAsia="es-ES_tradnl"/>
        </w:rPr>
        <w:footnoteReference w:id="1"/>
      </w:r>
      <w:r w:rsidRPr="00C10179">
        <w:rPr>
          <w:rFonts w:ascii="Verdana" w:eastAsia="Calibri" w:hAnsi="Verdana" w:cs="Arial"/>
          <w:color w:val="000000"/>
          <w:lang w:val="es-ES" w:eastAsia="es-ES_tradnl"/>
        </w:rPr>
        <w:t xml:space="preserve"> sobre el cual se diseña, estructura y concreta el procedimiento de selección de contratistas. El </w:t>
      </w:r>
      <w:r>
        <w:rPr>
          <w:rFonts w:ascii="Verdana" w:eastAsia="Calibri" w:hAnsi="Verdana" w:cs="Arial"/>
          <w:color w:val="000000"/>
          <w:lang w:val="es-ES" w:eastAsia="es-ES_tradnl"/>
        </w:rPr>
        <w:t>mismo ha sido definido como un “</w:t>
      </w:r>
      <w:r w:rsidRPr="00C10179">
        <w:rPr>
          <w:rFonts w:ascii="Verdana" w:eastAsia="Calibri" w:hAnsi="Verdana" w:cs="Arial"/>
          <w:color w:val="000000"/>
          <w:lang w:val="es-ES" w:eastAsia="es-ES_tradnl"/>
        </w:rPr>
        <w:t xml:space="preserve">acto jurídico mixto, que nace como un acto administrativo de contenido general y que, con la adjudicación y suscripción del contrato estatal, algunos de sus contenidos se transforman para incorporarse al texto del negocio jurídico y, por consiguiente, se convierten en </w:t>
      </w:r>
      <w:r>
        <w:rPr>
          <w:rFonts w:ascii="Verdana" w:eastAsia="Calibri" w:hAnsi="Verdana" w:cs="Arial"/>
          <w:color w:val="000000"/>
          <w:lang w:val="es-ES" w:eastAsia="es-ES_tradnl"/>
        </w:rPr>
        <w:t>cláusulas vinculantes del mismo”</w:t>
      </w:r>
      <w:r w:rsidRPr="00C10179">
        <w:rPr>
          <w:rFonts w:ascii="Verdana" w:eastAsia="Calibri" w:hAnsi="Verdana" w:cs="Arial"/>
          <w:color w:val="000000"/>
          <w:vertAlign w:val="superscript"/>
          <w:lang w:val="es-ES" w:eastAsia="es-ES_tradnl"/>
        </w:rPr>
        <w:footnoteReference w:id="2"/>
      </w:r>
      <w:r w:rsidRPr="00C10179">
        <w:rPr>
          <w:rFonts w:ascii="Verdana" w:eastAsia="Calibri" w:hAnsi="Verdana" w:cs="Arial"/>
          <w:color w:val="000000"/>
          <w:lang w:val="es-ES" w:eastAsia="es-ES_tradnl"/>
        </w:rPr>
        <w:t>.</w:t>
      </w:r>
      <w:r w:rsidRPr="00C10179">
        <w:rPr>
          <w:rFonts w:ascii="Verdana" w:eastAsia="Calibri" w:hAnsi="Verdana" w:cs="Arial"/>
          <w:color w:val="000000"/>
          <w:lang w:val="es-ES_tradnl" w:eastAsia="es-ES_tradnl"/>
        </w:rPr>
        <w:t xml:space="preserve"> En este sentido, </w:t>
      </w:r>
      <w:r>
        <w:rPr>
          <w:rFonts w:ascii="Verdana" w:eastAsia="Calibri" w:hAnsi="Verdana" w:cs="Arial"/>
          <w:color w:val="000000"/>
          <w:lang w:val="es-ES_tradnl" w:eastAsia="es-ES_tradnl"/>
        </w:rPr>
        <w:t xml:space="preserve">en el marco de </w:t>
      </w:r>
      <w:r w:rsidRPr="00C10179">
        <w:rPr>
          <w:rFonts w:ascii="Verdana" w:eastAsia="Calibri" w:hAnsi="Verdana" w:cs="Arial"/>
          <w:color w:val="000000"/>
          <w:lang w:val="es-ES_tradnl" w:eastAsia="es-ES_tradnl"/>
        </w:rPr>
        <w:t>su discrecionalidad</w:t>
      </w:r>
      <w:r>
        <w:rPr>
          <w:rFonts w:ascii="Verdana" w:eastAsia="Calibri" w:hAnsi="Verdana" w:cs="Arial"/>
          <w:color w:val="000000"/>
          <w:lang w:val="es-ES_tradnl" w:eastAsia="es-ES_tradnl"/>
        </w:rPr>
        <w:t>,</w:t>
      </w:r>
      <w:r w:rsidRPr="00C10179">
        <w:rPr>
          <w:rFonts w:ascii="Verdana" w:eastAsia="Calibri" w:hAnsi="Verdana" w:cs="Arial"/>
          <w:color w:val="000000"/>
          <w:lang w:val="es-ES_tradnl" w:eastAsia="es-ES_tradnl"/>
        </w:rPr>
        <w:t xml:space="preserve"> cada entidad debe establecer la forma cómo se estructura el pliego de condiciones, el cual está condicionado a la proporcionalidad de las decisiones que toma en aras de garantizar la pluralidad de oferentes y la selección objetiva</w:t>
      </w:r>
      <w:r w:rsidRPr="00C10179">
        <w:rPr>
          <w:rFonts w:ascii="Verdana" w:eastAsia="Calibri" w:hAnsi="Verdana" w:cs="Arial"/>
          <w:color w:val="000000"/>
          <w:lang w:eastAsia="es-ES_tradnl"/>
        </w:rPr>
        <w:t>.</w:t>
      </w:r>
    </w:p>
    <w:p w14:paraId="6DA9591C" w14:textId="77777777" w:rsidR="007A7D11" w:rsidRPr="00C10179" w:rsidRDefault="007A7D11" w:rsidP="007A7D11">
      <w:pPr>
        <w:spacing w:after="0" w:line="276" w:lineRule="auto"/>
        <w:ind w:firstLine="708"/>
        <w:jc w:val="both"/>
        <w:rPr>
          <w:rFonts w:ascii="Verdana" w:eastAsia="Calibri" w:hAnsi="Verdana" w:cs="Arial"/>
          <w:color w:val="000000"/>
          <w:lang w:val="es-ES" w:eastAsia="es-ES_tradnl"/>
        </w:rPr>
      </w:pPr>
      <w:r w:rsidRPr="00C10179">
        <w:rPr>
          <w:rFonts w:ascii="Verdana" w:eastAsia="Calibri" w:hAnsi="Verdana" w:cs="Arial"/>
          <w:color w:val="000000"/>
          <w:lang w:val="es-ES" w:eastAsia="es-ES_tradnl"/>
        </w:rPr>
        <w:t xml:space="preserve">De este modo, el pliego </w:t>
      </w:r>
      <w:r>
        <w:rPr>
          <w:rFonts w:ascii="Verdana" w:eastAsia="Calibri" w:hAnsi="Verdana" w:cs="Arial"/>
          <w:color w:val="000000"/>
          <w:lang w:val="es-ES" w:eastAsia="es-ES_tradnl"/>
        </w:rPr>
        <w:t xml:space="preserve">de condiciones </w:t>
      </w:r>
      <w:r w:rsidRPr="00C10179">
        <w:rPr>
          <w:rFonts w:ascii="Verdana" w:eastAsia="Calibri" w:hAnsi="Verdana" w:cs="Arial"/>
          <w:color w:val="000000"/>
          <w:lang w:val="es-ES" w:eastAsia="es-ES_tradnl"/>
        </w:rPr>
        <w:t xml:space="preserve">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r w:rsidRPr="00C10179">
        <w:rPr>
          <w:rFonts w:ascii="Verdana" w:eastAsia="Calibri" w:hAnsi="Verdana" w:cs="Arial"/>
          <w:i/>
          <w:iCs/>
          <w:color w:val="000000"/>
          <w:lang w:val="es-ES" w:eastAsia="es-ES_tradnl"/>
        </w:rPr>
        <w:t>iter</w:t>
      </w:r>
      <w:r w:rsidRPr="00C10179">
        <w:rPr>
          <w:rFonts w:ascii="Verdana" w:eastAsia="Calibri" w:hAnsi="Verdana" w:cs="Arial"/>
          <w:color w:val="000000"/>
          <w:lang w:val="es-ES" w:eastAsia="es-ES_tradnl"/>
        </w:rPr>
        <w:t xml:space="preserve"> contractual. Su contenido</w:t>
      </w:r>
      <w:r w:rsidRPr="00C10179">
        <w:rPr>
          <w:rFonts w:ascii="Verdana" w:eastAsia="Calibri" w:hAnsi="Verdana" w:cs="Arial"/>
          <w:color w:val="000000"/>
          <w:vertAlign w:val="superscript"/>
          <w:lang w:val="es-ES" w:eastAsia="es-ES_tradnl"/>
        </w:rPr>
        <w:footnoteReference w:id="3"/>
      </w:r>
      <w:r w:rsidRPr="00C10179">
        <w:rPr>
          <w:rFonts w:ascii="Verdana" w:eastAsia="Calibri" w:hAnsi="Verdana" w:cs="Arial"/>
          <w:color w:val="000000"/>
          <w:lang w:val="es-ES" w:eastAsia="es-ES_tradnl"/>
        </w:rPr>
        <w:t xml:space="preserve"> está previsto en el numeral 5 del artículo 24 de la Ley 80 de 1993, </w:t>
      </w:r>
      <w:r w:rsidRPr="00C10179">
        <w:rPr>
          <w:rFonts w:ascii="Verdana" w:eastAsia="Calibri" w:hAnsi="Verdana" w:cs="Arial"/>
          <w:color w:val="000000"/>
          <w:lang w:val="es-ES" w:eastAsia="es-ES_tradnl"/>
        </w:rPr>
        <w:lastRenderedPageBreak/>
        <w:t xml:space="preserve">que establece algunas directrices que </w:t>
      </w:r>
      <w:r>
        <w:rPr>
          <w:rFonts w:ascii="Verdana" w:eastAsia="Calibri" w:hAnsi="Verdana" w:cs="Arial"/>
          <w:color w:val="000000"/>
          <w:lang w:val="es-ES" w:eastAsia="es-ES_tradnl"/>
        </w:rPr>
        <w:t xml:space="preserve">se </w:t>
      </w:r>
      <w:r w:rsidRPr="00C10179">
        <w:rPr>
          <w:rFonts w:ascii="Verdana" w:eastAsia="Calibri" w:hAnsi="Verdana" w:cs="Arial"/>
          <w:color w:val="000000"/>
          <w:lang w:val="es-ES" w:eastAsia="es-ES_tradnl"/>
        </w:rPr>
        <w:t>deben tenerse en cuenta en su elaboración:</w:t>
      </w:r>
    </w:p>
    <w:p w14:paraId="14CC8C3F" w14:textId="77777777" w:rsidR="007A7D11" w:rsidRPr="00C10179" w:rsidRDefault="007A7D11" w:rsidP="007A7D11">
      <w:pPr>
        <w:spacing w:after="0" w:line="276" w:lineRule="auto"/>
        <w:jc w:val="both"/>
        <w:rPr>
          <w:rFonts w:ascii="Verdana" w:eastAsia="Calibri" w:hAnsi="Verdana" w:cs="Arial"/>
          <w:color w:val="000000"/>
          <w:lang w:val="es-ES" w:eastAsia="es-ES_tradnl"/>
        </w:rPr>
      </w:pPr>
    </w:p>
    <w:p w14:paraId="062D1725" w14:textId="77777777" w:rsidR="007A7D11" w:rsidRPr="006960CB" w:rsidRDefault="007A7D11" w:rsidP="007A7D11">
      <w:pPr>
        <w:spacing w:after="0" w:line="276" w:lineRule="auto"/>
        <w:ind w:left="709" w:right="709"/>
        <w:jc w:val="both"/>
        <w:rPr>
          <w:rFonts w:ascii="Verdana" w:eastAsia="Calibri" w:hAnsi="Verdana" w:cs="Arial"/>
          <w:color w:val="000000"/>
          <w:sz w:val="20"/>
          <w:szCs w:val="20"/>
          <w:lang w:val="es-ES" w:eastAsia="es-ES_tradnl"/>
        </w:rPr>
      </w:pPr>
      <w:r w:rsidRPr="006960CB">
        <w:rPr>
          <w:rFonts w:ascii="Verdana" w:eastAsia="Calibri" w:hAnsi="Verdana" w:cs="Arial"/>
          <w:color w:val="000000"/>
          <w:sz w:val="20"/>
          <w:szCs w:val="20"/>
          <w:lang w:val="es-ES" w:eastAsia="es-ES_tradnl"/>
        </w:rPr>
        <w:t>“[…] 5o. En los pliegos de condiciones:</w:t>
      </w:r>
    </w:p>
    <w:p w14:paraId="0ADD9A25" w14:textId="77777777" w:rsidR="007A7D11" w:rsidRPr="006960CB" w:rsidRDefault="007A7D11" w:rsidP="007A7D11">
      <w:pPr>
        <w:spacing w:after="0" w:line="276" w:lineRule="auto"/>
        <w:ind w:left="709" w:right="709"/>
        <w:jc w:val="both"/>
        <w:rPr>
          <w:rFonts w:ascii="Verdana" w:eastAsia="Calibri" w:hAnsi="Verdana" w:cs="Arial"/>
          <w:color w:val="000000"/>
          <w:sz w:val="20"/>
          <w:szCs w:val="20"/>
          <w:lang w:val="es-ES" w:eastAsia="es-ES_tradnl"/>
        </w:rPr>
      </w:pPr>
    </w:p>
    <w:p w14:paraId="726F3DA7" w14:textId="77777777" w:rsidR="007A7D11" w:rsidRPr="006960CB" w:rsidRDefault="007A7D11" w:rsidP="007A7D11">
      <w:pPr>
        <w:numPr>
          <w:ilvl w:val="2"/>
          <w:numId w:val="26"/>
        </w:numPr>
        <w:spacing w:after="0" w:line="240" w:lineRule="auto"/>
        <w:ind w:left="1034" w:right="709"/>
        <w:jc w:val="both"/>
        <w:rPr>
          <w:rFonts w:ascii="Verdana" w:eastAsia="Calibri" w:hAnsi="Verdana" w:cs="Arial"/>
          <w:color w:val="000000"/>
          <w:sz w:val="20"/>
          <w:szCs w:val="20"/>
          <w:lang w:val="es-MX" w:eastAsia="es-ES_tradnl"/>
        </w:rPr>
      </w:pPr>
      <w:r w:rsidRPr="006960CB">
        <w:rPr>
          <w:rFonts w:ascii="Verdana" w:eastAsia="Calibri" w:hAnsi="Verdana" w:cs="Arial"/>
          <w:color w:val="000000"/>
          <w:sz w:val="20"/>
          <w:szCs w:val="20"/>
          <w:lang w:val="es-MX" w:eastAsia="es-ES_tradnl"/>
        </w:rPr>
        <w:t>Se indicarán los requisitos objetivos necesarios para participar en el correspondiente proceso de selección.</w:t>
      </w:r>
    </w:p>
    <w:p w14:paraId="309D230F" w14:textId="77777777" w:rsidR="007A7D11" w:rsidRPr="006960CB" w:rsidRDefault="007A7D11" w:rsidP="007A7D11">
      <w:pPr>
        <w:numPr>
          <w:ilvl w:val="2"/>
          <w:numId w:val="26"/>
        </w:numPr>
        <w:spacing w:after="0" w:line="240" w:lineRule="auto"/>
        <w:ind w:left="1034" w:right="709"/>
        <w:jc w:val="both"/>
        <w:rPr>
          <w:rFonts w:ascii="Verdana" w:eastAsia="Calibri" w:hAnsi="Verdana" w:cs="Arial"/>
          <w:color w:val="000000"/>
          <w:sz w:val="20"/>
          <w:szCs w:val="20"/>
          <w:lang w:val="es-MX" w:eastAsia="es-ES_tradnl"/>
        </w:rPr>
      </w:pPr>
      <w:r w:rsidRPr="006960CB">
        <w:rPr>
          <w:rFonts w:ascii="Verdana" w:eastAsia="Calibri" w:hAnsi="Verdana" w:cs="Arial"/>
          <w:color w:val="000000"/>
          <w:sz w:val="20"/>
          <w:szCs w:val="20"/>
          <w:lang w:val="es-MX" w:eastAsia="es-ES_tradnl"/>
        </w:rPr>
        <w:t>Se definirán reglas objetivas, justas, claras y completas que permitan la confección de ofrecimientos de la misma índole, aseguren una escogencia objetiva y eviten las declaratorias de desierta de la licitación.</w:t>
      </w:r>
    </w:p>
    <w:p w14:paraId="1756C5CD" w14:textId="77777777" w:rsidR="007A7D11" w:rsidRPr="006960CB" w:rsidRDefault="007A7D11" w:rsidP="007A7D11">
      <w:pPr>
        <w:numPr>
          <w:ilvl w:val="2"/>
          <w:numId w:val="26"/>
        </w:numPr>
        <w:spacing w:after="0" w:line="240" w:lineRule="auto"/>
        <w:ind w:left="1034" w:right="709"/>
        <w:jc w:val="both"/>
        <w:rPr>
          <w:rFonts w:ascii="Verdana" w:eastAsia="Calibri" w:hAnsi="Verdana" w:cs="Arial"/>
          <w:color w:val="000000"/>
          <w:sz w:val="20"/>
          <w:szCs w:val="20"/>
          <w:lang w:val="es-MX" w:eastAsia="es-ES_tradnl"/>
        </w:rPr>
      </w:pPr>
      <w:r w:rsidRPr="006960CB">
        <w:rPr>
          <w:rFonts w:ascii="Verdana" w:eastAsia="Calibri" w:hAnsi="Verdana" w:cs="Arial"/>
          <w:color w:val="000000"/>
          <w:sz w:val="20"/>
          <w:szCs w:val="20"/>
          <w:lang w:val="es-MX" w:eastAsia="es-ES_tradnl"/>
        </w:rPr>
        <w:t>Se definirán con precisión las condiciones de costo y calidad de los bienes, obras o servicios necesarios para la ejecución del objeto del contrato.</w:t>
      </w:r>
    </w:p>
    <w:p w14:paraId="76EF0AA8" w14:textId="77777777" w:rsidR="007A7D11" w:rsidRPr="006960CB" w:rsidRDefault="007A7D11" w:rsidP="007A7D11">
      <w:pPr>
        <w:numPr>
          <w:ilvl w:val="2"/>
          <w:numId w:val="26"/>
        </w:numPr>
        <w:spacing w:after="0" w:line="240" w:lineRule="auto"/>
        <w:ind w:left="1034" w:right="709"/>
        <w:jc w:val="both"/>
        <w:rPr>
          <w:rFonts w:ascii="Verdana" w:eastAsia="Calibri" w:hAnsi="Verdana" w:cs="Arial"/>
          <w:color w:val="000000"/>
          <w:sz w:val="20"/>
          <w:szCs w:val="20"/>
          <w:lang w:val="es-MX" w:eastAsia="es-ES_tradnl"/>
        </w:rPr>
      </w:pPr>
      <w:r w:rsidRPr="006960CB">
        <w:rPr>
          <w:rFonts w:ascii="Verdana" w:eastAsia="Calibri" w:hAnsi="Verdana" w:cs="Arial"/>
          <w:color w:val="000000"/>
          <w:sz w:val="20"/>
          <w:szCs w:val="20"/>
          <w:lang w:val="es-MX" w:eastAsia="es-ES_tradnl"/>
        </w:rPr>
        <w:t>No se incluirán condiciones y exigencias de imposible cumplimiento, ni exenciones de la responsabilidad derivada de los datos, informes y documentos que se suministren.</w:t>
      </w:r>
    </w:p>
    <w:p w14:paraId="4B78D048" w14:textId="77777777" w:rsidR="007A7D11" w:rsidRPr="006960CB" w:rsidRDefault="007A7D11" w:rsidP="007A7D11">
      <w:pPr>
        <w:numPr>
          <w:ilvl w:val="2"/>
          <w:numId w:val="26"/>
        </w:numPr>
        <w:spacing w:after="0" w:line="240" w:lineRule="auto"/>
        <w:ind w:left="1034" w:right="709"/>
        <w:jc w:val="both"/>
        <w:rPr>
          <w:rFonts w:ascii="Verdana" w:eastAsia="Calibri" w:hAnsi="Verdana" w:cs="Arial"/>
          <w:color w:val="000000"/>
          <w:sz w:val="20"/>
          <w:szCs w:val="20"/>
          <w:lang w:val="es-MX" w:eastAsia="es-ES_tradnl"/>
        </w:rPr>
      </w:pPr>
      <w:r w:rsidRPr="006960CB">
        <w:rPr>
          <w:rFonts w:ascii="Verdana" w:eastAsia="Calibri" w:hAnsi="Verdana" w:cs="Arial"/>
          <w:color w:val="000000"/>
          <w:sz w:val="20"/>
          <w:szCs w:val="20"/>
          <w:lang w:val="es-MX" w:eastAsia="es-ES_tradnl"/>
        </w:rPr>
        <w:t>Se definirán reglas que no induzcan a error a los proponentes y contratistas y que impidan la Formulación de ofrecimientos de extensión ilimitada o que dependan de la voluntad exclusiva de la entidad.</w:t>
      </w:r>
    </w:p>
    <w:p w14:paraId="74DB40BB" w14:textId="77777777" w:rsidR="007A7D11" w:rsidRPr="006960CB" w:rsidRDefault="007A7D11" w:rsidP="007A7D11">
      <w:pPr>
        <w:numPr>
          <w:ilvl w:val="2"/>
          <w:numId w:val="26"/>
        </w:numPr>
        <w:spacing w:after="0" w:line="240" w:lineRule="auto"/>
        <w:ind w:left="1034" w:right="709"/>
        <w:jc w:val="both"/>
        <w:rPr>
          <w:rFonts w:ascii="Verdana" w:eastAsia="Calibri" w:hAnsi="Verdana" w:cs="Arial"/>
          <w:color w:val="000000"/>
          <w:sz w:val="20"/>
          <w:szCs w:val="20"/>
          <w:lang w:val="es-MX" w:eastAsia="es-ES_tradnl"/>
        </w:rPr>
      </w:pPr>
      <w:r w:rsidRPr="006960CB">
        <w:rPr>
          <w:rFonts w:ascii="Verdana" w:eastAsia="Calibri" w:hAnsi="Verdana" w:cs="Arial"/>
          <w:color w:val="000000"/>
          <w:sz w:val="20"/>
          <w:szCs w:val="20"/>
          <w:lang w:val="es-MX" w:eastAsia="es-ES_tradnl"/>
        </w:rPr>
        <w:t>Se definirá el plazo para la liquidación del contrato, cuando a ello hubiere lugar, teniendo en cuenta su objeto, naturaleza y cuantía.</w:t>
      </w:r>
    </w:p>
    <w:p w14:paraId="1A4F3953" w14:textId="77777777" w:rsidR="007A7D11" w:rsidRPr="006960CB" w:rsidRDefault="007A7D11" w:rsidP="007A7D11">
      <w:pPr>
        <w:numPr>
          <w:ilvl w:val="2"/>
          <w:numId w:val="26"/>
        </w:numPr>
        <w:spacing w:after="0" w:line="240" w:lineRule="auto"/>
        <w:ind w:left="1034" w:right="709"/>
        <w:jc w:val="both"/>
        <w:rPr>
          <w:rFonts w:ascii="Verdana" w:eastAsia="Calibri" w:hAnsi="Verdana" w:cs="Arial"/>
          <w:color w:val="000000"/>
          <w:sz w:val="20"/>
          <w:szCs w:val="20"/>
          <w:lang w:val="es-MX" w:eastAsia="es-ES_tradnl"/>
        </w:rPr>
      </w:pPr>
      <w:r w:rsidRPr="006960CB">
        <w:rPr>
          <w:rFonts w:ascii="Verdana" w:eastAsia="Calibri" w:hAnsi="Verdana" w:cs="Arial"/>
          <w:color w:val="000000"/>
          <w:sz w:val="20"/>
          <w:szCs w:val="20"/>
          <w:lang w:val="es-MX" w:eastAsia="es-ES_tradnl"/>
        </w:rPr>
        <w:t>Serán ineficaces de pleno derecho las estipulaciones de los pliegos y de los contratos que contravengan lo dispuesto en este numeral, o dispongan renuncias a reclamaciones por la ocurrencia de los hechos aquí enunciados”.</w:t>
      </w:r>
    </w:p>
    <w:p w14:paraId="6C56F480" w14:textId="77777777" w:rsidR="007A7D11" w:rsidRPr="00D207DB" w:rsidRDefault="007A7D11" w:rsidP="007A7D11">
      <w:pPr>
        <w:spacing w:after="0" w:line="276" w:lineRule="auto"/>
        <w:ind w:firstLine="709"/>
        <w:jc w:val="both"/>
        <w:rPr>
          <w:rFonts w:ascii="Verdana" w:eastAsia="Calibri" w:hAnsi="Verdana" w:cs="Arial"/>
          <w:color w:val="000000"/>
          <w:lang w:val="es-MX" w:eastAsia="es-ES_tradnl"/>
        </w:rPr>
      </w:pPr>
    </w:p>
    <w:p w14:paraId="5EEEBA0D" w14:textId="77777777" w:rsidR="007A7D11" w:rsidRDefault="007A7D11" w:rsidP="007A7D11">
      <w:pPr>
        <w:spacing w:after="120" w:line="276" w:lineRule="auto"/>
        <w:ind w:firstLine="708"/>
        <w:jc w:val="both"/>
        <w:rPr>
          <w:rFonts w:ascii="Verdana" w:eastAsia="Calibri" w:hAnsi="Verdana" w:cs="Arial"/>
          <w:color w:val="000000"/>
          <w:lang w:val="es-ES" w:eastAsia="es-ES_tradnl"/>
        </w:rPr>
      </w:pPr>
      <w:r w:rsidRPr="00C10179">
        <w:rPr>
          <w:rFonts w:ascii="Verdana" w:eastAsia="Calibri" w:hAnsi="Verdana" w:cs="Arial"/>
          <w:color w:val="000000"/>
          <w:lang w:val="es-ES" w:eastAsia="es-ES_tradnl"/>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C10179">
        <w:rPr>
          <w:rFonts w:ascii="Verdana" w:eastAsia="Calibri" w:hAnsi="Verdana" w:cs="Arial"/>
          <w:color w:val="000000"/>
          <w:lang w:val="es-ES" w:eastAsia="es-ES_tradnl" w:bidi="es-ES"/>
        </w:rPr>
        <w:t>establecidos por el ordenamiento jurídico</w:t>
      </w:r>
      <w:r w:rsidRPr="00C10179">
        <w:rPr>
          <w:rFonts w:ascii="Verdana" w:eastAsia="Calibri" w:hAnsi="Verdana" w:cs="Arial"/>
          <w:color w:val="000000"/>
          <w:vertAlign w:val="superscript"/>
          <w:lang w:val="es-ES" w:eastAsia="es-ES_tradnl" w:bidi="es-ES"/>
        </w:rPr>
        <w:footnoteReference w:id="4"/>
      </w:r>
      <w:r w:rsidRPr="00C10179">
        <w:rPr>
          <w:rFonts w:ascii="Verdana" w:eastAsia="Calibri" w:hAnsi="Verdana" w:cs="Arial"/>
          <w:color w:val="000000"/>
          <w:lang w:val="es-ES" w:eastAsia="es-ES_tradnl"/>
        </w:rPr>
        <w:t>, con fundamento en los estudios realizados en la fase de planeación</w:t>
      </w:r>
      <w:r w:rsidRPr="00C10179">
        <w:rPr>
          <w:rFonts w:ascii="Verdana" w:eastAsia="Calibri" w:hAnsi="Verdana" w:cs="Arial"/>
          <w:color w:val="000000"/>
          <w:vertAlign w:val="superscript"/>
          <w:lang w:val="es-ES" w:eastAsia="es-ES_tradnl"/>
        </w:rPr>
        <w:footnoteReference w:id="5"/>
      </w:r>
      <w:r w:rsidRPr="00C10179">
        <w:rPr>
          <w:rFonts w:ascii="Verdana" w:eastAsia="Calibri" w:hAnsi="Verdana" w:cs="Arial"/>
          <w:color w:val="000000"/>
          <w:lang w:val="es-ES" w:eastAsia="es-ES_tradnl"/>
        </w:rPr>
        <w:t>. Además, tienen la carga de elaborarlos de manera idónea, objetiva, clara, precisa y completa, tal como se deduce de la disposición citada.</w:t>
      </w:r>
    </w:p>
    <w:p w14:paraId="07645FC4" w14:textId="77777777" w:rsidR="007A7D11" w:rsidRDefault="007A7D11" w:rsidP="007A7D11">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lastRenderedPageBreak/>
        <w:t>Sumado a lo anterior, la Corte Constitucional ha señalado, frente a la selección objetiva, que la</w:t>
      </w:r>
      <w:r>
        <w:rPr>
          <w:rFonts w:ascii="Verdana" w:eastAsia="Calibri" w:hAnsi="Verdana" w:cs="Arial"/>
          <w:color w:val="000000" w:themeColor="text1"/>
        </w:rPr>
        <w:t>s</w:t>
      </w:r>
      <w:r w:rsidRPr="002379AA">
        <w:rPr>
          <w:rFonts w:ascii="Verdana" w:eastAsia="Calibri" w:hAnsi="Verdana" w:cs="Arial"/>
          <w:color w:val="000000" w:themeColor="text1"/>
        </w:rPr>
        <w:t xml:space="preserve"> entidad</w:t>
      </w:r>
      <w:r>
        <w:rPr>
          <w:rFonts w:ascii="Verdana" w:eastAsia="Calibri" w:hAnsi="Verdana" w:cs="Arial"/>
          <w:color w:val="000000" w:themeColor="text1"/>
        </w:rPr>
        <w:t>es estatales</w:t>
      </w:r>
      <w:r w:rsidRPr="002379AA">
        <w:rPr>
          <w:rFonts w:ascii="Verdana" w:eastAsia="Calibri" w:hAnsi="Verdana" w:cs="Arial"/>
          <w:color w:val="000000" w:themeColor="text1"/>
        </w:rPr>
        <w:t xml:space="preserve"> no puede</w:t>
      </w:r>
      <w:r>
        <w:rPr>
          <w:rFonts w:ascii="Verdana" w:eastAsia="Calibri" w:hAnsi="Verdana" w:cs="Arial"/>
          <w:color w:val="000000" w:themeColor="text1"/>
        </w:rPr>
        <w:t>n</w:t>
      </w:r>
      <w:r w:rsidRPr="002379AA">
        <w:rPr>
          <w:rFonts w:ascii="Verdana" w:eastAsia="Calibri" w:hAnsi="Verdana" w:cs="Arial"/>
          <w:color w:val="000000" w:themeColor="text1"/>
        </w:rPr>
        <w:t xml:space="preserve"> establecer reglas subjetivas, sino que deben </w:t>
      </w:r>
      <w:r>
        <w:rPr>
          <w:rFonts w:ascii="Verdana" w:eastAsia="Calibri" w:hAnsi="Verdana" w:cs="Arial"/>
          <w:color w:val="000000" w:themeColor="text1"/>
        </w:rPr>
        <w:t xml:space="preserve">adoptar criterios </w:t>
      </w:r>
      <w:r w:rsidRPr="002379AA">
        <w:rPr>
          <w:rFonts w:ascii="Verdana" w:eastAsia="Calibri" w:hAnsi="Verdana" w:cs="Arial"/>
          <w:color w:val="000000" w:themeColor="text1"/>
        </w:rPr>
        <w:t>razonables</w:t>
      </w:r>
      <w:r>
        <w:rPr>
          <w:rFonts w:ascii="Verdana" w:eastAsia="Calibri" w:hAnsi="Verdana" w:cs="Arial"/>
          <w:color w:val="000000" w:themeColor="text1"/>
        </w:rPr>
        <w:t xml:space="preserve"> y objetivos</w:t>
      </w:r>
      <w:r w:rsidRPr="002379AA">
        <w:rPr>
          <w:rFonts w:ascii="Verdana" w:eastAsia="Calibri" w:hAnsi="Verdana" w:cs="Arial"/>
          <w:color w:val="000000" w:themeColor="text1"/>
        </w:rPr>
        <w:t>, de acuerdo con las normas que rigen la actividad contractual</w:t>
      </w:r>
      <w:r w:rsidRPr="002379AA">
        <w:rPr>
          <w:rFonts w:ascii="Verdana" w:eastAsia="Calibri" w:hAnsi="Verdana" w:cs="Arial"/>
          <w:color w:val="000000" w:themeColor="text1"/>
          <w:vertAlign w:val="superscript"/>
        </w:rPr>
        <w:footnoteReference w:id="6"/>
      </w:r>
      <w:r w:rsidRPr="002379AA">
        <w:rPr>
          <w:rFonts w:ascii="Verdana" w:eastAsia="Calibri" w:hAnsi="Verdana" w:cs="Arial"/>
          <w:color w:val="000000" w:themeColor="text1"/>
        </w:rPr>
        <w:t>. En otro pronunciamiento, el Consejo de Estado</w:t>
      </w:r>
      <w:r>
        <w:rPr>
          <w:rFonts w:ascii="Verdana" w:eastAsia="Calibri" w:hAnsi="Verdana" w:cs="Arial"/>
          <w:color w:val="000000" w:themeColor="text1"/>
        </w:rPr>
        <w:t xml:space="preserve"> precisó</w:t>
      </w:r>
      <w:r w:rsidRPr="002379AA">
        <w:rPr>
          <w:rFonts w:ascii="Verdana" w:eastAsia="Calibri" w:hAnsi="Verdana" w:cs="Arial"/>
          <w:color w:val="000000" w:themeColor="text1"/>
        </w:rPr>
        <w:t xml:space="preserve"> </w:t>
      </w:r>
      <w:r w:rsidRPr="003D04AF">
        <w:rPr>
          <w:rFonts w:ascii="Verdana" w:eastAsia="Calibri" w:hAnsi="Verdana" w:cs="Arial"/>
          <w:color w:val="000000" w:themeColor="text1"/>
        </w:rPr>
        <w:t>que la autonomía que tienen las entidades frente a la configuración de los pliegos de condiciones y los criterios de selección de los procedimientos de contratación no es absoluta.</w:t>
      </w:r>
    </w:p>
    <w:p w14:paraId="30BA89EB" w14:textId="77777777" w:rsidR="007A7D11" w:rsidRPr="002D5766" w:rsidRDefault="007A7D11" w:rsidP="007A7D11">
      <w:pPr>
        <w:spacing w:after="120" w:line="276" w:lineRule="auto"/>
        <w:ind w:firstLine="709"/>
        <w:jc w:val="both"/>
        <w:rPr>
          <w:rFonts w:ascii="Verdana" w:hAnsi="Verdana" w:cs="Arial"/>
          <w:color w:val="000000" w:themeColor="text1"/>
        </w:rPr>
      </w:pPr>
      <w:r>
        <w:rPr>
          <w:rFonts w:ascii="Verdana" w:eastAsia="Calibri" w:hAnsi="Verdana" w:cs="Arial"/>
          <w:color w:val="000000" w:themeColor="text1"/>
        </w:rPr>
        <w:t>Esta autonomía debe estar alineada con los fines de la contratación estatal</w:t>
      </w:r>
      <w:r w:rsidRPr="002379AA">
        <w:rPr>
          <w:rFonts w:ascii="Verdana" w:eastAsia="Calibri" w:hAnsi="Verdana" w:cs="Arial"/>
          <w:color w:val="000000" w:themeColor="text1"/>
        </w:rPr>
        <w:t xml:space="preserve"> </w:t>
      </w:r>
      <w:r w:rsidRPr="002379AA">
        <w:rPr>
          <w:rFonts w:ascii="Verdana" w:hAnsi="Verdana" w:cs="Arial"/>
          <w:color w:val="000000" w:themeColor="text1"/>
        </w:rPr>
        <w:t>y, por consiguiente, los criterios de selección susceptibles de calificación deben ser congruentes con ellos y comprender los elementos necesarios para llevar a cabo el contrato en las condiciones de modo, tiempo y lugar requeridas por ella.</w:t>
      </w:r>
      <w:r>
        <w:rPr>
          <w:rFonts w:ascii="Verdana" w:hAnsi="Verdana" w:cs="Arial"/>
          <w:color w:val="000000" w:themeColor="text1"/>
        </w:rPr>
        <w:t xml:space="preserve"> En consecuencia, l</w:t>
      </w:r>
      <w:r w:rsidRPr="002379AA">
        <w:rPr>
          <w:rFonts w:ascii="Verdana" w:hAnsi="Verdana" w:cs="Arial"/>
          <w:color w:val="000000" w:themeColor="text1"/>
        </w:rPr>
        <w:t xml:space="preserve">a objetividad </w:t>
      </w:r>
      <w:r>
        <w:rPr>
          <w:rFonts w:ascii="Verdana" w:hAnsi="Verdana" w:cs="Arial"/>
          <w:color w:val="000000" w:themeColor="text1"/>
        </w:rPr>
        <w:t>exigida por</w:t>
      </w:r>
      <w:r w:rsidRPr="002379AA">
        <w:rPr>
          <w:rFonts w:ascii="Verdana" w:hAnsi="Verdana" w:cs="Arial"/>
          <w:color w:val="000000" w:themeColor="text1"/>
        </w:rPr>
        <w:t xml:space="preserve"> la Ley 80</w:t>
      </w:r>
      <w:r>
        <w:rPr>
          <w:rFonts w:ascii="Verdana" w:hAnsi="Verdana" w:cs="Arial"/>
          <w:color w:val="000000" w:themeColor="text1"/>
        </w:rPr>
        <w:t xml:space="preserve"> de 1993 en múltiples</w:t>
      </w:r>
      <w:r w:rsidRPr="002379AA">
        <w:rPr>
          <w:rFonts w:ascii="Verdana" w:hAnsi="Verdana" w:cs="Arial"/>
          <w:color w:val="000000" w:themeColor="text1"/>
        </w:rPr>
        <w:t xml:space="preserve"> disposiciones</w:t>
      </w:r>
      <w:r>
        <w:rPr>
          <w:rFonts w:ascii="Verdana" w:hAnsi="Verdana" w:cs="Arial"/>
          <w:color w:val="000000" w:themeColor="text1"/>
        </w:rPr>
        <w:t xml:space="preserve"> </w:t>
      </w:r>
      <w:r w:rsidRPr="002379AA">
        <w:rPr>
          <w:rFonts w:ascii="Verdana" w:hAnsi="Verdana" w:cs="Arial"/>
          <w:color w:val="000000" w:themeColor="text1"/>
        </w:rPr>
        <w:t>s</w:t>
      </w:r>
      <w:r>
        <w:rPr>
          <w:rFonts w:ascii="Verdana" w:hAnsi="Verdana" w:cs="Arial"/>
          <w:color w:val="000000" w:themeColor="text1"/>
        </w:rPr>
        <w:t>o</w:t>
      </w:r>
      <w:r w:rsidRPr="002379AA">
        <w:rPr>
          <w:rFonts w:ascii="Verdana" w:hAnsi="Verdana" w:cs="Arial"/>
          <w:color w:val="000000" w:themeColor="text1"/>
        </w:rPr>
        <w:t xml:space="preserve">lo </w:t>
      </w:r>
      <w:r>
        <w:rPr>
          <w:rFonts w:ascii="Verdana" w:hAnsi="Verdana" w:cs="Arial"/>
          <w:color w:val="000000" w:themeColor="text1"/>
        </w:rPr>
        <w:t>se garantiza si</w:t>
      </w:r>
      <w:r w:rsidRPr="002379AA">
        <w:rPr>
          <w:rFonts w:ascii="Verdana" w:hAnsi="Verdana" w:cs="Arial"/>
          <w:color w:val="000000" w:themeColor="text1"/>
        </w:rPr>
        <w:t xml:space="preserve"> los pliegos de condiciones o términos de referencia </w:t>
      </w:r>
      <w:r>
        <w:rPr>
          <w:rFonts w:ascii="Verdana" w:hAnsi="Verdana" w:cs="Arial"/>
          <w:color w:val="000000" w:themeColor="text1"/>
        </w:rPr>
        <w:t>contienen reglas</w:t>
      </w:r>
      <w:r w:rsidRPr="002379AA">
        <w:rPr>
          <w:rFonts w:ascii="Verdana" w:hAnsi="Verdana" w:cs="Arial"/>
          <w:color w:val="000000" w:themeColor="text1"/>
        </w:rPr>
        <w:t xml:space="preserve"> claras, </w:t>
      </w:r>
      <w:r>
        <w:rPr>
          <w:rFonts w:ascii="Verdana" w:hAnsi="Verdana" w:cs="Arial"/>
          <w:color w:val="000000" w:themeColor="text1"/>
        </w:rPr>
        <w:t xml:space="preserve">necesarias, </w:t>
      </w:r>
      <w:r w:rsidRPr="002379AA">
        <w:rPr>
          <w:rFonts w:ascii="Verdana" w:hAnsi="Verdana" w:cs="Arial"/>
          <w:color w:val="000000" w:themeColor="text1"/>
        </w:rPr>
        <w:t>objetivas y precisas</w:t>
      </w:r>
      <w:r>
        <w:rPr>
          <w:rFonts w:ascii="Verdana" w:hAnsi="Verdana" w:cs="Arial"/>
          <w:color w:val="000000" w:themeColor="text1"/>
        </w:rPr>
        <w:t>, orientadas a cumplir con</w:t>
      </w:r>
      <w:r w:rsidRPr="002379AA">
        <w:rPr>
          <w:rFonts w:ascii="Verdana" w:hAnsi="Verdana" w:cs="Arial"/>
          <w:color w:val="000000" w:themeColor="text1"/>
        </w:rPr>
        <w:t xml:space="preserve"> la finalidad del contrato</w:t>
      </w:r>
      <w:r w:rsidRPr="002379AA">
        <w:rPr>
          <w:rFonts w:ascii="Verdana" w:hAnsi="Verdana" w:cs="Arial"/>
          <w:color w:val="000000" w:themeColor="text1"/>
          <w:vertAlign w:val="superscript"/>
        </w:rPr>
        <w:footnoteReference w:id="7"/>
      </w:r>
      <w:r w:rsidRPr="002379AA">
        <w:rPr>
          <w:rFonts w:ascii="Verdana" w:hAnsi="Verdana" w:cs="Arial"/>
          <w:color w:val="000000" w:themeColor="text1"/>
        </w:rPr>
        <w:t>.</w:t>
      </w:r>
      <w:r>
        <w:rPr>
          <w:rFonts w:ascii="Verdana" w:hAnsi="Verdana" w:cs="Arial"/>
          <w:color w:val="000000" w:themeColor="text1"/>
        </w:rPr>
        <w:t xml:space="preserve"> </w:t>
      </w:r>
      <w:r>
        <w:rPr>
          <w:rFonts w:ascii="Verdana" w:eastAsia="Calibri" w:hAnsi="Verdana" w:cs="Arial"/>
          <w:color w:val="000000" w:themeColor="text1"/>
        </w:rPr>
        <w:t>Asimismo</w:t>
      </w:r>
      <w:r w:rsidRPr="002379AA">
        <w:rPr>
          <w:rFonts w:ascii="Verdana" w:eastAsia="Calibri" w:hAnsi="Verdana" w:cs="Arial"/>
          <w:color w:val="000000" w:themeColor="text1"/>
        </w:rPr>
        <w:t xml:space="preserve">, el Consejo de Estado ha </w:t>
      </w:r>
      <w:r w:rsidRPr="000C689A">
        <w:rPr>
          <w:rFonts w:ascii="Verdana" w:eastAsia="Calibri" w:hAnsi="Verdana" w:cs="Arial"/>
          <w:color w:val="000000" w:themeColor="text1"/>
        </w:rPr>
        <w:t>determinado que el pliego de condiciones es ley para las partes,</w:t>
      </w:r>
      <w:r w:rsidRPr="002379AA">
        <w:rPr>
          <w:rFonts w:ascii="Verdana" w:eastAsia="Calibri" w:hAnsi="Verdana" w:cs="Arial"/>
          <w:color w:val="000000" w:themeColor="text1"/>
        </w:rPr>
        <w:t xml:space="preserve"> y en él se debe establecer la regulación del procedimiento de contratación, conforme a la ley, garantizando la selección objetiva del contratista</w:t>
      </w:r>
      <w:r w:rsidRPr="002379AA">
        <w:rPr>
          <w:rFonts w:ascii="Verdana" w:eastAsia="Calibri" w:hAnsi="Verdana" w:cs="Arial"/>
          <w:color w:val="000000" w:themeColor="text1"/>
          <w:vertAlign w:val="superscript"/>
        </w:rPr>
        <w:footnoteReference w:id="8"/>
      </w:r>
      <w:r w:rsidRPr="002379AA">
        <w:rPr>
          <w:rFonts w:ascii="Verdana" w:eastAsia="Calibri" w:hAnsi="Verdana" w:cs="Arial"/>
          <w:color w:val="000000" w:themeColor="text1"/>
        </w:rPr>
        <w:t xml:space="preserve">. </w:t>
      </w:r>
    </w:p>
    <w:p w14:paraId="7F49BA2F" w14:textId="77777777" w:rsidR="007A7D11" w:rsidRPr="002379AA" w:rsidRDefault="007A7D11" w:rsidP="007A7D11">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El artículo 2.2.1.1.2.1.3. del Decreto 1082 de 2015 establece el contenido mínimo del pliego de condiciones</w:t>
      </w:r>
      <w:r w:rsidRPr="000B1BCF">
        <w:rPr>
          <w:rFonts w:ascii="Verdana" w:eastAsia="Calibri" w:hAnsi="Verdana" w:cs="Arial"/>
          <w:color w:val="000000" w:themeColor="text1"/>
        </w:rPr>
        <w:t xml:space="preserve">, </w:t>
      </w:r>
      <w:r w:rsidRPr="000B1BCF">
        <w:rPr>
          <w:rFonts w:ascii="Verdana" w:hAnsi="Verdana"/>
        </w:rPr>
        <w:t xml:space="preserve">el cual debe ajustarse a las necesidades de la entidad en cuanto a bienes, obras o servicios. Este contenido incluye, entre otros aspectos: </w:t>
      </w:r>
      <w:r w:rsidRPr="000B1BCF">
        <w:rPr>
          <w:rFonts w:ascii="Verdana" w:eastAsia="Calibri" w:hAnsi="Verdana" w:cs="Arial"/>
          <w:color w:val="000000" w:themeColor="text1"/>
        </w:rPr>
        <w:t>i)</w:t>
      </w:r>
      <w:r w:rsidRPr="002379AA">
        <w:rPr>
          <w:rFonts w:ascii="Verdana" w:eastAsia="Calibri" w:hAnsi="Verdana" w:cs="Arial"/>
          <w:color w:val="000000" w:themeColor="text1"/>
        </w:rPr>
        <w:t xml:space="preserve"> identificación detallada del objeto contractual y con el clasificador </w:t>
      </w:r>
      <w:r w:rsidRPr="002379AA">
        <w:rPr>
          <w:rFonts w:ascii="Verdana" w:eastAsia="Calibri" w:hAnsi="Verdana" w:cs="Arial"/>
          <w:color w:val="000000" w:themeColor="text1"/>
        </w:rPr>
        <w:lastRenderedPageBreak/>
        <w:t xml:space="preserve">de bienes y servicios, ii) </w:t>
      </w:r>
      <w:r>
        <w:rPr>
          <w:rFonts w:ascii="Verdana" w:eastAsia="Calibri" w:hAnsi="Verdana" w:cs="Arial"/>
          <w:color w:val="000000" w:themeColor="text1"/>
        </w:rPr>
        <w:t xml:space="preserve">la </w:t>
      </w:r>
      <w:r w:rsidRPr="002379AA">
        <w:rPr>
          <w:rFonts w:ascii="Verdana" w:eastAsia="Calibri" w:hAnsi="Verdana" w:cs="Arial"/>
          <w:color w:val="000000" w:themeColor="text1"/>
        </w:rPr>
        <w:t>modalidad y criterios de selección, iii)</w:t>
      </w:r>
      <w:r>
        <w:rPr>
          <w:rFonts w:ascii="Verdana" w:eastAsia="Calibri" w:hAnsi="Verdana" w:cs="Arial"/>
          <w:color w:val="000000" w:themeColor="text1"/>
        </w:rPr>
        <w:t xml:space="preserve"> la</w:t>
      </w:r>
      <w:r w:rsidRPr="002379AA">
        <w:rPr>
          <w:rFonts w:ascii="Verdana" w:eastAsia="Calibri" w:hAnsi="Verdana" w:cs="Arial"/>
          <w:color w:val="000000" w:themeColor="text1"/>
        </w:rPr>
        <w:t xml:space="preserve"> valoración económica del bien, obra o servicio, iv)</w:t>
      </w:r>
      <w:r>
        <w:rPr>
          <w:rFonts w:ascii="Verdana" w:eastAsia="Calibri" w:hAnsi="Verdana" w:cs="Arial"/>
          <w:color w:val="000000" w:themeColor="text1"/>
        </w:rPr>
        <w:t xml:space="preserve"> las</w:t>
      </w:r>
      <w:r w:rsidRPr="002379AA">
        <w:rPr>
          <w:rFonts w:ascii="Verdana" w:eastAsia="Calibri" w:hAnsi="Verdana" w:cs="Arial"/>
          <w:color w:val="000000" w:themeColor="text1"/>
        </w:rPr>
        <w:t xml:space="preserve"> reglas de la presentación y manejo de las ofertas, v)</w:t>
      </w:r>
      <w:r>
        <w:rPr>
          <w:rFonts w:ascii="Verdana" w:eastAsia="Calibri" w:hAnsi="Verdana" w:cs="Arial"/>
          <w:color w:val="000000" w:themeColor="text1"/>
        </w:rPr>
        <w:t xml:space="preserve"> los</w:t>
      </w:r>
      <w:r w:rsidRPr="002379AA">
        <w:rPr>
          <w:rFonts w:ascii="Verdana" w:eastAsia="Calibri" w:hAnsi="Verdana" w:cs="Arial"/>
          <w:color w:val="000000" w:themeColor="text1"/>
        </w:rPr>
        <w:t xml:space="preserve"> riesgos y garantías, entre otros aspectos del contrato</w:t>
      </w:r>
      <w:r w:rsidRPr="002379AA">
        <w:rPr>
          <w:rFonts w:ascii="Verdana" w:eastAsia="Calibri" w:hAnsi="Verdana" w:cs="Arial"/>
          <w:color w:val="000000" w:themeColor="text1"/>
          <w:vertAlign w:val="superscript"/>
        </w:rPr>
        <w:footnoteReference w:id="9"/>
      </w:r>
      <w:r w:rsidRPr="002379AA">
        <w:rPr>
          <w:rFonts w:ascii="Verdana" w:eastAsia="Calibri" w:hAnsi="Verdana" w:cs="Arial"/>
          <w:color w:val="000000" w:themeColor="text1"/>
        </w:rPr>
        <w:t>.</w:t>
      </w:r>
    </w:p>
    <w:p w14:paraId="4A7897A8" w14:textId="77777777" w:rsidR="007A7D11" w:rsidRPr="002379AA" w:rsidRDefault="007A7D11" w:rsidP="007A7D11">
      <w:pPr>
        <w:spacing w:after="120" w:line="276" w:lineRule="auto"/>
        <w:ind w:firstLine="709"/>
        <w:jc w:val="both"/>
        <w:rPr>
          <w:rFonts w:ascii="Verdana" w:hAnsi="Verdana" w:cs="Arial"/>
        </w:rPr>
      </w:pPr>
      <w:r w:rsidRPr="002379AA">
        <w:rPr>
          <w:rFonts w:ascii="Verdana" w:hAnsi="Verdana" w:cs="Arial"/>
        </w:rPr>
        <w:t>Conforme a lo anterior, el pliego de condiciones debe establecer las etapas del proceso de selección, así como las reglas, requisitos y condiciones aplicables en cada una de ella</w:t>
      </w:r>
      <w:r w:rsidRPr="000B1BCF">
        <w:rPr>
          <w:rFonts w:ascii="Verdana" w:hAnsi="Verdana" w:cs="Arial"/>
        </w:rPr>
        <w:t xml:space="preserve">s. Entre estos aspectos se encuentran </w:t>
      </w:r>
      <w:r w:rsidRPr="000B1BCF">
        <w:rPr>
          <w:rFonts w:ascii="Verdana" w:hAnsi="Verdana"/>
        </w:rPr>
        <w:t xml:space="preserve">los requisitos habilitantes, requerimientos técnicos, factores de ponderación de las ofertas, así como los documentos exigidos. En ese sentido, </w:t>
      </w:r>
      <w:r w:rsidRPr="002379AA">
        <w:rPr>
          <w:rFonts w:ascii="Verdana" w:hAnsi="Verdana" w:cs="Arial"/>
        </w:rPr>
        <w:t xml:space="preserve">gran parte de la importancia del pliego </w:t>
      </w:r>
      <w:r>
        <w:rPr>
          <w:rFonts w:ascii="Verdana" w:hAnsi="Verdana" w:cs="Arial"/>
        </w:rPr>
        <w:t>radica en</w:t>
      </w:r>
      <w:r w:rsidRPr="002379AA">
        <w:rPr>
          <w:rFonts w:ascii="Verdana" w:hAnsi="Verdana" w:cs="Arial"/>
        </w:rPr>
        <w:t xml:space="preserve"> que es el documento que establece las normas</w:t>
      </w:r>
      <w:r>
        <w:rPr>
          <w:rFonts w:ascii="Verdana" w:hAnsi="Verdana" w:cs="Arial"/>
        </w:rPr>
        <w:t xml:space="preserve"> que regirán </w:t>
      </w:r>
      <w:r w:rsidRPr="002379AA">
        <w:rPr>
          <w:rFonts w:ascii="Verdana" w:hAnsi="Verdana" w:cs="Arial"/>
        </w:rPr>
        <w:t>la etapa</w:t>
      </w:r>
      <w:r>
        <w:rPr>
          <w:rFonts w:ascii="Verdana" w:hAnsi="Verdana" w:cs="Arial"/>
        </w:rPr>
        <w:t xml:space="preserve"> de</w:t>
      </w:r>
      <w:r w:rsidRPr="002379AA">
        <w:rPr>
          <w:rFonts w:ascii="Verdana" w:hAnsi="Verdana" w:cs="Arial"/>
        </w:rPr>
        <w:t xml:space="preserve"> selección, a las </w:t>
      </w:r>
      <w:r>
        <w:rPr>
          <w:rFonts w:ascii="Verdana" w:hAnsi="Verdana" w:cs="Arial"/>
        </w:rPr>
        <w:t>cuales deben</w:t>
      </w:r>
      <w:r w:rsidRPr="002379AA">
        <w:rPr>
          <w:rFonts w:ascii="Verdana" w:hAnsi="Verdana" w:cs="Arial"/>
        </w:rPr>
        <w:t xml:space="preserve"> sujetarse</w:t>
      </w:r>
      <w:r>
        <w:rPr>
          <w:rFonts w:ascii="Verdana" w:hAnsi="Verdana" w:cs="Arial"/>
        </w:rPr>
        <w:t xml:space="preserve"> tanto</w:t>
      </w:r>
      <w:r w:rsidRPr="002379AA">
        <w:rPr>
          <w:rFonts w:ascii="Verdana" w:hAnsi="Verdana" w:cs="Arial"/>
        </w:rPr>
        <w:t xml:space="preserve"> la administración </w:t>
      </w:r>
      <w:r>
        <w:rPr>
          <w:rFonts w:ascii="Verdana" w:hAnsi="Verdana" w:cs="Arial"/>
        </w:rPr>
        <w:t>como</w:t>
      </w:r>
      <w:r w:rsidRPr="002379AA">
        <w:rPr>
          <w:rFonts w:ascii="Verdana" w:hAnsi="Verdana" w:cs="Arial"/>
        </w:rPr>
        <w:t xml:space="preserve"> los oferentes</w:t>
      </w:r>
      <w:r>
        <w:rPr>
          <w:rFonts w:ascii="Verdana" w:hAnsi="Verdana" w:cs="Arial"/>
        </w:rPr>
        <w:t>, con el fin de garantizar</w:t>
      </w:r>
      <w:r w:rsidRPr="002379AA">
        <w:rPr>
          <w:rFonts w:ascii="Verdana" w:hAnsi="Verdana" w:cs="Arial"/>
        </w:rPr>
        <w:t xml:space="preserve"> una selección objetiva</w:t>
      </w:r>
      <w:r w:rsidRPr="002379AA">
        <w:rPr>
          <w:rFonts w:ascii="Verdana" w:hAnsi="Verdana" w:cs="Arial"/>
          <w:vertAlign w:val="superscript"/>
        </w:rPr>
        <w:footnoteReference w:id="10"/>
      </w:r>
      <w:r w:rsidRPr="002379AA">
        <w:rPr>
          <w:rFonts w:ascii="Verdana" w:hAnsi="Verdana" w:cs="Arial"/>
        </w:rPr>
        <w:t>.</w:t>
      </w:r>
    </w:p>
    <w:p w14:paraId="0F5EE82B" w14:textId="77777777" w:rsidR="007A7D11" w:rsidRPr="002379AA" w:rsidRDefault="007A7D11" w:rsidP="007A7D11">
      <w:pPr>
        <w:spacing w:after="0" w:line="276" w:lineRule="auto"/>
        <w:jc w:val="both"/>
        <w:rPr>
          <w:rFonts w:ascii="Verdana" w:eastAsia="Calibri" w:hAnsi="Verdana" w:cs="Arial"/>
          <w:lang w:val="es-ES"/>
        </w:rPr>
      </w:pPr>
      <w:r w:rsidRPr="002379AA">
        <w:rPr>
          <w:rFonts w:ascii="Verdana" w:eastAsia="Calibri" w:hAnsi="Verdana" w:cs="Arial"/>
          <w:b/>
          <w:bCs/>
          <w:lang w:val="es-ES"/>
        </w:rPr>
        <w:tab/>
      </w:r>
      <w:r>
        <w:rPr>
          <w:rFonts w:ascii="Verdana" w:eastAsia="Calibri" w:hAnsi="Verdana" w:cs="Arial"/>
          <w:lang w:val="es-ES"/>
        </w:rPr>
        <w:t>Frente a este último aspecto</w:t>
      </w:r>
      <w:r w:rsidRPr="002379AA">
        <w:rPr>
          <w:rFonts w:ascii="Verdana" w:eastAsia="Calibri" w:hAnsi="Verdana" w:cs="Arial"/>
          <w:lang w:val="es-ES"/>
        </w:rPr>
        <w:t>, el Consejo de Estado</w:t>
      </w:r>
      <w:r w:rsidRPr="002379AA">
        <w:rPr>
          <w:rFonts w:ascii="Verdana" w:eastAsia="Calibri" w:hAnsi="Verdana" w:cs="Arial"/>
          <w:vertAlign w:val="superscript"/>
          <w:lang w:val="es-ES"/>
        </w:rPr>
        <w:footnoteReference w:id="11"/>
      </w:r>
      <w:r w:rsidRPr="002379AA">
        <w:rPr>
          <w:rFonts w:ascii="Verdana" w:eastAsia="Calibri" w:hAnsi="Verdana" w:cs="Arial"/>
          <w:lang w:val="es-ES"/>
        </w:rPr>
        <w:t xml:space="preserve"> ha reiterado que el pliego de condiciones ostenta una doble naturaleza jurídica, pues, por un lado, antes de la celebración del contrato y de la expedición del acto administrativo </w:t>
      </w:r>
      <w:r w:rsidRPr="002379AA">
        <w:rPr>
          <w:rFonts w:ascii="Verdana" w:eastAsia="Calibri" w:hAnsi="Verdana" w:cs="Arial"/>
          <w:lang w:val="es-ES"/>
        </w:rPr>
        <w:lastRenderedPageBreak/>
        <w:t>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lang w:val="es-ES"/>
        </w:rPr>
        <w:t>.</w:t>
      </w:r>
      <w:r w:rsidRPr="002379AA">
        <w:rPr>
          <w:rFonts w:ascii="Verdana" w:eastAsia="Calibri" w:hAnsi="Verdana" w:cs="Arial"/>
          <w:lang w:val="es-ES"/>
        </w:rPr>
        <w:t xml:space="preserve"> </w:t>
      </w:r>
    </w:p>
    <w:p w14:paraId="46FD6ED2" w14:textId="77777777" w:rsidR="007A7D11" w:rsidRDefault="007A7D11" w:rsidP="007A7D11">
      <w:pPr>
        <w:spacing w:after="120" w:line="276" w:lineRule="auto"/>
        <w:jc w:val="both"/>
        <w:rPr>
          <w:rFonts w:ascii="Verdana" w:eastAsia="Calibri" w:hAnsi="Verdana" w:cs="Arial"/>
          <w:color w:val="000000"/>
          <w:lang w:val="es-ES" w:eastAsia="es-ES_tradnl"/>
        </w:rPr>
      </w:pPr>
    </w:p>
    <w:p w14:paraId="039146C9" w14:textId="77777777" w:rsidR="007A7D11" w:rsidRPr="00D81E8E" w:rsidRDefault="007A7D11" w:rsidP="007A7D11">
      <w:pPr>
        <w:spacing w:after="120" w:line="276" w:lineRule="auto"/>
        <w:jc w:val="both"/>
        <w:rPr>
          <w:rFonts w:ascii="Verdana" w:eastAsia="Century Gothic" w:hAnsi="Verdana" w:cs="Century Gothic"/>
        </w:rPr>
      </w:pPr>
      <w:r>
        <w:rPr>
          <w:rFonts w:ascii="Verdana" w:eastAsia="Calibri" w:hAnsi="Verdana" w:cs="Arial"/>
          <w:color w:val="000000"/>
          <w:lang w:val="es-ES" w:eastAsia="es-ES_tradnl"/>
        </w:rPr>
        <w:t>ii.</w:t>
      </w:r>
      <w:r>
        <w:rPr>
          <w:rFonts w:ascii="Verdana" w:eastAsia="Verdana" w:hAnsi="Verdana" w:cs="Verdana"/>
        </w:rPr>
        <w:t xml:space="preserve"> </w:t>
      </w:r>
      <w:r w:rsidRPr="004E0CFE">
        <w:rPr>
          <w:rFonts w:ascii="Verdana" w:eastAsia="Verdana" w:hAnsi="Verdana" w:cs="Verdana"/>
        </w:rPr>
        <w:t xml:space="preserve">Las entidades estatales cuentan con autonomía para configurar los pliegos de condiciones y los criterios de selección en los procesos de contratación, pero dicha facultad no es absoluta. Deben ejercerla dentro de los límites fijados por el ordenamiento jurídico, con base en estudios de planeación, y garantizando que las reglas sean claras, objetivas y razonables. </w:t>
      </w:r>
      <w:r>
        <w:rPr>
          <w:rFonts w:ascii="Verdana" w:eastAsia="Verdana" w:hAnsi="Verdana" w:cs="Verdana"/>
        </w:rPr>
        <w:t>Dentro de las reglas que se establecen dentro del pliego de condiciones se resaltan las causales de recha</w:t>
      </w:r>
      <w:r>
        <w:rPr>
          <w:rFonts w:ascii="Verdana" w:eastAsia="Century Gothic" w:hAnsi="Verdana" w:cs="Century Gothic"/>
        </w:rPr>
        <w:t>zo, las cuales también se encuentran reguladas</w:t>
      </w:r>
      <w:r w:rsidRPr="00D81E8E">
        <w:rPr>
          <w:rFonts w:ascii="Verdana" w:eastAsia="Century Gothic" w:hAnsi="Verdana" w:cs="Century Gothic"/>
        </w:rPr>
        <w:t xml:space="preserve"> en la ley. No obstante, en el ejercicio de esta fa</w:t>
      </w:r>
      <w:r>
        <w:rPr>
          <w:rFonts w:ascii="Verdana" w:eastAsia="Century Gothic" w:hAnsi="Verdana" w:cs="Century Gothic"/>
        </w:rPr>
        <w:t xml:space="preserve">cultad las entidades no deben establecer </w:t>
      </w:r>
      <w:r w:rsidRPr="00D81E8E">
        <w:rPr>
          <w:rFonts w:ascii="Verdana" w:eastAsia="Century Gothic" w:hAnsi="Verdana" w:cs="Century Gothic"/>
        </w:rPr>
        <w:t>causales de rechazo que afecten la selección objetiva en la contratación. Sobre el particular, el Consejo de Estado</w:t>
      </w:r>
      <w:r w:rsidRPr="00D81E8E">
        <w:rPr>
          <w:rFonts w:ascii="Verdana" w:eastAsia="Century Gothic" w:hAnsi="Verdana" w:cs="Century Gothic"/>
          <w:vertAlign w:val="superscript"/>
        </w:rPr>
        <w:footnoteReference w:id="12"/>
      </w:r>
      <w:r w:rsidRPr="00D81E8E">
        <w:rPr>
          <w:rFonts w:ascii="Verdana" w:eastAsia="Century Gothic" w:hAnsi="Verdana" w:cs="Century Gothic"/>
        </w:rPr>
        <w:t xml:space="preserve"> señala:</w:t>
      </w:r>
    </w:p>
    <w:p w14:paraId="77552DFC" w14:textId="77777777" w:rsidR="007A7D11" w:rsidRPr="00D81E8E" w:rsidRDefault="007A7D11" w:rsidP="007A7D11">
      <w:pPr>
        <w:spacing w:after="0" w:line="240" w:lineRule="auto"/>
        <w:jc w:val="both"/>
        <w:rPr>
          <w:rFonts w:ascii="Verdana" w:eastAsia="Century Gothic" w:hAnsi="Verdana" w:cs="Century Gothic"/>
        </w:rPr>
      </w:pPr>
    </w:p>
    <w:p w14:paraId="19D219C1" w14:textId="77777777" w:rsidR="007A7D11" w:rsidRPr="00D81E8E" w:rsidRDefault="007A7D11" w:rsidP="007A7D11">
      <w:pPr>
        <w:spacing w:after="0" w:line="240" w:lineRule="auto"/>
        <w:ind w:left="567" w:right="618"/>
        <w:jc w:val="both"/>
        <w:rPr>
          <w:rFonts w:ascii="Verdana" w:eastAsia="Calibri" w:hAnsi="Verdana" w:cs="Arial"/>
          <w:sz w:val="20"/>
          <w:szCs w:val="20"/>
        </w:rPr>
      </w:pPr>
      <w:r w:rsidRPr="00D81E8E">
        <w:rPr>
          <w:rFonts w:ascii="Verdana" w:eastAsia="Century Gothic" w:hAnsi="Verdana" w:cs="Century Gothic"/>
          <w:sz w:val="20"/>
          <w:szCs w:val="20"/>
        </w:rPr>
        <w:t>“</w:t>
      </w:r>
      <w:r w:rsidRPr="00D81E8E">
        <w:rPr>
          <w:rFonts w:ascii="Verdana" w:eastAsia="Calibri" w:hAnsi="Verdana" w:cs="Arial"/>
          <w:sz w:val="20"/>
          <w:szCs w:val="20"/>
        </w:rPr>
        <w:t>Quiere con esto destacar la Sala que las causales de rechazo de las propuestas pueden ser legales y por lo mismo generan el efecto del descarte o exclusión de la oferta ope legis,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2C32C8AC" w14:textId="77777777" w:rsidR="007A7D11" w:rsidRPr="00D81E8E" w:rsidRDefault="007A7D11" w:rsidP="007A7D11">
      <w:pPr>
        <w:spacing w:after="0" w:line="276" w:lineRule="auto"/>
        <w:ind w:firstLine="709"/>
        <w:jc w:val="both"/>
        <w:rPr>
          <w:rFonts w:ascii="Verdana" w:eastAsia="Century Gothic" w:hAnsi="Verdana" w:cs="Century Gothic"/>
        </w:rPr>
      </w:pPr>
    </w:p>
    <w:p w14:paraId="334933DE" w14:textId="77777777" w:rsidR="007A7D11" w:rsidRPr="00D81E8E" w:rsidRDefault="007A7D11" w:rsidP="007A7D11">
      <w:pPr>
        <w:spacing w:after="120" w:line="276" w:lineRule="auto"/>
        <w:ind w:firstLine="709"/>
        <w:jc w:val="both"/>
        <w:rPr>
          <w:rFonts w:ascii="Verdana" w:eastAsia="Century Gothic" w:hAnsi="Verdana" w:cs="Century Gothic"/>
        </w:rPr>
      </w:pPr>
      <w:r w:rsidRPr="00D81E8E">
        <w:rPr>
          <w:rFonts w:ascii="Verdana" w:eastAsia="Century Gothic" w:hAnsi="Verdana" w:cs="Century Gothic"/>
        </w:rPr>
        <w:t xml:space="preserve">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w:t>
      </w:r>
      <w:r w:rsidRPr="00D81E8E">
        <w:rPr>
          <w:rFonts w:ascii="Verdana" w:eastAsia="Century Gothic" w:hAnsi="Verdana" w:cs="Century Gothic"/>
        </w:rPr>
        <w:lastRenderedPageBreak/>
        <w:t>mediante la cual se pretenda ampliar su alcance. Al respecto, el Consejo de Estado</w:t>
      </w:r>
      <w:r w:rsidRPr="00D81E8E">
        <w:rPr>
          <w:rFonts w:ascii="Verdana" w:eastAsia="Century Gothic" w:hAnsi="Verdana" w:cs="Century Gothic"/>
          <w:vertAlign w:val="superscript"/>
        </w:rPr>
        <w:footnoteReference w:id="13"/>
      </w:r>
      <w:r w:rsidRPr="00D81E8E">
        <w:rPr>
          <w:rFonts w:ascii="Verdana" w:eastAsia="Century Gothic" w:hAnsi="Verdana" w:cs="Century Gothic"/>
        </w:rPr>
        <w:t xml:space="preserve"> sostuvo:</w:t>
      </w:r>
    </w:p>
    <w:p w14:paraId="1A57AD22" w14:textId="77777777" w:rsidR="007A7D11" w:rsidRPr="00D81E8E" w:rsidRDefault="007A7D11" w:rsidP="007A7D11">
      <w:pPr>
        <w:spacing w:after="0" w:line="276" w:lineRule="auto"/>
        <w:ind w:firstLine="709"/>
        <w:jc w:val="both"/>
        <w:rPr>
          <w:rFonts w:ascii="Verdana" w:eastAsia="Century Gothic" w:hAnsi="Verdana" w:cs="Century Gothic"/>
        </w:rPr>
      </w:pPr>
    </w:p>
    <w:p w14:paraId="3099B0E4" w14:textId="77777777" w:rsidR="007A7D11" w:rsidRPr="00D81E8E" w:rsidRDefault="007A7D11" w:rsidP="007A7D11">
      <w:pPr>
        <w:tabs>
          <w:tab w:val="left" w:pos="8222"/>
        </w:tabs>
        <w:spacing w:after="0" w:line="240" w:lineRule="auto"/>
        <w:ind w:left="567" w:right="618"/>
        <w:jc w:val="both"/>
        <w:rPr>
          <w:rFonts w:ascii="Verdana" w:eastAsia="Calibri" w:hAnsi="Verdana" w:cs="Arial"/>
          <w:sz w:val="20"/>
          <w:szCs w:val="20"/>
        </w:rPr>
      </w:pPr>
      <w:r w:rsidRPr="00D81E8E">
        <w:rPr>
          <w:rFonts w:ascii="Verdana" w:eastAsia="Century Gothic" w:hAnsi="Verdana" w:cs="Century Gothic"/>
          <w:sz w:val="20"/>
          <w:szCs w:val="20"/>
        </w:rPr>
        <w:t>“</w:t>
      </w:r>
      <w:r w:rsidRPr="00D81E8E">
        <w:rPr>
          <w:rFonts w:ascii="Verdana" w:eastAsia="Calibri" w:hAnsi="Verdana" w:cs="Arial"/>
          <w:sz w:val="20"/>
          <w:szCs w:val="20"/>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1323F5DE" w14:textId="77777777" w:rsidR="007A7D11" w:rsidRPr="00D81E8E" w:rsidRDefault="007A7D11" w:rsidP="007A7D11">
      <w:pPr>
        <w:spacing w:after="0" w:line="276" w:lineRule="auto"/>
        <w:ind w:firstLine="709"/>
        <w:jc w:val="both"/>
        <w:rPr>
          <w:rFonts w:ascii="Verdana" w:eastAsia="Calibri" w:hAnsi="Verdana" w:cs="Arial"/>
          <w:lang w:val="es-ES"/>
        </w:rPr>
      </w:pPr>
    </w:p>
    <w:p w14:paraId="659C13B9" w14:textId="77777777" w:rsidR="007A7D11" w:rsidRPr="00D81E8E" w:rsidRDefault="007A7D11" w:rsidP="007A7D11">
      <w:pPr>
        <w:spacing w:before="120" w:after="120" w:line="276" w:lineRule="auto"/>
        <w:ind w:firstLine="708"/>
        <w:jc w:val="both"/>
        <w:rPr>
          <w:rFonts w:ascii="Verdana" w:eastAsia="Calibri" w:hAnsi="Verdana" w:cs="Arial"/>
          <w:lang w:val="es-ES"/>
        </w:rPr>
      </w:pPr>
      <w:r w:rsidRPr="00D81E8E">
        <w:rPr>
          <w:rFonts w:ascii="Verdana" w:eastAsia="Calibri" w:hAnsi="Verdana" w:cs="Arial"/>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2FAD8463" w14:textId="77777777" w:rsidR="007A7D11" w:rsidRPr="00D81E8E" w:rsidRDefault="007A7D11" w:rsidP="007A7D11">
      <w:pPr>
        <w:spacing w:before="120" w:after="120" w:line="276" w:lineRule="auto"/>
        <w:ind w:firstLine="708"/>
        <w:jc w:val="both"/>
        <w:rPr>
          <w:rFonts w:ascii="Verdana" w:eastAsia="Calibri" w:hAnsi="Verdana" w:cs="Arial"/>
          <w:lang w:val="es-ES"/>
        </w:rPr>
      </w:pPr>
      <w:r w:rsidRPr="00D81E8E">
        <w:rPr>
          <w:rFonts w:ascii="Verdana" w:eastAsia="Arial" w:hAnsi="Verdana" w:cs="Arial"/>
          <w:color w:val="000000"/>
        </w:rPr>
        <w:t xml:space="preserve">Por otra parte, es importante señalar que, uno de los principios transversales de los procedimientos de selección es el de </w:t>
      </w:r>
      <w:r w:rsidRPr="00D81E8E">
        <w:rPr>
          <w:rFonts w:ascii="Verdana" w:eastAsia="Arial" w:hAnsi="Verdana" w:cs="Arial"/>
          <w:i/>
          <w:color w:val="000000"/>
        </w:rPr>
        <w:t>selección objetiva</w:t>
      </w:r>
      <w:r w:rsidRPr="00D81E8E">
        <w:rPr>
          <w:rFonts w:ascii="Verdana" w:eastAsia="Arial" w:hAnsi="Verdana" w:cs="Arial"/>
          <w:color w:val="000000"/>
        </w:rPr>
        <w:t>. Se trata del postulado que exige que la escogencia de la oferta ganadora deba fundamentarse en factores objetivos, de carácter técnico, jurídico y financiero, y no en criterios subjetivos, como el afecto, la amistad, el ánimo de ayuda, el interés personal, entre otros. Si bien dentro de la historia de la contratación pública en Colombia se vislumbran antecedentes normativos que consagraban dicho principio</w:t>
      </w:r>
      <w:r w:rsidRPr="00D81E8E">
        <w:rPr>
          <w:rFonts w:ascii="Aptos" w:eastAsia="Aptos" w:hAnsi="Aptos" w:cs="Times New Roman"/>
          <w:sz w:val="24"/>
          <w:szCs w:val="24"/>
          <w:vertAlign w:val="superscript"/>
        </w:rPr>
        <w:footnoteReference w:id="14"/>
      </w:r>
      <w:r w:rsidRPr="00D81E8E">
        <w:rPr>
          <w:rFonts w:ascii="Verdana" w:eastAsia="Arial" w:hAnsi="Verdana" w:cs="Arial"/>
          <w:color w:val="000000"/>
        </w:rPr>
        <w:t xml:space="preserve">, en la actualidad la disposición legal que lo prevé de manera </w:t>
      </w:r>
      <w:r w:rsidRPr="00D81E8E">
        <w:rPr>
          <w:rFonts w:ascii="Verdana" w:eastAsia="Arial" w:hAnsi="Verdana" w:cs="Arial"/>
          <w:color w:val="000000"/>
        </w:rPr>
        <w:lastRenderedPageBreak/>
        <w:t>más clara y contundente es el artículo 5 de la Ley 1150 de 2007, modificado por el artículo 88 de la Ley 1474 de 2011 y por el artículo 5 de la Ley 1882 de 2018.</w:t>
      </w:r>
    </w:p>
    <w:p w14:paraId="2EBC9E30" w14:textId="77777777" w:rsidR="007A7D11" w:rsidRPr="00D81E8E" w:rsidRDefault="007A7D11" w:rsidP="007A7D11">
      <w:pPr>
        <w:spacing w:before="120" w:after="120" w:line="276" w:lineRule="auto"/>
        <w:ind w:firstLine="708"/>
        <w:jc w:val="both"/>
        <w:rPr>
          <w:rFonts w:ascii="Verdana" w:eastAsia="Calibri" w:hAnsi="Verdana" w:cs="Arial"/>
          <w:lang w:val="es-ES"/>
        </w:rPr>
      </w:pPr>
      <w:r w:rsidRPr="00D81E8E">
        <w:rPr>
          <w:rFonts w:ascii="Verdana" w:eastAsia="Arial" w:hAnsi="Verdana" w:cs="Arial"/>
          <w:color w:val="000000"/>
        </w:rPr>
        <w:t>Para garantizar la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En otras palabras, la selección objetiva se encuentra ligada a la obligación que tienen las entidades estatales de permitir la subsanación de los requisitos de participación, bajo las condiciones indicadas en la ley, antes de tomar la decisión de rechazar las propuestas que hayan omitido la observancia de requisitos no necesarios para la comparación de las ofertas.</w:t>
      </w:r>
    </w:p>
    <w:p w14:paraId="150D5136" w14:textId="77777777" w:rsidR="007A7D11" w:rsidRPr="00D81E8E" w:rsidRDefault="007A7D11" w:rsidP="007A7D11">
      <w:pPr>
        <w:spacing w:before="120" w:after="120" w:line="276" w:lineRule="auto"/>
        <w:ind w:firstLine="708"/>
        <w:jc w:val="both"/>
        <w:rPr>
          <w:rFonts w:ascii="Verdana" w:hAnsi="Verdana" w:cs="Arial"/>
          <w:bCs/>
          <w:color w:val="000000" w:themeColor="text1"/>
        </w:rPr>
      </w:pPr>
      <w:r w:rsidRPr="00D81E8E">
        <w:rPr>
          <w:rFonts w:ascii="Verdana" w:eastAsia="Arial" w:hAnsi="Verdana" w:cs="Arial"/>
          <w:color w:val="000000"/>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r w:rsidRPr="00D81E8E">
        <w:rPr>
          <w:rFonts w:ascii="Verdana" w:hAnsi="Verdana" w:cs="Arial"/>
          <w:bCs/>
          <w:color w:val="000000" w:themeColor="text1"/>
        </w:rPr>
        <w:t xml:space="preserve"> En ese orden de ideas, el rechazo de las ofertas debe provenir entre otros factores, de la imposibilidad de hacer una escogencia favorable a la entidad estatal y a los fines que ella busca en cumplimiento del deber de selección objetiva, que garantiza la libertad de competencia regulado en el artículo 333 constitucional.</w:t>
      </w:r>
    </w:p>
    <w:p w14:paraId="3AF139D1" w14:textId="77777777" w:rsidR="007A7D11" w:rsidRPr="004E0CFE" w:rsidRDefault="007A7D11" w:rsidP="007A7D11">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este escenario</w:t>
      </w:r>
      <w:r w:rsidRPr="009859FE">
        <w:rPr>
          <w:rFonts w:ascii="Verdana" w:eastAsia="Calibri" w:hAnsi="Verdana" w:cs="Arial"/>
          <w:color w:val="000000" w:themeColor="text1"/>
        </w:rPr>
        <w:t xml:space="preserve">, el principio de autonomía de la voluntad, reconocido en </w:t>
      </w:r>
      <w:r w:rsidRPr="009859FE">
        <w:rPr>
          <w:rFonts w:ascii="Verdana" w:eastAsia="Calibri" w:hAnsi="Verdana" w:cs="Arial"/>
          <w:color w:val="000000" w:themeColor="text1"/>
        </w:rPr>
        <w:lastRenderedPageBreak/>
        <w:t xml:space="preserve">los artículos 13, 32 y 40 de la Ley 80 de 1993 para </w:t>
      </w:r>
      <w:r>
        <w:rPr>
          <w:rFonts w:ascii="Verdana" w:eastAsia="Calibri" w:hAnsi="Verdana" w:cs="Arial"/>
          <w:color w:val="000000" w:themeColor="text1"/>
        </w:rPr>
        <w:t>las entidades sometidas al Estatuto General de Contratación de la Administración Pública</w:t>
      </w:r>
      <w:r w:rsidRPr="009859FE">
        <w:rPr>
          <w:rFonts w:ascii="Verdana" w:eastAsia="Calibri" w:hAnsi="Verdana" w:cs="Arial"/>
          <w:color w:val="000000" w:themeColor="text1"/>
        </w:rPr>
        <w:t xml:space="preserve">, actúa entonces como el fundamento normativo que otorga a las Entidades Estatales competencia para que puedan </w:t>
      </w:r>
      <w:r>
        <w:rPr>
          <w:rFonts w:ascii="Verdana" w:eastAsia="Calibri" w:hAnsi="Verdana" w:cs="Arial"/>
          <w:color w:val="000000" w:themeColor="text1"/>
        </w:rPr>
        <w:t>establecer causales de rechazo, requisitos habilitantes, así como criterios de evaluación para la participación en un proceso de contratación pública</w:t>
      </w:r>
      <w:r w:rsidRPr="009859FE">
        <w:rPr>
          <w:rFonts w:ascii="Verdana" w:eastAsia="Calibri" w:hAnsi="Verdana" w:cs="Arial"/>
          <w:color w:val="000000" w:themeColor="text1"/>
        </w:rPr>
        <w:t>.</w:t>
      </w:r>
      <w:r>
        <w:rPr>
          <w:rFonts w:ascii="Verdana" w:eastAsia="Calibri" w:hAnsi="Verdana" w:cs="Arial"/>
          <w:color w:val="000000" w:themeColor="text1"/>
        </w:rPr>
        <w:t xml:space="preserve"> </w:t>
      </w:r>
      <w:r>
        <w:rPr>
          <w:rFonts w:ascii="Verdana" w:eastAsia="Calibri" w:hAnsi="Verdana" w:cs="Arial"/>
          <w:bCs/>
        </w:rPr>
        <w:t>En todo caso, se recuerda a las entidades públicas que</w:t>
      </w:r>
      <w:r w:rsidRPr="006A5798">
        <w:rPr>
          <w:rFonts w:ascii="Verdana" w:eastAsia="Calibri" w:hAnsi="Verdana" w:cs="Arial"/>
          <w:bCs/>
        </w:rPr>
        <w:t xml:space="preserve">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“En la medida en que el contenido de una decisión de carácter general o particular sea discrecional, debe ser adecuada a los fines de la norma que la autoriza, y proporcional a los hechos que le sirven de causa”. Así las cosas, el cumplimiento de las exigencias derivadas del principio de proporcionalidad es una condición ineludible para la admisibilidad de cualquier criterio de adjudicación del contrato, así como para su acreditación dentro de un proceso de acreditación. </w:t>
      </w:r>
    </w:p>
    <w:p w14:paraId="5343DF6A" w14:textId="77777777" w:rsidR="007A7D11" w:rsidRDefault="007A7D11" w:rsidP="007A7D11">
      <w:pPr>
        <w:spacing w:after="120" w:line="276" w:lineRule="auto"/>
        <w:ind w:firstLine="709"/>
        <w:jc w:val="both"/>
        <w:rPr>
          <w:rFonts w:ascii="Verdana" w:eastAsia="Arial" w:hAnsi="Verdana" w:cs="Arial"/>
          <w:color w:val="000000"/>
        </w:rPr>
      </w:pPr>
      <w:r>
        <w:rPr>
          <w:rFonts w:ascii="Verdana" w:eastAsia="Arial" w:hAnsi="Verdana" w:cs="Arial"/>
          <w:color w:val="000000"/>
        </w:rPr>
        <w:t>Ahora bien, l</w:t>
      </w:r>
      <w:r w:rsidRPr="00540117">
        <w:rPr>
          <w:rFonts w:ascii="Verdana" w:eastAsia="Arial" w:hAnsi="Verdana" w:cs="Arial"/>
          <w:color w:val="000000"/>
        </w:rPr>
        <w:t xml:space="preserve">a exigencia de presentar la oferta económica en una caja de seguridad con clave de acceso puede interpretarse como una medida de control destinada a garantizar la confidencialidad y la integridad de las propuestas. </w:t>
      </w:r>
      <w:r>
        <w:rPr>
          <w:rFonts w:ascii="Verdana" w:eastAsia="Arial" w:hAnsi="Verdana" w:cs="Arial"/>
          <w:color w:val="000000"/>
        </w:rPr>
        <w:t>Desde la perspectiva de la Entidad Pública contratante</w:t>
      </w:r>
      <w:r w:rsidRPr="00540117">
        <w:rPr>
          <w:rFonts w:ascii="Verdana" w:eastAsia="Arial" w:hAnsi="Verdana" w:cs="Arial"/>
          <w:color w:val="000000"/>
        </w:rPr>
        <w:t>, este mecanismo busca evitar filtraciones, manipulaciones o accesos indebidos antes de la apertura oficial, lo cual fortalece la transparencia y la igualdad de condiciones entre los proponentes.</w:t>
      </w:r>
      <w:r>
        <w:rPr>
          <w:rFonts w:ascii="Verdana" w:eastAsia="Arial" w:hAnsi="Verdana" w:cs="Arial"/>
          <w:color w:val="000000"/>
        </w:rPr>
        <w:t xml:space="preserve"> </w:t>
      </w:r>
      <w:r w:rsidRPr="00540117">
        <w:rPr>
          <w:rFonts w:ascii="Verdana" w:eastAsia="Arial" w:hAnsi="Verdana" w:cs="Arial"/>
          <w:color w:val="000000"/>
        </w:rPr>
        <w:t>Sin embargo, si la medida no está debidamente justificada en los pliegos de condiciones o resulta excesiva frente a los fines que persigue, podría convertirse en una restricción indebida</w:t>
      </w:r>
      <w:r>
        <w:rPr>
          <w:rFonts w:ascii="Verdana" w:eastAsia="Arial" w:hAnsi="Verdana" w:cs="Arial"/>
          <w:color w:val="000000"/>
        </w:rPr>
        <w:t xml:space="preserve"> para la participación en los procesos de contratación</w:t>
      </w:r>
      <w:r w:rsidRPr="00540117">
        <w:rPr>
          <w:rFonts w:ascii="Verdana" w:eastAsia="Arial" w:hAnsi="Verdana" w:cs="Arial"/>
          <w:color w:val="000000"/>
        </w:rPr>
        <w:t>. En particular, si el requisito implica costos adicionales, dificultades técnicas o barreras logísticas que no todos los oferentes pueden superar, se estaría li</w:t>
      </w:r>
      <w:r>
        <w:rPr>
          <w:rFonts w:ascii="Verdana" w:eastAsia="Arial" w:hAnsi="Verdana" w:cs="Arial"/>
          <w:color w:val="000000"/>
        </w:rPr>
        <w:t>mitando la libre concurrencia</w:t>
      </w:r>
      <w:r w:rsidRPr="00540117">
        <w:rPr>
          <w:rFonts w:ascii="Verdana" w:eastAsia="Arial" w:hAnsi="Verdana" w:cs="Arial"/>
          <w:color w:val="000000"/>
        </w:rPr>
        <w:t xml:space="preserve"> el principio de igualdad </w:t>
      </w:r>
      <w:r>
        <w:rPr>
          <w:rFonts w:ascii="Verdana" w:eastAsia="Arial" w:hAnsi="Verdana" w:cs="Arial"/>
          <w:color w:val="000000"/>
        </w:rPr>
        <w:t xml:space="preserve">y de cierto modo el deber de selección objetiva </w:t>
      </w:r>
      <w:r w:rsidRPr="00540117">
        <w:rPr>
          <w:rFonts w:ascii="Verdana" w:eastAsia="Arial" w:hAnsi="Verdana" w:cs="Arial"/>
          <w:color w:val="000000"/>
        </w:rPr>
        <w:t xml:space="preserve">en la contratación pública. </w:t>
      </w:r>
    </w:p>
    <w:p w14:paraId="6DDED333" w14:textId="77777777" w:rsidR="007A7D11" w:rsidRDefault="007A7D11" w:rsidP="007A7D11">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En este aspecto, debe recordarse que la discrecionalidad de la Entidad para la configuración de los pliegos de condiciones exige que los requisitos </w:t>
      </w:r>
      <w:r w:rsidRPr="00540117">
        <w:rPr>
          <w:rFonts w:ascii="Verdana" w:eastAsia="Arial" w:hAnsi="Verdana" w:cs="Arial"/>
          <w:color w:val="000000"/>
        </w:rPr>
        <w:t>sean proporcionales y razonables, evitando que excluyan injustificadamente a posibles participantes.</w:t>
      </w:r>
      <w:r w:rsidRPr="009C7B67">
        <w:t xml:space="preserve"> </w:t>
      </w:r>
      <w:r w:rsidRPr="009C7B67">
        <w:rPr>
          <w:rFonts w:ascii="Verdana" w:eastAsia="Arial" w:hAnsi="Verdana" w:cs="Arial"/>
          <w:color w:val="000000"/>
        </w:rPr>
        <w:t xml:space="preserve">En este sentido, la entidad debe evitar imponer condiciones que restrinjan injustificadamente la participación de posibles oferentes, pues ello vulneraría el principio de selección objetiva y afectaría la </w:t>
      </w:r>
      <w:r w:rsidRPr="009C7B67">
        <w:rPr>
          <w:rFonts w:ascii="Verdana" w:eastAsia="Arial" w:hAnsi="Verdana" w:cs="Arial"/>
          <w:color w:val="000000"/>
        </w:rPr>
        <w:lastRenderedPageBreak/>
        <w:t>transparencia del proceso. La elaboración de los pliegos exige, entonces, un ejercicio cuidadoso y responsable, en el que las reglas sean claras, precisas y completas, pero también inclusivas y no discriminatorias, de manera que se garantice la igualdad de oportunidades y se promueva una competencia real y efectiva entre los interesados.</w:t>
      </w:r>
      <w:r>
        <w:rPr>
          <w:rFonts w:ascii="Verdana" w:eastAsia="Arial" w:hAnsi="Verdana" w:cs="Arial"/>
          <w:color w:val="000000"/>
        </w:rPr>
        <w:t xml:space="preserve"> En esta línea, el principio de proporcionalidad en la contratación estatal cobra sentido, lo cual ha sido expresado por la doctrina:</w:t>
      </w:r>
    </w:p>
    <w:p w14:paraId="185948BC" w14:textId="77777777" w:rsidR="007A7D11" w:rsidRPr="00174FB0" w:rsidRDefault="007A7D11" w:rsidP="007A7D11">
      <w:pPr>
        <w:spacing w:after="0" w:line="276" w:lineRule="auto"/>
        <w:ind w:left="709" w:right="709" w:firstLine="709"/>
        <w:jc w:val="both"/>
        <w:rPr>
          <w:rFonts w:ascii="Verdana" w:eastAsia="Arial" w:hAnsi="Verdana" w:cs="Arial"/>
          <w:color w:val="000000"/>
          <w:sz w:val="20"/>
          <w:szCs w:val="20"/>
        </w:rPr>
      </w:pPr>
    </w:p>
    <w:p w14:paraId="34481BDB" w14:textId="77777777" w:rsidR="007A7D11" w:rsidRPr="00174FB0" w:rsidRDefault="007A7D11" w:rsidP="007A7D11">
      <w:pPr>
        <w:pStyle w:val="Textonotapie"/>
        <w:ind w:left="709" w:right="709"/>
        <w:jc w:val="both"/>
        <w:rPr>
          <w:rFonts w:ascii="Verdana" w:hAnsi="Verdana" w:cs="Arial"/>
        </w:rPr>
      </w:pPr>
      <w:r w:rsidRPr="00174FB0">
        <w:rPr>
          <w:rFonts w:ascii="Verdana" w:hAnsi="Verdana" w:cs="Arial"/>
        </w:rPr>
        <w:t>[…] resulta viable sostener que la facultad normativamente atribuida a la administración para confeccionar los pliegos de condiciones o sus equivalentes, en un procedimiento administrativo de selección de contratistas, permite ilustrar, de inigualable manera, la forma como ha de operar la discrecionalidad administrativa, siguiendo los parámetros recién aludidos: en primer lugar, las antecitadas normas de rango legal o reglamentario que regulan el contenido mínimo y los criterios a los cuales deben sujetarse la elaboración y la expedición de los referidos actos administrativos, en la medida en que son deliberadamente  incompletas, inacabadas o indeterminadas, defieren a la administración la responsabilidad de fijar, de manera discrecional, las reglas y los criterios que orientarán, a partir del pliego, cada proceso de selección en particular; en segundo término, la administración ejercerá esa facultad discrecional estableciendo, en los pliegos o en sus equivalentes, los mencionados reglas y criterios –objetivos y razonables, de forma completa, precisa y detallada– los cuales –los pliegos– completarán el supuesto de hecho de los preceptos normativos inacabados o incompletos que atribuyen la respectiva facultad, para regir tanto el proceso de selección del contratista como la celebración y ejecución del contrato. Según resulta evidente, esa actividad de la administración es materialmente normativa y en ella se concreta el ejercicio de la discrecionalidad.</w:t>
      </w:r>
    </w:p>
    <w:p w14:paraId="4D6165F1" w14:textId="77777777" w:rsidR="007A7D11" w:rsidRDefault="007A7D11" w:rsidP="007A7D11">
      <w:pPr>
        <w:pStyle w:val="Textonotapie"/>
        <w:ind w:left="709" w:right="709"/>
        <w:jc w:val="both"/>
        <w:rPr>
          <w:rFonts w:ascii="Verdana" w:hAnsi="Verdana" w:cs="Arial"/>
        </w:rPr>
      </w:pPr>
    </w:p>
    <w:p w14:paraId="2C90B009" w14:textId="77777777" w:rsidR="007A7D11" w:rsidRDefault="007A7D11" w:rsidP="007A7D11">
      <w:pPr>
        <w:pStyle w:val="Textonotapie"/>
        <w:ind w:left="709" w:right="709"/>
        <w:jc w:val="both"/>
        <w:rPr>
          <w:rFonts w:ascii="Verdana" w:hAnsi="Verdana" w:cs="Arial"/>
        </w:rPr>
      </w:pPr>
      <w:r w:rsidRPr="00174FB0">
        <w:rPr>
          <w:rFonts w:ascii="Verdana" w:hAnsi="Verdana" w:cs="Arial"/>
        </w:rPr>
        <w:t xml:space="preserve">Y,  en  tercer  término,  aquello  que  debe  hacer  la  administración  dentro  del procedimiento  administrativo  de  selección  de  contratistas  del  cual  se  trate,  es  subsumir –procedimiento de aplicación reglada  del derecho– en las normas legales completadas en su supuesto de hecho con los criterios objetivos y razonables  introducidos –en los pliegos de condiciones– por la entidad contratante en cada  caso concreto, los presupuestos fácticos de éste para adoptar, así, la decisión más  conveniente al interés general, lo cual, en materia de contratación estatal, supone, en especial, escoger la mejor propuesta de conformidad con los </w:t>
      </w:r>
      <w:r w:rsidRPr="00174FB0">
        <w:rPr>
          <w:rFonts w:ascii="Verdana" w:hAnsi="Verdana" w:cs="Arial"/>
        </w:rPr>
        <w:lastRenderedPageBreak/>
        <w:t>parámetros fijados  en los mencionados pliegos de condiciones o</w:t>
      </w:r>
      <w:r>
        <w:rPr>
          <w:rFonts w:ascii="Verdana" w:hAnsi="Verdana" w:cs="Arial"/>
        </w:rPr>
        <w:t xml:space="preserve"> en sus documentos equivalentes</w:t>
      </w:r>
      <w:r>
        <w:rPr>
          <w:rStyle w:val="Refdenotaalpie"/>
          <w:rFonts w:ascii="Verdana" w:hAnsi="Verdana" w:cs="Arial"/>
        </w:rPr>
        <w:footnoteReference w:id="15"/>
      </w:r>
      <w:r w:rsidRPr="00174FB0">
        <w:rPr>
          <w:rFonts w:ascii="Verdana" w:hAnsi="Verdana" w:cs="Arial"/>
        </w:rPr>
        <w:t xml:space="preserve">. </w:t>
      </w:r>
    </w:p>
    <w:p w14:paraId="45BE08CF" w14:textId="77777777" w:rsidR="007A7D11" w:rsidRPr="00174FB0" w:rsidRDefault="007A7D11" w:rsidP="007A7D11">
      <w:pPr>
        <w:spacing w:after="120" w:line="276" w:lineRule="auto"/>
        <w:jc w:val="both"/>
        <w:rPr>
          <w:rFonts w:ascii="Verdana" w:eastAsia="Arial" w:hAnsi="Verdana" w:cs="Arial"/>
          <w:color w:val="000000"/>
          <w:lang w:val="es-MX"/>
        </w:rPr>
      </w:pPr>
    </w:p>
    <w:p w14:paraId="2664C83D" w14:textId="77777777" w:rsidR="007A7D11" w:rsidRDefault="007A7D11" w:rsidP="007A7D11">
      <w:pPr>
        <w:spacing w:after="120" w:line="276" w:lineRule="auto"/>
        <w:ind w:firstLine="709"/>
        <w:jc w:val="both"/>
        <w:rPr>
          <w:rFonts w:ascii="Verdana" w:eastAsia="Arial" w:hAnsi="Verdana" w:cs="Arial"/>
          <w:color w:val="000000"/>
        </w:rPr>
      </w:pPr>
      <w:r>
        <w:rPr>
          <w:rFonts w:ascii="Verdana" w:eastAsia="Arial" w:hAnsi="Verdana" w:cs="Arial"/>
          <w:color w:val="000000"/>
        </w:rPr>
        <w:t>Por tanto</w:t>
      </w:r>
      <w:r w:rsidRPr="00540117">
        <w:rPr>
          <w:rFonts w:ascii="Verdana" w:eastAsia="Arial" w:hAnsi="Verdana" w:cs="Arial"/>
          <w:color w:val="000000"/>
        </w:rPr>
        <w:t>, la validez de esta exigencia depende de su proporcionalidad y de la justificación que la ent</w:t>
      </w:r>
      <w:r>
        <w:rPr>
          <w:rFonts w:ascii="Verdana" w:eastAsia="Arial" w:hAnsi="Verdana" w:cs="Arial"/>
          <w:color w:val="000000"/>
        </w:rPr>
        <w:t>idad contratante aporte. Si se comprueba</w:t>
      </w:r>
      <w:r w:rsidRPr="00540117">
        <w:rPr>
          <w:rFonts w:ascii="Verdana" w:eastAsia="Arial" w:hAnsi="Verdana" w:cs="Arial"/>
          <w:color w:val="000000"/>
        </w:rPr>
        <w:t xml:space="preserve"> que la caja de seguridad con clave es necesaria para proteger la transparencia del proceso y no genera cargas de</w:t>
      </w:r>
      <w:r>
        <w:rPr>
          <w:rFonts w:ascii="Verdana" w:eastAsia="Arial" w:hAnsi="Verdana" w:cs="Arial"/>
          <w:color w:val="000000"/>
        </w:rPr>
        <w:t>smedidas, la medida puede ser proporcional</w:t>
      </w:r>
      <w:r w:rsidRPr="00540117">
        <w:rPr>
          <w:rFonts w:ascii="Verdana" w:eastAsia="Arial" w:hAnsi="Verdana" w:cs="Arial"/>
          <w:color w:val="000000"/>
        </w:rPr>
        <w:t xml:space="preserve">. </w:t>
      </w:r>
      <w:r>
        <w:rPr>
          <w:rFonts w:ascii="Verdana" w:eastAsia="Arial" w:hAnsi="Verdana" w:cs="Arial"/>
          <w:color w:val="000000"/>
        </w:rPr>
        <w:t xml:space="preserve">Sin embargo, </w:t>
      </w:r>
      <w:r w:rsidRPr="00540117">
        <w:rPr>
          <w:rFonts w:ascii="Verdana" w:eastAsia="Arial" w:hAnsi="Verdana" w:cs="Arial"/>
          <w:color w:val="000000"/>
        </w:rPr>
        <w:t>si se convierte en un obstáculo que restringe la participación de oferentes sin una razón objetiva</w:t>
      </w:r>
      <w:r>
        <w:rPr>
          <w:rFonts w:ascii="Verdana" w:eastAsia="Arial" w:hAnsi="Verdana" w:cs="Arial"/>
          <w:color w:val="000000"/>
        </w:rPr>
        <w:t>, constituyéndose en una causal de rechazo</w:t>
      </w:r>
      <w:r w:rsidRPr="00540117">
        <w:rPr>
          <w:rFonts w:ascii="Verdana" w:eastAsia="Arial" w:hAnsi="Verdana" w:cs="Arial"/>
          <w:color w:val="000000"/>
        </w:rPr>
        <w:t xml:space="preserve">, sí </w:t>
      </w:r>
      <w:r>
        <w:rPr>
          <w:rFonts w:ascii="Verdana" w:eastAsia="Arial" w:hAnsi="Verdana" w:cs="Arial"/>
          <w:color w:val="000000"/>
        </w:rPr>
        <w:t xml:space="preserve">podría implicar </w:t>
      </w:r>
      <w:r w:rsidRPr="00540117">
        <w:rPr>
          <w:rFonts w:ascii="Verdana" w:eastAsia="Arial" w:hAnsi="Verdana" w:cs="Arial"/>
          <w:color w:val="000000"/>
        </w:rPr>
        <w:t>una limitación indebida a la libre concurrencia.</w:t>
      </w:r>
    </w:p>
    <w:p w14:paraId="03629A3D" w14:textId="77777777" w:rsidR="007A7D11" w:rsidRDefault="007A7D11" w:rsidP="007A7D11">
      <w:pPr>
        <w:spacing w:after="0" w:line="276" w:lineRule="auto"/>
        <w:jc w:val="both"/>
        <w:rPr>
          <w:rFonts w:ascii="Verdana" w:eastAsia="Calibri" w:hAnsi="Verdana" w:cs="Arial"/>
          <w:bCs/>
        </w:rPr>
      </w:pPr>
    </w:p>
    <w:p w14:paraId="78C3D3F9" w14:textId="77777777" w:rsidR="007A7D11" w:rsidRPr="009037F6" w:rsidRDefault="007A7D11" w:rsidP="007A7D11">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BA7F20B" w14:textId="77777777" w:rsidR="007A7D11" w:rsidRPr="009037F6" w:rsidRDefault="007A7D11" w:rsidP="007A7D11">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4FD49C4" w14:textId="556B2914" w:rsidR="007A7D11" w:rsidRDefault="007A7D11" w:rsidP="007A7D11">
      <w:pPr>
        <w:spacing w:after="120" w:line="240" w:lineRule="auto"/>
        <w:ind w:right="900"/>
        <w:jc w:val="both"/>
        <w:textAlignment w:val="baseline"/>
        <w:rPr>
          <w:rFonts w:ascii="Verdana" w:eastAsia="Arial" w:hAnsi="Verdana" w:cs="Arial"/>
          <w:sz w:val="20"/>
          <w:szCs w:val="20"/>
        </w:rPr>
      </w:pPr>
    </w:p>
    <w:p w14:paraId="0B13D26A" w14:textId="1F23AFCE" w:rsidR="00516BFF" w:rsidRDefault="00516BFF" w:rsidP="007A7D11">
      <w:pPr>
        <w:spacing w:after="120" w:line="240" w:lineRule="auto"/>
        <w:ind w:right="900"/>
        <w:jc w:val="both"/>
        <w:textAlignment w:val="baseline"/>
        <w:rPr>
          <w:rFonts w:ascii="Verdana" w:eastAsia="Arial" w:hAnsi="Verdana" w:cs="Arial"/>
          <w:sz w:val="20"/>
          <w:szCs w:val="20"/>
        </w:rPr>
      </w:pPr>
    </w:p>
    <w:p w14:paraId="371C3366" w14:textId="77777777" w:rsidR="00516BFF" w:rsidRPr="005E0C91" w:rsidRDefault="00516BFF" w:rsidP="007A7D11">
      <w:pPr>
        <w:spacing w:after="120" w:line="240" w:lineRule="auto"/>
        <w:ind w:right="900"/>
        <w:jc w:val="both"/>
        <w:textAlignment w:val="baseline"/>
        <w:rPr>
          <w:rFonts w:ascii="Verdana" w:eastAsia="Arial" w:hAnsi="Verdana" w:cs="Arial"/>
          <w:sz w:val="20"/>
          <w:szCs w:val="20"/>
        </w:rPr>
      </w:pPr>
    </w:p>
    <w:p w14:paraId="4403BFC4" w14:textId="77777777" w:rsidR="007A7D11" w:rsidRPr="002B5C7D" w:rsidRDefault="007A7D11" w:rsidP="007A7D11">
      <w:pPr>
        <w:numPr>
          <w:ilvl w:val="0"/>
          <w:numId w:val="16"/>
        </w:numPr>
        <w:spacing w:after="0" w:line="256" w:lineRule="auto"/>
        <w:rPr>
          <w:rFonts w:ascii="Verdana" w:eastAsia="Calibri" w:hAnsi="Verdana" w:cs="Times New Roman"/>
          <w:b/>
          <w:bCs/>
          <w:lang w:val="es-ES"/>
        </w:rPr>
      </w:pPr>
      <w:r w:rsidRPr="002B5C7D">
        <w:rPr>
          <w:rFonts w:ascii="Verdana" w:eastAsia="Calibri" w:hAnsi="Verdana" w:cs="Times New Roman"/>
          <w:b/>
          <w:bCs/>
          <w:lang w:val="es-ES"/>
        </w:rPr>
        <w:t>Referencias normativas, jurisprudenciales y otras fuentes:</w:t>
      </w:r>
    </w:p>
    <w:p w14:paraId="5EE09AB1" w14:textId="77777777" w:rsidR="007A7D11" w:rsidRDefault="007A7D11" w:rsidP="007A7D11">
      <w:pPr>
        <w:spacing w:after="0" w:line="240" w:lineRule="auto"/>
        <w:rPr>
          <w:rFonts w:ascii="Verdana" w:eastAsia="Calibri" w:hAnsi="Verdana" w:cs="Times New Roman"/>
          <w:bCs/>
          <w:lang w:val="es-ES_tradn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7D11" w:rsidRPr="001205D1" w14:paraId="46F4C643" w14:textId="77777777" w:rsidTr="00156BC1">
        <w:trPr>
          <w:trHeight w:val="453"/>
          <w:jc w:val="center"/>
        </w:trPr>
        <w:tc>
          <w:tcPr>
            <w:tcW w:w="8647" w:type="dxa"/>
          </w:tcPr>
          <w:p w14:paraId="699B65FE" w14:textId="77777777" w:rsidR="007A7D11" w:rsidRPr="002E2C7E" w:rsidRDefault="007A7D11" w:rsidP="00156BC1">
            <w:pPr>
              <w:widowControl w:val="0"/>
              <w:numPr>
                <w:ilvl w:val="0"/>
                <w:numId w:val="17"/>
              </w:numPr>
              <w:autoSpaceDE w:val="0"/>
              <w:autoSpaceDN w:val="0"/>
              <w:spacing w:before="120" w:after="120" w:line="276" w:lineRule="auto"/>
              <w:ind w:left="714" w:hanging="357"/>
              <w:jc w:val="both"/>
              <w:rPr>
                <w:rFonts w:ascii="Verdana" w:hAnsi="Verdana" w:cs="Arial"/>
              </w:rPr>
            </w:pPr>
            <w:r w:rsidRPr="00367ED9">
              <w:rPr>
                <w:rFonts w:ascii="Verdana" w:hAnsi="Verdana" w:cs="Arial"/>
              </w:rPr>
              <w:t xml:space="preserve"> </w:t>
            </w:r>
            <w:r>
              <w:rPr>
                <w:rFonts w:ascii="Verdana" w:hAnsi="Verdana" w:cs="Arial"/>
              </w:rPr>
              <w:t xml:space="preserve">Ley 80 de 1993, artículos 24, </w:t>
            </w:r>
            <w:r w:rsidRPr="002E2C7E">
              <w:rPr>
                <w:rFonts w:ascii="Verdana" w:hAnsi="Verdana" w:cs="Arial"/>
              </w:rPr>
              <w:t>25</w:t>
            </w:r>
            <w:r>
              <w:rPr>
                <w:rFonts w:ascii="Verdana" w:hAnsi="Verdana" w:cs="Arial"/>
              </w:rPr>
              <w:t xml:space="preserve"> y 77</w:t>
            </w:r>
            <w:r w:rsidRPr="002E2C7E">
              <w:rPr>
                <w:rFonts w:ascii="Verdana" w:hAnsi="Verdana" w:cs="Arial"/>
              </w:rPr>
              <w:t xml:space="preserve">. </w:t>
            </w:r>
          </w:p>
          <w:p w14:paraId="09A4BE7B" w14:textId="77777777" w:rsidR="007A7D11" w:rsidRDefault="007A7D11" w:rsidP="00156BC1">
            <w:pPr>
              <w:widowControl w:val="0"/>
              <w:numPr>
                <w:ilvl w:val="0"/>
                <w:numId w:val="17"/>
              </w:numPr>
              <w:autoSpaceDE w:val="0"/>
              <w:autoSpaceDN w:val="0"/>
              <w:spacing w:before="120" w:after="120" w:line="276" w:lineRule="auto"/>
              <w:ind w:left="714" w:hanging="357"/>
              <w:jc w:val="both"/>
              <w:rPr>
                <w:rFonts w:ascii="Verdana" w:hAnsi="Verdana" w:cs="Arial"/>
              </w:rPr>
            </w:pPr>
            <w:r w:rsidRPr="002E2C7E">
              <w:rPr>
                <w:rFonts w:ascii="Verdana" w:hAnsi="Verdana" w:cs="Arial"/>
              </w:rPr>
              <w:t xml:space="preserve">Ley 1150 de 2007, artículo 5. </w:t>
            </w:r>
          </w:p>
          <w:p w14:paraId="102C3C2B" w14:textId="77777777" w:rsidR="007A7D11" w:rsidRDefault="007A7D11" w:rsidP="00156BC1">
            <w:pPr>
              <w:widowControl w:val="0"/>
              <w:numPr>
                <w:ilvl w:val="0"/>
                <w:numId w:val="17"/>
              </w:numPr>
              <w:autoSpaceDE w:val="0"/>
              <w:autoSpaceDN w:val="0"/>
              <w:spacing w:before="120" w:after="120" w:line="276" w:lineRule="auto"/>
              <w:ind w:left="714" w:hanging="357"/>
              <w:jc w:val="both"/>
              <w:rPr>
                <w:rFonts w:ascii="Verdana" w:hAnsi="Verdana" w:cs="Arial"/>
              </w:rPr>
            </w:pPr>
            <w:r>
              <w:rPr>
                <w:rFonts w:ascii="Verdana" w:hAnsi="Verdana" w:cs="Arial"/>
              </w:rPr>
              <w:t>Ley 1437 de 2011, artículo 44.</w:t>
            </w:r>
          </w:p>
          <w:p w14:paraId="0C0CFC0A" w14:textId="77777777" w:rsidR="007A7D11" w:rsidRPr="00F83C8A" w:rsidRDefault="007A7D11" w:rsidP="00156BC1">
            <w:pPr>
              <w:widowControl w:val="0"/>
              <w:numPr>
                <w:ilvl w:val="0"/>
                <w:numId w:val="17"/>
              </w:numPr>
              <w:autoSpaceDE w:val="0"/>
              <w:autoSpaceDN w:val="0"/>
              <w:spacing w:before="120" w:after="120" w:line="276" w:lineRule="auto"/>
              <w:ind w:left="714" w:hanging="357"/>
              <w:jc w:val="both"/>
              <w:rPr>
                <w:rFonts w:ascii="Verdana" w:hAnsi="Verdana" w:cs="Arial"/>
                <w:lang w:val="es-ES"/>
              </w:rPr>
            </w:pPr>
            <w:r>
              <w:rPr>
                <w:rFonts w:ascii="Verdana" w:hAnsi="Verdana" w:cs="Arial"/>
              </w:rPr>
              <w:t xml:space="preserve">Decreto 1082 de 2015, artículo </w:t>
            </w:r>
            <w:r w:rsidRPr="009262BC">
              <w:rPr>
                <w:rFonts w:ascii="Verdana" w:hAnsi="Verdana" w:cs="Arial"/>
              </w:rPr>
              <w:t>2.2.1.1.2.1.3.</w:t>
            </w:r>
          </w:p>
          <w:p w14:paraId="692DCADF"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CONSEJO DE ESTADO. Sección Tercera. Sentencia de 30 de noviembre de 2006. Exp. 18.059. M.P. Alier Hernández Enríquez.</w:t>
            </w:r>
          </w:p>
          <w:p w14:paraId="1CCCB28B"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CONSEJO DE ESTADO. Sección Tercera. Sentencia del 11 de noviembre de 2009. Exp. 17.366. C.P. Mauricio Fajardo Gomez.</w:t>
            </w:r>
          </w:p>
          <w:p w14:paraId="73EA36B1"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CONSEJO DE ESTADO. Sección Tercera. Subsección B. Sentencia del 27 de abril de 2011. Exp. 18.293. C.P. Ruth Stella Correa Palacio.</w:t>
            </w:r>
          </w:p>
          <w:p w14:paraId="7B4106FA"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CONSEJO DE ESTADO. Sección Tercera, Subsección C. Sentencia del 24 de julio de 2013. Exp. 25.642. C.P. Enrique Gil Botero.</w:t>
            </w:r>
          </w:p>
          <w:p w14:paraId="08B5AD91"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CONSEJO DE ESTADO. Sección Tercera. Subsección A. Sentencia del 21 de noviembre de 2013 Exp. 25397. C.P. Carlos Alberto Zambrano Barrera.</w:t>
            </w:r>
          </w:p>
          <w:p w14:paraId="3CD05A2F"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CORTE CONSTITUCIONAL. Sentencia C-128 de 2003. M.P. Álvaro Tafur Galvis.</w:t>
            </w:r>
          </w:p>
          <w:p w14:paraId="202093FE"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GONZÁLEZ LÓPEZ, Edgar. El pliego de condiciones en la contratación. La reforma consagrada en la Ley 1150 de 2007 y sus decretos reglamentarios. Universidad Externado de Colombia. Primera edición, 2010.</w:t>
            </w:r>
          </w:p>
          <w:p w14:paraId="1CDA45BA" w14:textId="77777777" w:rsidR="007A7D11" w:rsidRPr="00F83C8A"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 xml:space="preserve">MARÍN HERNÁNDEZ, Hugo Alberto. Naturaleza jurídica de las facultades de la Administración para confeccionar pliego de condiciones. En: Revista digital de Derecho Administrativo. Vol I. Bogota: Universidad Externado de Colombia, 2008. </w:t>
            </w:r>
          </w:p>
          <w:p w14:paraId="7CB1AADC" w14:textId="77777777" w:rsidR="007A7D11" w:rsidRPr="00CE3B27" w:rsidRDefault="007A7D11" w:rsidP="00156BC1">
            <w:pPr>
              <w:widowControl w:val="0"/>
              <w:numPr>
                <w:ilvl w:val="0"/>
                <w:numId w:val="17"/>
              </w:numPr>
              <w:autoSpaceDE w:val="0"/>
              <w:autoSpaceDN w:val="0"/>
              <w:spacing w:before="120" w:after="120" w:line="276" w:lineRule="auto"/>
              <w:jc w:val="both"/>
              <w:rPr>
                <w:rFonts w:ascii="Verdana" w:hAnsi="Verdana" w:cs="Arial"/>
                <w:lang w:val="es-ES"/>
              </w:rPr>
            </w:pPr>
            <w:r w:rsidRPr="00F83C8A">
              <w:rPr>
                <w:rFonts w:ascii="Verdana" w:hAnsi="Verdana" w:cs="Arial"/>
                <w:lang w:val="es-ES"/>
              </w:rPr>
              <w:t>OSPINA MENA, Jesús Marino. Régimen de la Contratación Estatal. Un salto a la contratación líquida. Bogotá: Ed. 1ª. Diké, 2020.</w:t>
            </w:r>
          </w:p>
        </w:tc>
      </w:tr>
    </w:tbl>
    <w:p w14:paraId="4E4CA2E5" w14:textId="1F7DF381" w:rsidR="007A7D11" w:rsidRPr="00CE3B27" w:rsidRDefault="007A7D11" w:rsidP="007A7D11">
      <w:pPr>
        <w:spacing w:line="276" w:lineRule="auto"/>
        <w:ind w:right="709"/>
        <w:contextualSpacing/>
        <w:jc w:val="both"/>
        <w:rPr>
          <w:rFonts w:ascii="Verdana" w:hAnsi="Verdana" w:cs="Arial"/>
          <w:color w:val="000000" w:themeColor="text1"/>
        </w:rPr>
      </w:pPr>
    </w:p>
    <w:p w14:paraId="7FD63227" w14:textId="77777777" w:rsidR="007A7D11" w:rsidRPr="002B5C7D" w:rsidRDefault="007A7D11" w:rsidP="007A7D11">
      <w:pPr>
        <w:numPr>
          <w:ilvl w:val="0"/>
          <w:numId w:val="16"/>
        </w:numPr>
        <w:spacing w:after="0" w:line="256" w:lineRule="auto"/>
        <w:rPr>
          <w:rFonts w:ascii="Verdana" w:eastAsia="Calibri" w:hAnsi="Verdana" w:cs="Times New Roman"/>
          <w:b/>
          <w:bCs/>
          <w:lang w:val="es-ES"/>
        </w:rPr>
      </w:pPr>
      <w:r w:rsidRPr="002B5C7D">
        <w:rPr>
          <w:rFonts w:ascii="Verdana" w:eastAsia="Calibri" w:hAnsi="Verdana" w:cs="Times New Roman"/>
          <w:b/>
          <w:bCs/>
          <w:lang w:val="es-ES"/>
        </w:rPr>
        <w:t>Doctrina de la Agencia Nacional de Contratación Pública:</w:t>
      </w:r>
    </w:p>
    <w:p w14:paraId="574F08F6" w14:textId="77777777" w:rsidR="007A7D11" w:rsidRPr="002B5C7D" w:rsidRDefault="007A7D11" w:rsidP="007A7D11">
      <w:pPr>
        <w:spacing w:after="0" w:line="256" w:lineRule="auto"/>
        <w:rPr>
          <w:rFonts w:ascii="Verdana" w:eastAsia="Calibri" w:hAnsi="Verdana" w:cs="Times New Roman"/>
          <w:lang w:val="es-ES"/>
        </w:rPr>
      </w:pPr>
    </w:p>
    <w:p w14:paraId="0E17BCE2" w14:textId="77777777" w:rsidR="007A7D11" w:rsidRPr="009726F0" w:rsidRDefault="007A7D11" w:rsidP="007A7D11">
      <w:pPr>
        <w:widowControl w:val="0"/>
        <w:autoSpaceDE w:val="0"/>
        <w:autoSpaceDN w:val="0"/>
        <w:spacing w:after="0" w:line="276" w:lineRule="auto"/>
        <w:jc w:val="both"/>
        <w:rPr>
          <w:rFonts w:ascii="Verdana" w:hAnsi="Verdana" w:cs="Arial"/>
          <w:bCs/>
          <w:shd w:val="clear" w:color="auto" w:fill="FFFFFF"/>
        </w:rPr>
      </w:pPr>
      <w:r w:rsidRPr="00F83C8A">
        <w:rPr>
          <w:rStyle w:val="normaltextrun"/>
          <w:rFonts w:ascii="Verdana" w:hAnsi="Verdana" w:cs="Arial"/>
          <w:shd w:val="clear" w:color="auto" w:fill="FFFFFF"/>
          <w:lang w:val="es-ES"/>
        </w:rPr>
        <w:t xml:space="preserve">Esta Subdirección se ha pronunciado sobre </w:t>
      </w:r>
      <w:r w:rsidRPr="00833CE2">
        <w:rPr>
          <w:rFonts w:ascii="Verdana" w:eastAsia="Aptos" w:hAnsi="Verdana" w:cs="Arial"/>
          <w:shd w:val="clear" w:color="auto" w:fill="FFFFFF"/>
          <w:lang w:val="es-ES"/>
        </w:rPr>
        <w:t>las generalidades del pliego de condiciones, en los conceptos C-693 del 24 de octubre de 2023, C-534 del 10 de octubre de 2024, C-404 del 11 de septiembre de 2024, C-427 del 13 de septiembre de 2024, C-714 del 25 de noviembre de 2024,</w:t>
      </w:r>
      <w:r>
        <w:rPr>
          <w:rFonts w:ascii="Verdana" w:eastAsia="Aptos" w:hAnsi="Verdana" w:cs="Arial"/>
          <w:shd w:val="clear" w:color="auto" w:fill="FFFFFF"/>
          <w:lang w:val="es-ES"/>
        </w:rPr>
        <w:t xml:space="preserve"> C-969 del 20 de enero de 2025, C-678 del 9 de julio de 2025,</w:t>
      </w:r>
      <w:r w:rsidRPr="00833CE2">
        <w:rPr>
          <w:rFonts w:ascii="Verdana" w:eastAsia="Aptos" w:hAnsi="Verdana" w:cs="Arial"/>
          <w:shd w:val="clear" w:color="auto" w:fill="FFFFFF"/>
          <w:lang w:val="es-ES"/>
        </w:rPr>
        <w:t xml:space="preserve"> entre otros</w:t>
      </w:r>
      <w:r>
        <w:rPr>
          <w:rFonts w:ascii="Verdana" w:eastAsia="Aptos" w:hAnsi="Verdana" w:cs="Arial"/>
          <w:shd w:val="clear" w:color="auto" w:fill="FFFFFF"/>
          <w:lang w:val="es-ES"/>
        </w:rPr>
        <w:t>.</w:t>
      </w:r>
      <w:r>
        <w:rPr>
          <w:rFonts w:ascii="Verdana" w:hAnsi="Verdana" w:cs="Arial"/>
          <w:bCs/>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FB5D2B7" w14:textId="77777777" w:rsidR="007A7D11" w:rsidRPr="00185EE9" w:rsidRDefault="00D3746C" w:rsidP="007A7D11">
      <w:pPr>
        <w:spacing w:after="0" w:line="256" w:lineRule="auto"/>
        <w:jc w:val="both"/>
        <w:rPr>
          <w:rFonts w:ascii="Verdana" w:eastAsia="Calibri" w:hAnsi="Verdana" w:cs="Times New Roman"/>
        </w:rPr>
      </w:pPr>
      <w:hyperlink r:id="rId12" w:history="1">
        <w:r w:rsidR="007A7D11" w:rsidRPr="00185EE9">
          <w:rPr>
            <w:rFonts w:ascii="Verdana" w:eastAsia="Calibri" w:hAnsi="Verdana" w:cs="Times New Roman"/>
            <w:color w:val="0000FF"/>
            <w:u w:val="single"/>
            <w:lang w:val="es-ES"/>
          </w:rPr>
          <w:t>https://relatoria.colombiacompra.gov.co/busqueda/conceptos</w:t>
        </w:r>
      </w:hyperlink>
      <w:r w:rsidR="007A7D11" w:rsidRPr="00185EE9">
        <w:rPr>
          <w:rFonts w:ascii="Verdana" w:eastAsia="Calibri" w:hAnsi="Verdana" w:cs="Times New Roman"/>
        </w:rPr>
        <w:t xml:space="preserve">. </w:t>
      </w:r>
    </w:p>
    <w:p w14:paraId="3D617B31" w14:textId="77777777" w:rsidR="007A7D11" w:rsidRPr="009037F6" w:rsidRDefault="007A7D11" w:rsidP="007A7D11">
      <w:pPr>
        <w:spacing w:after="0"/>
        <w:jc w:val="both"/>
        <w:rPr>
          <w:rFonts w:ascii="Verdana" w:hAnsi="Verdana"/>
        </w:rPr>
      </w:pPr>
    </w:p>
    <w:p w14:paraId="5FBFCFEE" w14:textId="77777777" w:rsidR="007A7D11" w:rsidRPr="00231A97" w:rsidRDefault="007A7D11" w:rsidP="007A7D11">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3" w:tgtFrame="_new" w:history="1">
        <w:r w:rsidRPr="00231A97">
          <w:rPr>
            <w:rStyle w:val="Hipervnculo"/>
            <w:rFonts w:ascii="Verdana" w:eastAsia="Calibri" w:hAnsi="Verdana" w:cs="Times New Roman"/>
          </w:rPr>
          <w:t>https://formacionvirtual.colombiacompra.gov.co/mod/page/view.php?id=3718</w:t>
        </w:r>
      </w:hyperlink>
    </w:p>
    <w:p w14:paraId="5C98C217" w14:textId="77777777" w:rsidR="007A7D11" w:rsidRDefault="007A7D11" w:rsidP="007A7D11">
      <w:pPr>
        <w:spacing w:after="0" w:line="256" w:lineRule="auto"/>
        <w:jc w:val="both"/>
        <w:rPr>
          <w:rFonts w:ascii="Verdana" w:eastAsia="Calibri" w:hAnsi="Verdana" w:cs="Times New Roman"/>
        </w:rPr>
      </w:pPr>
    </w:p>
    <w:p w14:paraId="6B5AC405" w14:textId="77777777" w:rsidR="007A7D11" w:rsidRPr="00231A97" w:rsidRDefault="007A7D11" w:rsidP="007A7D11">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231A97">
          <w:rPr>
            <w:rStyle w:val="Hipervnculo"/>
            <w:rFonts w:ascii="Verdana" w:eastAsia="Calibri" w:hAnsi="Verdana" w:cs="Times New Roman"/>
          </w:rPr>
          <w:t>https://www.colombiacompra.gov.co/normativa-y-relatoria/documentos-tipo</w:t>
        </w:r>
      </w:hyperlink>
    </w:p>
    <w:p w14:paraId="141EE197" w14:textId="77777777" w:rsidR="007A7D11" w:rsidRDefault="007A7D11" w:rsidP="007A7D11">
      <w:pPr>
        <w:spacing w:after="0" w:line="256" w:lineRule="auto"/>
        <w:jc w:val="both"/>
        <w:rPr>
          <w:rFonts w:ascii="Verdana" w:eastAsia="Calibri" w:hAnsi="Verdana" w:cs="Times New Roman"/>
        </w:rPr>
      </w:pPr>
    </w:p>
    <w:p w14:paraId="7FC11560" w14:textId="77777777" w:rsidR="007A7D11" w:rsidRPr="00231A97" w:rsidRDefault="007A7D11" w:rsidP="007A7D11">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xml:space="preserve">. En esta actualización se incorporaron orientaciones prácticas dirigidas a entidades </w:t>
      </w:r>
      <w:r w:rsidRPr="00231A97">
        <w:rPr>
          <w:rFonts w:ascii="Verdana" w:eastAsia="Calibri" w:hAnsi="Verdana" w:cs="Times New Roman"/>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5"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2D5DF492" w14:textId="77777777" w:rsidR="007A7D11" w:rsidRPr="009037F6" w:rsidRDefault="007A7D11" w:rsidP="007A7D11">
      <w:pPr>
        <w:spacing w:after="0" w:line="240" w:lineRule="auto"/>
        <w:jc w:val="both"/>
        <w:rPr>
          <w:rFonts w:ascii="Verdana" w:hAnsi="Verdana"/>
        </w:rPr>
      </w:pPr>
    </w:p>
    <w:p w14:paraId="087C3FB6" w14:textId="77777777" w:rsidR="007A7D11" w:rsidRPr="00116940" w:rsidRDefault="007A7D11" w:rsidP="007A7D11">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1A4E536" w14:textId="77777777" w:rsidR="007A7D11" w:rsidRPr="00116940" w:rsidRDefault="007A7D11" w:rsidP="007A7D11">
      <w:pPr>
        <w:spacing w:after="0"/>
        <w:jc w:val="both"/>
        <w:rPr>
          <w:rFonts w:ascii="Verdana" w:hAnsi="Verdana"/>
        </w:rPr>
      </w:pPr>
    </w:p>
    <w:p w14:paraId="4DFA1605" w14:textId="77777777" w:rsidR="007A7D11" w:rsidRPr="00116940" w:rsidRDefault="007A7D11" w:rsidP="007A7D11">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E2B89A6" w14:textId="77777777" w:rsidR="007A7D11" w:rsidRPr="00116940" w:rsidRDefault="007A7D11" w:rsidP="007A7D11">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74C51E3" w14:textId="77777777" w:rsidR="007A7D11" w:rsidRPr="00116940" w:rsidRDefault="007A7D11" w:rsidP="007A7D1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05EE4E3B" w14:textId="77777777" w:rsidR="007A7D11" w:rsidRPr="00116940" w:rsidRDefault="007A7D11" w:rsidP="007A7D1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223BDBF7" w14:textId="77777777" w:rsidR="007A7D11" w:rsidRPr="00116940" w:rsidRDefault="007A7D11" w:rsidP="007A7D11">
      <w:pPr>
        <w:spacing w:after="0" w:line="240" w:lineRule="auto"/>
        <w:ind w:left="720"/>
        <w:jc w:val="both"/>
        <w:rPr>
          <w:rFonts w:ascii="Verdana" w:hAnsi="Verdana"/>
        </w:rPr>
      </w:pPr>
    </w:p>
    <w:p w14:paraId="6D7264D9" w14:textId="77777777" w:rsidR="007A7D11" w:rsidRPr="00116940" w:rsidRDefault="007A7D11" w:rsidP="007A7D11">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893DC08" w14:textId="77777777" w:rsidR="007A7D11" w:rsidRPr="00116940" w:rsidRDefault="007A7D11" w:rsidP="007A7D11">
      <w:pPr>
        <w:spacing w:after="0" w:line="240" w:lineRule="auto"/>
        <w:rPr>
          <w:rFonts w:ascii="Verdana" w:hAnsi="Verdana"/>
        </w:rPr>
      </w:pPr>
    </w:p>
    <w:p w14:paraId="3B6CFAD8" w14:textId="77777777" w:rsidR="007A7D11" w:rsidRPr="00116940" w:rsidRDefault="007A7D11" w:rsidP="007A7D11">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EE00570" w14:textId="77777777" w:rsidR="007A7D11" w:rsidRPr="00116940" w:rsidRDefault="007A7D11" w:rsidP="007A7D11">
      <w:pPr>
        <w:spacing w:after="0" w:line="240" w:lineRule="auto"/>
        <w:jc w:val="both"/>
        <w:rPr>
          <w:rFonts w:ascii="Verdana" w:hAnsi="Verdana"/>
        </w:rPr>
      </w:pPr>
    </w:p>
    <w:p w14:paraId="533D72C7" w14:textId="77777777" w:rsidR="007A7D11" w:rsidRPr="00116940" w:rsidRDefault="007A7D11" w:rsidP="007A7D1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7691501" w14:textId="77777777" w:rsidR="007A7D11" w:rsidRPr="00116940" w:rsidRDefault="007A7D11" w:rsidP="007A7D11">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1557C9F7" w14:textId="77777777" w:rsidR="007A7D11" w:rsidRPr="00116940" w:rsidRDefault="007A7D11" w:rsidP="007A7D1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3EBD348" w14:textId="77777777" w:rsidR="007A7D11" w:rsidRPr="00116940" w:rsidRDefault="007A7D11" w:rsidP="007A7D11">
      <w:pPr>
        <w:spacing w:after="0" w:line="240" w:lineRule="auto"/>
        <w:jc w:val="both"/>
        <w:rPr>
          <w:rFonts w:ascii="Verdana" w:hAnsi="Verdana"/>
        </w:rPr>
      </w:pPr>
    </w:p>
    <w:p w14:paraId="69156717" w14:textId="77777777" w:rsidR="007A7D11" w:rsidRPr="009037F6" w:rsidRDefault="007A7D11" w:rsidP="007A7D11">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9037F6">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7520D9CF" w14:textId="77777777" w:rsidR="007A7D11" w:rsidRPr="00492C4A" w:rsidRDefault="007A7D11" w:rsidP="007A7D11">
      <w:pPr>
        <w:spacing w:after="0" w:line="256" w:lineRule="auto"/>
        <w:jc w:val="both"/>
        <w:rPr>
          <w:rFonts w:ascii="Verdana" w:eastAsia="Calibri" w:hAnsi="Verdana" w:cs="Times New Roman"/>
          <w:lang w:val="es-ES_tradnl"/>
        </w:rPr>
      </w:pPr>
    </w:p>
    <w:p w14:paraId="0850CF17" w14:textId="77777777" w:rsidR="007A7D11" w:rsidRDefault="007A7D11" w:rsidP="007A7D11">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1F25669F" w14:textId="77777777" w:rsidR="007A7D11" w:rsidRDefault="007A7D11" w:rsidP="007A7D11">
      <w:pPr>
        <w:spacing w:after="0" w:line="256" w:lineRule="auto"/>
        <w:jc w:val="center"/>
        <w:rPr>
          <w:rFonts w:ascii="Century Gothic" w:hAnsi="Century Gothic"/>
          <w:noProof/>
          <w:lang w:val="en-US"/>
        </w:rPr>
      </w:pPr>
    </w:p>
    <w:p w14:paraId="78DE9D40" w14:textId="4C6FB8DD" w:rsidR="007A7D11" w:rsidRPr="00380CA4" w:rsidRDefault="00DB686C" w:rsidP="007A7D11">
      <w:pPr>
        <w:spacing w:after="0" w:line="256" w:lineRule="auto"/>
        <w:jc w:val="center"/>
        <w:rPr>
          <w:rFonts w:ascii="Century Gothic" w:hAnsi="Century Gothic"/>
          <w:noProof/>
        </w:rPr>
      </w:pPr>
      <w:r w:rsidRPr="002C3AD6">
        <w:rPr>
          <w:rFonts w:ascii="Century Gothic" w:hAnsi="Century Gothic"/>
          <w:noProof/>
          <w:lang w:val="en-US"/>
        </w:rPr>
        <w:drawing>
          <wp:inline distT="0" distB="0" distL="0" distR="0" wp14:anchorId="7513D24B" wp14:editId="1477898D">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2722" cy="1229722"/>
                    </a:xfrm>
                    <a:prstGeom prst="rect">
                      <a:avLst/>
                    </a:prstGeom>
                  </pic:spPr>
                </pic:pic>
              </a:graphicData>
            </a:graphic>
          </wp:inline>
        </w:drawing>
      </w:r>
      <w:r w:rsidR="007A7D11" w:rsidRPr="00380CA4">
        <w:rPr>
          <w:rFonts w:ascii="Verdana" w:hAnsi="Verdana"/>
          <w:sz w:val="16"/>
          <w:szCs w:val="16"/>
        </w:rPr>
        <w:t xml:space="preserve"> </w:t>
      </w:r>
    </w:p>
    <w:p w14:paraId="0F43A8FF" w14:textId="77777777" w:rsidR="007A7D11" w:rsidRPr="00380CA4" w:rsidRDefault="007A7D11" w:rsidP="007A7D11">
      <w:pPr>
        <w:spacing w:after="0" w:line="256" w:lineRule="auto"/>
        <w:jc w:val="center"/>
        <w:rPr>
          <w:rFonts w:ascii="Century Gothic" w:hAnsi="Century Gothic"/>
          <w:noProof/>
          <w:sz w:val="16"/>
          <w:szCs w:val="16"/>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A7D11" w:rsidRPr="00380CA4" w14:paraId="6B8531AB" w14:textId="77777777" w:rsidTr="00156BC1">
        <w:trPr>
          <w:trHeight w:val="409"/>
        </w:trPr>
        <w:tc>
          <w:tcPr>
            <w:tcW w:w="817" w:type="dxa"/>
            <w:tcBorders>
              <w:top w:val="nil"/>
              <w:left w:val="nil"/>
              <w:bottom w:val="nil"/>
              <w:right w:val="nil"/>
            </w:tcBorders>
            <w:vAlign w:val="center"/>
            <w:hideMark/>
          </w:tcPr>
          <w:p w14:paraId="31B70525"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54D335B"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José Luis Sánchez Cardona</w:t>
            </w:r>
          </w:p>
          <w:p w14:paraId="0DB81EE0"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Contratista de la Subdirección de Gestión Contractual</w:t>
            </w:r>
          </w:p>
        </w:tc>
      </w:tr>
      <w:tr w:rsidR="007A7D11" w:rsidRPr="00380CA4" w14:paraId="7DFFD916" w14:textId="77777777" w:rsidTr="00156BC1">
        <w:trPr>
          <w:trHeight w:val="409"/>
        </w:trPr>
        <w:tc>
          <w:tcPr>
            <w:tcW w:w="817" w:type="dxa"/>
            <w:tcBorders>
              <w:top w:val="nil"/>
              <w:left w:val="nil"/>
              <w:bottom w:val="nil"/>
              <w:right w:val="nil"/>
            </w:tcBorders>
            <w:vAlign w:val="center"/>
            <w:hideMark/>
          </w:tcPr>
          <w:p w14:paraId="6FCF5319"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FB3C829"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Alejandro R. Sarmiento Cantillo</w:t>
            </w:r>
          </w:p>
          <w:p w14:paraId="2F12C442"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Gestor T1-15 de la Subdirección de Gestión Contractual </w:t>
            </w:r>
          </w:p>
        </w:tc>
      </w:tr>
      <w:tr w:rsidR="007A7D11" w:rsidRPr="00380CA4" w14:paraId="27DE318F" w14:textId="77777777" w:rsidTr="00156BC1">
        <w:trPr>
          <w:trHeight w:val="389"/>
        </w:trPr>
        <w:tc>
          <w:tcPr>
            <w:tcW w:w="817" w:type="dxa"/>
            <w:tcBorders>
              <w:top w:val="nil"/>
              <w:left w:val="nil"/>
              <w:bottom w:val="nil"/>
              <w:right w:val="nil"/>
            </w:tcBorders>
            <w:vAlign w:val="center"/>
            <w:hideMark/>
          </w:tcPr>
          <w:p w14:paraId="5B381B46"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27B370E"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Carolina Quintero Gacharná</w:t>
            </w:r>
          </w:p>
          <w:p w14:paraId="1BFBD9C6" w14:textId="77777777" w:rsidR="007A7D11" w:rsidRPr="00380CA4" w:rsidRDefault="007A7D11" w:rsidP="00156BC1">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Subdirectora de Gestión Contractual ANCP – CCE</w:t>
            </w:r>
          </w:p>
        </w:tc>
      </w:tr>
    </w:tbl>
    <w:p w14:paraId="1220105F" w14:textId="78E3BC9D" w:rsidR="007A7D11" w:rsidRPr="000E2B93" w:rsidRDefault="007A7D11" w:rsidP="007A7D11">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7320C2AF" w14:textId="77777777" w:rsidR="007A7D11" w:rsidRDefault="007A7D11" w:rsidP="007A7D11">
      <w:pPr>
        <w:spacing w:after="0" w:line="240" w:lineRule="auto"/>
        <w:rPr>
          <w:rFonts w:ascii="Verdana" w:eastAsia="Verdana" w:hAnsi="Verdana" w:cs="Verdana"/>
          <w:lang w:eastAsia="es-CO"/>
        </w:rPr>
      </w:pPr>
    </w:p>
    <w:bookmarkEnd w:id="0"/>
    <w:p w14:paraId="45BDD152" w14:textId="3BB0D61C" w:rsidR="00C532A8" w:rsidRPr="007A7D11" w:rsidRDefault="00C532A8" w:rsidP="007A7D11"/>
    <w:sectPr w:rsidR="00C532A8" w:rsidRPr="007A7D11"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5DF895" w14:textId="77777777" w:rsidR="00D3746C" w:rsidRDefault="00D3746C" w:rsidP="004A1847">
      <w:pPr>
        <w:spacing w:after="0" w:line="240" w:lineRule="auto"/>
      </w:pPr>
      <w:r>
        <w:separator/>
      </w:r>
    </w:p>
  </w:endnote>
  <w:endnote w:type="continuationSeparator" w:id="0">
    <w:p w14:paraId="0FFB0CA8" w14:textId="77777777" w:rsidR="00D3746C" w:rsidRDefault="00D3746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altName w:val="Arial"/>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6856D1AA"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B686C" w:rsidRPr="00DB686C">
      <w:rPr>
        <w:rFonts w:ascii="Verdana" w:eastAsiaTheme="minorEastAsia" w:hAnsi="Verdana"/>
        <w:b/>
        <w:bCs/>
        <w:noProof/>
        <w:sz w:val="16"/>
        <w:szCs w:val="16"/>
      </w:rPr>
      <w:t>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2385C2" w14:textId="77777777" w:rsidR="00D3746C" w:rsidRDefault="00D3746C" w:rsidP="004A1847">
      <w:pPr>
        <w:spacing w:after="0" w:line="240" w:lineRule="auto"/>
      </w:pPr>
      <w:r>
        <w:separator/>
      </w:r>
    </w:p>
  </w:footnote>
  <w:footnote w:type="continuationSeparator" w:id="0">
    <w:p w14:paraId="15CC70FB" w14:textId="77777777" w:rsidR="00D3746C" w:rsidRDefault="00D3746C" w:rsidP="004A1847">
      <w:pPr>
        <w:spacing w:after="0" w:line="240" w:lineRule="auto"/>
      </w:pPr>
      <w:r>
        <w:continuationSeparator/>
      </w:r>
    </w:p>
  </w:footnote>
  <w:footnote w:id="1">
    <w:p w14:paraId="6F9B8743" w14:textId="77777777" w:rsidR="007A7D11" w:rsidRPr="00D207DB" w:rsidRDefault="007A7D11" w:rsidP="007A7D1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OSPINA MENA, Jesús Marino. Régimen de la Contratación Estatal. Un salto a la contratación líquida. Bogotá: Ed. 1ª. Diké, 2020. p. 383.</w:t>
      </w:r>
    </w:p>
  </w:footnote>
  <w:footnote w:id="2">
    <w:p w14:paraId="3CA10C40" w14:textId="77777777" w:rsidR="007A7D11" w:rsidRPr="00D207DB" w:rsidRDefault="007A7D11" w:rsidP="007A7D1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CONSEJO DE ESTADO. Sección Tercera. Sentencia de 30 de noviembre de 2006. Exp. 18.059. M.P. Alier Hernández Enríquez.</w:t>
      </w:r>
    </w:p>
  </w:footnote>
  <w:footnote w:id="3">
    <w:p w14:paraId="095FD748" w14:textId="77777777" w:rsidR="007A7D11" w:rsidRPr="00D207DB" w:rsidRDefault="007A7D11" w:rsidP="007A7D1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Sin perjuicio de los dispuesto en el artículo 2.2.1.1.2.1.3. del Decreto 1082 de 2015 sobre el contenido del pliego de condiciones, donde se desarrolla de forma más exhaustiva cada uno de sus componentes mínimos.</w:t>
      </w:r>
    </w:p>
    <w:p w14:paraId="3CD2AB71" w14:textId="77777777" w:rsidR="007A7D11" w:rsidRPr="00D207DB" w:rsidRDefault="007A7D11" w:rsidP="007A7D11">
      <w:pPr>
        <w:pStyle w:val="Textonotapie"/>
        <w:ind w:firstLine="708"/>
        <w:jc w:val="both"/>
        <w:rPr>
          <w:rFonts w:ascii="Verdana" w:hAnsi="Verdana" w:cs="Arial"/>
          <w:sz w:val="16"/>
          <w:szCs w:val="16"/>
        </w:rPr>
      </w:pPr>
    </w:p>
  </w:footnote>
  <w:footnote w:id="4">
    <w:p w14:paraId="7907D00F" w14:textId="77777777" w:rsidR="007A7D11" w:rsidRPr="00D207DB" w:rsidRDefault="007A7D11" w:rsidP="007A7D11">
      <w:pPr>
        <w:pStyle w:val="Textonotapie"/>
        <w:ind w:firstLine="708"/>
        <w:jc w:val="both"/>
        <w:rPr>
          <w:rFonts w:ascii="Verdana" w:hAnsi="Verdana" w:cs="Arial"/>
          <w:color w:val="000000" w:themeColor="text1"/>
          <w:sz w:val="16"/>
          <w:szCs w:val="16"/>
        </w:rPr>
      </w:pPr>
      <w:r w:rsidRPr="00D207DB">
        <w:rPr>
          <w:rStyle w:val="Refdenotaalpie"/>
          <w:rFonts w:ascii="Verdana" w:hAnsi="Verdana" w:cs="Arial"/>
          <w:color w:val="000000" w:themeColor="text1"/>
          <w:sz w:val="16"/>
          <w:szCs w:val="16"/>
        </w:rPr>
        <w:footnoteRef/>
      </w:r>
      <w:r w:rsidRPr="00D207DB">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footnote>
  <w:footnote w:id="5">
    <w:p w14:paraId="3BC5D0A0" w14:textId="77777777" w:rsidR="007A7D11" w:rsidRPr="00D207DB" w:rsidRDefault="007A7D11" w:rsidP="007A7D1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Sin perjuicio de lo que ocurre en los procedimientos de selección regidos por los documentos tipo, donde se reduce, en buena medida, dicha discrecionalidad.</w:t>
      </w:r>
    </w:p>
  </w:footnote>
  <w:footnote w:id="6">
    <w:p w14:paraId="2EE169A9" w14:textId="77777777" w:rsidR="007A7D11" w:rsidRPr="00E20ADE" w:rsidRDefault="007A7D11" w:rsidP="007A7D11">
      <w:pPr>
        <w:pStyle w:val="Textonotapie"/>
        <w:ind w:firstLine="708"/>
        <w:contextualSpacing/>
        <w:jc w:val="both"/>
        <w:rPr>
          <w:rFonts w:ascii="Verdana" w:hAnsi="Verdana" w:cs="Arial"/>
          <w:color w:val="000000" w:themeColor="text1"/>
          <w:sz w:val="16"/>
          <w:szCs w:val="16"/>
          <w:lang w:val="es-ES"/>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CORTE CONSTITUCIONAL. Sentencia C-128 de 2003. 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7">
    <w:p w14:paraId="189F4294" w14:textId="77777777" w:rsidR="007A7D11" w:rsidRPr="00E20ADE" w:rsidRDefault="007A7D11" w:rsidP="007A7D11">
      <w:pPr>
        <w:pStyle w:val="Textonotapie"/>
        <w:ind w:firstLine="708"/>
        <w:contextualSpacing/>
        <w:jc w:val="both"/>
        <w:rPr>
          <w:rFonts w:ascii="Verdana" w:hAnsi="Verdana" w:cs="Arial"/>
          <w:color w:val="000000" w:themeColor="text1"/>
          <w:sz w:val="16"/>
          <w:szCs w:val="16"/>
          <w:lang w:val="es-ES"/>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CONSEJO DE ESTADO. Sección Tercera. Sentencia del 11 de noviembre de 2009. Exp. 17.366. C.P. Mauricio Fajardo Gomez.</w:t>
      </w:r>
    </w:p>
  </w:footnote>
  <w:footnote w:id="8">
    <w:p w14:paraId="30C9D480"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9">
    <w:p w14:paraId="49E9F6D6"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Style w:val="Refdenotaalpie"/>
          <w:rFonts w:ascii="Verdana" w:hAnsi="Verdana" w:cs="Arial"/>
          <w:color w:val="000000" w:themeColor="text1"/>
          <w:sz w:val="16"/>
          <w:szCs w:val="16"/>
        </w:rPr>
        <w:footnoteRef/>
      </w:r>
      <w:r w:rsidRPr="00E20ADE">
        <w:rPr>
          <w:rFonts w:ascii="Verdana" w:hAnsi="Verdana" w:cs="Arial"/>
          <w:color w:val="000000" w:themeColor="text1"/>
          <w:sz w:val="16"/>
          <w:szCs w:val="16"/>
        </w:rPr>
        <w:t xml:space="preserve"> DECRETO 1082 DE 2015: “Artículo 2.2.1.1.2.1.3. Pliegos de condiciones. Los pliegos de condiciones deben contener por lo menos la siguiente información:</w:t>
      </w:r>
    </w:p>
    <w:p w14:paraId="2FAF3C65"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 La descripción técnica, detallada y completa del bien o servicio objeto del contrato, identificado con el cuarto nivel del Clasificador de Bienes y Servicios, de ser posible o de lo contrario con el tercer nivel del mismo.</w:t>
      </w:r>
    </w:p>
    <w:p w14:paraId="70ACC18F"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2. La modalidad del proceso de selección y su justificación.</w:t>
      </w:r>
    </w:p>
    <w:p w14:paraId="2E8A871B"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3. Los criterios de selección, incluyendo los factores de desempate y los incentivos cuando a ello haya lugar.</w:t>
      </w:r>
    </w:p>
    <w:p w14:paraId="136DEFE7"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4. Las condiciones de costo y/o calidad que la Entidad Estatal debe tener en cuenta para la selección objetiva, de acuerdo con la modalidad de selección del contratista.</w:t>
      </w:r>
    </w:p>
    <w:p w14:paraId="7B992344"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5. Las reglas aplicables a la presentación de las ofertas, su evaluación y a la adjudicación del contrato.</w:t>
      </w:r>
    </w:p>
    <w:p w14:paraId="3CEAEA4E"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6. Las causas que dan lugar a rechazar una oferta.</w:t>
      </w:r>
    </w:p>
    <w:p w14:paraId="1B2B7CE4"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7. El valor del contrato, el plazo, el cronograma de pagos y la determinación de si debe haber lugar a la entrega de anticipo, y si hubiere, indicar su valor, el cual debe tener en cuenta los rendimientos que este pueda generar.</w:t>
      </w:r>
    </w:p>
    <w:p w14:paraId="6E630666"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8. Los Riesgos asociados al contrato, la forma de mitigarlos y la asignación del Riesgo entre las partes contratantes.</w:t>
      </w:r>
    </w:p>
    <w:p w14:paraId="67F97382"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9. Las garantías exigidas en el Proceso de Contratación y sus condiciones.</w:t>
      </w:r>
    </w:p>
    <w:p w14:paraId="67D13730"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10. La mención de si la Entidad Estatal y el contrato objeto de los pliegos de condiciones están cubiertos por un Acuerdo Comercial.</w:t>
      </w:r>
    </w:p>
    <w:p w14:paraId="603F1B08"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11. Los términos, condiciones y minuta del contrato.</w:t>
      </w:r>
    </w:p>
    <w:p w14:paraId="6FFCDFA4"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12. Los términos de la supervisión y/o de la interventoría del contrato.</w:t>
      </w:r>
    </w:p>
    <w:p w14:paraId="531C7955"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13. El plazo dentro del cual la Entidad Estatal puede expedir Adendas.</w:t>
      </w:r>
    </w:p>
    <w:p w14:paraId="06679B4F" w14:textId="77777777" w:rsidR="007A7D11" w:rsidRDefault="007A7D11" w:rsidP="007A7D11">
      <w:pPr>
        <w:pStyle w:val="Textonotapie"/>
        <w:ind w:firstLine="708"/>
        <w:contextualSpacing/>
        <w:jc w:val="both"/>
        <w:rPr>
          <w:rFonts w:ascii="Verdana" w:hAnsi="Verdana" w:cs="Arial"/>
          <w:color w:val="000000" w:themeColor="text1"/>
          <w:sz w:val="16"/>
          <w:szCs w:val="16"/>
        </w:rPr>
      </w:pPr>
      <w:r w:rsidRPr="00E20ADE">
        <w:rPr>
          <w:rFonts w:ascii="Verdana" w:hAnsi="Verdana" w:cs="Arial"/>
          <w:color w:val="000000" w:themeColor="text1"/>
          <w:sz w:val="16"/>
          <w:szCs w:val="16"/>
        </w:rPr>
        <w:t>14. El Cronograma”.</w:t>
      </w:r>
    </w:p>
    <w:p w14:paraId="4FBDC89D" w14:textId="77777777" w:rsidR="007A7D11" w:rsidRPr="00E20ADE" w:rsidRDefault="007A7D11" w:rsidP="007A7D11">
      <w:pPr>
        <w:pStyle w:val="Textonotapie"/>
        <w:ind w:firstLine="708"/>
        <w:contextualSpacing/>
        <w:jc w:val="both"/>
        <w:rPr>
          <w:rFonts w:ascii="Verdana" w:hAnsi="Verdana" w:cs="Arial"/>
          <w:color w:val="000000" w:themeColor="text1"/>
          <w:sz w:val="16"/>
          <w:szCs w:val="16"/>
        </w:rPr>
      </w:pPr>
    </w:p>
  </w:footnote>
  <w:footnote w:id="10">
    <w:p w14:paraId="3EC6219A" w14:textId="77777777" w:rsidR="007A7D11" w:rsidRDefault="007A7D11" w:rsidP="007A7D11">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GONZÁLEZ LÓPEZ, Edgar</w:t>
      </w:r>
      <w:r w:rsidRPr="00E20ADE">
        <w:rPr>
          <w:rFonts w:ascii="Verdana" w:hAnsi="Verdana" w:cs="Arial"/>
          <w:i/>
          <w:iCs/>
          <w:sz w:val="16"/>
          <w:szCs w:val="16"/>
        </w:rPr>
        <w:t xml:space="preserve">. </w:t>
      </w:r>
      <w:r w:rsidRPr="00E20ADE">
        <w:rPr>
          <w:rFonts w:ascii="Verdana" w:hAnsi="Verdana" w:cs="Arial"/>
          <w:sz w:val="16"/>
          <w:szCs w:val="16"/>
        </w:rPr>
        <w:t>El pliego de condiciones en la contratación. La reforma consagrada en la Ley 1150 de 2007 y sus decretos reglamentarios. Universidad Externado de Col</w:t>
      </w:r>
      <w:r>
        <w:rPr>
          <w:rFonts w:ascii="Verdana" w:hAnsi="Verdana" w:cs="Arial"/>
          <w:sz w:val="16"/>
          <w:szCs w:val="16"/>
        </w:rPr>
        <w:t>ombia. Primera edición, 2010, p</w:t>
      </w:r>
      <w:r w:rsidRPr="00E20ADE">
        <w:rPr>
          <w:rFonts w:ascii="Verdana" w:hAnsi="Verdana" w:cs="Arial"/>
          <w:sz w:val="16"/>
          <w:szCs w:val="16"/>
        </w:rPr>
        <w:t xml:space="preserve">. 64.  </w:t>
      </w:r>
    </w:p>
    <w:p w14:paraId="5203E05E" w14:textId="77777777" w:rsidR="007A7D11" w:rsidRPr="00E20ADE" w:rsidRDefault="007A7D11" w:rsidP="007A7D11">
      <w:pPr>
        <w:pStyle w:val="Textonotapie"/>
        <w:ind w:firstLine="708"/>
        <w:contextualSpacing/>
        <w:jc w:val="both"/>
        <w:rPr>
          <w:rFonts w:ascii="Verdana" w:hAnsi="Verdana" w:cs="Arial"/>
          <w:sz w:val="16"/>
          <w:szCs w:val="16"/>
        </w:rPr>
      </w:pPr>
    </w:p>
  </w:footnote>
  <w:footnote w:id="11">
    <w:p w14:paraId="79C364AA" w14:textId="77777777" w:rsidR="007A7D11" w:rsidRPr="00E20ADE" w:rsidRDefault="007A7D11" w:rsidP="007A7D11">
      <w:pPr>
        <w:pStyle w:val="Textonotapie"/>
        <w:ind w:firstLine="708"/>
        <w:contextualSpacing/>
        <w:jc w:val="both"/>
        <w:rPr>
          <w:rFonts w:ascii="Verdana" w:hAnsi="Verdana" w:cs="Arial"/>
          <w:sz w:val="16"/>
          <w:szCs w:val="16"/>
        </w:rPr>
      </w:pPr>
      <w:r w:rsidRPr="00E20ADE">
        <w:rPr>
          <w:rStyle w:val="Refdenotaalpie"/>
          <w:rFonts w:ascii="Verdana" w:hAnsi="Verdana" w:cs="Arial"/>
          <w:sz w:val="16"/>
          <w:szCs w:val="16"/>
        </w:rPr>
        <w:footnoteRef/>
      </w:r>
      <w:r w:rsidRPr="00E20ADE">
        <w:rPr>
          <w:rFonts w:ascii="Verdana" w:hAnsi="Verdana" w:cs="Arial"/>
          <w:sz w:val="16"/>
          <w:szCs w:val="16"/>
        </w:rPr>
        <w:t xml:space="preserve"> CONSEJO DE ESTADO, Sala de lo Contencioso Administrativo, Sección Tercera, sentencias del 1 de junio de 2022, radicado 60248; 29 de julio de 2015, radicado 40660; y, del 26 de abril de 2006, radicado 16041.</w:t>
      </w:r>
    </w:p>
  </w:footnote>
  <w:footnote w:id="12">
    <w:p w14:paraId="57F9CAE3" w14:textId="77777777" w:rsidR="007A7D11" w:rsidRPr="000A5EAC" w:rsidRDefault="007A7D11" w:rsidP="007A7D11">
      <w:pPr>
        <w:pStyle w:val="Textonotapie"/>
        <w:ind w:firstLine="708"/>
        <w:jc w:val="both"/>
        <w:rPr>
          <w:rFonts w:ascii="Verdana" w:hAnsi="Verdana"/>
          <w:sz w:val="16"/>
          <w:szCs w:val="16"/>
          <w:lang w:val="es-ES"/>
        </w:rPr>
      </w:pPr>
      <w:r w:rsidRPr="000A5EAC">
        <w:rPr>
          <w:rStyle w:val="Refdenotaalpie"/>
          <w:rFonts w:ascii="Verdana" w:hAnsi="Verdana"/>
          <w:sz w:val="16"/>
          <w:szCs w:val="16"/>
        </w:rPr>
        <w:footnoteRef/>
      </w:r>
      <w:r w:rsidRPr="000A5EAC">
        <w:rPr>
          <w:rFonts w:ascii="Verdana" w:hAnsi="Verdana"/>
          <w:sz w:val="16"/>
          <w:szCs w:val="16"/>
        </w:rPr>
        <w:t xml:space="preserve"> CONSEJO DE ESTADO. Sección Tercera. </w:t>
      </w:r>
      <w:r>
        <w:rPr>
          <w:rFonts w:ascii="Verdana" w:hAnsi="Verdana"/>
          <w:sz w:val="16"/>
          <w:szCs w:val="16"/>
        </w:rPr>
        <w:t xml:space="preserve">Subsección B. </w:t>
      </w:r>
      <w:r w:rsidRPr="000A5EAC">
        <w:rPr>
          <w:rFonts w:ascii="Verdana" w:hAnsi="Verdana"/>
          <w:sz w:val="16"/>
          <w:szCs w:val="16"/>
        </w:rPr>
        <w:t>Sentencia del 27 de abril de 2011. Exp. 18.293. C.P. Ruth Stella Correa Palacio.</w:t>
      </w:r>
    </w:p>
  </w:footnote>
  <w:footnote w:id="13">
    <w:p w14:paraId="24E94D7E" w14:textId="77777777" w:rsidR="007A7D11" w:rsidRDefault="007A7D11" w:rsidP="007A7D11">
      <w:pPr>
        <w:pStyle w:val="Textonotapie"/>
        <w:ind w:firstLine="708"/>
        <w:jc w:val="both"/>
        <w:rPr>
          <w:rFonts w:ascii="Verdana" w:hAnsi="Verdana"/>
          <w:sz w:val="16"/>
          <w:szCs w:val="16"/>
        </w:rPr>
      </w:pPr>
      <w:r w:rsidRPr="000A5EAC">
        <w:rPr>
          <w:rStyle w:val="Refdenotaalpie"/>
          <w:rFonts w:ascii="Verdana" w:hAnsi="Verdana"/>
          <w:sz w:val="16"/>
          <w:szCs w:val="16"/>
        </w:rPr>
        <w:footnoteRef/>
      </w:r>
      <w:r w:rsidRPr="000A5EAC">
        <w:rPr>
          <w:rFonts w:ascii="Verdana" w:hAnsi="Verdana"/>
          <w:sz w:val="16"/>
          <w:szCs w:val="16"/>
        </w:rPr>
        <w:t xml:space="preserve"> CONSEJO DE ESTADO. Sección Tercera. </w:t>
      </w:r>
      <w:r>
        <w:rPr>
          <w:rFonts w:ascii="Verdana" w:hAnsi="Verdana"/>
          <w:sz w:val="16"/>
          <w:szCs w:val="16"/>
        </w:rPr>
        <w:t xml:space="preserve">Subsección A. </w:t>
      </w:r>
      <w:r w:rsidRPr="000A5EAC">
        <w:rPr>
          <w:rFonts w:ascii="Verdana" w:hAnsi="Verdana"/>
          <w:sz w:val="16"/>
          <w:szCs w:val="16"/>
        </w:rPr>
        <w:t>Sentencia del 21 de noviembre de 2013 Exp. 25397. C.P. Carlos Alberto Zambrano Barrera.</w:t>
      </w:r>
    </w:p>
    <w:p w14:paraId="254EAB40" w14:textId="77777777" w:rsidR="007A7D11" w:rsidRPr="007E5CE5" w:rsidRDefault="007A7D11" w:rsidP="007A7D11">
      <w:pPr>
        <w:pStyle w:val="Textonotapie"/>
        <w:ind w:firstLine="708"/>
        <w:jc w:val="both"/>
        <w:rPr>
          <w:rFonts w:ascii="Verdana" w:hAnsi="Verdana"/>
          <w:sz w:val="16"/>
          <w:szCs w:val="16"/>
          <w:lang w:val="es-ES"/>
        </w:rPr>
      </w:pPr>
    </w:p>
  </w:footnote>
  <w:footnote w:id="14">
    <w:p w14:paraId="560C6CDF" w14:textId="77777777" w:rsidR="007A7D11" w:rsidRPr="000A5EAC" w:rsidRDefault="007A7D11" w:rsidP="007A7D11">
      <w:pPr>
        <w:spacing w:after="0" w:line="240" w:lineRule="auto"/>
        <w:ind w:firstLine="708"/>
        <w:jc w:val="both"/>
        <w:rPr>
          <w:rFonts w:ascii="Verdana" w:eastAsia="Arial" w:hAnsi="Verdana" w:cs="Arial"/>
          <w:color w:val="000000"/>
          <w:sz w:val="16"/>
          <w:szCs w:val="16"/>
        </w:rPr>
      </w:pPr>
      <w:r w:rsidRPr="000A5EAC">
        <w:rPr>
          <w:rFonts w:ascii="Verdana" w:hAnsi="Verdana" w:cs="Arial"/>
          <w:sz w:val="16"/>
          <w:szCs w:val="16"/>
          <w:vertAlign w:val="superscript"/>
        </w:rPr>
        <w:footnoteRef/>
      </w:r>
      <w:r w:rsidRPr="000A5EAC">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35B990D0" w14:textId="77777777" w:rsidR="007A7D11" w:rsidRPr="000A5EAC" w:rsidRDefault="007A7D11" w:rsidP="007A7D11">
      <w:pPr>
        <w:spacing w:after="0" w:line="240" w:lineRule="auto"/>
        <w:ind w:firstLine="708"/>
        <w:jc w:val="both"/>
        <w:rPr>
          <w:rFonts w:ascii="Verdana" w:eastAsia="Arial" w:hAnsi="Verdana" w:cs="Arial"/>
          <w:color w:val="000000"/>
          <w:sz w:val="16"/>
          <w:szCs w:val="16"/>
        </w:rPr>
      </w:pPr>
      <w:r w:rsidRPr="000A5EAC">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2AF54153" w14:textId="77777777" w:rsidR="007A7D11" w:rsidRPr="000A5EAC" w:rsidRDefault="007A7D11" w:rsidP="007A7D11">
      <w:pPr>
        <w:spacing w:after="0" w:line="240" w:lineRule="auto"/>
        <w:ind w:firstLine="708"/>
        <w:jc w:val="both"/>
        <w:rPr>
          <w:rFonts w:ascii="Verdana" w:eastAsia="Arial" w:hAnsi="Verdana" w:cs="Arial"/>
          <w:color w:val="000000"/>
          <w:sz w:val="16"/>
          <w:szCs w:val="16"/>
        </w:rPr>
      </w:pPr>
      <w:r w:rsidRPr="000A5EAC">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1DD7C4C0" w14:textId="77777777" w:rsidR="007A7D11" w:rsidRPr="000A5EAC" w:rsidRDefault="007A7D11" w:rsidP="007A7D11">
      <w:pPr>
        <w:spacing w:after="0" w:line="240" w:lineRule="auto"/>
        <w:ind w:firstLine="708"/>
        <w:jc w:val="both"/>
        <w:rPr>
          <w:rFonts w:ascii="Verdana" w:eastAsia="Arial" w:hAnsi="Verdana" w:cs="Arial"/>
          <w:color w:val="000000"/>
          <w:sz w:val="16"/>
          <w:szCs w:val="16"/>
        </w:rPr>
      </w:pPr>
      <w:r w:rsidRPr="000A5EAC">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9A3CB0B" w14:textId="77777777" w:rsidR="007A7D11" w:rsidRPr="000A5EAC" w:rsidRDefault="007A7D11" w:rsidP="007A7D11">
      <w:pPr>
        <w:spacing w:after="0" w:line="240" w:lineRule="auto"/>
        <w:jc w:val="both"/>
        <w:rPr>
          <w:rFonts w:ascii="Verdana" w:eastAsia="Arial" w:hAnsi="Verdana" w:cs="Arial"/>
          <w:color w:val="000000"/>
          <w:sz w:val="16"/>
          <w:szCs w:val="16"/>
        </w:rPr>
      </w:pPr>
      <w:r w:rsidRPr="000A5EAC">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15">
    <w:p w14:paraId="1BB16846" w14:textId="77777777" w:rsidR="007A7D11" w:rsidRPr="00984DA3" w:rsidRDefault="007A7D11" w:rsidP="007A7D11">
      <w:pPr>
        <w:pStyle w:val="Textonotapie"/>
        <w:ind w:firstLine="708"/>
        <w:jc w:val="both"/>
        <w:rPr>
          <w:rFonts w:ascii="Verdana" w:hAnsi="Verdana" w:cs="Arial"/>
          <w:sz w:val="16"/>
          <w:szCs w:val="16"/>
        </w:rPr>
      </w:pPr>
      <w:r w:rsidRPr="001B0499">
        <w:rPr>
          <w:rStyle w:val="Refdenotaalpie"/>
          <w:rFonts w:ascii="Verdana" w:hAnsi="Verdana"/>
          <w:sz w:val="16"/>
          <w:szCs w:val="16"/>
        </w:rPr>
        <w:footnoteRef/>
      </w:r>
      <w:r w:rsidRPr="001B0499">
        <w:rPr>
          <w:rFonts w:ascii="Verdana" w:hAnsi="Verdana"/>
          <w:sz w:val="16"/>
          <w:szCs w:val="16"/>
        </w:rPr>
        <w:t xml:space="preserve"> </w:t>
      </w:r>
      <w:r w:rsidRPr="001B0499">
        <w:rPr>
          <w:rFonts w:ascii="Verdana" w:hAnsi="Verdana" w:cs="Arial"/>
          <w:sz w:val="16"/>
          <w:szCs w:val="16"/>
        </w:rPr>
        <w:t>MARÍN HERNÁNDEZ, Hugo Alberto. Naturaleza jurídica de las facultades de la Administración para confeccionar pliego de condiciones. En: Revista digital de Derecho Administrativo. Vol I. Bogota: Universidad Externado de Colombia, 2008. pp. 13-14.</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10.65pt;height:10.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1C0253"/>
    <w:multiLevelType w:val="hybridMultilevel"/>
    <w:tmpl w:val="C4903D86"/>
    <w:lvl w:ilvl="0" w:tplc="08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8"/>
  </w:num>
  <w:num w:numId="7">
    <w:abstractNumId w:val="9"/>
  </w:num>
  <w:num w:numId="8">
    <w:abstractNumId w:val="17"/>
  </w:num>
  <w:num w:numId="9">
    <w:abstractNumId w:val="11"/>
  </w:num>
  <w:num w:numId="10">
    <w:abstractNumId w:val="16"/>
  </w:num>
  <w:num w:numId="11">
    <w:abstractNumId w:val="12"/>
  </w:num>
  <w:num w:numId="12">
    <w:abstractNumId w:val="0"/>
  </w:num>
  <w:num w:numId="13">
    <w:abstractNumId w:val="5"/>
  </w:num>
  <w:num w:numId="14">
    <w:abstractNumId w:val="19"/>
  </w:num>
  <w:num w:numId="15">
    <w:abstractNumId w:val="15"/>
  </w:num>
  <w:num w:numId="16">
    <w:abstractNumId w:val="6"/>
  </w:num>
  <w:num w:numId="17">
    <w:abstractNumId w:val="13"/>
  </w:num>
  <w:num w:numId="18">
    <w:abstractNumId w:val="23"/>
  </w:num>
  <w:num w:numId="19">
    <w:abstractNumId w:val="22"/>
  </w:num>
  <w:num w:numId="20">
    <w:abstractNumId w:val="1"/>
  </w:num>
  <w:num w:numId="21">
    <w:abstractNumId w:val="4"/>
  </w:num>
  <w:num w:numId="22">
    <w:abstractNumId w:val="7"/>
  </w:num>
  <w:num w:numId="23">
    <w:abstractNumId w:val="3"/>
  </w:num>
  <w:num w:numId="24">
    <w:abstractNumId w:val="20"/>
  </w:num>
  <w:num w:numId="25">
    <w:abstractNumId w:val="21"/>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42EA"/>
    <w:rsid w:val="000134D5"/>
    <w:rsid w:val="00016F78"/>
    <w:rsid w:val="000353BD"/>
    <w:rsid w:val="00046945"/>
    <w:rsid w:val="00061B2A"/>
    <w:rsid w:val="000711CF"/>
    <w:rsid w:val="00076D52"/>
    <w:rsid w:val="00080B1D"/>
    <w:rsid w:val="00082362"/>
    <w:rsid w:val="0009079C"/>
    <w:rsid w:val="00096FF6"/>
    <w:rsid w:val="000A1642"/>
    <w:rsid w:val="000A66E5"/>
    <w:rsid w:val="000A683E"/>
    <w:rsid w:val="000B0FAA"/>
    <w:rsid w:val="000B19B9"/>
    <w:rsid w:val="000B27F0"/>
    <w:rsid w:val="000C5A9E"/>
    <w:rsid w:val="000D0334"/>
    <w:rsid w:val="000D1DC8"/>
    <w:rsid w:val="000D4734"/>
    <w:rsid w:val="000D5DA7"/>
    <w:rsid w:val="000E0F33"/>
    <w:rsid w:val="000E6E2C"/>
    <w:rsid w:val="000F01E9"/>
    <w:rsid w:val="000F078F"/>
    <w:rsid w:val="000F3444"/>
    <w:rsid w:val="000F512E"/>
    <w:rsid w:val="000F6486"/>
    <w:rsid w:val="000F7FD4"/>
    <w:rsid w:val="00105C57"/>
    <w:rsid w:val="001161CA"/>
    <w:rsid w:val="001168F2"/>
    <w:rsid w:val="00116940"/>
    <w:rsid w:val="00120B69"/>
    <w:rsid w:val="00125105"/>
    <w:rsid w:val="00127233"/>
    <w:rsid w:val="001328F3"/>
    <w:rsid w:val="00140719"/>
    <w:rsid w:val="001428DC"/>
    <w:rsid w:val="001511B4"/>
    <w:rsid w:val="00153605"/>
    <w:rsid w:val="0015699B"/>
    <w:rsid w:val="001607E0"/>
    <w:rsid w:val="00160B3E"/>
    <w:rsid w:val="00171640"/>
    <w:rsid w:val="00174D6E"/>
    <w:rsid w:val="00174FB0"/>
    <w:rsid w:val="0019787F"/>
    <w:rsid w:val="001A33BF"/>
    <w:rsid w:val="001B0499"/>
    <w:rsid w:val="001B1D83"/>
    <w:rsid w:val="001C5AE4"/>
    <w:rsid w:val="001C61B3"/>
    <w:rsid w:val="001D02CC"/>
    <w:rsid w:val="001D64AE"/>
    <w:rsid w:val="001E2E05"/>
    <w:rsid w:val="001E4177"/>
    <w:rsid w:val="001F0B24"/>
    <w:rsid w:val="001F7DC6"/>
    <w:rsid w:val="00207466"/>
    <w:rsid w:val="00211E12"/>
    <w:rsid w:val="00212AD1"/>
    <w:rsid w:val="00217FCA"/>
    <w:rsid w:val="002209DE"/>
    <w:rsid w:val="0022400B"/>
    <w:rsid w:val="00231A97"/>
    <w:rsid w:val="00241140"/>
    <w:rsid w:val="00241D8B"/>
    <w:rsid w:val="002421BB"/>
    <w:rsid w:val="00253436"/>
    <w:rsid w:val="0025796E"/>
    <w:rsid w:val="0026579C"/>
    <w:rsid w:val="002707A2"/>
    <w:rsid w:val="00275482"/>
    <w:rsid w:val="00277C07"/>
    <w:rsid w:val="0028778F"/>
    <w:rsid w:val="002951A0"/>
    <w:rsid w:val="002962BC"/>
    <w:rsid w:val="002975A4"/>
    <w:rsid w:val="002A093D"/>
    <w:rsid w:val="002A0DD0"/>
    <w:rsid w:val="002A49AC"/>
    <w:rsid w:val="002A64FD"/>
    <w:rsid w:val="002B730F"/>
    <w:rsid w:val="002C7A84"/>
    <w:rsid w:val="002D5766"/>
    <w:rsid w:val="002E05EF"/>
    <w:rsid w:val="002E2BF8"/>
    <w:rsid w:val="002E4FD9"/>
    <w:rsid w:val="002F0847"/>
    <w:rsid w:val="002F32C2"/>
    <w:rsid w:val="0030657A"/>
    <w:rsid w:val="003136DC"/>
    <w:rsid w:val="003150EF"/>
    <w:rsid w:val="003156BF"/>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494E"/>
    <w:rsid w:val="003D5B0D"/>
    <w:rsid w:val="003E0499"/>
    <w:rsid w:val="003E4F80"/>
    <w:rsid w:val="003E6439"/>
    <w:rsid w:val="003F18C5"/>
    <w:rsid w:val="003F1FD8"/>
    <w:rsid w:val="003F3941"/>
    <w:rsid w:val="00403EFA"/>
    <w:rsid w:val="00406575"/>
    <w:rsid w:val="004140B3"/>
    <w:rsid w:val="00414C74"/>
    <w:rsid w:val="0042722E"/>
    <w:rsid w:val="004402EA"/>
    <w:rsid w:val="0044528D"/>
    <w:rsid w:val="00451137"/>
    <w:rsid w:val="004555EA"/>
    <w:rsid w:val="0045785F"/>
    <w:rsid w:val="00466E39"/>
    <w:rsid w:val="00484E40"/>
    <w:rsid w:val="0048787A"/>
    <w:rsid w:val="00492C4A"/>
    <w:rsid w:val="00494F04"/>
    <w:rsid w:val="004A0A0B"/>
    <w:rsid w:val="004A0E5C"/>
    <w:rsid w:val="004A1847"/>
    <w:rsid w:val="004A305D"/>
    <w:rsid w:val="004B3DAC"/>
    <w:rsid w:val="004B73B9"/>
    <w:rsid w:val="004C0DBB"/>
    <w:rsid w:val="004D2B6F"/>
    <w:rsid w:val="004E0CFE"/>
    <w:rsid w:val="004E2B92"/>
    <w:rsid w:val="004F21C4"/>
    <w:rsid w:val="004F685F"/>
    <w:rsid w:val="005000A1"/>
    <w:rsid w:val="00506CF2"/>
    <w:rsid w:val="00513BF7"/>
    <w:rsid w:val="00516BFF"/>
    <w:rsid w:val="00517955"/>
    <w:rsid w:val="00517E34"/>
    <w:rsid w:val="0052070F"/>
    <w:rsid w:val="005229DB"/>
    <w:rsid w:val="00534886"/>
    <w:rsid w:val="00536A0E"/>
    <w:rsid w:val="00540117"/>
    <w:rsid w:val="0055262A"/>
    <w:rsid w:val="00553040"/>
    <w:rsid w:val="005566E8"/>
    <w:rsid w:val="00560892"/>
    <w:rsid w:val="00570B00"/>
    <w:rsid w:val="00572622"/>
    <w:rsid w:val="00573280"/>
    <w:rsid w:val="00574867"/>
    <w:rsid w:val="00581FEC"/>
    <w:rsid w:val="00591460"/>
    <w:rsid w:val="00592C94"/>
    <w:rsid w:val="005A2CAB"/>
    <w:rsid w:val="005A52A7"/>
    <w:rsid w:val="005A65E0"/>
    <w:rsid w:val="005A730F"/>
    <w:rsid w:val="005C0881"/>
    <w:rsid w:val="005C3777"/>
    <w:rsid w:val="005C5CDC"/>
    <w:rsid w:val="005D2566"/>
    <w:rsid w:val="005D476C"/>
    <w:rsid w:val="005F20A4"/>
    <w:rsid w:val="00600D92"/>
    <w:rsid w:val="00603C5B"/>
    <w:rsid w:val="00611CE6"/>
    <w:rsid w:val="006137E1"/>
    <w:rsid w:val="00617200"/>
    <w:rsid w:val="00617E91"/>
    <w:rsid w:val="006200BF"/>
    <w:rsid w:val="0062143E"/>
    <w:rsid w:val="006219F8"/>
    <w:rsid w:val="00624A89"/>
    <w:rsid w:val="00624EEC"/>
    <w:rsid w:val="00626C51"/>
    <w:rsid w:val="006302F7"/>
    <w:rsid w:val="006455A9"/>
    <w:rsid w:val="00646B9F"/>
    <w:rsid w:val="00646F24"/>
    <w:rsid w:val="006547C3"/>
    <w:rsid w:val="00660C46"/>
    <w:rsid w:val="00663A04"/>
    <w:rsid w:val="00665D70"/>
    <w:rsid w:val="00684F67"/>
    <w:rsid w:val="0068758B"/>
    <w:rsid w:val="006900D9"/>
    <w:rsid w:val="006960CB"/>
    <w:rsid w:val="0069741A"/>
    <w:rsid w:val="006A2BE4"/>
    <w:rsid w:val="006A3DAB"/>
    <w:rsid w:val="006B0BBF"/>
    <w:rsid w:val="006B4707"/>
    <w:rsid w:val="006D13BA"/>
    <w:rsid w:val="006D591D"/>
    <w:rsid w:val="006D64EE"/>
    <w:rsid w:val="006F2238"/>
    <w:rsid w:val="006F4199"/>
    <w:rsid w:val="007009D7"/>
    <w:rsid w:val="007025D7"/>
    <w:rsid w:val="00706C16"/>
    <w:rsid w:val="0071557C"/>
    <w:rsid w:val="00722B39"/>
    <w:rsid w:val="00731F30"/>
    <w:rsid w:val="007340C3"/>
    <w:rsid w:val="0073510E"/>
    <w:rsid w:val="007458D3"/>
    <w:rsid w:val="00750AE7"/>
    <w:rsid w:val="0075235A"/>
    <w:rsid w:val="00752C1C"/>
    <w:rsid w:val="00752CDB"/>
    <w:rsid w:val="0075557D"/>
    <w:rsid w:val="00756841"/>
    <w:rsid w:val="0076261D"/>
    <w:rsid w:val="007649AB"/>
    <w:rsid w:val="00771AEF"/>
    <w:rsid w:val="00771D0C"/>
    <w:rsid w:val="00782ED2"/>
    <w:rsid w:val="007833AC"/>
    <w:rsid w:val="00795086"/>
    <w:rsid w:val="007A037B"/>
    <w:rsid w:val="007A1830"/>
    <w:rsid w:val="007A7D11"/>
    <w:rsid w:val="007B268C"/>
    <w:rsid w:val="007B7171"/>
    <w:rsid w:val="007C0C0F"/>
    <w:rsid w:val="007C3DC2"/>
    <w:rsid w:val="007C4353"/>
    <w:rsid w:val="007D3058"/>
    <w:rsid w:val="007D4B12"/>
    <w:rsid w:val="007E43AC"/>
    <w:rsid w:val="007E5497"/>
    <w:rsid w:val="007F50F1"/>
    <w:rsid w:val="00803584"/>
    <w:rsid w:val="00806F5F"/>
    <w:rsid w:val="008103F6"/>
    <w:rsid w:val="00820278"/>
    <w:rsid w:val="008258C9"/>
    <w:rsid w:val="00830893"/>
    <w:rsid w:val="0083315F"/>
    <w:rsid w:val="00833286"/>
    <w:rsid w:val="00836232"/>
    <w:rsid w:val="00841E29"/>
    <w:rsid w:val="00844AE9"/>
    <w:rsid w:val="0085545E"/>
    <w:rsid w:val="00857AA0"/>
    <w:rsid w:val="00867F95"/>
    <w:rsid w:val="00871AAC"/>
    <w:rsid w:val="00876F93"/>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41EB"/>
    <w:rsid w:val="008F4334"/>
    <w:rsid w:val="008F553F"/>
    <w:rsid w:val="008F6705"/>
    <w:rsid w:val="00901213"/>
    <w:rsid w:val="009037F6"/>
    <w:rsid w:val="0091143C"/>
    <w:rsid w:val="00920817"/>
    <w:rsid w:val="00923EEF"/>
    <w:rsid w:val="0092482B"/>
    <w:rsid w:val="009262BC"/>
    <w:rsid w:val="00933E3F"/>
    <w:rsid w:val="009419F9"/>
    <w:rsid w:val="00942593"/>
    <w:rsid w:val="00955360"/>
    <w:rsid w:val="0095685E"/>
    <w:rsid w:val="00961B09"/>
    <w:rsid w:val="00963E12"/>
    <w:rsid w:val="00964321"/>
    <w:rsid w:val="00965334"/>
    <w:rsid w:val="00967FF8"/>
    <w:rsid w:val="0097093E"/>
    <w:rsid w:val="009722DE"/>
    <w:rsid w:val="00984DB3"/>
    <w:rsid w:val="00992E19"/>
    <w:rsid w:val="00996126"/>
    <w:rsid w:val="009A0486"/>
    <w:rsid w:val="009A0DFA"/>
    <w:rsid w:val="009B28B9"/>
    <w:rsid w:val="009B2D26"/>
    <w:rsid w:val="009B3C33"/>
    <w:rsid w:val="009B3F72"/>
    <w:rsid w:val="009C71FA"/>
    <w:rsid w:val="009C72E7"/>
    <w:rsid w:val="009C7B67"/>
    <w:rsid w:val="009C7F7E"/>
    <w:rsid w:val="009D23F2"/>
    <w:rsid w:val="009D3058"/>
    <w:rsid w:val="009E1F28"/>
    <w:rsid w:val="009E58D5"/>
    <w:rsid w:val="009E6924"/>
    <w:rsid w:val="009E7AED"/>
    <w:rsid w:val="009F3A13"/>
    <w:rsid w:val="009F4B67"/>
    <w:rsid w:val="009F7A6E"/>
    <w:rsid w:val="00A0334B"/>
    <w:rsid w:val="00A0526C"/>
    <w:rsid w:val="00A122D3"/>
    <w:rsid w:val="00A14468"/>
    <w:rsid w:val="00A17227"/>
    <w:rsid w:val="00A17F13"/>
    <w:rsid w:val="00A20739"/>
    <w:rsid w:val="00A23AF9"/>
    <w:rsid w:val="00A279A7"/>
    <w:rsid w:val="00A31A76"/>
    <w:rsid w:val="00A33C78"/>
    <w:rsid w:val="00A53338"/>
    <w:rsid w:val="00A71830"/>
    <w:rsid w:val="00A73F45"/>
    <w:rsid w:val="00AA1E47"/>
    <w:rsid w:val="00AB0ADB"/>
    <w:rsid w:val="00AB436E"/>
    <w:rsid w:val="00AD173A"/>
    <w:rsid w:val="00AD18C9"/>
    <w:rsid w:val="00AD7D5F"/>
    <w:rsid w:val="00AE1F6E"/>
    <w:rsid w:val="00AE3513"/>
    <w:rsid w:val="00AE5DD2"/>
    <w:rsid w:val="00AF5389"/>
    <w:rsid w:val="00AF5A10"/>
    <w:rsid w:val="00B00C0E"/>
    <w:rsid w:val="00B01B1A"/>
    <w:rsid w:val="00B04DA1"/>
    <w:rsid w:val="00B11075"/>
    <w:rsid w:val="00B234CF"/>
    <w:rsid w:val="00B37EB5"/>
    <w:rsid w:val="00B44A47"/>
    <w:rsid w:val="00B51418"/>
    <w:rsid w:val="00B54271"/>
    <w:rsid w:val="00B5550F"/>
    <w:rsid w:val="00B6149C"/>
    <w:rsid w:val="00B64484"/>
    <w:rsid w:val="00B71FD5"/>
    <w:rsid w:val="00B72CD3"/>
    <w:rsid w:val="00B72FFF"/>
    <w:rsid w:val="00B74092"/>
    <w:rsid w:val="00B75A30"/>
    <w:rsid w:val="00B75A34"/>
    <w:rsid w:val="00B95DAC"/>
    <w:rsid w:val="00BA2EB9"/>
    <w:rsid w:val="00BA703D"/>
    <w:rsid w:val="00BB6CD6"/>
    <w:rsid w:val="00BC3D36"/>
    <w:rsid w:val="00BC5D42"/>
    <w:rsid w:val="00BC70CB"/>
    <w:rsid w:val="00BD13AC"/>
    <w:rsid w:val="00BD54A6"/>
    <w:rsid w:val="00BD7F72"/>
    <w:rsid w:val="00BF056C"/>
    <w:rsid w:val="00BF3B66"/>
    <w:rsid w:val="00BF5C08"/>
    <w:rsid w:val="00BF7425"/>
    <w:rsid w:val="00C04FB3"/>
    <w:rsid w:val="00C112EF"/>
    <w:rsid w:val="00C11D8B"/>
    <w:rsid w:val="00C12643"/>
    <w:rsid w:val="00C251B0"/>
    <w:rsid w:val="00C330EB"/>
    <w:rsid w:val="00C419DF"/>
    <w:rsid w:val="00C44CA6"/>
    <w:rsid w:val="00C50D69"/>
    <w:rsid w:val="00C532A8"/>
    <w:rsid w:val="00C5365C"/>
    <w:rsid w:val="00C5422D"/>
    <w:rsid w:val="00C619D4"/>
    <w:rsid w:val="00C61D93"/>
    <w:rsid w:val="00C65C27"/>
    <w:rsid w:val="00C6785F"/>
    <w:rsid w:val="00C67D4B"/>
    <w:rsid w:val="00C754BE"/>
    <w:rsid w:val="00C76B1C"/>
    <w:rsid w:val="00C82667"/>
    <w:rsid w:val="00C90C96"/>
    <w:rsid w:val="00C925AC"/>
    <w:rsid w:val="00C94828"/>
    <w:rsid w:val="00C963BE"/>
    <w:rsid w:val="00C96B64"/>
    <w:rsid w:val="00CA2188"/>
    <w:rsid w:val="00CA2858"/>
    <w:rsid w:val="00CB02F1"/>
    <w:rsid w:val="00CB6357"/>
    <w:rsid w:val="00CC1314"/>
    <w:rsid w:val="00CC1B26"/>
    <w:rsid w:val="00CD2347"/>
    <w:rsid w:val="00CD4C85"/>
    <w:rsid w:val="00CD69BB"/>
    <w:rsid w:val="00CE29D1"/>
    <w:rsid w:val="00CE3C1C"/>
    <w:rsid w:val="00CE4026"/>
    <w:rsid w:val="00D06146"/>
    <w:rsid w:val="00D0699E"/>
    <w:rsid w:val="00D1210B"/>
    <w:rsid w:val="00D22D2B"/>
    <w:rsid w:val="00D334DD"/>
    <w:rsid w:val="00D34EA3"/>
    <w:rsid w:val="00D361FD"/>
    <w:rsid w:val="00D3746C"/>
    <w:rsid w:val="00D423A2"/>
    <w:rsid w:val="00D44E26"/>
    <w:rsid w:val="00D46C24"/>
    <w:rsid w:val="00D46F3A"/>
    <w:rsid w:val="00D51A5D"/>
    <w:rsid w:val="00D520D8"/>
    <w:rsid w:val="00D532D4"/>
    <w:rsid w:val="00D56F8A"/>
    <w:rsid w:val="00D62B9C"/>
    <w:rsid w:val="00D63AC2"/>
    <w:rsid w:val="00D64111"/>
    <w:rsid w:val="00D64AFC"/>
    <w:rsid w:val="00D7383B"/>
    <w:rsid w:val="00D73DBD"/>
    <w:rsid w:val="00D7541C"/>
    <w:rsid w:val="00D7788A"/>
    <w:rsid w:val="00D85F06"/>
    <w:rsid w:val="00D936A2"/>
    <w:rsid w:val="00DA231B"/>
    <w:rsid w:val="00DB13F4"/>
    <w:rsid w:val="00DB55DA"/>
    <w:rsid w:val="00DB60A0"/>
    <w:rsid w:val="00DB686C"/>
    <w:rsid w:val="00DC39FC"/>
    <w:rsid w:val="00DC7CCB"/>
    <w:rsid w:val="00DE6EC3"/>
    <w:rsid w:val="00DF15F1"/>
    <w:rsid w:val="00DF5254"/>
    <w:rsid w:val="00E02524"/>
    <w:rsid w:val="00E0761D"/>
    <w:rsid w:val="00E1159D"/>
    <w:rsid w:val="00E1451E"/>
    <w:rsid w:val="00E16408"/>
    <w:rsid w:val="00E177B8"/>
    <w:rsid w:val="00E20894"/>
    <w:rsid w:val="00E245AB"/>
    <w:rsid w:val="00E27341"/>
    <w:rsid w:val="00E2764C"/>
    <w:rsid w:val="00E27F2E"/>
    <w:rsid w:val="00E31225"/>
    <w:rsid w:val="00E37D82"/>
    <w:rsid w:val="00E501E7"/>
    <w:rsid w:val="00E50AFE"/>
    <w:rsid w:val="00E577E2"/>
    <w:rsid w:val="00E615C4"/>
    <w:rsid w:val="00E71E1B"/>
    <w:rsid w:val="00E75C92"/>
    <w:rsid w:val="00E771DC"/>
    <w:rsid w:val="00E8772A"/>
    <w:rsid w:val="00E90F6B"/>
    <w:rsid w:val="00E91AED"/>
    <w:rsid w:val="00E92C27"/>
    <w:rsid w:val="00E96B5C"/>
    <w:rsid w:val="00EA0E3D"/>
    <w:rsid w:val="00EA2DC0"/>
    <w:rsid w:val="00EA426C"/>
    <w:rsid w:val="00EA530C"/>
    <w:rsid w:val="00EB224C"/>
    <w:rsid w:val="00EB524D"/>
    <w:rsid w:val="00EC006D"/>
    <w:rsid w:val="00EC297F"/>
    <w:rsid w:val="00EC38A7"/>
    <w:rsid w:val="00ED4980"/>
    <w:rsid w:val="00EE1AA8"/>
    <w:rsid w:val="00EE265D"/>
    <w:rsid w:val="00EE3D99"/>
    <w:rsid w:val="00EF1D4F"/>
    <w:rsid w:val="00EF5E13"/>
    <w:rsid w:val="00EF647F"/>
    <w:rsid w:val="00F03314"/>
    <w:rsid w:val="00F0580C"/>
    <w:rsid w:val="00F23FEA"/>
    <w:rsid w:val="00F27B7B"/>
    <w:rsid w:val="00F31EDC"/>
    <w:rsid w:val="00F328A3"/>
    <w:rsid w:val="00F34294"/>
    <w:rsid w:val="00F462B3"/>
    <w:rsid w:val="00F5664F"/>
    <w:rsid w:val="00F63DF7"/>
    <w:rsid w:val="00F666C4"/>
    <w:rsid w:val="00F76AFC"/>
    <w:rsid w:val="00F81BF0"/>
    <w:rsid w:val="00F82E88"/>
    <w:rsid w:val="00F83C8A"/>
    <w:rsid w:val="00F86E11"/>
    <w:rsid w:val="00F86E3E"/>
    <w:rsid w:val="00F94356"/>
    <w:rsid w:val="00F95C74"/>
    <w:rsid w:val="00FA47C0"/>
    <w:rsid w:val="00FA5FFD"/>
    <w:rsid w:val="00FB5DD1"/>
    <w:rsid w:val="00FC2B5D"/>
    <w:rsid w:val="00FD0D3A"/>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7D11"/>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customStyle="1" w:styleId="NormalWebCar">
    <w:name w:val="Normal (Web) Car"/>
    <w:link w:val="NormalWeb"/>
    <w:uiPriority w:val="99"/>
    <w:rsid w:val="00C6785F"/>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C6785F"/>
    <w:rPr>
      <w:b/>
      <w:bCs/>
    </w:rPr>
  </w:style>
  <w:style w:type="character" w:styleId="nfasis">
    <w:name w:val="Emphasis"/>
    <w:basedOn w:val="Fuentedeprrafopredeter"/>
    <w:uiPriority w:val="20"/>
    <w:qFormat/>
    <w:rsid w:val="00C6785F"/>
    <w:rPr>
      <w:i/>
      <w:iCs/>
    </w:rPr>
  </w:style>
  <w:style w:type="character" w:styleId="Refdecomentario">
    <w:name w:val="annotation reference"/>
    <w:basedOn w:val="Fuentedeprrafopredeter"/>
    <w:uiPriority w:val="99"/>
    <w:semiHidden/>
    <w:unhideWhenUsed/>
    <w:rsid w:val="00C532A8"/>
    <w:rPr>
      <w:sz w:val="16"/>
      <w:szCs w:val="16"/>
    </w:rPr>
  </w:style>
  <w:style w:type="paragraph" w:styleId="Textocomentario">
    <w:name w:val="annotation text"/>
    <w:basedOn w:val="Normal"/>
    <w:link w:val="TextocomentarioCar"/>
    <w:uiPriority w:val="99"/>
    <w:unhideWhenUsed/>
    <w:rsid w:val="00C532A8"/>
    <w:pPr>
      <w:spacing w:line="240" w:lineRule="auto"/>
    </w:pPr>
    <w:rPr>
      <w:sz w:val="20"/>
      <w:szCs w:val="20"/>
    </w:rPr>
  </w:style>
  <w:style w:type="character" w:customStyle="1" w:styleId="TextocomentarioCar">
    <w:name w:val="Texto comentario Car"/>
    <w:basedOn w:val="Fuentedeprrafopredeter"/>
    <w:link w:val="Textocomentario"/>
    <w:uiPriority w:val="99"/>
    <w:rsid w:val="00C532A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B0E4D9-967D-408D-B12E-6B2DC43D64C9}"/>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0766221B-1BF9-412B-8847-BDFFADAE0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19</Pages>
  <Words>5760</Words>
  <Characters>32836</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2026-03-18T19:08:00Z</dcterms:created>
  <dcterms:modified xsi:type="dcterms:W3CDTF">2026-03-19T02:45:00Z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