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75DCB" w14:textId="77777777" w:rsidR="005A25FF" w:rsidRPr="0037437B" w:rsidRDefault="005A25FF" w:rsidP="005A25FF">
      <w:pPr>
        <w:spacing w:after="0"/>
        <w:jc w:val="both"/>
        <w:rPr>
          <w:rFonts w:ascii="Verdana" w:hAnsi="Verdana" w:cs="Arial"/>
          <w:b/>
          <w:bCs/>
          <w:color w:val="000000" w:themeColor="text1"/>
          <w:lang w:val="es-ES"/>
        </w:rPr>
      </w:pPr>
      <w:r w:rsidRPr="0037437B">
        <w:rPr>
          <w:rFonts w:ascii="Verdana" w:hAnsi="Verdana" w:cs="Arial"/>
          <w:b/>
          <w:bCs/>
          <w:color w:val="000000" w:themeColor="text1"/>
          <w:lang w:val="es-ES"/>
        </w:rPr>
        <w:t xml:space="preserve">PRINCIPIO DE ANUALIDAD – Fundamento </w:t>
      </w:r>
      <w:r>
        <w:rPr>
          <w:rFonts w:ascii="Verdana" w:hAnsi="Verdana" w:cs="Arial"/>
          <w:b/>
          <w:bCs/>
          <w:color w:val="000000" w:themeColor="text1"/>
          <w:lang w:val="es-ES"/>
        </w:rPr>
        <w:t>– Regla general</w:t>
      </w:r>
    </w:p>
    <w:p w14:paraId="2B060106" w14:textId="77777777" w:rsidR="005A25FF" w:rsidRDefault="005A25FF" w:rsidP="005A25FF">
      <w:pPr>
        <w:spacing w:after="0"/>
        <w:jc w:val="both"/>
        <w:rPr>
          <w:rFonts w:ascii="Verdana" w:hAnsi="Verdana" w:cs="Arial"/>
          <w:b/>
          <w:bCs/>
          <w:color w:val="000000" w:themeColor="text1"/>
          <w:lang w:val="es-ES"/>
        </w:rPr>
      </w:pPr>
    </w:p>
    <w:p w14:paraId="20621993" w14:textId="77777777" w:rsidR="005A25FF" w:rsidRDefault="005A25FF" w:rsidP="005A25FF">
      <w:pPr>
        <w:spacing w:after="0" w:line="240" w:lineRule="auto"/>
        <w:jc w:val="both"/>
        <w:rPr>
          <w:rFonts w:ascii="Verdana" w:hAnsi="Verdana" w:cs="Arial"/>
          <w:bCs/>
          <w:color w:val="000000" w:themeColor="text1"/>
          <w:sz w:val="20"/>
          <w:lang w:val="es-ES_tradnl"/>
        </w:rPr>
      </w:pPr>
      <w:r>
        <w:rPr>
          <w:rFonts w:ascii="Verdana" w:hAnsi="Verdana" w:cs="Arial"/>
          <w:bCs/>
          <w:color w:val="000000" w:themeColor="text1"/>
          <w:sz w:val="20"/>
          <w:lang w:val="es-ES_tradnl"/>
        </w:rPr>
        <w:t xml:space="preserve">[…] </w:t>
      </w:r>
      <w:r w:rsidRPr="0037437B">
        <w:rPr>
          <w:rFonts w:ascii="Verdana" w:hAnsi="Verdana" w:cs="Arial"/>
          <w:bCs/>
          <w:color w:val="000000" w:themeColor="text1"/>
          <w:sz w:val="20"/>
          <w:lang w:val="es-ES_tradnl"/>
        </w:rPr>
        <w:t>el Estatuto Orgánico del Presupuesto consagra este principio en el artículo 14 consistente en que “Después del 31 de diciembre no podrán asumirse compromisos con cargo a las apropiaciones del año fiscal que se cierra en esa fecha y los saldos de apropiación no afectados por compromisos caducarán sin excepción”. Es decir, los gastos previstos en el presupuesto anual deben ejecutarse dentro de una vigencia fiscal comprendida entre el 1 de enero y el 31 de diciembre.</w:t>
      </w:r>
      <w:r w:rsidRPr="0037437B">
        <w:rPr>
          <w:rFonts w:ascii="Verdana" w:hAnsi="Verdana" w:cs="Arial"/>
          <w:bCs/>
          <w:color w:val="000000" w:themeColor="text1"/>
          <w:sz w:val="20"/>
        </w:rPr>
        <w:t xml:space="preserve"> En el mismo sentido, </w:t>
      </w:r>
      <w:r w:rsidRPr="0037437B">
        <w:rPr>
          <w:rFonts w:ascii="Verdana" w:hAnsi="Verdana" w:cs="Arial"/>
          <w:bCs/>
          <w:color w:val="000000" w:themeColor="text1"/>
          <w:sz w:val="20"/>
          <w:lang w:val="es-ES_tradnl"/>
        </w:rPr>
        <w:t xml:space="preserve">el artículo 89 </w:t>
      </w:r>
      <w:r w:rsidRPr="0037437B">
        <w:rPr>
          <w:rFonts w:ascii="Verdana" w:hAnsi="Verdana" w:cs="Arial"/>
          <w:bCs/>
          <w:i/>
          <w:iCs/>
          <w:color w:val="000000" w:themeColor="text1"/>
          <w:sz w:val="20"/>
          <w:lang w:val="es-ES_tradnl"/>
        </w:rPr>
        <w:t>ibidem</w:t>
      </w:r>
      <w:r w:rsidRPr="0037437B">
        <w:rPr>
          <w:rFonts w:ascii="Verdana" w:hAnsi="Verdana" w:cs="Arial"/>
          <w:bCs/>
          <w:color w:val="000000" w:themeColor="text1"/>
          <w:sz w:val="20"/>
          <w:lang w:val="es-ES_tradnl"/>
        </w:rPr>
        <w:t xml:space="preserve"> consolida al principio de anualidad como regla general en la ejecución del gasto al establecer que “las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contracreditarse”.</w:t>
      </w:r>
    </w:p>
    <w:p w14:paraId="6E7BE06F" w14:textId="77777777" w:rsidR="005A25FF" w:rsidRPr="0037437B" w:rsidRDefault="005A25FF" w:rsidP="005A25FF">
      <w:pPr>
        <w:spacing w:after="0" w:line="240" w:lineRule="auto"/>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 xml:space="preserve"> </w:t>
      </w:r>
    </w:p>
    <w:p w14:paraId="215DFFD5" w14:textId="77777777" w:rsidR="005A25FF" w:rsidRPr="0037437B" w:rsidRDefault="005A25FF" w:rsidP="005A25FF">
      <w:pPr>
        <w:spacing w:after="0" w:line="240" w:lineRule="auto"/>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A su turno, el artículo 8 de la Ley 819 de 2003 consagra el principio de anualidad al disponer que “l</w:t>
      </w:r>
      <w:r w:rsidRPr="0037437B">
        <w:rPr>
          <w:rFonts w:ascii="Verdana" w:hAnsi="Verdana" w:cs="Arial"/>
          <w:bCs/>
          <w:color w:val="000000" w:themeColor="text1"/>
          <w:sz w:val="20"/>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2E2C4B72" w14:textId="77777777" w:rsidR="005A25FF" w:rsidRPr="004D314A" w:rsidRDefault="005A25FF" w:rsidP="005A25FF">
      <w:pPr>
        <w:spacing w:after="0"/>
        <w:jc w:val="both"/>
        <w:rPr>
          <w:rFonts w:ascii="Verdana" w:hAnsi="Verdana"/>
          <w:b/>
          <w:bCs/>
          <w:color w:val="EE0000"/>
          <w:lang w:val="es-ES_tradnl"/>
        </w:rPr>
      </w:pPr>
    </w:p>
    <w:p w14:paraId="74572FAD" w14:textId="77777777" w:rsidR="005A25FF" w:rsidRPr="0037437B" w:rsidRDefault="005A25FF" w:rsidP="005A25FF">
      <w:pPr>
        <w:spacing w:after="0"/>
        <w:jc w:val="both"/>
        <w:rPr>
          <w:rFonts w:ascii="Verdana" w:hAnsi="Verdana" w:cs="Arial"/>
          <w:b/>
          <w:lang w:val="es-ES" w:eastAsia="es-ES"/>
        </w:rPr>
      </w:pPr>
      <w:r w:rsidRPr="0037437B">
        <w:rPr>
          <w:rFonts w:ascii="Verdana" w:hAnsi="Verdana" w:cs="Arial"/>
          <w:b/>
          <w:bCs/>
          <w:color w:val="000000" w:themeColor="text1"/>
          <w:lang w:val="es-ES"/>
        </w:rPr>
        <w:t>PRINCIPIO DE ANUALIDAD</w:t>
      </w:r>
      <w:r w:rsidRPr="0037437B">
        <w:rPr>
          <w:rFonts w:ascii="Verdana" w:hAnsi="Verdana" w:cs="Arial"/>
          <w:b/>
          <w:lang w:val="es-ES" w:eastAsia="es-ES"/>
        </w:rPr>
        <w:t xml:space="preserve"> – </w:t>
      </w:r>
      <w:r>
        <w:rPr>
          <w:rFonts w:ascii="Verdana" w:hAnsi="Verdana" w:cs="Arial"/>
          <w:b/>
          <w:lang w:val="es-ES" w:eastAsia="es-ES"/>
        </w:rPr>
        <w:t xml:space="preserve">Mecanismos presupuestales - </w:t>
      </w:r>
      <w:r w:rsidRPr="0037437B">
        <w:rPr>
          <w:rFonts w:ascii="Verdana" w:hAnsi="Verdana" w:cs="Arial"/>
          <w:b/>
          <w:lang w:val="es-ES" w:eastAsia="es-ES"/>
        </w:rPr>
        <w:t xml:space="preserve">Excepciones </w:t>
      </w:r>
    </w:p>
    <w:p w14:paraId="4FCCE2D4" w14:textId="77777777" w:rsidR="005A25FF" w:rsidRPr="0037437B" w:rsidRDefault="005A25FF" w:rsidP="005A25FF">
      <w:pPr>
        <w:spacing w:after="0"/>
        <w:jc w:val="both"/>
        <w:rPr>
          <w:rFonts w:ascii="Verdana" w:hAnsi="Verdana" w:cs="Arial"/>
          <w:b/>
          <w:lang w:val="es-ES" w:eastAsia="es-ES"/>
        </w:rPr>
      </w:pPr>
    </w:p>
    <w:p w14:paraId="0226B6E9" w14:textId="77777777" w:rsidR="005A25FF" w:rsidRPr="0037437B" w:rsidRDefault="005A25FF" w:rsidP="005A25FF">
      <w:pPr>
        <w:spacing w:after="0" w:line="240" w:lineRule="auto"/>
        <w:jc w:val="both"/>
        <w:rPr>
          <w:rFonts w:ascii="Verdana" w:hAnsi="Verdana" w:cs="Arial"/>
          <w:sz w:val="20"/>
          <w:lang w:val="es-ES_tradnl" w:eastAsia="es-ES"/>
        </w:rPr>
      </w:pPr>
      <w:r w:rsidRPr="0037437B">
        <w:rPr>
          <w:rFonts w:ascii="Verdana" w:hAnsi="Verdana" w:cs="Arial"/>
          <w:sz w:val="20"/>
          <w:lang w:val="es-ES_tradnl" w:eastAsia="es-ES"/>
        </w:rPr>
        <w:t xml:space="preserve">Dentro de los mecanismos presupuestales que constituyen excepciones al principio de anualidad se identifican: i) las vigencias futuras, ii) las cuentas por pagar y iii) las reservas presupuestales. Las </w:t>
      </w:r>
      <w:r w:rsidRPr="0037437B">
        <w:rPr>
          <w:rFonts w:ascii="Verdana" w:hAnsi="Verdana" w:cs="Arial"/>
          <w:i/>
          <w:iCs/>
          <w:sz w:val="20"/>
          <w:lang w:val="es-ES_tradnl" w:eastAsia="es-ES"/>
        </w:rPr>
        <w:t>primeras</w:t>
      </w:r>
      <w:r w:rsidRPr="0037437B">
        <w:rPr>
          <w:rFonts w:ascii="Verdana" w:hAnsi="Verdana" w:cs="Arial"/>
          <w:sz w:val="20"/>
          <w:lang w:val="es-ES_tradnl" w:eastAsia="es-ES"/>
        </w:rPr>
        <w:t>, de conformidad con el artículo 23 del Estatuto Orgánico del Presupuesto</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se</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37437B">
        <w:rPr>
          <w:rFonts w:ascii="Verdana" w:hAnsi="Verdana" w:cs="Arial"/>
          <w:sz w:val="20"/>
          <w:lang w:eastAsia="es-ES"/>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37437B">
        <w:rPr>
          <w:rFonts w:ascii="Verdana" w:hAnsi="Verdana" w:cs="Arial"/>
          <w:sz w:val="20"/>
          <w:lang w:val="es-ES_tradnl" w:eastAsia="es-ES"/>
        </w:rPr>
        <w:t xml:space="preserve">. </w:t>
      </w:r>
    </w:p>
    <w:p w14:paraId="2243BE98" w14:textId="77777777" w:rsidR="005A25FF" w:rsidRPr="00BB19C5" w:rsidRDefault="005A25FF" w:rsidP="005A25FF">
      <w:pPr>
        <w:spacing w:after="0"/>
        <w:jc w:val="both"/>
        <w:rPr>
          <w:rFonts w:ascii="Verdana" w:eastAsia="Verdana" w:hAnsi="Verdana" w:cs="Verdana"/>
          <w:color w:val="EE0000"/>
          <w:sz w:val="20"/>
          <w:szCs w:val="20"/>
          <w:lang w:val="es-ES_tradnl"/>
        </w:rPr>
      </w:pPr>
    </w:p>
    <w:p w14:paraId="1BF39EAC" w14:textId="77777777" w:rsidR="005A25FF" w:rsidRPr="0037437B" w:rsidRDefault="005A25FF" w:rsidP="005A25FF">
      <w:pPr>
        <w:spacing w:after="0"/>
        <w:jc w:val="both"/>
        <w:rPr>
          <w:rFonts w:ascii="Verdana" w:hAnsi="Verdana" w:cs="Arial"/>
          <w:b/>
          <w:lang w:val="es-ES" w:eastAsia="es-ES"/>
        </w:rPr>
      </w:pPr>
      <w:r w:rsidRPr="0037437B">
        <w:rPr>
          <w:rFonts w:ascii="Verdana" w:hAnsi="Verdana" w:cs="Arial"/>
          <w:b/>
          <w:lang w:val="es-ES" w:eastAsia="es-ES"/>
        </w:rPr>
        <w:t xml:space="preserve">VIGENCIAS FUTURAS – </w:t>
      </w:r>
      <w:r>
        <w:rPr>
          <w:rFonts w:ascii="Verdana" w:hAnsi="Verdana" w:cs="Arial"/>
          <w:b/>
          <w:lang w:val="es-ES" w:eastAsia="es-ES"/>
        </w:rPr>
        <w:t xml:space="preserve">Ley 813 de 2003 - </w:t>
      </w:r>
      <w:r w:rsidRPr="0037437B">
        <w:rPr>
          <w:rFonts w:ascii="Verdana" w:hAnsi="Verdana" w:cs="Arial"/>
          <w:b/>
          <w:lang w:val="es-ES" w:eastAsia="es-ES"/>
        </w:rPr>
        <w:t xml:space="preserve">Tipos </w:t>
      </w:r>
    </w:p>
    <w:p w14:paraId="6C1AE19B" w14:textId="77777777" w:rsidR="005A25FF" w:rsidRDefault="005A25FF" w:rsidP="005A25FF">
      <w:pPr>
        <w:spacing w:after="0"/>
        <w:jc w:val="both"/>
        <w:rPr>
          <w:rFonts w:ascii="Verdana" w:hAnsi="Verdana" w:cs="Arial"/>
          <w:lang w:val="es-ES" w:eastAsia="es-ES"/>
        </w:rPr>
      </w:pPr>
    </w:p>
    <w:p w14:paraId="5E4DEF31" w14:textId="77777777" w:rsidR="005A25FF" w:rsidRPr="0037437B" w:rsidRDefault="005A25FF" w:rsidP="005A25FF">
      <w:pPr>
        <w:spacing w:after="0" w:line="240" w:lineRule="auto"/>
        <w:jc w:val="both"/>
        <w:rPr>
          <w:rFonts w:ascii="Verdana" w:hAnsi="Verdana" w:cs="Arial"/>
          <w:sz w:val="20"/>
          <w:lang w:eastAsia="es-ES"/>
        </w:rPr>
      </w:pPr>
      <w:r w:rsidRPr="0037437B">
        <w:rPr>
          <w:rFonts w:ascii="Verdana" w:hAnsi="Verdana" w:cs="Arial"/>
          <w:sz w:val="20"/>
          <w:lang w:eastAsia="es-ES"/>
        </w:rPr>
        <w:t xml:space="preserve">La Ley 813 de 2003 establece en sus artículos 10 y 11 dos tipos de vigencias futuras: i) las vigencias futuras ordinarias, según la cual el Consejo Superior de Política Fiscal – Confié, podrá autorizar la asunción de obligaciones que afecten presupuestos de vigencias futuras cuando su ejecución se inicie con presupuesto de la vigencia en curso y el objeto del compromiso se lleve a cabo en cada una de ellas siempre y cuando se </w:t>
      </w:r>
      <w:r w:rsidRPr="0037437B">
        <w:rPr>
          <w:rFonts w:ascii="Verdana" w:hAnsi="Verdana" w:cs="Arial"/>
          <w:sz w:val="20"/>
          <w:lang w:eastAsia="es-ES"/>
        </w:rPr>
        <w:lastRenderedPageBreak/>
        <w:t xml:space="preserve">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6EDE1C9D" w14:textId="77777777" w:rsidR="005A25FF" w:rsidRPr="0037437B" w:rsidRDefault="005A25FF" w:rsidP="005A25FF">
      <w:pPr>
        <w:spacing w:after="0" w:line="240" w:lineRule="auto"/>
        <w:jc w:val="both"/>
        <w:rPr>
          <w:rFonts w:ascii="Verdana" w:hAnsi="Verdana" w:cs="Arial"/>
          <w:sz w:val="20"/>
          <w:lang w:eastAsia="es-ES"/>
        </w:rPr>
      </w:pPr>
    </w:p>
    <w:p w14:paraId="59FCAFDD" w14:textId="77777777" w:rsidR="005A25FF" w:rsidRPr="0037437B" w:rsidRDefault="005A25FF" w:rsidP="005A25FF">
      <w:pPr>
        <w:spacing w:after="0" w:line="240" w:lineRule="auto"/>
        <w:jc w:val="both"/>
        <w:rPr>
          <w:rFonts w:ascii="Verdana" w:hAnsi="Verdana" w:cs="Arial"/>
          <w:sz w:val="20"/>
          <w:lang w:eastAsia="es-ES"/>
        </w:rPr>
      </w:pPr>
      <w:r w:rsidRPr="0037437B">
        <w:rPr>
          <w:rFonts w:ascii="Verdana" w:hAnsi="Verdana" w:cs="Arial"/>
          <w:sz w:val="20"/>
          <w:lang w:eastAsia="es-ES"/>
        </w:rPr>
        <w:t xml:space="preserve">Por su parte, el artículo 12 </w:t>
      </w:r>
      <w:r w:rsidRPr="0037437B">
        <w:rPr>
          <w:rFonts w:ascii="Verdana" w:hAnsi="Verdana" w:cs="Arial"/>
          <w:i/>
          <w:iCs/>
          <w:sz w:val="20"/>
          <w:lang w:eastAsia="es-ES"/>
        </w:rPr>
        <w:t>ibidem</w:t>
      </w:r>
      <w:r w:rsidRPr="0037437B">
        <w:rPr>
          <w:rFonts w:ascii="Verdana" w:hAnsi="Verdana" w:cs="Arial"/>
          <w:sz w:val="20"/>
          <w:lang w:eastAsia="es-ES"/>
        </w:rPr>
        <w:t xml:space="preserve"> se refiere a las vigencias futuras ordinarias para entidades territoriales cuya autorización será impartida por la asamblea o concejo respectivo, a iniciativa del gobierno local, previa aprobación por el Confis territorial o el órgano que haga sus veces. Las vigencias futuras excepcionales para entidades territoriales se encuentran establecida en la Ley 1483 de 2011.  </w:t>
      </w:r>
    </w:p>
    <w:p w14:paraId="4DF3A2CD" w14:textId="77777777" w:rsidR="005A25FF" w:rsidRPr="000C65BF" w:rsidRDefault="005A25FF" w:rsidP="005A25FF">
      <w:pPr>
        <w:spacing w:after="0"/>
        <w:jc w:val="both"/>
        <w:rPr>
          <w:rFonts w:ascii="Verdana" w:eastAsia="Verdana" w:hAnsi="Verdana" w:cs="Verdana"/>
          <w:color w:val="EE0000"/>
          <w:sz w:val="20"/>
          <w:szCs w:val="20"/>
        </w:rPr>
      </w:pPr>
    </w:p>
    <w:p w14:paraId="16B9736F" w14:textId="77777777" w:rsidR="005A25FF" w:rsidRPr="00D12C0B" w:rsidRDefault="005A25FF" w:rsidP="005A25FF">
      <w:pPr>
        <w:spacing w:after="0" w:line="240" w:lineRule="auto"/>
        <w:jc w:val="both"/>
        <w:rPr>
          <w:rFonts w:ascii="Verdana" w:hAnsi="Verdana" w:cs="Arial"/>
          <w:b/>
          <w:lang w:val="es-ES" w:eastAsia="es-ES"/>
        </w:rPr>
      </w:pPr>
      <w:r w:rsidRPr="00D12C0B">
        <w:rPr>
          <w:rFonts w:ascii="Verdana" w:hAnsi="Verdana" w:cs="Arial"/>
          <w:b/>
          <w:lang w:val="es-ES" w:eastAsia="es-ES"/>
        </w:rPr>
        <w:t xml:space="preserve">DEBER DE PLANEACIÓN </w:t>
      </w:r>
      <w:r w:rsidRPr="0037437B">
        <w:rPr>
          <w:rFonts w:ascii="Verdana" w:hAnsi="Verdana" w:cs="Arial"/>
          <w:b/>
          <w:lang w:val="es-ES" w:eastAsia="es-ES"/>
        </w:rPr>
        <w:t>–</w:t>
      </w:r>
      <w:r>
        <w:rPr>
          <w:rFonts w:ascii="Verdana" w:hAnsi="Verdana" w:cs="Arial"/>
          <w:b/>
          <w:lang w:val="es-ES" w:eastAsia="es-ES"/>
        </w:rPr>
        <w:t xml:space="preserve"> Análisis técnico </w:t>
      </w:r>
    </w:p>
    <w:p w14:paraId="638E1E72" w14:textId="77777777" w:rsidR="005A25FF" w:rsidRPr="00D12C0B" w:rsidRDefault="005A25FF" w:rsidP="005A25FF">
      <w:pPr>
        <w:spacing w:after="0" w:line="240" w:lineRule="auto"/>
        <w:contextualSpacing/>
        <w:rPr>
          <w:rFonts w:ascii="Verdana" w:eastAsia="Times New Roman" w:hAnsi="Verdana" w:cs="Arial"/>
          <w:lang w:val="es-ES" w:eastAsia="es-ES_tradnl"/>
        </w:rPr>
      </w:pPr>
    </w:p>
    <w:p w14:paraId="5E32F34C" w14:textId="77777777" w:rsidR="005A25FF" w:rsidRPr="00A43B8F" w:rsidRDefault="005A25FF" w:rsidP="005A25FF">
      <w:pPr>
        <w:spacing w:after="0" w:line="240" w:lineRule="auto"/>
        <w:jc w:val="both"/>
        <w:rPr>
          <w:rFonts w:ascii="Verdana" w:hAnsi="Verdana" w:cs="Arial"/>
          <w:sz w:val="20"/>
          <w:lang w:eastAsia="es-ES"/>
        </w:rPr>
      </w:pPr>
      <w:r w:rsidRPr="00A43B8F">
        <w:rPr>
          <w:rFonts w:ascii="Verdana" w:hAnsi="Verdana" w:cs="Arial"/>
          <w:sz w:val="20"/>
          <w:lang w:eastAsia="es-ES"/>
        </w:rPr>
        <w:t>En síntesis, aunque la regla general del sistema presupuestal impone que los compromisos y su ejecución se desarrollen dentro de la misma vigencia fiscal —con fundamento en el principio de anualidad previsto en la Constitución y en el Estatuto Orgánico del Presupuesto—, dicho principio no es absoluto. El ordenamiento contempla mecanismos excepcionales como las vigencias futuras, las reservas presupuestales, las cuentas por pagar y los pagos de pasivos exigibles de vigencias expiradas, que permiten compatibilizar la planeación contractual con la ejecución presupuestal cuando, por razones debidamente justificadas, la ejecución contractual supera el 31 de diciembre. En consecuencia, cuando desde la etapa de planeación se advierta que el contrato excederá la vigencia fiscal, la entidad deberá determinar cuál de las excepciones resulta aplicable según la naturaleza de la obligación, las previsiones normativas pertinentes y los procedimientos exigidos para cada instrumento. La selección de la figura presupuestal adecuada forma parte del análisis técnico propio de cada proceso contractual y debe adoptarse en el caso concreto por la entidad responsable, con sujeción al principio de juridicidad y bajo el acompañamiento de sus asesores.</w:t>
      </w:r>
    </w:p>
    <w:p w14:paraId="63AC9C6C" w14:textId="77777777" w:rsidR="005A25FF" w:rsidRDefault="005A25FF" w:rsidP="005A25FF">
      <w:pPr>
        <w:spacing w:after="0"/>
        <w:jc w:val="both"/>
        <w:rPr>
          <w:rFonts w:ascii="Verdana" w:eastAsia="Verdana" w:hAnsi="Verdana" w:cs="Verdana"/>
          <w:color w:val="EE0000"/>
          <w:sz w:val="20"/>
          <w:szCs w:val="20"/>
        </w:rPr>
      </w:pPr>
    </w:p>
    <w:p w14:paraId="6FF9D810" w14:textId="77777777" w:rsidR="005A25FF" w:rsidRDefault="005A25FF" w:rsidP="005A25FF">
      <w:pPr>
        <w:spacing w:after="0"/>
        <w:jc w:val="both"/>
        <w:rPr>
          <w:rFonts w:ascii="Verdana" w:eastAsia="Verdana" w:hAnsi="Verdana" w:cs="Verdana"/>
          <w:color w:val="EE0000"/>
          <w:sz w:val="20"/>
          <w:szCs w:val="20"/>
        </w:rPr>
      </w:pPr>
    </w:p>
    <w:p w14:paraId="5EE2CF2D" w14:textId="77777777" w:rsidR="005A25FF" w:rsidRDefault="005A25FF" w:rsidP="005A25FF">
      <w:pPr>
        <w:spacing w:after="0"/>
        <w:jc w:val="both"/>
        <w:rPr>
          <w:rFonts w:ascii="Verdana" w:eastAsia="Verdana" w:hAnsi="Verdana" w:cs="Verdana"/>
          <w:color w:val="EE0000"/>
          <w:sz w:val="20"/>
          <w:szCs w:val="20"/>
        </w:rPr>
      </w:pPr>
    </w:p>
    <w:p w14:paraId="1631CD95" w14:textId="77777777" w:rsidR="00030157" w:rsidRDefault="00030157" w:rsidP="003E4C15">
      <w:pPr>
        <w:spacing w:after="0" w:line="240" w:lineRule="auto"/>
        <w:rPr>
          <w:rFonts w:ascii="Verdana" w:hAnsi="Verdana"/>
          <w:sz w:val="20"/>
          <w:szCs w:val="20"/>
        </w:rPr>
      </w:pPr>
    </w:p>
    <w:p w14:paraId="6990EBD0" w14:textId="77777777" w:rsidR="005A25FF" w:rsidRDefault="005A25FF" w:rsidP="003E4C15">
      <w:pPr>
        <w:spacing w:after="0" w:line="240" w:lineRule="auto"/>
        <w:rPr>
          <w:rFonts w:ascii="Verdana" w:hAnsi="Verdana"/>
          <w:sz w:val="20"/>
          <w:szCs w:val="20"/>
        </w:rPr>
      </w:pPr>
    </w:p>
    <w:p w14:paraId="395EA6BC" w14:textId="77777777" w:rsidR="005A25FF" w:rsidRDefault="005A25FF" w:rsidP="003E4C15">
      <w:pPr>
        <w:spacing w:after="0" w:line="240" w:lineRule="auto"/>
        <w:rPr>
          <w:rFonts w:ascii="Verdana" w:hAnsi="Verdana"/>
          <w:sz w:val="20"/>
          <w:szCs w:val="20"/>
        </w:rPr>
      </w:pPr>
    </w:p>
    <w:p w14:paraId="561D4FFD" w14:textId="77777777" w:rsidR="005A25FF" w:rsidRDefault="005A25FF" w:rsidP="003E4C15">
      <w:pPr>
        <w:spacing w:after="0" w:line="240" w:lineRule="auto"/>
        <w:rPr>
          <w:rFonts w:ascii="Verdana" w:hAnsi="Verdana"/>
          <w:sz w:val="20"/>
          <w:szCs w:val="20"/>
        </w:rPr>
      </w:pPr>
    </w:p>
    <w:p w14:paraId="38D0DF2E" w14:textId="77777777" w:rsidR="005A25FF" w:rsidRDefault="005A25FF" w:rsidP="003E4C15">
      <w:pPr>
        <w:spacing w:after="0" w:line="240" w:lineRule="auto"/>
        <w:rPr>
          <w:rFonts w:ascii="Verdana" w:hAnsi="Verdana"/>
          <w:sz w:val="20"/>
          <w:szCs w:val="20"/>
        </w:rPr>
      </w:pPr>
    </w:p>
    <w:p w14:paraId="0E55703B" w14:textId="77777777" w:rsidR="005A25FF" w:rsidRDefault="005A25FF" w:rsidP="003E4C15">
      <w:pPr>
        <w:spacing w:after="0" w:line="240" w:lineRule="auto"/>
        <w:rPr>
          <w:rFonts w:ascii="Verdana" w:hAnsi="Verdana"/>
          <w:sz w:val="20"/>
          <w:szCs w:val="20"/>
        </w:rPr>
      </w:pPr>
    </w:p>
    <w:p w14:paraId="085DD8AB" w14:textId="77777777" w:rsidR="005A25FF" w:rsidRDefault="005A25FF" w:rsidP="003E4C15">
      <w:pPr>
        <w:spacing w:after="0" w:line="240" w:lineRule="auto"/>
        <w:rPr>
          <w:rFonts w:ascii="Verdana" w:hAnsi="Verdana"/>
          <w:sz w:val="20"/>
          <w:szCs w:val="20"/>
        </w:rPr>
      </w:pPr>
    </w:p>
    <w:p w14:paraId="282719AC" w14:textId="77777777" w:rsidR="005A25FF" w:rsidRDefault="005A25FF" w:rsidP="003E4C15">
      <w:pPr>
        <w:spacing w:after="0" w:line="240" w:lineRule="auto"/>
        <w:rPr>
          <w:rFonts w:ascii="Verdana" w:hAnsi="Verdana"/>
          <w:sz w:val="20"/>
          <w:szCs w:val="20"/>
        </w:rPr>
      </w:pPr>
    </w:p>
    <w:p w14:paraId="3DAA529A" w14:textId="77777777" w:rsidR="005A25FF" w:rsidRDefault="005A25FF" w:rsidP="003E4C15">
      <w:pPr>
        <w:spacing w:after="0" w:line="240" w:lineRule="auto"/>
        <w:rPr>
          <w:rFonts w:ascii="Verdana" w:hAnsi="Verdana"/>
          <w:sz w:val="20"/>
          <w:szCs w:val="20"/>
        </w:rPr>
      </w:pPr>
    </w:p>
    <w:p w14:paraId="2434657C" w14:textId="77777777" w:rsidR="005A25FF" w:rsidRDefault="005A25FF" w:rsidP="003E4C15">
      <w:pPr>
        <w:spacing w:after="0" w:line="240" w:lineRule="auto"/>
        <w:rPr>
          <w:rFonts w:ascii="Verdana" w:hAnsi="Verdana"/>
          <w:sz w:val="20"/>
          <w:szCs w:val="20"/>
        </w:rPr>
      </w:pPr>
    </w:p>
    <w:p w14:paraId="15AAE443" w14:textId="77777777" w:rsidR="005A25FF" w:rsidRDefault="005A25FF" w:rsidP="003E4C15">
      <w:pPr>
        <w:spacing w:after="0" w:line="240" w:lineRule="auto"/>
        <w:rPr>
          <w:rFonts w:ascii="Verdana" w:hAnsi="Verdana"/>
          <w:sz w:val="20"/>
          <w:szCs w:val="20"/>
        </w:rPr>
      </w:pPr>
    </w:p>
    <w:p w14:paraId="1D4B4199" w14:textId="77777777" w:rsidR="005A25FF" w:rsidRDefault="005A25FF" w:rsidP="003E4C15">
      <w:pPr>
        <w:spacing w:after="0" w:line="240" w:lineRule="auto"/>
        <w:rPr>
          <w:rFonts w:ascii="Verdana" w:hAnsi="Verdana"/>
          <w:sz w:val="20"/>
          <w:szCs w:val="20"/>
        </w:rPr>
      </w:pPr>
    </w:p>
    <w:p w14:paraId="62166442" w14:textId="77777777" w:rsidR="00AC40F4" w:rsidRDefault="00AC40F4" w:rsidP="003E4C15">
      <w:pPr>
        <w:spacing w:after="0" w:line="240" w:lineRule="auto"/>
        <w:rPr>
          <w:rFonts w:ascii="Verdana" w:hAnsi="Verdana"/>
          <w:sz w:val="20"/>
          <w:szCs w:val="20"/>
        </w:rPr>
      </w:pPr>
    </w:p>
    <w:p w14:paraId="49508F0D" w14:textId="63F572EE" w:rsidR="005B261C" w:rsidRPr="0031255C" w:rsidRDefault="00C562D4" w:rsidP="00E6227E">
      <w:pPr>
        <w:spacing w:after="0" w:line="240" w:lineRule="auto"/>
        <w:rPr>
          <w:rFonts w:ascii="Verdana" w:eastAsia="Calibri" w:hAnsi="Verdana" w:cs="Arial"/>
          <w:color w:val="000000" w:themeColor="text1"/>
        </w:rPr>
      </w:pPr>
      <w:r w:rsidRPr="00C562D4">
        <w:rPr>
          <w:rFonts w:ascii="Verdana" w:eastAsia="Calibri" w:hAnsi="Verdana" w:cs="Arial"/>
          <w:color w:val="000000" w:themeColor="text1"/>
        </w:rPr>
        <w:lastRenderedPageBreak/>
        <w:t xml:space="preserve">Bogotá D.C., </w:t>
      </w:r>
      <w:r w:rsidR="005A25FF">
        <w:rPr>
          <w:rFonts w:ascii="Verdana" w:eastAsia="Calibri" w:hAnsi="Verdana" w:cs="Arial"/>
          <w:color w:val="000000" w:themeColor="text1"/>
        </w:rPr>
        <w:t>25</w:t>
      </w:r>
      <w:r w:rsidR="00791489">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sidR="005A25FF">
        <w:rPr>
          <w:rFonts w:ascii="Verdana" w:eastAsia="Calibri" w:hAnsi="Verdana" w:cs="Arial"/>
          <w:color w:val="000000" w:themeColor="text1"/>
        </w:rPr>
        <w:t>febrero</w:t>
      </w:r>
      <w:r w:rsidRPr="00C562D4">
        <w:rPr>
          <w:rFonts w:ascii="Verdana" w:eastAsia="Calibri" w:hAnsi="Verdana" w:cs="Arial"/>
          <w:color w:val="000000" w:themeColor="text1"/>
        </w:rPr>
        <w:t xml:space="preserve"> de 20</w:t>
      </w:r>
      <w:r w:rsidR="00CB73C5">
        <w:rPr>
          <w:rFonts w:ascii="Verdana" w:eastAsia="Calibri" w:hAnsi="Verdana" w:cs="Arial"/>
          <w:color w:val="000000" w:themeColor="text1"/>
        </w:rPr>
        <w:t>2</w:t>
      </w:r>
      <w:r w:rsidR="00074755">
        <w:rPr>
          <w:rFonts w:ascii="Verdana" w:eastAsia="Calibri" w:hAnsi="Verdana" w:cs="Arial"/>
          <w:color w:val="000000" w:themeColor="text1"/>
        </w:rPr>
        <w:t>6</w:t>
      </w:r>
    </w:p>
    <w:p w14:paraId="328CC329" w14:textId="253C49C4" w:rsidR="005B261C" w:rsidRDefault="005B261C" w:rsidP="005B261C">
      <w:pPr>
        <w:spacing w:after="0" w:line="240" w:lineRule="auto"/>
        <w:jc w:val="both"/>
        <w:rPr>
          <w:rFonts w:ascii="Verdana" w:eastAsia="Calibri" w:hAnsi="Verdana" w:cs="Arial"/>
          <w:color w:val="000000" w:themeColor="text1"/>
          <w:lang w:val="es-ES"/>
        </w:rPr>
      </w:pPr>
    </w:p>
    <w:p w14:paraId="63CD85E4" w14:textId="013589A1" w:rsidR="0031255C" w:rsidRPr="00115E3D" w:rsidRDefault="0031255C" w:rsidP="005B261C">
      <w:pPr>
        <w:spacing w:after="0" w:line="240" w:lineRule="auto"/>
        <w:jc w:val="both"/>
        <w:rPr>
          <w:rFonts w:ascii="Verdana" w:eastAsia="Calibri" w:hAnsi="Verdana" w:cs="Arial"/>
          <w:color w:val="000000" w:themeColor="text1"/>
          <w:lang w:val="es-ES"/>
        </w:rPr>
      </w:pPr>
      <w:r w:rsidRPr="0031255C">
        <w:rPr>
          <w:rFonts w:ascii="Verdana" w:eastAsia="Calibri" w:hAnsi="Verdana" w:cs="Arial"/>
          <w:color w:val="000000" w:themeColor="text1"/>
          <w:lang w:val="es-ES"/>
        </w:rPr>
        <w:drawing>
          <wp:anchor distT="0" distB="0" distL="114300" distR="114300" simplePos="0" relativeHeight="251658240" behindDoc="1" locked="0" layoutInCell="1" allowOverlap="1" wp14:anchorId="2EE19A0E" wp14:editId="063F06F8">
            <wp:simplePos x="0" y="0"/>
            <wp:positionH relativeFrom="column">
              <wp:posOffset>3532575</wp:posOffset>
            </wp:positionH>
            <wp:positionV relativeFrom="paragraph">
              <wp:posOffset>74658</wp:posOffset>
            </wp:positionV>
            <wp:extent cx="2486025" cy="714375"/>
            <wp:effectExtent l="0" t="0" r="9525" b="9525"/>
            <wp:wrapTight wrapText="bothSides">
              <wp:wrapPolygon edited="0">
                <wp:start x="0" y="0"/>
                <wp:lineTo x="0" y="21312"/>
                <wp:lineTo x="21517" y="21312"/>
                <wp:lineTo x="21517" y="0"/>
                <wp:lineTo x="0" y="0"/>
              </wp:wrapPolygon>
            </wp:wrapTight>
            <wp:docPr id="19778318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831825" name=""/>
                    <pic:cNvPicPr/>
                  </pic:nvPicPr>
                  <pic:blipFill>
                    <a:blip r:embed="rId11">
                      <a:extLst>
                        <a:ext uri="{28A0092B-C50C-407E-A947-70E740481C1C}">
                          <a14:useLocalDpi xmlns:a14="http://schemas.microsoft.com/office/drawing/2010/main" val="0"/>
                        </a:ext>
                      </a:extLst>
                    </a:blip>
                    <a:stretch>
                      <a:fillRect/>
                    </a:stretch>
                  </pic:blipFill>
                  <pic:spPr>
                    <a:xfrm>
                      <a:off x="0" y="0"/>
                      <a:ext cx="2486025" cy="714375"/>
                    </a:xfrm>
                    <a:prstGeom prst="rect">
                      <a:avLst/>
                    </a:prstGeom>
                  </pic:spPr>
                </pic:pic>
              </a:graphicData>
            </a:graphic>
          </wp:anchor>
        </w:drawing>
      </w:r>
    </w:p>
    <w:p w14:paraId="59681FB0" w14:textId="0AE87BF2" w:rsidR="005B261C" w:rsidRPr="00115E3D" w:rsidRDefault="005B261C" w:rsidP="005B261C">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607BD661" w14:textId="77777777" w:rsidR="008D09A2" w:rsidRDefault="008D09A2" w:rsidP="00074755">
      <w:pPr>
        <w:spacing w:after="0" w:line="240" w:lineRule="auto"/>
        <w:rPr>
          <w:rFonts w:ascii="Verdana" w:eastAsia="Calibri" w:hAnsi="Verdana" w:cs="Arial"/>
          <w:b/>
          <w:bCs/>
          <w:color w:val="000000" w:themeColor="text1"/>
          <w:lang w:eastAsia="es-ES"/>
        </w:rPr>
      </w:pPr>
      <w:r w:rsidRPr="008D09A2">
        <w:rPr>
          <w:rFonts w:ascii="Verdana" w:eastAsia="Calibri" w:hAnsi="Verdana" w:cs="Arial"/>
          <w:b/>
          <w:bCs/>
          <w:color w:val="000000" w:themeColor="text1"/>
          <w:lang w:eastAsia="es-ES"/>
        </w:rPr>
        <w:t xml:space="preserve">ANDRES EDUARDO GARZON ZOLAQUE </w:t>
      </w:r>
    </w:p>
    <w:p w14:paraId="5A55DB88" w14:textId="2207F3D6" w:rsidR="001B36DA" w:rsidRPr="008D09A2" w:rsidRDefault="008D09A2" w:rsidP="00074755">
      <w:pPr>
        <w:spacing w:after="0" w:line="240" w:lineRule="auto"/>
        <w:rPr>
          <w:rFonts w:ascii="Verdana" w:eastAsia="Calibri" w:hAnsi="Verdana" w:cs="Arial"/>
          <w:color w:val="000000" w:themeColor="text1"/>
          <w:lang w:eastAsia="es-ES"/>
        </w:rPr>
      </w:pPr>
      <w:hyperlink r:id="rId12" w:history="1">
        <w:r w:rsidRPr="008D09A2">
          <w:rPr>
            <w:rStyle w:val="Hipervnculo"/>
            <w:rFonts w:ascii="Verdana" w:hAnsi="Verdana"/>
          </w:rPr>
          <w:t>andresgarzon1993@gmail.com</w:t>
        </w:r>
      </w:hyperlink>
      <w:r w:rsidRPr="008D09A2">
        <w:rPr>
          <w:rFonts w:ascii="Verdana" w:hAnsi="Verdana"/>
        </w:rPr>
        <w:t xml:space="preserve"> </w:t>
      </w:r>
    </w:p>
    <w:p w14:paraId="56EB3FC7" w14:textId="77777777" w:rsidR="00E94542" w:rsidRPr="00CB73C5" w:rsidRDefault="00E94542" w:rsidP="00074755">
      <w:pPr>
        <w:spacing w:after="0" w:line="240" w:lineRule="auto"/>
        <w:rPr>
          <w:rFonts w:ascii="Verdana" w:eastAsia="Calibri" w:hAnsi="Verdana" w:cs="Arial"/>
          <w:b/>
          <w:bCs/>
          <w:color w:val="000000" w:themeColor="text1"/>
          <w:lang w:eastAsia="es-ES"/>
        </w:rPr>
      </w:pPr>
    </w:p>
    <w:p w14:paraId="50EAC4DF" w14:textId="77777777" w:rsidR="005B261C" w:rsidRPr="00CB7ABE" w:rsidRDefault="005B261C" w:rsidP="005B261C">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5B261C" w:rsidRPr="00115E3D" w14:paraId="4695EBEF" w14:textId="77777777" w:rsidTr="00136DDB">
        <w:trPr>
          <w:trHeight w:val="615"/>
        </w:trPr>
        <w:tc>
          <w:tcPr>
            <w:tcW w:w="2270" w:type="dxa"/>
          </w:tcPr>
          <w:p w14:paraId="7138A810" w14:textId="77777777" w:rsidR="005B261C" w:rsidRPr="00CB7ABE" w:rsidRDefault="005B261C" w:rsidP="006F1A38">
            <w:pPr>
              <w:jc w:val="both"/>
              <w:rPr>
                <w:rFonts w:ascii="Verdana" w:eastAsia="Calibri" w:hAnsi="Verdana" w:cs="Arial"/>
                <w:b/>
                <w:bCs/>
                <w:color w:val="000000" w:themeColor="text1"/>
                <w:lang w:eastAsia="es-ES_tradnl"/>
              </w:rPr>
            </w:pPr>
          </w:p>
        </w:tc>
        <w:tc>
          <w:tcPr>
            <w:tcW w:w="6547" w:type="dxa"/>
          </w:tcPr>
          <w:p w14:paraId="25945537" w14:textId="6FC8743C" w:rsidR="005B261C" w:rsidRPr="00115E3D" w:rsidRDefault="005B261C" w:rsidP="006F1A38">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sidR="00EC7930">
              <w:rPr>
                <w:rFonts w:ascii="Verdana" w:eastAsia="Calibri" w:hAnsi="Verdana" w:cs="Arial"/>
                <w:b/>
                <w:bCs/>
                <w:color w:val="000000" w:themeColor="text1"/>
                <w:lang w:val="es-ES" w:eastAsia="es-ES"/>
              </w:rPr>
              <w:t>1</w:t>
            </w:r>
            <w:r w:rsidR="008D09A2">
              <w:rPr>
                <w:rFonts w:ascii="Verdana" w:eastAsia="Calibri" w:hAnsi="Verdana" w:cs="Arial"/>
                <w:b/>
                <w:bCs/>
                <w:color w:val="000000" w:themeColor="text1"/>
                <w:lang w:val="es-ES" w:eastAsia="es-ES"/>
              </w:rPr>
              <w:t>93</w:t>
            </w:r>
            <w:r w:rsidR="008547CB">
              <w:rPr>
                <w:rFonts w:ascii="Verdana" w:eastAsia="Calibri" w:hAnsi="Verdana" w:cs="Arial"/>
                <w:b/>
                <w:bCs/>
                <w:color w:val="000000" w:themeColor="text1"/>
                <w:lang w:val="es-ES" w:eastAsia="es-ES"/>
              </w:rPr>
              <w:t xml:space="preserve"> </w:t>
            </w:r>
            <w:r w:rsidRPr="00115E3D">
              <w:rPr>
                <w:rFonts w:ascii="Verdana" w:eastAsia="Calibri" w:hAnsi="Verdana" w:cs="Arial"/>
                <w:b/>
                <w:bCs/>
                <w:color w:val="000000" w:themeColor="text1"/>
                <w:lang w:val="es-ES" w:eastAsia="es-ES"/>
              </w:rPr>
              <w:t>de 202</w:t>
            </w:r>
            <w:r w:rsidR="00EC7930">
              <w:rPr>
                <w:rFonts w:ascii="Verdana" w:eastAsia="Calibri" w:hAnsi="Verdana" w:cs="Arial"/>
                <w:b/>
                <w:bCs/>
                <w:color w:val="000000" w:themeColor="text1"/>
                <w:lang w:val="es-ES" w:eastAsia="es-ES"/>
              </w:rPr>
              <w:t>6</w:t>
            </w:r>
          </w:p>
        </w:tc>
      </w:tr>
      <w:tr w:rsidR="005B261C" w:rsidRPr="007E403E" w14:paraId="5710482D" w14:textId="77777777" w:rsidTr="00B14DA5">
        <w:trPr>
          <w:trHeight w:val="1071"/>
        </w:trPr>
        <w:tc>
          <w:tcPr>
            <w:tcW w:w="2270" w:type="dxa"/>
          </w:tcPr>
          <w:p w14:paraId="0088F836" w14:textId="77777777" w:rsidR="005B261C" w:rsidRPr="001B36DA" w:rsidRDefault="005B261C" w:rsidP="006F1A38">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5C309AE4" w14:textId="77777777" w:rsidR="005A25FF" w:rsidRPr="00005FE6" w:rsidRDefault="005A25FF" w:rsidP="005A25FF">
            <w:pPr>
              <w:jc w:val="both"/>
              <w:rPr>
                <w:rFonts w:ascii="Verdana" w:eastAsia="Calibri" w:hAnsi="Verdana" w:cs="Arial"/>
                <w:bCs/>
              </w:rPr>
            </w:pPr>
            <w:r w:rsidRPr="00005FE6">
              <w:rPr>
                <w:rFonts w:ascii="Verdana" w:eastAsia="Calibri" w:hAnsi="Verdana" w:cs="Arial"/>
                <w:bCs/>
              </w:rPr>
              <w:t xml:space="preserve">PRINCIPIO DE ANUALIDAD – Fundamento - Regla general / PRINCIPIO DE ANUALIDAD – Mecanismos presupuestales / VIGENCIAS FUTURAS – Ley 813 de 2003 - Tipos / DEBER DE PLANEACIÓN – Análisis técnico </w:t>
            </w:r>
          </w:p>
          <w:p w14:paraId="174F44D4" w14:textId="7F296020" w:rsidR="00030157" w:rsidRPr="001B36DA" w:rsidRDefault="00030157" w:rsidP="006F1A38">
            <w:pPr>
              <w:spacing w:line="276" w:lineRule="auto"/>
              <w:jc w:val="both"/>
              <w:rPr>
                <w:rFonts w:ascii="Verdana" w:eastAsia="Calibri" w:hAnsi="Verdana" w:cs="Arial"/>
                <w:color w:val="000000" w:themeColor="text1"/>
                <w:lang w:val="es-ES" w:eastAsia="es-ES"/>
              </w:rPr>
            </w:pPr>
          </w:p>
        </w:tc>
      </w:tr>
      <w:tr w:rsidR="005B261C" w:rsidRPr="00115E3D" w14:paraId="2F32F98A" w14:textId="77777777" w:rsidTr="00B14DA5">
        <w:trPr>
          <w:trHeight w:val="653"/>
        </w:trPr>
        <w:tc>
          <w:tcPr>
            <w:tcW w:w="2270" w:type="dxa"/>
          </w:tcPr>
          <w:p w14:paraId="26ADCFA9" w14:textId="43D11C53" w:rsidR="005B261C" w:rsidRPr="00CB7ABE" w:rsidRDefault="005B261C" w:rsidP="006F1A38">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42BEDD0C" w14:textId="6C22240A" w:rsidR="005B261C" w:rsidRPr="00CB7ABE" w:rsidRDefault="005B261C" w:rsidP="00DA4396">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sidR="00DA4396">
              <w:rPr>
                <w:rFonts w:ascii="Verdana" w:eastAsia="Calibri" w:hAnsi="Verdana" w:cs="Arial"/>
                <w:color w:val="000000" w:themeColor="text1"/>
                <w:lang w:val="es-ES_tradnl" w:eastAsia="es-ES_tradnl"/>
              </w:rPr>
              <w:t xml:space="preserve"> </w:t>
            </w:r>
            <w:r w:rsidR="00EC7930">
              <w:rPr>
                <w:rFonts w:ascii="Verdana" w:eastAsia="Calibri" w:hAnsi="Verdana" w:cs="Arial"/>
                <w:color w:val="000000" w:themeColor="text1"/>
                <w:lang w:val="es-ES_tradnl" w:eastAsia="es-ES_tradnl"/>
              </w:rPr>
              <w:t>N.º</w:t>
            </w:r>
            <w:r w:rsidR="00DA4396">
              <w:rPr>
                <w:rFonts w:ascii="Verdana" w:eastAsia="Calibri" w:hAnsi="Verdana" w:cs="Arial"/>
                <w:color w:val="000000" w:themeColor="text1"/>
                <w:lang w:val="es-ES_tradnl" w:eastAsia="es-ES_tradnl"/>
              </w:rPr>
              <w:t xml:space="preserve"> </w:t>
            </w:r>
            <w:r w:rsidR="008D09A2" w:rsidRPr="008D09A2">
              <w:rPr>
                <w:rFonts w:ascii="Verdana" w:eastAsia="Calibri" w:hAnsi="Verdana" w:cs="Arial"/>
                <w:color w:val="000000" w:themeColor="text1"/>
                <w:lang w:val="es-ES_tradnl" w:eastAsia="es-ES_tradnl"/>
              </w:rPr>
              <w:t>1_2026_02_10_001704</w:t>
            </w:r>
            <w:r w:rsidR="008D09A2">
              <w:rPr>
                <w:rFonts w:ascii="Verdana" w:eastAsia="Calibri" w:hAnsi="Verdana" w:cs="Arial"/>
                <w:color w:val="000000" w:themeColor="text1"/>
                <w:lang w:val="es-ES_tradnl" w:eastAsia="es-ES_tradnl"/>
              </w:rPr>
              <w:t>.</w:t>
            </w:r>
          </w:p>
        </w:tc>
      </w:tr>
    </w:tbl>
    <w:p w14:paraId="676D17D4" w14:textId="77777777" w:rsidR="005B261C" w:rsidRPr="00115E3D" w:rsidRDefault="005B261C" w:rsidP="005B261C">
      <w:pPr>
        <w:spacing w:after="0" w:line="240" w:lineRule="auto"/>
        <w:jc w:val="both"/>
        <w:rPr>
          <w:rFonts w:ascii="Verdana" w:eastAsia="Calibri" w:hAnsi="Verdana" w:cs="Arial"/>
          <w:color w:val="000000" w:themeColor="text1"/>
          <w:lang w:val="es-ES_tradnl" w:eastAsia="es-ES_tradnl"/>
        </w:rPr>
      </w:pPr>
    </w:p>
    <w:p w14:paraId="5F37FB94" w14:textId="60ED4C11" w:rsidR="005B261C" w:rsidRPr="00115E3D" w:rsidRDefault="005B261C" w:rsidP="005B261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sidR="00791489">
        <w:rPr>
          <w:rFonts w:ascii="Verdana" w:eastAsia="Calibri" w:hAnsi="Verdana" w:cs="Arial"/>
          <w:color w:val="000000" w:themeColor="text1"/>
          <w:lang w:val="es-ES" w:eastAsia="es-ES"/>
        </w:rPr>
        <w:t>o</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 </w:t>
      </w:r>
      <w:r w:rsidR="008D09A2" w:rsidRPr="008D09A2">
        <w:rPr>
          <w:rFonts w:ascii="Verdana" w:eastAsia="Calibri" w:hAnsi="Verdana" w:cs="Arial"/>
          <w:color w:val="000000" w:themeColor="text1"/>
          <w:lang w:val="es-ES" w:eastAsia="es-ES"/>
        </w:rPr>
        <w:t>Garzon</w:t>
      </w:r>
      <w:r w:rsidR="00074755">
        <w:rPr>
          <w:rFonts w:ascii="Verdana" w:eastAsia="Calibri" w:hAnsi="Verdana" w:cs="Arial"/>
          <w:color w:val="000000" w:themeColor="text1"/>
          <w:lang w:val="es-ES" w:eastAsia="es-ES"/>
        </w:rPr>
        <w:t>;</w:t>
      </w:r>
    </w:p>
    <w:p w14:paraId="01BB3543" w14:textId="77777777" w:rsidR="005B261C" w:rsidRPr="00115E3D" w:rsidRDefault="005B261C" w:rsidP="005B261C">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5F6EC50" w14:textId="19CC06B3" w:rsidR="005B261C" w:rsidRPr="00115E3D" w:rsidRDefault="005B261C" w:rsidP="005B261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sidR="00C8101E">
        <w:rPr>
          <w:rFonts w:ascii="Verdana" w:eastAsia="Calibri" w:hAnsi="Verdana" w:cs="Arial"/>
          <w:color w:val="000000" w:themeColor="text1"/>
          <w:lang w:val="es-ES" w:eastAsia="es-ES"/>
        </w:rPr>
        <w:t xml:space="preserve"> </w:t>
      </w:r>
      <w:r w:rsidR="00096CB6">
        <w:rPr>
          <w:rFonts w:ascii="Verdana" w:eastAsia="Calibri" w:hAnsi="Verdana" w:cs="Arial"/>
          <w:color w:val="000000" w:themeColor="text1"/>
          <w:lang w:val="es-ES" w:eastAsia="es-ES"/>
        </w:rPr>
        <w:t>radicada en esta entidad</w:t>
      </w:r>
      <w:r w:rsidR="00074755">
        <w:rPr>
          <w:rFonts w:ascii="Verdana" w:eastAsia="Calibri" w:hAnsi="Verdana" w:cs="Arial"/>
          <w:color w:val="000000" w:themeColor="text1"/>
          <w:lang w:val="es-ES" w:eastAsia="es-ES"/>
        </w:rPr>
        <w:t xml:space="preserve"> </w:t>
      </w:r>
      <w:r w:rsidR="00096CB6">
        <w:rPr>
          <w:rFonts w:ascii="Verdana" w:eastAsia="Calibri" w:hAnsi="Verdana" w:cs="Arial"/>
          <w:color w:val="000000" w:themeColor="text1"/>
          <w:lang w:val="es-ES" w:eastAsia="es-ES"/>
        </w:rPr>
        <w:t xml:space="preserve">el </w:t>
      </w:r>
      <w:r w:rsidR="00733AEE">
        <w:rPr>
          <w:rFonts w:ascii="Verdana" w:eastAsia="Calibri" w:hAnsi="Verdana" w:cs="Arial"/>
          <w:color w:val="000000" w:themeColor="text1"/>
          <w:lang w:val="es-ES" w:eastAsia="es-ES"/>
        </w:rPr>
        <w:t>10</w:t>
      </w:r>
      <w:r w:rsidR="00AD7C7C">
        <w:rPr>
          <w:rFonts w:ascii="Verdana" w:eastAsia="Calibri" w:hAnsi="Verdana" w:cs="Arial"/>
          <w:color w:val="000000" w:themeColor="text1"/>
          <w:lang w:val="es-ES" w:eastAsia="es-ES"/>
        </w:rPr>
        <w:t xml:space="preserve"> </w:t>
      </w:r>
      <w:r w:rsidR="00096CB6">
        <w:rPr>
          <w:rFonts w:ascii="Verdana" w:eastAsia="Calibri" w:hAnsi="Verdana" w:cs="Arial"/>
          <w:color w:val="000000" w:themeColor="text1"/>
          <w:lang w:val="es-ES" w:eastAsia="es-ES"/>
        </w:rPr>
        <w:t xml:space="preserve">de </w:t>
      </w:r>
      <w:r w:rsidR="0011036B">
        <w:rPr>
          <w:rFonts w:ascii="Verdana" w:eastAsia="Calibri" w:hAnsi="Verdana" w:cs="Arial"/>
          <w:color w:val="000000" w:themeColor="text1"/>
          <w:lang w:val="es-ES" w:eastAsia="es-ES"/>
        </w:rPr>
        <w:t>febrero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w:t>
      </w:r>
      <w:r w:rsidR="00C8101E">
        <w:rPr>
          <w:rFonts w:ascii="Verdana" w:eastAsia="Calibri" w:hAnsi="Verdana" w:cs="Arial"/>
          <w:color w:val="000000" w:themeColor="text1"/>
          <w:lang w:val="es-ES" w:eastAsia="es-ES"/>
        </w:rPr>
        <w:t>6</w:t>
      </w:r>
      <w:r w:rsidRPr="00115E3D">
        <w:rPr>
          <w:rFonts w:ascii="Verdana" w:eastAsia="Calibri" w:hAnsi="Verdana" w:cs="Arial"/>
          <w:color w:val="000000" w:themeColor="text1"/>
          <w:lang w:val="es-ES" w:eastAsia="es-ES"/>
        </w:rPr>
        <w:t xml:space="preserve">, en la cual manifiesta lo siguiente: </w:t>
      </w:r>
    </w:p>
    <w:p w14:paraId="3200577B" w14:textId="77777777" w:rsidR="0099297C" w:rsidRDefault="0099297C" w:rsidP="00096CB6">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p>
    <w:bookmarkEnd w:id="0"/>
    <w:p w14:paraId="1259D765" w14:textId="49C91C40" w:rsidR="00733AEE" w:rsidRPr="00733AEE" w:rsidRDefault="00CB73C5" w:rsidP="00733AEE">
      <w:pPr>
        <w:spacing w:after="0" w:line="240" w:lineRule="auto"/>
        <w:ind w:left="709" w:right="709"/>
        <w:jc w:val="both"/>
        <w:rPr>
          <w:rFonts w:ascii="Verdana" w:eastAsia="Century Gothic" w:hAnsi="Verdana" w:cs="Century Gothic"/>
          <w:i/>
          <w:iCs/>
          <w:color w:val="000000" w:themeColor="text1"/>
          <w:sz w:val="20"/>
          <w:szCs w:val="20"/>
        </w:rPr>
      </w:pPr>
      <w:r w:rsidRPr="00733AEE">
        <w:rPr>
          <w:rFonts w:ascii="Verdana" w:eastAsia="Century Gothic" w:hAnsi="Verdana" w:cs="Century Gothic"/>
          <w:i/>
          <w:iCs/>
          <w:color w:val="000000" w:themeColor="text1"/>
          <w:sz w:val="20"/>
          <w:szCs w:val="20"/>
          <w:lang w:val="es-ES"/>
        </w:rPr>
        <w:t>“</w:t>
      </w:r>
      <w:r w:rsidR="00733AEE">
        <w:rPr>
          <w:rFonts w:ascii="Verdana" w:eastAsia="Century Gothic" w:hAnsi="Verdana" w:cs="Century Gothic"/>
          <w:i/>
          <w:iCs/>
          <w:color w:val="000000" w:themeColor="text1"/>
          <w:sz w:val="20"/>
          <w:szCs w:val="20"/>
        </w:rPr>
        <w:t xml:space="preserve"> </w:t>
      </w:r>
      <w:r w:rsidR="00733AEE" w:rsidRPr="00733AEE">
        <w:rPr>
          <w:rFonts w:ascii="Verdana" w:eastAsia="Century Gothic" w:hAnsi="Verdana" w:cs="Century Gothic"/>
          <w:i/>
          <w:iCs/>
          <w:color w:val="000000" w:themeColor="text1"/>
          <w:sz w:val="20"/>
          <w:szCs w:val="20"/>
        </w:rPr>
        <w:t>¿Qué consecuencias legales y presupuestales tiene un contrato que supera mas de</w:t>
      </w:r>
      <w:r w:rsidR="00733AEE">
        <w:rPr>
          <w:rFonts w:ascii="Verdana" w:eastAsia="Century Gothic" w:hAnsi="Verdana" w:cs="Century Gothic"/>
          <w:i/>
          <w:iCs/>
          <w:color w:val="000000" w:themeColor="text1"/>
          <w:sz w:val="20"/>
          <w:szCs w:val="20"/>
        </w:rPr>
        <w:t xml:space="preserve"> </w:t>
      </w:r>
      <w:r w:rsidR="00733AEE" w:rsidRPr="00733AEE">
        <w:rPr>
          <w:rFonts w:ascii="Verdana" w:eastAsia="Century Gothic" w:hAnsi="Verdana" w:cs="Century Gothic"/>
          <w:i/>
          <w:iCs/>
          <w:color w:val="000000" w:themeColor="text1"/>
          <w:sz w:val="20"/>
          <w:szCs w:val="20"/>
        </w:rPr>
        <w:t>una vigencia fiscal y no cuenta con autorización de vigencias futuras ni certificado</w:t>
      </w:r>
      <w:r w:rsidR="00733AEE">
        <w:rPr>
          <w:rFonts w:ascii="Verdana" w:eastAsia="Century Gothic" w:hAnsi="Verdana" w:cs="Century Gothic"/>
          <w:i/>
          <w:iCs/>
          <w:color w:val="000000" w:themeColor="text1"/>
          <w:sz w:val="20"/>
          <w:szCs w:val="20"/>
        </w:rPr>
        <w:t xml:space="preserve"> </w:t>
      </w:r>
      <w:r w:rsidR="00733AEE" w:rsidRPr="00733AEE">
        <w:rPr>
          <w:rFonts w:ascii="Verdana" w:eastAsia="Century Gothic" w:hAnsi="Verdana" w:cs="Century Gothic"/>
          <w:i/>
          <w:iCs/>
          <w:color w:val="000000" w:themeColor="text1"/>
          <w:sz w:val="20"/>
          <w:szCs w:val="20"/>
        </w:rPr>
        <w:t>de disponibilidad ni registro presupuestales?</w:t>
      </w:r>
    </w:p>
    <w:p w14:paraId="3DC90D9A" w14:textId="75E9FFCA" w:rsidR="00791489" w:rsidRPr="000D32F2" w:rsidRDefault="00733AEE" w:rsidP="00733AEE">
      <w:pPr>
        <w:spacing w:after="0" w:line="240" w:lineRule="auto"/>
        <w:ind w:left="709" w:right="709"/>
        <w:jc w:val="both"/>
        <w:rPr>
          <w:rFonts w:ascii="Verdana" w:eastAsia="Century Gothic" w:hAnsi="Verdana" w:cs="Century Gothic"/>
          <w:i/>
          <w:iCs/>
          <w:color w:val="000000" w:themeColor="text1"/>
          <w:sz w:val="20"/>
          <w:szCs w:val="20"/>
        </w:rPr>
      </w:pPr>
      <w:r w:rsidRPr="00733AEE">
        <w:rPr>
          <w:rFonts w:ascii="Verdana" w:eastAsia="Century Gothic" w:hAnsi="Verdana" w:cs="Century Gothic"/>
          <w:i/>
          <w:iCs/>
          <w:color w:val="000000" w:themeColor="text1"/>
          <w:sz w:val="20"/>
          <w:szCs w:val="20"/>
        </w:rPr>
        <w:t>¿sería nulo absoluto el contrato? o es posible sanearlo?</w:t>
      </w:r>
      <w:r w:rsidR="00EC7E5C" w:rsidRPr="000D32F2">
        <w:rPr>
          <w:rFonts w:ascii="Verdana" w:eastAsia="Century Gothic" w:hAnsi="Verdana" w:cs="Century Gothic"/>
          <w:i/>
          <w:iCs/>
          <w:color w:val="000000" w:themeColor="text1"/>
          <w:sz w:val="20"/>
          <w:szCs w:val="20"/>
        </w:rPr>
        <w:t>”</w:t>
      </w:r>
    </w:p>
    <w:p w14:paraId="6AF2EF0A" w14:textId="77777777" w:rsidR="00791489" w:rsidRDefault="00791489" w:rsidP="00E94542">
      <w:pPr>
        <w:spacing w:after="0" w:line="240" w:lineRule="auto"/>
        <w:ind w:left="709" w:right="709"/>
        <w:jc w:val="both"/>
        <w:rPr>
          <w:rFonts w:ascii="Verdana" w:eastAsia="Century Gothic" w:hAnsi="Verdana" w:cs="Century Gothic"/>
          <w:i/>
          <w:iCs/>
          <w:color w:val="000000" w:themeColor="text1"/>
          <w:sz w:val="20"/>
          <w:szCs w:val="20"/>
        </w:rPr>
      </w:pPr>
    </w:p>
    <w:p w14:paraId="6E447E53" w14:textId="77777777" w:rsidR="004A210F" w:rsidRDefault="004A210F" w:rsidP="00E94542">
      <w:pPr>
        <w:spacing w:after="0" w:line="240" w:lineRule="auto"/>
        <w:ind w:left="709" w:right="709"/>
        <w:jc w:val="both"/>
        <w:rPr>
          <w:rFonts w:ascii="Verdana" w:eastAsia="Century Gothic" w:hAnsi="Verdana" w:cs="Century Gothic"/>
          <w:i/>
          <w:iCs/>
          <w:color w:val="000000" w:themeColor="text1"/>
          <w:sz w:val="20"/>
          <w:szCs w:val="20"/>
        </w:rPr>
      </w:pPr>
    </w:p>
    <w:p w14:paraId="059A9D4E" w14:textId="102FDE65" w:rsidR="005B261C" w:rsidRDefault="005B261C" w:rsidP="00131F6C">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sidR="00DF13B0">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w:t>
      </w:r>
      <w:r w:rsidRPr="00115E3D">
        <w:rPr>
          <w:rFonts w:ascii="Verdana" w:eastAsia="Calibri" w:hAnsi="Verdana" w:cs="Arial"/>
          <w:color w:val="000000" w:themeColor="text1"/>
          <w:lang w:val="es-ES" w:eastAsia="es-ES"/>
        </w:rPr>
        <w:lastRenderedPageBreak/>
        <w:t xml:space="preserve">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40807FA" w14:textId="77777777" w:rsidR="007E403E" w:rsidRPr="00115E3D" w:rsidRDefault="007E403E" w:rsidP="007E403E">
      <w:pPr>
        <w:spacing w:after="0" w:line="240" w:lineRule="auto"/>
        <w:ind w:right="49"/>
        <w:jc w:val="both"/>
        <w:rPr>
          <w:rFonts w:ascii="Verdana" w:eastAsia="Calibri" w:hAnsi="Verdana" w:cs="Arial"/>
          <w:color w:val="000000" w:themeColor="text1"/>
          <w:szCs w:val="24"/>
          <w:lang w:val="es-ES_tradnl" w:eastAsia="es-ES_tradnl"/>
        </w:rPr>
      </w:pPr>
    </w:p>
    <w:p w14:paraId="17917103" w14:textId="610BBADD" w:rsidR="005B261C" w:rsidRPr="00115E3D" w:rsidRDefault="005B261C" w:rsidP="005B261C">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009E7E8C">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41A931FE" w14:textId="77777777" w:rsidR="005B261C" w:rsidRPr="00115E3D" w:rsidRDefault="005B261C" w:rsidP="005B261C">
      <w:pPr>
        <w:spacing w:after="0" w:line="276" w:lineRule="auto"/>
        <w:ind w:firstLine="709"/>
        <w:jc w:val="both"/>
        <w:rPr>
          <w:rFonts w:ascii="Verdana" w:eastAsia="Calibri" w:hAnsi="Verdana" w:cs="Arial"/>
          <w:color w:val="000000" w:themeColor="text1"/>
          <w:lang w:val="es-ES" w:eastAsia="es-ES"/>
        </w:rPr>
      </w:pPr>
    </w:p>
    <w:p w14:paraId="12EFB611"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11286705" w14:textId="77777777" w:rsidR="005B261C" w:rsidRPr="00115E3D" w:rsidRDefault="005B261C" w:rsidP="005B261C">
      <w:pPr>
        <w:tabs>
          <w:tab w:val="left" w:pos="426"/>
        </w:tabs>
        <w:spacing w:after="0" w:line="276" w:lineRule="auto"/>
        <w:jc w:val="both"/>
        <w:rPr>
          <w:rFonts w:ascii="Verdana" w:eastAsia="Century Gothic" w:hAnsi="Verdana" w:cs="Century Gothic"/>
          <w:color w:val="000000" w:themeColor="text1"/>
          <w:lang w:val="es-ES"/>
        </w:rPr>
      </w:pPr>
    </w:p>
    <w:p w14:paraId="00B8EE1A" w14:textId="2ABA682C" w:rsidR="00733AEE" w:rsidRDefault="005B261C" w:rsidP="0029110A">
      <w:pPr>
        <w:spacing w:after="0" w:line="276" w:lineRule="auto"/>
        <w:jc w:val="both"/>
        <w:rPr>
          <w:rFonts w:ascii="Verdana" w:hAnsi="Verdana"/>
        </w:rPr>
      </w:pPr>
      <w:r w:rsidRPr="00115E3D">
        <w:rPr>
          <w:rFonts w:ascii="Verdana" w:eastAsia="Century Gothic" w:hAnsi="Verdana" w:cs="Century Gothic"/>
          <w:color w:val="000000" w:themeColor="text1"/>
        </w:rPr>
        <w:t xml:space="preserve">De acuerdo con el contenido de su solicitud, esta Agencia resolverá </w:t>
      </w:r>
      <w:r w:rsidR="004A210F">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w:t>
      </w:r>
      <w:r w:rsidR="009E7E8C" w:rsidRPr="00115E3D">
        <w:rPr>
          <w:rFonts w:ascii="Verdana" w:eastAsia="Century Gothic" w:hAnsi="Verdana" w:cs="Century Gothic"/>
          <w:color w:val="000000" w:themeColor="text1"/>
        </w:rPr>
        <w:t>siguiente problema</w:t>
      </w:r>
      <w:r w:rsidRPr="00115E3D">
        <w:rPr>
          <w:rFonts w:ascii="Verdana" w:eastAsia="Century Gothic" w:hAnsi="Verdana" w:cs="Century Gothic"/>
          <w:color w:val="000000" w:themeColor="text1"/>
        </w:rPr>
        <w:t xml:space="preserve"> jurídico:</w:t>
      </w:r>
      <w:r w:rsidR="00946693" w:rsidRPr="00946693">
        <w:t xml:space="preserve"> </w:t>
      </w:r>
      <w:r w:rsidR="00EA5B0C" w:rsidRPr="00EA5B0C">
        <w:rPr>
          <w:rFonts w:ascii="Verdana" w:hAnsi="Verdana"/>
        </w:rPr>
        <w:t>¿Es jurídicamente viable celebrar y ejecutar un contrato estatal que excede la vigencia fiscal sin contar con autorización de vigencias futuras ni con disponibilidad y registro presupuestal, y cuáles son las consecuencias de su omisión?</w:t>
      </w:r>
    </w:p>
    <w:p w14:paraId="12A1BA8C" w14:textId="77777777" w:rsidR="00733AEE" w:rsidRDefault="00733AEE" w:rsidP="0029110A">
      <w:pPr>
        <w:spacing w:after="0" w:line="276" w:lineRule="auto"/>
        <w:jc w:val="both"/>
        <w:rPr>
          <w:rFonts w:ascii="Verdana" w:hAnsi="Verdana"/>
        </w:rPr>
      </w:pPr>
    </w:p>
    <w:p w14:paraId="5609B135"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4CE01E29" w14:textId="77777777" w:rsidR="005B261C" w:rsidRPr="00115E3D" w:rsidRDefault="005B261C" w:rsidP="005B261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B261C" w:rsidRPr="00115E3D" w14:paraId="704DD47E" w14:textId="77777777" w:rsidTr="006D0D53">
        <w:trPr>
          <w:trHeight w:val="774"/>
        </w:trPr>
        <w:tc>
          <w:tcPr>
            <w:tcW w:w="8828" w:type="dxa"/>
          </w:tcPr>
          <w:p w14:paraId="34C7D381" w14:textId="17E16941" w:rsidR="00EA5B0C" w:rsidRDefault="002C4DD6" w:rsidP="00EA5B0C">
            <w:pPr>
              <w:spacing w:before="120" w:after="120" w:line="276" w:lineRule="auto"/>
              <w:jc w:val="both"/>
              <w:rPr>
                <w:rFonts w:ascii="Verdana" w:eastAsia="Calibri" w:hAnsi="Verdana" w:cs="Arial"/>
              </w:rPr>
            </w:pPr>
            <w:r>
              <w:rPr>
                <w:rFonts w:ascii="Verdana" w:hAnsi="Verdana" w:cs="Arial"/>
              </w:rPr>
              <w:t xml:space="preserve">         </w:t>
            </w:r>
            <w:r w:rsidR="00EA5B0C" w:rsidRPr="00986CB3">
              <w:rPr>
                <w:rFonts w:ascii="Verdana" w:eastAsia="Calibri" w:hAnsi="Verdana" w:cs="Arial"/>
              </w:rPr>
              <w:t xml:space="preserve">Para resolver el problema jurídico planteado, en primer lugar, es importante precisar que el principio de anualidad del gasto constituye uno de los pilares del régimen presupuestal y, por extensión, de la contratación estatal. En virtud de dicho principio, las entidades públicas deben planear y ejecutar sus procesos contractuales de manera que los compromisos </w:t>
            </w:r>
            <w:r w:rsidR="00EA5B0C">
              <w:rPr>
                <w:rFonts w:ascii="Verdana" w:eastAsia="Calibri" w:hAnsi="Verdana" w:cs="Arial"/>
              </w:rPr>
              <w:t>asumidos</w:t>
            </w:r>
            <w:r w:rsidR="00EA5B0C" w:rsidRPr="00986CB3">
              <w:rPr>
                <w:rFonts w:ascii="Verdana" w:eastAsia="Calibri" w:hAnsi="Verdana" w:cs="Arial"/>
              </w:rPr>
              <w:t xml:space="preserve"> se atiendan con cargo al presupuesto de la vigencia fiscal correspondiente, comprendida entre el </w:t>
            </w:r>
            <w:r w:rsidR="00EA5B0C">
              <w:rPr>
                <w:rFonts w:ascii="Verdana" w:eastAsia="Calibri" w:hAnsi="Verdana" w:cs="Arial"/>
              </w:rPr>
              <w:t>1°</w:t>
            </w:r>
            <w:r w:rsidR="00EA5B0C" w:rsidRPr="00986CB3">
              <w:rPr>
                <w:rFonts w:ascii="Verdana" w:eastAsia="Calibri" w:hAnsi="Verdana" w:cs="Arial"/>
              </w:rPr>
              <w:t xml:space="preserve"> de enero y el 31 de diciembre. Es decir, como regla general, únicamente pueden a</w:t>
            </w:r>
            <w:r w:rsidR="00EA5B0C">
              <w:rPr>
                <w:rFonts w:ascii="Verdana" w:eastAsia="Calibri" w:hAnsi="Verdana" w:cs="Arial"/>
              </w:rPr>
              <w:t>dquirirse</w:t>
            </w:r>
            <w:r w:rsidR="00EA5B0C" w:rsidRPr="00986CB3">
              <w:rPr>
                <w:rFonts w:ascii="Verdana" w:eastAsia="Calibri" w:hAnsi="Verdana" w:cs="Arial"/>
              </w:rPr>
              <w:t xml:space="preserve"> compromisos presupuestales cuya ejecución no exceda la vigencia fiscal en la cual se celebra el contrato.</w:t>
            </w:r>
          </w:p>
          <w:p w14:paraId="1F1F05AC" w14:textId="77777777" w:rsidR="00EA5B0C" w:rsidRDefault="00EA5B0C" w:rsidP="00EA5B0C">
            <w:pPr>
              <w:spacing w:before="120" w:after="120" w:line="276" w:lineRule="auto"/>
              <w:ind w:firstLine="709"/>
              <w:jc w:val="both"/>
              <w:rPr>
                <w:rFonts w:ascii="Verdana" w:eastAsia="Calibri" w:hAnsi="Verdana" w:cs="Arial"/>
              </w:rPr>
            </w:pPr>
            <w:r>
              <w:rPr>
                <w:rFonts w:ascii="Verdana" w:eastAsia="Calibri" w:hAnsi="Verdana" w:cs="Arial"/>
              </w:rPr>
              <w:t xml:space="preserve">Sin perjuicio de lo anterior, </w:t>
            </w:r>
            <w:r w:rsidRPr="00043C5D">
              <w:rPr>
                <w:rFonts w:ascii="Verdana" w:eastAsia="Calibri" w:hAnsi="Verdana" w:cs="Arial"/>
              </w:rPr>
              <w:t xml:space="preserve">el ordenamiento jurídico contempla excepciones al principio de anualidad del gasto, dentro de las cuales se destacan las vigencias futuras, que, conforme a lo dispuesto en el artículo 23 </w:t>
            </w:r>
            <w:r w:rsidRPr="00043C5D">
              <w:rPr>
                <w:rFonts w:ascii="Verdana" w:eastAsia="Calibri" w:hAnsi="Verdana" w:cs="Arial"/>
              </w:rPr>
              <w:lastRenderedPageBreak/>
              <w:t>del Estatuto Orgánico del Presupuesto, exigen autorización previa para comprometer recursos correspondientes a vigencias fiscales posteriores a aquella en la que se inicia la ejecución del contrato. Asimismo, hacen parte de dichas excepciones las cuentas por pagar y las reservas presupuestales, las cuales se rigen por reglas y procedimientos específicos para su configuración y aplicación.</w:t>
            </w:r>
          </w:p>
          <w:p w14:paraId="196326F4" w14:textId="77777777" w:rsidR="0036566B" w:rsidRDefault="00EA5B0C" w:rsidP="00EA5B0C">
            <w:pPr>
              <w:shd w:val="clear" w:color="auto" w:fill="FFFFFF"/>
              <w:spacing w:after="120" w:line="276" w:lineRule="auto"/>
              <w:ind w:right="51" w:firstLine="709"/>
              <w:jc w:val="both"/>
              <w:rPr>
                <w:rFonts w:ascii="Verdana" w:eastAsia="Calibri" w:hAnsi="Verdana" w:cs="Arial"/>
                <w:color w:val="000000" w:themeColor="text1"/>
              </w:rPr>
            </w:pPr>
            <w:r>
              <w:rPr>
                <w:rFonts w:ascii="Verdana" w:eastAsia="Calibri" w:hAnsi="Verdana" w:cs="Arial"/>
                <w:color w:val="000000" w:themeColor="text1"/>
              </w:rPr>
              <w:t>Por su parte, l</w:t>
            </w:r>
            <w:r w:rsidRPr="00D069D8">
              <w:rPr>
                <w:rFonts w:ascii="Verdana" w:eastAsia="Calibri" w:hAnsi="Verdana" w:cs="Arial"/>
                <w:color w:val="000000" w:themeColor="text1"/>
              </w:rPr>
              <w:t>a Ley 813 de 2003 establece en sus artículos 10 y 11 dos tipos de vigencias futuras: i) las vigencias futuras ordinarias, según la cual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w:t>
            </w:r>
          </w:p>
          <w:p w14:paraId="47941EF8" w14:textId="5D8BD66B" w:rsidR="0036566B" w:rsidRDefault="00FD1EB0" w:rsidP="00EA5B0C">
            <w:pPr>
              <w:shd w:val="clear" w:color="auto" w:fill="FFFFFF"/>
              <w:spacing w:after="120" w:line="276" w:lineRule="auto"/>
              <w:ind w:right="51" w:firstLine="709"/>
              <w:jc w:val="both"/>
              <w:rPr>
                <w:rFonts w:ascii="Verdana" w:eastAsia="Calibri" w:hAnsi="Verdana" w:cs="Arial"/>
                <w:color w:val="000000" w:themeColor="text1"/>
              </w:rPr>
            </w:pPr>
            <w:r>
              <w:rPr>
                <w:rFonts w:ascii="Verdana" w:eastAsia="Calibri" w:hAnsi="Verdana" w:cs="Arial"/>
                <w:color w:val="000000" w:themeColor="text1"/>
              </w:rPr>
              <w:t>Aunado a lo anterior y en atención al problema jurídico planteado es de precisar que e</w:t>
            </w:r>
            <w:r w:rsidR="0036566B" w:rsidRPr="0036566B">
              <w:rPr>
                <w:rFonts w:ascii="Verdana" w:eastAsia="Calibri" w:hAnsi="Verdana" w:cs="Arial"/>
                <w:color w:val="000000" w:themeColor="text1"/>
              </w:rPr>
              <w:t xml:space="preserve">l </w:t>
            </w:r>
            <w:r>
              <w:rPr>
                <w:rFonts w:ascii="Verdana" w:eastAsia="Calibri" w:hAnsi="Verdana" w:cs="Arial"/>
                <w:color w:val="000000" w:themeColor="text1"/>
              </w:rPr>
              <w:t>Certificado de Disponibilidad Presupuestal (</w:t>
            </w:r>
            <w:r w:rsidR="0036566B" w:rsidRPr="0036566B">
              <w:rPr>
                <w:rFonts w:ascii="Verdana" w:eastAsia="Calibri" w:hAnsi="Verdana" w:cs="Arial"/>
                <w:color w:val="000000" w:themeColor="text1"/>
              </w:rPr>
              <w:t>CDP</w:t>
            </w:r>
            <w:r>
              <w:rPr>
                <w:rFonts w:ascii="Verdana" w:eastAsia="Calibri" w:hAnsi="Verdana" w:cs="Arial"/>
                <w:color w:val="000000" w:themeColor="text1"/>
              </w:rPr>
              <w:t>)</w:t>
            </w:r>
            <w:r w:rsidR="0036566B" w:rsidRPr="0036566B">
              <w:rPr>
                <w:rFonts w:ascii="Verdana" w:eastAsia="Calibri" w:hAnsi="Verdana" w:cs="Arial"/>
                <w:color w:val="000000" w:themeColor="text1"/>
              </w:rPr>
              <w:t xml:space="preserve"> es un requisito de existencia de la apropiación que garantiza </w:t>
            </w:r>
            <w:r>
              <w:rPr>
                <w:rFonts w:ascii="Verdana" w:eastAsia="Calibri" w:hAnsi="Verdana" w:cs="Arial"/>
                <w:color w:val="000000" w:themeColor="text1"/>
              </w:rPr>
              <w:t>la existencia de recursos para la financiación del contrato</w:t>
            </w:r>
            <w:r w:rsidR="0036566B" w:rsidRPr="0036566B">
              <w:rPr>
                <w:rFonts w:ascii="Verdana" w:eastAsia="Calibri" w:hAnsi="Verdana" w:cs="Arial"/>
                <w:color w:val="000000" w:themeColor="text1"/>
              </w:rPr>
              <w:t xml:space="preserve">, </w:t>
            </w:r>
            <w:r>
              <w:rPr>
                <w:rFonts w:ascii="Verdana" w:eastAsia="Calibri" w:hAnsi="Verdana" w:cs="Arial"/>
                <w:color w:val="000000" w:themeColor="text1"/>
              </w:rPr>
              <w:t xml:space="preserve">por su parte </w:t>
            </w:r>
            <w:r w:rsidR="0036566B" w:rsidRPr="0036566B">
              <w:rPr>
                <w:rFonts w:ascii="Verdana" w:eastAsia="Calibri" w:hAnsi="Verdana" w:cs="Arial"/>
                <w:color w:val="000000" w:themeColor="text1"/>
              </w:rPr>
              <w:t>el Registro Presupuestal, de acuerdo con el artículo 41 de la Ley 80 de 1993, es un requisito esencial de ejecución. La suscripción de un contrato que carezca de estos soportes, o que exceda la vigencia fiscal sin las autorizaciones respectivas, vicia el acto de nulidad al contravenir normas de orden público y disposiciones constitucionales sobre la legalidad del gasto.</w:t>
            </w:r>
          </w:p>
          <w:p w14:paraId="581EFD33" w14:textId="5EA377C6" w:rsidR="00D61AF1" w:rsidRPr="00973C10" w:rsidRDefault="0036566B" w:rsidP="00EA5B0C">
            <w:pPr>
              <w:spacing w:before="120" w:after="120" w:line="276" w:lineRule="auto"/>
              <w:ind w:firstLine="709"/>
              <w:jc w:val="both"/>
              <w:rPr>
                <w:rFonts w:ascii="Verdana" w:eastAsia="Calibri" w:hAnsi="Verdana" w:cs="Arial"/>
              </w:rPr>
            </w:pPr>
            <w:r w:rsidRPr="0036566B">
              <w:rPr>
                <w:rFonts w:ascii="Verdana" w:eastAsia="Calibri" w:hAnsi="Verdana" w:cs="Arial"/>
              </w:rPr>
              <w:t>En consecuencia, cuando en la etapa de planeación se evidencie que la ejecución excederá la vigencia fiscal, la entidad debe agotar los trámites presupuestales previos sin los cuales el contrato no nace a la vida jurídica de forma válida. Es fundamental advertir que las figuras de los pasivos exigibles o las vigencias expiradas no operan como mecanismos de saneamiento para corregir la omisión de vigencias futuras o la falta de registro presupuestal. Un contrato celebrado bajo tales carencias no es saneable ni admite ratificación posterior, toda vez que se trata de una ilegalidad sustancial.</w:t>
            </w:r>
          </w:p>
          <w:p w14:paraId="59E19912" w14:textId="604AA2BF" w:rsidR="0095597B" w:rsidRDefault="0095597B" w:rsidP="0095597B">
            <w:pPr>
              <w:spacing w:line="276" w:lineRule="auto"/>
              <w:jc w:val="both"/>
              <w:rPr>
                <w:rFonts w:ascii="Verdana" w:eastAsia="Calibri" w:hAnsi="Verdana" w:cs="Arial"/>
              </w:rPr>
            </w:pPr>
            <w:r>
              <w:rPr>
                <w:rStyle w:val="s15"/>
                <w:rFonts w:ascii="Verdana" w:hAnsi="Verdana"/>
                <w:color w:val="000000"/>
              </w:rPr>
              <w:lastRenderedPageBreak/>
              <w:t xml:space="preserve">       </w:t>
            </w: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098D6AA6" w14:textId="77777777" w:rsidR="0095597B" w:rsidRDefault="0095597B" w:rsidP="0011036B">
            <w:pPr>
              <w:spacing w:line="276" w:lineRule="auto"/>
              <w:jc w:val="both"/>
              <w:rPr>
                <w:rFonts w:ascii="Verdana" w:eastAsia="Calibri" w:hAnsi="Verdana" w:cs="Arial"/>
              </w:rPr>
            </w:pPr>
          </w:p>
          <w:p w14:paraId="1A45557C" w14:textId="7E1D3BAA" w:rsidR="00E626B5" w:rsidRDefault="0099297C" w:rsidP="00956B73">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w:t>
            </w:r>
            <w:r w:rsidR="008340AE">
              <w:rPr>
                <w:rFonts w:ascii="Verdana" w:eastAsia="Calibri" w:hAnsi="Verdana" w:cs="Times New Roman"/>
                <w:lang w:val="es-ES"/>
              </w:rPr>
              <w:t xml:space="preserve"> </w:t>
            </w:r>
            <w:r>
              <w:rPr>
                <w:rFonts w:ascii="Verdana" w:eastAsia="Calibri" w:hAnsi="Verdana" w:cs="Times New Roman"/>
                <w:lang w:val="es-ES"/>
              </w:rPr>
              <w:t>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sidR="006D0D53">
              <w:rPr>
                <w:rFonts w:ascii="Verdana" w:eastAsia="Calibri" w:hAnsi="Verdana" w:cs="Times New Roman"/>
                <w:lang w:val="es-ES"/>
              </w:rPr>
              <w:t>s</w:t>
            </w:r>
            <w:r w:rsidRPr="00DB4737">
              <w:rPr>
                <w:rFonts w:ascii="Verdana" w:eastAsia="Calibri" w:hAnsi="Verdana" w:cs="Times New Roman"/>
                <w:lang w:val="es-ES"/>
              </w:rPr>
              <w:t>.</w:t>
            </w:r>
          </w:p>
          <w:p w14:paraId="79C0B0DC" w14:textId="0C0A3ADE" w:rsidR="001951C0" w:rsidRPr="0029110A" w:rsidRDefault="001951C0" w:rsidP="00956B73">
            <w:pPr>
              <w:spacing w:line="276" w:lineRule="auto"/>
              <w:contextualSpacing/>
              <w:jc w:val="both"/>
              <w:rPr>
                <w:rFonts w:ascii="Verdana" w:eastAsia="Calibri" w:hAnsi="Verdana" w:cs="Times New Roman"/>
                <w:lang w:val="es-ES"/>
              </w:rPr>
            </w:pPr>
          </w:p>
        </w:tc>
      </w:tr>
      <w:tr w:rsidR="00807DB8" w:rsidRPr="00115E3D" w14:paraId="6B926161" w14:textId="77777777" w:rsidTr="001951C0">
        <w:trPr>
          <w:trHeight w:val="162"/>
        </w:trPr>
        <w:tc>
          <w:tcPr>
            <w:tcW w:w="8828" w:type="dxa"/>
          </w:tcPr>
          <w:p w14:paraId="08101215" w14:textId="77777777" w:rsidR="00807DB8" w:rsidRDefault="00807DB8" w:rsidP="008F1280">
            <w:pPr>
              <w:spacing w:line="276" w:lineRule="auto"/>
              <w:jc w:val="both"/>
              <w:rPr>
                <w:rFonts w:ascii="Verdana" w:eastAsia="Calibri" w:hAnsi="Verdana" w:cs="Arial"/>
              </w:rPr>
            </w:pPr>
          </w:p>
        </w:tc>
      </w:tr>
    </w:tbl>
    <w:p w14:paraId="74DDC741" w14:textId="77777777" w:rsidR="005B261C" w:rsidRDefault="005B261C" w:rsidP="005B261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B31EE96" w14:textId="77777777" w:rsidR="005B261C"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353393A8" w14:textId="77777777" w:rsidR="00CE7597" w:rsidRPr="00115E3D" w:rsidRDefault="00CE7597" w:rsidP="00CE7597">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784AC241" w14:textId="673AB9BB" w:rsidR="001B36DA" w:rsidRDefault="001B36DA" w:rsidP="001B36D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A6201F7" w14:textId="77777777" w:rsidR="00EA5B0C" w:rsidRPr="00DA6EEC" w:rsidRDefault="00EA5B0C" w:rsidP="00EA5B0C">
      <w:pPr>
        <w:spacing w:after="0" w:line="276" w:lineRule="auto"/>
        <w:jc w:val="both"/>
        <w:rPr>
          <w:rFonts w:ascii="Verdana" w:eastAsia="Calibri" w:hAnsi="Verdana" w:cs="Arial"/>
          <w:color w:val="FFC000"/>
          <w:lang w:val="es-ES"/>
        </w:rPr>
      </w:pPr>
    </w:p>
    <w:p w14:paraId="2CF24CDA" w14:textId="00FE24DF" w:rsidR="00EA5B0C" w:rsidRPr="00D069D8" w:rsidRDefault="00EA5B0C" w:rsidP="00EA5B0C">
      <w:pPr>
        <w:shd w:val="clear" w:color="auto" w:fill="FFFFFF" w:themeFill="background1"/>
        <w:spacing w:after="120" w:line="276" w:lineRule="auto"/>
        <w:ind w:right="51"/>
        <w:jc w:val="both"/>
        <w:rPr>
          <w:rFonts w:ascii="Verdana" w:eastAsia="Calibri" w:hAnsi="Verdana" w:cs="Arial"/>
          <w:color w:val="000000" w:themeColor="text1"/>
          <w:lang w:val="es-ES"/>
        </w:rPr>
      </w:pPr>
      <w:bookmarkStart w:id="1" w:name="_Hlk102983874"/>
      <w:bookmarkStart w:id="2" w:name="_Hlk102388095"/>
      <w:r w:rsidRPr="00D069D8">
        <w:rPr>
          <w:rFonts w:ascii="Verdana" w:eastAsia="Calibri" w:hAnsi="Verdana" w:cs="Arial"/>
          <w:color w:val="000000" w:themeColor="text1"/>
          <w:lang w:val="es-ES"/>
        </w:rPr>
        <w:t xml:space="preserve">Las entidades estatales deben sujetarse a los principios que rigen el sistema presupuestal, entre los cuales se encuentra el de anualidad del gasto público. Este principio encuentra fundamento constitucional </w:t>
      </w:r>
      <w:bookmarkStart w:id="3" w:name="_Hlk65717879"/>
      <w:r w:rsidRPr="00D069D8">
        <w:rPr>
          <w:rFonts w:ascii="Verdana" w:eastAsia="Calibri" w:hAnsi="Verdana" w:cs="Arial"/>
          <w:color w:val="000000" w:themeColor="text1"/>
          <w:lang w:val="es-ES"/>
        </w:rPr>
        <w:t>en el artículo 346</w:t>
      </w:r>
      <w:r>
        <w:rPr>
          <w:rStyle w:val="Refdenotaalpie"/>
          <w:rFonts w:ascii="Verdana" w:eastAsia="Calibri" w:hAnsi="Verdana" w:cs="Arial"/>
          <w:color w:val="000000" w:themeColor="text1"/>
          <w:lang w:val="es-ES"/>
        </w:rPr>
        <w:footnoteReference w:id="2"/>
      </w:r>
      <w:r w:rsidRPr="00D069D8">
        <w:rPr>
          <w:rFonts w:ascii="Verdana" w:eastAsia="Calibri" w:hAnsi="Verdana" w:cs="Arial"/>
          <w:color w:val="000000" w:themeColor="text1"/>
          <w:lang w:val="es-ES"/>
        </w:rPr>
        <w:t xml:space="preserve"> superior que contiene el régimen general del presupuesto de rentas y la ley de apropiaciones</w:t>
      </w:r>
      <w:r w:rsidRPr="00D069D8">
        <w:rPr>
          <w:rFonts w:ascii="Verdana" w:eastAsia="Calibri" w:hAnsi="Verdana" w:cs="Arial"/>
          <w:color w:val="000000" w:themeColor="text1"/>
          <w:vertAlign w:val="superscript"/>
          <w:lang w:val="es-ES"/>
        </w:rPr>
        <w:footnoteReference w:id="3"/>
      </w:r>
      <w:r w:rsidRPr="00D069D8">
        <w:rPr>
          <w:rFonts w:ascii="Verdana" w:eastAsia="Calibri" w:hAnsi="Verdana" w:cs="Arial"/>
          <w:color w:val="000000" w:themeColor="text1"/>
          <w:lang w:val="es-ES"/>
        </w:rPr>
        <w:t xml:space="preserve">, que deberá presentarse al Congreso dentro de los primeros diez </w:t>
      </w:r>
      <w:r w:rsidRPr="00D069D8">
        <w:rPr>
          <w:rFonts w:ascii="Verdana" w:eastAsia="Calibri" w:hAnsi="Verdana" w:cs="Arial"/>
          <w:color w:val="000000" w:themeColor="text1"/>
          <w:lang w:val="es-ES"/>
        </w:rPr>
        <w:lastRenderedPageBreak/>
        <w:t>días de cada legislatura, elaborarse y aprobarse dentro de un marco de sostenibilidad fiscal y corresponder al Plan Nacional de Desarrollo</w:t>
      </w:r>
      <w:r w:rsidRPr="00D069D8">
        <w:rPr>
          <w:rFonts w:ascii="Verdana" w:eastAsia="Calibri" w:hAnsi="Verdana" w:cs="Arial"/>
          <w:color w:val="000000" w:themeColor="text1"/>
          <w:vertAlign w:val="superscript"/>
          <w:lang w:val="es-ES"/>
        </w:rPr>
        <w:footnoteReference w:id="4"/>
      </w:r>
      <w:r w:rsidRPr="00D069D8">
        <w:rPr>
          <w:rFonts w:ascii="Verdana" w:eastAsia="Calibri" w:hAnsi="Verdana" w:cs="Arial"/>
          <w:color w:val="000000" w:themeColor="text1"/>
          <w:lang w:val="es-ES"/>
        </w:rPr>
        <w:t>. De conformidad con la misma norma constitucional, el presupuesto tiene vigencia anual y, por tanto, tienen como finalidad fijar los gastos y las rentas nacionales del Estado para la respectiva vigencia fiscal anual</w:t>
      </w:r>
      <w:bookmarkEnd w:id="3"/>
      <w:r w:rsidRPr="00D069D8">
        <w:rPr>
          <w:rFonts w:ascii="Verdana" w:eastAsia="Calibri" w:hAnsi="Verdana" w:cs="Arial"/>
          <w:color w:val="000000" w:themeColor="text1"/>
          <w:lang w:val="es-ES"/>
        </w:rPr>
        <w:t xml:space="preserve">. </w:t>
      </w:r>
    </w:p>
    <w:p w14:paraId="667B2527" w14:textId="77777777" w:rsidR="00EA5B0C" w:rsidRPr="0001383B" w:rsidRDefault="00EA5B0C" w:rsidP="00EA5B0C">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 xml:space="preserve">En armonía con lo anterior, el Estatuto Orgánico del Presupuesto consagra este principio en el artículo 14 consistente en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Después del 31 de diciembre no podrán asumirse compromisos con cargo a las apropiaciones del año fiscal que se cierra en esa fecha y los saldos de apropiación no afectados por compromisos caducarán sin excepción</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Es decir, los gastos previstos en el presupuesto anual deben ejecutarse dentro de una vigencia fiscal comprendida entre el 1 de enero y el 31 de diciembre</w:t>
      </w:r>
      <w:r w:rsidRPr="00D069D8">
        <w:rPr>
          <w:rFonts w:ascii="Verdana" w:eastAsia="Calibri" w:hAnsi="Verdana" w:cs="Arial"/>
          <w:color w:val="000000" w:themeColor="text1"/>
          <w:vertAlign w:val="superscript"/>
          <w:lang w:val="es-ES_tradnl"/>
        </w:rPr>
        <w:footnoteReference w:id="5"/>
      </w:r>
      <w:r w:rsidRPr="00D069D8">
        <w:rPr>
          <w:rFonts w:ascii="Verdana" w:eastAsia="Calibri" w:hAnsi="Verdana" w:cs="Arial"/>
          <w:color w:val="000000" w:themeColor="text1"/>
          <w:lang w:val="es-ES_tradnl"/>
        </w:rPr>
        <w:t>.</w:t>
      </w:r>
      <w:r w:rsidRPr="00D069D8">
        <w:rPr>
          <w:rFonts w:ascii="Verdana" w:eastAsia="Calibri" w:hAnsi="Verdana" w:cs="Arial"/>
          <w:color w:val="000000" w:themeColor="text1"/>
        </w:rPr>
        <w:t xml:space="preserve"> En el mismo sentido, </w:t>
      </w:r>
      <w:r w:rsidRPr="00D069D8">
        <w:rPr>
          <w:rFonts w:ascii="Verdana" w:eastAsia="Calibri" w:hAnsi="Verdana" w:cs="Arial"/>
          <w:color w:val="000000" w:themeColor="text1"/>
          <w:lang w:val="es-ES_tradnl"/>
        </w:rPr>
        <w:t xml:space="preserve">el artículo 89 </w:t>
      </w:r>
      <w:r w:rsidRPr="00D069D8">
        <w:rPr>
          <w:rFonts w:ascii="Verdana" w:eastAsia="Calibri" w:hAnsi="Verdana" w:cs="Arial"/>
          <w:i/>
          <w:iCs/>
          <w:color w:val="000000" w:themeColor="text1"/>
          <w:lang w:val="es-ES_tradnl"/>
        </w:rPr>
        <w:t>ibidem</w:t>
      </w:r>
      <w:r w:rsidRPr="00D069D8">
        <w:rPr>
          <w:rFonts w:ascii="Verdana" w:eastAsia="Calibri" w:hAnsi="Verdana" w:cs="Arial"/>
          <w:color w:val="000000" w:themeColor="text1"/>
          <w:lang w:val="es-ES_tradnl"/>
        </w:rPr>
        <w:t xml:space="preserve"> consolida al principio de anualidad como regla general en la ejecución del gasto al establecer que </w:t>
      </w:r>
      <w:r w:rsidRPr="00D069D8">
        <w:rPr>
          <w:rFonts w:ascii="Verdana" w:eastAsia="Calibri" w:hAnsi="Verdana" w:cs="Arial"/>
          <w:lang w:val="es-ES_tradnl"/>
        </w:rPr>
        <w:t>“</w:t>
      </w:r>
      <w:r w:rsidRPr="000B0429">
        <w:rPr>
          <w:rFonts w:ascii="Verdana" w:eastAsia="Calibri" w:hAnsi="Verdana" w:cs="Arial"/>
          <w:color w:val="000000" w:themeColor="text1"/>
          <w:lang w:val="es-ES_tradnl"/>
        </w:rPr>
        <w:t>Las apropiaciones incluidas en el presupuesto general de la Nación, son autorizaciones máximas de gasto que el Congreso aprueba para ser ejecutadas o comprometidas durante la vigencia fiscal respectiva.</w:t>
      </w:r>
      <w:r>
        <w:rPr>
          <w:rFonts w:ascii="Verdana" w:eastAsia="Calibri" w:hAnsi="Verdana" w:cs="Arial"/>
          <w:color w:val="000000" w:themeColor="text1"/>
          <w:lang w:val="es-ES_tradnl"/>
        </w:rPr>
        <w:t xml:space="preserve"> </w:t>
      </w:r>
      <w:r w:rsidRPr="000B0429">
        <w:rPr>
          <w:rFonts w:ascii="Verdana" w:eastAsia="Calibri" w:hAnsi="Verdana" w:cs="Arial"/>
          <w:color w:val="000000" w:themeColor="text1"/>
          <w:lang w:val="es-ES_tradnl"/>
        </w:rPr>
        <w:t>Después del 31 de diciembre de cada año estas autorizaciones expiran y, en consecuencia, no podrán comprometerse, adicionarse, transferirse, ni contracreditarse.</w:t>
      </w:r>
      <w:r>
        <w:rPr>
          <w:rFonts w:ascii="Verdana" w:eastAsia="Calibri" w:hAnsi="Verdana" w:cs="Arial"/>
          <w:lang w:val="es-ES_tradnl"/>
        </w:rPr>
        <w:t>”</w:t>
      </w:r>
    </w:p>
    <w:p w14:paraId="1D4D40D5" w14:textId="77777777" w:rsidR="00EA5B0C" w:rsidRPr="0001383B" w:rsidRDefault="00EA5B0C" w:rsidP="00EA5B0C">
      <w:pPr>
        <w:shd w:val="clear" w:color="auto" w:fill="FFFFFF"/>
        <w:spacing w:after="120" w:line="276" w:lineRule="auto"/>
        <w:ind w:right="51" w:firstLine="709"/>
        <w:jc w:val="both"/>
        <w:rPr>
          <w:rFonts w:ascii="Verdana" w:eastAsia="Calibri" w:hAnsi="Verdana" w:cs="Arial"/>
        </w:rPr>
      </w:pPr>
      <w:r w:rsidRPr="00D069D8">
        <w:rPr>
          <w:rFonts w:ascii="Verdana" w:eastAsia="Calibri" w:hAnsi="Verdana" w:cs="Arial"/>
          <w:lang w:val="es-ES_tradnl"/>
        </w:rPr>
        <w:lastRenderedPageBreak/>
        <w:t>A su turno, el artículo 8 de la Ley 819 de 2003 consagra el principio de anualidad al disponer que “l</w:t>
      </w:r>
      <w:r w:rsidRPr="00D069D8">
        <w:rPr>
          <w:rFonts w:ascii="Verdana" w:eastAsia="Calibri" w:hAnsi="Verdana" w:cs="Arial"/>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37BCE1ED" w14:textId="77777777" w:rsidR="00EA5B0C" w:rsidRPr="00D069D8" w:rsidRDefault="00EA5B0C" w:rsidP="00EA5B0C">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t>En este contexto, la anualidad del gasto es uno de los principios rectores de la actividad contractual pública, conforme al cual las entidades deben planear sus contrataciones de manera que sus compromisos contractuales sean 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643423ED" w14:textId="77777777" w:rsidR="00EA5B0C" w:rsidRDefault="00EA5B0C" w:rsidP="00EA5B0C">
      <w:pPr>
        <w:shd w:val="clear" w:color="auto" w:fill="FFFFFF"/>
        <w:spacing w:after="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No obstante, conforme lo ha señalado el Consejo de Estado, el principio de anualidad no es absoluto </w:t>
      </w:r>
      <w:r w:rsidRPr="00D069D8">
        <w:rPr>
          <w:rFonts w:ascii="Verdana" w:eastAsia="Calibri" w:hAnsi="Verdana" w:cs="Arial"/>
          <w:color w:val="000000" w:themeColor="text1"/>
        </w:rPr>
        <w:t xml:space="preserve">en </w:t>
      </w:r>
      <w:r w:rsidRPr="00D069D8">
        <w:rPr>
          <w:rFonts w:ascii="Verdana" w:eastAsia="Calibri" w:hAnsi="Verdana" w:cs="Arial"/>
        </w:rPr>
        <w:t>“</w:t>
      </w:r>
      <w:r w:rsidRPr="00D069D8">
        <w:rPr>
          <w:rFonts w:ascii="Verdana" w:eastAsia="Calibri" w:hAnsi="Verdana" w:cs="Arial"/>
          <w:color w:val="000000" w:themeColor="text1"/>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D069D8">
        <w:rPr>
          <w:rFonts w:ascii="Verdana" w:eastAsia="Calibri" w:hAnsi="Verdana" w:cs="Arial"/>
          <w:vertAlign w:val="superscript"/>
          <w:lang w:val="es-ES_tradnl"/>
        </w:rPr>
        <w:footnoteReference w:id="6"/>
      </w:r>
      <w:r w:rsidRPr="00D069D8">
        <w:rPr>
          <w:rFonts w:ascii="Verdana" w:eastAsia="Calibri" w:hAnsi="Verdana" w:cs="Arial"/>
          <w:lang w:val="es-ES_tradnl"/>
        </w:rPr>
        <w:t>.</w:t>
      </w:r>
      <w:r w:rsidRPr="00D069D8">
        <w:rPr>
          <w:rFonts w:ascii="Verdana" w:eastAsia="Calibri" w:hAnsi="Verdana" w:cs="Arial"/>
          <w:color w:val="000000" w:themeColor="text1"/>
        </w:rPr>
        <w:t xml:space="preserve"> Así mismo, la doctrina expresa:</w:t>
      </w:r>
    </w:p>
    <w:p w14:paraId="3F532B57" w14:textId="77777777" w:rsidR="00EA5B0C" w:rsidRPr="00D069D8" w:rsidRDefault="00EA5B0C" w:rsidP="00EA5B0C">
      <w:pPr>
        <w:shd w:val="clear" w:color="auto" w:fill="FFFFFF"/>
        <w:spacing w:after="0" w:line="276" w:lineRule="auto"/>
        <w:ind w:right="51" w:firstLine="709"/>
        <w:jc w:val="both"/>
        <w:rPr>
          <w:rFonts w:ascii="Verdana" w:eastAsia="Calibri" w:hAnsi="Verdana" w:cs="Arial"/>
          <w:color w:val="000000" w:themeColor="text1"/>
        </w:rPr>
      </w:pPr>
    </w:p>
    <w:p w14:paraId="74B28630" w14:textId="77777777" w:rsidR="00EA5B0C" w:rsidRDefault="00EA5B0C" w:rsidP="00EA5B0C">
      <w:pPr>
        <w:autoSpaceDE w:val="0"/>
        <w:autoSpaceDN w:val="0"/>
        <w:adjustRightInd w:val="0"/>
        <w:spacing w:after="0" w:line="240" w:lineRule="auto"/>
        <w:ind w:left="709" w:right="709"/>
        <w:jc w:val="both"/>
        <w:rPr>
          <w:rFonts w:ascii="Verdana" w:hAnsi="Verdana" w:cs="Times-Roman"/>
          <w:sz w:val="20"/>
          <w:szCs w:val="20"/>
        </w:rPr>
      </w:pPr>
      <w:r>
        <w:rPr>
          <w:rFonts w:ascii="Verdana" w:hAnsi="Verdana" w:cs="Times-Roman"/>
          <w:sz w:val="20"/>
          <w:szCs w:val="20"/>
        </w:rPr>
        <w:t>“</w:t>
      </w:r>
      <w:r w:rsidRPr="000D35F0">
        <w:rPr>
          <w:rFonts w:ascii="Verdana" w:hAnsi="Verdana" w:cs="Times-Roman"/>
          <w:sz w:val="20"/>
          <w:szCs w:val="20"/>
        </w:rPr>
        <w:t>Varias excepciones se presentan al momento de efectuar el cierre presupuestal, operación realizada al finalizar cada vigencia presupuestal en la cual se analiza la ejecución de las partidas, así como el estado de las finanzas de la entidad respectiva que puede terminar en un balance de superávit, equilibrado o deficitario.</w:t>
      </w:r>
    </w:p>
    <w:p w14:paraId="7FD2DA9E" w14:textId="77777777" w:rsidR="00EA5B0C" w:rsidRPr="000D35F0" w:rsidRDefault="00EA5B0C" w:rsidP="00EA5B0C">
      <w:pPr>
        <w:autoSpaceDE w:val="0"/>
        <w:autoSpaceDN w:val="0"/>
        <w:adjustRightInd w:val="0"/>
        <w:spacing w:after="0" w:line="240" w:lineRule="auto"/>
        <w:ind w:left="709" w:right="709"/>
        <w:jc w:val="both"/>
        <w:rPr>
          <w:rFonts w:ascii="Verdana" w:hAnsi="Verdana" w:cs="Times-Roman"/>
          <w:sz w:val="20"/>
          <w:szCs w:val="20"/>
        </w:rPr>
      </w:pPr>
    </w:p>
    <w:p w14:paraId="5719D0EA" w14:textId="77777777" w:rsidR="00EA5B0C" w:rsidRDefault="00EA5B0C" w:rsidP="00EA5B0C">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Según el principio de anualidad del presupuesto y en desarrollo del principio de eficacia de la Administración Pública contenido en el artículo 209 C.P., tenemos que el resultado que debería aparecer al cierre fiscal es que las partidas presupuestales que fueron aprobadas por la ley de presupuesto fueron debidamente comprometidas y canceladas.</w:t>
      </w:r>
    </w:p>
    <w:p w14:paraId="1470820B" w14:textId="77777777" w:rsidR="00EA5B0C" w:rsidRPr="000D35F0" w:rsidRDefault="00EA5B0C" w:rsidP="00EA5B0C">
      <w:pPr>
        <w:autoSpaceDE w:val="0"/>
        <w:autoSpaceDN w:val="0"/>
        <w:adjustRightInd w:val="0"/>
        <w:spacing w:after="0" w:line="240" w:lineRule="auto"/>
        <w:ind w:left="709" w:right="709"/>
        <w:jc w:val="both"/>
        <w:rPr>
          <w:rFonts w:ascii="Verdana" w:hAnsi="Verdana" w:cs="Times-Roman"/>
          <w:sz w:val="20"/>
          <w:szCs w:val="20"/>
        </w:rPr>
      </w:pPr>
    </w:p>
    <w:p w14:paraId="3B399C17" w14:textId="77777777" w:rsidR="00EA5B0C" w:rsidRDefault="00EA5B0C" w:rsidP="00EA5B0C">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 xml:space="preserve">Sin embargo, en la práctica presupuestal muchas veces no es posible cancelar una partida dentro de su respectiva vigencia presupuestal. Piénsese a guisa de ejemplo en un contrato de construcción de una carretera que se termina por fuera del tiempo inicialmente convenido </w:t>
      </w:r>
      <w:r w:rsidRPr="000D35F0">
        <w:rPr>
          <w:rFonts w:ascii="Verdana" w:hAnsi="Verdana" w:cs="Times-Roman"/>
          <w:sz w:val="20"/>
          <w:szCs w:val="20"/>
        </w:rPr>
        <w:lastRenderedPageBreak/>
        <w:t>(</w:t>
      </w:r>
      <w:r w:rsidRPr="000D35F0">
        <w:rPr>
          <w:rFonts w:ascii="Verdana" w:hAnsi="Verdana" w:cs="Times-Italic"/>
          <w:i/>
          <w:iCs/>
          <w:sz w:val="20"/>
          <w:szCs w:val="20"/>
        </w:rPr>
        <w:t>v.gr</w:t>
      </w:r>
      <w:r w:rsidRPr="000D35F0">
        <w:rPr>
          <w:rFonts w:ascii="Verdana" w:hAnsi="Verdana" w:cs="Times-Roman"/>
          <w:sz w:val="20"/>
          <w:szCs w:val="20"/>
        </w:rPr>
        <w:t>. el 25 diciembre de 2004), porque las condiciones climáticas impidieron la ejecución de este durante dos o tres meses, y habrá de entregarse la obra terminada por fuera de la vigencia presupuestal en que fue aprobada la partida.</w:t>
      </w:r>
      <w:r w:rsidRPr="000D35F0">
        <w:rPr>
          <w:rFonts w:ascii="Times-Roman" w:hAnsi="Times-Roman" w:cs="Times-Roman"/>
          <w:sz w:val="20"/>
          <w:szCs w:val="20"/>
        </w:rPr>
        <w:t xml:space="preserve"> </w:t>
      </w:r>
      <w:r w:rsidRPr="000D35F0">
        <w:rPr>
          <w:rFonts w:ascii="Verdana" w:hAnsi="Verdana" w:cs="Times-Roman"/>
          <w:sz w:val="20"/>
          <w:szCs w:val="20"/>
        </w:rPr>
        <w:t>El contrato por la prórroga o suspensión, según fuere el caso, habría de extenderse hasta el 30 de marzo, razón por la cual</w:t>
      </w:r>
    </w:p>
    <w:p w14:paraId="2C25EBC2" w14:textId="77777777" w:rsidR="00EA5B0C" w:rsidRDefault="00EA5B0C" w:rsidP="00EA5B0C">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no podrá la administración cancelar la obligación correspondiente en la vigencia presupuestal originaria sino en la que se entregó la obra completamente ejecutada.</w:t>
      </w:r>
    </w:p>
    <w:p w14:paraId="45D23D4E" w14:textId="77777777" w:rsidR="00EA5B0C" w:rsidRPr="000D35F0" w:rsidRDefault="00EA5B0C" w:rsidP="00EA5B0C">
      <w:pPr>
        <w:autoSpaceDE w:val="0"/>
        <w:autoSpaceDN w:val="0"/>
        <w:adjustRightInd w:val="0"/>
        <w:spacing w:after="0" w:line="240" w:lineRule="auto"/>
        <w:ind w:left="709" w:right="709"/>
        <w:jc w:val="both"/>
        <w:rPr>
          <w:rFonts w:ascii="Verdana" w:hAnsi="Verdana" w:cs="Times-Roman"/>
          <w:sz w:val="20"/>
          <w:szCs w:val="20"/>
        </w:rPr>
      </w:pPr>
    </w:p>
    <w:p w14:paraId="2D86AC48" w14:textId="77777777" w:rsidR="00EA5B0C" w:rsidRDefault="00EA5B0C" w:rsidP="00EA5B0C">
      <w:pPr>
        <w:autoSpaceDE w:val="0"/>
        <w:autoSpaceDN w:val="0"/>
        <w:adjustRightInd w:val="0"/>
        <w:spacing w:after="0" w:line="240" w:lineRule="auto"/>
        <w:ind w:left="709" w:right="709"/>
        <w:jc w:val="both"/>
        <w:rPr>
          <w:rFonts w:ascii="Verdana" w:hAnsi="Verdana" w:cs="Times-Roman"/>
          <w:sz w:val="20"/>
          <w:szCs w:val="20"/>
        </w:rPr>
      </w:pPr>
      <w:r w:rsidRPr="000D35F0">
        <w:rPr>
          <w:rFonts w:ascii="Verdana" w:hAnsi="Verdana" w:cs="Times-Roman"/>
          <w:sz w:val="20"/>
          <w:szCs w:val="20"/>
        </w:rPr>
        <w:t>Por este tipo de circunstancias surgen las excepciones al principio de anualidad, como son: las reservas de apropiación (ra), las reservas de trámite negocial (rtn), los pasivos exigibles por vigencias expiradas (peve) y las vigencias futuras (vf), esta última figura puede presentarse tanto de forma ordinaria como excepcionales. Es de resaltar que aun cuando las vigencias futuras son una excepción al principio de anualidad, esta no aparece en el proceso de cierre presupuestal, sino que tiene su origen en el proceso de aprobación del presupuesto y tiene implicaciones para el debido perfeccionamiento o ejecución del contrato</w:t>
      </w:r>
      <w:r>
        <w:rPr>
          <w:rFonts w:ascii="Verdana" w:hAnsi="Verdana" w:cs="Times-Roman"/>
          <w:sz w:val="20"/>
          <w:szCs w:val="20"/>
        </w:rPr>
        <w:t>”</w:t>
      </w:r>
      <w:r>
        <w:rPr>
          <w:rStyle w:val="Refdenotaalpie"/>
          <w:rFonts w:ascii="Verdana" w:hAnsi="Verdana" w:cs="Times-Roman"/>
          <w:sz w:val="20"/>
          <w:szCs w:val="20"/>
        </w:rPr>
        <w:footnoteReference w:id="7"/>
      </w:r>
      <w:r w:rsidRPr="000D35F0">
        <w:rPr>
          <w:rFonts w:ascii="Verdana" w:hAnsi="Verdana" w:cs="Times-Roman"/>
          <w:sz w:val="20"/>
          <w:szCs w:val="20"/>
        </w:rPr>
        <w:t>.</w:t>
      </w:r>
      <w:r>
        <w:rPr>
          <w:rFonts w:ascii="Verdana" w:hAnsi="Verdana" w:cs="Times-Roman"/>
          <w:sz w:val="20"/>
          <w:szCs w:val="20"/>
        </w:rPr>
        <w:tab/>
      </w:r>
    </w:p>
    <w:p w14:paraId="228C22EB" w14:textId="77777777" w:rsidR="00EA5B0C" w:rsidRDefault="00EA5B0C" w:rsidP="00EA5B0C">
      <w:pPr>
        <w:autoSpaceDE w:val="0"/>
        <w:autoSpaceDN w:val="0"/>
        <w:adjustRightInd w:val="0"/>
        <w:spacing w:after="0" w:line="240" w:lineRule="auto"/>
        <w:ind w:left="709" w:right="709"/>
        <w:jc w:val="both"/>
        <w:rPr>
          <w:rFonts w:ascii="Verdana" w:hAnsi="Verdana" w:cs="Times-Roman"/>
          <w:sz w:val="20"/>
          <w:szCs w:val="20"/>
        </w:rPr>
      </w:pPr>
    </w:p>
    <w:p w14:paraId="75246643" w14:textId="77777777" w:rsidR="00EA5B0C" w:rsidRPr="00C54CF0" w:rsidRDefault="00EA5B0C" w:rsidP="00EA5B0C">
      <w:pPr>
        <w:pStyle w:val="Sinespaciado"/>
        <w:spacing w:line="276" w:lineRule="auto"/>
        <w:ind w:firstLine="708"/>
        <w:jc w:val="both"/>
        <w:rPr>
          <w:rFonts w:ascii="Verdana" w:eastAsia="Verdana" w:hAnsi="Verdana" w:cs="Verdana"/>
          <w:sz w:val="22"/>
          <w:lang w:val="es-CO"/>
        </w:rPr>
      </w:pPr>
      <w:r>
        <w:rPr>
          <w:rFonts w:ascii="Verdana" w:eastAsia="Verdana" w:hAnsi="Verdana" w:cs="Verdana"/>
          <w:sz w:val="22"/>
          <w:lang w:val="es-CO"/>
        </w:rPr>
        <w:t>P</w:t>
      </w:r>
      <w:r w:rsidRPr="00C54CF0">
        <w:rPr>
          <w:rFonts w:ascii="Verdana" w:eastAsia="Verdana" w:hAnsi="Verdana" w:cs="Verdana"/>
          <w:sz w:val="22"/>
          <w:lang w:val="es-CO"/>
        </w:rPr>
        <w:t xml:space="preserve">uede concluirse </w:t>
      </w:r>
      <w:r>
        <w:rPr>
          <w:rFonts w:ascii="Verdana" w:eastAsia="Verdana" w:hAnsi="Verdana" w:cs="Verdana"/>
          <w:sz w:val="22"/>
          <w:lang w:val="es-CO"/>
        </w:rPr>
        <w:t xml:space="preserve">entonces </w:t>
      </w:r>
      <w:r w:rsidRPr="00C54CF0">
        <w:rPr>
          <w:rFonts w:ascii="Verdana" w:eastAsia="Verdana" w:hAnsi="Verdana" w:cs="Verdana"/>
          <w:sz w:val="22"/>
          <w:lang w:val="es-CO"/>
        </w:rPr>
        <w:t>que</w:t>
      </w:r>
      <w:r>
        <w:rPr>
          <w:rFonts w:ascii="Verdana" w:eastAsia="Verdana" w:hAnsi="Verdana" w:cs="Verdana"/>
          <w:sz w:val="22"/>
          <w:lang w:val="es-CO"/>
        </w:rPr>
        <w:t>,</w:t>
      </w:r>
      <w:r w:rsidRPr="00C54CF0">
        <w:rPr>
          <w:rFonts w:ascii="Verdana" w:eastAsia="Verdana" w:hAnsi="Verdana" w:cs="Verdana"/>
          <w:sz w:val="22"/>
          <w:lang w:val="es-CO"/>
        </w:rPr>
        <w:t xml:space="preserve"> el principio de anualidad presupuestal, lejos de constituir una regla rígida e inflexible, debe interpretarse de manera sistemática con los principios de planeación, eficacia y continuidad de la función administrativa, de forma que permita a las entidades estatales garantizar la adecuada ejecución de los proyectos y contratos públicos cuya materialización necesariamente trasciende una vigencia fiscal. Así, las figuras presupuestales previstas por el ordenamiento —tales como las reservas, los pasivos exigibles por vigencias expiradas y, especialmente, las vigencias futuras— no configuran una ruptura del principio de anualidad, sino instrumentos legítimos para armonizar la disciplina fiscal con la satisfacción oportuna del interés general, asegurando la coherencia entre programación, compromiso y ejecución del gasto público en el marco de la gestión contractual del Estado.</w:t>
      </w:r>
    </w:p>
    <w:p w14:paraId="107410D4" w14:textId="77777777" w:rsidR="00EA5B0C" w:rsidRPr="003F76E2" w:rsidRDefault="00EA5B0C" w:rsidP="00EA5B0C">
      <w:pPr>
        <w:pStyle w:val="Sinespaciado"/>
        <w:spacing w:line="276" w:lineRule="auto"/>
        <w:jc w:val="both"/>
        <w:rPr>
          <w:rFonts w:ascii="Verdana" w:eastAsia="Verdana" w:hAnsi="Verdana" w:cs="Verdana"/>
          <w:color w:val="FFC000"/>
          <w:sz w:val="22"/>
          <w:lang w:val="es-CO"/>
        </w:rPr>
      </w:pPr>
    </w:p>
    <w:p w14:paraId="4FB64B7D" w14:textId="18B955C3" w:rsidR="00EA5B0C" w:rsidRPr="00C621E9" w:rsidRDefault="00EA5B0C" w:rsidP="00EA5B0C">
      <w:pPr>
        <w:shd w:val="clear" w:color="auto" w:fill="FFFFFF" w:themeFill="background1"/>
        <w:spacing w:after="120" w:line="276" w:lineRule="auto"/>
        <w:ind w:right="51"/>
        <w:jc w:val="both"/>
        <w:rPr>
          <w:rFonts w:ascii="Verdana" w:eastAsia="Calibri" w:hAnsi="Verdana" w:cs="Arial"/>
          <w:color w:val="000000" w:themeColor="text1"/>
          <w:lang w:val="es-ES"/>
        </w:rPr>
      </w:pPr>
      <w:r w:rsidRPr="409D7308">
        <w:rPr>
          <w:rFonts w:ascii="Verdana" w:eastAsia="Calibri" w:hAnsi="Verdana" w:cs="Arial"/>
          <w:color w:val="000000" w:themeColor="text1"/>
          <w:lang w:val="es-ES"/>
        </w:rPr>
        <w:t xml:space="preserve">Dentro de los mecanismos presupuestales que constituyen excepciones al principio de anualidad se identifican: i) las vigencias futuras, ii) las cuentas por pagar y iii) las reservas presupuestales. Las </w:t>
      </w:r>
      <w:r w:rsidRPr="409D7308">
        <w:rPr>
          <w:rFonts w:ascii="Verdana" w:eastAsia="Calibri" w:hAnsi="Verdana" w:cs="Arial"/>
          <w:i/>
          <w:iCs/>
          <w:color w:val="000000" w:themeColor="text1"/>
          <w:lang w:val="es-ES"/>
        </w:rPr>
        <w:t>primeras</w:t>
      </w:r>
      <w:r w:rsidRPr="409D7308">
        <w:rPr>
          <w:rFonts w:ascii="Verdana" w:eastAsia="Calibri" w:hAnsi="Verdana" w:cs="Arial"/>
          <w:color w:val="000000" w:themeColor="text1"/>
          <w:lang w:val="es-ES"/>
        </w:rPr>
        <w:t xml:space="preserve">, de conformidad con el </w:t>
      </w:r>
      <w:r w:rsidRPr="409D7308">
        <w:rPr>
          <w:rFonts w:ascii="Verdana" w:eastAsia="Calibri" w:hAnsi="Verdana" w:cs="Arial"/>
          <w:color w:val="000000" w:themeColor="text1"/>
          <w:lang w:val="es-ES"/>
        </w:rPr>
        <w:lastRenderedPageBreak/>
        <w:t>artículo 23 del Estatuto Orgánico del Presupuesto</w:t>
      </w:r>
      <w:r w:rsidRPr="409D7308">
        <w:rPr>
          <w:rFonts w:ascii="Verdana" w:eastAsia="Calibri" w:hAnsi="Verdana" w:cs="Arial"/>
          <w:color w:val="000000" w:themeColor="text1"/>
          <w:vertAlign w:val="superscript"/>
          <w:lang w:val="es-ES"/>
        </w:rPr>
        <w:footnoteReference w:id="8"/>
      </w:r>
      <w:r w:rsidRPr="409D7308">
        <w:rPr>
          <w:rFonts w:ascii="Verdana" w:eastAsia="Calibri" w:hAnsi="Verdana" w:cs="Arial"/>
          <w:i/>
          <w:iCs/>
          <w:color w:val="000000" w:themeColor="text1"/>
          <w:lang w:val="es-ES"/>
        </w:rPr>
        <w:t xml:space="preserve">, </w:t>
      </w:r>
      <w:r w:rsidRPr="409D7308">
        <w:rPr>
          <w:rFonts w:ascii="Verdana" w:eastAsia="Calibri" w:hAnsi="Verdana" w:cs="Arial"/>
          <w:color w:val="000000" w:themeColor="text1"/>
          <w:lang w:val="es-ES"/>
        </w:rPr>
        <w:t>se</w:t>
      </w:r>
      <w:r w:rsidRPr="409D7308">
        <w:rPr>
          <w:rFonts w:ascii="Verdana" w:eastAsia="Calibri" w:hAnsi="Verdana" w:cs="Arial"/>
          <w:i/>
          <w:iCs/>
          <w:color w:val="000000" w:themeColor="text1"/>
          <w:lang w:val="es-ES"/>
        </w:rPr>
        <w:t xml:space="preserve"> </w:t>
      </w:r>
      <w:r w:rsidRPr="409D7308">
        <w:rPr>
          <w:rFonts w:ascii="Verdana" w:eastAsia="Calibri" w:hAnsi="Verdana" w:cs="Arial"/>
          <w:color w:val="000000" w:themeColor="text1"/>
          <w:lang w:val="es-ES"/>
        </w:rPr>
        <w:t xml:space="preserve">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w:t>
      </w:r>
    </w:p>
    <w:p w14:paraId="1F7AD646" w14:textId="77777777" w:rsidR="00EA5B0C" w:rsidRPr="00D069D8" w:rsidRDefault="00EA5B0C" w:rsidP="00EA5B0C">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Sobre esta institución el Consejo de Estado precisó que </w:t>
      </w:r>
      <w:r w:rsidRPr="00D069D8">
        <w:rPr>
          <w:rFonts w:ascii="Verdana" w:eastAsia="Calibri" w:hAnsi="Verdana" w:cs="Arial"/>
          <w:lang w:val="es-ES_tradnl"/>
        </w:rPr>
        <w:t>“</w:t>
      </w:r>
      <w:r w:rsidRPr="00D069D8">
        <w:rPr>
          <w:rFonts w:ascii="Verdana" w:eastAsia="Calibri" w:hAnsi="Verdana" w:cs="Arial"/>
          <w:color w:val="000000" w:themeColor="text1"/>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D069D8">
        <w:rPr>
          <w:rFonts w:ascii="Verdana" w:eastAsia="Calibri" w:hAnsi="Verdana" w:cs="Arial"/>
        </w:rPr>
        <w:t>”</w:t>
      </w:r>
      <w:r w:rsidRPr="00D069D8">
        <w:rPr>
          <w:rFonts w:ascii="Verdana" w:eastAsia="Calibri" w:hAnsi="Verdana" w:cs="Arial"/>
          <w:vertAlign w:val="superscript"/>
          <w:lang w:val="es-ES_tradnl"/>
        </w:rPr>
        <w:footnoteReference w:id="9"/>
      </w:r>
      <w:r w:rsidRPr="00D069D8">
        <w:rPr>
          <w:rFonts w:ascii="Verdana" w:eastAsia="Calibri" w:hAnsi="Verdana" w:cs="Arial"/>
          <w:lang w:val="es-ES_tradnl"/>
        </w:rPr>
        <w:t xml:space="preserve">. </w:t>
      </w:r>
    </w:p>
    <w:p w14:paraId="467B096E" w14:textId="77777777" w:rsidR="00EA5B0C" w:rsidRPr="00D069D8" w:rsidRDefault="00EA5B0C" w:rsidP="00EA5B0C">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La Ley 813 de 2003 establece en sus artículos 10 y 11 dos tipos de vigencias futuras: i) las vigencias futuras ordinarias, según la cual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w:t>
      </w:r>
      <w:r w:rsidRPr="00D069D8">
        <w:rPr>
          <w:rFonts w:ascii="Verdana" w:eastAsia="Calibri" w:hAnsi="Verdana" w:cs="Arial"/>
          <w:color w:val="000000" w:themeColor="text1"/>
        </w:rPr>
        <w:lastRenderedPageBreak/>
        <w:t xml:space="preserve">presupuesto de vigencias futuras sin apropiación en el presupuesto del año en que se concede la autorización. </w:t>
      </w:r>
    </w:p>
    <w:p w14:paraId="79259E2B" w14:textId="77777777" w:rsidR="00EA5B0C" w:rsidRPr="00D069D8" w:rsidRDefault="00EA5B0C" w:rsidP="00EA5B0C">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Por su parte, el artículo 12 </w:t>
      </w:r>
      <w:r w:rsidRPr="00D069D8">
        <w:rPr>
          <w:rFonts w:ascii="Verdana" w:eastAsia="Calibri" w:hAnsi="Verdana" w:cs="Arial"/>
          <w:i/>
          <w:iCs/>
          <w:color w:val="000000" w:themeColor="text1"/>
        </w:rPr>
        <w:t>ibidem</w:t>
      </w:r>
      <w:r w:rsidRPr="00D069D8">
        <w:rPr>
          <w:rFonts w:ascii="Verdana" w:eastAsia="Calibri" w:hAnsi="Verdana" w:cs="Arial"/>
          <w:color w:val="000000" w:themeColor="text1"/>
        </w:rPr>
        <w:t xml:space="preserve"> se refiere a las vigencias futuras ordinarias para entidades territoriales cuya autorización será impartida por la asamblea o concejo respectivo, a iniciativa del gobierno local, previa aprobación por el Confis territorial o el órgano que haga sus veces. Las vigencias futuras excepcionales para entidades territoriales se encuentran establecida en la Ley 1483 de 2011.  </w:t>
      </w:r>
    </w:p>
    <w:p w14:paraId="3331D653" w14:textId="77777777" w:rsidR="00EA5B0C" w:rsidRPr="00BD79F9" w:rsidRDefault="00EA5B0C" w:rsidP="00EA5B0C">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Sobre la distinción entre las vigencias futuras ordinarias y las excepcionales el Consejo de Estado señaló que “</w:t>
      </w:r>
      <w:r w:rsidRPr="00D069D8">
        <w:rPr>
          <w:rFonts w:ascii="Verdana" w:hAnsi="Verdana" w:cs="Symbol"/>
        </w:rPr>
        <w:t>la diferencia fundamental entre las vigencias futuras ordinarias y las vigencias futuras excepcionales radica, esencialmente, en que en las primeras la ejecución se inicia con el presupuesto de la vigencia en curso, mientras que, en las excepcionales, se afecta el presupuesto de vigencias futuras, sin apropiación en el presupuesto del año en que se concede la autorización</w:t>
      </w:r>
      <w:r w:rsidRPr="00D069D8">
        <w:rPr>
          <w:rFonts w:ascii="Verdana" w:eastAsia="Calibri" w:hAnsi="Verdana" w:cs="Arial"/>
        </w:rPr>
        <w:t>”</w:t>
      </w:r>
      <w:r w:rsidRPr="00D069D8">
        <w:rPr>
          <w:rFonts w:ascii="Verdana" w:eastAsia="Calibri" w:hAnsi="Verdana" w:cs="Arial"/>
          <w:vertAlign w:val="superscript"/>
          <w:lang w:val="es-ES_tradnl"/>
        </w:rPr>
        <w:footnoteReference w:id="10"/>
      </w:r>
      <w:r w:rsidRPr="00D069D8">
        <w:rPr>
          <w:rFonts w:ascii="Verdana" w:hAnsi="Verdana" w:cs="Symbol"/>
        </w:rPr>
        <w:t>.</w:t>
      </w:r>
    </w:p>
    <w:p w14:paraId="19F80DFD" w14:textId="77777777" w:rsidR="00EA5B0C" w:rsidRPr="001B54ED" w:rsidRDefault="00EA5B0C" w:rsidP="00EA5B0C">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 xml:space="preserve">cuentas por pagar </w:t>
      </w:r>
      <w:r w:rsidRPr="00D069D8">
        <w:rPr>
          <w:rFonts w:ascii="Verdana" w:eastAsia="Calibri" w:hAnsi="Verdana" w:cs="Arial"/>
          <w:color w:val="000000" w:themeColor="text1"/>
          <w:lang w:val="es-ES_tradnl"/>
        </w:rPr>
        <w:t>consisten en obligaciones cumplidas en la vigencia actual,</w:t>
      </w:r>
      <w:r w:rsidRPr="00D069D8">
        <w:rPr>
          <w:rFonts w:ascii="Verdana" w:eastAsia="Calibri" w:hAnsi="Verdana" w:cs="Arial"/>
          <w:color w:val="000000" w:themeColor="text1"/>
          <w:sz w:val="19"/>
          <w:szCs w:val="19"/>
        </w:rPr>
        <w:t xml:space="preserve"> </w:t>
      </w:r>
      <w:r w:rsidRPr="00D069D8">
        <w:rPr>
          <w:rFonts w:ascii="Verdana" w:eastAsia="Calibri" w:hAnsi="Verdana" w:cs="Arial"/>
          <w:color w:val="000000" w:themeColor="text1"/>
        </w:rPr>
        <w:t>correspondientes a los anticipos pactados en los contratos y a la entrega de bienes y servicios,</w:t>
      </w:r>
      <w:r w:rsidRPr="00D069D8">
        <w:rPr>
          <w:rFonts w:ascii="Verdana" w:eastAsia="Calibri" w:hAnsi="Verdana" w:cs="Arial"/>
          <w:color w:val="000000" w:themeColor="text1"/>
          <w:lang w:val="es-ES_tradnl"/>
        </w:rPr>
        <w:t xml:space="preserve"> de las cuales solo se encuentra pendiente el pago de acuerdo con los compromisos presupuestales adquiridos por la entidad</w:t>
      </w:r>
      <w:r w:rsidRPr="00D069D8">
        <w:rPr>
          <w:rFonts w:ascii="Verdana" w:eastAsia="Calibri" w:hAnsi="Verdana" w:cs="Arial"/>
          <w:color w:val="000000" w:themeColor="text1"/>
          <w:vertAlign w:val="superscript"/>
          <w:lang w:val="es-ES_tradnl"/>
        </w:rPr>
        <w:footnoteReference w:id="11"/>
      </w:r>
      <w:r w:rsidRPr="00D069D8">
        <w:rPr>
          <w:rFonts w:ascii="Verdana" w:eastAsia="Calibri" w:hAnsi="Verdana" w:cs="Arial"/>
          <w:color w:val="000000" w:themeColor="text1"/>
          <w:lang w:val="es-ES_tradnl"/>
        </w:rPr>
        <w:t xml:space="preserve">. Y las </w:t>
      </w:r>
      <w:r w:rsidRPr="00D069D8">
        <w:rPr>
          <w:rFonts w:ascii="Verdana" w:eastAsia="Calibri" w:hAnsi="Verdana" w:cs="Arial"/>
          <w:i/>
          <w:iCs/>
          <w:color w:val="000000" w:themeColor="text1"/>
          <w:lang w:val="es-ES_tradnl"/>
        </w:rPr>
        <w:t xml:space="preserve">terceras, </w:t>
      </w: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reservas presupuestales</w:t>
      </w:r>
      <w:bookmarkStart w:id="6" w:name="_Hlk93517351"/>
      <w:r w:rsidRPr="00D069D8">
        <w:rPr>
          <w:rFonts w:ascii="Verdana" w:eastAsia="Calibri" w:hAnsi="Verdana" w:cs="Arial"/>
          <w:color w:val="000000" w:themeColor="text1"/>
          <w:lang w:val="es-ES_tradnl"/>
        </w:rPr>
        <w:t xml:space="preserve"> </w:t>
      </w:r>
      <w:r w:rsidRPr="00D069D8">
        <w:rPr>
          <w:rFonts w:ascii="Verdana" w:eastAsia="Calibri" w:hAnsi="Verdana" w:cs="Arial"/>
          <w:color w:val="000000" w:themeColor="text1"/>
          <w:lang w:val="es-ES"/>
        </w:rPr>
        <w:t xml:space="preserve">suponen que </w:t>
      </w:r>
      <w:r>
        <w:rPr>
          <w:rFonts w:ascii="Verdana" w:eastAsia="Calibri" w:hAnsi="Verdana" w:cs="Arial"/>
          <w:color w:val="000000" w:themeColor="text1"/>
          <w:lang w:val="es-ES"/>
        </w:rPr>
        <w:t>“</w:t>
      </w:r>
      <w:r w:rsidRPr="00D069D8">
        <w:rPr>
          <w:rFonts w:ascii="Verdana" w:eastAsia="Calibri" w:hAnsi="Verdana" w:cs="Arial"/>
          <w:color w:val="000000" w:themeColor="text1"/>
          <w:lang w:val="es-ES"/>
        </w:rPr>
        <w:t>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Pr>
          <w:rFonts w:ascii="Verdana" w:eastAsia="Calibri" w:hAnsi="Verdana" w:cs="Arial"/>
          <w:color w:val="000000" w:themeColor="text1"/>
          <w:lang w:val="es-ES"/>
        </w:rPr>
        <w:t>”</w:t>
      </w:r>
      <w:r w:rsidRPr="00D069D8">
        <w:rPr>
          <w:rFonts w:ascii="Verdana" w:eastAsia="Calibri" w:hAnsi="Verdana" w:cs="Arial"/>
          <w:color w:val="000000" w:themeColor="text1"/>
          <w:vertAlign w:val="superscript"/>
          <w:lang w:val="es-ES"/>
        </w:rPr>
        <w:footnoteReference w:id="12"/>
      </w:r>
      <w:r w:rsidRPr="00D069D8">
        <w:rPr>
          <w:rFonts w:ascii="Verdana" w:eastAsia="Calibri" w:hAnsi="Verdana" w:cs="Arial"/>
          <w:color w:val="000000" w:themeColor="text1"/>
          <w:lang w:val="es-ES"/>
        </w:rPr>
        <w:t xml:space="preserve">. </w:t>
      </w:r>
      <w:bookmarkEnd w:id="6"/>
    </w:p>
    <w:p w14:paraId="5C3D6299" w14:textId="77777777" w:rsidR="00EA5B0C" w:rsidRPr="00D069D8" w:rsidRDefault="00EA5B0C" w:rsidP="00EA5B0C">
      <w:pPr>
        <w:shd w:val="clear" w:color="auto" w:fill="FFFFFF"/>
        <w:spacing w:after="120" w:line="276" w:lineRule="auto"/>
        <w:ind w:right="51" w:firstLine="709"/>
        <w:jc w:val="both"/>
        <w:rPr>
          <w:rFonts w:ascii="Verdana" w:eastAsia="Calibri" w:hAnsi="Verdana" w:cs="Arial"/>
          <w:sz w:val="21"/>
          <w:szCs w:val="21"/>
          <w:lang w:val="es-ES_tradnl"/>
        </w:rPr>
      </w:pPr>
      <w:r w:rsidRPr="00D069D8">
        <w:rPr>
          <w:rFonts w:ascii="Verdana" w:eastAsia="Calibri" w:hAnsi="Verdana" w:cs="Arial"/>
          <w:color w:val="000000" w:themeColor="text1"/>
          <w:lang w:val="es-ES_tradnl"/>
        </w:rPr>
        <w:t>En virtud de lo anterior, las entidades estatales pueden solicitar reservas presupuestales cuando</w:t>
      </w:r>
      <w:r>
        <w:rPr>
          <w:rFonts w:ascii="Verdana" w:eastAsia="Calibri" w:hAnsi="Verdana" w:cs="Arial"/>
          <w:color w:val="000000" w:themeColor="text1"/>
          <w:lang w:val="es-ES_tradnl"/>
        </w:rPr>
        <w:t>,</w:t>
      </w:r>
      <w:r w:rsidRPr="00D069D8">
        <w:rPr>
          <w:rFonts w:ascii="Verdana" w:eastAsia="Calibri" w:hAnsi="Verdana" w:cs="Arial"/>
          <w:color w:val="000000" w:themeColor="text1"/>
          <w:lang w:val="es-ES_tradnl"/>
        </w:rPr>
        <w:t xml:space="preserve"> habiendo adquirido compromisos en una vigencia fiscal, a 31 de diciembre no se han cumplido en su totalidad, y, por tanto, debe continuarse con la respectiva ejecución en la siguiente vigencia. Las reservas </w:t>
      </w:r>
      <w:r w:rsidRPr="00D069D8">
        <w:rPr>
          <w:rFonts w:ascii="Verdana" w:eastAsia="Calibri" w:hAnsi="Verdana" w:cs="Arial"/>
          <w:color w:val="000000" w:themeColor="text1"/>
          <w:lang w:val="es-ES_tradnl"/>
        </w:rPr>
        <w:lastRenderedPageBreak/>
        <w:t>presupuestales deben constituirse a más tardar el 20 de enero de cada año en los términos indicados por el Decreto 1068 de 2015</w:t>
      </w:r>
      <w:r w:rsidRPr="00D069D8">
        <w:rPr>
          <w:rFonts w:ascii="Verdana" w:eastAsia="Calibri" w:hAnsi="Verdana" w:cs="Arial"/>
          <w:color w:val="000000" w:themeColor="text1"/>
          <w:vertAlign w:val="superscript"/>
          <w:lang w:val="es-ES_tradnl"/>
        </w:rPr>
        <w:footnoteReference w:id="13"/>
      </w:r>
      <w:r w:rsidRPr="00D069D8">
        <w:rPr>
          <w:rFonts w:ascii="Verdana" w:eastAsia="Calibri" w:hAnsi="Verdana" w:cs="Arial"/>
          <w:color w:val="000000" w:themeColor="text1"/>
          <w:lang w:val="es-ES_tradnl"/>
        </w:rPr>
        <w:t xml:space="preserve">. </w:t>
      </w:r>
    </w:p>
    <w:p w14:paraId="39FC708F" w14:textId="77777777" w:rsidR="00EA5B0C" w:rsidRPr="00687E80" w:rsidRDefault="00EA5B0C" w:rsidP="00EA5B0C">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Sin embargo, es necesario tener en cuenta que las entidades no pueden solicitar reservas presupuestales en cualquier situación, ya que al ser un mecanismo excepcional su uso se encuentra restringido por lo que deberán estar 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que están concebidas como “</w:t>
      </w:r>
      <w:r w:rsidRPr="00D069D8">
        <w:rPr>
          <w:rFonts w:ascii="Verdana" w:eastAsia="Calibri" w:hAnsi="Verdana" w:cs="Arial"/>
          <w:color w:val="000000" w:themeColor="text1"/>
        </w:rPr>
        <w:t>un instrumento de uso esporádico y justificado únicamente en situaciones atípicas que impiden la ejecución de los compromisos en las fechas inicialmente previstas para ello, dentro de la misma vigencia a aquella en que el compromiso se celebró”</w:t>
      </w:r>
      <w:r w:rsidRPr="00D069D8">
        <w:rPr>
          <w:rFonts w:ascii="Verdana" w:eastAsia="Calibri" w:hAnsi="Verdana" w:cs="Arial"/>
          <w:color w:val="000000" w:themeColor="text1"/>
          <w:vertAlign w:val="superscript"/>
          <w:lang w:val="es-ES"/>
        </w:rPr>
        <w:footnoteReference w:id="14"/>
      </w:r>
      <w:r w:rsidRPr="00D069D8">
        <w:rPr>
          <w:rFonts w:ascii="Verdana" w:eastAsia="Calibri" w:hAnsi="Verdana" w:cs="Arial"/>
          <w:color w:val="000000" w:themeColor="text1"/>
        </w:rPr>
        <w:t>.</w:t>
      </w:r>
    </w:p>
    <w:p w14:paraId="2476E3C9" w14:textId="77777777" w:rsidR="00EA5B0C" w:rsidRPr="00D069D8" w:rsidRDefault="00EA5B0C" w:rsidP="00EA5B0C">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rPr>
        <w:t>Respecto de la distinción entre las reservas presupuestales y las vigencias futuras debe señalarse que contrario a estas últimas, “la reserva presupuestal supone la existencia de un compromiso presupuestal legalmente adquirido, en otras palabras, de la existencia de un acto o contrato expedido y perfeccionado por las autoridades públicas</w:t>
      </w:r>
      <w:r>
        <w:rPr>
          <w:rFonts w:ascii="Verdana" w:eastAsia="Calibri" w:hAnsi="Verdana" w:cs="Arial"/>
          <w:color w:val="000000" w:themeColor="text1"/>
          <w:lang w:val="es-ES"/>
        </w:rPr>
        <w:t>”</w:t>
      </w:r>
      <w:r w:rsidRPr="00D069D8">
        <w:rPr>
          <w:rFonts w:ascii="Verdana" w:eastAsia="Calibri" w:hAnsi="Verdana" w:cs="Arial"/>
          <w:color w:val="000000" w:themeColor="text1"/>
        </w:rPr>
        <w:t xml:space="preserve">. En cambio, en las vigencias futuras se realiza una autorización que afecta presupuestos futuros que </w:t>
      </w:r>
      <w:r>
        <w:rPr>
          <w:rFonts w:ascii="Verdana" w:eastAsia="Calibri" w:hAnsi="Verdana" w:cs="Arial"/>
          <w:color w:val="000000" w:themeColor="text1"/>
          <w:lang w:val="es-ES"/>
        </w:rPr>
        <w:t>“</w:t>
      </w:r>
      <w:r w:rsidRPr="00D069D8">
        <w:rPr>
          <w:rFonts w:ascii="Verdana" w:eastAsia="Calibri" w:hAnsi="Verdana" w:cs="Arial"/>
          <w:color w:val="000000" w:themeColor="text1"/>
        </w:rPr>
        <w:t>se formaliza antes de que se aprueben las vigencias en las que se van a ejecutar y la vida jurídica de tales autorizaciones se prolonga a lo largo de varias vigencias”</w:t>
      </w:r>
      <w:r w:rsidRPr="00D069D8">
        <w:rPr>
          <w:rFonts w:ascii="Verdana" w:eastAsia="Calibri" w:hAnsi="Verdana" w:cs="Arial"/>
          <w:color w:val="000000" w:themeColor="text1"/>
          <w:vertAlign w:val="superscript"/>
          <w:lang w:val="es-ES"/>
        </w:rPr>
        <w:footnoteReference w:id="15"/>
      </w:r>
      <w:r w:rsidRPr="00D069D8">
        <w:rPr>
          <w:rFonts w:ascii="Verdana" w:eastAsia="Calibri" w:hAnsi="Verdana" w:cs="Arial"/>
          <w:color w:val="000000" w:themeColor="text1"/>
        </w:rPr>
        <w:t xml:space="preserve">. </w:t>
      </w:r>
    </w:p>
    <w:p w14:paraId="000D5497" w14:textId="77777777" w:rsidR="00EA5B0C" w:rsidRPr="00E36FBA" w:rsidRDefault="00EA5B0C" w:rsidP="00EA5B0C">
      <w:pPr>
        <w:shd w:val="clear" w:color="auto" w:fill="FFFFFF"/>
        <w:spacing w:after="120" w:line="276" w:lineRule="auto"/>
        <w:ind w:right="51"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Así las cosas</w:t>
      </w:r>
      <w:r w:rsidRPr="00E36FBA">
        <w:rPr>
          <w:rFonts w:ascii="Verdana" w:eastAsia="Calibri" w:hAnsi="Verdana" w:cs="Arial"/>
          <w:color w:val="000000" w:themeColor="text1"/>
          <w:lang w:val="es-ES_tradnl"/>
        </w:rPr>
        <w:t>, es importante hacer referencia a los “pagos de pasivos exigibles – vigencias expiradas</w:t>
      </w:r>
      <w:r w:rsidRPr="00E36FBA">
        <w:rPr>
          <w:rFonts w:ascii="Verdana" w:eastAsia="Calibri" w:hAnsi="Verdana" w:cs="Arial"/>
          <w:color w:val="000000" w:themeColor="text1"/>
          <w:lang w:val="es-ES"/>
        </w:rPr>
        <w:t xml:space="preserve">” </w:t>
      </w:r>
      <w:r w:rsidRPr="00E36FBA">
        <w:rPr>
          <w:rFonts w:ascii="Verdana" w:eastAsia="Calibri" w:hAnsi="Verdana" w:cs="Arial"/>
          <w:color w:val="000000" w:themeColor="text1"/>
          <w:lang w:val="es-ES_tradnl"/>
        </w:rPr>
        <w:t xml:space="preserve">que procede en los casos en los que </w:t>
      </w:r>
      <w:r w:rsidRPr="00E36FBA">
        <w:rPr>
          <w:rFonts w:ascii="Verdana" w:eastAsia="Calibri" w:hAnsi="Verdana" w:cs="Arial"/>
          <w:lang w:val="es-ES_tradnl"/>
        </w:rPr>
        <w:t>no se haya constituido la reserva presupuestal o la cuenta por pagar o cuando habiéndose constituido no se realizó el pago respectivo</w:t>
      </w:r>
      <w:r w:rsidRPr="00E36FBA">
        <w:rPr>
          <w:rFonts w:ascii="Verdana" w:eastAsia="Calibri" w:hAnsi="Verdana" w:cs="Arial"/>
          <w:color w:val="000000" w:themeColor="text1"/>
          <w:lang w:val="es-ES_tradnl"/>
        </w:rPr>
        <w:t>. El artículo 49 de la Ley 2159 de 2021 “</w:t>
      </w:r>
      <w:r w:rsidRPr="00E36FBA">
        <w:rPr>
          <w:rFonts w:ascii="Verdana" w:eastAsia="Calibri" w:hAnsi="Verdana" w:cs="Arial"/>
          <w:color w:val="000000" w:themeColor="text1"/>
          <w:lang w:val="es-ES"/>
        </w:rPr>
        <w:t xml:space="preserve">Por </w:t>
      </w:r>
      <w:r w:rsidRPr="00E36FBA">
        <w:rPr>
          <w:rFonts w:ascii="Verdana" w:eastAsia="Calibri" w:hAnsi="Verdana" w:cs="Arial"/>
          <w:color w:val="000000" w:themeColor="text1"/>
          <w:lang w:val="es-ES_tradnl"/>
        </w:rPr>
        <w:t xml:space="preserve">la cual se decreta el presupuesto de rentas y recursos de capital y ley </w:t>
      </w:r>
      <w:r w:rsidRPr="00E36FBA">
        <w:rPr>
          <w:rFonts w:ascii="Verdana" w:eastAsia="Calibri" w:hAnsi="Verdana" w:cs="Arial"/>
          <w:color w:val="000000" w:themeColor="text1"/>
          <w:lang w:val="es-ES_tradnl"/>
        </w:rPr>
        <w:lastRenderedPageBreak/>
        <w:t xml:space="preserve">de apropiaciones para la vigencia fiscal del 1° de enero al 31 de diciembre de 2022” regula esta institución de la siguiente manera: </w:t>
      </w:r>
    </w:p>
    <w:p w14:paraId="1A72CBAC" w14:textId="77777777" w:rsidR="00EA5B0C" w:rsidRPr="007411A7" w:rsidRDefault="00EA5B0C" w:rsidP="00EA5B0C">
      <w:pPr>
        <w:spacing w:after="0" w:line="240" w:lineRule="auto"/>
        <w:ind w:left="709" w:right="709"/>
        <w:jc w:val="both"/>
        <w:rPr>
          <w:rFonts w:ascii="Verdana" w:eastAsia="Calibri" w:hAnsi="Verdana" w:cs="Arial"/>
          <w:i/>
          <w:iCs/>
          <w:sz w:val="20"/>
          <w:szCs w:val="20"/>
          <w:lang w:val="es-ES"/>
        </w:rPr>
      </w:pPr>
      <w:r>
        <w:rPr>
          <w:rFonts w:ascii="Verdana" w:eastAsia="Calibri" w:hAnsi="Verdana" w:cs="Arial"/>
          <w:sz w:val="20"/>
          <w:szCs w:val="20"/>
          <w:lang w:val="es-ES"/>
        </w:rPr>
        <w:t>“</w:t>
      </w:r>
      <w:r w:rsidRPr="007411A7">
        <w:rPr>
          <w:rFonts w:ascii="Verdana" w:eastAsia="Calibri" w:hAnsi="Verdana" w:cs="Arial"/>
          <w:sz w:val="20"/>
          <w:szCs w:val="20"/>
          <w:lang w:val="es-ES"/>
        </w:rPr>
        <w:t xml:space="preserve">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pagar correspondiente, se podrá hacer el pago bajo el concepto de </w:t>
      </w:r>
      <w:r w:rsidRPr="007411A7">
        <w:rPr>
          <w:rFonts w:ascii="Verdana" w:eastAsia="Calibri" w:hAnsi="Verdana" w:cs="Arial"/>
          <w:i/>
          <w:iCs/>
          <w:sz w:val="20"/>
          <w:szCs w:val="20"/>
          <w:lang w:val="es-ES"/>
        </w:rPr>
        <w:t xml:space="preserve">"Pago de Pasivos Exigibles - Vigencias Expiradas". </w:t>
      </w:r>
    </w:p>
    <w:p w14:paraId="40FC3C69" w14:textId="77777777" w:rsidR="00EA5B0C" w:rsidRPr="007411A7" w:rsidRDefault="00EA5B0C" w:rsidP="00EA5B0C">
      <w:pPr>
        <w:spacing w:after="0" w:line="240" w:lineRule="auto"/>
        <w:ind w:left="709" w:right="709"/>
        <w:jc w:val="both"/>
        <w:rPr>
          <w:rFonts w:ascii="Verdana" w:eastAsia="Calibri" w:hAnsi="Verdana" w:cs="Arial"/>
          <w:sz w:val="20"/>
          <w:szCs w:val="20"/>
          <w:lang w:val="es-ES_tradnl"/>
        </w:rPr>
      </w:pPr>
    </w:p>
    <w:p w14:paraId="27A64EBF" w14:textId="77777777" w:rsidR="00EA5B0C" w:rsidRPr="007411A7" w:rsidRDefault="00EA5B0C" w:rsidP="00EA5B0C">
      <w:pPr>
        <w:spacing w:after="0" w:line="240" w:lineRule="auto"/>
        <w:ind w:left="709" w:right="709"/>
        <w:jc w:val="both"/>
        <w:rPr>
          <w:rFonts w:ascii="Verdana" w:eastAsia="Calibri" w:hAnsi="Verdana" w:cs="Arial"/>
          <w:sz w:val="20"/>
          <w:szCs w:val="20"/>
          <w:lang w:val="es-ES_tradnl"/>
        </w:rPr>
      </w:pPr>
      <w:r w:rsidRPr="007411A7">
        <w:rPr>
          <w:rFonts w:ascii="Verdana" w:eastAsia="Calibri" w:hAnsi="Verdana" w:cs="Arial"/>
          <w:sz w:val="20"/>
          <w:szCs w:val="20"/>
          <w:lang w:val="es-ES_tradnl"/>
        </w:rPr>
        <w:t xml:space="preserve">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3227CB68" w14:textId="77777777" w:rsidR="00EA5B0C" w:rsidRPr="007411A7" w:rsidRDefault="00EA5B0C" w:rsidP="00EA5B0C">
      <w:pPr>
        <w:spacing w:after="0" w:line="240" w:lineRule="auto"/>
        <w:ind w:left="709" w:right="709"/>
        <w:jc w:val="both"/>
        <w:rPr>
          <w:rFonts w:ascii="Verdana" w:eastAsia="Calibri" w:hAnsi="Verdana" w:cs="Arial"/>
          <w:sz w:val="20"/>
          <w:szCs w:val="20"/>
          <w:lang w:val="es-ES"/>
        </w:rPr>
      </w:pPr>
    </w:p>
    <w:p w14:paraId="3BB31C57" w14:textId="77777777" w:rsidR="00EA5B0C" w:rsidRPr="007411A7" w:rsidRDefault="00EA5B0C" w:rsidP="00EA5B0C">
      <w:pPr>
        <w:spacing w:after="0" w:line="240" w:lineRule="auto"/>
        <w:ind w:left="709" w:right="709"/>
        <w:jc w:val="both"/>
        <w:rPr>
          <w:rFonts w:ascii="Verdana" w:eastAsia="Calibri" w:hAnsi="Verdana" w:cs="Arial"/>
          <w:sz w:val="20"/>
          <w:szCs w:val="20"/>
          <w:lang w:val="es-ES"/>
        </w:rPr>
      </w:pPr>
      <w:r w:rsidRPr="007411A7">
        <w:rPr>
          <w:rFonts w:ascii="Verdana" w:eastAsia="Calibri" w:hAnsi="Verdana" w:cs="Arial"/>
          <w:sz w:val="20"/>
          <w:szCs w:val="20"/>
          <w:lang w:val="es-ES"/>
        </w:rPr>
        <w:t xml:space="preserve">El mecanismo previsto en el primer inciso de este artículo también procederá cuando se trate del cumplimiento de una obligación originada en la ley, exigible en vigencias anteriores, aun sin que medie certificado de disponibilidad ni registro presupuestales. </w:t>
      </w:r>
    </w:p>
    <w:p w14:paraId="6152FAFD" w14:textId="77777777" w:rsidR="00EA5B0C" w:rsidRPr="007411A7" w:rsidRDefault="00EA5B0C" w:rsidP="00EA5B0C">
      <w:pPr>
        <w:spacing w:after="0" w:line="240" w:lineRule="auto"/>
        <w:ind w:left="709" w:right="709"/>
        <w:jc w:val="both"/>
        <w:rPr>
          <w:rFonts w:ascii="Verdana" w:eastAsia="Calibri" w:hAnsi="Verdana" w:cs="Arial"/>
          <w:sz w:val="20"/>
          <w:szCs w:val="20"/>
          <w:lang w:val="es-ES"/>
        </w:rPr>
      </w:pPr>
    </w:p>
    <w:p w14:paraId="47739D64" w14:textId="77777777" w:rsidR="00EA5B0C" w:rsidRPr="007411A7" w:rsidRDefault="00EA5B0C" w:rsidP="00EA5B0C">
      <w:pPr>
        <w:spacing w:after="0" w:line="240" w:lineRule="auto"/>
        <w:ind w:left="709" w:right="709"/>
        <w:jc w:val="both"/>
        <w:rPr>
          <w:rFonts w:ascii="Verdana" w:eastAsia="Calibri" w:hAnsi="Verdana" w:cs="Arial"/>
          <w:sz w:val="20"/>
          <w:szCs w:val="20"/>
          <w:lang w:val="es-ES"/>
        </w:rPr>
      </w:pPr>
      <w:r w:rsidRPr="007411A7">
        <w:rPr>
          <w:rFonts w:ascii="Verdana" w:eastAsia="Calibri" w:hAnsi="Verdana" w:cs="Arial"/>
          <w:sz w:val="20"/>
          <w:szCs w:val="20"/>
          <w:lang w:val="es-ES"/>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Contrataría General de la República. […]</w:t>
      </w:r>
      <w:r>
        <w:rPr>
          <w:rFonts w:ascii="Verdana" w:eastAsia="Calibri" w:hAnsi="Verdana" w:cs="Arial"/>
          <w:sz w:val="20"/>
          <w:szCs w:val="20"/>
          <w:lang w:val="es-ES"/>
        </w:rPr>
        <w:t>”</w:t>
      </w:r>
      <w:r w:rsidRPr="007411A7">
        <w:rPr>
          <w:rFonts w:ascii="Verdana" w:eastAsia="Calibri" w:hAnsi="Verdana" w:cs="Arial"/>
          <w:sz w:val="20"/>
          <w:szCs w:val="20"/>
          <w:lang w:val="es-ES"/>
        </w:rPr>
        <w:t xml:space="preserve"> (Cursiva fuera de texto).</w:t>
      </w:r>
    </w:p>
    <w:p w14:paraId="3969EB3B" w14:textId="77777777" w:rsidR="00EA5B0C" w:rsidRPr="00D069D8" w:rsidRDefault="00EA5B0C" w:rsidP="00EA5B0C">
      <w:pPr>
        <w:spacing w:after="0"/>
        <w:ind w:left="709" w:right="709"/>
        <w:jc w:val="both"/>
        <w:rPr>
          <w:rFonts w:ascii="Verdana" w:eastAsia="Calibri" w:hAnsi="Verdana" w:cs="Arial"/>
          <w:sz w:val="21"/>
          <w:szCs w:val="21"/>
          <w:lang w:val="es-ES"/>
        </w:rPr>
      </w:pPr>
    </w:p>
    <w:p w14:paraId="2F721179" w14:textId="77777777" w:rsidR="00EA5B0C" w:rsidRPr="00D069D8" w:rsidRDefault="00EA5B0C" w:rsidP="00EA5B0C">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 xml:space="preserve">En este sentido, el pago de “pasivos – vigencias expiradas” procederán cuando se cumplan los parámetros antes expuestos para las entidades que se rigen por dicha Ley. En los demás casos, se deberán atender las normas presupuestales particulares que lo regulen, atendiendo a la naturaleza de la entidad pública. </w:t>
      </w:r>
    </w:p>
    <w:p w14:paraId="46151D08" w14:textId="77777777" w:rsidR="00EA5B0C" w:rsidRPr="00D069D8" w:rsidRDefault="00EA5B0C" w:rsidP="00EA5B0C">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En conclusión, las entidades estatales deben planear sus contrataciones con fundamento en el principio de la anualidad del gasto, de manera que sus compromisos presupuestales deben ser ejecutados dentro de la vigencia fiscal comprendida entre el 1 de enero y el 31 de diciembre. Sin embargo, como excepción a este principio se establecen </w:t>
      </w:r>
      <w:r w:rsidRPr="00D069D8">
        <w:rPr>
          <w:rFonts w:ascii="Verdana" w:eastAsia="Calibri" w:hAnsi="Verdana" w:cs="Arial"/>
          <w:color w:val="000000" w:themeColor="text1"/>
        </w:rPr>
        <w:t xml:space="preserve">mecanismos presupuestales dentro de los cuales se encuentran las vigencias futuras, que permite asumir compromisos que afecten el presupuesto de vigencias posteriores. </w:t>
      </w:r>
    </w:p>
    <w:p w14:paraId="3307A016" w14:textId="77777777" w:rsidR="00EA5B0C" w:rsidRDefault="00EA5B0C" w:rsidP="00EA5B0C">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lastRenderedPageBreak/>
        <w:t>De esta manera, en caso de que en la etapa de planeación la entidad evidencie que el contrato a ejecutar exceda la vigencia fiscal correspondiente, deberá atender las previsiones legales sobre las excepciones al principio de anualidad del gasto</w:t>
      </w:r>
      <w:r w:rsidRPr="00D069D8">
        <w:rPr>
          <w:rFonts w:ascii="Verdana" w:eastAsia="Arial" w:hAnsi="Verdana" w:cs="Arial"/>
          <w:bCs/>
        </w:rPr>
        <w:t xml:space="preserve"> y determinar cual resulta aplicable al caso en concreto</w:t>
      </w:r>
      <w:r w:rsidRPr="00D069D8">
        <w:rPr>
          <w:rFonts w:ascii="Verdana" w:eastAsia="Calibri" w:hAnsi="Verdana" w:cs="Arial"/>
          <w:color w:val="000000" w:themeColor="text1"/>
        </w:rPr>
        <w:t xml:space="preserve">. Dichas excepciones deben estar debidamente justificadas, cumplir con los requisitos establecidos por la normativa vigente y seguir los procedimientos correspondientes para su autorizaciones y ejecución, conforme a lo descrito en este concepto.  </w:t>
      </w:r>
    </w:p>
    <w:p w14:paraId="496A5CDE" w14:textId="77777777" w:rsidR="00FD1EB0" w:rsidRDefault="00FD1EB0" w:rsidP="00FD1EB0">
      <w:pPr>
        <w:shd w:val="clear" w:color="auto" w:fill="FFFFFF"/>
        <w:spacing w:after="120" w:line="276" w:lineRule="auto"/>
        <w:ind w:right="51" w:firstLine="709"/>
        <w:jc w:val="both"/>
        <w:rPr>
          <w:rFonts w:ascii="Verdana" w:eastAsia="Calibri" w:hAnsi="Verdana" w:cs="Arial"/>
          <w:color w:val="000000" w:themeColor="text1"/>
        </w:rPr>
      </w:pPr>
      <w:r>
        <w:rPr>
          <w:rFonts w:ascii="Verdana" w:eastAsia="Calibri" w:hAnsi="Verdana" w:cs="Arial"/>
          <w:color w:val="000000" w:themeColor="text1"/>
        </w:rPr>
        <w:t>Aunado a lo anterior y en atención al problema jurídico planteado es de precisar que e</w:t>
      </w:r>
      <w:r w:rsidRPr="0036566B">
        <w:rPr>
          <w:rFonts w:ascii="Verdana" w:eastAsia="Calibri" w:hAnsi="Verdana" w:cs="Arial"/>
          <w:color w:val="000000" w:themeColor="text1"/>
        </w:rPr>
        <w:t xml:space="preserve">l </w:t>
      </w:r>
      <w:r>
        <w:rPr>
          <w:rFonts w:ascii="Verdana" w:eastAsia="Calibri" w:hAnsi="Verdana" w:cs="Arial"/>
          <w:color w:val="000000" w:themeColor="text1"/>
        </w:rPr>
        <w:t>Certificado de Disponibilidad Presupuestal (</w:t>
      </w:r>
      <w:r w:rsidRPr="0036566B">
        <w:rPr>
          <w:rFonts w:ascii="Verdana" w:eastAsia="Calibri" w:hAnsi="Verdana" w:cs="Arial"/>
          <w:color w:val="000000" w:themeColor="text1"/>
        </w:rPr>
        <w:t>CDP</w:t>
      </w:r>
      <w:r>
        <w:rPr>
          <w:rFonts w:ascii="Verdana" w:eastAsia="Calibri" w:hAnsi="Verdana" w:cs="Arial"/>
          <w:color w:val="000000" w:themeColor="text1"/>
        </w:rPr>
        <w:t>)</w:t>
      </w:r>
      <w:r w:rsidRPr="0036566B">
        <w:rPr>
          <w:rFonts w:ascii="Verdana" w:eastAsia="Calibri" w:hAnsi="Verdana" w:cs="Arial"/>
          <w:color w:val="000000" w:themeColor="text1"/>
        </w:rPr>
        <w:t xml:space="preserve"> es un requisito de existencia de la apropiación que garantiza </w:t>
      </w:r>
      <w:r>
        <w:rPr>
          <w:rFonts w:ascii="Verdana" w:eastAsia="Calibri" w:hAnsi="Verdana" w:cs="Arial"/>
          <w:color w:val="000000" w:themeColor="text1"/>
        </w:rPr>
        <w:t>la existencia de recursos para la financiación del contrato</w:t>
      </w:r>
      <w:r w:rsidRPr="0036566B">
        <w:rPr>
          <w:rFonts w:ascii="Verdana" w:eastAsia="Calibri" w:hAnsi="Verdana" w:cs="Arial"/>
          <w:color w:val="000000" w:themeColor="text1"/>
        </w:rPr>
        <w:t xml:space="preserve">, </w:t>
      </w:r>
      <w:r>
        <w:rPr>
          <w:rFonts w:ascii="Verdana" w:eastAsia="Calibri" w:hAnsi="Verdana" w:cs="Arial"/>
          <w:color w:val="000000" w:themeColor="text1"/>
        </w:rPr>
        <w:t xml:space="preserve">por su parte </w:t>
      </w:r>
      <w:r w:rsidRPr="0036566B">
        <w:rPr>
          <w:rFonts w:ascii="Verdana" w:eastAsia="Calibri" w:hAnsi="Verdana" w:cs="Arial"/>
          <w:color w:val="000000" w:themeColor="text1"/>
        </w:rPr>
        <w:t>el Registro Presupuestal, de acuerdo con el artículo 41 de la Ley 80 de 1993, es un requisito esencial de ejecución. La suscripción de un contrato que carezca de estos soportes, o que exceda la vigencia fiscal sin las autorizaciones respectivas, vicia el acto de nulidad al contravenir normas de orden público y disposiciones constitucionales sobre la legalidad del gasto.</w:t>
      </w:r>
    </w:p>
    <w:p w14:paraId="46954036" w14:textId="77777777" w:rsidR="00EA5B0C" w:rsidRPr="00D11931" w:rsidRDefault="00EA5B0C" w:rsidP="00EA5B0C">
      <w:pPr>
        <w:shd w:val="clear" w:color="auto" w:fill="FFFFFF"/>
        <w:spacing w:after="0" w:line="276" w:lineRule="auto"/>
        <w:ind w:right="51" w:firstLine="709"/>
        <w:jc w:val="both"/>
        <w:rPr>
          <w:rFonts w:ascii="Verdana" w:eastAsia="Times New Roman" w:hAnsi="Verdana" w:cs="Times New Roman"/>
          <w:lang w:eastAsia="es-ES"/>
        </w:rPr>
      </w:pPr>
      <w:r w:rsidRPr="00D11931">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D11931">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54764C06" w14:textId="66CD37C0" w:rsidR="009B15B0" w:rsidRDefault="009B15B0" w:rsidP="00733AEE">
      <w:pPr>
        <w:spacing w:after="0"/>
        <w:ind w:firstLine="708"/>
        <w:jc w:val="both"/>
        <w:rPr>
          <w:rFonts w:ascii="Verdana" w:hAnsi="Verdana"/>
          <w:lang w:val="es-ES"/>
        </w:rPr>
      </w:pPr>
      <w:r w:rsidRPr="0024208F">
        <w:rPr>
          <w:rFonts w:ascii="Verdana" w:hAnsi="Verdana"/>
          <w:lang w:val="es-ES"/>
        </w:rPr>
        <w:t xml:space="preserve"> </w:t>
      </w:r>
    </w:p>
    <w:p w14:paraId="1338AC91"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0040ED14"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B261C" w:rsidRPr="00115E3D" w14:paraId="0BF4D7F6" w14:textId="77777777" w:rsidTr="008D7291">
        <w:trPr>
          <w:trHeight w:val="335"/>
        </w:trPr>
        <w:tc>
          <w:tcPr>
            <w:tcW w:w="8647" w:type="dxa"/>
          </w:tcPr>
          <w:p w14:paraId="3FF9DC94" w14:textId="77777777" w:rsidR="00EA5B0C" w:rsidRPr="004906E4" w:rsidRDefault="00EA5B0C" w:rsidP="00EA5B0C">
            <w:pPr>
              <w:widowControl w:val="0"/>
              <w:numPr>
                <w:ilvl w:val="0"/>
                <w:numId w:val="25"/>
              </w:numPr>
              <w:autoSpaceDE w:val="0"/>
              <w:autoSpaceDN w:val="0"/>
              <w:spacing w:line="276" w:lineRule="auto"/>
              <w:jc w:val="both"/>
              <w:rPr>
                <w:rFonts w:ascii="Verdana" w:eastAsia="Arial MT" w:hAnsi="Verdana" w:cs="Arial"/>
                <w:bCs/>
                <w:lang w:eastAsia="es-ES" w:bidi="es-ES"/>
              </w:rPr>
            </w:pPr>
            <w:r w:rsidRPr="004906E4">
              <w:rPr>
                <w:rFonts w:ascii="Verdana" w:eastAsia="Arial MT" w:hAnsi="Verdana" w:cs="Arial"/>
                <w:bCs/>
                <w:lang w:eastAsia="es-ES" w:bidi="es-ES"/>
              </w:rPr>
              <w:t>Constitución Política de Colombia. Artículo 346</w:t>
            </w:r>
            <w:r w:rsidRPr="00073713">
              <w:rPr>
                <w:rFonts w:ascii="Verdana" w:eastAsia="Arial MT" w:hAnsi="Verdana" w:cs="Arial"/>
                <w:bCs/>
                <w:lang w:eastAsia="es-ES" w:bidi="es-ES"/>
              </w:rPr>
              <w:t>.</w:t>
            </w:r>
          </w:p>
          <w:p w14:paraId="6F8FF83F" w14:textId="77777777" w:rsidR="00EA5B0C" w:rsidRPr="004906E4" w:rsidRDefault="00EA5B0C" w:rsidP="00EA5B0C">
            <w:pPr>
              <w:widowControl w:val="0"/>
              <w:numPr>
                <w:ilvl w:val="0"/>
                <w:numId w:val="25"/>
              </w:numPr>
              <w:autoSpaceDE w:val="0"/>
              <w:autoSpaceDN w:val="0"/>
              <w:spacing w:line="276" w:lineRule="auto"/>
              <w:jc w:val="both"/>
              <w:rPr>
                <w:rFonts w:ascii="Verdana" w:eastAsia="Arial MT" w:hAnsi="Verdana" w:cs="Arial"/>
                <w:bCs/>
                <w:lang w:eastAsia="es-ES" w:bidi="es-ES"/>
              </w:rPr>
            </w:pPr>
            <w:r w:rsidRPr="004906E4">
              <w:rPr>
                <w:rFonts w:ascii="Verdana" w:eastAsia="Arial MT" w:hAnsi="Verdana" w:cs="Arial"/>
                <w:bCs/>
                <w:lang w:eastAsia="es-ES" w:bidi="es-ES"/>
              </w:rPr>
              <w:t>Ley 819 de 2003. Artículos 8,10 y 11</w:t>
            </w:r>
            <w:r w:rsidRPr="00073713">
              <w:rPr>
                <w:rFonts w:ascii="Verdana" w:eastAsia="Arial MT" w:hAnsi="Verdana" w:cs="Arial"/>
                <w:bCs/>
                <w:lang w:eastAsia="es-ES" w:bidi="es-ES"/>
              </w:rPr>
              <w:t>.</w:t>
            </w:r>
          </w:p>
          <w:p w14:paraId="01338AF7" w14:textId="77777777" w:rsidR="00EA5B0C" w:rsidRPr="004906E4" w:rsidRDefault="00EA5B0C" w:rsidP="00EA5B0C">
            <w:pPr>
              <w:widowControl w:val="0"/>
              <w:numPr>
                <w:ilvl w:val="0"/>
                <w:numId w:val="25"/>
              </w:numPr>
              <w:autoSpaceDE w:val="0"/>
              <w:autoSpaceDN w:val="0"/>
              <w:spacing w:line="276" w:lineRule="auto"/>
              <w:jc w:val="both"/>
              <w:rPr>
                <w:rFonts w:ascii="Verdana" w:eastAsia="Arial MT" w:hAnsi="Verdana" w:cs="Arial"/>
                <w:bCs/>
                <w:lang w:eastAsia="es-ES" w:bidi="es-ES"/>
              </w:rPr>
            </w:pPr>
            <w:r w:rsidRPr="004906E4">
              <w:rPr>
                <w:rFonts w:ascii="Verdana" w:eastAsia="Arial MT" w:hAnsi="Verdana" w:cs="Arial"/>
                <w:bCs/>
                <w:lang w:eastAsia="es-ES" w:bidi="es-ES"/>
              </w:rPr>
              <w:t>Decreto 111 de 1996. Artículos 10 ,11, 23</w:t>
            </w:r>
            <w:r w:rsidRPr="00073713">
              <w:rPr>
                <w:rFonts w:ascii="Verdana" w:eastAsia="Arial MT" w:hAnsi="Verdana" w:cs="Arial"/>
                <w:bCs/>
                <w:lang w:eastAsia="es-ES" w:bidi="es-ES"/>
              </w:rPr>
              <w:t xml:space="preserve"> y </w:t>
            </w:r>
            <w:r w:rsidRPr="004906E4">
              <w:rPr>
                <w:rFonts w:ascii="Verdana" w:eastAsia="Arial MT" w:hAnsi="Verdana" w:cs="Arial"/>
                <w:bCs/>
                <w:lang w:eastAsia="es-ES" w:bidi="es-ES"/>
              </w:rPr>
              <w:t>89</w:t>
            </w:r>
            <w:r w:rsidRPr="00073713">
              <w:rPr>
                <w:rFonts w:ascii="Verdana" w:eastAsia="Arial MT" w:hAnsi="Verdana" w:cs="Arial"/>
                <w:bCs/>
                <w:lang w:eastAsia="es-ES" w:bidi="es-ES"/>
              </w:rPr>
              <w:t>.</w:t>
            </w:r>
          </w:p>
          <w:p w14:paraId="3166E5CC" w14:textId="77777777" w:rsidR="00EA5B0C" w:rsidRPr="004906E4" w:rsidRDefault="00EA5B0C" w:rsidP="00EA5B0C">
            <w:pPr>
              <w:widowControl w:val="0"/>
              <w:numPr>
                <w:ilvl w:val="0"/>
                <w:numId w:val="25"/>
              </w:numPr>
              <w:autoSpaceDE w:val="0"/>
              <w:autoSpaceDN w:val="0"/>
              <w:spacing w:line="276" w:lineRule="auto"/>
              <w:jc w:val="both"/>
              <w:rPr>
                <w:rFonts w:ascii="Verdana" w:eastAsia="Arial MT" w:hAnsi="Verdana" w:cs="Arial"/>
                <w:bCs/>
                <w:lang w:eastAsia="es-ES" w:bidi="es-ES"/>
              </w:rPr>
            </w:pPr>
            <w:r w:rsidRPr="004906E4">
              <w:rPr>
                <w:rFonts w:ascii="Verdana" w:eastAsia="Arial MT" w:hAnsi="Verdana" w:cs="Arial"/>
                <w:bCs/>
                <w:lang w:eastAsia="es-ES" w:bidi="es-ES"/>
              </w:rPr>
              <w:lastRenderedPageBreak/>
              <w:t>Decreto 1068 de 2015. Artículo 2.8.1.7.3.2</w:t>
            </w:r>
          </w:p>
          <w:p w14:paraId="58929F44" w14:textId="13E18F6B" w:rsidR="009B15B0" w:rsidRPr="00D81159" w:rsidRDefault="00EA5B0C" w:rsidP="00EA5B0C">
            <w:pPr>
              <w:widowControl w:val="0"/>
              <w:numPr>
                <w:ilvl w:val="0"/>
                <w:numId w:val="25"/>
              </w:numPr>
              <w:autoSpaceDE w:val="0"/>
              <w:autoSpaceDN w:val="0"/>
              <w:spacing w:line="276" w:lineRule="auto"/>
              <w:jc w:val="both"/>
              <w:rPr>
                <w:rFonts w:ascii="Verdana" w:hAnsi="Verdana" w:cs="Arial"/>
              </w:rPr>
            </w:pPr>
            <w:r w:rsidRPr="004906E4">
              <w:rPr>
                <w:rFonts w:ascii="Verdana" w:eastAsia="Arial MT" w:hAnsi="Verdana" w:cs="Arial"/>
                <w:bCs/>
                <w:lang w:eastAsia="es-ES" w:bidi="es-ES"/>
              </w:rPr>
              <w:t>Consejo de Estado. Sección Tercera. Sentencia del 12 de agosto de 2014. Radicado Nro. 05001-23-31-000-1998-01350-01(28565) C.P. Enrique Gil Botero</w:t>
            </w:r>
            <w:r w:rsidRPr="00073713">
              <w:rPr>
                <w:rFonts w:ascii="Verdana" w:eastAsia="Arial MT" w:hAnsi="Verdana" w:cs="Arial"/>
                <w:bCs/>
                <w:lang w:eastAsia="es-ES" w:bidi="es-ES"/>
              </w:rPr>
              <w:t>.</w:t>
            </w:r>
            <w:r w:rsidR="005A25FF">
              <w:rPr>
                <w:rFonts w:ascii="Verdana" w:eastAsia="Arial MT" w:hAnsi="Verdana" w:cs="Arial"/>
                <w:bCs/>
                <w:lang w:eastAsia="es-ES" w:bidi="es-ES"/>
              </w:rPr>
              <w:t xml:space="preserve"> </w:t>
            </w:r>
            <w:r w:rsidRPr="004906E4">
              <w:rPr>
                <w:rFonts w:ascii="Verdana" w:eastAsia="Arial MT" w:hAnsi="Verdana" w:cs="Arial"/>
                <w:bCs/>
                <w:lang w:eastAsia="es-ES" w:bidi="es-ES"/>
              </w:rPr>
              <w:t>Consejo de Estado. Sección Tercera. Sentencia del 1 de febrero de 2018. Radicado Nro. 08001-2331-000-2010-00987-01. C.P. Oswaldo Giraldo López.</w:t>
            </w:r>
          </w:p>
        </w:tc>
      </w:tr>
    </w:tbl>
    <w:p w14:paraId="4B0DAD31"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66BA0CD0"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0A8A6381"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7A17FA77" w14:textId="0A1CF4A2" w:rsidR="005B261C" w:rsidRPr="00AB5151" w:rsidRDefault="003C34EC" w:rsidP="00CC6F7D">
      <w:pPr>
        <w:widowControl w:val="0"/>
        <w:autoSpaceDE w:val="0"/>
        <w:autoSpaceDN w:val="0"/>
        <w:spacing w:after="0" w:line="276" w:lineRule="auto"/>
        <w:ind w:firstLine="708"/>
        <w:jc w:val="both"/>
        <w:rPr>
          <w:rStyle w:val="normaltextrun"/>
          <w:rFonts w:ascii="Verdana" w:hAnsi="Verdana" w:cs="Arial"/>
          <w:shd w:val="clear" w:color="auto" w:fill="FFFFFF"/>
          <w:lang w:val="es-ES"/>
        </w:rPr>
      </w:pPr>
      <w:r w:rsidRPr="00BD529E">
        <w:rPr>
          <w:rFonts w:ascii="Verdana" w:eastAsia="Calibri" w:hAnsi="Verdana" w:cs="Arial"/>
          <w:color w:val="000000" w:themeColor="text1"/>
          <w:lang w:val="es-ES"/>
        </w:rPr>
        <w:t>La Agencia Nacional de Contratación Pública – Colombia Compra Eficiente,</w:t>
      </w:r>
      <w:r w:rsidRPr="00BD529E">
        <w:rPr>
          <w:rFonts w:ascii="Verdana" w:eastAsia="Calibri" w:hAnsi="Verdana" w:cs="Arial"/>
          <w:color w:val="000000" w:themeColor="text1"/>
          <w:lang w:val="es-MX"/>
        </w:rPr>
        <w:t xml:space="preserve"> en el concepto con </w:t>
      </w:r>
      <w:r w:rsidR="005A25FF" w:rsidRPr="00D069D8">
        <w:rPr>
          <w:rFonts w:ascii="Verdana" w:eastAsia="Calibri" w:hAnsi="Verdana" w:cs="Arial"/>
          <w:lang w:val="es-ES" w:eastAsia="es-ES"/>
        </w:rPr>
        <w:t xml:space="preserve">C-744 del 4 de febrero de 2022, C-850 del </w:t>
      </w:r>
      <w:r w:rsidR="005A25FF" w:rsidRPr="00D069D8">
        <w:rPr>
          <w:rFonts w:ascii="Verdana" w:eastAsia="Geomanist Light" w:hAnsi="Verdana" w:cs="Arial"/>
          <w:lang w:val="es-MX"/>
        </w:rPr>
        <w:t>5 de diciembre de 2024</w:t>
      </w:r>
      <w:r w:rsidR="005A25FF" w:rsidRPr="00D069D8">
        <w:rPr>
          <w:rFonts w:ascii="Verdana" w:eastAsia="Calibri" w:hAnsi="Verdana" w:cs="Arial"/>
          <w:lang w:val="es-ES" w:eastAsia="es-ES"/>
        </w:rPr>
        <w:t xml:space="preserve">, C-082 del 7 de marzo de 2025, </w:t>
      </w:r>
      <w:r w:rsidR="005A25FF">
        <w:rPr>
          <w:rFonts w:ascii="Verdana" w:eastAsia="Calibri" w:hAnsi="Verdana" w:cs="Arial"/>
          <w:lang w:val="es-ES" w:eastAsia="es-ES"/>
        </w:rPr>
        <w:t xml:space="preserve">C-300 del 24 de abril de 2025, C-1220 del 3 de octubre de 2025, C-1537 del 25 de noviembre de 2025, C-1515 del 26 de noviembre de 2025, C-1557 del </w:t>
      </w:r>
      <w:r w:rsidR="005A25FF" w:rsidRPr="00F700CD">
        <w:rPr>
          <w:rFonts w:ascii="Verdana" w:eastAsia="Calibri" w:hAnsi="Verdana" w:cs="Arial"/>
          <w:lang w:eastAsia="es-ES"/>
        </w:rPr>
        <w:t>04</w:t>
      </w:r>
      <w:r w:rsidR="005A25FF">
        <w:rPr>
          <w:rFonts w:ascii="Verdana" w:eastAsia="Calibri" w:hAnsi="Verdana" w:cs="Arial"/>
          <w:lang w:eastAsia="es-ES"/>
        </w:rPr>
        <w:t xml:space="preserve"> de diciembre de </w:t>
      </w:r>
      <w:r w:rsidR="005A25FF" w:rsidRPr="00F700CD">
        <w:rPr>
          <w:rFonts w:ascii="Verdana" w:eastAsia="Calibri" w:hAnsi="Verdana" w:cs="Arial"/>
          <w:lang w:eastAsia="es-ES"/>
        </w:rPr>
        <w:t>2025</w:t>
      </w:r>
      <w:r w:rsidR="005A25FF">
        <w:rPr>
          <w:rFonts w:ascii="Verdana" w:eastAsia="Calibri" w:hAnsi="Verdana" w:cs="Arial"/>
          <w:lang w:eastAsia="es-ES"/>
        </w:rPr>
        <w:t xml:space="preserve"> y C-040 de 2026,</w:t>
      </w:r>
      <w:r w:rsidR="005A25FF">
        <w:rPr>
          <w:rFonts w:ascii="Verdana" w:eastAsia="Calibri" w:hAnsi="Verdana" w:cs="Arial"/>
          <w:lang w:val="es-ES" w:eastAsia="es-ES"/>
        </w:rPr>
        <w:t xml:space="preserve"> </w:t>
      </w:r>
      <w:r w:rsidR="005A25FF" w:rsidRPr="00D069D8">
        <w:rPr>
          <w:rFonts w:ascii="Verdana" w:eastAsia="Calibri" w:hAnsi="Verdana" w:cs="Arial"/>
          <w:lang w:val="es-ES" w:eastAsia="es-ES"/>
        </w:rPr>
        <w:t>entre otros</w:t>
      </w:r>
      <w:r w:rsidRPr="00BD529E">
        <w:rPr>
          <w:rFonts w:ascii="Verdana" w:eastAsia="Calibri" w:hAnsi="Verdana" w:cs="Arial"/>
          <w:color w:val="000000" w:themeColor="text1"/>
          <w:lang w:val="es-ES"/>
        </w:rPr>
        <w:t xml:space="preserve">. </w:t>
      </w:r>
      <w:r w:rsidR="005B261C" w:rsidRPr="000F3B46">
        <w:rPr>
          <w:rStyle w:val="normaltextrun"/>
          <w:rFonts w:ascii="Verdana" w:hAnsi="Verdana" w:cs="Arial"/>
          <w:shd w:val="clear" w:color="auto" w:fill="FFFFFF"/>
          <w:lang w:val="es-ES"/>
        </w:rPr>
        <w:t>Es</w:t>
      </w:r>
      <w:r w:rsidR="005B261C" w:rsidRPr="000F3B46">
        <w:rPr>
          <w:rFonts w:ascii="Verdana" w:hAnsi="Verdana"/>
        </w:rPr>
        <w:t>tos y otros conceptos se encuentran disponibles para consulta en el Sistema</w:t>
      </w:r>
      <w:r w:rsidR="005B261C" w:rsidRPr="00AB5151">
        <w:rPr>
          <w:rFonts w:ascii="Verdana" w:hAnsi="Verdana"/>
        </w:rPr>
        <w:t xml:space="preserve"> de relatoría de la Agencia, al cual se puede acceder a través del siguiente enlace:</w:t>
      </w:r>
      <w:r w:rsidR="005B261C" w:rsidRPr="00AB5151">
        <w:rPr>
          <w:rStyle w:val="normaltextrun"/>
          <w:rFonts w:ascii="Verdana" w:hAnsi="Verdana" w:cs="Arial"/>
          <w:shd w:val="clear" w:color="auto" w:fill="FFFFFF"/>
          <w:lang w:val="es-ES"/>
        </w:rPr>
        <w:t xml:space="preserve"> </w:t>
      </w:r>
      <w:hyperlink r:id="rId13" w:history="1">
        <w:r w:rsidR="005B261C" w:rsidRPr="00AB5151">
          <w:rPr>
            <w:rStyle w:val="Hipervnculo"/>
            <w:rFonts w:ascii="Verdana" w:hAnsi="Verdana" w:cs="Arial"/>
            <w:shd w:val="clear" w:color="auto" w:fill="FFFFFF"/>
            <w:lang w:val="es-ES"/>
          </w:rPr>
          <w:t>https://relatoria.colombiacompra.gov.co/busqueda/conceptos</w:t>
        </w:r>
      </w:hyperlink>
      <w:r w:rsidR="005B261C" w:rsidRPr="00AB5151">
        <w:rPr>
          <w:rStyle w:val="normaltextrun"/>
          <w:rFonts w:ascii="Verdana" w:hAnsi="Verdana" w:cs="Arial"/>
          <w:shd w:val="clear" w:color="auto" w:fill="FFFFFF"/>
          <w:lang w:val="es-ES"/>
        </w:rPr>
        <w:t xml:space="preserve">. </w:t>
      </w:r>
    </w:p>
    <w:p w14:paraId="1F37605E" w14:textId="77777777" w:rsidR="005B261C" w:rsidRPr="00115E3D" w:rsidRDefault="005B261C" w:rsidP="005B261C">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2A78B2FE" w14:textId="77777777" w:rsidR="005B261C" w:rsidRPr="00115E3D" w:rsidRDefault="005B261C" w:rsidP="005B261C">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737780A1" w14:textId="77777777" w:rsidR="005B261C" w:rsidRPr="00115E3D" w:rsidRDefault="005B261C" w:rsidP="005B261C">
      <w:pPr>
        <w:spacing w:after="0" w:line="240" w:lineRule="auto"/>
        <w:jc w:val="both"/>
        <w:rPr>
          <w:rFonts w:ascii="Verdana" w:hAnsi="Verdana"/>
          <w:color w:val="000000" w:themeColor="text1"/>
        </w:rPr>
      </w:pPr>
    </w:p>
    <w:p w14:paraId="4A8E8FD5"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5A30B538"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19A51331"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6CDDFD37"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1B480C96"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361795A8"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41D52C97" w14:textId="77777777" w:rsidR="005B261C" w:rsidRPr="00115E3D" w:rsidRDefault="005B261C" w:rsidP="005B261C">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6B7CC7FE" w14:textId="77777777" w:rsidR="007130F7" w:rsidRDefault="007130F7" w:rsidP="005B261C">
      <w:pPr>
        <w:spacing w:line="276" w:lineRule="auto"/>
        <w:jc w:val="center"/>
        <w:rPr>
          <w:noProof/>
        </w:rPr>
      </w:pPr>
    </w:p>
    <w:p w14:paraId="0A46133B" w14:textId="157C6E87" w:rsidR="007130F7" w:rsidRDefault="007130F7" w:rsidP="005B261C">
      <w:pPr>
        <w:spacing w:line="276" w:lineRule="auto"/>
        <w:jc w:val="center"/>
        <w:rPr>
          <w:noProof/>
        </w:rPr>
      </w:pPr>
      <w:r>
        <w:rPr>
          <w:noProof/>
        </w:rPr>
        <w:lastRenderedPageBreak/>
        <w:drawing>
          <wp:inline distT="0" distB="0" distL="0" distR="0" wp14:anchorId="201FD1EF" wp14:editId="376CA9E0">
            <wp:extent cx="3230880" cy="1386961"/>
            <wp:effectExtent l="0" t="0" r="7620" b="3810"/>
            <wp:docPr id="20184026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42817" cy="139208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B261C" w:rsidRPr="00115E3D" w14:paraId="62B6198F" w14:textId="77777777" w:rsidTr="006F1A38">
        <w:trPr>
          <w:trHeight w:val="315"/>
        </w:trPr>
        <w:tc>
          <w:tcPr>
            <w:tcW w:w="893" w:type="dxa"/>
            <w:vAlign w:val="center"/>
            <w:hideMark/>
          </w:tcPr>
          <w:p w14:paraId="22558D1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11F7BB" w14:textId="474BC748" w:rsidR="005B261C" w:rsidRPr="00115E3D" w:rsidRDefault="00AB5151" w:rsidP="006F1A38">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w:t>
            </w:r>
            <w:r w:rsidR="005B261C">
              <w:rPr>
                <w:rFonts w:ascii="Verdana" w:eastAsia="Arial" w:hAnsi="Verdana" w:cs="Arial"/>
                <w:color w:val="000000" w:themeColor="text1"/>
                <w:sz w:val="16"/>
                <w:szCs w:val="16"/>
              </w:rPr>
              <w:t xml:space="preserve"> </w:t>
            </w:r>
          </w:p>
          <w:p w14:paraId="17599502" w14:textId="11540CED" w:rsidR="005B261C" w:rsidRPr="00115E3D" w:rsidRDefault="00AB5151" w:rsidP="006F1A38">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005B261C" w:rsidRPr="00115E3D">
              <w:rPr>
                <w:rStyle w:val="normaltextrun"/>
                <w:rFonts w:ascii="Verdana" w:eastAsia="Arial" w:hAnsi="Verdana" w:cs="Arial"/>
                <w:color w:val="000000" w:themeColor="text1"/>
                <w:sz w:val="16"/>
                <w:szCs w:val="16"/>
              </w:rPr>
              <w:t>de la Subdirección de Gestión Contractual</w:t>
            </w:r>
          </w:p>
        </w:tc>
      </w:tr>
      <w:tr w:rsidR="005B261C" w:rsidRPr="00115E3D" w14:paraId="7ACE6661" w14:textId="77777777" w:rsidTr="006F1A38">
        <w:trPr>
          <w:trHeight w:val="330"/>
        </w:trPr>
        <w:tc>
          <w:tcPr>
            <w:tcW w:w="893" w:type="dxa"/>
            <w:vAlign w:val="center"/>
            <w:hideMark/>
          </w:tcPr>
          <w:p w14:paraId="7EFF66C0"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15D1DB" w14:textId="623D51F0" w:rsidR="005B261C" w:rsidRPr="00B37171" w:rsidRDefault="0022654C"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Saavedra</w:t>
            </w:r>
          </w:p>
          <w:p w14:paraId="0B208D03" w14:textId="77777777" w:rsidR="005B261C" w:rsidRPr="00115E3D" w:rsidRDefault="005B261C"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5B261C" w:rsidRPr="00115E3D" w14:paraId="0756A38D" w14:textId="77777777" w:rsidTr="006F1A38">
        <w:trPr>
          <w:trHeight w:val="300"/>
        </w:trPr>
        <w:tc>
          <w:tcPr>
            <w:tcW w:w="893" w:type="dxa"/>
            <w:vAlign w:val="center"/>
          </w:tcPr>
          <w:p w14:paraId="5B3AA39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A246D8"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3384C3C1"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3900974D" w14:textId="6B82F99B" w:rsidR="003D5B0D" w:rsidRDefault="003D5B0D" w:rsidP="005B261C"/>
    <w:sectPr w:rsidR="003D5B0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5F5DF2" w14:textId="77777777" w:rsidR="00757DB5" w:rsidRDefault="00757DB5" w:rsidP="004A1847">
      <w:pPr>
        <w:spacing w:after="0" w:line="240" w:lineRule="auto"/>
      </w:pPr>
      <w:r>
        <w:separator/>
      </w:r>
    </w:p>
  </w:endnote>
  <w:endnote w:type="continuationSeparator" w:id="0">
    <w:p w14:paraId="4FD82046" w14:textId="77777777" w:rsidR="00757DB5" w:rsidRDefault="00757DB5" w:rsidP="004A1847">
      <w:pPr>
        <w:spacing w:after="0" w:line="240" w:lineRule="auto"/>
      </w:pPr>
      <w:r>
        <w:continuationSeparator/>
      </w:r>
    </w:p>
  </w:endnote>
  <w:endnote w:type="continuationNotice" w:id="1">
    <w:p w14:paraId="0C45474A" w14:textId="77777777" w:rsidR="00757DB5" w:rsidRDefault="00757D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88DEF7" w14:textId="77777777" w:rsidR="00757DB5" w:rsidRDefault="00757DB5" w:rsidP="004A1847">
      <w:pPr>
        <w:spacing w:after="0" w:line="240" w:lineRule="auto"/>
      </w:pPr>
      <w:r>
        <w:separator/>
      </w:r>
    </w:p>
  </w:footnote>
  <w:footnote w:type="continuationSeparator" w:id="0">
    <w:p w14:paraId="5D4A7F9F" w14:textId="77777777" w:rsidR="00757DB5" w:rsidRDefault="00757DB5" w:rsidP="004A1847">
      <w:pPr>
        <w:spacing w:after="0" w:line="240" w:lineRule="auto"/>
      </w:pPr>
      <w:r>
        <w:continuationSeparator/>
      </w:r>
    </w:p>
  </w:footnote>
  <w:footnote w:type="continuationNotice" w:id="1">
    <w:p w14:paraId="6CE64D44" w14:textId="77777777" w:rsidR="00757DB5" w:rsidRDefault="00757DB5">
      <w:pPr>
        <w:spacing w:after="0" w:line="240" w:lineRule="auto"/>
      </w:pPr>
    </w:p>
  </w:footnote>
  <w:footnote w:id="2">
    <w:p w14:paraId="69E09C4F" w14:textId="77777777" w:rsidR="00EA5B0C" w:rsidRPr="007A5156" w:rsidRDefault="00EA5B0C" w:rsidP="00EA5B0C">
      <w:pPr>
        <w:pStyle w:val="Textonotapie"/>
        <w:ind w:firstLine="709"/>
        <w:jc w:val="both"/>
        <w:rPr>
          <w:rFonts w:ascii="Verdana" w:hAnsi="Verdana"/>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sz w:val="16"/>
          <w:szCs w:val="16"/>
          <w:lang w:val="es-CO"/>
        </w:rPr>
        <w:t>Artículo 346. “[…] El Gobierno formulará anualmente el presupuesto de rentas y ley de apropiaciones, que será presentado al Congreso dentro de los primeros diez días de cada legislatura. El presupuesto de rentas y ley de apropiaciones deberá elaborarse, presentarse y aprobarse dentro de un marco de sostenibilidad fiscal y corresponder al Plan Nacional de Desarrollo. […]”</w:t>
      </w:r>
    </w:p>
  </w:footnote>
  <w:footnote w:id="3">
    <w:p w14:paraId="68D9818D" w14:textId="77777777" w:rsidR="00EA5B0C" w:rsidRPr="007A5156" w:rsidRDefault="00EA5B0C" w:rsidP="00EA5B0C">
      <w:pPr>
        <w:pStyle w:val="Textonotapie"/>
        <w:ind w:firstLine="708"/>
        <w:jc w:val="both"/>
        <w:rPr>
          <w:rFonts w:ascii="Verdana" w:hAnsi="Verdana" w:cs="Arial"/>
          <w:sz w:val="16"/>
          <w:szCs w:val="16"/>
        </w:rPr>
      </w:pPr>
      <w:r w:rsidRPr="007A5156">
        <w:rPr>
          <w:rStyle w:val="Refdenotaalpie"/>
          <w:rFonts w:ascii="Verdana" w:hAnsi="Verdana" w:cs="Arial"/>
          <w:sz w:val="16"/>
          <w:szCs w:val="16"/>
        </w:rPr>
        <w:footnoteRef/>
      </w:r>
      <w:r w:rsidRPr="007A5156">
        <w:rPr>
          <w:rFonts w:ascii="Verdana" w:hAnsi="Verdana" w:cs="Arial"/>
          <w:sz w:val="16"/>
          <w:szCs w:val="16"/>
        </w:rPr>
        <w:t xml:space="preserve"> “El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aparato estatal”. PEÑA GONZÁLEZ, Edilberto. Principios e instituciones presupuestales en Colombia, en: Estudios Socio-Jurídicos, Bogotá (Colombia), 9 (1), enero-junio de 2007, p. 248 y 250.</w:t>
      </w:r>
    </w:p>
  </w:footnote>
  <w:footnote w:id="4">
    <w:p w14:paraId="7B4BEBEA" w14:textId="77777777" w:rsidR="00EA5B0C" w:rsidRPr="007A5156" w:rsidRDefault="00EA5B0C" w:rsidP="00EA5B0C">
      <w:pPr>
        <w:pStyle w:val="Textonotapie"/>
        <w:ind w:firstLine="708"/>
        <w:jc w:val="both"/>
        <w:rPr>
          <w:rFonts w:ascii="Verdana" w:hAnsi="Verdana" w:cs="Arial"/>
          <w:sz w:val="16"/>
          <w:szCs w:val="16"/>
        </w:rPr>
      </w:pPr>
      <w:r w:rsidRPr="007A5156">
        <w:rPr>
          <w:rStyle w:val="Refdenotaalpie"/>
          <w:rFonts w:ascii="Verdana" w:hAnsi="Verdana" w:cs="Arial"/>
          <w:sz w:val="16"/>
          <w:szCs w:val="16"/>
        </w:rPr>
        <w:footnoteRef/>
      </w:r>
      <w:r w:rsidRPr="007A5156">
        <w:rPr>
          <w:rFonts w:ascii="Verdana" w:hAnsi="Verdana" w:cs="Arial"/>
          <w:sz w:val="16"/>
          <w:szCs w:val="16"/>
        </w:rPr>
        <w:t xml:space="preserve"> De conformidad con lo dispuesto en el artículo 10 del Decreto 111 de 1996 “La Ley Anual sobre el Presupuesto General de la Nación es el instrumento para el cumplimiento de los planes y programas de desarrollo económico y social” </w:t>
      </w:r>
    </w:p>
    <w:p w14:paraId="2AA66D37" w14:textId="77777777" w:rsidR="00EA5B0C" w:rsidRPr="007A5156" w:rsidRDefault="00EA5B0C" w:rsidP="00EA5B0C">
      <w:pPr>
        <w:pStyle w:val="Textonotapie"/>
        <w:ind w:firstLine="708"/>
        <w:jc w:val="both"/>
        <w:rPr>
          <w:rFonts w:ascii="Verdana" w:hAnsi="Verdana" w:cs="Arial"/>
          <w:sz w:val="16"/>
          <w:szCs w:val="16"/>
        </w:rPr>
      </w:pPr>
      <w:r w:rsidRPr="007A5156">
        <w:rPr>
          <w:rFonts w:ascii="Verdana" w:hAnsi="Verdana" w:cs="Arial"/>
          <w:sz w:val="16"/>
          <w:szCs w:val="16"/>
        </w:rPr>
        <w:t>A su turno, el artículo 11 del mismo Decreto indica que “El Presupuesto General de la Nación se compone de las siguientes partes:</w:t>
      </w:r>
    </w:p>
    <w:p w14:paraId="4DB89E89" w14:textId="77777777" w:rsidR="00EA5B0C" w:rsidRPr="007A5156" w:rsidRDefault="00EA5B0C" w:rsidP="00EA5B0C">
      <w:pPr>
        <w:pStyle w:val="Textonotapie"/>
        <w:ind w:firstLine="708"/>
        <w:jc w:val="both"/>
        <w:rPr>
          <w:rFonts w:ascii="Verdana" w:hAnsi="Verdana" w:cs="Arial"/>
          <w:sz w:val="16"/>
          <w:szCs w:val="16"/>
        </w:rPr>
      </w:pPr>
      <w:r w:rsidRPr="007A5156">
        <w:rPr>
          <w:rFonts w:ascii="Verdana" w:hAnsi="Verdana" w:cs="Arial"/>
          <w:sz w:val="16"/>
          <w:szCs w:val="16"/>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3EA6D984" w14:textId="77777777" w:rsidR="00EA5B0C" w:rsidRPr="007A5156" w:rsidRDefault="00EA5B0C" w:rsidP="00EA5B0C">
      <w:pPr>
        <w:pStyle w:val="Textonotapie"/>
        <w:ind w:firstLine="708"/>
        <w:jc w:val="both"/>
        <w:rPr>
          <w:rFonts w:ascii="Verdana" w:hAnsi="Verdana" w:cs="Arial"/>
          <w:sz w:val="16"/>
          <w:szCs w:val="16"/>
        </w:rPr>
      </w:pPr>
      <w:r w:rsidRPr="007A5156">
        <w:rPr>
          <w:rFonts w:ascii="Verdana" w:hAnsi="Verdana" w:cs="Arial"/>
          <w:sz w:val="16"/>
          <w:szCs w:val="16"/>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21F37E70" w14:textId="77777777" w:rsidR="00EA5B0C" w:rsidRPr="007A5156" w:rsidRDefault="00EA5B0C" w:rsidP="00EA5B0C">
      <w:pPr>
        <w:pStyle w:val="Textonotapie"/>
        <w:ind w:firstLine="708"/>
        <w:jc w:val="both"/>
        <w:rPr>
          <w:rFonts w:ascii="Verdana" w:hAnsi="Verdana" w:cs="Arial"/>
          <w:sz w:val="16"/>
          <w:szCs w:val="16"/>
          <w:lang w:val="es-CO"/>
        </w:rPr>
      </w:pPr>
      <w:r w:rsidRPr="007A5156">
        <w:rPr>
          <w:rFonts w:ascii="Verdana" w:hAnsi="Verdana" w:cs="Arial"/>
          <w:sz w:val="16"/>
          <w:szCs w:val="16"/>
        </w:rPr>
        <w:t xml:space="preserve"> c) Disposiciones generales. Corresponde a las normas tendientes a asegurar la correcta ejecución del Presupuesto General de la Nación, las cuales regirán únicamente para el año fiscal para el cual se expidan.»</w:t>
      </w:r>
    </w:p>
  </w:footnote>
  <w:footnote w:id="5">
    <w:p w14:paraId="15464E3B" w14:textId="77777777" w:rsidR="00EA5B0C" w:rsidRPr="007A5156" w:rsidRDefault="00EA5B0C" w:rsidP="00EA5B0C">
      <w:pPr>
        <w:pStyle w:val="Textonotapie"/>
        <w:ind w:firstLine="709"/>
        <w:jc w:val="both"/>
        <w:rPr>
          <w:rFonts w:ascii="Verdana" w:hAnsi="Verdana"/>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Decreto 1068 de 2015 “</w:t>
      </w:r>
      <w:r w:rsidRPr="007A5156">
        <w:rPr>
          <w:rFonts w:ascii="Verdana" w:hAnsi="Verdana" w:cs="Arial"/>
          <w:sz w:val="16"/>
          <w:szCs w:val="16"/>
          <w:lang w:val="es-CO"/>
        </w:rPr>
        <w:t>Artículo </w:t>
      </w:r>
      <w:bookmarkStart w:id="4" w:name="2.8.3.4"/>
      <w:bookmarkEnd w:id="4"/>
      <w:r w:rsidRPr="007A5156">
        <w:rPr>
          <w:rFonts w:ascii="Verdana" w:hAnsi="Verdana" w:cs="Arial"/>
          <w:sz w:val="16"/>
          <w:szCs w:val="16"/>
          <w:lang w:val="es-CO"/>
        </w:rPr>
        <w:t>2.8.3.4. </w:t>
      </w:r>
      <w:r w:rsidRPr="007A5156">
        <w:rPr>
          <w:rFonts w:ascii="Verdana" w:hAnsi="Verdana" w:cs="Arial"/>
          <w:i/>
          <w:iCs/>
          <w:sz w:val="16"/>
          <w:szCs w:val="16"/>
          <w:lang w:val="es-CO"/>
        </w:rPr>
        <w:t>Anualidad.</w:t>
      </w:r>
      <w:r w:rsidRPr="007A5156">
        <w:rPr>
          <w:rFonts w:ascii="Verdana" w:hAnsi="Verdana" w:cs="Arial"/>
          <w:sz w:val="16"/>
          <w:szCs w:val="16"/>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p>
  </w:footnote>
  <w:footnote w:id="6">
    <w:p w14:paraId="4533E21C" w14:textId="77777777" w:rsidR="00EA5B0C" w:rsidRPr="007A5156" w:rsidRDefault="00EA5B0C" w:rsidP="00EA5B0C">
      <w:pPr>
        <w:pStyle w:val="Textonotapie"/>
        <w:ind w:right="49" w:firstLine="708"/>
        <w:jc w:val="both"/>
        <w:rPr>
          <w:rFonts w:ascii="Verdana" w:hAnsi="Verdana" w:cs="Arial"/>
          <w:color w:val="000000"/>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color w:val="000000"/>
          <w:sz w:val="16"/>
          <w:szCs w:val="16"/>
        </w:rPr>
        <w:t>Consejo de Estado. Sección Tercera. Sentencia del 1 de febrero de 2018. Radicado Nro.</w:t>
      </w:r>
      <w:r w:rsidRPr="007A5156">
        <w:rPr>
          <w:rFonts w:ascii="Verdana" w:hAnsi="Verdana" w:cs="Arial"/>
          <w:color w:val="000000"/>
          <w:sz w:val="16"/>
          <w:szCs w:val="16"/>
          <w:lang w:val="es-CO"/>
        </w:rPr>
        <w:t xml:space="preserve"> 08001-2331-000-2010-00987-01</w:t>
      </w:r>
      <w:r w:rsidRPr="007A5156">
        <w:rPr>
          <w:rFonts w:ascii="Verdana" w:hAnsi="Verdana" w:cs="Arial"/>
          <w:color w:val="000000"/>
          <w:sz w:val="16"/>
          <w:szCs w:val="16"/>
        </w:rPr>
        <w:t xml:space="preserve">. C.P. </w:t>
      </w:r>
      <w:r w:rsidRPr="007A5156">
        <w:rPr>
          <w:rFonts w:ascii="Verdana" w:hAnsi="Verdana" w:cs="Arial"/>
          <w:color w:val="000000"/>
          <w:sz w:val="16"/>
          <w:szCs w:val="16"/>
          <w:lang w:val="es-CO"/>
        </w:rPr>
        <w:t>Oswaldo Giraldo López</w:t>
      </w:r>
    </w:p>
    <w:p w14:paraId="72761A3F" w14:textId="77777777" w:rsidR="00EA5B0C" w:rsidRPr="007A5156" w:rsidRDefault="00EA5B0C" w:rsidP="00EA5B0C">
      <w:pPr>
        <w:pStyle w:val="Textonotapie"/>
        <w:jc w:val="both"/>
        <w:rPr>
          <w:rFonts w:ascii="Verdana" w:hAnsi="Verdana"/>
          <w:sz w:val="16"/>
          <w:szCs w:val="16"/>
          <w:lang w:val="es-CO"/>
        </w:rPr>
      </w:pPr>
    </w:p>
  </w:footnote>
  <w:footnote w:id="7">
    <w:p w14:paraId="37D9C711" w14:textId="77777777" w:rsidR="00EA5B0C" w:rsidRPr="007A5156" w:rsidRDefault="00EA5B0C" w:rsidP="00EA5B0C">
      <w:pPr>
        <w:pStyle w:val="Textonotapie"/>
        <w:ind w:firstLine="708"/>
        <w:rPr>
          <w:rFonts w:ascii="Verdana" w:hAnsi="Verdana"/>
          <w:sz w:val="16"/>
          <w:szCs w:val="16"/>
          <w:lang w:val="es-ES"/>
        </w:rPr>
      </w:pPr>
      <w:r w:rsidRPr="007A5156">
        <w:rPr>
          <w:rStyle w:val="Refdenotaalpie"/>
          <w:rFonts w:ascii="Verdana" w:hAnsi="Verdana"/>
          <w:sz w:val="16"/>
          <w:szCs w:val="16"/>
        </w:rPr>
        <w:footnoteRef/>
      </w:r>
      <w:r w:rsidRPr="007A5156">
        <w:rPr>
          <w:rFonts w:ascii="Verdana" w:hAnsi="Verdana"/>
          <w:sz w:val="16"/>
          <w:szCs w:val="16"/>
        </w:rPr>
        <w:t xml:space="preserve"> NARANJO FLORES, Carlos Eduardo; CELY CUBIDES, Diego Mauricio. Las excepciones al principio de anualidad en la contratación estatal. Bogotá: Revista de Derecho Fiscal Universidad Externado de Colombia, 2008, no 4. pp. 250-251.</w:t>
      </w:r>
    </w:p>
  </w:footnote>
  <w:footnote w:id="8">
    <w:p w14:paraId="38B6AB79" w14:textId="77777777" w:rsidR="00EA5B0C" w:rsidRPr="007A5156" w:rsidRDefault="00EA5B0C" w:rsidP="00EA5B0C">
      <w:pPr>
        <w:pStyle w:val="Textonotapie"/>
        <w:ind w:firstLine="709"/>
        <w:jc w:val="both"/>
        <w:rPr>
          <w:rFonts w:ascii="Verdana" w:hAnsi="Verdana" w:cs="Arial"/>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w:t>
      </w:r>
      <w:bookmarkStart w:id="5" w:name="23"/>
      <w:r w:rsidRPr="007A5156">
        <w:rPr>
          <w:rFonts w:ascii="Verdana" w:eastAsia="Calibri" w:hAnsi="Verdana" w:cs="Arial"/>
          <w:sz w:val="16"/>
          <w:szCs w:val="16"/>
          <w:lang w:val="es-ES_tradnl"/>
        </w:rPr>
        <w:t>“</w:t>
      </w:r>
      <w:r w:rsidRPr="007A5156">
        <w:rPr>
          <w:rFonts w:ascii="Verdana" w:hAnsi="Verdana" w:cs="Arial"/>
          <w:sz w:val="16"/>
          <w:szCs w:val="16"/>
          <w:lang w:val="es-CO"/>
        </w:rPr>
        <w:t>Artículo 23.</w:t>
      </w:r>
      <w:bookmarkEnd w:id="5"/>
      <w:r w:rsidRPr="007A5156">
        <w:rPr>
          <w:rFonts w:ascii="Verdana" w:hAnsi="Verdana" w:cs="Arial"/>
          <w:sz w:val="16"/>
          <w:szCs w:val="16"/>
          <w:lang w:val="es-CO"/>
        </w:rPr>
        <w:t xml:space="preserve"> El 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52DD01B2" w14:textId="77777777" w:rsidR="00EA5B0C" w:rsidRPr="007A5156" w:rsidRDefault="00EA5B0C" w:rsidP="00EA5B0C">
      <w:pPr>
        <w:pStyle w:val="Textonotapie"/>
        <w:ind w:firstLine="567"/>
        <w:jc w:val="both"/>
        <w:rPr>
          <w:rFonts w:ascii="Verdana" w:hAnsi="Verdana" w:cs="Arial"/>
          <w:sz w:val="16"/>
          <w:szCs w:val="16"/>
          <w:lang w:val="es-CO"/>
        </w:rPr>
      </w:pPr>
      <w:r w:rsidRPr="007A5156">
        <w:rPr>
          <w:rFonts w:ascii="Verdana" w:hAnsi="Verdana" w:cs="Arial"/>
          <w:sz w:val="16"/>
          <w:szCs w:val="16"/>
          <w:lang w:val="es-CO"/>
        </w:rPr>
        <w:t>a) El monto máximo de vigencias futuras, el plazo y las condiciones de las mismas consulte las metas plurianuales del Marco Fiscal de Mediano Plazo de que trata el artículo </w:t>
      </w:r>
      <w:r w:rsidRPr="00C54CF0">
        <w:rPr>
          <w:rFonts w:ascii="Verdana" w:hAnsi="Verdana"/>
          <w:sz w:val="16"/>
          <w:szCs w:val="16"/>
        </w:rPr>
        <w:t xml:space="preserve">1 </w:t>
      </w:r>
      <w:r w:rsidRPr="007A5156">
        <w:rPr>
          <w:rFonts w:ascii="Verdana" w:hAnsi="Verdana" w:cs="Arial"/>
          <w:sz w:val="16"/>
          <w:szCs w:val="16"/>
          <w:lang w:val="es-CO"/>
        </w:rPr>
        <w:t>de esta ley;</w:t>
      </w:r>
    </w:p>
    <w:p w14:paraId="0396E11C" w14:textId="77777777" w:rsidR="00EA5B0C" w:rsidRPr="007A5156" w:rsidRDefault="00EA5B0C" w:rsidP="00EA5B0C">
      <w:pPr>
        <w:pStyle w:val="Textonotapie"/>
        <w:ind w:firstLine="567"/>
        <w:jc w:val="both"/>
        <w:rPr>
          <w:rFonts w:ascii="Verdana" w:hAnsi="Verdana" w:cs="Arial"/>
          <w:sz w:val="16"/>
          <w:szCs w:val="16"/>
          <w:lang w:val="es-CO"/>
        </w:rPr>
      </w:pPr>
      <w:r w:rsidRPr="007A5156">
        <w:rPr>
          <w:rFonts w:ascii="Verdana" w:hAnsi="Verdana" w:cs="Arial"/>
          <w:sz w:val="16"/>
          <w:szCs w:val="16"/>
          <w:lang w:val="es-CO"/>
        </w:rPr>
        <w:t>b) Como mínimo, de las vigencias futuras que se soliciten se deberá contar con apropiación del quince por ciento (15%) en la vigencia fiscal en la que estas sean autorizadas;</w:t>
      </w:r>
    </w:p>
    <w:p w14:paraId="4E46A1AC" w14:textId="77777777" w:rsidR="00EA5B0C" w:rsidRPr="007A5156" w:rsidRDefault="00EA5B0C" w:rsidP="00EA5B0C">
      <w:pPr>
        <w:pStyle w:val="Textonotapie"/>
        <w:ind w:firstLine="567"/>
        <w:jc w:val="both"/>
        <w:rPr>
          <w:rFonts w:ascii="Verdana" w:hAnsi="Verdana" w:cs="Arial"/>
          <w:sz w:val="16"/>
          <w:szCs w:val="16"/>
          <w:lang w:val="es-CO"/>
        </w:rPr>
      </w:pPr>
      <w:r w:rsidRPr="007A5156">
        <w:rPr>
          <w:rFonts w:ascii="Verdana" w:hAnsi="Verdana" w:cs="Arial"/>
          <w:sz w:val="16"/>
          <w:szCs w:val="16"/>
          <w:lang w:val="es-CO"/>
        </w:rPr>
        <w:t>c) Cuando se trate de proyectos de inversión nacional deberá obtenerse el concepto previo y favorable del Departamento Nacional de Planeación y del Ministerio del ramo.</w:t>
      </w:r>
    </w:p>
    <w:p w14:paraId="06B52DA9" w14:textId="77777777" w:rsidR="00EA5B0C" w:rsidRPr="007A5156" w:rsidRDefault="00EA5B0C" w:rsidP="00EA5B0C">
      <w:pPr>
        <w:pStyle w:val="Textonotapie"/>
        <w:jc w:val="both"/>
        <w:rPr>
          <w:rFonts w:ascii="Verdana" w:hAnsi="Verdana" w:cs="Arial"/>
          <w:sz w:val="16"/>
          <w:szCs w:val="16"/>
          <w:lang w:val="es-CO"/>
        </w:rPr>
      </w:pPr>
      <w:r w:rsidRPr="007A5156">
        <w:rPr>
          <w:rFonts w:ascii="Verdana" w:hAnsi="Verdana" w:cs="Arial"/>
          <w:sz w:val="16"/>
          <w:szCs w:val="16"/>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6FA56EA1" w14:textId="77777777" w:rsidR="00EA5B0C" w:rsidRPr="007A5156" w:rsidRDefault="00EA5B0C" w:rsidP="00EA5B0C">
      <w:pPr>
        <w:pStyle w:val="Textonotapie"/>
        <w:jc w:val="both"/>
        <w:rPr>
          <w:rFonts w:ascii="Verdana" w:hAnsi="Verdana" w:cs="Arial"/>
          <w:sz w:val="16"/>
          <w:szCs w:val="16"/>
          <w:lang w:val="es-CO"/>
        </w:rPr>
      </w:pPr>
      <w:r w:rsidRPr="007A5156">
        <w:rPr>
          <w:rFonts w:ascii="Verdana" w:hAnsi="Verdana" w:cs="Arial"/>
          <w:sz w:val="16"/>
          <w:szCs w:val="16"/>
          <w:lang w:val="es-CO"/>
        </w:rPr>
        <w:t>Esta disposición también se aplicará a las entidades de que trata el artículo 9o de la presente ley. El Gobierno reglamentará la materia.</w:t>
      </w:r>
    </w:p>
    <w:p w14:paraId="38920635" w14:textId="77777777" w:rsidR="00EA5B0C" w:rsidRPr="007A5156" w:rsidRDefault="00EA5B0C" w:rsidP="00EA5B0C">
      <w:pPr>
        <w:pStyle w:val="Textonotapie"/>
        <w:ind w:firstLine="709"/>
        <w:jc w:val="both"/>
        <w:rPr>
          <w:rFonts w:ascii="Verdana" w:hAnsi="Verdana" w:cs="Arial"/>
          <w:sz w:val="16"/>
          <w:szCs w:val="16"/>
          <w:lang w:val="es-CO"/>
        </w:rPr>
      </w:pPr>
      <w:r w:rsidRPr="007A5156">
        <w:rPr>
          <w:rFonts w:ascii="Verdana" w:hAnsi="Verdana" w:cs="Arial"/>
          <w:sz w:val="16"/>
          <w:szCs w:val="16"/>
          <w:lang w:val="es-CO"/>
        </w:rPr>
        <w:t>El Ministerio de Hacienda y Crédito Público, Dirección General del Presupuesto Público Nacional, incluirá en los proyectos de presupuesto las asignaciones necesarias para darle cumplimiento a lo dispuesto en este artículo. […]</w:t>
      </w:r>
      <w:r w:rsidRPr="007A5156">
        <w:rPr>
          <w:rFonts w:ascii="Verdana" w:eastAsia="Calibri" w:hAnsi="Verdana" w:cs="Arial"/>
          <w:sz w:val="16"/>
          <w:szCs w:val="16"/>
          <w:lang w:val="es-ES_tradnl"/>
        </w:rPr>
        <w:t>”</w:t>
      </w:r>
    </w:p>
  </w:footnote>
  <w:footnote w:id="9">
    <w:p w14:paraId="5504F280" w14:textId="77777777" w:rsidR="00EA5B0C" w:rsidRPr="007A5156" w:rsidRDefault="00EA5B0C" w:rsidP="00EA5B0C">
      <w:pPr>
        <w:pStyle w:val="Textonotapie"/>
        <w:ind w:firstLine="567"/>
        <w:jc w:val="both"/>
        <w:rPr>
          <w:rFonts w:ascii="Verdana" w:hAnsi="Verdana" w:cs="Arial"/>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Consejo de Estado. Sección Tercera. Sentencia del 1 de febrero de 2018. Radicado Nro. 08001-2331-000-2010-00987-01. C.P. Oswaldo Giraldo López</w:t>
      </w:r>
    </w:p>
  </w:footnote>
  <w:footnote w:id="10">
    <w:p w14:paraId="39D7EAC6" w14:textId="77777777" w:rsidR="00EA5B0C" w:rsidRPr="007A5156" w:rsidRDefault="00EA5B0C" w:rsidP="00EA5B0C">
      <w:pPr>
        <w:pStyle w:val="Textonotapie"/>
        <w:ind w:firstLine="709"/>
        <w:jc w:val="both"/>
        <w:rPr>
          <w:rFonts w:ascii="Verdana" w:hAnsi="Verdana" w:cs="Arial"/>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sz w:val="16"/>
          <w:szCs w:val="16"/>
        </w:rPr>
        <w:t xml:space="preserve">Consejo de Estado. Sección Tercera. Sentencia del 12 de agosto de 2014. Radicado Nro. </w:t>
      </w:r>
      <w:r w:rsidRPr="007A5156">
        <w:rPr>
          <w:rFonts w:ascii="Verdana" w:hAnsi="Verdana" w:cs="Arial"/>
          <w:bCs/>
          <w:sz w:val="16"/>
          <w:szCs w:val="16"/>
          <w:lang w:val="es-ES"/>
        </w:rPr>
        <w:t xml:space="preserve">05001-23-31-000-1998-01350-01(28565) </w:t>
      </w:r>
      <w:r w:rsidRPr="007A5156">
        <w:rPr>
          <w:rFonts w:ascii="Verdana" w:hAnsi="Verdana" w:cs="Arial"/>
          <w:sz w:val="16"/>
          <w:szCs w:val="16"/>
        </w:rPr>
        <w:t>C.P. Enrique Gil Botero</w:t>
      </w:r>
    </w:p>
  </w:footnote>
  <w:footnote w:id="11">
    <w:p w14:paraId="2B567257" w14:textId="77777777" w:rsidR="00EA5B0C" w:rsidRPr="007A5156" w:rsidRDefault="00EA5B0C" w:rsidP="00EA5B0C">
      <w:pPr>
        <w:pStyle w:val="Textonotapie"/>
        <w:ind w:firstLine="709"/>
        <w:jc w:val="both"/>
        <w:rPr>
          <w:rFonts w:ascii="Verdana" w:eastAsia="Calibri" w:hAnsi="Verdana" w:cs="Arial"/>
          <w:sz w:val="16"/>
          <w:szCs w:val="16"/>
          <w:lang w:val="es-ES_tradnl"/>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sz w:val="16"/>
          <w:szCs w:val="16"/>
        </w:rPr>
        <w:t xml:space="preserve">Conforme al Artículo 89 del </w:t>
      </w:r>
      <w:r w:rsidRPr="007A5156">
        <w:rPr>
          <w:rFonts w:ascii="Verdana" w:eastAsia="Calibri" w:hAnsi="Verdana" w:cs="Arial"/>
          <w:color w:val="000000" w:themeColor="text1"/>
          <w:sz w:val="16"/>
          <w:szCs w:val="16"/>
          <w:lang w:val="es-ES"/>
        </w:rPr>
        <w:t>Estatuto Orgánico del Presupuesto</w:t>
      </w:r>
      <w:r w:rsidRPr="007A5156">
        <w:rPr>
          <w:rFonts w:ascii="Verdana" w:eastAsia="Times New Roman" w:hAnsi="Verdana" w:cs="Arial"/>
          <w:color w:val="4B4949"/>
          <w:sz w:val="16"/>
          <w:szCs w:val="16"/>
          <w:lang w:val="es-CO" w:eastAsia="es-ES_tradnl"/>
        </w:rPr>
        <w:t xml:space="preserve"> </w:t>
      </w:r>
      <w:r w:rsidRPr="007A5156">
        <w:rPr>
          <w:rFonts w:ascii="Verdana" w:eastAsia="Calibri" w:hAnsi="Verdana" w:cs="Arial"/>
          <w:sz w:val="16"/>
          <w:szCs w:val="16"/>
          <w:lang w:val="es-CO"/>
        </w:rPr>
        <w:t>“</w:t>
      </w:r>
      <w:r w:rsidRPr="007A5156">
        <w:rPr>
          <w:rFonts w:ascii="Verdana" w:eastAsia="Calibri" w:hAnsi="Verdana" w:cs="Arial"/>
          <w:sz w:val="16"/>
          <w:szCs w:val="16"/>
          <w:lang w:val="es-ES_tradnl"/>
        </w:rPr>
        <w:t xml:space="preserve">[…] </w:t>
      </w:r>
      <w:r w:rsidRPr="007A5156">
        <w:rPr>
          <w:rFonts w:ascii="Verdana" w:eastAsia="Times New Roman" w:hAnsi="Verdana" w:cs="Arial"/>
          <w:color w:val="4B4949"/>
          <w:sz w:val="16"/>
          <w:szCs w:val="16"/>
          <w:lang w:val="es-CO" w:eastAsia="es-ES_tradnl"/>
        </w:rPr>
        <w:t>c</w:t>
      </w:r>
      <w:r w:rsidRPr="007A5156">
        <w:rPr>
          <w:rFonts w:ascii="Verdana" w:eastAsia="Calibri" w:hAnsi="Verdana" w:cs="Arial"/>
          <w:color w:val="000000" w:themeColor="text1"/>
          <w:sz w:val="16"/>
          <w:szCs w:val="16"/>
          <w:lang w:val="es-CO"/>
        </w:rPr>
        <w:t>ada órgano constituirá al 31 de diciembre del año cuentas por pagar con las obligaciones correspondientes a los anticipos pactados en los contratos y a la entrega de bienes y servicios</w:t>
      </w:r>
      <w:r w:rsidRPr="007A5156">
        <w:rPr>
          <w:rFonts w:ascii="Verdana" w:eastAsia="Calibri" w:hAnsi="Verdana" w:cs="Arial"/>
          <w:sz w:val="16"/>
          <w:szCs w:val="16"/>
          <w:lang w:val="es-ES_tradnl"/>
        </w:rPr>
        <w:t>”.</w:t>
      </w:r>
    </w:p>
  </w:footnote>
  <w:footnote w:id="12">
    <w:p w14:paraId="2E6D473A" w14:textId="77777777" w:rsidR="00EA5B0C" w:rsidRPr="007A5156" w:rsidRDefault="00EA5B0C" w:rsidP="00EA5B0C">
      <w:pPr>
        <w:pStyle w:val="Textonotapie"/>
        <w:ind w:firstLine="709"/>
        <w:jc w:val="both"/>
        <w:rPr>
          <w:rFonts w:ascii="Verdana" w:eastAsia="Calibri" w:hAnsi="Verdana" w:cs="Arial"/>
          <w:color w:val="000000" w:themeColor="text1"/>
          <w:sz w:val="16"/>
          <w:szCs w:val="16"/>
          <w:lang w:val="es-ES"/>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eastAsia="Calibri" w:hAnsi="Verdana" w:cs="Arial"/>
          <w:color w:val="000000" w:themeColor="text1"/>
          <w:sz w:val="16"/>
          <w:szCs w:val="16"/>
          <w:lang w:val="es-ES"/>
        </w:rPr>
        <w:t>Artículo 89 del Estatuto Orgánico del Presupuesto</w:t>
      </w:r>
    </w:p>
  </w:footnote>
  <w:footnote w:id="13">
    <w:p w14:paraId="31524AD2" w14:textId="77777777" w:rsidR="00EA5B0C" w:rsidRPr="007A5156" w:rsidRDefault="00EA5B0C" w:rsidP="00EA5B0C">
      <w:pPr>
        <w:pStyle w:val="Textonotapie"/>
        <w:ind w:firstLine="709"/>
        <w:jc w:val="both"/>
        <w:rPr>
          <w:rFonts w:ascii="Verdana" w:hAnsi="Verdana" w:cs="Arial"/>
          <w:sz w:val="16"/>
          <w:szCs w:val="16"/>
          <w:lang w:val="es-CO"/>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eastAsia="Calibri" w:hAnsi="Verdana" w:cs="Arial"/>
          <w:sz w:val="16"/>
          <w:szCs w:val="16"/>
          <w:lang w:val="es-ES_tradnl"/>
        </w:rPr>
        <w:t>“</w:t>
      </w:r>
      <w:r w:rsidRPr="007A5156">
        <w:rPr>
          <w:rFonts w:ascii="Verdana" w:hAnsi="Verdana" w:cs="Arial"/>
          <w:sz w:val="16"/>
          <w:szCs w:val="16"/>
          <w:lang w:val="es-CO"/>
        </w:rPr>
        <w:t>Artículo </w:t>
      </w:r>
      <w:bookmarkStart w:id="7" w:name="2.8.1.7.3.2"/>
      <w:bookmarkEnd w:id="7"/>
      <w:r w:rsidRPr="007A5156">
        <w:rPr>
          <w:rFonts w:ascii="Verdana" w:hAnsi="Verdana" w:cs="Arial"/>
          <w:sz w:val="16"/>
          <w:szCs w:val="16"/>
          <w:lang w:val="es-CO"/>
        </w:rPr>
        <w:t>2.8.1.7.3.2. </w:t>
      </w:r>
      <w:r w:rsidRPr="007A5156">
        <w:rPr>
          <w:rFonts w:ascii="Verdana" w:hAnsi="Verdana" w:cs="Arial"/>
          <w:i/>
          <w:iCs/>
          <w:sz w:val="16"/>
          <w:szCs w:val="16"/>
          <w:lang w:val="es-CO"/>
        </w:rPr>
        <w:t>Constitución de reservas presupuestales y cuentas por pagar. </w:t>
      </w:r>
      <w:r w:rsidRPr="007A5156">
        <w:rPr>
          <w:rFonts w:ascii="Verdana" w:hAnsi="Verdana" w:cs="Arial"/>
          <w:sz w:val="16"/>
          <w:szCs w:val="16"/>
          <w:lang w:val="es-CO"/>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sidRPr="007A5156">
        <w:rPr>
          <w:rFonts w:ascii="Verdana" w:eastAsia="Calibri" w:hAnsi="Verdana" w:cs="Arial"/>
          <w:sz w:val="16"/>
          <w:szCs w:val="16"/>
          <w:lang w:val="es-CO"/>
        </w:rPr>
        <w:t>”</w:t>
      </w:r>
      <w:r w:rsidRPr="007A5156">
        <w:rPr>
          <w:rFonts w:ascii="Verdana" w:hAnsi="Verdana" w:cs="Arial"/>
          <w:sz w:val="16"/>
          <w:szCs w:val="16"/>
          <w:lang w:val="es-CO"/>
        </w:rPr>
        <w:t>.</w:t>
      </w:r>
    </w:p>
    <w:p w14:paraId="3D0D3075" w14:textId="77777777" w:rsidR="00EA5B0C" w:rsidRPr="007A5156" w:rsidRDefault="00EA5B0C" w:rsidP="00EA5B0C">
      <w:pPr>
        <w:pStyle w:val="Textonotapie"/>
        <w:ind w:firstLine="709"/>
        <w:jc w:val="both"/>
        <w:rPr>
          <w:rFonts w:ascii="Verdana" w:hAnsi="Verdana"/>
          <w:sz w:val="16"/>
          <w:szCs w:val="16"/>
          <w:lang w:val="es-CO"/>
        </w:rPr>
      </w:pPr>
    </w:p>
  </w:footnote>
  <w:footnote w:id="14">
    <w:p w14:paraId="3E08CDFF" w14:textId="77777777" w:rsidR="00EA5B0C" w:rsidRPr="007A5156" w:rsidRDefault="00EA5B0C" w:rsidP="00EA5B0C">
      <w:pPr>
        <w:pStyle w:val="Textonotapie"/>
        <w:ind w:firstLine="709"/>
        <w:jc w:val="both"/>
        <w:rPr>
          <w:rFonts w:ascii="Verdana" w:hAnsi="Verdana" w:cs="Arial"/>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w:t>
      </w:r>
      <w:r w:rsidRPr="007A5156">
        <w:rPr>
          <w:rFonts w:ascii="Verdana" w:hAnsi="Verdana" w:cs="Arial"/>
          <w:sz w:val="16"/>
          <w:szCs w:val="16"/>
          <w:lang w:val="es-CO"/>
        </w:rPr>
        <w:t xml:space="preserve">Contraloría General de la República. Circular Externa 43 de 2008 </w:t>
      </w:r>
    </w:p>
  </w:footnote>
  <w:footnote w:id="15">
    <w:p w14:paraId="72D39324" w14:textId="77777777" w:rsidR="00EA5B0C" w:rsidRPr="007A5156" w:rsidRDefault="00EA5B0C" w:rsidP="00EA5B0C">
      <w:pPr>
        <w:pStyle w:val="Textonotapie"/>
        <w:ind w:right="49" w:firstLine="708"/>
        <w:jc w:val="both"/>
        <w:rPr>
          <w:rFonts w:ascii="Verdana" w:hAnsi="Verdana" w:cs="Arial"/>
          <w:color w:val="000000"/>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color w:val="000000"/>
          <w:sz w:val="16"/>
          <w:szCs w:val="16"/>
        </w:rPr>
        <w:t>Consejo de Estado. Sección Tercera. Sentencia del 1 de febrero de 2018. Radicado Nro.</w:t>
      </w:r>
      <w:r w:rsidRPr="007A5156">
        <w:rPr>
          <w:rFonts w:ascii="Verdana" w:hAnsi="Verdana" w:cs="Arial"/>
          <w:color w:val="000000"/>
          <w:sz w:val="16"/>
          <w:szCs w:val="16"/>
          <w:lang w:val="es-CO"/>
        </w:rPr>
        <w:t xml:space="preserve"> 08001-2331-000-2010-00987-01</w:t>
      </w:r>
      <w:r w:rsidRPr="007A5156">
        <w:rPr>
          <w:rFonts w:ascii="Verdana" w:hAnsi="Verdana" w:cs="Arial"/>
          <w:color w:val="000000"/>
          <w:sz w:val="16"/>
          <w:szCs w:val="16"/>
        </w:rPr>
        <w:t xml:space="preserve">. C.P. </w:t>
      </w:r>
      <w:r w:rsidRPr="007A5156">
        <w:rPr>
          <w:rFonts w:ascii="Verdana" w:hAnsi="Verdana" w:cs="Arial"/>
          <w:color w:val="000000"/>
          <w:sz w:val="16"/>
          <w:szCs w:val="16"/>
          <w:lang w:val="es-CO"/>
        </w:rPr>
        <w:t>Oswaldo Giraldo López</w:t>
      </w:r>
      <w:r w:rsidRPr="007A5156">
        <w:rPr>
          <w:rFonts w:ascii="Verdana" w:hAnsi="Verdana" w:cs="Arial"/>
          <w:color w:val="000000"/>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444587744" o:spid="_x0000_i1025" type="#_x0000_t75" style="width:11.1pt;height:11.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AC8513F"/>
    <w:multiLevelType w:val="hybridMultilevel"/>
    <w:tmpl w:val="CE38E64E"/>
    <w:lvl w:ilvl="0" w:tplc="68A046A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17A1800"/>
    <w:multiLevelType w:val="hybridMultilevel"/>
    <w:tmpl w:val="9706291C"/>
    <w:lvl w:ilvl="0" w:tplc="75469966">
      <w:start w:val="1"/>
      <w:numFmt w:val="bullet"/>
      <w:lvlText w:val=""/>
      <w:lvlJc w:val="left"/>
      <w:pPr>
        <w:ind w:left="720" w:hanging="360"/>
      </w:pPr>
      <w:rPr>
        <w:rFonts w:ascii="Symbol" w:hAnsi="Symbol" w:hint="default"/>
        <w:color w:val="auto"/>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DAC081E"/>
    <w:multiLevelType w:val="hybridMultilevel"/>
    <w:tmpl w:val="873460C8"/>
    <w:lvl w:ilvl="0" w:tplc="7042075A">
      <w:start w:val="1"/>
      <w:numFmt w:val="lowerRoman"/>
      <w:lvlText w:val="%1)"/>
      <w:lvlJc w:val="left"/>
      <w:pPr>
        <w:ind w:left="1080" w:hanging="720"/>
      </w:pPr>
      <w:rPr>
        <w:rFonts w:ascii="Verdana" w:hAnsi="Verdana"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8928FE"/>
    <w:multiLevelType w:val="hybridMultilevel"/>
    <w:tmpl w:val="86F852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4F3A18F4"/>
    <w:multiLevelType w:val="hybridMultilevel"/>
    <w:tmpl w:val="1A7C4F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E5A21DE"/>
    <w:multiLevelType w:val="multilevel"/>
    <w:tmpl w:val="0A6C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10"/>
  </w:num>
  <w:num w:numId="2" w16cid:durableId="19822139">
    <w:abstractNumId w:val="2"/>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1"/>
  </w:num>
  <w:num w:numId="7" w16cid:durableId="1946422806">
    <w:abstractNumId w:val="9"/>
  </w:num>
  <w:num w:numId="8" w16cid:durableId="152644682">
    <w:abstractNumId w:val="19"/>
  </w:num>
  <w:num w:numId="9" w16cid:durableId="1317221377">
    <w:abstractNumId w:val="11"/>
  </w:num>
  <w:num w:numId="10" w16cid:durableId="1471245386">
    <w:abstractNumId w:val="18"/>
  </w:num>
  <w:num w:numId="11" w16cid:durableId="289172385">
    <w:abstractNumId w:val="12"/>
  </w:num>
  <w:num w:numId="12" w16cid:durableId="1470781324">
    <w:abstractNumId w:val="1"/>
  </w:num>
  <w:num w:numId="13" w16cid:durableId="1512908409">
    <w:abstractNumId w:val="6"/>
  </w:num>
  <w:num w:numId="14" w16cid:durableId="895897244">
    <w:abstractNumId w:val="22"/>
  </w:num>
  <w:num w:numId="15" w16cid:durableId="390349800">
    <w:abstractNumId w:val="17"/>
  </w:num>
  <w:num w:numId="16" w16cid:durableId="341274352">
    <w:abstractNumId w:val="0"/>
  </w:num>
  <w:num w:numId="17" w16cid:durableId="1017849859">
    <w:abstractNumId w:val="23"/>
  </w:num>
  <w:num w:numId="18" w16cid:durableId="140847646">
    <w:abstractNumId w:val="13"/>
  </w:num>
  <w:num w:numId="19" w16cid:durableId="671685389">
    <w:abstractNumId w:val="7"/>
  </w:num>
  <w:num w:numId="20" w16cid:durableId="1188106915">
    <w:abstractNumId w:val="20"/>
  </w:num>
  <w:num w:numId="21" w16cid:durableId="991132821">
    <w:abstractNumId w:val="4"/>
  </w:num>
  <w:num w:numId="22" w16cid:durableId="782461700">
    <w:abstractNumId w:val="15"/>
  </w:num>
  <w:num w:numId="23" w16cid:durableId="527525362">
    <w:abstractNumId w:val="3"/>
  </w:num>
  <w:num w:numId="24" w16cid:durableId="153111184">
    <w:abstractNumId w:val="5"/>
  </w:num>
  <w:num w:numId="25" w16cid:durableId="376856127">
    <w:abstractNumId w:val="16"/>
  </w:num>
  <w:num w:numId="26" w16cid:durableId="15325584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1D4"/>
    <w:rsid w:val="00016F78"/>
    <w:rsid w:val="00026E67"/>
    <w:rsid w:val="00030157"/>
    <w:rsid w:val="0003198F"/>
    <w:rsid w:val="00046945"/>
    <w:rsid w:val="00061B2A"/>
    <w:rsid w:val="00061BF9"/>
    <w:rsid w:val="000715F9"/>
    <w:rsid w:val="00071D04"/>
    <w:rsid w:val="00074755"/>
    <w:rsid w:val="00082362"/>
    <w:rsid w:val="00096CB6"/>
    <w:rsid w:val="000A683E"/>
    <w:rsid w:val="000B19B9"/>
    <w:rsid w:val="000C5BB0"/>
    <w:rsid w:val="000D0334"/>
    <w:rsid w:val="000D32F2"/>
    <w:rsid w:val="000D6575"/>
    <w:rsid w:val="000F3B46"/>
    <w:rsid w:val="000F6486"/>
    <w:rsid w:val="00105873"/>
    <w:rsid w:val="0011036B"/>
    <w:rsid w:val="00121D93"/>
    <w:rsid w:val="00125105"/>
    <w:rsid w:val="00127233"/>
    <w:rsid w:val="00131F6C"/>
    <w:rsid w:val="00136DDB"/>
    <w:rsid w:val="001511A0"/>
    <w:rsid w:val="0016458B"/>
    <w:rsid w:val="00171455"/>
    <w:rsid w:val="00184FD0"/>
    <w:rsid w:val="001951C0"/>
    <w:rsid w:val="001A70A2"/>
    <w:rsid w:val="001B36DA"/>
    <w:rsid w:val="001C2B2F"/>
    <w:rsid w:val="001E4177"/>
    <w:rsid w:val="001E4D2C"/>
    <w:rsid w:val="001F0087"/>
    <w:rsid w:val="001F32BC"/>
    <w:rsid w:val="001F3C2F"/>
    <w:rsid w:val="001F7DC6"/>
    <w:rsid w:val="002016D7"/>
    <w:rsid w:val="002153FB"/>
    <w:rsid w:val="0022654C"/>
    <w:rsid w:val="00227D83"/>
    <w:rsid w:val="00236655"/>
    <w:rsid w:val="00240332"/>
    <w:rsid w:val="002421BB"/>
    <w:rsid w:val="00243EB3"/>
    <w:rsid w:val="00244003"/>
    <w:rsid w:val="00256CB2"/>
    <w:rsid w:val="0025796E"/>
    <w:rsid w:val="00261865"/>
    <w:rsid w:val="002707A2"/>
    <w:rsid w:val="00281F2F"/>
    <w:rsid w:val="0028627B"/>
    <w:rsid w:val="0029110A"/>
    <w:rsid w:val="002951A0"/>
    <w:rsid w:val="002962BC"/>
    <w:rsid w:val="002A093D"/>
    <w:rsid w:val="002A0DD0"/>
    <w:rsid w:val="002A49AC"/>
    <w:rsid w:val="002A5959"/>
    <w:rsid w:val="002A64FD"/>
    <w:rsid w:val="002B07F5"/>
    <w:rsid w:val="002C4DD6"/>
    <w:rsid w:val="002C7A84"/>
    <w:rsid w:val="002D7BA3"/>
    <w:rsid w:val="002E4FD9"/>
    <w:rsid w:val="0031255C"/>
    <w:rsid w:val="00322A85"/>
    <w:rsid w:val="00324168"/>
    <w:rsid w:val="003448F4"/>
    <w:rsid w:val="00347989"/>
    <w:rsid w:val="00356BB6"/>
    <w:rsid w:val="003574B8"/>
    <w:rsid w:val="00361D55"/>
    <w:rsid w:val="0036566B"/>
    <w:rsid w:val="00366ECA"/>
    <w:rsid w:val="0037185D"/>
    <w:rsid w:val="00374F5E"/>
    <w:rsid w:val="00375D58"/>
    <w:rsid w:val="00377E3E"/>
    <w:rsid w:val="003851C4"/>
    <w:rsid w:val="00392243"/>
    <w:rsid w:val="003A779E"/>
    <w:rsid w:val="003C34EC"/>
    <w:rsid w:val="003D0F4D"/>
    <w:rsid w:val="003D5B0D"/>
    <w:rsid w:val="003E0499"/>
    <w:rsid w:val="003E157B"/>
    <w:rsid w:val="003E4C15"/>
    <w:rsid w:val="003F1356"/>
    <w:rsid w:val="003F36D8"/>
    <w:rsid w:val="003F3941"/>
    <w:rsid w:val="003F4477"/>
    <w:rsid w:val="004041D3"/>
    <w:rsid w:val="00406575"/>
    <w:rsid w:val="0041325A"/>
    <w:rsid w:val="00414C74"/>
    <w:rsid w:val="00414ED9"/>
    <w:rsid w:val="00420D97"/>
    <w:rsid w:val="0042722E"/>
    <w:rsid w:val="00433266"/>
    <w:rsid w:val="00435C1F"/>
    <w:rsid w:val="0044528D"/>
    <w:rsid w:val="00453E51"/>
    <w:rsid w:val="00467D00"/>
    <w:rsid w:val="0048503B"/>
    <w:rsid w:val="00496C3E"/>
    <w:rsid w:val="004A153D"/>
    <w:rsid w:val="004A1847"/>
    <w:rsid w:val="004A210F"/>
    <w:rsid w:val="004A305D"/>
    <w:rsid w:val="004B2C42"/>
    <w:rsid w:val="004B4626"/>
    <w:rsid w:val="004B557B"/>
    <w:rsid w:val="004D1C85"/>
    <w:rsid w:val="004E6EAC"/>
    <w:rsid w:val="004F21C4"/>
    <w:rsid w:val="004F345C"/>
    <w:rsid w:val="004F35BB"/>
    <w:rsid w:val="004F685F"/>
    <w:rsid w:val="00517B15"/>
    <w:rsid w:val="00535F3F"/>
    <w:rsid w:val="0055236C"/>
    <w:rsid w:val="005566E8"/>
    <w:rsid w:val="00574867"/>
    <w:rsid w:val="00575B29"/>
    <w:rsid w:val="00591460"/>
    <w:rsid w:val="00593890"/>
    <w:rsid w:val="005A25FF"/>
    <w:rsid w:val="005A2AF9"/>
    <w:rsid w:val="005A76EA"/>
    <w:rsid w:val="005B261C"/>
    <w:rsid w:val="005B3816"/>
    <w:rsid w:val="005C3777"/>
    <w:rsid w:val="005C5CDC"/>
    <w:rsid w:val="005D476C"/>
    <w:rsid w:val="005F4E30"/>
    <w:rsid w:val="0060028A"/>
    <w:rsid w:val="0060398A"/>
    <w:rsid w:val="00606398"/>
    <w:rsid w:val="00616168"/>
    <w:rsid w:val="006219F8"/>
    <w:rsid w:val="00632FA8"/>
    <w:rsid w:val="006612CC"/>
    <w:rsid w:val="00665D70"/>
    <w:rsid w:val="00677DC3"/>
    <w:rsid w:val="00682B04"/>
    <w:rsid w:val="006900D9"/>
    <w:rsid w:val="00692C49"/>
    <w:rsid w:val="006B3F5C"/>
    <w:rsid w:val="006C1950"/>
    <w:rsid w:val="006D0D53"/>
    <w:rsid w:val="006D7BF9"/>
    <w:rsid w:val="00706C16"/>
    <w:rsid w:val="0071184A"/>
    <w:rsid w:val="007130F7"/>
    <w:rsid w:val="00713684"/>
    <w:rsid w:val="0071623C"/>
    <w:rsid w:val="007223C5"/>
    <w:rsid w:val="00731199"/>
    <w:rsid w:val="00733AEE"/>
    <w:rsid w:val="00733B67"/>
    <w:rsid w:val="00735EB7"/>
    <w:rsid w:val="00746725"/>
    <w:rsid w:val="00756841"/>
    <w:rsid w:val="00757DB5"/>
    <w:rsid w:val="00761E70"/>
    <w:rsid w:val="007649AB"/>
    <w:rsid w:val="00771D0C"/>
    <w:rsid w:val="00781AF3"/>
    <w:rsid w:val="007833AC"/>
    <w:rsid w:val="00791489"/>
    <w:rsid w:val="007B268C"/>
    <w:rsid w:val="007B7171"/>
    <w:rsid w:val="007C0C0F"/>
    <w:rsid w:val="007C3DC2"/>
    <w:rsid w:val="007D0BFC"/>
    <w:rsid w:val="007E2168"/>
    <w:rsid w:val="007E403E"/>
    <w:rsid w:val="007E5497"/>
    <w:rsid w:val="007F6E00"/>
    <w:rsid w:val="0080594D"/>
    <w:rsid w:val="00806F5F"/>
    <w:rsid w:val="00807DB8"/>
    <w:rsid w:val="008102AC"/>
    <w:rsid w:val="00820278"/>
    <w:rsid w:val="008340AE"/>
    <w:rsid w:val="0084038E"/>
    <w:rsid w:val="0084385E"/>
    <w:rsid w:val="008547CB"/>
    <w:rsid w:val="008616CA"/>
    <w:rsid w:val="00867F95"/>
    <w:rsid w:val="00870C64"/>
    <w:rsid w:val="008772F9"/>
    <w:rsid w:val="00883374"/>
    <w:rsid w:val="008843B6"/>
    <w:rsid w:val="00891928"/>
    <w:rsid w:val="008A446D"/>
    <w:rsid w:val="008A746E"/>
    <w:rsid w:val="008C0E3B"/>
    <w:rsid w:val="008C7DF6"/>
    <w:rsid w:val="008D09A2"/>
    <w:rsid w:val="008D180B"/>
    <w:rsid w:val="008D7291"/>
    <w:rsid w:val="008E277C"/>
    <w:rsid w:val="008F0EA7"/>
    <w:rsid w:val="008F1280"/>
    <w:rsid w:val="008F33B0"/>
    <w:rsid w:val="00923EEF"/>
    <w:rsid w:val="009413B7"/>
    <w:rsid w:val="009419F9"/>
    <w:rsid w:val="00946693"/>
    <w:rsid w:val="0095597B"/>
    <w:rsid w:val="0095685E"/>
    <w:rsid w:val="00956B73"/>
    <w:rsid w:val="00961B09"/>
    <w:rsid w:val="00965334"/>
    <w:rsid w:val="0097093E"/>
    <w:rsid w:val="009826BF"/>
    <w:rsid w:val="00984D71"/>
    <w:rsid w:val="00985FAD"/>
    <w:rsid w:val="00986AC5"/>
    <w:rsid w:val="0099297C"/>
    <w:rsid w:val="009A0DFA"/>
    <w:rsid w:val="009A50F7"/>
    <w:rsid w:val="009B15B0"/>
    <w:rsid w:val="009B2D26"/>
    <w:rsid w:val="009C71FA"/>
    <w:rsid w:val="009C72E7"/>
    <w:rsid w:val="009D3058"/>
    <w:rsid w:val="009E3429"/>
    <w:rsid w:val="009E51D5"/>
    <w:rsid w:val="009E7E8C"/>
    <w:rsid w:val="009F3A13"/>
    <w:rsid w:val="00A122D3"/>
    <w:rsid w:val="00A17F13"/>
    <w:rsid w:val="00A20739"/>
    <w:rsid w:val="00A3355E"/>
    <w:rsid w:val="00A33C78"/>
    <w:rsid w:val="00A44DE0"/>
    <w:rsid w:val="00A7517A"/>
    <w:rsid w:val="00AB0ADB"/>
    <w:rsid w:val="00AB493F"/>
    <w:rsid w:val="00AB5151"/>
    <w:rsid w:val="00AB6153"/>
    <w:rsid w:val="00AB717F"/>
    <w:rsid w:val="00AC40F4"/>
    <w:rsid w:val="00AD0755"/>
    <w:rsid w:val="00AD374D"/>
    <w:rsid w:val="00AD41EA"/>
    <w:rsid w:val="00AD4293"/>
    <w:rsid w:val="00AD7C7C"/>
    <w:rsid w:val="00AE1EB5"/>
    <w:rsid w:val="00AF5D48"/>
    <w:rsid w:val="00AF71F4"/>
    <w:rsid w:val="00B0078D"/>
    <w:rsid w:val="00B01B1A"/>
    <w:rsid w:val="00B04D1C"/>
    <w:rsid w:val="00B07844"/>
    <w:rsid w:val="00B108F3"/>
    <w:rsid w:val="00B14DA5"/>
    <w:rsid w:val="00B2184C"/>
    <w:rsid w:val="00B23093"/>
    <w:rsid w:val="00B25258"/>
    <w:rsid w:val="00B30302"/>
    <w:rsid w:val="00B30ABC"/>
    <w:rsid w:val="00B66319"/>
    <w:rsid w:val="00B70819"/>
    <w:rsid w:val="00B72CD3"/>
    <w:rsid w:val="00B72FFF"/>
    <w:rsid w:val="00B7412A"/>
    <w:rsid w:val="00B80F4F"/>
    <w:rsid w:val="00B82E2D"/>
    <w:rsid w:val="00B9589D"/>
    <w:rsid w:val="00B97A8E"/>
    <w:rsid w:val="00BB4CBD"/>
    <w:rsid w:val="00BB55BC"/>
    <w:rsid w:val="00BC3D36"/>
    <w:rsid w:val="00BC7BEC"/>
    <w:rsid w:val="00BD7F72"/>
    <w:rsid w:val="00BE09A3"/>
    <w:rsid w:val="00BF508A"/>
    <w:rsid w:val="00C04FB3"/>
    <w:rsid w:val="00C142DA"/>
    <w:rsid w:val="00C14446"/>
    <w:rsid w:val="00C32DF4"/>
    <w:rsid w:val="00C330EB"/>
    <w:rsid w:val="00C35426"/>
    <w:rsid w:val="00C3723A"/>
    <w:rsid w:val="00C41061"/>
    <w:rsid w:val="00C562D4"/>
    <w:rsid w:val="00C754BE"/>
    <w:rsid w:val="00C76123"/>
    <w:rsid w:val="00C76B1C"/>
    <w:rsid w:val="00C8101E"/>
    <w:rsid w:val="00C868B9"/>
    <w:rsid w:val="00CA769F"/>
    <w:rsid w:val="00CB6357"/>
    <w:rsid w:val="00CB73C5"/>
    <w:rsid w:val="00CC1B26"/>
    <w:rsid w:val="00CC5626"/>
    <w:rsid w:val="00CC6F7D"/>
    <w:rsid w:val="00CE7597"/>
    <w:rsid w:val="00D04F91"/>
    <w:rsid w:val="00D132BA"/>
    <w:rsid w:val="00D211A0"/>
    <w:rsid w:val="00D340CB"/>
    <w:rsid w:val="00D423A2"/>
    <w:rsid w:val="00D520D8"/>
    <w:rsid w:val="00D61AF1"/>
    <w:rsid w:val="00D63AC2"/>
    <w:rsid w:val="00D6724E"/>
    <w:rsid w:val="00D675EA"/>
    <w:rsid w:val="00D7383B"/>
    <w:rsid w:val="00D83413"/>
    <w:rsid w:val="00D85FC2"/>
    <w:rsid w:val="00D92AFD"/>
    <w:rsid w:val="00D92CE7"/>
    <w:rsid w:val="00D9402A"/>
    <w:rsid w:val="00D968D1"/>
    <w:rsid w:val="00DA231B"/>
    <w:rsid w:val="00DA4396"/>
    <w:rsid w:val="00DC2265"/>
    <w:rsid w:val="00DC39FC"/>
    <w:rsid w:val="00DE2467"/>
    <w:rsid w:val="00DF13B0"/>
    <w:rsid w:val="00DF2C39"/>
    <w:rsid w:val="00DF5254"/>
    <w:rsid w:val="00E103CF"/>
    <w:rsid w:val="00E16018"/>
    <w:rsid w:val="00E16408"/>
    <w:rsid w:val="00E20894"/>
    <w:rsid w:val="00E245AB"/>
    <w:rsid w:val="00E2764C"/>
    <w:rsid w:val="00E27F2E"/>
    <w:rsid w:val="00E31648"/>
    <w:rsid w:val="00E31F68"/>
    <w:rsid w:val="00E41FCD"/>
    <w:rsid w:val="00E50AFE"/>
    <w:rsid w:val="00E51404"/>
    <w:rsid w:val="00E6227E"/>
    <w:rsid w:val="00E626B5"/>
    <w:rsid w:val="00E67F55"/>
    <w:rsid w:val="00E7385A"/>
    <w:rsid w:val="00E75C92"/>
    <w:rsid w:val="00E771DC"/>
    <w:rsid w:val="00E8772A"/>
    <w:rsid w:val="00E90F6B"/>
    <w:rsid w:val="00E92C27"/>
    <w:rsid w:val="00E94542"/>
    <w:rsid w:val="00EA0E3D"/>
    <w:rsid w:val="00EA5B0C"/>
    <w:rsid w:val="00EA5E12"/>
    <w:rsid w:val="00EA6460"/>
    <w:rsid w:val="00EB52C1"/>
    <w:rsid w:val="00EC14DC"/>
    <w:rsid w:val="00EC38A7"/>
    <w:rsid w:val="00EC7930"/>
    <w:rsid w:val="00EC7E5C"/>
    <w:rsid w:val="00ED0BAB"/>
    <w:rsid w:val="00ED3D0B"/>
    <w:rsid w:val="00ED65FB"/>
    <w:rsid w:val="00ED7384"/>
    <w:rsid w:val="00EE1AA8"/>
    <w:rsid w:val="00EF48BA"/>
    <w:rsid w:val="00EF7078"/>
    <w:rsid w:val="00F04DA2"/>
    <w:rsid w:val="00F136D9"/>
    <w:rsid w:val="00F16374"/>
    <w:rsid w:val="00F31EDC"/>
    <w:rsid w:val="00F32244"/>
    <w:rsid w:val="00F372E5"/>
    <w:rsid w:val="00F40F4F"/>
    <w:rsid w:val="00F462B3"/>
    <w:rsid w:val="00F516DC"/>
    <w:rsid w:val="00F5664F"/>
    <w:rsid w:val="00F65B8A"/>
    <w:rsid w:val="00F666C4"/>
    <w:rsid w:val="00F76AFC"/>
    <w:rsid w:val="00F83081"/>
    <w:rsid w:val="00F943E6"/>
    <w:rsid w:val="00FA47C0"/>
    <w:rsid w:val="00FB2223"/>
    <w:rsid w:val="00FB2604"/>
    <w:rsid w:val="00FB5DD1"/>
    <w:rsid w:val="00FC056B"/>
    <w:rsid w:val="00FC2B5D"/>
    <w:rsid w:val="00FD1EB0"/>
    <w:rsid w:val="00FE001E"/>
    <w:rsid w:val="00FE15D1"/>
    <w:rsid w:val="00FE1E98"/>
    <w:rsid w:val="00FF1449"/>
    <w:rsid w:val="3D38C6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B261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B261C"/>
    <w:rPr>
      <w:rFonts w:ascii="Geomanist Light" w:hAnsi="Geomanist Light"/>
      <w:lang w:val="es-ES"/>
    </w:rPr>
  </w:style>
  <w:style w:type="character" w:customStyle="1" w:styleId="baj">
    <w:name w:val="b_aj"/>
    <w:basedOn w:val="Fuentedeprrafopredeter"/>
    <w:rsid w:val="005B261C"/>
  </w:style>
  <w:style w:type="character" w:styleId="Refdecomentario">
    <w:name w:val="annotation reference"/>
    <w:basedOn w:val="Fuentedeprrafopredeter"/>
    <w:uiPriority w:val="99"/>
    <w:semiHidden/>
    <w:unhideWhenUsed/>
    <w:rsid w:val="0060028A"/>
    <w:rPr>
      <w:sz w:val="16"/>
      <w:szCs w:val="16"/>
    </w:rPr>
  </w:style>
  <w:style w:type="paragraph" w:styleId="Textocomentario">
    <w:name w:val="annotation text"/>
    <w:basedOn w:val="Normal"/>
    <w:link w:val="TextocomentarioCar"/>
    <w:uiPriority w:val="99"/>
    <w:unhideWhenUsed/>
    <w:rsid w:val="0060028A"/>
    <w:pPr>
      <w:spacing w:line="240" w:lineRule="auto"/>
    </w:pPr>
    <w:rPr>
      <w:sz w:val="20"/>
      <w:szCs w:val="20"/>
    </w:rPr>
  </w:style>
  <w:style w:type="character" w:customStyle="1" w:styleId="TextocomentarioCar">
    <w:name w:val="Texto comentario Car"/>
    <w:basedOn w:val="Fuentedeprrafopredeter"/>
    <w:link w:val="Textocomentario"/>
    <w:uiPriority w:val="99"/>
    <w:rsid w:val="0060028A"/>
    <w:rPr>
      <w:sz w:val="20"/>
      <w:szCs w:val="20"/>
    </w:rPr>
  </w:style>
  <w:style w:type="paragraph" w:styleId="Asuntodelcomentario">
    <w:name w:val="annotation subject"/>
    <w:basedOn w:val="Textocomentario"/>
    <w:next w:val="Textocomentario"/>
    <w:link w:val="AsuntodelcomentarioCar"/>
    <w:uiPriority w:val="99"/>
    <w:semiHidden/>
    <w:unhideWhenUsed/>
    <w:rsid w:val="0060028A"/>
    <w:rPr>
      <w:b/>
      <w:bCs/>
    </w:rPr>
  </w:style>
  <w:style w:type="character" w:customStyle="1" w:styleId="AsuntodelcomentarioCar">
    <w:name w:val="Asunto del comentario Car"/>
    <w:basedOn w:val="TextocomentarioCar"/>
    <w:link w:val="Asuntodelcomentario"/>
    <w:uiPriority w:val="99"/>
    <w:semiHidden/>
    <w:rsid w:val="0060028A"/>
    <w:rPr>
      <w:b/>
      <w:bCs/>
      <w:sz w:val="20"/>
      <w:szCs w:val="20"/>
    </w:rPr>
  </w:style>
  <w:style w:type="paragraph" w:styleId="Subttulo">
    <w:name w:val="Subtitle"/>
    <w:basedOn w:val="Normal"/>
    <w:next w:val="Normal"/>
    <w:link w:val="SubttuloCar"/>
    <w:uiPriority w:val="11"/>
    <w:qFormat/>
    <w:rsid w:val="004F345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F345C"/>
    <w:rPr>
      <w:rFonts w:eastAsiaTheme="majorEastAsia" w:cstheme="majorBidi"/>
      <w:color w:val="595959" w:themeColor="text1" w:themeTint="A6"/>
      <w:spacing w:val="15"/>
      <w:sz w:val="28"/>
      <w:szCs w:val="28"/>
    </w:rPr>
  </w:style>
  <w:style w:type="character" w:customStyle="1" w:styleId="s15">
    <w:name w:val="s15"/>
    <w:basedOn w:val="Fuentedeprrafopredeter"/>
    <w:rsid w:val="0095597B"/>
  </w:style>
  <w:style w:type="character" w:customStyle="1" w:styleId="NormalWebCar">
    <w:name w:val="Normal (Web) Car"/>
    <w:link w:val="NormalWeb"/>
    <w:uiPriority w:val="99"/>
    <w:locked/>
    <w:rsid w:val="001B36D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unhideWhenUsed/>
    <w:rsid w:val="00281F2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281F2F"/>
    <w:rPr>
      <w:rFonts w:eastAsiaTheme="minorEastAsia"/>
      <w:lang w:eastAsia="es-CO"/>
    </w:rPr>
  </w:style>
  <w:style w:type="paragraph" w:styleId="Sinespaciado">
    <w:name w:val="No Spacing"/>
    <w:aliases w:val="No Indent"/>
    <w:uiPriority w:val="3"/>
    <w:qFormat/>
    <w:rsid w:val="00EA5B0C"/>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99330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7237100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sgarzon1993@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7AC9E9E-64A4-4638-BD23-E9BB0BD2A01E}">
  <ds:schemaRefs>
    <ds:schemaRef ds:uri="http://schemas.openxmlformats.org/officeDocument/2006/bibliography"/>
  </ds:schemaRefs>
</ds:datastoreItem>
</file>

<file path=customXml/itemProps4.xml><?xml version="1.0" encoding="utf-8"?>
<ds:datastoreItem xmlns:ds="http://schemas.openxmlformats.org/officeDocument/2006/customXml" ds:itemID="{778223AA-5535-40E4-B2EC-C1ED19274C8E}"/>
</file>

<file path=docProps/app.xml><?xml version="1.0" encoding="utf-8"?>
<Properties xmlns="http://schemas.openxmlformats.org/officeDocument/2006/extended-properties" xmlns:vt="http://schemas.openxmlformats.org/officeDocument/2006/docPropsVTypes">
  <Template>Normal</Template>
  <TotalTime>4893</TotalTime>
  <Pages>16</Pages>
  <Words>4871</Words>
  <Characters>27181</Characters>
  <Application>Microsoft Office Word</Application>
  <DocSecurity>0</DocSecurity>
  <Lines>532</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86</cp:revision>
  <cp:lastPrinted>2023-01-10T21:18:00Z</cp:lastPrinted>
  <dcterms:created xsi:type="dcterms:W3CDTF">2025-12-30T05:05:00Z</dcterms:created>
  <dcterms:modified xsi:type="dcterms:W3CDTF">2026-03-24T18:31:00Z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