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7BBBE" w14:textId="66DA47DB" w:rsidR="00907294" w:rsidRDefault="00907294" w:rsidP="000B71B3">
      <w:pPr>
        <w:spacing w:line="240" w:lineRule="auto"/>
        <w:jc w:val="both"/>
        <w:rPr>
          <w:rFonts w:ascii="Verdana" w:eastAsia="Calibri" w:hAnsi="Verdana" w:cs="Arial"/>
          <w:b/>
          <w:bCs/>
          <w:lang w:val="es-ES" w:eastAsia="es-ES"/>
        </w:rPr>
      </w:pPr>
      <w:bookmarkStart w:id="0" w:name="_Hlk197462763"/>
      <w:bookmarkStart w:id="1" w:name="_Hlk197529996"/>
      <w:bookmarkStart w:id="2" w:name="_Hlk143780582"/>
      <w:r w:rsidRPr="00907294">
        <w:rPr>
          <w:rFonts w:ascii="Verdana" w:eastAsia="Calibri" w:hAnsi="Verdana" w:cs="Arial"/>
          <w:b/>
          <w:bCs/>
          <w:lang w:val="es-ES" w:eastAsia="es-ES"/>
        </w:rPr>
        <w:t>CONTRATO DE PRESTACIÓN DE SERVICIOS – Definición</w:t>
      </w:r>
    </w:p>
    <w:p w14:paraId="24B683A6" w14:textId="6C90D161" w:rsidR="00907294" w:rsidRPr="00907294" w:rsidRDefault="00907294" w:rsidP="000B71B3">
      <w:pPr>
        <w:spacing w:line="240" w:lineRule="auto"/>
        <w:jc w:val="both"/>
        <w:rPr>
          <w:rFonts w:ascii="Verdana" w:hAnsi="Verdana" w:cs="Arial"/>
          <w:sz w:val="20"/>
          <w:szCs w:val="20"/>
        </w:rPr>
      </w:pPr>
      <w:r w:rsidRPr="00907294">
        <w:rPr>
          <w:rFonts w:ascii="Verdana" w:hAnsi="Verdana" w:cs="Arial"/>
          <w:sz w:val="20"/>
          <w:szCs w:val="20"/>
        </w:rPr>
        <w:t>El contrato de prestación de servicios es uno de los tipos contractuales consagrados en el Estatuto General de Contratación de la Administración Pública – en adelante EGCAP–, que pueden celebrar las Entidades Estatales. Se trata de un contrato típico, ya que se encuentra definido en la ley. Concretamente, el artículo 32, numeral 3º, de la Ley 80 de 1993, establece</w:t>
      </w:r>
      <w:r w:rsidRPr="00907294">
        <w:rPr>
          <w:rFonts w:ascii="Verdana" w:hAnsi="Verdana" w:cs="Arial"/>
          <w:sz w:val="20"/>
          <w:szCs w:val="20"/>
        </w:rPr>
        <w:t xml:space="preserve">: </w:t>
      </w:r>
    </w:p>
    <w:p w14:paraId="0F9CAFE6" w14:textId="77777777" w:rsidR="00907294" w:rsidRPr="00907294" w:rsidRDefault="00907294" w:rsidP="00907294">
      <w:pPr>
        <w:widowControl w:val="0"/>
        <w:autoSpaceDE w:val="0"/>
        <w:autoSpaceDN w:val="0"/>
        <w:spacing w:after="0" w:line="240" w:lineRule="auto"/>
        <w:ind w:left="709" w:right="709"/>
        <w:jc w:val="both"/>
        <w:rPr>
          <w:rFonts w:ascii="Verdana" w:hAnsi="Verdana" w:cs="Arial"/>
          <w:sz w:val="19"/>
          <w:szCs w:val="19"/>
        </w:rPr>
      </w:pPr>
      <w:r w:rsidRPr="00907294">
        <w:rPr>
          <w:rFonts w:ascii="Verdana" w:hAnsi="Verdana" w:cs="Arial"/>
          <w:sz w:val="19"/>
          <w:szCs w:val="19"/>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0914BA23" w14:textId="77777777" w:rsidR="00907294" w:rsidRPr="00907294" w:rsidRDefault="00907294" w:rsidP="00907294">
      <w:pPr>
        <w:widowControl w:val="0"/>
        <w:autoSpaceDE w:val="0"/>
        <w:autoSpaceDN w:val="0"/>
        <w:spacing w:after="0" w:line="240" w:lineRule="auto"/>
        <w:ind w:left="709" w:right="709"/>
        <w:jc w:val="both"/>
        <w:rPr>
          <w:rFonts w:ascii="Verdana" w:hAnsi="Verdana" w:cs="Arial"/>
          <w:sz w:val="19"/>
          <w:szCs w:val="19"/>
        </w:rPr>
      </w:pPr>
    </w:p>
    <w:p w14:paraId="7B35914D" w14:textId="77777777" w:rsidR="00907294" w:rsidRPr="00907294" w:rsidRDefault="00907294" w:rsidP="00907294">
      <w:pPr>
        <w:widowControl w:val="0"/>
        <w:autoSpaceDE w:val="0"/>
        <w:autoSpaceDN w:val="0"/>
        <w:spacing w:after="0" w:line="240" w:lineRule="auto"/>
        <w:ind w:left="709" w:right="709"/>
        <w:jc w:val="both"/>
        <w:rPr>
          <w:rFonts w:ascii="Verdana" w:hAnsi="Verdana" w:cs="Arial"/>
          <w:sz w:val="19"/>
          <w:szCs w:val="19"/>
        </w:rPr>
      </w:pPr>
      <w:r w:rsidRPr="00907294">
        <w:rPr>
          <w:rFonts w:ascii="Verdana" w:hAnsi="Verdana" w:cs="Arial"/>
          <w:sz w:val="19"/>
          <w:szCs w:val="19"/>
        </w:rPr>
        <w:t>En ningún caso estos contratos generan relación laboral ni prestaciones sociales y se celebrarán por el término estrictamente indispensable”.</w:t>
      </w:r>
    </w:p>
    <w:p w14:paraId="73C2B4BD" w14:textId="77777777" w:rsidR="00907294" w:rsidRPr="00907294" w:rsidRDefault="00907294" w:rsidP="000B71B3">
      <w:pPr>
        <w:spacing w:line="240" w:lineRule="auto"/>
        <w:jc w:val="both"/>
        <w:rPr>
          <w:rFonts w:ascii="Verdana" w:eastAsia="Geomanist Light" w:hAnsi="Verdana" w:cs="Arial"/>
          <w:b/>
          <w:bCs/>
          <w:color w:val="000000" w:themeColor="text1"/>
        </w:rPr>
      </w:pPr>
    </w:p>
    <w:p w14:paraId="0D22E74A" w14:textId="0292A0C9" w:rsidR="00907294" w:rsidRPr="00907294" w:rsidRDefault="00907294" w:rsidP="000B71B3">
      <w:pPr>
        <w:spacing w:line="240" w:lineRule="auto"/>
        <w:jc w:val="both"/>
        <w:rPr>
          <w:rFonts w:ascii="Verdana" w:eastAsia="Geomanist Light" w:hAnsi="Verdana" w:cs="Arial"/>
          <w:b/>
          <w:bCs/>
          <w:color w:val="000000" w:themeColor="text1"/>
          <w:lang w:val="es-MX"/>
        </w:rPr>
      </w:pPr>
      <w:r w:rsidRPr="00907294">
        <w:rPr>
          <w:rFonts w:ascii="Verdana" w:eastAsia="Calibri" w:hAnsi="Verdana" w:cs="Arial"/>
          <w:b/>
          <w:bCs/>
          <w:lang w:val="es-ES" w:eastAsia="es-ES"/>
        </w:rPr>
        <w:t>CLAUSULAS EXCEPCIONALES – Incumplimiento – Multas – Clausula Penal</w:t>
      </w:r>
    </w:p>
    <w:p w14:paraId="6C0E952A" w14:textId="28987698" w:rsidR="00907294" w:rsidRPr="00907294" w:rsidRDefault="00907294" w:rsidP="000B71B3">
      <w:pPr>
        <w:spacing w:line="240" w:lineRule="auto"/>
        <w:jc w:val="both"/>
        <w:rPr>
          <w:rFonts w:ascii="Verdana" w:eastAsia="Geomanist Light" w:hAnsi="Verdana" w:cs="Arial"/>
          <w:color w:val="000000" w:themeColor="text1"/>
          <w:sz w:val="20"/>
          <w:szCs w:val="20"/>
          <w:lang w:val="es-MX"/>
        </w:rPr>
      </w:pPr>
      <w:r w:rsidRPr="00907294">
        <w:rPr>
          <w:rFonts w:ascii="Verdana" w:hAnsi="Verdana" w:cs="Arial"/>
          <w:sz w:val="20"/>
          <w:szCs w:val="20"/>
        </w:rPr>
        <w:t>es importante precisar que, una de las estipulaciones accidentales de las que son susceptibles los contratos de prestación de servicios son la imposición unilateral de multas y clausula penal, de acuerdo con lo dispuesto en el artículo 17 de la Ley 1150 de 2007. Estas obedecen a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 No obstante, cumplido el requisito del pacto en el contrato, las entidades estatales sometidas al EGCAP –Leyes 80 de 1993 y 1150 de 2007, y sus modificaciones–, por ministerio de la ley –artículo 17 de la Ley 1150 de 2007–, se entienden investidas de la prerrogativa de imposición unilateral.</w:t>
      </w:r>
    </w:p>
    <w:p w14:paraId="1BABDD03" w14:textId="77777777" w:rsidR="00907294" w:rsidRPr="00907294" w:rsidRDefault="00907294" w:rsidP="00907294">
      <w:pPr>
        <w:spacing w:line="276" w:lineRule="auto"/>
        <w:jc w:val="both"/>
        <w:rPr>
          <w:rFonts w:ascii="Verdana" w:eastAsia="Calibri" w:hAnsi="Verdana" w:cs="Arial"/>
          <w:b/>
          <w:bCs/>
          <w:lang w:val="es-ES" w:eastAsia="es-ES"/>
        </w:rPr>
      </w:pPr>
      <w:r w:rsidRPr="00907294">
        <w:rPr>
          <w:rFonts w:ascii="Verdana" w:eastAsia="Calibri" w:hAnsi="Verdana" w:cs="Arial"/>
          <w:b/>
          <w:bCs/>
          <w:lang w:val="es-ES" w:eastAsia="es-ES"/>
        </w:rPr>
        <w:t>TERMINACIÓN ANTICIPADA – Mutuo acuerdo / CESIÓN– Autorización</w:t>
      </w:r>
    </w:p>
    <w:p w14:paraId="0D1910FD" w14:textId="77777777" w:rsidR="00907294" w:rsidRPr="00907294" w:rsidRDefault="00907294" w:rsidP="00907294">
      <w:pPr>
        <w:spacing w:after="120" w:line="276" w:lineRule="auto"/>
        <w:jc w:val="both"/>
        <w:rPr>
          <w:rFonts w:ascii="Verdana" w:eastAsia="Calibri" w:hAnsi="Verdana" w:cs="Arial"/>
          <w:sz w:val="20"/>
          <w:szCs w:val="20"/>
        </w:rPr>
      </w:pPr>
      <w:r w:rsidRPr="00907294">
        <w:rPr>
          <w:rFonts w:ascii="Verdana" w:eastAsia="Calibri" w:hAnsi="Verdana" w:cs="Arial"/>
          <w:sz w:val="20"/>
          <w:szCs w:val="20"/>
        </w:rPr>
        <w:t xml:space="preserve">Un contratista de prestación de servicios tiene a su disposición distintas posibilidades negociales, en caso de que no sea su voluntad continuar con la ejecución del contrato, dentro de las que se destaca la solicitud de terminación unilateral y la cesión. De cualquier modo, es claro que ambos mecanismos deben estar precedidos del acuerdo o autorización con la Entidad Estatal contratante, a efectos de que no se consoliden incumplimientos que den lugar a las imposiciones de las sanciones contractuales que se hayan pactado en el contrato. </w:t>
      </w:r>
    </w:p>
    <w:p w14:paraId="15AD7987" w14:textId="77777777" w:rsidR="00907294" w:rsidRPr="00907294" w:rsidRDefault="00907294" w:rsidP="00907294">
      <w:pPr>
        <w:widowControl w:val="0"/>
        <w:autoSpaceDE w:val="0"/>
        <w:autoSpaceDN w:val="0"/>
        <w:spacing w:before="120" w:after="120" w:line="276" w:lineRule="auto"/>
        <w:jc w:val="both"/>
        <w:rPr>
          <w:rFonts w:ascii="Verdana" w:eastAsia="Calibri" w:hAnsi="Verdana" w:cs="Arial"/>
          <w:sz w:val="20"/>
          <w:szCs w:val="20"/>
        </w:rPr>
      </w:pPr>
      <w:r w:rsidRPr="00907294">
        <w:rPr>
          <w:rFonts w:ascii="Verdana" w:eastAsia="Calibri" w:hAnsi="Verdana" w:cs="Arial"/>
          <w:sz w:val="20"/>
          <w:szCs w:val="20"/>
        </w:rPr>
        <w:t>Lo anterior sin perjuicio de los demás mecanismos que las partes estimen procedentes de en el marco de la autonomía de la voluntad, sin perjuicio del cumplimiento del ordenamiento jurídico.</w:t>
      </w:r>
    </w:p>
    <w:p w14:paraId="1386C172" w14:textId="4051FED3" w:rsidR="000B71B3" w:rsidRPr="00EE700B" w:rsidRDefault="000B71B3" w:rsidP="000B71B3">
      <w:pPr>
        <w:spacing w:line="240" w:lineRule="auto"/>
        <w:jc w:val="both"/>
        <w:rPr>
          <w:rFonts w:ascii="Verdana" w:eastAsia="Geomanist Light" w:hAnsi="Verdana" w:cs="Arial"/>
          <w:color w:val="000000" w:themeColor="text1"/>
          <w:sz w:val="20"/>
          <w:szCs w:val="20"/>
          <w:lang w:val="es-MX"/>
        </w:rPr>
      </w:pPr>
      <w:r w:rsidRPr="00CF64C0">
        <w:rPr>
          <w:rFonts w:ascii="Verdana" w:eastAsia="Geomanist Light" w:hAnsi="Verdana" w:cs="Arial"/>
          <w:color w:val="000000" w:themeColor="text1"/>
          <w:lang w:val="es-MX"/>
        </w:rPr>
        <w:lastRenderedPageBreak/>
        <w:t>Bogotá D.C., </w:t>
      </w:r>
      <w:r w:rsidR="00907294">
        <w:rPr>
          <w:rFonts w:ascii="Verdana" w:eastAsia="Geomanist Light" w:hAnsi="Verdana" w:cs="Arial"/>
          <w:color w:val="201F1E"/>
          <w:lang w:val="es-MX"/>
        </w:rPr>
        <w:t>20</w:t>
      </w:r>
      <w:r w:rsidRPr="00CF64C0">
        <w:rPr>
          <w:rFonts w:ascii="Verdana" w:eastAsia="Geomanist Light" w:hAnsi="Verdana" w:cs="Arial"/>
          <w:color w:val="201F1E"/>
          <w:lang w:val="es-MX"/>
        </w:rPr>
        <w:t xml:space="preserve"> de </w:t>
      </w:r>
      <w:r w:rsidR="00907294">
        <w:rPr>
          <w:rFonts w:ascii="Verdana" w:eastAsia="Geomanist Light" w:hAnsi="Verdana" w:cs="Arial"/>
          <w:color w:val="201F1E"/>
          <w:lang w:val="es-MX"/>
        </w:rPr>
        <w:t>marzo</w:t>
      </w:r>
      <w:r w:rsidRPr="00CF64C0">
        <w:rPr>
          <w:rFonts w:ascii="Verdana" w:eastAsia="Geomanist Light" w:hAnsi="Verdana" w:cs="Arial"/>
          <w:color w:val="201F1E"/>
          <w:lang w:val="es-MX"/>
        </w:rPr>
        <w:t xml:space="preserve"> de </w:t>
      </w:r>
      <w:r w:rsidR="00907294">
        <w:rPr>
          <w:rFonts w:ascii="Verdana" w:eastAsia="Geomanist Light" w:hAnsi="Verdana" w:cs="Arial"/>
          <w:color w:val="201F1E"/>
          <w:lang w:val="es-MX"/>
        </w:rPr>
        <w:t>2026</w:t>
      </w:r>
    </w:p>
    <w:p w14:paraId="33B7EAE9" w14:textId="77777777" w:rsidR="000B71B3" w:rsidRPr="00107142" w:rsidRDefault="000B71B3" w:rsidP="000B71B3">
      <w:pPr>
        <w:spacing w:after="0" w:line="240" w:lineRule="auto"/>
        <w:jc w:val="right"/>
        <w:rPr>
          <w:rFonts w:ascii="Verdana" w:eastAsia="Calibri" w:hAnsi="Verdana" w:cs="Arial"/>
          <w:lang w:eastAsia="es-ES"/>
        </w:rPr>
      </w:pPr>
    </w:p>
    <w:p w14:paraId="31BBC4D6" w14:textId="7ACCA801" w:rsidR="000B71B3" w:rsidRDefault="00907294" w:rsidP="00907294">
      <w:pPr>
        <w:spacing w:after="0" w:line="240" w:lineRule="auto"/>
        <w:ind w:left="4248"/>
        <w:jc w:val="both"/>
        <w:rPr>
          <w:rFonts w:ascii="Verdana" w:eastAsia="Calibri" w:hAnsi="Verdana" w:cs="Arial"/>
          <w:lang w:eastAsia="es-ES"/>
        </w:rPr>
      </w:pPr>
      <w:r w:rsidRPr="00907294">
        <w:rPr>
          <w:rFonts w:ascii="Verdana" w:eastAsia="Calibri" w:hAnsi="Verdana" w:cs="Arial"/>
          <w:lang w:eastAsia="es-ES"/>
        </w:rPr>
        <w:drawing>
          <wp:inline distT="0" distB="0" distL="0" distR="0" wp14:anchorId="18561684" wp14:editId="39AA8C03">
            <wp:extent cx="2972215" cy="762106"/>
            <wp:effectExtent l="0" t="0" r="0" b="0"/>
            <wp:docPr id="91450177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501774" name=""/>
                    <pic:cNvPicPr/>
                  </pic:nvPicPr>
                  <pic:blipFill>
                    <a:blip r:embed="rId10"/>
                    <a:stretch>
                      <a:fillRect/>
                    </a:stretch>
                  </pic:blipFill>
                  <pic:spPr>
                    <a:xfrm>
                      <a:off x="0" y="0"/>
                      <a:ext cx="2972215" cy="762106"/>
                    </a:xfrm>
                    <a:prstGeom prst="rect">
                      <a:avLst/>
                    </a:prstGeom>
                  </pic:spPr>
                </pic:pic>
              </a:graphicData>
            </a:graphic>
          </wp:inline>
        </w:drawing>
      </w:r>
    </w:p>
    <w:p w14:paraId="0B7B1791" w14:textId="77777777" w:rsidR="000B71B3" w:rsidRPr="00107142" w:rsidRDefault="000B71B3" w:rsidP="000B71B3">
      <w:pPr>
        <w:spacing w:after="0" w:line="240" w:lineRule="auto"/>
        <w:jc w:val="both"/>
        <w:rPr>
          <w:rFonts w:ascii="Verdana" w:eastAsia="Calibri" w:hAnsi="Verdana" w:cs="Arial"/>
          <w:lang w:eastAsia="es-ES"/>
        </w:rPr>
      </w:pPr>
      <w:r w:rsidRPr="00107142">
        <w:rPr>
          <w:rFonts w:ascii="Verdana" w:eastAsia="Calibri" w:hAnsi="Verdana" w:cs="Arial"/>
          <w:lang w:eastAsia="es-ES"/>
        </w:rPr>
        <w:t>Señor</w:t>
      </w:r>
    </w:p>
    <w:p w14:paraId="0C43D6A4" w14:textId="77777777" w:rsidR="000B71B3" w:rsidRPr="00385904" w:rsidRDefault="000B71B3" w:rsidP="000B71B3">
      <w:pPr>
        <w:spacing w:after="0" w:line="240" w:lineRule="auto"/>
        <w:rPr>
          <w:rFonts w:ascii="Verdana" w:eastAsia="Calibri" w:hAnsi="Verdana" w:cs="Arial"/>
          <w:b/>
          <w:lang w:eastAsia="es-ES_tradnl"/>
        </w:rPr>
      </w:pPr>
      <w:r w:rsidRPr="00385904">
        <w:rPr>
          <w:rFonts w:ascii="Verdana" w:eastAsia="Calibri" w:hAnsi="Verdana" w:cs="Arial"/>
          <w:b/>
          <w:lang w:eastAsia="es-ES_tradnl"/>
        </w:rPr>
        <w:t>José Alejandro Rodríguez Pérez</w:t>
      </w:r>
    </w:p>
    <w:p w14:paraId="218E1790" w14:textId="77777777" w:rsidR="000B71B3" w:rsidRPr="00385904" w:rsidRDefault="000B71B3" w:rsidP="000B71B3">
      <w:pPr>
        <w:spacing w:after="0" w:line="240" w:lineRule="auto"/>
        <w:rPr>
          <w:rFonts w:ascii="Verdana" w:eastAsia="Calibri" w:hAnsi="Verdana" w:cs="Arial"/>
          <w:lang w:eastAsia="es-ES_tradnl"/>
        </w:rPr>
      </w:pPr>
      <w:hyperlink r:id="rId11" w:history="1">
        <w:r w:rsidRPr="00385904">
          <w:rPr>
            <w:rStyle w:val="Hipervnculo"/>
            <w:rFonts w:ascii="Verdana" w:eastAsia="Calibri" w:hAnsi="Verdana" w:cs="Arial"/>
            <w:lang w:eastAsia="es-ES_tradnl"/>
          </w:rPr>
          <w:t>alejandrorp27097@gmail.com</w:t>
        </w:r>
      </w:hyperlink>
    </w:p>
    <w:p w14:paraId="632ABBD0" w14:textId="77777777" w:rsidR="000B71B3" w:rsidRPr="00385904" w:rsidRDefault="000B71B3" w:rsidP="000B71B3">
      <w:pPr>
        <w:spacing w:after="0" w:line="240" w:lineRule="auto"/>
        <w:rPr>
          <w:rFonts w:ascii="Verdana" w:hAnsi="Verdana"/>
        </w:rPr>
      </w:pPr>
      <w:r w:rsidRPr="00385904">
        <w:rPr>
          <w:rFonts w:ascii="Verdana" w:hAnsi="Verdana"/>
        </w:rPr>
        <w:t>Municipio de Girón, Santan</w:t>
      </w:r>
      <w:r>
        <w:rPr>
          <w:rFonts w:ascii="Verdana" w:hAnsi="Verdana"/>
        </w:rPr>
        <w:t>der</w:t>
      </w:r>
    </w:p>
    <w:p w14:paraId="797405DB" w14:textId="77777777" w:rsidR="000B71B3" w:rsidRPr="00385904" w:rsidRDefault="000B71B3" w:rsidP="000B71B3">
      <w:pPr>
        <w:spacing w:after="0" w:line="240" w:lineRule="auto"/>
        <w:rPr>
          <w:rFonts w:ascii="Verdana" w:eastAsia="Calibri" w:hAnsi="Verdana" w:cs="Arial"/>
          <w:b/>
          <w:bCs/>
          <w:color w:val="000000"/>
          <w:lang w:eastAsia="es-ES_tradnl"/>
        </w:rPr>
      </w:pPr>
    </w:p>
    <w:p w14:paraId="7311A6F4" w14:textId="77777777" w:rsidR="000B71B3" w:rsidRPr="00385904" w:rsidRDefault="000B71B3" w:rsidP="000B71B3">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0B71B3" w:rsidRPr="00F71A6A" w14:paraId="10D87BA8" w14:textId="77777777" w:rsidTr="00E7146B">
        <w:trPr>
          <w:trHeight w:val="162"/>
        </w:trPr>
        <w:tc>
          <w:tcPr>
            <w:tcW w:w="3119" w:type="dxa"/>
          </w:tcPr>
          <w:p w14:paraId="073EDD59" w14:textId="77777777" w:rsidR="000B71B3" w:rsidRPr="00385904" w:rsidRDefault="000B71B3" w:rsidP="00E7146B">
            <w:pPr>
              <w:jc w:val="both"/>
              <w:rPr>
                <w:rFonts w:ascii="Verdana" w:eastAsia="Calibri" w:hAnsi="Verdana" w:cs="Arial"/>
                <w:b/>
                <w:bCs/>
                <w:color w:val="7030A0"/>
                <w:lang w:eastAsia="es-ES_tradnl"/>
              </w:rPr>
            </w:pPr>
          </w:p>
        </w:tc>
        <w:tc>
          <w:tcPr>
            <w:tcW w:w="5670" w:type="dxa"/>
          </w:tcPr>
          <w:p w14:paraId="11BE58CE" w14:textId="77777777" w:rsidR="000B71B3" w:rsidRPr="00FF47CB" w:rsidRDefault="000B71B3" w:rsidP="00E7146B">
            <w:pPr>
              <w:rPr>
                <w:rFonts w:ascii="Verdana" w:eastAsia="Calibri" w:hAnsi="Verdana" w:cs="Arial"/>
                <w:b/>
                <w:bCs/>
                <w:lang w:val="es-ES" w:eastAsia="es-ES"/>
              </w:rPr>
            </w:pPr>
            <w:r w:rsidRPr="00FF47CB">
              <w:rPr>
                <w:rFonts w:ascii="Verdana" w:eastAsia="Calibri" w:hAnsi="Verdana" w:cs="Arial"/>
                <w:b/>
                <w:bCs/>
                <w:lang w:val="es-ES" w:eastAsia="es-ES"/>
              </w:rPr>
              <w:t xml:space="preserve">Concepto </w:t>
            </w:r>
            <w:r>
              <w:rPr>
                <w:rFonts w:ascii="Verdana" w:eastAsia="Calibri" w:hAnsi="Verdana" w:cs="Arial"/>
                <w:b/>
                <w:bCs/>
                <w:lang w:val="es-ES" w:eastAsia="es-ES"/>
              </w:rPr>
              <w:t xml:space="preserve">C- 200 </w:t>
            </w:r>
            <w:r w:rsidRPr="006E593D">
              <w:rPr>
                <w:rFonts w:ascii="Verdana" w:eastAsia="Calibri" w:hAnsi="Verdana" w:cs="Arial"/>
                <w:b/>
                <w:bCs/>
                <w:lang w:val="es-ES" w:eastAsia="es-ES"/>
              </w:rPr>
              <w:t>de 202</w:t>
            </w:r>
            <w:r>
              <w:rPr>
                <w:rFonts w:ascii="Verdana" w:eastAsia="Calibri" w:hAnsi="Verdana" w:cs="Arial"/>
                <w:b/>
                <w:bCs/>
                <w:lang w:val="es-ES" w:eastAsia="es-ES"/>
              </w:rPr>
              <w:t>6</w:t>
            </w:r>
          </w:p>
          <w:p w14:paraId="4E619686" w14:textId="77777777" w:rsidR="000B71B3" w:rsidRPr="003C7BF7" w:rsidRDefault="000B71B3" w:rsidP="00E7146B">
            <w:pPr>
              <w:jc w:val="both"/>
              <w:rPr>
                <w:rFonts w:ascii="Verdana" w:eastAsia="Calibri" w:hAnsi="Verdana" w:cs="Arial"/>
                <w:b/>
                <w:bCs/>
                <w:color w:val="7030A0"/>
                <w:lang w:val="es-ES" w:eastAsia="es-ES"/>
              </w:rPr>
            </w:pPr>
          </w:p>
        </w:tc>
      </w:tr>
      <w:tr w:rsidR="000B71B3" w:rsidRPr="00F71A6A" w14:paraId="7AB85AF7" w14:textId="77777777" w:rsidTr="00E7146B">
        <w:trPr>
          <w:trHeight w:val="884"/>
        </w:trPr>
        <w:tc>
          <w:tcPr>
            <w:tcW w:w="3119" w:type="dxa"/>
          </w:tcPr>
          <w:p w14:paraId="5C0CA1DD" w14:textId="77777777" w:rsidR="000B71B3" w:rsidRPr="00F71A6A" w:rsidRDefault="000B71B3" w:rsidP="00E7146B">
            <w:pPr>
              <w:jc w:val="both"/>
              <w:rPr>
                <w:rFonts w:ascii="Verdana" w:eastAsia="Calibri" w:hAnsi="Verdana" w:cs="Arial"/>
                <w:color w:val="000000"/>
                <w:lang w:val="es-ES_tradnl" w:eastAsia="es-ES_tradnl"/>
              </w:rPr>
            </w:pPr>
            <w:r w:rsidRPr="00F71A6A">
              <w:rPr>
                <w:rFonts w:ascii="Verdana" w:eastAsia="Calibri" w:hAnsi="Verdana" w:cs="Arial"/>
                <w:b/>
                <w:color w:val="000000"/>
                <w:lang w:val="es-ES_tradnl" w:eastAsia="es-ES_tradnl"/>
              </w:rPr>
              <w:t>Temas:</w:t>
            </w:r>
            <w:r w:rsidRPr="00F71A6A">
              <w:rPr>
                <w:rFonts w:ascii="Verdana" w:eastAsia="Calibri" w:hAnsi="Verdana" w:cs="Arial"/>
                <w:color w:val="000000"/>
                <w:lang w:val="es-ES_tradnl" w:eastAsia="es-ES_tradnl"/>
              </w:rPr>
              <w:t xml:space="preserve">                   </w:t>
            </w:r>
          </w:p>
        </w:tc>
        <w:tc>
          <w:tcPr>
            <w:tcW w:w="5670" w:type="dxa"/>
          </w:tcPr>
          <w:p w14:paraId="6BAA8036" w14:textId="77777777" w:rsidR="000B71B3" w:rsidRPr="0067284E" w:rsidRDefault="000B71B3" w:rsidP="00E7146B">
            <w:pPr>
              <w:spacing w:line="276" w:lineRule="auto"/>
              <w:jc w:val="both"/>
              <w:rPr>
                <w:rFonts w:ascii="Verdana" w:eastAsia="Calibri" w:hAnsi="Verdana" w:cs="Arial"/>
                <w:lang w:val="es-ES" w:eastAsia="es-ES"/>
              </w:rPr>
            </w:pPr>
            <w:r w:rsidRPr="0067284E">
              <w:rPr>
                <w:rFonts w:ascii="Verdana" w:eastAsia="Calibri" w:hAnsi="Verdana" w:cs="Arial"/>
                <w:lang w:val="es-ES" w:eastAsia="es-ES"/>
              </w:rPr>
              <w:t>CONTRATO DE PRESTACIÓN DE SERVICIOS</w:t>
            </w:r>
            <w:r>
              <w:rPr>
                <w:rFonts w:ascii="Verdana" w:eastAsia="Calibri" w:hAnsi="Verdana" w:cs="Arial"/>
                <w:lang w:val="es-ES" w:eastAsia="es-ES"/>
              </w:rPr>
              <w:t xml:space="preserve"> – Definición</w:t>
            </w:r>
            <w:r w:rsidRPr="0067284E">
              <w:rPr>
                <w:rFonts w:ascii="Verdana" w:eastAsia="Calibri" w:hAnsi="Verdana" w:cs="Arial"/>
                <w:lang w:val="es-ES" w:eastAsia="es-ES"/>
              </w:rPr>
              <w:t xml:space="preserve"> / CLAUSULAS EXCEPCIONALES –</w:t>
            </w:r>
            <w:r>
              <w:rPr>
                <w:rFonts w:ascii="Verdana" w:eastAsia="Calibri" w:hAnsi="Verdana" w:cs="Arial"/>
                <w:lang w:val="es-ES" w:eastAsia="es-ES"/>
              </w:rPr>
              <w:t xml:space="preserve"> </w:t>
            </w:r>
            <w:r w:rsidRPr="0067284E">
              <w:rPr>
                <w:rFonts w:ascii="Verdana" w:eastAsia="Calibri" w:hAnsi="Verdana" w:cs="Arial"/>
                <w:lang w:val="es-ES" w:eastAsia="es-ES"/>
              </w:rPr>
              <w:t>Incumplimiento</w:t>
            </w:r>
            <w:r>
              <w:rPr>
                <w:rFonts w:ascii="Verdana" w:eastAsia="Calibri" w:hAnsi="Verdana" w:cs="Arial"/>
                <w:lang w:val="es-ES" w:eastAsia="es-ES"/>
              </w:rPr>
              <w:t xml:space="preserve"> </w:t>
            </w:r>
            <w:r w:rsidRPr="0067284E">
              <w:rPr>
                <w:rFonts w:ascii="Verdana" w:eastAsia="Calibri" w:hAnsi="Verdana" w:cs="Arial"/>
                <w:lang w:val="es-ES" w:eastAsia="es-ES"/>
              </w:rPr>
              <w:t>– Multas – Clausula Penal /</w:t>
            </w:r>
            <w:r>
              <w:rPr>
                <w:rFonts w:ascii="Verdana" w:eastAsia="Calibri" w:hAnsi="Verdana" w:cs="Arial"/>
                <w:lang w:val="es-ES" w:eastAsia="es-ES"/>
              </w:rPr>
              <w:t xml:space="preserve"> </w:t>
            </w:r>
            <w:r w:rsidRPr="0067284E">
              <w:rPr>
                <w:rFonts w:ascii="Verdana" w:eastAsia="Calibri" w:hAnsi="Verdana" w:cs="Arial"/>
                <w:lang w:val="es-ES" w:eastAsia="es-ES"/>
              </w:rPr>
              <w:t>TERMINACIÓN ANTICIPADA – Mutuo acuerdo / CESIÓN– Autorización</w:t>
            </w:r>
          </w:p>
          <w:p w14:paraId="07058B29" w14:textId="77777777" w:rsidR="000B71B3" w:rsidRPr="00385904" w:rsidRDefault="000B71B3" w:rsidP="00E7146B">
            <w:pPr>
              <w:spacing w:line="276" w:lineRule="auto"/>
              <w:jc w:val="both"/>
              <w:rPr>
                <w:rFonts w:ascii="Verdana" w:eastAsia="Calibri" w:hAnsi="Verdana" w:cs="Arial"/>
                <w:highlight w:val="yellow"/>
                <w:lang w:val="es-ES" w:eastAsia="es-ES"/>
              </w:rPr>
            </w:pPr>
          </w:p>
        </w:tc>
      </w:tr>
      <w:tr w:rsidR="000B71B3" w:rsidRPr="00F71A6A" w14:paraId="55AAF1EE" w14:textId="77777777" w:rsidTr="00E7146B">
        <w:tc>
          <w:tcPr>
            <w:tcW w:w="3119" w:type="dxa"/>
          </w:tcPr>
          <w:p w14:paraId="0D86A2FB" w14:textId="77777777" w:rsidR="000B71B3" w:rsidRPr="00F71A6A" w:rsidRDefault="000B71B3" w:rsidP="00E7146B">
            <w:pPr>
              <w:jc w:val="both"/>
              <w:rPr>
                <w:rFonts w:ascii="Verdana" w:eastAsia="Calibri" w:hAnsi="Verdana" w:cs="Arial"/>
                <w:b/>
                <w:lang w:val="es-ES_tradnl" w:eastAsia="es-ES_tradnl"/>
              </w:rPr>
            </w:pPr>
            <w:r w:rsidRPr="00F71A6A">
              <w:rPr>
                <w:rFonts w:ascii="Verdana" w:eastAsia="Calibri" w:hAnsi="Verdana" w:cs="Arial"/>
                <w:b/>
                <w:lang w:val="es-ES_tradnl" w:eastAsia="es-ES_tradnl"/>
              </w:rPr>
              <w:t>Radicación:</w:t>
            </w:r>
            <w:r w:rsidRPr="00F71A6A">
              <w:rPr>
                <w:rFonts w:ascii="Verdana" w:eastAsia="Calibri" w:hAnsi="Verdana" w:cs="Arial"/>
                <w:lang w:val="es-ES_tradnl" w:eastAsia="es-ES_tradnl"/>
              </w:rPr>
              <w:t xml:space="preserve">               </w:t>
            </w:r>
          </w:p>
        </w:tc>
        <w:tc>
          <w:tcPr>
            <w:tcW w:w="5670" w:type="dxa"/>
          </w:tcPr>
          <w:p w14:paraId="0127245F" w14:textId="77777777" w:rsidR="000B71B3" w:rsidRPr="00581526" w:rsidRDefault="000B71B3" w:rsidP="00E7146B">
            <w:pPr>
              <w:jc w:val="both"/>
              <w:rPr>
                <w:rFonts w:ascii="Verdana" w:eastAsia="Calibri" w:hAnsi="Verdana" w:cs="Arial"/>
                <w:lang w:val="es-ES_tradnl" w:eastAsia="es-ES_tradnl"/>
              </w:rPr>
            </w:pPr>
            <w:r w:rsidRPr="00F3492F">
              <w:rPr>
                <w:rFonts w:ascii="Verdana" w:eastAsia="Calibri" w:hAnsi="Verdana" w:cs="Arial"/>
                <w:lang w:val="es-ES_tradnl" w:eastAsia="es-ES_tradnl"/>
              </w:rPr>
              <w:t>Respuesta a consulta con radicado</w:t>
            </w:r>
            <w:r>
              <w:rPr>
                <w:rFonts w:ascii="Verdana" w:eastAsia="Calibri" w:hAnsi="Verdana" w:cs="Arial"/>
                <w:lang w:val="es-ES_tradnl" w:eastAsia="es-ES_tradnl"/>
              </w:rPr>
              <w:t xml:space="preserve"> </w:t>
            </w:r>
            <w:r w:rsidRPr="00385904">
              <w:rPr>
                <w:rFonts w:ascii="Verdana" w:eastAsia="Calibri" w:hAnsi="Verdana" w:cs="Arial"/>
                <w:lang w:val="es-ES_tradnl" w:eastAsia="es-ES_tradnl"/>
              </w:rPr>
              <w:t>1_2026_02_12_001791</w:t>
            </w:r>
            <w:r>
              <w:rPr>
                <w:rFonts w:ascii="Verdana" w:eastAsia="Calibri" w:hAnsi="Verdana" w:cs="Arial"/>
                <w:lang w:val="es-ES_tradnl" w:eastAsia="es-ES_tradnl"/>
              </w:rPr>
              <w:t xml:space="preserve"> </w:t>
            </w:r>
          </w:p>
        </w:tc>
      </w:tr>
    </w:tbl>
    <w:p w14:paraId="1A1011C1" w14:textId="77777777" w:rsidR="000B71B3" w:rsidRPr="00D27CF1" w:rsidRDefault="000B71B3" w:rsidP="000B71B3">
      <w:pPr>
        <w:spacing w:after="0" w:line="276" w:lineRule="auto"/>
        <w:jc w:val="both"/>
        <w:rPr>
          <w:rFonts w:ascii="Verdana" w:eastAsia="Calibri" w:hAnsi="Verdana" w:cs="Arial"/>
          <w:lang w:eastAsia="es-ES_tradnl"/>
        </w:rPr>
      </w:pPr>
    </w:p>
    <w:p w14:paraId="7585D354" w14:textId="77777777" w:rsidR="000B71B3" w:rsidRPr="00F71A6A" w:rsidRDefault="000B71B3" w:rsidP="000B71B3">
      <w:pPr>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Estimad</w:t>
      </w:r>
      <w:r>
        <w:rPr>
          <w:rFonts w:ascii="Verdana" w:eastAsia="Calibri" w:hAnsi="Verdana" w:cs="Arial"/>
          <w:lang w:val="es-ES" w:eastAsia="es-ES"/>
        </w:rPr>
        <w:t>o señor Rodríguez:</w:t>
      </w:r>
      <w:r w:rsidRPr="00F71A6A">
        <w:rPr>
          <w:rFonts w:ascii="Verdana" w:eastAsia="Calibri" w:hAnsi="Verdana" w:cs="Arial"/>
          <w:lang w:val="es-ES" w:eastAsia="es-ES"/>
        </w:rPr>
        <w:t xml:space="preserve"> </w:t>
      </w:r>
    </w:p>
    <w:p w14:paraId="2A0942E4" w14:textId="77777777" w:rsidR="000B71B3" w:rsidRPr="00F71A6A" w:rsidRDefault="000B71B3" w:rsidP="000B71B3">
      <w:pPr>
        <w:tabs>
          <w:tab w:val="left" w:pos="3768"/>
        </w:tabs>
        <w:spacing w:after="0" w:line="276" w:lineRule="auto"/>
        <w:jc w:val="both"/>
        <w:rPr>
          <w:rFonts w:ascii="Verdana" w:eastAsia="Calibri" w:hAnsi="Verdana" w:cs="Arial"/>
          <w:lang w:val="es-ES" w:eastAsia="es-ES"/>
        </w:rPr>
      </w:pPr>
      <w:r w:rsidRPr="00F71A6A">
        <w:rPr>
          <w:rFonts w:ascii="Verdana" w:eastAsia="Calibri" w:hAnsi="Verdana" w:cs="Arial"/>
          <w:lang w:val="es-ES" w:eastAsia="es-ES"/>
        </w:rPr>
        <w:tab/>
      </w:r>
    </w:p>
    <w:p w14:paraId="4057E498" w14:textId="77777777" w:rsidR="000B71B3" w:rsidRPr="00F71A6A" w:rsidRDefault="000B71B3" w:rsidP="000B71B3">
      <w:pPr>
        <w:spacing w:after="0" w:line="276" w:lineRule="auto"/>
        <w:jc w:val="both"/>
        <w:rPr>
          <w:rFonts w:ascii="Verdana" w:eastAsia="Calibri" w:hAnsi="Verdana" w:cs="Arial"/>
          <w:lang w:val="es-ES" w:eastAsia="es-ES"/>
        </w:rPr>
      </w:pPr>
      <w:r w:rsidRPr="00F71A6A">
        <w:rPr>
          <w:rFonts w:ascii="Verdana" w:eastAsia="Calibri" w:hAnsi="Verdana" w:cs="Arial"/>
          <w:color w:val="000000" w:themeColor="text1"/>
          <w:lang w:val="es-ES" w:eastAsia="es-ES"/>
        </w:rPr>
        <w:t>En ejercicio de la competencia otorgada por los artículos 3, numeral 5º, y 11, numeral 8º, del Decreto Ley 4170 de 2011,</w:t>
      </w:r>
      <w:r w:rsidRPr="00F71A6A">
        <w:rPr>
          <w:rFonts w:ascii="Verdana" w:eastAsia="Arial MT" w:hAnsi="Verdana" w:cs="Arial MT"/>
          <w:lang w:val="es-ES" w:eastAsia="es-ES"/>
        </w:rPr>
        <w:t xml:space="preserve"> </w:t>
      </w:r>
      <w:r w:rsidRPr="00F71A6A">
        <w:rPr>
          <w:rFonts w:ascii="Verdana" w:hAnsi="Verdana" w:cs="Arial"/>
        </w:rPr>
        <w:t xml:space="preserve">así como lo establecido </w:t>
      </w:r>
      <w:r>
        <w:rPr>
          <w:rFonts w:ascii="Verdana" w:hAnsi="Verdana" w:cs="Arial"/>
        </w:rPr>
        <w:t xml:space="preserve">en la </w:t>
      </w:r>
      <w:r w:rsidRPr="00F71A6A">
        <w:rPr>
          <w:rFonts w:ascii="Verdana" w:hAnsi="Verdana" w:cs="Arial"/>
        </w:rPr>
        <w:t xml:space="preserve">Resolución </w:t>
      </w:r>
      <w:r w:rsidRPr="0022207A">
        <w:rPr>
          <w:rFonts w:ascii="Verdana" w:eastAsia="Calibri" w:hAnsi="Verdana" w:cs="Times New Roman"/>
          <w:bCs/>
        </w:rPr>
        <w:t>469 de 2025</w:t>
      </w:r>
      <w:r>
        <w:rPr>
          <w:rFonts w:ascii="Verdana" w:hAnsi="Verdana" w:cs="Arial"/>
          <w:color w:val="000000" w:themeColor="text1"/>
        </w:rPr>
        <w:t xml:space="preserve"> </w:t>
      </w:r>
      <w:r w:rsidRPr="00F71A6A">
        <w:rPr>
          <w:rFonts w:ascii="Verdana" w:hAnsi="Verdana" w:cs="Arial"/>
        </w:rPr>
        <w:t xml:space="preserve">expedida por esta Entidad, </w:t>
      </w:r>
      <w:r w:rsidRPr="00F71A6A">
        <w:rPr>
          <w:rFonts w:ascii="Verdana" w:eastAsia="Calibri" w:hAnsi="Verdana" w:cs="Arial"/>
          <w:color w:val="000000" w:themeColor="text1"/>
          <w:lang w:val="es-ES" w:eastAsia="es-ES"/>
        </w:rPr>
        <w:t xml:space="preserve">la Agencia Nacional de Contratación </w:t>
      </w:r>
      <w:r w:rsidRPr="00F71A6A">
        <w:rPr>
          <w:rFonts w:ascii="Verdana" w:eastAsia="Calibri" w:hAnsi="Verdana" w:cs="Arial"/>
          <w:lang w:val="es-ES" w:eastAsia="es-ES"/>
        </w:rPr>
        <w:t>Pública – Colombia Compra Eficiente– responde su</w:t>
      </w:r>
      <w:r>
        <w:rPr>
          <w:rFonts w:ascii="Verdana" w:eastAsia="Calibri" w:hAnsi="Verdana" w:cs="Arial"/>
          <w:lang w:val="es-ES" w:eastAsia="es-ES"/>
        </w:rPr>
        <w:t xml:space="preserve"> solicitud </w:t>
      </w:r>
      <w:r w:rsidRPr="00F71A6A">
        <w:rPr>
          <w:rFonts w:ascii="Verdana" w:eastAsia="Calibri" w:hAnsi="Verdana" w:cs="Arial"/>
          <w:lang w:val="es-ES" w:eastAsia="es-ES"/>
        </w:rPr>
        <w:t xml:space="preserve">de consulta de </w:t>
      </w:r>
      <w:r>
        <w:rPr>
          <w:rFonts w:ascii="Verdana" w:eastAsia="Calibri" w:hAnsi="Verdana" w:cs="Arial"/>
          <w:lang w:val="es-ES" w:eastAsia="es-ES"/>
        </w:rPr>
        <w:t>12 de febrero de 2026</w:t>
      </w:r>
      <w:r w:rsidRPr="00F71A6A">
        <w:rPr>
          <w:rFonts w:ascii="Verdana" w:eastAsia="Calibri" w:hAnsi="Verdana" w:cs="Arial"/>
          <w:lang w:val="es-ES" w:eastAsia="es-ES"/>
        </w:rPr>
        <w:t>,</w:t>
      </w:r>
      <w:r>
        <w:rPr>
          <w:rFonts w:ascii="Verdana" w:eastAsia="Calibri" w:hAnsi="Verdana" w:cs="Arial"/>
          <w:lang w:val="es-ES" w:eastAsia="es-ES"/>
        </w:rPr>
        <w:t xml:space="preserve"> </w:t>
      </w:r>
      <w:r w:rsidRPr="00F71A6A">
        <w:rPr>
          <w:rFonts w:ascii="Verdana" w:eastAsia="Calibri" w:hAnsi="Verdana" w:cs="Arial"/>
          <w:lang w:val="es-ES" w:eastAsia="es-ES"/>
        </w:rPr>
        <w:t>en la cual</w:t>
      </w:r>
      <w:r>
        <w:rPr>
          <w:rFonts w:ascii="Verdana" w:eastAsia="Calibri" w:hAnsi="Verdana" w:cs="Arial"/>
          <w:lang w:val="es-ES" w:eastAsia="es-ES"/>
        </w:rPr>
        <w:t xml:space="preserve"> </w:t>
      </w:r>
      <w:r w:rsidRPr="00F71A6A">
        <w:rPr>
          <w:rFonts w:ascii="Verdana" w:eastAsia="Calibri" w:hAnsi="Verdana" w:cs="Arial"/>
          <w:lang w:val="es-ES" w:eastAsia="es-ES"/>
        </w:rPr>
        <w:t xml:space="preserve">manifiesta lo siguiente: </w:t>
      </w:r>
    </w:p>
    <w:p w14:paraId="06E964CD" w14:textId="77777777" w:rsidR="000B71B3" w:rsidRPr="000643DA" w:rsidRDefault="000B71B3" w:rsidP="000B71B3">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2CCCE2F" w14:textId="77777777" w:rsidR="000B71B3" w:rsidRPr="00C41551" w:rsidRDefault="000B71B3" w:rsidP="000B71B3">
      <w:pPr>
        <w:spacing w:after="0" w:line="240" w:lineRule="auto"/>
        <w:ind w:left="709" w:right="709"/>
        <w:jc w:val="both"/>
        <w:rPr>
          <w:rFonts w:ascii="Verdana" w:hAnsi="Verdana"/>
          <w:sz w:val="20"/>
          <w:szCs w:val="20"/>
        </w:rPr>
      </w:pPr>
      <w:bookmarkStart w:id="3" w:name="_Hlk192699624"/>
      <w:bookmarkStart w:id="4" w:name="_Hlk199394899"/>
      <w:r w:rsidRPr="00835A24">
        <w:rPr>
          <w:rFonts w:ascii="Verdana" w:eastAsia="Century Gothic" w:hAnsi="Verdana" w:cs="Century Gothic"/>
          <w:sz w:val="20"/>
          <w:szCs w:val="20"/>
        </w:rPr>
        <w:t xml:space="preserve">“(…) </w:t>
      </w:r>
      <w:bookmarkEnd w:id="3"/>
      <w:r w:rsidRPr="00385904">
        <w:rPr>
          <w:rFonts w:ascii="Verdana" w:hAnsi="Verdana"/>
          <w:sz w:val="20"/>
          <w:szCs w:val="20"/>
        </w:rPr>
        <w:t>MI SOLICITUD Y RADICACION ES DEBIDO A QUE ME SOLICITARON CEDER EL CONTRATO DE</w:t>
      </w:r>
      <w:r>
        <w:rPr>
          <w:rFonts w:ascii="Verdana" w:hAnsi="Verdana"/>
          <w:sz w:val="20"/>
          <w:szCs w:val="20"/>
        </w:rPr>
        <w:t xml:space="preserve"> </w:t>
      </w:r>
      <w:r w:rsidRPr="00385904">
        <w:rPr>
          <w:rFonts w:ascii="Verdana" w:hAnsi="Verdana"/>
          <w:sz w:val="20"/>
          <w:szCs w:val="20"/>
        </w:rPr>
        <w:t>PRESTACION DE SERVICIOS YA QUE NO QUIEREN HACERME MI CONTRATO POR TEMAS DEL</w:t>
      </w:r>
      <w:r>
        <w:rPr>
          <w:rFonts w:ascii="Verdana" w:hAnsi="Verdana"/>
          <w:sz w:val="20"/>
          <w:szCs w:val="20"/>
        </w:rPr>
        <w:t xml:space="preserve"> </w:t>
      </w:r>
      <w:r w:rsidRPr="00385904">
        <w:rPr>
          <w:rFonts w:ascii="Verdana" w:hAnsi="Verdana"/>
          <w:sz w:val="20"/>
          <w:szCs w:val="20"/>
        </w:rPr>
        <w:t>TRAMITE DE LA LIBRETA MILITAR , NO SE EN ESTE CASO QUE PUEDA HACER O A QUE ACUERDOS</w:t>
      </w:r>
      <w:r>
        <w:rPr>
          <w:rFonts w:ascii="Verdana" w:hAnsi="Verdana"/>
          <w:sz w:val="20"/>
          <w:szCs w:val="20"/>
        </w:rPr>
        <w:t xml:space="preserve"> </w:t>
      </w:r>
      <w:r w:rsidRPr="00385904">
        <w:rPr>
          <w:rFonts w:ascii="Verdana" w:hAnsi="Verdana"/>
          <w:sz w:val="20"/>
          <w:szCs w:val="20"/>
        </w:rPr>
        <w:t xml:space="preserve">SE PODRIAN LLEGAR SI EL CONTRATO YA ESTA SUBIDO EN EL SECOP </w:t>
      </w:r>
      <w:r>
        <w:rPr>
          <w:rFonts w:ascii="Verdana" w:hAnsi="Verdana"/>
          <w:sz w:val="20"/>
          <w:szCs w:val="20"/>
        </w:rPr>
        <w:t>(…)”.</w:t>
      </w:r>
    </w:p>
    <w:bookmarkEnd w:id="4"/>
    <w:p w14:paraId="460EC661" w14:textId="77777777" w:rsidR="000B71B3" w:rsidRPr="00243123" w:rsidRDefault="000B71B3" w:rsidP="000B71B3">
      <w:pPr>
        <w:spacing w:after="0" w:line="276" w:lineRule="auto"/>
        <w:ind w:left="709" w:right="902"/>
        <w:jc w:val="both"/>
        <w:rPr>
          <w:rFonts w:ascii="Verdana" w:hAnsi="Verdana"/>
        </w:rPr>
      </w:pPr>
    </w:p>
    <w:p w14:paraId="3FDD40E5" w14:textId="77777777" w:rsidR="000B71B3" w:rsidRPr="00995CAD" w:rsidRDefault="000B71B3" w:rsidP="000B71B3">
      <w:pPr>
        <w:spacing w:after="120" w:line="276" w:lineRule="auto"/>
        <w:ind w:firstLine="709"/>
        <w:jc w:val="both"/>
        <w:rPr>
          <w:rFonts w:ascii="Verdana" w:eastAsia="Calibri" w:hAnsi="Verdana" w:cs="Arial"/>
          <w:color w:val="000000"/>
          <w:szCs w:val="24"/>
          <w:lang w:val="es-ES_tradnl" w:eastAsia="es-ES_tradnl"/>
        </w:rPr>
      </w:pPr>
      <w:r w:rsidRPr="00995CAD">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260F59E0" w14:textId="77777777" w:rsidR="000B71B3" w:rsidRPr="00995CAD" w:rsidRDefault="000B71B3" w:rsidP="000B71B3">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 xml:space="preserve">Conforme lo expuesto, en aras de garantizar el derecho fundamental de petición, se resolverá su petición dentro de los límites de la referida competencia consultiva, esto es, haciendo </w:t>
      </w:r>
      <w:r>
        <w:rPr>
          <w:rFonts w:ascii="Verdana" w:eastAsia="Calibri" w:hAnsi="Verdana" w:cs="Arial"/>
          <w:color w:val="000000"/>
          <w:lang w:val="es-ES" w:eastAsia="es-ES"/>
        </w:rPr>
        <w:t>abstracción del caso particular y concreto señalado en su petición, pero señalando</w:t>
      </w:r>
      <w:r w:rsidRPr="00995CAD">
        <w:rPr>
          <w:rFonts w:ascii="Verdana" w:eastAsia="Calibri" w:hAnsi="Verdana" w:cs="Arial"/>
          <w:color w:val="000000"/>
          <w:lang w:val="es-ES" w:eastAsia="es-ES"/>
        </w:rPr>
        <w:t xml:space="preserve"> </w:t>
      </w:r>
      <w:r>
        <w:rPr>
          <w:rFonts w:ascii="Verdana" w:eastAsia="Calibri" w:hAnsi="Verdana" w:cs="Arial"/>
          <w:color w:val="000000"/>
          <w:lang w:val="es-ES" w:eastAsia="es-ES"/>
        </w:rPr>
        <w:t>alg</w:t>
      </w:r>
      <w:r w:rsidRPr="00995CAD">
        <w:rPr>
          <w:rFonts w:ascii="Verdana" w:eastAsia="Calibri" w:hAnsi="Verdana" w:cs="Arial"/>
          <w:color w:val="000000"/>
          <w:lang w:val="es-ES" w:eastAsia="es-ES"/>
        </w:rPr>
        <w:t xml:space="preserve">unas consideraciones sobre las normas generales relacionadas </w:t>
      </w:r>
      <w:r w:rsidRPr="005C42DF">
        <w:rPr>
          <w:rFonts w:ascii="Verdana" w:eastAsia="Calibri" w:hAnsi="Verdana" w:cs="Arial"/>
          <w:color w:val="000000"/>
          <w:lang w:val="es-ES" w:eastAsia="es-ES"/>
        </w:rPr>
        <w:t>con los</w:t>
      </w:r>
      <w:r w:rsidRPr="005C42DF">
        <w:rPr>
          <w:rFonts w:ascii="Verdana" w:eastAsia="Calibri" w:hAnsi="Verdana" w:cs="Arial"/>
          <w:color w:val="7030A0"/>
          <w:lang w:val="es-ES" w:eastAsia="es-ES"/>
        </w:rPr>
        <w:t xml:space="preserve"> </w:t>
      </w:r>
      <w:r w:rsidRPr="005C42DF">
        <w:rPr>
          <w:rFonts w:ascii="Verdana" w:eastAsia="Calibri" w:hAnsi="Verdana" w:cs="Arial"/>
          <w:color w:val="000000"/>
          <w:lang w:val="es-ES" w:eastAsia="es-ES"/>
        </w:rPr>
        <w:t>problemas</w:t>
      </w:r>
      <w:r w:rsidRPr="005C42DF">
        <w:rPr>
          <w:rFonts w:ascii="Verdana" w:eastAsia="Calibri" w:hAnsi="Verdana" w:cs="Arial"/>
          <w:color w:val="7030A0"/>
          <w:lang w:val="es-ES" w:eastAsia="es-ES"/>
        </w:rPr>
        <w:t xml:space="preserve"> </w:t>
      </w:r>
      <w:r w:rsidRPr="005C42DF">
        <w:rPr>
          <w:rFonts w:ascii="Verdana" w:eastAsia="Calibri" w:hAnsi="Verdana" w:cs="Arial"/>
          <w:color w:val="000000"/>
          <w:lang w:val="es-ES" w:eastAsia="es-ES"/>
        </w:rPr>
        <w:t>jurídicos</w:t>
      </w:r>
      <w:r w:rsidRPr="005C42DF">
        <w:rPr>
          <w:rFonts w:ascii="Verdana" w:eastAsia="Calibri" w:hAnsi="Verdana" w:cs="Arial"/>
          <w:color w:val="7030A0"/>
          <w:lang w:val="es-ES" w:eastAsia="es-ES"/>
        </w:rPr>
        <w:t xml:space="preserve"> </w:t>
      </w:r>
      <w:r w:rsidRPr="005C42DF">
        <w:rPr>
          <w:rFonts w:ascii="Verdana" w:eastAsia="Calibri" w:hAnsi="Verdana" w:cs="Arial"/>
          <w:color w:val="000000"/>
          <w:lang w:val="es-ES" w:eastAsia="es-ES"/>
        </w:rPr>
        <w:t>de su consulta.</w:t>
      </w:r>
      <w:r w:rsidRPr="00995CAD">
        <w:rPr>
          <w:rFonts w:ascii="Verdana" w:eastAsia="Calibri" w:hAnsi="Verdana" w:cs="Arial"/>
          <w:color w:val="000000"/>
          <w:lang w:val="es-ES" w:eastAsia="es-ES"/>
        </w:rPr>
        <w:t xml:space="preserve">  </w:t>
      </w:r>
    </w:p>
    <w:p w14:paraId="35F7A132" w14:textId="77777777" w:rsidR="000B71B3" w:rsidRPr="00F71A6A" w:rsidRDefault="000B71B3" w:rsidP="000B71B3">
      <w:pPr>
        <w:spacing w:after="0" w:line="276" w:lineRule="auto"/>
        <w:ind w:firstLine="709"/>
        <w:jc w:val="both"/>
        <w:rPr>
          <w:rFonts w:ascii="Verdana" w:eastAsia="Calibri" w:hAnsi="Verdana" w:cs="Arial"/>
          <w:color w:val="000000"/>
          <w:lang w:val="es-ES" w:eastAsia="es-ES"/>
        </w:rPr>
      </w:pPr>
    </w:p>
    <w:p w14:paraId="77EFC531" w14:textId="77777777" w:rsidR="000B71B3" w:rsidRPr="00F71A6A" w:rsidRDefault="000B71B3" w:rsidP="000B71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Problema planteado:</w:t>
      </w:r>
    </w:p>
    <w:p w14:paraId="446CD453" w14:textId="77777777" w:rsidR="000B71B3" w:rsidRPr="00F71A6A" w:rsidRDefault="000B71B3" w:rsidP="000B71B3">
      <w:pPr>
        <w:tabs>
          <w:tab w:val="left" w:pos="426"/>
        </w:tabs>
        <w:spacing w:after="0" w:line="276" w:lineRule="auto"/>
        <w:jc w:val="both"/>
        <w:rPr>
          <w:rFonts w:ascii="Verdana" w:eastAsia="Century Gothic" w:hAnsi="Verdana" w:cs="Century Gothic"/>
          <w:lang w:val="es-ES"/>
        </w:rPr>
      </w:pPr>
    </w:p>
    <w:p w14:paraId="1E1A40CE" w14:textId="77777777" w:rsidR="000B71B3" w:rsidRDefault="000B71B3" w:rsidP="000B71B3">
      <w:pPr>
        <w:spacing w:after="0" w:line="276" w:lineRule="auto"/>
        <w:jc w:val="both"/>
        <w:rPr>
          <w:rFonts w:ascii="Verdana" w:eastAsia="Century Gothic" w:hAnsi="Verdana" w:cs="Century Gothic"/>
        </w:rPr>
      </w:pPr>
      <w:r w:rsidRPr="00F71A6A">
        <w:rPr>
          <w:rFonts w:ascii="Verdana" w:eastAsia="Century Gothic" w:hAnsi="Verdana" w:cs="Century Gothic"/>
        </w:rPr>
        <w:t xml:space="preserve">De acuerdo con el contenido de su solicitud, esta Agencia </w:t>
      </w:r>
      <w:r>
        <w:rPr>
          <w:rFonts w:ascii="Verdana" w:eastAsia="Century Gothic" w:hAnsi="Verdana" w:cs="Century Gothic"/>
        </w:rPr>
        <w:t xml:space="preserve">resolverá </w:t>
      </w:r>
      <w:r w:rsidRPr="00A84DDB">
        <w:rPr>
          <w:rFonts w:ascii="Verdana" w:eastAsia="Century Gothic" w:hAnsi="Verdana" w:cs="Century Gothic"/>
        </w:rPr>
        <w:t>l</w:t>
      </w:r>
      <w:r>
        <w:rPr>
          <w:rFonts w:ascii="Verdana" w:eastAsia="Century Gothic" w:hAnsi="Verdana" w:cs="Century Gothic"/>
        </w:rPr>
        <w:t>os</w:t>
      </w:r>
      <w:r w:rsidRPr="00A84DDB">
        <w:rPr>
          <w:rFonts w:ascii="Verdana" w:eastAsia="Century Gothic" w:hAnsi="Verdana" w:cs="Century Gothic"/>
        </w:rPr>
        <w:t xml:space="preserve"> siguiente</w:t>
      </w:r>
      <w:r>
        <w:rPr>
          <w:rFonts w:ascii="Verdana" w:eastAsia="Century Gothic" w:hAnsi="Verdana" w:cs="Century Gothic"/>
        </w:rPr>
        <w:t>s</w:t>
      </w:r>
      <w:r w:rsidRPr="00A84DDB">
        <w:rPr>
          <w:rFonts w:ascii="Verdana" w:eastAsia="Century Gothic" w:hAnsi="Verdana" w:cs="Century Gothic"/>
        </w:rPr>
        <w:t xml:space="preserve"> problema</w:t>
      </w:r>
      <w:r>
        <w:rPr>
          <w:rFonts w:ascii="Verdana" w:eastAsia="Century Gothic" w:hAnsi="Verdana" w:cs="Century Gothic"/>
        </w:rPr>
        <w:t>s</w:t>
      </w:r>
      <w:r w:rsidRPr="00A84DDB">
        <w:rPr>
          <w:rFonts w:ascii="Verdana" w:eastAsia="Century Gothic" w:hAnsi="Verdana" w:cs="Century Gothic"/>
        </w:rPr>
        <w:t xml:space="preserve"> jurídico</w:t>
      </w:r>
      <w:r>
        <w:rPr>
          <w:rFonts w:ascii="Verdana" w:eastAsia="Century Gothic" w:hAnsi="Verdana" w:cs="Century Gothic"/>
        </w:rPr>
        <w:t>s</w:t>
      </w:r>
      <w:r w:rsidRPr="00A84DDB">
        <w:rPr>
          <w:rFonts w:ascii="Verdana" w:eastAsia="Century Gothic" w:hAnsi="Verdana" w:cs="Century Gothic"/>
        </w:rPr>
        <w:t xml:space="preserve">: </w:t>
      </w:r>
      <w:r>
        <w:rPr>
          <w:rFonts w:ascii="Verdana" w:eastAsia="Century Gothic" w:hAnsi="Verdana" w:cs="Century Gothic"/>
        </w:rPr>
        <w:t xml:space="preserve">i) </w:t>
      </w:r>
      <w:r w:rsidRPr="00A47E56">
        <w:rPr>
          <w:rFonts w:ascii="Verdana" w:eastAsia="Century Gothic" w:hAnsi="Verdana" w:cs="Century Gothic"/>
        </w:rPr>
        <w:t>¿</w:t>
      </w:r>
      <w:r>
        <w:rPr>
          <w:rFonts w:ascii="Verdana" w:eastAsia="Century Gothic" w:hAnsi="Verdana" w:cs="Century Gothic"/>
        </w:rPr>
        <w:t>A</w:t>
      </w:r>
      <w:r w:rsidRPr="00A47E56">
        <w:rPr>
          <w:rFonts w:ascii="Verdana" w:eastAsia="Century Gothic" w:hAnsi="Verdana" w:cs="Century Gothic"/>
        </w:rPr>
        <w:t xml:space="preserve"> qué mecanismos puede</w:t>
      </w:r>
      <w:r>
        <w:rPr>
          <w:rFonts w:ascii="Verdana" w:eastAsia="Century Gothic" w:hAnsi="Verdana" w:cs="Century Gothic"/>
        </w:rPr>
        <w:t>n</w:t>
      </w:r>
      <w:r w:rsidRPr="00A47E56">
        <w:rPr>
          <w:rFonts w:ascii="Verdana" w:eastAsia="Century Gothic" w:hAnsi="Verdana" w:cs="Century Gothic"/>
        </w:rPr>
        <w:t xml:space="preserve"> acudir </w:t>
      </w:r>
      <w:r>
        <w:rPr>
          <w:rFonts w:ascii="Verdana" w:eastAsia="Century Gothic" w:hAnsi="Verdana" w:cs="Century Gothic"/>
        </w:rPr>
        <w:t>las partes</w:t>
      </w:r>
      <w:r w:rsidRPr="00A47E56">
        <w:rPr>
          <w:rFonts w:ascii="Verdana" w:eastAsia="Century Gothic" w:hAnsi="Verdana" w:cs="Century Gothic"/>
        </w:rPr>
        <w:t xml:space="preserve"> de </w:t>
      </w:r>
      <w:r>
        <w:rPr>
          <w:rFonts w:ascii="Verdana" w:eastAsia="Century Gothic" w:hAnsi="Verdana" w:cs="Century Gothic"/>
        </w:rPr>
        <w:t xml:space="preserve">un contrato de </w:t>
      </w:r>
      <w:r w:rsidRPr="00A47E56">
        <w:rPr>
          <w:rFonts w:ascii="Verdana" w:eastAsia="Century Gothic" w:hAnsi="Verdana" w:cs="Century Gothic"/>
        </w:rPr>
        <w:t xml:space="preserve">prestación de servicios para dar por </w:t>
      </w:r>
      <w:r>
        <w:rPr>
          <w:rFonts w:ascii="Verdana" w:eastAsia="Century Gothic" w:hAnsi="Verdana" w:cs="Century Gothic"/>
        </w:rPr>
        <w:t>finalizado</w:t>
      </w:r>
      <w:r w:rsidRPr="00A47E56">
        <w:rPr>
          <w:rFonts w:ascii="Verdana" w:eastAsia="Century Gothic" w:hAnsi="Verdana" w:cs="Century Gothic"/>
        </w:rPr>
        <w:t xml:space="preserve"> el contrato </w:t>
      </w:r>
      <w:r w:rsidRPr="00672628">
        <w:rPr>
          <w:rFonts w:ascii="Verdana" w:eastAsia="Century Gothic" w:hAnsi="Verdana" w:cs="Century Gothic"/>
        </w:rPr>
        <w:t xml:space="preserve">con fundamento en el incumplimiento de requisitos </w:t>
      </w:r>
      <w:r>
        <w:rPr>
          <w:rFonts w:ascii="Verdana" w:eastAsia="Century Gothic" w:hAnsi="Verdana" w:cs="Century Gothic"/>
        </w:rPr>
        <w:t>en la documentación legal</w:t>
      </w:r>
      <w:r w:rsidRPr="00672628">
        <w:rPr>
          <w:rFonts w:ascii="Verdana" w:eastAsia="Century Gothic" w:hAnsi="Verdana" w:cs="Century Gothic"/>
        </w:rPr>
        <w:t xml:space="preserve"> del contratista</w:t>
      </w:r>
      <w:r>
        <w:rPr>
          <w:rFonts w:ascii="Verdana" w:eastAsia="Century Gothic" w:hAnsi="Verdana" w:cs="Century Gothic"/>
        </w:rPr>
        <w:t>?</w:t>
      </w:r>
    </w:p>
    <w:p w14:paraId="7034F1B4" w14:textId="77777777" w:rsidR="000B71B3" w:rsidRDefault="000B71B3" w:rsidP="000B71B3">
      <w:pPr>
        <w:spacing w:after="0" w:line="276" w:lineRule="auto"/>
        <w:jc w:val="both"/>
        <w:rPr>
          <w:rFonts w:ascii="Verdana" w:eastAsia="Century Gothic" w:hAnsi="Verdana" w:cs="Century Gothic"/>
          <w:b/>
          <w:bCs/>
        </w:rPr>
      </w:pPr>
    </w:p>
    <w:p w14:paraId="3A29828C" w14:textId="77777777" w:rsidR="000B71B3" w:rsidRPr="00E42343" w:rsidRDefault="000B71B3" w:rsidP="000B71B3">
      <w:pPr>
        <w:spacing w:after="0" w:line="276" w:lineRule="auto"/>
        <w:jc w:val="both"/>
        <w:rPr>
          <w:rFonts w:ascii="Verdana" w:eastAsia="Century Gothic" w:hAnsi="Verdana" w:cs="Century Gothic"/>
          <w:b/>
          <w:bCs/>
        </w:rPr>
      </w:pPr>
      <w:r>
        <w:rPr>
          <w:rFonts w:ascii="Verdana" w:eastAsia="Century Gothic" w:hAnsi="Verdana" w:cs="Century Gothic"/>
          <w:b/>
          <w:bCs/>
        </w:rPr>
        <w:t xml:space="preserve">3. </w:t>
      </w:r>
      <w:r w:rsidRPr="00E42343">
        <w:rPr>
          <w:rFonts w:ascii="Verdana" w:eastAsia="Century Gothic" w:hAnsi="Verdana" w:cs="Century Gothic"/>
          <w:b/>
          <w:bCs/>
        </w:rPr>
        <w:t>Respuesta:</w:t>
      </w:r>
    </w:p>
    <w:p w14:paraId="65820DF2" w14:textId="77777777" w:rsidR="000B71B3" w:rsidRPr="00F71A6A" w:rsidRDefault="000B71B3" w:rsidP="000B71B3">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Look w:val="04A0" w:firstRow="1" w:lastRow="0" w:firstColumn="1" w:lastColumn="0" w:noHBand="0" w:noVBand="1"/>
      </w:tblPr>
      <w:tblGrid>
        <w:gridCol w:w="8828"/>
      </w:tblGrid>
      <w:tr w:rsidR="000B71B3" w:rsidRPr="00F71A6A" w14:paraId="0903EA26" w14:textId="77777777" w:rsidTr="00E7146B">
        <w:tc>
          <w:tcPr>
            <w:tcW w:w="8828" w:type="dxa"/>
          </w:tcPr>
          <w:p w14:paraId="495DFBFE" w14:textId="77777777" w:rsidR="000B71B3" w:rsidRPr="00250CE4" w:rsidRDefault="000B71B3" w:rsidP="003F4AF7">
            <w:pPr>
              <w:spacing w:after="120" w:line="276" w:lineRule="auto"/>
              <w:jc w:val="both"/>
              <w:rPr>
                <w:rFonts w:ascii="Verdana" w:eastAsia="Calibri" w:hAnsi="Verdana" w:cs="Arial"/>
              </w:rPr>
            </w:pPr>
            <w:r w:rsidRPr="00250CE4">
              <w:rPr>
                <w:rFonts w:ascii="Verdana" w:eastAsia="Calibri" w:hAnsi="Verdana" w:cs="Arial"/>
              </w:rPr>
              <w:t xml:space="preserve">Un contratista de prestación de servicios tiene a su disposición distintas posibilidades negociales, en caso de que no sea su voluntad continuar con la ejecución del contrato, dentro de las que se destaca la solicitud de terminación unilateral y la cesión. De cualquier modo, es claro que ambos mecanismos deben estar precedidos del acuerdo o autorización con la Entidad Estatal contratante, a efectos de que no se consoliden incumplimientos que den lugar </w:t>
            </w:r>
            <w:r w:rsidRPr="00250CE4">
              <w:rPr>
                <w:rFonts w:ascii="Verdana" w:eastAsia="Calibri" w:hAnsi="Verdana" w:cs="Arial"/>
              </w:rPr>
              <w:lastRenderedPageBreak/>
              <w:t xml:space="preserve">a las imposiciones de las sanciones contractuales que se hayan pactado en el contrato. </w:t>
            </w:r>
          </w:p>
          <w:p w14:paraId="35991B83" w14:textId="77777777" w:rsidR="000B71B3" w:rsidRDefault="000B71B3" w:rsidP="00807104">
            <w:pPr>
              <w:widowControl w:val="0"/>
              <w:autoSpaceDE w:val="0"/>
              <w:autoSpaceDN w:val="0"/>
              <w:spacing w:before="120" w:after="120" w:line="276" w:lineRule="auto"/>
              <w:ind w:firstLine="709"/>
              <w:jc w:val="both"/>
              <w:rPr>
                <w:rFonts w:ascii="Verdana" w:eastAsia="Calibri" w:hAnsi="Verdana" w:cs="Arial"/>
              </w:rPr>
            </w:pPr>
            <w:r w:rsidRPr="00250CE4">
              <w:rPr>
                <w:rFonts w:ascii="Verdana" w:eastAsia="Calibri" w:hAnsi="Verdana" w:cs="Arial"/>
              </w:rPr>
              <w:t>Lo anterior sin perjuicio de los demás mecanismos que las partes estimen procedentes de en el marco de la autonomía de la voluntad, sin perjuicio del cumplimiento del ordenamiento jurídico.</w:t>
            </w:r>
          </w:p>
          <w:p w14:paraId="4DC13B11" w14:textId="77777777" w:rsidR="000B71B3" w:rsidRPr="00672628" w:rsidRDefault="000B71B3" w:rsidP="00807104">
            <w:pPr>
              <w:spacing w:line="276" w:lineRule="auto"/>
              <w:ind w:firstLine="709"/>
              <w:jc w:val="both"/>
              <w:rPr>
                <w:rFonts w:ascii="Verdana" w:eastAsia="Arial" w:hAnsi="Verdana" w:cs="Arial"/>
              </w:rPr>
            </w:pPr>
            <w:r>
              <w:rPr>
                <w:rFonts w:ascii="Verdana" w:eastAsia="Times New Roman" w:hAnsi="Verdana" w:cs="Arial"/>
                <w:lang w:val="es-MX" w:eastAsia="es-ES_tradnl"/>
              </w:rPr>
              <w:t xml:space="preserve">Por último, </w:t>
            </w:r>
            <w:r w:rsidRPr="00AE7E03">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bl>
    <w:p w14:paraId="763A67A7" w14:textId="77777777" w:rsidR="000B71B3" w:rsidRPr="00F71A6A" w:rsidRDefault="000B71B3" w:rsidP="000B71B3">
      <w:pPr>
        <w:tabs>
          <w:tab w:val="left" w:pos="142"/>
          <w:tab w:val="left" w:pos="284"/>
        </w:tabs>
        <w:spacing w:after="0" w:line="276" w:lineRule="auto"/>
        <w:jc w:val="both"/>
        <w:rPr>
          <w:rFonts w:ascii="Verdana" w:eastAsia="Century Gothic" w:hAnsi="Verdana" w:cs="Century Gothic"/>
          <w:b/>
          <w:bCs/>
          <w:lang w:val="es-ES"/>
        </w:rPr>
      </w:pPr>
    </w:p>
    <w:p w14:paraId="39A7662F" w14:textId="77777777" w:rsidR="000B71B3" w:rsidRDefault="000B71B3" w:rsidP="000B71B3">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71A6A">
        <w:rPr>
          <w:rFonts w:ascii="Verdana" w:eastAsia="Century Gothic" w:hAnsi="Verdana" w:cs="Century Gothic"/>
          <w:b/>
          <w:bCs/>
        </w:rPr>
        <w:t xml:space="preserve">Razones de la </w:t>
      </w:r>
      <w:r>
        <w:rPr>
          <w:rFonts w:ascii="Verdana" w:eastAsia="Century Gothic" w:hAnsi="Verdana" w:cs="Century Gothic"/>
          <w:b/>
          <w:bCs/>
        </w:rPr>
        <w:t>respuesta:</w:t>
      </w:r>
    </w:p>
    <w:p w14:paraId="6607DDEE" w14:textId="77777777" w:rsidR="000B71B3" w:rsidRPr="00D9001B" w:rsidRDefault="000B71B3" w:rsidP="000B71B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6D9F0E4" w14:textId="77777777" w:rsidR="000B71B3" w:rsidRDefault="000B71B3" w:rsidP="000B71B3">
      <w:pPr>
        <w:pStyle w:val="Prrafodelista"/>
        <w:tabs>
          <w:tab w:val="left" w:pos="142"/>
          <w:tab w:val="left" w:pos="284"/>
        </w:tabs>
        <w:spacing w:after="0" w:line="276" w:lineRule="auto"/>
        <w:ind w:left="0"/>
        <w:contextualSpacing w:val="0"/>
        <w:jc w:val="both"/>
        <w:rPr>
          <w:rFonts w:ascii="Verdana" w:eastAsia="Calibri" w:hAnsi="Verdana" w:cs="Arial"/>
        </w:rPr>
      </w:pPr>
      <w:r w:rsidRPr="00EB1551">
        <w:rPr>
          <w:rFonts w:ascii="Verdana" w:eastAsia="Calibri" w:hAnsi="Verdana" w:cs="Arial"/>
        </w:rPr>
        <w:t xml:space="preserve">Lo anterior se sustenta en las siguientes consideraciones: </w:t>
      </w:r>
      <w:bookmarkStart w:id="5" w:name="_Hlk192104360"/>
    </w:p>
    <w:bookmarkEnd w:id="5"/>
    <w:p w14:paraId="01FB3738" w14:textId="77777777" w:rsidR="000B71B3" w:rsidRDefault="000B71B3" w:rsidP="000B71B3">
      <w:pPr>
        <w:widowControl w:val="0"/>
        <w:autoSpaceDE w:val="0"/>
        <w:autoSpaceDN w:val="0"/>
        <w:spacing w:before="120" w:after="120" w:line="276" w:lineRule="auto"/>
        <w:jc w:val="both"/>
        <w:rPr>
          <w:rFonts w:ascii="Verdana" w:hAnsi="Verdana" w:cs="Arial"/>
        </w:rPr>
      </w:pPr>
      <w:r w:rsidRPr="00F46609">
        <w:rPr>
          <w:rFonts w:ascii="Verdana" w:hAnsi="Verdana" w:cs="Arial"/>
        </w:rPr>
        <w:t>El contrato de prestación de servicios es uno de los tipos contractuales</w:t>
      </w:r>
      <w:r>
        <w:rPr>
          <w:rFonts w:ascii="Verdana" w:hAnsi="Verdana" w:cs="Arial"/>
        </w:rPr>
        <w:t xml:space="preserve"> </w:t>
      </w:r>
      <w:r w:rsidRPr="00F46609">
        <w:rPr>
          <w:rFonts w:ascii="Verdana" w:hAnsi="Verdana" w:cs="Arial"/>
        </w:rPr>
        <w:t>consagrados en el Estatuto General de Contratación de la Administración Pública</w:t>
      </w:r>
      <w:r>
        <w:rPr>
          <w:rFonts w:ascii="Verdana" w:hAnsi="Verdana" w:cs="Arial"/>
        </w:rPr>
        <w:t xml:space="preserve"> </w:t>
      </w:r>
      <w:r w:rsidRPr="00F46609">
        <w:rPr>
          <w:rFonts w:ascii="Verdana" w:hAnsi="Verdana" w:cs="Arial"/>
        </w:rPr>
        <w:t>– en adelante EGCAP–, que pueden celebrar las Entidades Estatales. Se trata de</w:t>
      </w:r>
      <w:r>
        <w:rPr>
          <w:rFonts w:ascii="Verdana" w:hAnsi="Verdana" w:cs="Arial"/>
        </w:rPr>
        <w:t xml:space="preserve"> </w:t>
      </w:r>
      <w:r w:rsidRPr="00F46609">
        <w:rPr>
          <w:rFonts w:ascii="Verdana" w:hAnsi="Verdana" w:cs="Arial"/>
        </w:rPr>
        <w:t>un contrato típico, ya que se encuentra definido en la ley. Concretamente, el</w:t>
      </w:r>
      <w:r>
        <w:rPr>
          <w:rFonts w:ascii="Verdana" w:hAnsi="Verdana" w:cs="Arial"/>
        </w:rPr>
        <w:t xml:space="preserve"> </w:t>
      </w:r>
      <w:r w:rsidRPr="00F46609">
        <w:rPr>
          <w:rFonts w:ascii="Verdana" w:hAnsi="Verdana" w:cs="Arial"/>
        </w:rPr>
        <w:t>artículo 32, numeral 3º, de la Ley 80 de 1993, establece:</w:t>
      </w:r>
      <w:r>
        <w:rPr>
          <w:rFonts w:ascii="Verdana" w:hAnsi="Verdana" w:cs="Arial"/>
        </w:rPr>
        <w:t xml:space="preserve"> </w:t>
      </w:r>
    </w:p>
    <w:p w14:paraId="1D821166" w14:textId="77777777" w:rsidR="000B71B3" w:rsidRPr="00F46609" w:rsidRDefault="000B71B3" w:rsidP="000B71B3">
      <w:pPr>
        <w:widowControl w:val="0"/>
        <w:autoSpaceDE w:val="0"/>
        <w:autoSpaceDN w:val="0"/>
        <w:spacing w:after="0" w:line="276" w:lineRule="auto"/>
        <w:jc w:val="both"/>
        <w:rPr>
          <w:rFonts w:ascii="Verdana" w:hAnsi="Verdana" w:cs="Arial"/>
        </w:rPr>
      </w:pPr>
    </w:p>
    <w:p w14:paraId="21E2366C" w14:textId="77777777" w:rsidR="000B71B3" w:rsidRDefault="000B71B3" w:rsidP="000B71B3">
      <w:pPr>
        <w:widowControl w:val="0"/>
        <w:autoSpaceDE w:val="0"/>
        <w:autoSpaceDN w:val="0"/>
        <w:spacing w:after="0" w:line="240" w:lineRule="auto"/>
        <w:ind w:left="709" w:right="709"/>
        <w:jc w:val="both"/>
        <w:rPr>
          <w:rFonts w:ascii="Verdana" w:hAnsi="Verdana" w:cs="Arial"/>
          <w:sz w:val="20"/>
          <w:szCs w:val="20"/>
        </w:rPr>
      </w:pPr>
      <w:r w:rsidRPr="00D80A04">
        <w:rPr>
          <w:rFonts w:ascii="Verdana"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7E4E98D5" w14:textId="77777777" w:rsidR="000B71B3" w:rsidRPr="00D80A04" w:rsidRDefault="000B71B3" w:rsidP="000B71B3">
      <w:pPr>
        <w:widowControl w:val="0"/>
        <w:autoSpaceDE w:val="0"/>
        <w:autoSpaceDN w:val="0"/>
        <w:spacing w:after="0" w:line="240" w:lineRule="auto"/>
        <w:ind w:left="709" w:right="709"/>
        <w:jc w:val="both"/>
        <w:rPr>
          <w:rFonts w:ascii="Verdana" w:hAnsi="Verdana" w:cs="Arial"/>
          <w:sz w:val="20"/>
          <w:szCs w:val="20"/>
        </w:rPr>
      </w:pPr>
    </w:p>
    <w:p w14:paraId="284A2E26" w14:textId="77777777" w:rsidR="000B71B3" w:rsidRPr="00D80A04" w:rsidRDefault="000B71B3" w:rsidP="000B71B3">
      <w:pPr>
        <w:widowControl w:val="0"/>
        <w:autoSpaceDE w:val="0"/>
        <w:autoSpaceDN w:val="0"/>
        <w:spacing w:after="0" w:line="240" w:lineRule="auto"/>
        <w:ind w:left="709" w:right="709"/>
        <w:jc w:val="both"/>
        <w:rPr>
          <w:rFonts w:ascii="Verdana" w:hAnsi="Verdana" w:cs="Arial"/>
          <w:sz w:val="20"/>
          <w:szCs w:val="20"/>
        </w:rPr>
      </w:pPr>
      <w:r w:rsidRPr="00D80A04">
        <w:rPr>
          <w:rFonts w:ascii="Verdana" w:hAnsi="Verdana" w:cs="Arial"/>
          <w:sz w:val="20"/>
          <w:szCs w:val="20"/>
        </w:rPr>
        <w:t>En ningún caso estos contratos generan relación laboral ni prestaciones sociales y se celebrarán por el término estrictamente indispensable”.</w:t>
      </w:r>
    </w:p>
    <w:p w14:paraId="40D92A91" w14:textId="77777777" w:rsidR="000B71B3" w:rsidRPr="00F46609" w:rsidRDefault="000B71B3" w:rsidP="000B71B3">
      <w:pPr>
        <w:widowControl w:val="0"/>
        <w:autoSpaceDE w:val="0"/>
        <w:autoSpaceDN w:val="0"/>
        <w:spacing w:after="0" w:line="276" w:lineRule="auto"/>
        <w:jc w:val="both"/>
        <w:rPr>
          <w:rFonts w:ascii="Verdana" w:hAnsi="Verdana" w:cs="Arial"/>
        </w:rPr>
      </w:pPr>
    </w:p>
    <w:p w14:paraId="6642D072"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F46609">
        <w:rPr>
          <w:rFonts w:ascii="Verdana" w:hAnsi="Verdana" w:cs="Arial"/>
        </w:rPr>
        <w:t>De otro lado, la celebración de dicho contrato se debe efectuar a través</w:t>
      </w:r>
      <w:r>
        <w:rPr>
          <w:rFonts w:ascii="Verdana" w:hAnsi="Verdana" w:cs="Arial"/>
        </w:rPr>
        <w:t xml:space="preserve"> </w:t>
      </w:r>
      <w:r w:rsidRPr="00F46609">
        <w:rPr>
          <w:rFonts w:ascii="Verdana" w:hAnsi="Verdana" w:cs="Arial"/>
        </w:rPr>
        <w:t>de la modalidad de la contratación directa. Así lo prevé el artículo 2, numeral 4º,</w:t>
      </w:r>
      <w:r>
        <w:rPr>
          <w:rFonts w:ascii="Verdana" w:hAnsi="Verdana" w:cs="Arial"/>
        </w:rPr>
        <w:t xml:space="preserve"> </w:t>
      </w:r>
      <w:r w:rsidRPr="00F46609">
        <w:rPr>
          <w:rFonts w:ascii="Verdana" w:hAnsi="Verdana" w:cs="Arial"/>
        </w:rPr>
        <w:t>literal h), de la Ley 1150 de 2007, que dispone:</w:t>
      </w:r>
    </w:p>
    <w:p w14:paraId="2C43821A" w14:textId="77777777" w:rsidR="000B71B3" w:rsidRPr="00F46609" w:rsidRDefault="000B71B3" w:rsidP="000B71B3">
      <w:pPr>
        <w:widowControl w:val="0"/>
        <w:autoSpaceDE w:val="0"/>
        <w:autoSpaceDN w:val="0"/>
        <w:spacing w:after="0" w:line="276" w:lineRule="auto"/>
        <w:jc w:val="both"/>
        <w:rPr>
          <w:rFonts w:ascii="Verdana" w:hAnsi="Verdana" w:cs="Arial"/>
        </w:rPr>
      </w:pPr>
    </w:p>
    <w:p w14:paraId="34E2ED5F" w14:textId="77777777" w:rsidR="000B71B3" w:rsidRPr="00136AAD" w:rsidRDefault="000B71B3" w:rsidP="000B71B3">
      <w:pPr>
        <w:widowControl w:val="0"/>
        <w:autoSpaceDE w:val="0"/>
        <w:autoSpaceDN w:val="0"/>
        <w:spacing w:after="0" w:line="240" w:lineRule="auto"/>
        <w:ind w:left="709" w:right="709"/>
        <w:jc w:val="both"/>
        <w:rPr>
          <w:rFonts w:ascii="Verdana" w:hAnsi="Verdana" w:cs="Arial"/>
          <w:sz w:val="20"/>
          <w:szCs w:val="20"/>
        </w:rPr>
      </w:pPr>
      <w:r w:rsidRPr="00136AAD">
        <w:rPr>
          <w:rFonts w:ascii="Verdana" w:hAnsi="Verdana" w:cs="Arial"/>
          <w:sz w:val="20"/>
          <w:szCs w:val="20"/>
        </w:rPr>
        <w:t xml:space="preserve">“[…] Contratación directa. La modalidad de selección de contratación </w:t>
      </w:r>
      <w:r w:rsidRPr="00136AAD">
        <w:rPr>
          <w:rFonts w:ascii="Verdana" w:hAnsi="Verdana" w:cs="Arial"/>
          <w:sz w:val="20"/>
          <w:szCs w:val="20"/>
        </w:rPr>
        <w:lastRenderedPageBreak/>
        <w:t>directa, solamente procederá en los siguientes casos:</w:t>
      </w:r>
    </w:p>
    <w:p w14:paraId="00B92BC2" w14:textId="77777777" w:rsidR="000B71B3" w:rsidRPr="00136AAD" w:rsidRDefault="000B71B3" w:rsidP="000B71B3">
      <w:pPr>
        <w:widowControl w:val="0"/>
        <w:autoSpaceDE w:val="0"/>
        <w:autoSpaceDN w:val="0"/>
        <w:spacing w:after="0" w:line="240" w:lineRule="auto"/>
        <w:ind w:left="709" w:right="709"/>
        <w:jc w:val="both"/>
        <w:rPr>
          <w:rFonts w:ascii="Verdana" w:hAnsi="Verdana" w:cs="Arial"/>
          <w:sz w:val="20"/>
          <w:szCs w:val="20"/>
        </w:rPr>
      </w:pPr>
    </w:p>
    <w:p w14:paraId="5AD06793" w14:textId="77777777" w:rsidR="000B71B3" w:rsidRPr="00136AAD" w:rsidRDefault="000B71B3" w:rsidP="000B71B3">
      <w:pPr>
        <w:widowControl w:val="0"/>
        <w:autoSpaceDE w:val="0"/>
        <w:autoSpaceDN w:val="0"/>
        <w:spacing w:after="0" w:line="240" w:lineRule="auto"/>
        <w:ind w:left="709" w:right="709"/>
        <w:jc w:val="both"/>
        <w:rPr>
          <w:rFonts w:ascii="Verdana" w:hAnsi="Verdana" w:cs="Arial"/>
          <w:sz w:val="20"/>
          <w:szCs w:val="20"/>
        </w:rPr>
      </w:pPr>
      <w:r w:rsidRPr="00136AAD">
        <w:rPr>
          <w:rFonts w:ascii="Verdana" w:hAnsi="Verdana" w:cs="Arial"/>
          <w:sz w:val="20"/>
          <w:szCs w:val="20"/>
        </w:rPr>
        <w:t>[…]</w:t>
      </w:r>
    </w:p>
    <w:p w14:paraId="082251CA" w14:textId="77777777" w:rsidR="000B71B3" w:rsidRPr="00136AAD" w:rsidRDefault="000B71B3" w:rsidP="000B71B3">
      <w:pPr>
        <w:widowControl w:val="0"/>
        <w:autoSpaceDE w:val="0"/>
        <w:autoSpaceDN w:val="0"/>
        <w:spacing w:after="0" w:line="240" w:lineRule="auto"/>
        <w:ind w:left="709" w:right="709"/>
        <w:jc w:val="both"/>
        <w:rPr>
          <w:rFonts w:ascii="Verdana" w:hAnsi="Verdana" w:cs="Arial"/>
          <w:sz w:val="20"/>
          <w:szCs w:val="20"/>
        </w:rPr>
      </w:pPr>
      <w:r w:rsidRPr="00136AAD">
        <w:rPr>
          <w:rFonts w:ascii="Verdana" w:hAnsi="Verdana" w:cs="Arial"/>
          <w:sz w:val="20"/>
          <w:szCs w:val="20"/>
        </w:rPr>
        <w:t>h) Para la prestación de servicios profesionales y de apoyo a la gestión, o para la ejecución de trabajos artísticos que sólo puedan encomendarse a determinadas personas naturales; […]”.</w:t>
      </w:r>
    </w:p>
    <w:p w14:paraId="27A87A17" w14:textId="77777777" w:rsidR="000B71B3" w:rsidRPr="00F46609" w:rsidRDefault="000B71B3" w:rsidP="000B71B3">
      <w:pPr>
        <w:widowControl w:val="0"/>
        <w:autoSpaceDE w:val="0"/>
        <w:autoSpaceDN w:val="0"/>
        <w:spacing w:after="0" w:line="276" w:lineRule="auto"/>
        <w:jc w:val="both"/>
        <w:rPr>
          <w:rFonts w:ascii="Verdana" w:hAnsi="Verdana" w:cs="Arial"/>
        </w:rPr>
      </w:pPr>
    </w:p>
    <w:p w14:paraId="056097AE"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F46609">
        <w:rPr>
          <w:rFonts w:ascii="Verdana" w:hAnsi="Verdana" w:cs="Arial"/>
        </w:rPr>
        <w:t>A partir de estos enunciados normativos, entre otros, de carácter legal y</w:t>
      </w:r>
      <w:r>
        <w:rPr>
          <w:rFonts w:ascii="Verdana" w:hAnsi="Verdana" w:cs="Arial"/>
        </w:rPr>
        <w:t xml:space="preserve"> </w:t>
      </w:r>
      <w:r w:rsidRPr="00F46609">
        <w:rPr>
          <w:rFonts w:ascii="Verdana" w:hAnsi="Verdana" w:cs="Arial"/>
        </w:rPr>
        <w:t>reglamentario, que complementan su regulación, y de los pronunciamientos</w:t>
      </w:r>
      <w:r>
        <w:rPr>
          <w:rFonts w:ascii="Verdana" w:hAnsi="Verdana" w:cs="Arial"/>
        </w:rPr>
        <w:t xml:space="preserve"> </w:t>
      </w:r>
      <w:r w:rsidRPr="00F46609">
        <w:rPr>
          <w:rFonts w:ascii="Verdana" w:hAnsi="Verdana" w:cs="Arial"/>
        </w:rPr>
        <w:t>judiciales más destacados sobre el tema, es posible señalar las siguientes</w:t>
      </w:r>
      <w:r>
        <w:rPr>
          <w:rFonts w:ascii="Verdana" w:hAnsi="Verdana" w:cs="Arial"/>
        </w:rPr>
        <w:t xml:space="preserve"> </w:t>
      </w:r>
      <w:r w:rsidRPr="00F46609">
        <w:rPr>
          <w:rFonts w:ascii="Verdana" w:hAnsi="Verdana" w:cs="Arial"/>
        </w:rPr>
        <w:t>características del contrato de prestación de servicios:</w:t>
      </w:r>
    </w:p>
    <w:p w14:paraId="65A7A116"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F46609">
        <w:rPr>
          <w:rFonts w:ascii="Verdana" w:hAnsi="Verdana" w:cs="Arial"/>
        </w:rPr>
        <w:t>i) Solo puede celebrarse para realizar “actividades relacionadas con la</w:t>
      </w:r>
      <w:r>
        <w:rPr>
          <w:rFonts w:ascii="Verdana" w:hAnsi="Verdana" w:cs="Arial"/>
        </w:rPr>
        <w:t xml:space="preserve"> </w:t>
      </w:r>
      <w:r w:rsidRPr="00F46609">
        <w:rPr>
          <w:rFonts w:ascii="Verdana" w:hAnsi="Verdana" w:cs="Arial"/>
        </w:rPr>
        <w:t>administración o funcionamiento de la entidad”, es decir, que hagan parte de su</w:t>
      </w:r>
      <w:r>
        <w:rPr>
          <w:rFonts w:ascii="Verdana" w:hAnsi="Verdana" w:cs="Arial"/>
        </w:rPr>
        <w:t xml:space="preserve"> </w:t>
      </w:r>
      <w:r w:rsidRPr="00F46609">
        <w:rPr>
          <w:rFonts w:ascii="Verdana" w:hAnsi="Verdana" w:cs="Arial"/>
        </w:rPr>
        <w:t>giro ordinario o quehacer cotidiano.</w:t>
      </w:r>
    </w:p>
    <w:p w14:paraId="6ADBAFA4"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F46609">
        <w:rPr>
          <w:rFonts w:ascii="Verdana" w:hAnsi="Verdana" w:cs="Arial"/>
        </w:rPr>
        <w:t>ii) Admite que se suscriba tanto con personas naturales como con</w:t>
      </w:r>
      <w:r>
        <w:rPr>
          <w:rFonts w:ascii="Verdana" w:hAnsi="Verdana" w:cs="Arial"/>
        </w:rPr>
        <w:t xml:space="preserve"> </w:t>
      </w:r>
      <w:r w:rsidRPr="00F46609">
        <w:rPr>
          <w:rFonts w:ascii="Verdana" w:hAnsi="Verdana" w:cs="Arial"/>
        </w:rPr>
        <w:t>personas jurídicas. Y requiere que la Entidad Estatal justifique en los Estudios</w:t>
      </w:r>
      <w:r>
        <w:rPr>
          <w:rFonts w:ascii="Verdana" w:hAnsi="Verdana" w:cs="Arial"/>
        </w:rPr>
        <w:t xml:space="preserve"> </w:t>
      </w:r>
      <w:r w:rsidRPr="00F46609">
        <w:rPr>
          <w:rFonts w:ascii="Verdana" w:hAnsi="Verdana" w:cs="Arial"/>
        </w:rPr>
        <w:t>Previos que las actividades que buscan encomendarse a aquella “no puedan</w:t>
      </w:r>
      <w:r>
        <w:rPr>
          <w:rFonts w:ascii="Verdana" w:hAnsi="Verdana" w:cs="Arial"/>
        </w:rPr>
        <w:t xml:space="preserve"> </w:t>
      </w:r>
      <w:r w:rsidRPr="00F46609">
        <w:rPr>
          <w:rFonts w:ascii="Verdana" w:hAnsi="Verdana" w:cs="Arial"/>
        </w:rPr>
        <w:t>realizarse con personal de planta o requieran conocimientos especializados”.</w:t>
      </w:r>
      <w:r>
        <w:rPr>
          <w:rStyle w:val="Refdenotaalpie"/>
          <w:rFonts w:ascii="Verdana" w:hAnsi="Verdana" w:cs="Arial"/>
        </w:rPr>
        <w:footnoteReference w:id="1"/>
      </w:r>
      <w:r w:rsidRPr="00F46609">
        <w:rPr>
          <w:rFonts w:ascii="Verdana" w:hAnsi="Verdana" w:cs="Arial"/>
        </w:rPr>
        <w:t>Esto puede suceder en varios eventos, como, por ejemplo, que, efectivamente,</w:t>
      </w:r>
      <w:r>
        <w:rPr>
          <w:rFonts w:ascii="Verdana" w:hAnsi="Verdana" w:cs="Arial"/>
        </w:rPr>
        <w:t xml:space="preserve"> </w:t>
      </w:r>
      <w:r w:rsidRPr="00F46609">
        <w:rPr>
          <w:rFonts w:ascii="Verdana" w:hAnsi="Verdana" w:cs="Arial"/>
        </w:rPr>
        <w:t>no exista el personal de planta para encargarse de dichas labores; que exista,</w:t>
      </w:r>
      <w:r>
        <w:rPr>
          <w:rFonts w:ascii="Verdana" w:hAnsi="Verdana" w:cs="Arial"/>
        </w:rPr>
        <w:t xml:space="preserve"> </w:t>
      </w:r>
      <w:r w:rsidRPr="00F46609">
        <w:rPr>
          <w:rFonts w:ascii="Verdana" w:hAnsi="Verdana" w:cs="Arial"/>
        </w:rPr>
        <w:t>pero que está sobrecargado de trabajo, requiriéndose, por tanto, un apoyo</w:t>
      </w:r>
      <w:r>
        <w:rPr>
          <w:rFonts w:ascii="Verdana" w:hAnsi="Verdana" w:cs="Arial"/>
        </w:rPr>
        <w:t xml:space="preserve"> </w:t>
      </w:r>
      <w:r w:rsidRPr="00F46609">
        <w:rPr>
          <w:rFonts w:ascii="Verdana" w:hAnsi="Verdana" w:cs="Arial"/>
        </w:rPr>
        <w:t>externo; o que haya personal de planta, pero no tenga la experticia o</w:t>
      </w:r>
      <w:r>
        <w:rPr>
          <w:rFonts w:ascii="Verdana" w:hAnsi="Verdana" w:cs="Arial"/>
        </w:rPr>
        <w:t xml:space="preserve"> </w:t>
      </w:r>
      <w:r w:rsidRPr="00F46609">
        <w:rPr>
          <w:rFonts w:ascii="Verdana" w:hAnsi="Verdana" w:cs="Arial"/>
        </w:rPr>
        <w:t>conocimiento especializado en la materia, y que, por esta razón, sea necesario</w:t>
      </w:r>
      <w:r>
        <w:rPr>
          <w:rFonts w:ascii="Verdana" w:hAnsi="Verdana" w:cs="Arial"/>
        </w:rPr>
        <w:t xml:space="preserve"> </w:t>
      </w:r>
      <w:r w:rsidRPr="00F46609">
        <w:rPr>
          <w:rFonts w:ascii="Verdana" w:hAnsi="Verdana" w:cs="Arial"/>
        </w:rPr>
        <w:t>contratar los servicios de una persona natural que posea conocimiento y</w:t>
      </w:r>
      <w:r>
        <w:rPr>
          <w:rFonts w:ascii="Verdana" w:hAnsi="Verdana" w:cs="Arial"/>
        </w:rPr>
        <w:t xml:space="preserve"> </w:t>
      </w:r>
      <w:r w:rsidRPr="00F46609">
        <w:rPr>
          <w:rFonts w:ascii="Verdana" w:hAnsi="Verdana" w:cs="Arial"/>
        </w:rPr>
        <w:t>experiencia en el tema.</w:t>
      </w:r>
    </w:p>
    <w:p w14:paraId="08EE20F1"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F46609">
        <w:rPr>
          <w:rFonts w:ascii="Verdana" w:hAnsi="Verdana" w:cs="Arial"/>
        </w:rPr>
        <w:t>iii) Si bien se celebran para obtener la prestación personal de un servicio,</w:t>
      </w:r>
      <w:r>
        <w:rPr>
          <w:rFonts w:ascii="Verdana" w:hAnsi="Verdana" w:cs="Arial"/>
        </w:rPr>
        <w:t xml:space="preserve"> </w:t>
      </w:r>
      <w:r w:rsidRPr="00F46609">
        <w:rPr>
          <w:rFonts w:ascii="Verdana" w:hAnsi="Verdana" w:cs="Arial"/>
        </w:rPr>
        <w:t>se diferencian del contrato de trabajo</w:t>
      </w:r>
      <w:r>
        <w:rPr>
          <w:rStyle w:val="Refdenotaalpie"/>
          <w:rFonts w:ascii="Verdana" w:hAnsi="Verdana" w:cs="Arial"/>
        </w:rPr>
        <w:footnoteReference w:id="2"/>
      </w:r>
      <w:r w:rsidRPr="00F46609">
        <w:rPr>
          <w:rFonts w:ascii="Verdana" w:hAnsi="Verdana" w:cs="Arial"/>
        </w:rPr>
        <w:t xml:space="preserve"> en que quien celebra el contrato de</w:t>
      </w:r>
      <w:r>
        <w:rPr>
          <w:rFonts w:ascii="Verdana" w:hAnsi="Verdana" w:cs="Arial"/>
        </w:rPr>
        <w:t xml:space="preserve"> </w:t>
      </w:r>
      <w:r w:rsidRPr="00F46609">
        <w:rPr>
          <w:rFonts w:ascii="Verdana" w:hAnsi="Verdana" w:cs="Arial"/>
        </w:rPr>
        <w:lastRenderedPageBreak/>
        <w:t>prestación de servicios debe mantener autonomía e independencia en la</w:t>
      </w:r>
      <w:r>
        <w:rPr>
          <w:rFonts w:ascii="Verdana" w:hAnsi="Verdana" w:cs="Arial"/>
        </w:rPr>
        <w:t xml:space="preserve"> </w:t>
      </w:r>
      <w:r w:rsidRPr="00F46609">
        <w:rPr>
          <w:rFonts w:ascii="Verdana" w:hAnsi="Verdana" w:cs="Arial"/>
        </w:rPr>
        <w:t xml:space="preserve">ejecución de la labor, lo que significa que no puede existir la </w:t>
      </w:r>
      <w:r w:rsidRPr="006048EC">
        <w:rPr>
          <w:rFonts w:ascii="Verdana" w:hAnsi="Verdana" w:cs="Arial"/>
          <w:i/>
          <w:iCs/>
        </w:rPr>
        <w:t>subordinación y dependencia</w:t>
      </w:r>
      <w:r w:rsidRPr="00F46609">
        <w:rPr>
          <w:rFonts w:ascii="Verdana" w:hAnsi="Verdana" w:cs="Arial"/>
        </w:rPr>
        <w:t>, que es uno de los elementos constitutivos del vínculo laboral. Por</w:t>
      </w:r>
      <w:r>
        <w:rPr>
          <w:rFonts w:ascii="Verdana" w:hAnsi="Verdana" w:cs="Arial"/>
        </w:rPr>
        <w:t xml:space="preserve"> </w:t>
      </w:r>
      <w:r w:rsidRPr="00F46609">
        <w:rPr>
          <w:rFonts w:ascii="Verdana" w:hAnsi="Verdana" w:cs="Arial"/>
        </w:rPr>
        <w:t>ello el artículo 32, numeral 3º, de la Ley 80 de 1993 establece que “En ningún</w:t>
      </w:r>
      <w:r>
        <w:rPr>
          <w:rFonts w:ascii="Verdana" w:hAnsi="Verdana" w:cs="Arial"/>
        </w:rPr>
        <w:t xml:space="preserve"> </w:t>
      </w:r>
      <w:r w:rsidRPr="00F46609">
        <w:rPr>
          <w:rFonts w:ascii="Verdana" w:hAnsi="Verdana" w:cs="Arial"/>
        </w:rPr>
        <w:t>caso estos contratos generan relación laboral ni prestaciones sociales”, inciso</w:t>
      </w:r>
      <w:r>
        <w:rPr>
          <w:rFonts w:ascii="Verdana" w:hAnsi="Verdana" w:cs="Arial"/>
        </w:rPr>
        <w:t xml:space="preserve"> </w:t>
      </w:r>
      <w:r w:rsidRPr="00F46609">
        <w:rPr>
          <w:rFonts w:ascii="Verdana" w:hAnsi="Verdana" w:cs="Arial"/>
        </w:rPr>
        <w:t>que más que un enunciado que aluda al “ser” se refiere al “deber ser”, pues debe</w:t>
      </w:r>
      <w:r>
        <w:rPr>
          <w:rFonts w:ascii="Verdana" w:hAnsi="Verdana" w:cs="Arial"/>
        </w:rPr>
        <w:t xml:space="preserve"> </w:t>
      </w:r>
      <w:r w:rsidRPr="00F46609">
        <w:rPr>
          <w:rFonts w:ascii="Verdana" w:hAnsi="Verdana" w:cs="Arial"/>
        </w:rPr>
        <w:t>interpretarse en el sentido de que los contratos de prestación de servicios</w:t>
      </w:r>
      <w:r>
        <w:rPr>
          <w:rFonts w:ascii="Verdana" w:hAnsi="Verdana" w:cs="Arial"/>
        </w:rPr>
        <w:t xml:space="preserve"> </w:t>
      </w:r>
      <w:r w:rsidRPr="00F46609">
        <w:rPr>
          <w:rFonts w:ascii="Verdana" w:hAnsi="Verdana" w:cs="Arial"/>
        </w:rPr>
        <w:t>profesionales no pueden generar relación laboral, ni dar lugar a que las</w:t>
      </w:r>
      <w:r>
        <w:rPr>
          <w:rFonts w:ascii="Verdana" w:hAnsi="Verdana" w:cs="Arial"/>
        </w:rPr>
        <w:t xml:space="preserve"> </w:t>
      </w:r>
      <w:r w:rsidRPr="00484941">
        <w:rPr>
          <w:rFonts w:ascii="Verdana" w:hAnsi="Verdana" w:cs="Arial"/>
        </w:rPr>
        <w:t>Entidades Estatales paguen por su cuenta los aportes al Sistema de Seguridad</w:t>
      </w:r>
      <w:r>
        <w:rPr>
          <w:rFonts w:ascii="Verdana" w:hAnsi="Verdana" w:cs="Arial"/>
        </w:rPr>
        <w:t xml:space="preserve"> </w:t>
      </w:r>
      <w:r w:rsidRPr="00484941">
        <w:rPr>
          <w:rFonts w:ascii="Verdana" w:hAnsi="Verdana" w:cs="Arial"/>
        </w:rPr>
        <w:t>Social Integral del contratista. Ello por cuanto, según se indicó, en dichos</w:t>
      </w:r>
      <w:r>
        <w:rPr>
          <w:rFonts w:ascii="Verdana" w:hAnsi="Verdana" w:cs="Arial"/>
        </w:rPr>
        <w:t xml:space="preserve"> </w:t>
      </w:r>
      <w:r w:rsidRPr="00484941">
        <w:rPr>
          <w:rFonts w:ascii="Verdana" w:hAnsi="Verdana" w:cs="Arial"/>
        </w:rPr>
        <w:t>contratos no puede existir subordinación y dependencia; entonces, la relación</w:t>
      </w:r>
      <w:r>
        <w:rPr>
          <w:rFonts w:ascii="Verdana" w:hAnsi="Verdana" w:cs="Arial"/>
        </w:rPr>
        <w:t xml:space="preserve"> </w:t>
      </w:r>
      <w:r w:rsidRPr="00484941">
        <w:rPr>
          <w:rFonts w:ascii="Verdana" w:hAnsi="Verdana" w:cs="Arial"/>
        </w:rPr>
        <w:t>laboral está proscrita y es el contratista quien, como “trabajador independiente”</w:t>
      </w:r>
      <w:r>
        <w:rPr>
          <w:rFonts w:ascii="Verdana" w:hAnsi="Verdana" w:cs="Arial"/>
        </w:rPr>
        <w:t xml:space="preserve"> </w:t>
      </w:r>
      <w:r w:rsidRPr="00484941">
        <w:rPr>
          <w:rFonts w:ascii="Verdana" w:hAnsi="Verdana" w:cs="Arial"/>
        </w:rPr>
        <w:t>–como lo califican las normas en materia de seguridad social– debe cotizar por</w:t>
      </w:r>
      <w:r>
        <w:rPr>
          <w:rFonts w:ascii="Verdana" w:hAnsi="Verdana" w:cs="Arial"/>
        </w:rPr>
        <w:t xml:space="preserve"> </w:t>
      </w:r>
      <w:r w:rsidRPr="00484941">
        <w:rPr>
          <w:rFonts w:ascii="Verdana" w:hAnsi="Verdana" w:cs="Arial"/>
        </w:rPr>
        <w:t>su cuenta y riesgo al Sistema de Seguridad Social Integral. Pero es posible que,</w:t>
      </w:r>
      <w:r>
        <w:rPr>
          <w:rFonts w:ascii="Verdana" w:hAnsi="Verdana" w:cs="Arial"/>
        </w:rPr>
        <w:t xml:space="preserve"> </w:t>
      </w:r>
      <w:r w:rsidRPr="00484941">
        <w:rPr>
          <w:rFonts w:ascii="Verdana" w:hAnsi="Verdana" w:cs="Arial"/>
        </w:rPr>
        <w:t>a pesar de este mandato deontológico, en la práctica surja la relación laboral,</w:t>
      </w:r>
      <w:r>
        <w:rPr>
          <w:rFonts w:ascii="Verdana" w:hAnsi="Verdana" w:cs="Arial"/>
        </w:rPr>
        <w:t xml:space="preserve"> </w:t>
      </w:r>
      <w:r w:rsidRPr="00484941">
        <w:rPr>
          <w:rFonts w:ascii="Verdana" w:hAnsi="Verdana" w:cs="Arial"/>
        </w:rPr>
        <w:t xml:space="preserve">pues, como se sabe, el contrato de trabajo es un </w:t>
      </w:r>
      <w:r w:rsidRPr="0052381B">
        <w:rPr>
          <w:rFonts w:ascii="Verdana" w:hAnsi="Verdana" w:cs="Arial"/>
          <w:i/>
          <w:iCs/>
        </w:rPr>
        <w:t>contrato realidad</w:t>
      </w:r>
      <w:r w:rsidRPr="00484941">
        <w:rPr>
          <w:rFonts w:ascii="Verdana" w:hAnsi="Verdana" w:cs="Arial"/>
        </w:rPr>
        <w:t>, ya que para</w:t>
      </w:r>
      <w:r>
        <w:rPr>
          <w:rFonts w:ascii="Verdana" w:hAnsi="Verdana" w:cs="Arial"/>
        </w:rPr>
        <w:t xml:space="preserve"> </w:t>
      </w:r>
      <w:r w:rsidRPr="00484941">
        <w:rPr>
          <w:rFonts w:ascii="Verdana" w:hAnsi="Verdana" w:cs="Arial"/>
        </w:rPr>
        <w:t>su perfeccionamiento rige el principio de la prevalencia de la realidad sobre las</w:t>
      </w:r>
      <w:r>
        <w:rPr>
          <w:rFonts w:ascii="Verdana" w:hAnsi="Verdana" w:cs="Arial"/>
        </w:rPr>
        <w:t xml:space="preserve"> </w:t>
      </w:r>
      <w:r w:rsidRPr="00484941">
        <w:rPr>
          <w:rFonts w:ascii="Verdana" w:hAnsi="Verdana" w:cs="Arial"/>
        </w:rPr>
        <w:t>formalidades. Por ello, la Corte Constitucional declaró la constitucionalidad</w:t>
      </w:r>
      <w:r>
        <w:rPr>
          <w:rFonts w:ascii="Verdana" w:hAnsi="Verdana" w:cs="Arial"/>
        </w:rPr>
        <w:t xml:space="preserve"> </w:t>
      </w:r>
      <w:r w:rsidRPr="00484941">
        <w:rPr>
          <w:rFonts w:ascii="Verdana" w:hAnsi="Verdana" w:cs="Arial"/>
        </w:rPr>
        <w:t>condicionada del segundo inciso del numeral 3º del artículo 32, indicando que</w:t>
      </w:r>
      <w:r>
        <w:rPr>
          <w:rFonts w:ascii="Verdana" w:hAnsi="Verdana" w:cs="Arial"/>
        </w:rPr>
        <w:t xml:space="preserve"> </w:t>
      </w:r>
      <w:r w:rsidRPr="00484941">
        <w:rPr>
          <w:rFonts w:ascii="Verdana" w:hAnsi="Verdana" w:cs="Arial"/>
        </w:rPr>
        <w:t>“las expresiones acusadas del numeral 3o. del artículo 32 de la Ley 80 de 1993,</w:t>
      </w:r>
      <w:r>
        <w:rPr>
          <w:rFonts w:ascii="Verdana" w:hAnsi="Verdana" w:cs="Arial"/>
        </w:rPr>
        <w:t xml:space="preserve"> </w:t>
      </w:r>
      <w:r w:rsidRPr="00484941">
        <w:rPr>
          <w:rFonts w:ascii="Verdana" w:hAnsi="Verdana" w:cs="Arial"/>
        </w:rPr>
        <w:t>no vulneran los preceptos constitucionales, razón por la cual deberán ser</w:t>
      </w:r>
      <w:r>
        <w:rPr>
          <w:rFonts w:ascii="Verdana" w:hAnsi="Verdana" w:cs="Arial"/>
        </w:rPr>
        <w:t xml:space="preserve"> </w:t>
      </w:r>
      <w:r w:rsidRPr="00484941">
        <w:rPr>
          <w:rFonts w:ascii="Verdana" w:hAnsi="Verdana" w:cs="Arial"/>
        </w:rPr>
        <w:t>declaradas exequibles, salvo que se acredite por parte del contratista la</w:t>
      </w:r>
      <w:r>
        <w:rPr>
          <w:rFonts w:ascii="Verdana" w:hAnsi="Verdana" w:cs="Arial"/>
        </w:rPr>
        <w:t xml:space="preserve"> </w:t>
      </w:r>
      <w:r w:rsidRPr="00484941">
        <w:rPr>
          <w:rFonts w:ascii="Verdana" w:hAnsi="Verdana" w:cs="Arial"/>
        </w:rPr>
        <w:t>existencia de una relación laboral subordinada”</w:t>
      </w:r>
      <w:r>
        <w:rPr>
          <w:rStyle w:val="Refdenotaalpie"/>
          <w:rFonts w:ascii="Verdana" w:hAnsi="Verdana" w:cs="Arial"/>
        </w:rPr>
        <w:footnoteReference w:id="3"/>
      </w:r>
      <w:r w:rsidRPr="00484941">
        <w:rPr>
          <w:rFonts w:ascii="Verdana" w:hAnsi="Verdana" w:cs="Arial"/>
        </w:rPr>
        <w:t>.</w:t>
      </w:r>
    </w:p>
    <w:p w14:paraId="3272627E"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484941">
        <w:rPr>
          <w:rFonts w:ascii="Verdana" w:hAnsi="Verdana" w:cs="Arial"/>
        </w:rPr>
        <w:t>iv) Deben ser temporales. Así lo señaló la Corte Constitucional en la misma</w:t>
      </w:r>
      <w:r>
        <w:rPr>
          <w:rFonts w:ascii="Verdana" w:hAnsi="Verdana" w:cs="Arial"/>
        </w:rPr>
        <w:t xml:space="preserve"> </w:t>
      </w:r>
      <w:r w:rsidRPr="00484941">
        <w:rPr>
          <w:rFonts w:ascii="Verdana" w:hAnsi="Verdana" w:cs="Arial"/>
        </w:rPr>
        <w:t>providencia a la que se aludió previamente, expresando que:</w:t>
      </w:r>
    </w:p>
    <w:p w14:paraId="6939444D" w14:textId="77777777" w:rsidR="000B71B3" w:rsidRPr="00484941" w:rsidRDefault="000B71B3" w:rsidP="000B71B3">
      <w:pPr>
        <w:widowControl w:val="0"/>
        <w:autoSpaceDE w:val="0"/>
        <w:autoSpaceDN w:val="0"/>
        <w:spacing w:after="0" w:line="276" w:lineRule="auto"/>
        <w:ind w:firstLine="708"/>
        <w:jc w:val="both"/>
        <w:rPr>
          <w:rFonts w:ascii="Verdana" w:hAnsi="Verdana" w:cs="Arial"/>
        </w:rPr>
      </w:pPr>
    </w:p>
    <w:p w14:paraId="54FE3795" w14:textId="77777777" w:rsidR="000B71B3" w:rsidRPr="00672874" w:rsidRDefault="000B71B3" w:rsidP="000B71B3">
      <w:pPr>
        <w:widowControl w:val="0"/>
        <w:autoSpaceDE w:val="0"/>
        <w:autoSpaceDN w:val="0"/>
        <w:spacing w:after="0" w:line="240" w:lineRule="auto"/>
        <w:ind w:left="709" w:right="709"/>
        <w:jc w:val="both"/>
        <w:rPr>
          <w:rFonts w:ascii="Verdana" w:hAnsi="Verdana" w:cs="Arial"/>
          <w:sz w:val="20"/>
          <w:szCs w:val="20"/>
        </w:rPr>
      </w:pPr>
      <w:r w:rsidRPr="00672874">
        <w:rPr>
          <w:rFonts w:ascii="Verdana" w:hAnsi="Verdana" w:cs="Arial"/>
          <w:sz w:val="20"/>
          <w:szCs w:val="20"/>
        </w:rPr>
        <w:t xml:space="preserve">“La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w:t>
      </w:r>
      <w:r w:rsidRPr="00672874">
        <w:rPr>
          <w:rFonts w:ascii="Verdana" w:hAnsi="Verdana" w:cs="Arial"/>
          <w:sz w:val="20"/>
          <w:szCs w:val="20"/>
        </w:rPr>
        <w:lastRenderedPageBreak/>
        <w:t>presupuesto correspondiente”</w:t>
      </w:r>
      <w:r>
        <w:rPr>
          <w:rStyle w:val="Refdenotaalpie"/>
          <w:rFonts w:ascii="Verdana" w:hAnsi="Verdana" w:cs="Arial"/>
          <w:sz w:val="20"/>
          <w:szCs w:val="20"/>
        </w:rPr>
        <w:footnoteReference w:id="4"/>
      </w:r>
      <w:r w:rsidRPr="00672874">
        <w:rPr>
          <w:rFonts w:ascii="Verdana" w:hAnsi="Verdana" w:cs="Arial"/>
          <w:sz w:val="20"/>
          <w:szCs w:val="20"/>
        </w:rPr>
        <w:t>.</w:t>
      </w:r>
    </w:p>
    <w:p w14:paraId="37A72167" w14:textId="77777777" w:rsidR="000B71B3" w:rsidRPr="00484941" w:rsidRDefault="000B71B3" w:rsidP="000B71B3">
      <w:pPr>
        <w:widowControl w:val="0"/>
        <w:autoSpaceDE w:val="0"/>
        <w:autoSpaceDN w:val="0"/>
        <w:spacing w:after="0" w:line="276" w:lineRule="auto"/>
        <w:jc w:val="both"/>
        <w:rPr>
          <w:rFonts w:ascii="Verdana" w:hAnsi="Verdana" w:cs="Arial"/>
        </w:rPr>
      </w:pPr>
    </w:p>
    <w:p w14:paraId="21B930D4"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484941">
        <w:rPr>
          <w:rFonts w:ascii="Verdana" w:hAnsi="Verdana" w:cs="Arial"/>
        </w:rPr>
        <w:t xml:space="preserve">v) Los contratos de prestación de servicios constituyen un </w:t>
      </w:r>
      <w:r w:rsidRPr="0052381B">
        <w:rPr>
          <w:rFonts w:ascii="Verdana" w:hAnsi="Verdana" w:cs="Arial"/>
          <w:i/>
          <w:iCs/>
        </w:rPr>
        <w:t>género</w:t>
      </w:r>
      <w:r w:rsidRPr="00484941">
        <w:rPr>
          <w:rFonts w:ascii="Verdana" w:hAnsi="Verdana" w:cs="Arial"/>
        </w:rPr>
        <w:t xml:space="preserve"> que</w:t>
      </w:r>
      <w:r>
        <w:rPr>
          <w:rFonts w:ascii="Verdana" w:hAnsi="Verdana" w:cs="Arial"/>
        </w:rPr>
        <w:t xml:space="preserve"> </w:t>
      </w:r>
      <w:r w:rsidRPr="00484941">
        <w:rPr>
          <w:rFonts w:ascii="Verdana" w:hAnsi="Verdana" w:cs="Arial"/>
        </w:rPr>
        <w:t xml:space="preserve">incluye, como </w:t>
      </w:r>
      <w:r w:rsidRPr="0052381B">
        <w:rPr>
          <w:rFonts w:ascii="Verdana" w:hAnsi="Verdana" w:cs="Arial"/>
          <w:i/>
          <w:iCs/>
        </w:rPr>
        <w:t>especies</w:t>
      </w:r>
      <w:r w:rsidRPr="00484941">
        <w:rPr>
          <w:rFonts w:ascii="Verdana" w:hAnsi="Verdana" w:cs="Arial"/>
        </w:rPr>
        <w:t>, los contratos de prestación de servicios profesionales,</w:t>
      </w:r>
      <w:r>
        <w:rPr>
          <w:rFonts w:ascii="Verdana" w:hAnsi="Verdana" w:cs="Arial"/>
        </w:rPr>
        <w:t xml:space="preserve"> </w:t>
      </w:r>
      <w:r w:rsidRPr="00484941">
        <w:rPr>
          <w:rFonts w:ascii="Verdana" w:hAnsi="Verdana" w:cs="Arial"/>
        </w:rPr>
        <w:t>los contratos de prestación de servicios de apoyo a la gestión y los contratos de</w:t>
      </w:r>
      <w:r>
        <w:rPr>
          <w:rFonts w:ascii="Verdana" w:hAnsi="Verdana" w:cs="Arial"/>
        </w:rPr>
        <w:t xml:space="preserve"> </w:t>
      </w:r>
      <w:r w:rsidRPr="00484941">
        <w:rPr>
          <w:rFonts w:ascii="Verdana" w:hAnsi="Verdana" w:cs="Arial"/>
        </w:rPr>
        <w:t>prestación de servicios artísticos que solo pueden encomendarse a determinadas</w:t>
      </w:r>
      <w:r>
        <w:rPr>
          <w:rFonts w:ascii="Verdana" w:hAnsi="Verdana" w:cs="Arial"/>
        </w:rPr>
        <w:t xml:space="preserve"> </w:t>
      </w:r>
      <w:r w:rsidRPr="00484941">
        <w:rPr>
          <w:rFonts w:ascii="Verdana" w:hAnsi="Verdana" w:cs="Arial"/>
        </w:rPr>
        <w:t>personas naturales</w:t>
      </w:r>
      <w:r>
        <w:rPr>
          <w:rStyle w:val="Refdenotaalpie"/>
          <w:rFonts w:ascii="Verdana" w:hAnsi="Verdana" w:cs="Arial"/>
        </w:rPr>
        <w:footnoteReference w:id="5"/>
      </w:r>
      <w:r w:rsidRPr="00484941">
        <w:rPr>
          <w:rFonts w:ascii="Verdana" w:hAnsi="Verdana" w:cs="Arial"/>
        </w:rPr>
        <w:t>. La diferencia entre el contrato de prestación de servicios</w:t>
      </w:r>
      <w:r>
        <w:rPr>
          <w:rFonts w:ascii="Verdana" w:hAnsi="Verdana" w:cs="Arial"/>
        </w:rPr>
        <w:t xml:space="preserve"> </w:t>
      </w:r>
      <w:r w:rsidRPr="004530D0">
        <w:rPr>
          <w:rFonts w:ascii="Verdana" w:hAnsi="Verdana" w:cs="Arial"/>
          <w:i/>
          <w:iCs/>
        </w:rPr>
        <w:t>profesionales</w:t>
      </w:r>
      <w:r w:rsidRPr="00484941">
        <w:rPr>
          <w:rFonts w:ascii="Verdana" w:hAnsi="Verdana" w:cs="Arial"/>
        </w:rPr>
        <w:t xml:space="preserve"> con las otras dos especies del género en el cual se ubican radica</w:t>
      </w:r>
      <w:r>
        <w:rPr>
          <w:rFonts w:ascii="Verdana" w:hAnsi="Verdana" w:cs="Arial"/>
        </w:rPr>
        <w:t xml:space="preserve"> </w:t>
      </w:r>
      <w:r w:rsidRPr="00484941">
        <w:rPr>
          <w:rFonts w:ascii="Verdana" w:hAnsi="Verdana" w:cs="Arial"/>
        </w:rPr>
        <w:t>en su contenido intelectual intangible y, al mismo tiempo, en la formación</w:t>
      </w:r>
      <w:r>
        <w:rPr>
          <w:rFonts w:ascii="Verdana" w:hAnsi="Verdana" w:cs="Arial"/>
        </w:rPr>
        <w:t xml:space="preserve"> </w:t>
      </w:r>
      <w:r w:rsidRPr="00484941">
        <w:rPr>
          <w:rFonts w:ascii="Verdana" w:hAnsi="Verdana" w:cs="Arial"/>
        </w:rPr>
        <w:t>profesional que se exige para desempeñar la labor. Así lo consideró el Consejo</w:t>
      </w:r>
      <w:r>
        <w:rPr>
          <w:rFonts w:ascii="Verdana" w:hAnsi="Verdana" w:cs="Arial"/>
        </w:rPr>
        <w:t xml:space="preserve"> </w:t>
      </w:r>
      <w:r w:rsidRPr="00484941">
        <w:rPr>
          <w:rFonts w:ascii="Verdana" w:hAnsi="Verdana" w:cs="Arial"/>
        </w:rPr>
        <w:t>de Estado en sentencia de unificación jurisprudencial del 2 de diciembre de 2013,</w:t>
      </w:r>
      <w:r>
        <w:rPr>
          <w:rFonts w:ascii="Verdana" w:hAnsi="Verdana" w:cs="Arial"/>
        </w:rPr>
        <w:t xml:space="preserve"> </w:t>
      </w:r>
      <w:r w:rsidRPr="00484941">
        <w:rPr>
          <w:rFonts w:ascii="Verdana" w:hAnsi="Verdana" w:cs="Arial"/>
        </w:rPr>
        <w:t>al indicar, respecto del contrato de prestación de servicios profesionales, que:</w:t>
      </w:r>
    </w:p>
    <w:p w14:paraId="589308A2" w14:textId="77777777" w:rsidR="000B71B3" w:rsidRPr="00484941" w:rsidRDefault="000B71B3" w:rsidP="000B71B3">
      <w:pPr>
        <w:widowControl w:val="0"/>
        <w:autoSpaceDE w:val="0"/>
        <w:autoSpaceDN w:val="0"/>
        <w:spacing w:after="0" w:line="276" w:lineRule="auto"/>
        <w:ind w:firstLine="708"/>
        <w:jc w:val="both"/>
        <w:rPr>
          <w:rFonts w:ascii="Verdana" w:hAnsi="Verdana" w:cs="Arial"/>
        </w:rPr>
      </w:pPr>
    </w:p>
    <w:p w14:paraId="1BBF23F8" w14:textId="77777777" w:rsidR="000B71B3" w:rsidRDefault="000B71B3" w:rsidP="000B71B3">
      <w:pPr>
        <w:widowControl w:val="0"/>
        <w:autoSpaceDE w:val="0"/>
        <w:autoSpaceDN w:val="0"/>
        <w:spacing w:after="0" w:line="240" w:lineRule="auto"/>
        <w:ind w:left="709" w:right="709"/>
        <w:jc w:val="both"/>
        <w:rPr>
          <w:rFonts w:ascii="Verdana" w:hAnsi="Verdana" w:cs="Arial"/>
        </w:rPr>
      </w:pPr>
      <w:r w:rsidRPr="008A714A">
        <w:rPr>
          <w:rFonts w:ascii="Verdana" w:hAnsi="Verdana" w:cs="Arial"/>
          <w:sz w:val="20"/>
          <w:szCs w:val="20"/>
        </w:rPr>
        <w:t>“Su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Pr>
          <w:rStyle w:val="Refdenotaalpie"/>
          <w:rFonts w:ascii="Verdana" w:hAnsi="Verdana" w:cs="Arial"/>
        </w:rPr>
        <w:footnoteReference w:id="6"/>
      </w:r>
      <w:r w:rsidRPr="00484941">
        <w:rPr>
          <w:rFonts w:ascii="Verdana" w:hAnsi="Verdana" w:cs="Arial"/>
        </w:rPr>
        <w:t>.</w:t>
      </w:r>
    </w:p>
    <w:p w14:paraId="0ED390E7" w14:textId="77777777" w:rsidR="000B71B3" w:rsidRPr="00484941" w:rsidRDefault="000B71B3" w:rsidP="000B71B3">
      <w:pPr>
        <w:widowControl w:val="0"/>
        <w:autoSpaceDE w:val="0"/>
        <w:autoSpaceDN w:val="0"/>
        <w:spacing w:after="0" w:line="240" w:lineRule="auto"/>
        <w:ind w:left="709" w:right="709"/>
        <w:jc w:val="both"/>
        <w:rPr>
          <w:rFonts w:ascii="Verdana" w:hAnsi="Verdana" w:cs="Arial"/>
        </w:rPr>
      </w:pPr>
    </w:p>
    <w:p w14:paraId="656A9D0C"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484941">
        <w:rPr>
          <w:rFonts w:ascii="Verdana" w:hAnsi="Verdana" w:cs="Arial"/>
        </w:rPr>
        <w:t>Objeto que, según la sentencia que se cita, se diferencia del objeto del</w:t>
      </w:r>
      <w:r>
        <w:rPr>
          <w:rFonts w:ascii="Verdana" w:hAnsi="Verdana" w:cs="Arial"/>
        </w:rPr>
        <w:t xml:space="preserve"> </w:t>
      </w:r>
      <w:r w:rsidRPr="00484941">
        <w:rPr>
          <w:rFonts w:ascii="Verdana" w:hAnsi="Verdana" w:cs="Arial"/>
        </w:rPr>
        <w:t>contrato de prestación de servicios de apoyo a la gestión, porque en este:</w:t>
      </w:r>
    </w:p>
    <w:p w14:paraId="4617B8DD" w14:textId="77777777" w:rsidR="000B71B3" w:rsidRPr="00484941" w:rsidRDefault="000B71B3" w:rsidP="000B71B3">
      <w:pPr>
        <w:widowControl w:val="0"/>
        <w:autoSpaceDE w:val="0"/>
        <w:autoSpaceDN w:val="0"/>
        <w:spacing w:after="0" w:line="276" w:lineRule="auto"/>
        <w:ind w:firstLine="708"/>
        <w:jc w:val="both"/>
        <w:rPr>
          <w:rFonts w:ascii="Verdana" w:hAnsi="Verdana" w:cs="Arial"/>
        </w:rPr>
      </w:pPr>
    </w:p>
    <w:p w14:paraId="171BD885" w14:textId="77777777" w:rsidR="000B71B3" w:rsidRPr="00376A0C" w:rsidRDefault="000B71B3" w:rsidP="000B71B3">
      <w:pPr>
        <w:widowControl w:val="0"/>
        <w:autoSpaceDE w:val="0"/>
        <w:autoSpaceDN w:val="0"/>
        <w:spacing w:after="0" w:line="240" w:lineRule="auto"/>
        <w:ind w:left="709" w:right="709"/>
        <w:jc w:val="both"/>
        <w:rPr>
          <w:rFonts w:ascii="Verdana" w:hAnsi="Verdana" w:cs="Arial"/>
          <w:sz w:val="20"/>
          <w:szCs w:val="20"/>
        </w:rPr>
      </w:pPr>
      <w:r w:rsidRPr="00376A0C">
        <w:rPr>
          <w:rFonts w:ascii="Verdana" w:hAnsi="Verdana" w:cs="Arial"/>
          <w:sz w:val="20"/>
          <w:szCs w:val="20"/>
        </w:rPr>
        <w:t xml:space="preserve">“Su objeto contractual participa de las características encaminadas a desarrollar actividades identificables e intangibles. Hay lugar a su </w:t>
      </w:r>
      <w:r w:rsidRPr="00376A0C">
        <w:rPr>
          <w:rFonts w:ascii="Verdana" w:hAnsi="Verdana" w:cs="Arial"/>
          <w:sz w:val="20"/>
          <w:szCs w:val="20"/>
        </w:rPr>
        <w:lastRenderedPageBreak/>
        <w:t>celebración en aquellos casos en donde las necesidades de la Administración no demanden la presencia de personal profesional.</w:t>
      </w:r>
    </w:p>
    <w:p w14:paraId="224E1ED1" w14:textId="77777777" w:rsidR="000B71B3" w:rsidRPr="00376A0C" w:rsidRDefault="000B71B3" w:rsidP="000B71B3">
      <w:pPr>
        <w:widowControl w:val="0"/>
        <w:autoSpaceDE w:val="0"/>
        <w:autoSpaceDN w:val="0"/>
        <w:spacing w:after="0" w:line="240" w:lineRule="auto"/>
        <w:ind w:left="709" w:right="709"/>
        <w:jc w:val="both"/>
        <w:rPr>
          <w:rFonts w:ascii="Verdana" w:hAnsi="Verdana" w:cs="Arial"/>
          <w:sz w:val="20"/>
          <w:szCs w:val="20"/>
        </w:rPr>
      </w:pPr>
      <w:r w:rsidRPr="00376A0C">
        <w:rPr>
          <w:rFonts w:ascii="Verdana" w:hAnsi="Verdana" w:cs="Arial"/>
          <w:sz w:val="20"/>
          <w:szCs w:val="20"/>
        </w:rPr>
        <w:t>Aunque también se caracteriza por el desempeño de actividad intelectiva, ésta se enmarca dentro de un saber propiamente técnico; igualmente involucra actividades en donde prima el esfuerzo físico o mecánico, en donde no se requiere de personal profesional.</w:t>
      </w:r>
    </w:p>
    <w:p w14:paraId="2A00E9C1" w14:textId="77777777" w:rsidR="000B71B3" w:rsidRDefault="000B71B3" w:rsidP="000B71B3">
      <w:pPr>
        <w:widowControl w:val="0"/>
        <w:autoSpaceDE w:val="0"/>
        <w:autoSpaceDN w:val="0"/>
        <w:spacing w:after="0" w:line="240" w:lineRule="auto"/>
        <w:ind w:left="709" w:right="709"/>
        <w:jc w:val="both"/>
        <w:rPr>
          <w:rFonts w:ascii="Verdana" w:hAnsi="Verdana" w:cs="Arial"/>
        </w:rPr>
      </w:pPr>
      <w:r w:rsidRPr="00376A0C">
        <w:rPr>
          <w:rFonts w:ascii="Verdana" w:hAnsi="Verdana" w:cs="Arial"/>
          <w:sz w:val="20"/>
          <w:szCs w:val="20"/>
        </w:rPr>
        <w:t>Dentro de su objeto contractual pueden tener lugar actividades operativas, logísticas o asistenciales, siempre que satisfaga los requisitos antes mencionados y sea acorde con las necesidades de la Administración y el principio de planeación”</w:t>
      </w:r>
      <w:r>
        <w:rPr>
          <w:rStyle w:val="Refdenotaalpie"/>
          <w:rFonts w:ascii="Verdana" w:hAnsi="Verdana" w:cs="Arial"/>
          <w:sz w:val="20"/>
          <w:szCs w:val="20"/>
        </w:rPr>
        <w:footnoteReference w:id="7"/>
      </w:r>
      <w:r w:rsidRPr="006879BA">
        <w:rPr>
          <w:rFonts w:ascii="Verdana" w:hAnsi="Verdana" w:cs="Arial"/>
        </w:rPr>
        <w:t>.</w:t>
      </w:r>
    </w:p>
    <w:p w14:paraId="001462F0" w14:textId="77777777" w:rsidR="000B71B3" w:rsidRPr="006879BA" w:rsidRDefault="000B71B3" w:rsidP="000B71B3">
      <w:pPr>
        <w:widowControl w:val="0"/>
        <w:autoSpaceDE w:val="0"/>
        <w:autoSpaceDN w:val="0"/>
        <w:spacing w:after="0" w:line="240" w:lineRule="auto"/>
        <w:ind w:left="709" w:right="709"/>
        <w:jc w:val="both"/>
        <w:rPr>
          <w:rFonts w:ascii="Verdana" w:hAnsi="Verdana" w:cs="Arial"/>
        </w:rPr>
      </w:pPr>
    </w:p>
    <w:p w14:paraId="29245227" w14:textId="77777777" w:rsidR="000B71B3" w:rsidRDefault="000B71B3" w:rsidP="000B71B3">
      <w:pPr>
        <w:widowControl w:val="0"/>
        <w:autoSpaceDE w:val="0"/>
        <w:autoSpaceDN w:val="0"/>
        <w:spacing w:before="120" w:after="120" w:line="276" w:lineRule="auto"/>
        <w:jc w:val="both"/>
        <w:rPr>
          <w:rFonts w:ascii="Verdana" w:hAnsi="Verdana" w:cs="Arial"/>
        </w:rPr>
      </w:pPr>
      <w:r w:rsidRPr="006879BA">
        <w:rPr>
          <w:rFonts w:ascii="Verdana" w:hAnsi="Verdana" w:cs="Arial"/>
        </w:rPr>
        <w:t>En relación con el contrato de prestación de servicios artísticos que solo</w:t>
      </w:r>
      <w:r>
        <w:rPr>
          <w:rFonts w:ascii="Verdana" w:hAnsi="Verdana" w:cs="Arial"/>
        </w:rPr>
        <w:t xml:space="preserve"> </w:t>
      </w:r>
      <w:r w:rsidRPr="006879BA">
        <w:rPr>
          <w:rFonts w:ascii="Verdana" w:hAnsi="Verdana" w:cs="Arial"/>
        </w:rPr>
        <w:t>pueden encomendarse a determinadas personas naturales, señala el</w:t>
      </w:r>
      <w:r>
        <w:rPr>
          <w:rFonts w:ascii="Verdana" w:hAnsi="Verdana" w:cs="Arial"/>
        </w:rPr>
        <w:t xml:space="preserve"> </w:t>
      </w:r>
      <w:r w:rsidRPr="006879BA">
        <w:rPr>
          <w:rFonts w:ascii="Verdana" w:hAnsi="Verdana" w:cs="Arial"/>
        </w:rPr>
        <w:t>mencionado fallo que:</w:t>
      </w:r>
    </w:p>
    <w:p w14:paraId="71706826" w14:textId="77777777" w:rsidR="000B71B3" w:rsidRPr="006879BA" w:rsidRDefault="000B71B3" w:rsidP="000B71B3">
      <w:pPr>
        <w:widowControl w:val="0"/>
        <w:autoSpaceDE w:val="0"/>
        <w:autoSpaceDN w:val="0"/>
        <w:spacing w:after="0" w:line="276" w:lineRule="auto"/>
        <w:jc w:val="both"/>
        <w:rPr>
          <w:rFonts w:ascii="Verdana" w:hAnsi="Verdana" w:cs="Arial"/>
        </w:rPr>
      </w:pPr>
    </w:p>
    <w:p w14:paraId="00587A50" w14:textId="77777777" w:rsidR="000B71B3" w:rsidRDefault="000B71B3" w:rsidP="000B71B3">
      <w:pPr>
        <w:widowControl w:val="0"/>
        <w:autoSpaceDE w:val="0"/>
        <w:autoSpaceDN w:val="0"/>
        <w:spacing w:after="0" w:line="240" w:lineRule="auto"/>
        <w:ind w:left="709" w:right="709"/>
        <w:jc w:val="both"/>
        <w:rPr>
          <w:rFonts w:ascii="Verdana" w:hAnsi="Verdana" w:cs="Arial"/>
        </w:rPr>
      </w:pPr>
      <w:r w:rsidRPr="008F70FB">
        <w:rPr>
          <w:rFonts w:ascii="Verdana" w:hAnsi="Verdana" w:cs="Arial"/>
          <w:sz w:val="20"/>
          <w:szCs w:val="20"/>
        </w:rPr>
        <w:t>“Tienen lugar dentro de esta categoría los contratos de prestación de servicios que tengan por objeto la ejecución de trabajos artísticos, esto es, trabajos que corresponden al conjunto de creaciones humanas que expresan una especial visión del mundo, tanto real como imaginaria, y que sólo pueda celebrarse con determinadas personas naturales, lo que implica que el contratista debe ser un artista, esto es, una persona reconocida como realizador o productor de arte o trabajos artísticos”</w:t>
      </w:r>
      <w:r>
        <w:rPr>
          <w:rStyle w:val="Refdenotaalpie"/>
          <w:rFonts w:ascii="Verdana" w:hAnsi="Verdana" w:cs="Arial"/>
          <w:sz w:val="20"/>
          <w:szCs w:val="20"/>
        </w:rPr>
        <w:footnoteReference w:id="8"/>
      </w:r>
      <w:r w:rsidRPr="006879BA">
        <w:rPr>
          <w:rFonts w:ascii="Verdana" w:hAnsi="Verdana" w:cs="Arial"/>
        </w:rPr>
        <w:t>.</w:t>
      </w:r>
    </w:p>
    <w:p w14:paraId="5D58EFF4" w14:textId="77777777" w:rsidR="000B71B3" w:rsidRPr="006879BA" w:rsidRDefault="000B71B3" w:rsidP="000B71B3">
      <w:pPr>
        <w:widowControl w:val="0"/>
        <w:autoSpaceDE w:val="0"/>
        <w:autoSpaceDN w:val="0"/>
        <w:spacing w:after="0" w:line="240" w:lineRule="auto"/>
        <w:ind w:left="709" w:right="709"/>
        <w:jc w:val="both"/>
        <w:rPr>
          <w:rFonts w:ascii="Verdana" w:hAnsi="Verdana" w:cs="Arial"/>
        </w:rPr>
      </w:pPr>
    </w:p>
    <w:p w14:paraId="37FA59E1"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vi) Su celebración debe realizarse a través de la modalidad de contratación</w:t>
      </w:r>
      <w:r>
        <w:rPr>
          <w:rFonts w:ascii="Verdana" w:hAnsi="Verdana" w:cs="Arial"/>
        </w:rPr>
        <w:t xml:space="preserve"> </w:t>
      </w:r>
      <w:r w:rsidRPr="006879BA">
        <w:rPr>
          <w:rFonts w:ascii="Verdana" w:hAnsi="Verdana" w:cs="Arial"/>
        </w:rPr>
        <w:t>directa, independientemente de la cuantía y del tipo de servicio, siempre que</w:t>
      </w:r>
      <w:r>
        <w:rPr>
          <w:rFonts w:ascii="Verdana" w:hAnsi="Verdana" w:cs="Arial"/>
        </w:rPr>
        <w:t xml:space="preserve"> </w:t>
      </w:r>
      <w:r w:rsidRPr="006879BA">
        <w:rPr>
          <w:rFonts w:ascii="Verdana" w:hAnsi="Verdana" w:cs="Arial"/>
        </w:rPr>
        <w:t>este no ingrese dentro del objeto del contrato de consultoría, pues, como lo</w:t>
      </w:r>
      <w:r>
        <w:rPr>
          <w:rFonts w:ascii="Verdana" w:hAnsi="Verdana" w:cs="Arial"/>
        </w:rPr>
        <w:t xml:space="preserve"> </w:t>
      </w:r>
      <w:r w:rsidRPr="006879BA">
        <w:rPr>
          <w:rFonts w:ascii="Verdana" w:hAnsi="Verdana" w:cs="Arial"/>
        </w:rPr>
        <w:t>indicó el Consejo de Estado en la sentencia de unificación jurisprudencial a la</w:t>
      </w:r>
      <w:r>
        <w:rPr>
          <w:rFonts w:ascii="Verdana" w:hAnsi="Verdana" w:cs="Arial"/>
        </w:rPr>
        <w:t xml:space="preserve"> </w:t>
      </w:r>
      <w:r w:rsidRPr="006879BA">
        <w:rPr>
          <w:rFonts w:ascii="Verdana" w:hAnsi="Verdana" w:cs="Arial"/>
        </w:rPr>
        <w:t>que se hizo referencia, si bien en ambos existe un componente intelectual</w:t>
      </w:r>
      <w:r>
        <w:rPr>
          <w:rFonts w:ascii="Verdana" w:hAnsi="Verdana" w:cs="Arial"/>
        </w:rPr>
        <w:t xml:space="preserve"> </w:t>
      </w:r>
      <w:r w:rsidRPr="006879BA">
        <w:rPr>
          <w:rFonts w:ascii="Verdana" w:hAnsi="Verdana" w:cs="Arial"/>
        </w:rPr>
        <w:t>intangible, el objeto del contrato de consultoría es especial y debe celebrarse,</w:t>
      </w:r>
      <w:r>
        <w:rPr>
          <w:rFonts w:ascii="Verdana" w:hAnsi="Verdana" w:cs="Arial"/>
        </w:rPr>
        <w:t xml:space="preserve"> </w:t>
      </w:r>
      <w:r w:rsidRPr="006879BA">
        <w:rPr>
          <w:rFonts w:ascii="Verdana" w:hAnsi="Verdana" w:cs="Arial"/>
        </w:rPr>
        <w:t>por regla general, precedido de un concurso de méritos</w:t>
      </w:r>
      <w:r>
        <w:rPr>
          <w:rStyle w:val="Refdenotaalpie"/>
          <w:rFonts w:ascii="Verdana" w:hAnsi="Verdana" w:cs="Arial"/>
        </w:rPr>
        <w:footnoteReference w:id="9"/>
      </w:r>
      <w:r w:rsidRPr="006879BA">
        <w:rPr>
          <w:rFonts w:ascii="Verdana" w:hAnsi="Verdana" w:cs="Arial"/>
        </w:rPr>
        <w:t>. Pero, tampoco puede</w:t>
      </w:r>
      <w:r>
        <w:rPr>
          <w:rFonts w:ascii="Verdana" w:hAnsi="Verdana" w:cs="Arial"/>
        </w:rPr>
        <w:t xml:space="preserve"> </w:t>
      </w:r>
      <w:r w:rsidRPr="006879BA">
        <w:rPr>
          <w:rFonts w:ascii="Verdana" w:hAnsi="Verdana" w:cs="Arial"/>
        </w:rPr>
        <w:t>suscribirse un contrato de prestación de servicios profesionales para que el</w:t>
      </w:r>
      <w:r>
        <w:rPr>
          <w:rFonts w:ascii="Verdana" w:hAnsi="Verdana" w:cs="Arial"/>
        </w:rPr>
        <w:t xml:space="preserve"> </w:t>
      </w:r>
      <w:r w:rsidRPr="006879BA">
        <w:rPr>
          <w:rFonts w:ascii="Verdana" w:hAnsi="Verdana" w:cs="Arial"/>
        </w:rPr>
        <w:t>contratista ejecute labores que se enmarcan dentro de los otros contratos</w:t>
      </w:r>
      <w:r>
        <w:rPr>
          <w:rFonts w:ascii="Verdana" w:hAnsi="Verdana" w:cs="Arial"/>
        </w:rPr>
        <w:t xml:space="preserve"> </w:t>
      </w:r>
      <w:r w:rsidRPr="006879BA">
        <w:rPr>
          <w:rFonts w:ascii="Verdana" w:hAnsi="Verdana" w:cs="Arial"/>
        </w:rPr>
        <w:lastRenderedPageBreak/>
        <w:t>tipificados en el artículo 32 de la Ley 80 de 1993, como, por ejemplo, para que</w:t>
      </w:r>
      <w:r>
        <w:rPr>
          <w:rFonts w:ascii="Verdana" w:hAnsi="Verdana" w:cs="Arial"/>
        </w:rPr>
        <w:t xml:space="preserve"> </w:t>
      </w:r>
      <w:r w:rsidRPr="006879BA">
        <w:rPr>
          <w:rFonts w:ascii="Verdana" w:hAnsi="Verdana" w:cs="Arial"/>
        </w:rPr>
        <w:t>el contratista de prestación de servicios construya una obra.</w:t>
      </w:r>
    </w:p>
    <w:p w14:paraId="1A56E6BB"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vii) Para su celebración no se requiere en algunos casos la expedición del</w:t>
      </w:r>
      <w:r>
        <w:rPr>
          <w:rFonts w:ascii="Verdana" w:hAnsi="Verdana" w:cs="Arial"/>
        </w:rPr>
        <w:t xml:space="preserve"> </w:t>
      </w:r>
      <w:r w:rsidRPr="006879BA">
        <w:rPr>
          <w:rFonts w:ascii="Verdana" w:hAnsi="Verdana" w:cs="Arial"/>
        </w:rPr>
        <w:t>acto administrativo de justificación de la contratación directa</w:t>
      </w:r>
      <w:r>
        <w:rPr>
          <w:rStyle w:val="Refdenotaalpie"/>
          <w:rFonts w:ascii="Verdana" w:hAnsi="Verdana" w:cs="Arial"/>
        </w:rPr>
        <w:footnoteReference w:id="10"/>
      </w:r>
      <w:r w:rsidRPr="006879BA">
        <w:rPr>
          <w:rFonts w:ascii="Verdana" w:hAnsi="Verdana" w:cs="Arial"/>
        </w:rPr>
        <w:t>.</w:t>
      </w:r>
    </w:p>
    <w:p w14:paraId="12DE4D2F"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viii) Admiten el pacto de cláusulas excepcionales. Es decir, en los</w:t>
      </w:r>
      <w:r>
        <w:rPr>
          <w:rFonts w:ascii="Verdana" w:hAnsi="Verdana" w:cs="Arial"/>
        </w:rPr>
        <w:t xml:space="preserve"> </w:t>
      </w:r>
      <w:r w:rsidRPr="006879BA">
        <w:rPr>
          <w:rFonts w:ascii="Verdana" w:hAnsi="Verdana" w:cs="Arial"/>
        </w:rPr>
        <w:t>contratos de prestación de servicios se puede estipular la caducidad, así como la</w:t>
      </w:r>
      <w:r>
        <w:rPr>
          <w:rFonts w:ascii="Verdana" w:hAnsi="Verdana" w:cs="Arial"/>
        </w:rPr>
        <w:t xml:space="preserve"> </w:t>
      </w:r>
      <w:r w:rsidRPr="006879BA">
        <w:rPr>
          <w:rFonts w:ascii="Verdana" w:hAnsi="Verdana" w:cs="Arial"/>
        </w:rPr>
        <w:t>modificación, interpretación o terminación unilaterales, como elementos</w:t>
      </w:r>
      <w:r>
        <w:rPr>
          <w:rFonts w:ascii="Verdana" w:hAnsi="Verdana" w:cs="Arial"/>
        </w:rPr>
        <w:t xml:space="preserve"> </w:t>
      </w:r>
      <w:r w:rsidRPr="006879BA">
        <w:rPr>
          <w:rFonts w:ascii="Verdana" w:hAnsi="Verdana" w:cs="Arial"/>
        </w:rPr>
        <w:t>accidentales, o sea que para que puedan ejercerse dichas exorbitancias han</w:t>
      </w:r>
      <w:r>
        <w:rPr>
          <w:rFonts w:ascii="Verdana" w:hAnsi="Verdana" w:cs="Arial"/>
        </w:rPr>
        <w:t xml:space="preserve"> </w:t>
      </w:r>
      <w:r w:rsidRPr="006879BA">
        <w:rPr>
          <w:rFonts w:ascii="Verdana" w:hAnsi="Verdana" w:cs="Arial"/>
        </w:rPr>
        <w:t>debido quedar incluidas expresamente en el contrato, ya que no se entienden</w:t>
      </w:r>
      <w:r>
        <w:rPr>
          <w:rFonts w:ascii="Verdana" w:hAnsi="Verdana" w:cs="Arial"/>
        </w:rPr>
        <w:t xml:space="preserve"> </w:t>
      </w:r>
      <w:r w:rsidRPr="006879BA">
        <w:rPr>
          <w:rFonts w:ascii="Verdana" w:hAnsi="Verdana" w:cs="Arial"/>
        </w:rPr>
        <w:t>pactadas por naturaleza. Así se infiere del artículo 14, numeral 2º, de la Ley 80</w:t>
      </w:r>
      <w:r>
        <w:rPr>
          <w:rFonts w:ascii="Verdana" w:hAnsi="Verdana" w:cs="Arial"/>
        </w:rPr>
        <w:t xml:space="preserve"> </w:t>
      </w:r>
      <w:r w:rsidRPr="006879BA">
        <w:rPr>
          <w:rFonts w:ascii="Verdana" w:hAnsi="Verdana" w:cs="Arial"/>
        </w:rPr>
        <w:t>de 1993</w:t>
      </w:r>
      <w:r>
        <w:rPr>
          <w:rStyle w:val="Refdenotaalpie"/>
          <w:rFonts w:ascii="Verdana" w:hAnsi="Verdana" w:cs="Arial"/>
        </w:rPr>
        <w:footnoteReference w:id="11"/>
      </w:r>
      <w:r w:rsidRPr="006879BA">
        <w:rPr>
          <w:rFonts w:ascii="Verdana" w:hAnsi="Verdana" w:cs="Arial"/>
        </w:rPr>
        <w:t>.</w:t>
      </w:r>
    </w:p>
    <w:p w14:paraId="7543AEDB"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ix) En algunos casos no es obligatoria la liquidación, pues así lo estableció</w:t>
      </w:r>
      <w:r>
        <w:rPr>
          <w:rFonts w:ascii="Verdana" w:hAnsi="Verdana" w:cs="Arial"/>
        </w:rPr>
        <w:t xml:space="preserve"> </w:t>
      </w:r>
      <w:r w:rsidRPr="006879BA">
        <w:rPr>
          <w:rFonts w:ascii="Verdana" w:hAnsi="Verdana" w:cs="Arial"/>
        </w:rPr>
        <w:t>el artículo 217 del Decreto 019 de 2012, que modificó el artículo 60 de la Ley 80</w:t>
      </w:r>
      <w:r>
        <w:rPr>
          <w:rFonts w:ascii="Verdana" w:hAnsi="Verdana" w:cs="Arial"/>
        </w:rPr>
        <w:t xml:space="preserve"> </w:t>
      </w:r>
      <w:r w:rsidRPr="006879BA">
        <w:rPr>
          <w:rFonts w:ascii="Verdana" w:hAnsi="Verdana" w:cs="Arial"/>
        </w:rPr>
        <w:t>de 1993</w:t>
      </w:r>
      <w:r>
        <w:rPr>
          <w:rStyle w:val="Refdenotaalpie"/>
          <w:rFonts w:ascii="Verdana" w:hAnsi="Verdana" w:cs="Arial"/>
        </w:rPr>
        <w:footnoteReference w:id="12"/>
      </w:r>
      <w:r w:rsidRPr="006879BA">
        <w:rPr>
          <w:rFonts w:ascii="Verdana" w:hAnsi="Verdana" w:cs="Arial"/>
        </w:rPr>
        <w:t>, refiriéndose a los contratos de prestación de servicios profesionales y de apoyo</w:t>
      </w:r>
      <w:r>
        <w:rPr>
          <w:rFonts w:ascii="Verdana" w:hAnsi="Verdana" w:cs="Arial"/>
        </w:rPr>
        <w:t xml:space="preserve"> </w:t>
      </w:r>
      <w:r w:rsidRPr="006879BA">
        <w:rPr>
          <w:rFonts w:ascii="Verdana" w:hAnsi="Verdana" w:cs="Arial"/>
        </w:rPr>
        <w:t>a la gestión.</w:t>
      </w:r>
    </w:p>
    <w:p w14:paraId="4097FCE6"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x) Para su celebración no se requiere inscripción en el Registro Único de</w:t>
      </w:r>
      <w:r>
        <w:rPr>
          <w:rFonts w:ascii="Verdana" w:hAnsi="Verdana" w:cs="Arial"/>
        </w:rPr>
        <w:t xml:space="preserve"> </w:t>
      </w:r>
      <w:r w:rsidRPr="006879BA">
        <w:rPr>
          <w:rFonts w:ascii="Verdana" w:hAnsi="Verdana" w:cs="Arial"/>
        </w:rPr>
        <w:t>Proponentes (RUP), según lo prevé el artículo 6 de la Ley 1150 de 2007</w:t>
      </w:r>
      <w:r>
        <w:rPr>
          <w:rStyle w:val="Refdenotaalpie"/>
          <w:rFonts w:ascii="Verdana" w:hAnsi="Verdana" w:cs="Arial"/>
        </w:rPr>
        <w:footnoteReference w:id="13"/>
      </w:r>
      <w:r w:rsidRPr="006879BA">
        <w:rPr>
          <w:rFonts w:ascii="Verdana" w:hAnsi="Verdana" w:cs="Arial"/>
        </w:rPr>
        <w:t>.</w:t>
      </w:r>
    </w:p>
    <w:p w14:paraId="21CDC86A"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lastRenderedPageBreak/>
        <w:t>xi) En ellos no son necesarias las garantías</w:t>
      </w:r>
      <w:r>
        <w:rPr>
          <w:rStyle w:val="Refdenotaalpie"/>
          <w:rFonts w:ascii="Verdana" w:hAnsi="Verdana" w:cs="Arial"/>
        </w:rPr>
        <w:footnoteReference w:id="14"/>
      </w:r>
      <w:r w:rsidRPr="006879BA">
        <w:rPr>
          <w:rFonts w:ascii="Verdana" w:hAnsi="Verdana" w:cs="Arial"/>
        </w:rPr>
        <w:t>.</w:t>
      </w:r>
    </w:p>
    <w:p w14:paraId="6E8E6192"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Precisado lo anterior, es importante precisar que, una de las</w:t>
      </w:r>
      <w:r>
        <w:rPr>
          <w:rFonts w:ascii="Verdana" w:hAnsi="Verdana" w:cs="Arial"/>
        </w:rPr>
        <w:t xml:space="preserve"> </w:t>
      </w:r>
      <w:r w:rsidRPr="006879BA">
        <w:rPr>
          <w:rFonts w:ascii="Verdana" w:hAnsi="Verdana" w:cs="Arial"/>
        </w:rPr>
        <w:t>estipulaciones accidentales de las que son susceptibles los contratos de</w:t>
      </w:r>
      <w:r>
        <w:rPr>
          <w:rFonts w:ascii="Verdana" w:hAnsi="Verdana" w:cs="Arial"/>
        </w:rPr>
        <w:t xml:space="preserve"> </w:t>
      </w:r>
      <w:r w:rsidRPr="006879BA">
        <w:rPr>
          <w:rFonts w:ascii="Verdana" w:hAnsi="Verdana" w:cs="Arial"/>
        </w:rPr>
        <w:t>prestación de servicios son la imposición unilateral de multas y clausula penal,</w:t>
      </w:r>
      <w:r>
        <w:rPr>
          <w:rFonts w:ascii="Verdana" w:hAnsi="Verdana" w:cs="Arial"/>
        </w:rPr>
        <w:t xml:space="preserve"> </w:t>
      </w:r>
      <w:r w:rsidRPr="006879BA">
        <w:rPr>
          <w:rFonts w:ascii="Verdana" w:hAnsi="Verdana" w:cs="Arial"/>
        </w:rPr>
        <w:t>de acuerdo con lo dispuesto en el artículo 17 de la Ley 1150 de 2007. Estas</w:t>
      </w:r>
      <w:r>
        <w:rPr>
          <w:rFonts w:ascii="Verdana" w:hAnsi="Verdana" w:cs="Arial"/>
        </w:rPr>
        <w:t xml:space="preserve"> </w:t>
      </w:r>
      <w:r w:rsidRPr="006879BA">
        <w:rPr>
          <w:rFonts w:ascii="Verdana" w:hAnsi="Verdana" w:cs="Arial"/>
        </w:rPr>
        <w:t>obedecen a una particular combinación entre el principio de legalidad y la</w:t>
      </w:r>
      <w:r>
        <w:rPr>
          <w:rFonts w:ascii="Verdana" w:hAnsi="Verdana" w:cs="Arial"/>
        </w:rPr>
        <w:t xml:space="preserve"> </w:t>
      </w:r>
      <w:r w:rsidRPr="006879BA">
        <w:rPr>
          <w:rFonts w:ascii="Verdana" w:hAnsi="Verdana" w:cs="Arial"/>
        </w:rPr>
        <w:t>autonomía de la voluntad, de tal suerte que, si bien el legislador autorizó a las</w:t>
      </w:r>
      <w:r>
        <w:rPr>
          <w:rFonts w:ascii="Verdana" w:hAnsi="Verdana" w:cs="Arial"/>
        </w:rPr>
        <w:t xml:space="preserve"> </w:t>
      </w:r>
      <w:r w:rsidRPr="006879BA">
        <w:rPr>
          <w:rFonts w:ascii="Verdana" w:hAnsi="Verdana" w:cs="Arial"/>
        </w:rPr>
        <w:t>entidades para declarar el incumplimiento con la intención de multar al</w:t>
      </w:r>
      <w:r>
        <w:rPr>
          <w:rFonts w:ascii="Verdana" w:hAnsi="Verdana" w:cs="Arial"/>
        </w:rPr>
        <w:t xml:space="preserve"> </w:t>
      </w:r>
      <w:r w:rsidRPr="006879BA">
        <w:rPr>
          <w:rFonts w:ascii="Verdana" w:hAnsi="Verdana" w:cs="Arial"/>
        </w:rPr>
        <w:t>contratista para conminarlo al cumplimiento o para hacer efectiva la cláusula</w:t>
      </w:r>
      <w:r>
        <w:rPr>
          <w:rFonts w:ascii="Verdana" w:hAnsi="Verdana" w:cs="Arial"/>
        </w:rPr>
        <w:t xml:space="preserve"> </w:t>
      </w:r>
      <w:r w:rsidRPr="006879BA">
        <w:rPr>
          <w:rFonts w:ascii="Verdana" w:hAnsi="Verdana" w:cs="Arial"/>
        </w:rPr>
        <w:t>penal, es indispensable que uno u otro caso se hayan pactado en el contrato</w:t>
      </w:r>
      <w:r>
        <w:rPr>
          <w:rStyle w:val="Refdenotaalpie"/>
          <w:rFonts w:ascii="Verdana" w:hAnsi="Verdana" w:cs="Arial"/>
        </w:rPr>
        <w:footnoteReference w:id="15"/>
      </w:r>
      <w:r w:rsidRPr="006879BA">
        <w:rPr>
          <w:rFonts w:ascii="Verdana" w:hAnsi="Verdana" w:cs="Arial"/>
        </w:rPr>
        <w:t>.</w:t>
      </w:r>
      <w:r>
        <w:rPr>
          <w:rFonts w:ascii="Verdana" w:hAnsi="Verdana" w:cs="Arial"/>
        </w:rPr>
        <w:t xml:space="preserve"> </w:t>
      </w:r>
      <w:r w:rsidRPr="006879BA">
        <w:rPr>
          <w:rFonts w:ascii="Verdana" w:hAnsi="Verdana" w:cs="Arial"/>
        </w:rPr>
        <w:t>No obstante, cumplido el requisito del pacto en el contrato, las entidades</w:t>
      </w:r>
      <w:r>
        <w:rPr>
          <w:rFonts w:ascii="Verdana" w:hAnsi="Verdana" w:cs="Arial"/>
        </w:rPr>
        <w:t xml:space="preserve"> </w:t>
      </w:r>
      <w:r w:rsidRPr="006879BA">
        <w:rPr>
          <w:rFonts w:ascii="Verdana" w:hAnsi="Verdana" w:cs="Arial"/>
        </w:rPr>
        <w:t>estatales sometidas al EGCAP –Leyes 80 de 1993 y 1150 de 2007, y sus</w:t>
      </w:r>
      <w:r>
        <w:rPr>
          <w:rFonts w:ascii="Verdana" w:hAnsi="Verdana" w:cs="Arial"/>
        </w:rPr>
        <w:t xml:space="preserve"> </w:t>
      </w:r>
      <w:r w:rsidRPr="006879BA">
        <w:rPr>
          <w:rFonts w:ascii="Verdana" w:hAnsi="Verdana" w:cs="Arial"/>
        </w:rPr>
        <w:t>modificaciones–, por ministerio de la ley –artículo 17 de la Ley 1150 de 2007–,</w:t>
      </w:r>
      <w:r>
        <w:rPr>
          <w:rFonts w:ascii="Verdana" w:hAnsi="Verdana" w:cs="Arial"/>
        </w:rPr>
        <w:t xml:space="preserve"> </w:t>
      </w:r>
      <w:r w:rsidRPr="006879BA">
        <w:rPr>
          <w:rFonts w:ascii="Verdana" w:hAnsi="Verdana" w:cs="Arial"/>
        </w:rPr>
        <w:t>se entienden investidas de la prerrogativa de imposición unilateral.</w:t>
      </w:r>
    </w:p>
    <w:p w14:paraId="674220C9"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6879BA">
        <w:rPr>
          <w:rFonts w:ascii="Verdana" w:hAnsi="Verdana" w:cs="Arial"/>
        </w:rPr>
        <w:t>En efecto, tratándose de las multas, en cumplimiento del principio de</w:t>
      </w:r>
      <w:r>
        <w:rPr>
          <w:rFonts w:ascii="Verdana" w:hAnsi="Verdana" w:cs="Arial"/>
        </w:rPr>
        <w:t xml:space="preserve"> </w:t>
      </w:r>
      <w:r w:rsidRPr="000800CF">
        <w:rPr>
          <w:rFonts w:ascii="Verdana" w:hAnsi="Verdana" w:cs="Arial"/>
        </w:rPr>
        <w:t>tipicidad, las partes deben determinar en forma pormenorizada las acciones u</w:t>
      </w:r>
      <w:r>
        <w:rPr>
          <w:rFonts w:ascii="Verdana" w:hAnsi="Verdana" w:cs="Arial"/>
        </w:rPr>
        <w:t xml:space="preserve"> </w:t>
      </w:r>
      <w:r w:rsidRPr="000800CF">
        <w:rPr>
          <w:rFonts w:ascii="Verdana" w:hAnsi="Verdana" w:cs="Arial"/>
        </w:rPr>
        <w:t>omisiones objeto de sanción y el monto de la sanción a imponer, el cual, en todo</w:t>
      </w:r>
      <w:r>
        <w:rPr>
          <w:rFonts w:ascii="Verdana" w:hAnsi="Verdana" w:cs="Arial"/>
        </w:rPr>
        <w:t xml:space="preserve"> </w:t>
      </w:r>
      <w:r w:rsidRPr="000800CF">
        <w:rPr>
          <w:rFonts w:ascii="Verdana" w:hAnsi="Verdana" w:cs="Arial"/>
        </w:rPr>
        <w:t>caso, debe atender los criterios de proporcionalidad y razonabilidad. En esa línea</w:t>
      </w:r>
      <w:r>
        <w:rPr>
          <w:rFonts w:ascii="Verdana" w:hAnsi="Verdana" w:cs="Arial"/>
        </w:rPr>
        <w:t xml:space="preserve"> </w:t>
      </w:r>
      <w:r w:rsidRPr="000800CF">
        <w:rPr>
          <w:rFonts w:ascii="Verdana" w:hAnsi="Verdana" w:cs="Arial"/>
        </w:rPr>
        <w:t>se pronunció la Sección Tercera del Consejo de Estado:</w:t>
      </w:r>
      <w:r>
        <w:rPr>
          <w:rFonts w:ascii="Verdana" w:hAnsi="Verdana" w:cs="Arial"/>
        </w:rPr>
        <w:t xml:space="preserve"> </w:t>
      </w:r>
    </w:p>
    <w:p w14:paraId="6EF0BDDF" w14:textId="77777777" w:rsidR="000B71B3" w:rsidRDefault="000B71B3" w:rsidP="000B71B3">
      <w:pPr>
        <w:widowControl w:val="0"/>
        <w:autoSpaceDE w:val="0"/>
        <w:autoSpaceDN w:val="0"/>
        <w:spacing w:after="0" w:line="276" w:lineRule="auto"/>
        <w:jc w:val="both"/>
        <w:rPr>
          <w:rFonts w:ascii="Verdana" w:hAnsi="Verdana" w:cs="Arial"/>
        </w:rPr>
      </w:pPr>
    </w:p>
    <w:p w14:paraId="24B101B5" w14:textId="77777777" w:rsidR="000B71B3" w:rsidRPr="001B620A" w:rsidRDefault="000B71B3" w:rsidP="000B71B3">
      <w:pPr>
        <w:widowControl w:val="0"/>
        <w:autoSpaceDE w:val="0"/>
        <w:autoSpaceDN w:val="0"/>
        <w:spacing w:after="0" w:line="240" w:lineRule="auto"/>
        <w:ind w:left="709" w:right="709"/>
        <w:jc w:val="both"/>
        <w:rPr>
          <w:rFonts w:ascii="Verdana" w:hAnsi="Verdana" w:cs="Arial"/>
          <w:sz w:val="20"/>
          <w:szCs w:val="20"/>
        </w:rPr>
      </w:pPr>
      <w:r w:rsidRPr="001B620A">
        <w:rPr>
          <w:rFonts w:ascii="Verdana" w:hAnsi="Verdana" w:cs="Arial"/>
          <w:sz w:val="20"/>
          <w:szCs w:val="20"/>
        </w:rPr>
        <w:t>“De otro lado, según se ha expuesto, otras sanciones contractuales, como la multa y la cláusula penal, mantienen la libertad de pacto, es decir, que la ley no determina las conductas que las originan, y las partes pueden hacerlo con gran libertad -pero tampoco arbitrariamente-. Pese a este relajamiento del principio de legalidad fuerte, en todo caso se conserva el principio de tipicidad, según el cual las partes del negocio deben describir la conducta prohibida en la cláusula contractual. Además, también se mantiene el principio que impone que la conducta reprochable se establezca de manera previa a su realización –lex previa–, para evitar la arbitrariedad y el abuso de poder”</w:t>
      </w:r>
      <w:r w:rsidRPr="001B620A">
        <w:rPr>
          <w:sz w:val="20"/>
          <w:szCs w:val="20"/>
          <w:vertAlign w:val="superscript"/>
        </w:rPr>
        <w:footnoteReference w:id="16"/>
      </w:r>
      <w:r w:rsidRPr="001B620A">
        <w:rPr>
          <w:rFonts w:ascii="Verdana" w:hAnsi="Verdana" w:cs="Arial"/>
          <w:sz w:val="20"/>
          <w:szCs w:val="20"/>
        </w:rPr>
        <w:t>.</w:t>
      </w:r>
    </w:p>
    <w:p w14:paraId="359B5399" w14:textId="77777777" w:rsidR="000B71B3" w:rsidRPr="000800CF" w:rsidRDefault="000B71B3" w:rsidP="000B71B3">
      <w:pPr>
        <w:widowControl w:val="0"/>
        <w:autoSpaceDE w:val="0"/>
        <w:autoSpaceDN w:val="0"/>
        <w:spacing w:after="0" w:line="276" w:lineRule="auto"/>
        <w:jc w:val="both"/>
        <w:rPr>
          <w:rFonts w:ascii="Verdana" w:hAnsi="Verdana" w:cs="Arial"/>
        </w:rPr>
      </w:pPr>
    </w:p>
    <w:p w14:paraId="22E2DC11"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0800CF">
        <w:rPr>
          <w:rFonts w:ascii="Verdana" w:hAnsi="Verdana" w:cs="Arial"/>
        </w:rPr>
        <w:lastRenderedPageBreak/>
        <w:t>De igual forma, en otra oportunidad, el Consejo de Estado indicó que “el</w:t>
      </w:r>
      <w:r>
        <w:rPr>
          <w:rFonts w:ascii="Verdana" w:hAnsi="Verdana" w:cs="Arial"/>
        </w:rPr>
        <w:t xml:space="preserve"> </w:t>
      </w:r>
      <w:r w:rsidRPr="000800CF">
        <w:rPr>
          <w:rFonts w:ascii="Verdana" w:hAnsi="Verdana" w:cs="Arial"/>
        </w:rPr>
        <w:t>núcleo mínimo de este derecho exige que una norma –legal o contractual–</w:t>
      </w:r>
      <w:r>
        <w:rPr>
          <w:rFonts w:ascii="Verdana" w:hAnsi="Verdana" w:cs="Arial"/>
        </w:rPr>
        <w:t xml:space="preserve"> </w:t>
      </w:r>
      <w:r w:rsidRPr="000800CF">
        <w:rPr>
          <w:rFonts w:ascii="Verdana" w:hAnsi="Verdana" w:cs="Arial"/>
        </w:rPr>
        <w:t>contemple la falta y la sanción. Si ni siquiera lo hace el contrato, la</w:t>
      </w:r>
      <w:r>
        <w:rPr>
          <w:rFonts w:ascii="Verdana" w:hAnsi="Verdana" w:cs="Arial"/>
        </w:rPr>
        <w:t xml:space="preserve"> </w:t>
      </w:r>
      <w:r w:rsidRPr="000800CF">
        <w:rPr>
          <w:rFonts w:ascii="Verdana" w:hAnsi="Verdana" w:cs="Arial"/>
        </w:rPr>
        <w:t>Administración no puede imponer sanciones, so pena de violar el debido</w:t>
      </w:r>
      <w:r>
        <w:rPr>
          <w:rFonts w:ascii="Verdana" w:hAnsi="Verdana" w:cs="Arial"/>
        </w:rPr>
        <w:t xml:space="preserve"> </w:t>
      </w:r>
      <w:r w:rsidRPr="000800CF">
        <w:rPr>
          <w:rFonts w:ascii="Verdana" w:hAnsi="Verdana" w:cs="Arial"/>
        </w:rPr>
        <w:t>proceso”</w:t>
      </w:r>
      <w:r>
        <w:rPr>
          <w:rStyle w:val="Refdenotaalpie"/>
          <w:rFonts w:ascii="Verdana" w:hAnsi="Verdana" w:cs="Arial"/>
        </w:rPr>
        <w:footnoteReference w:id="17"/>
      </w:r>
      <w:r w:rsidRPr="000800CF">
        <w:rPr>
          <w:rFonts w:ascii="Verdana" w:hAnsi="Verdana" w:cs="Arial"/>
        </w:rPr>
        <w:t>. De otro lado, la Corte Constitucional precisó que la tipicidad hacía</w:t>
      </w:r>
      <w:r>
        <w:rPr>
          <w:rFonts w:ascii="Verdana" w:hAnsi="Verdana" w:cs="Arial"/>
        </w:rPr>
        <w:t xml:space="preserve"> </w:t>
      </w:r>
      <w:r w:rsidRPr="000800CF">
        <w:rPr>
          <w:rFonts w:ascii="Verdana" w:hAnsi="Verdana" w:cs="Arial"/>
        </w:rPr>
        <w:t>referencia a “la exigencia de descripción específica y precisa por la norma</w:t>
      </w:r>
      <w:r>
        <w:rPr>
          <w:rFonts w:ascii="Verdana" w:hAnsi="Verdana" w:cs="Arial"/>
        </w:rPr>
        <w:t xml:space="preserve"> </w:t>
      </w:r>
      <w:r w:rsidRPr="000800CF">
        <w:rPr>
          <w:rFonts w:ascii="Verdana" w:hAnsi="Verdana" w:cs="Arial"/>
        </w:rPr>
        <w:t>creadora de las infracciones y de las sanciones, de las conductas que pueden</w:t>
      </w:r>
      <w:r>
        <w:rPr>
          <w:rFonts w:ascii="Verdana" w:hAnsi="Verdana" w:cs="Arial"/>
        </w:rPr>
        <w:t xml:space="preserve"> </w:t>
      </w:r>
      <w:r w:rsidRPr="000800CF">
        <w:rPr>
          <w:rFonts w:ascii="Verdana" w:hAnsi="Verdana" w:cs="Arial"/>
        </w:rPr>
        <w:t>ser sancionadas y del contenido material de las sanciones que puede imponerse</w:t>
      </w:r>
      <w:r>
        <w:rPr>
          <w:rFonts w:ascii="Verdana" w:hAnsi="Verdana" w:cs="Arial"/>
        </w:rPr>
        <w:t xml:space="preserve"> </w:t>
      </w:r>
      <w:r w:rsidRPr="000800CF">
        <w:rPr>
          <w:rFonts w:ascii="Verdana" w:hAnsi="Verdana" w:cs="Arial"/>
        </w:rPr>
        <w:t>por la comisión de cada conducta, así como la correlación entre unas y otras”</w:t>
      </w:r>
      <w:r>
        <w:rPr>
          <w:rStyle w:val="Refdenotaalpie"/>
          <w:rFonts w:ascii="Verdana" w:hAnsi="Verdana" w:cs="Arial"/>
        </w:rPr>
        <w:footnoteReference w:id="18"/>
      </w:r>
      <w:r w:rsidRPr="000800CF">
        <w:rPr>
          <w:rFonts w:ascii="Verdana" w:hAnsi="Verdana" w:cs="Arial"/>
        </w:rPr>
        <w:t>.</w:t>
      </w:r>
    </w:p>
    <w:p w14:paraId="74213697" w14:textId="77777777" w:rsidR="000B71B3" w:rsidRPr="000800CF" w:rsidRDefault="000B71B3" w:rsidP="000B71B3">
      <w:pPr>
        <w:widowControl w:val="0"/>
        <w:autoSpaceDE w:val="0"/>
        <w:autoSpaceDN w:val="0"/>
        <w:spacing w:before="120" w:after="120" w:line="276" w:lineRule="auto"/>
        <w:ind w:firstLine="708"/>
        <w:jc w:val="both"/>
        <w:rPr>
          <w:rFonts w:ascii="Verdana" w:hAnsi="Verdana" w:cs="Arial"/>
        </w:rPr>
      </w:pPr>
      <w:r w:rsidRPr="000800CF">
        <w:rPr>
          <w:rFonts w:ascii="Verdana" w:hAnsi="Verdana" w:cs="Arial"/>
        </w:rPr>
        <w:t>Por su parte, el artículo 17 de la Ley 1150 de 2007, además de autorizar</w:t>
      </w:r>
      <w:r>
        <w:rPr>
          <w:rFonts w:ascii="Verdana" w:hAnsi="Verdana" w:cs="Arial"/>
        </w:rPr>
        <w:t xml:space="preserve"> </w:t>
      </w:r>
      <w:r w:rsidRPr="000800CF">
        <w:rPr>
          <w:rFonts w:ascii="Verdana" w:hAnsi="Verdana" w:cs="Arial"/>
        </w:rPr>
        <w:t>la imposición unilateral de multas, también precisa que la declaración de</w:t>
      </w:r>
      <w:r>
        <w:rPr>
          <w:rFonts w:ascii="Verdana" w:hAnsi="Verdana" w:cs="Arial"/>
        </w:rPr>
        <w:t xml:space="preserve"> </w:t>
      </w:r>
      <w:r w:rsidRPr="000800CF">
        <w:rPr>
          <w:rFonts w:ascii="Verdana" w:hAnsi="Verdana" w:cs="Arial"/>
        </w:rPr>
        <w:t>incumplimiento tiene como propósito “hacer efectiva la cláusula penal pecuniaria</w:t>
      </w:r>
      <w:r>
        <w:rPr>
          <w:rFonts w:ascii="Verdana" w:hAnsi="Verdana" w:cs="Arial"/>
        </w:rPr>
        <w:t xml:space="preserve"> </w:t>
      </w:r>
      <w:r w:rsidRPr="000800CF">
        <w:rPr>
          <w:rFonts w:ascii="Verdana" w:hAnsi="Verdana" w:cs="Arial"/>
        </w:rPr>
        <w:t>incluida en el contrato”. En este punto, conviene resaltar lo dicho por la Sección</w:t>
      </w:r>
      <w:r>
        <w:rPr>
          <w:rFonts w:ascii="Verdana" w:hAnsi="Verdana" w:cs="Arial"/>
        </w:rPr>
        <w:t xml:space="preserve"> </w:t>
      </w:r>
      <w:r w:rsidRPr="000800CF">
        <w:rPr>
          <w:rFonts w:ascii="Verdana" w:hAnsi="Verdana" w:cs="Arial"/>
        </w:rPr>
        <w:t>Tercera del Consejo de Estado</w:t>
      </w:r>
      <w:r>
        <w:rPr>
          <w:rStyle w:val="Refdenotaalpie"/>
          <w:rFonts w:ascii="Verdana" w:hAnsi="Verdana" w:cs="Arial"/>
        </w:rPr>
        <w:footnoteReference w:id="19"/>
      </w:r>
      <w:r w:rsidRPr="000800CF">
        <w:rPr>
          <w:rFonts w:ascii="Verdana" w:hAnsi="Verdana" w:cs="Arial"/>
        </w:rPr>
        <w:t>, en relación con las diferencias entre las multas y la cláusula penal, esto es:</w:t>
      </w:r>
    </w:p>
    <w:p w14:paraId="39382475" w14:textId="77777777" w:rsidR="000B71B3" w:rsidRDefault="000B71B3" w:rsidP="000B71B3">
      <w:pPr>
        <w:widowControl w:val="0"/>
        <w:autoSpaceDE w:val="0"/>
        <w:autoSpaceDN w:val="0"/>
        <w:spacing w:after="0" w:line="240" w:lineRule="auto"/>
        <w:ind w:left="709" w:right="709"/>
        <w:jc w:val="both"/>
        <w:rPr>
          <w:rFonts w:ascii="Verdana" w:hAnsi="Verdana" w:cs="Arial"/>
          <w:sz w:val="20"/>
          <w:szCs w:val="20"/>
        </w:rPr>
      </w:pPr>
    </w:p>
    <w:p w14:paraId="39DB8208" w14:textId="77777777" w:rsidR="000B71B3" w:rsidRDefault="000B71B3" w:rsidP="000B71B3">
      <w:pPr>
        <w:widowControl w:val="0"/>
        <w:autoSpaceDE w:val="0"/>
        <w:autoSpaceDN w:val="0"/>
        <w:spacing w:after="0" w:line="240" w:lineRule="auto"/>
        <w:ind w:left="709" w:right="709"/>
        <w:jc w:val="both"/>
        <w:rPr>
          <w:rFonts w:ascii="Verdana" w:hAnsi="Verdana" w:cs="Arial"/>
          <w:sz w:val="20"/>
          <w:szCs w:val="20"/>
        </w:rPr>
      </w:pPr>
      <w:r w:rsidRPr="000B76D8">
        <w:rPr>
          <w:rFonts w:ascii="Verdana" w:hAnsi="Verdana" w:cs="Arial"/>
          <w:sz w:val="20"/>
          <w:szCs w:val="20"/>
        </w:rPr>
        <w:t>“[a]unque las multas y la cláusula penal pecuniaria tienen una finalidad común –en lo sustancial–, que se concreta en el logro de los objetivos propuestos en el contrato; se diferencian en que la multa por regla general es conminatoria del cumplimiento de las obligaciones en razón al acaecimiento de incumplimientos parciales; la cláusula penal constituye en principio una tasación anticipada de perjuicios, a raíz de la declaratoria de caducidad o del incumplimiento definitivo del contrato”</w:t>
      </w:r>
      <w:r w:rsidRPr="00031563">
        <w:rPr>
          <w:sz w:val="20"/>
          <w:szCs w:val="20"/>
          <w:vertAlign w:val="superscript"/>
        </w:rPr>
        <w:footnoteReference w:id="20"/>
      </w:r>
      <w:r w:rsidRPr="000B76D8">
        <w:rPr>
          <w:rFonts w:ascii="Verdana" w:hAnsi="Verdana" w:cs="Arial"/>
          <w:sz w:val="20"/>
          <w:szCs w:val="20"/>
        </w:rPr>
        <w:t>.</w:t>
      </w:r>
    </w:p>
    <w:p w14:paraId="35184B77" w14:textId="77777777" w:rsidR="000B71B3" w:rsidRPr="000B76D8" w:rsidRDefault="000B71B3" w:rsidP="000B71B3">
      <w:pPr>
        <w:widowControl w:val="0"/>
        <w:autoSpaceDE w:val="0"/>
        <w:autoSpaceDN w:val="0"/>
        <w:spacing w:after="0" w:line="240" w:lineRule="auto"/>
        <w:ind w:left="709" w:right="709"/>
        <w:jc w:val="both"/>
        <w:rPr>
          <w:rFonts w:ascii="Verdana" w:hAnsi="Verdana" w:cs="Arial"/>
          <w:sz w:val="20"/>
          <w:szCs w:val="20"/>
        </w:rPr>
      </w:pPr>
    </w:p>
    <w:p w14:paraId="0013F6EA"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0800CF">
        <w:rPr>
          <w:rFonts w:ascii="Verdana" w:hAnsi="Verdana" w:cs="Arial"/>
        </w:rPr>
        <w:t>Por lo tanto, en virtud de la autonomía de la voluntad –artículo 1602</w:t>
      </w:r>
      <w:r>
        <w:rPr>
          <w:rFonts w:ascii="Verdana" w:hAnsi="Verdana" w:cs="Arial"/>
        </w:rPr>
        <w:t xml:space="preserve"> </w:t>
      </w:r>
      <w:r w:rsidRPr="000800CF">
        <w:rPr>
          <w:rFonts w:ascii="Verdana" w:hAnsi="Verdana" w:cs="Arial"/>
        </w:rPr>
        <w:t>Código Civil–, las partes de un contrato, para procurar el cumplimiento de las</w:t>
      </w:r>
      <w:r>
        <w:rPr>
          <w:rFonts w:ascii="Verdana" w:hAnsi="Verdana" w:cs="Arial"/>
        </w:rPr>
        <w:t xml:space="preserve"> </w:t>
      </w:r>
      <w:r w:rsidRPr="000800CF">
        <w:rPr>
          <w:rFonts w:ascii="Verdana" w:hAnsi="Verdana" w:cs="Arial"/>
        </w:rPr>
        <w:t>obligaciones a su favor, pueden pactar las cláusulas contractuales de apremio y</w:t>
      </w:r>
      <w:r>
        <w:rPr>
          <w:rFonts w:ascii="Verdana" w:hAnsi="Verdana" w:cs="Arial"/>
        </w:rPr>
        <w:t xml:space="preserve"> </w:t>
      </w:r>
      <w:r w:rsidRPr="000800CF">
        <w:rPr>
          <w:rFonts w:ascii="Verdana" w:hAnsi="Verdana" w:cs="Arial"/>
        </w:rPr>
        <w:t>la pena adjudicable a la parte incumplida. Su naturaleza es punitiva y se causan</w:t>
      </w:r>
      <w:r>
        <w:rPr>
          <w:rFonts w:ascii="Verdana" w:hAnsi="Verdana" w:cs="Arial"/>
        </w:rPr>
        <w:t xml:space="preserve"> </w:t>
      </w:r>
      <w:r w:rsidRPr="000800CF">
        <w:rPr>
          <w:rFonts w:ascii="Verdana" w:hAnsi="Verdana" w:cs="Arial"/>
        </w:rPr>
        <w:t>en los eventos en los que se configure un incumplimiento contractual del deudor.</w:t>
      </w:r>
    </w:p>
    <w:p w14:paraId="18F42AF4"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0800CF">
        <w:rPr>
          <w:rFonts w:ascii="Verdana" w:hAnsi="Verdana" w:cs="Arial"/>
        </w:rPr>
        <w:t>En efecto, el artículo 1592 del Código Civil establece que “[l]a cláusula</w:t>
      </w:r>
      <w:r>
        <w:rPr>
          <w:rFonts w:ascii="Verdana" w:hAnsi="Verdana" w:cs="Arial"/>
        </w:rPr>
        <w:t xml:space="preserve"> </w:t>
      </w:r>
      <w:r w:rsidRPr="000800CF">
        <w:rPr>
          <w:rFonts w:ascii="Verdana" w:hAnsi="Verdana" w:cs="Arial"/>
        </w:rPr>
        <w:t>penal es aquella en que una persona, para asegurar el cumplimiento de una</w:t>
      </w:r>
      <w:r>
        <w:rPr>
          <w:rFonts w:ascii="Verdana" w:hAnsi="Verdana" w:cs="Arial"/>
        </w:rPr>
        <w:t xml:space="preserve"> </w:t>
      </w:r>
      <w:r w:rsidRPr="000800CF">
        <w:rPr>
          <w:rFonts w:ascii="Verdana" w:hAnsi="Verdana" w:cs="Arial"/>
        </w:rPr>
        <w:t>obligación, se sujeta a una pena que consiste en dar o hacer algo en caso de no</w:t>
      </w:r>
      <w:r>
        <w:rPr>
          <w:rFonts w:ascii="Verdana" w:hAnsi="Verdana" w:cs="Arial"/>
        </w:rPr>
        <w:t xml:space="preserve"> </w:t>
      </w:r>
      <w:r w:rsidRPr="000800CF">
        <w:rPr>
          <w:rFonts w:ascii="Verdana" w:hAnsi="Verdana" w:cs="Arial"/>
        </w:rPr>
        <w:lastRenderedPageBreak/>
        <w:t>ejecutar o retardar la obligación principal”. Por su parte, el artículo 867 del</w:t>
      </w:r>
      <w:r>
        <w:rPr>
          <w:rFonts w:ascii="Verdana" w:hAnsi="Verdana" w:cs="Arial"/>
        </w:rPr>
        <w:t xml:space="preserve"> </w:t>
      </w:r>
      <w:r w:rsidRPr="000800CF">
        <w:rPr>
          <w:rFonts w:ascii="Verdana" w:hAnsi="Verdana" w:cs="Arial"/>
        </w:rPr>
        <w:t>Código de Comercio, dispone que “[c]uando se estipule el pago de una</w:t>
      </w:r>
      <w:r>
        <w:rPr>
          <w:rFonts w:ascii="Verdana" w:hAnsi="Verdana" w:cs="Arial"/>
        </w:rPr>
        <w:t xml:space="preserve"> </w:t>
      </w:r>
      <w:r w:rsidRPr="000800CF">
        <w:rPr>
          <w:rFonts w:ascii="Verdana" w:hAnsi="Verdana" w:cs="Arial"/>
        </w:rPr>
        <w:t>prestación determinada para el caso de incumplimiento, o de mora, se entenderá</w:t>
      </w:r>
      <w:r>
        <w:rPr>
          <w:rFonts w:ascii="Verdana" w:hAnsi="Verdana" w:cs="Arial"/>
        </w:rPr>
        <w:t xml:space="preserve"> </w:t>
      </w:r>
      <w:r w:rsidRPr="000800CF">
        <w:rPr>
          <w:rFonts w:ascii="Verdana" w:hAnsi="Verdana" w:cs="Arial"/>
        </w:rPr>
        <w:t>que las partes no pueden retractarse […]”.</w:t>
      </w:r>
    </w:p>
    <w:p w14:paraId="6A20921B"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0800CF">
        <w:rPr>
          <w:rFonts w:ascii="Verdana" w:hAnsi="Verdana" w:cs="Arial"/>
        </w:rPr>
        <w:t>Así, se ha entendido que la cláusula penal puede cumplir varias funciones,</w:t>
      </w:r>
      <w:r>
        <w:rPr>
          <w:rFonts w:ascii="Verdana" w:hAnsi="Verdana" w:cs="Arial"/>
        </w:rPr>
        <w:t xml:space="preserve"> </w:t>
      </w:r>
      <w:r w:rsidRPr="000800CF">
        <w:rPr>
          <w:rFonts w:ascii="Verdana" w:hAnsi="Verdana" w:cs="Arial"/>
        </w:rPr>
        <w:t>a saber: i) estimación anticipada de perjuicios; ii) medio de apremio al deudor,</w:t>
      </w:r>
      <w:r>
        <w:rPr>
          <w:rFonts w:ascii="Verdana" w:hAnsi="Verdana" w:cs="Arial"/>
        </w:rPr>
        <w:t xml:space="preserve"> </w:t>
      </w:r>
      <w:r w:rsidRPr="000800CF">
        <w:rPr>
          <w:rFonts w:ascii="Verdana" w:hAnsi="Verdana" w:cs="Arial"/>
        </w:rPr>
        <w:t>y iii) caución o garantía del cumplimiento de la obligación principal. La Sala de</w:t>
      </w:r>
      <w:r>
        <w:rPr>
          <w:rFonts w:ascii="Verdana" w:hAnsi="Verdana" w:cs="Arial"/>
        </w:rPr>
        <w:t xml:space="preserve"> </w:t>
      </w:r>
      <w:r w:rsidRPr="000800CF">
        <w:rPr>
          <w:rFonts w:ascii="Verdana" w:hAnsi="Verdana" w:cs="Arial"/>
        </w:rPr>
        <w:t>Casación Civil de la Corte Suprema de Justicia ratificó esta naturaleza</w:t>
      </w:r>
      <w:r>
        <w:rPr>
          <w:rFonts w:ascii="Verdana" w:hAnsi="Verdana" w:cs="Arial"/>
        </w:rPr>
        <w:t xml:space="preserve"> </w:t>
      </w:r>
      <w:r w:rsidRPr="000800CF">
        <w:rPr>
          <w:rFonts w:ascii="Verdana" w:hAnsi="Verdana" w:cs="Arial"/>
        </w:rPr>
        <w:t>polifuncional de la cláusula penal, en los siguientes términos:</w:t>
      </w:r>
    </w:p>
    <w:p w14:paraId="7E91F788" w14:textId="77777777" w:rsidR="000B71B3" w:rsidRPr="000800CF" w:rsidRDefault="000B71B3" w:rsidP="000B71B3">
      <w:pPr>
        <w:widowControl w:val="0"/>
        <w:autoSpaceDE w:val="0"/>
        <w:autoSpaceDN w:val="0"/>
        <w:spacing w:after="0" w:line="276" w:lineRule="auto"/>
        <w:ind w:firstLine="708"/>
        <w:jc w:val="both"/>
        <w:rPr>
          <w:rFonts w:ascii="Verdana" w:hAnsi="Verdana" w:cs="Arial"/>
        </w:rPr>
      </w:pPr>
    </w:p>
    <w:p w14:paraId="40D20F59" w14:textId="77777777" w:rsidR="000B71B3" w:rsidRDefault="000B71B3" w:rsidP="000B71B3">
      <w:pPr>
        <w:widowControl w:val="0"/>
        <w:autoSpaceDE w:val="0"/>
        <w:autoSpaceDN w:val="0"/>
        <w:spacing w:after="0" w:line="240" w:lineRule="auto"/>
        <w:ind w:left="709" w:right="709"/>
        <w:jc w:val="both"/>
        <w:rPr>
          <w:rFonts w:ascii="Verdana" w:hAnsi="Verdana" w:cs="Arial"/>
          <w:sz w:val="20"/>
          <w:szCs w:val="20"/>
        </w:rPr>
      </w:pPr>
      <w:r w:rsidRPr="00BB760D">
        <w:rPr>
          <w:rFonts w:ascii="Verdana" w:hAnsi="Verdana" w:cs="Arial"/>
          <w:sz w:val="20"/>
          <w:szCs w:val="20"/>
        </w:rPr>
        <w:t>“[E]n el ámbito de la dogmática jurídica civil, se denomina “cláusula</w:t>
      </w:r>
      <w:r>
        <w:rPr>
          <w:rFonts w:ascii="Verdana" w:hAnsi="Verdana" w:cs="Arial"/>
          <w:sz w:val="20"/>
          <w:szCs w:val="20"/>
        </w:rPr>
        <w:t xml:space="preserve"> </w:t>
      </w:r>
      <w:r w:rsidRPr="00BB760D">
        <w:rPr>
          <w:rFonts w:ascii="Verdana" w:hAnsi="Verdana" w:cs="Arial"/>
          <w:sz w:val="20"/>
          <w:szCs w:val="20"/>
        </w:rPr>
        <w:t>penal” al acuerdo de las partes sobre la estimación de los perjuicios</w:t>
      </w:r>
      <w:r>
        <w:rPr>
          <w:rFonts w:ascii="Verdana" w:hAnsi="Verdana" w:cs="Arial"/>
          <w:sz w:val="20"/>
          <w:szCs w:val="20"/>
        </w:rPr>
        <w:t xml:space="preserve"> </w:t>
      </w:r>
      <w:r w:rsidRPr="00BB760D">
        <w:rPr>
          <w:rFonts w:ascii="Verdana" w:hAnsi="Verdana" w:cs="Arial"/>
          <w:sz w:val="20"/>
          <w:szCs w:val="20"/>
        </w:rPr>
        <w:t>compensatorios o moratorios, para el evento del incumplimiento del</w:t>
      </w:r>
      <w:r>
        <w:rPr>
          <w:rFonts w:ascii="Verdana" w:hAnsi="Verdana" w:cs="Arial"/>
          <w:sz w:val="20"/>
          <w:szCs w:val="20"/>
        </w:rPr>
        <w:t xml:space="preserve"> </w:t>
      </w:r>
      <w:r w:rsidRPr="00BB760D">
        <w:rPr>
          <w:rFonts w:ascii="Verdana" w:hAnsi="Verdana" w:cs="Arial"/>
          <w:sz w:val="20"/>
          <w:szCs w:val="20"/>
        </w:rPr>
        <w:t>convenio o la mora en la satisfacción de las obligaciones derivadas del</w:t>
      </w:r>
      <w:r>
        <w:rPr>
          <w:rFonts w:ascii="Verdana" w:hAnsi="Verdana" w:cs="Arial"/>
          <w:sz w:val="20"/>
          <w:szCs w:val="20"/>
        </w:rPr>
        <w:t xml:space="preserve"> </w:t>
      </w:r>
      <w:r w:rsidRPr="00BB760D">
        <w:rPr>
          <w:rFonts w:ascii="Verdana" w:hAnsi="Verdana" w:cs="Arial"/>
          <w:sz w:val="20"/>
          <w:szCs w:val="20"/>
        </w:rPr>
        <w:t>mismo, recibiendo en el primer caso el nombre de “cláusula penal</w:t>
      </w:r>
      <w:r>
        <w:rPr>
          <w:rFonts w:ascii="Verdana" w:hAnsi="Verdana" w:cs="Arial"/>
          <w:sz w:val="20"/>
          <w:szCs w:val="20"/>
        </w:rPr>
        <w:t xml:space="preserve"> </w:t>
      </w:r>
      <w:r w:rsidRPr="00BB760D">
        <w:rPr>
          <w:rFonts w:ascii="Verdana" w:hAnsi="Verdana" w:cs="Arial"/>
          <w:sz w:val="20"/>
          <w:szCs w:val="20"/>
        </w:rPr>
        <w:t>compensatoria” y en el segundo, “cláusula penal moratoria”; así mismo se reconoce, que cumple la función complementaria de apremiar al</w:t>
      </w:r>
      <w:r>
        <w:rPr>
          <w:rFonts w:ascii="Verdana" w:hAnsi="Verdana" w:cs="Arial"/>
          <w:sz w:val="20"/>
          <w:szCs w:val="20"/>
        </w:rPr>
        <w:t xml:space="preserve"> </w:t>
      </w:r>
      <w:r w:rsidRPr="00BB760D">
        <w:rPr>
          <w:rFonts w:ascii="Verdana" w:hAnsi="Verdana" w:cs="Arial"/>
          <w:sz w:val="20"/>
          <w:szCs w:val="20"/>
        </w:rPr>
        <w:t>deudor para el adecuado cumplimiento de la prestación. En virtud de</w:t>
      </w:r>
      <w:r>
        <w:rPr>
          <w:rFonts w:ascii="Verdana" w:hAnsi="Verdana" w:cs="Arial"/>
          <w:sz w:val="20"/>
          <w:szCs w:val="20"/>
        </w:rPr>
        <w:t xml:space="preserve"> </w:t>
      </w:r>
      <w:r w:rsidRPr="00BB760D">
        <w:rPr>
          <w:rFonts w:ascii="Verdana" w:hAnsi="Verdana" w:cs="Arial"/>
          <w:sz w:val="20"/>
          <w:szCs w:val="20"/>
        </w:rPr>
        <w:t>lo anterior, cabe señalar, que dicho pacto tiene el carácter de una</w:t>
      </w:r>
      <w:r>
        <w:rPr>
          <w:rFonts w:ascii="Verdana" w:hAnsi="Verdana" w:cs="Arial"/>
          <w:sz w:val="20"/>
          <w:szCs w:val="20"/>
        </w:rPr>
        <w:t xml:space="preserve"> </w:t>
      </w:r>
      <w:r w:rsidRPr="00BB760D">
        <w:rPr>
          <w:rFonts w:ascii="Verdana" w:hAnsi="Verdana" w:cs="Arial"/>
          <w:sz w:val="20"/>
          <w:szCs w:val="20"/>
        </w:rPr>
        <w:t>“obligación accesoria”, en cuanto tiene por objeto asegurar el</w:t>
      </w:r>
      <w:r>
        <w:rPr>
          <w:rFonts w:ascii="Verdana" w:hAnsi="Verdana" w:cs="Arial"/>
          <w:sz w:val="20"/>
          <w:szCs w:val="20"/>
        </w:rPr>
        <w:t xml:space="preserve"> </w:t>
      </w:r>
      <w:r w:rsidRPr="00BB760D">
        <w:rPr>
          <w:rFonts w:ascii="Verdana" w:hAnsi="Verdana" w:cs="Arial"/>
          <w:sz w:val="20"/>
          <w:szCs w:val="20"/>
        </w:rPr>
        <w:t>cumplimiento de otra obligación; igualmente, constituye una</w:t>
      </w:r>
      <w:r>
        <w:rPr>
          <w:rFonts w:ascii="Verdana" w:hAnsi="Verdana" w:cs="Arial"/>
          <w:sz w:val="20"/>
          <w:szCs w:val="20"/>
        </w:rPr>
        <w:t xml:space="preserve"> </w:t>
      </w:r>
      <w:r w:rsidRPr="00BB760D">
        <w:rPr>
          <w:rFonts w:ascii="Verdana" w:hAnsi="Verdana" w:cs="Arial"/>
          <w:sz w:val="20"/>
          <w:szCs w:val="20"/>
        </w:rPr>
        <w:t>“obligación condicional”, porque la pena solo se debe ante el</w:t>
      </w:r>
      <w:r>
        <w:rPr>
          <w:rFonts w:ascii="Verdana" w:hAnsi="Verdana" w:cs="Arial"/>
          <w:sz w:val="20"/>
          <w:szCs w:val="20"/>
        </w:rPr>
        <w:t xml:space="preserve"> </w:t>
      </w:r>
      <w:r w:rsidRPr="00BB760D">
        <w:rPr>
          <w:rFonts w:ascii="Verdana" w:hAnsi="Verdana" w:cs="Arial"/>
          <w:sz w:val="20"/>
          <w:szCs w:val="20"/>
        </w:rPr>
        <w:t>incumplimiento o retardo de la “obligación principal”; y también puede</w:t>
      </w:r>
      <w:r>
        <w:rPr>
          <w:rFonts w:ascii="Verdana" w:hAnsi="Verdana" w:cs="Arial"/>
          <w:sz w:val="20"/>
          <w:szCs w:val="20"/>
        </w:rPr>
        <w:t xml:space="preserve"> </w:t>
      </w:r>
      <w:r w:rsidRPr="00BB760D">
        <w:rPr>
          <w:rFonts w:ascii="Verdana" w:hAnsi="Verdana" w:cs="Arial"/>
          <w:sz w:val="20"/>
          <w:szCs w:val="20"/>
        </w:rPr>
        <w:t>representar una liquidación convencional y anticipada de los perjuicios</w:t>
      </w:r>
      <w:r>
        <w:rPr>
          <w:rFonts w:ascii="Verdana" w:hAnsi="Verdana" w:cs="Arial"/>
          <w:sz w:val="20"/>
          <w:szCs w:val="20"/>
        </w:rPr>
        <w:t xml:space="preserve"> </w:t>
      </w:r>
      <w:r w:rsidRPr="00BB760D">
        <w:rPr>
          <w:rFonts w:ascii="Verdana" w:hAnsi="Verdana" w:cs="Arial"/>
          <w:sz w:val="20"/>
          <w:szCs w:val="20"/>
        </w:rPr>
        <w:t>en caso de configurarse alguno de tales supuestos”</w:t>
      </w:r>
      <w:r>
        <w:rPr>
          <w:rStyle w:val="Refdenotaalpie"/>
          <w:rFonts w:ascii="Verdana" w:hAnsi="Verdana" w:cs="Arial"/>
          <w:sz w:val="20"/>
          <w:szCs w:val="20"/>
        </w:rPr>
        <w:footnoteReference w:id="21"/>
      </w:r>
      <w:r w:rsidRPr="00BB760D">
        <w:rPr>
          <w:rFonts w:ascii="Verdana" w:hAnsi="Verdana" w:cs="Arial"/>
          <w:sz w:val="20"/>
          <w:szCs w:val="20"/>
        </w:rPr>
        <w:t>.</w:t>
      </w:r>
    </w:p>
    <w:p w14:paraId="55A39562" w14:textId="77777777" w:rsidR="000B71B3" w:rsidRPr="00BB760D" w:rsidRDefault="000B71B3" w:rsidP="000B71B3">
      <w:pPr>
        <w:widowControl w:val="0"/>
        <w:autoSpaceDE w:val="0"/>
        <w:autoSpaceDN w:val="0"/>
        <w:spacing w:after="0" w:line="240" w:lineRule="auto"/>
        <w:ind w:left="709" w:right="709"/>
        <w:jc w:val="both"/>
        <w:rPr>
          <w:rFonts w:ascii="Verdana" w:hAnsi="Verdana" w:cs="Arial"/>
          <w:sz w:val="20"/>
          <w:szCs w:val="20"/>
        </w:rPr>
      </w:pPr>
    </w:p>
    <w:p w14:paraId="7FA6B873" w14:textId="77777777" w:rsidR="000B71B3" w:rsidRPr="001506E8"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Así pues, la cláusula penal en su modalidad de apremio tiene como</w:t>
      </w:r>
      <w:r>
        <w:rPr>
          <w:rFonts w:ascii="Verdana" w:hAnsi="Verdana" w:cs="Arial"/>
        </w:rPr>
        <w:t xml:space="preserve"> </w:t>
      </w:r>
      <w:r w:rsidRPr="001506E8">
        <w:rPr>
          <w:rFonts w:ascii="Verdana" w:hAnsi="Verdana" w:cs="Arial"/>
        </w:rPr>
        <w:t>propósito ejercer presión o amenaza sobre la voluntad del deudor, induciéndolo</w:t>
      </w:r>
      <w:r>
        <w:rPr>
          <w:rFonts w:ascii="Verdana" w:hAnsi="Verdana" w:cs="Arial"/>
        </w:rPr>
        <w:t xml:space="preserve"> </w:t>
      </w:r>
      <w:r w:rsidRPr="001506E8">
        <w:rPr>
          <w:rFonts w:ascii="Verdana" w:hAnsi="Verdana" w:cs="Arial"/>
        </w:rPr>
        <w:t>a cumplir la obligación principal por el temor de incurrir en aquella, es decir, se</w:t>
      </w:r>
      <w:r>
        <w:rPr>
          <w:rFonts w:ascii="Verdana" w:hAnsi="Verdana" w:cs="Arial"/>
        </w:rPr>
        <w:t xml:space="preserve"> </w:t>
      </w:r>
      <w:r w:rsidRPr="001506E8">
        <w:rPr>
          <w:rFonts w:ascii="Verdana" w:hAnsi="Verdana" w:cs="Arial"/>
        </w:rPr>
        <w:t>trata típicamente de la cláusula de multas en la que la pena no sustituye la</w:t>
      </w:r>
      <w:r>
        <w:rPr>
          <w:rFonts w:ascii="Verdana" w:hAnsi="Verdana" w:cs="Arial"/>
        </w:rPr>
        <w:t xml:space="preserve"> </w:t>
      </w:r>
      <w:r w:rsidRPr="001506E8">
        <w:rPr>
          <w:rFonts w:ascii="Verdana" w:hAnsi="Verdana" w:cs="Arial"/>
        </w:rPr>
        <w:t>obligación principal ni la indemnización compensatoria, sino que persigue</w:t>
      </w:r>
      <w:r>
        <w:rPr>
          <w:rFonts w:ascii="Verdana" w:hAnsi="Verdana" w:cs="Arial"/>
        </w:rPr>
        <w:t xml:space="preserve"> </w:t>
      </w:r>
      <w:r w:rsidRPr="001506E8">
        <w:rPr>
          <w:rFonts w:ascii="Verdana" w:hAnsi="Verdana" w:cs="Arial"/>
        </w:rPr>
        <w:t>compulsar al deudor al cumplimiento de la obligación en forma oportuna,</w:t>
      </w:r>
      <w:r>
        <w:rPr>
          <w:rFonts w:ascii="Verdana" w:hAnsi="Verdana" w:cs="Arial"/>
        </w:rPr>
        <w:t xml:space="preserve"> </w:t>
      </w:r>
      <w:r w:rsidRPr="001506E8">
        <w:rPr>
          <w:rFonts w:ascii="Verdana" w:hAnsi="Verdana" w:cs="Arial"/>
        </w:rPr>
        <w:t>efectiva e integra.</w:t>
      </w:r>
    </w:p>
    <w:p w14:paraId="39FF0A8A"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En tal sentido, es importante destacar que la cláusula penal es un</w:t>
      </w:r>
      <w:r>
        <w:rPr>
          <w:rFonts w:ascii="Verdana" w:hAnsi="Verdana" w:cs="Arial"/>
        </w:rPr>
        <w:t xml:space="preserve"> </w:t>
      </w:r>
      <w:r w:rsidRPr="001506E8">
        <w:rPr>
          <w:rFonts w:ascii="Verdana" w:hAnsi="Verdana" w:cs="Arial"/>
        </w:rPr>
        <w:t>elemento accidental en los contratos estatales, porque se pacta de común</w:t>
      </w:r>
      <w:r>
        <w:rPr>
          <w:rFonts w:ascii="Verdana" w:hAnsi="Verdana" w:cs="Arial"/>
        </w:rPr>
        <w:t xml:space="preserve"> </w:t>
      </w:r>
      <w:r w:rsidRPr="001506E8">
        <w:rPr>
          <w:rFonts w:ascii="Verdana" w:hAnsi="Verdana" w:cs="Arial"/>
        </w:rPr>
        <w:t>acuerdo por las partes, de conformidad con el principio de la autonomía de la</w:t>
      </w:r>
      <w:r>
        <w:rPr>
          <w:rFonts w:ascii="Verdana" w:hAnsi="Verdana" w:cs="Arial"/>
        </w:rPr>
        <w:t xml:space="preserve"> </w:t>
      </w:r>
      <w:r w:rsidRPr="001506E8">
        <w:rPr>
          <w:rFonts w:ascii="Verdana" w:hAnsi="Verdana" w:cs="Arial"/>
        </w:rPr>
        <w:lastRenderedPageBreak/>
        <w:t>voluntad, al que remiten los artículos 13, 32 y 40 de la Ley 80 de 1993. Al</w:t>
      </w:r>
      <w:r>
        <w:rPr>
          <w:rFonts w:ascii="Verdana" w:hAnsi="Verdana" w:cs="Arial"/>
        </w:rPr>
        <w:t xml:space="preserve"> </w:t>
      </w:r>
      <w:r w:rsidRPr="001506E8">
        <w:rPr>
          <w:rFonts w:ascii="Verdana" w:hAnsi="Verdana" w:cs="Arial"/>
        </w:rPr>
        <w:t xml:space="preserve">respecto, la doctrina expresa: </w:t>
      </w:r>
      <w:r w:rsidRPr="00801D3F">
        <w:rPr>
          <w:rFonts w:ascii="Verdana" w:hAnsi="Verdana" w:cs="Arial"/>
          <w:i/>
          <w:iCs/>
        </w:rPr>
        <w:t>“La cláusula penal pecuniaria se constituye en una tasación anticipada de perjuicios ocasionados por el incumplimiento del deudor de la obligación principal del contrato […]”</w:t>
      </w:r>
      <w:r>
        <w:rPr>
          <w:rStyle w:val="Refdenotaalpie"/>
          <w:rFonts w:ascii="Verdana" w:hAnsi="Verdana" w:cs="Arial"/>
        </w:rPr>
        <w:footnoteReference w:id="22"/>
      </w:r>
      <w:r w:rsidRPr="001506E8">
        <w:rPr>
          <w:rFonts w:ascii="Verdana" w:hAnsi="Verdana" w:cs="Arial"/>
        </w:rPr>
        <w:t>. Asimismo, El Consejo de Estado</w:t>
      </w:r>
      <w:r>
        <w:rPr>
          <w:rFonts w:ascii="Verdana" w:hAnsi="Verdana" w:cs="Arial"/>
        </w:rPr>
        <w:t xml:space="preserve"> </w:t>
      </w:r>
      <w:r w:rsidRPr="001506E8">
        <w:rPr>
          <w:rFonts w:ascii="Verdana" w:hAnsi="Verdana" w:cs="Arial"/>
        </w:rPr>
        <w:t xml:space="preserve">plantea que: </w:t>
      </w:r>
      <w:r w:rsidRPr="00801D3F">
        <w:rPr>
          <w:rFonts w:ascii="Verdana" w:hAnsi="Verdana" w:cs="Arial"/>
          <w:i/>
          <w:iCs/>
        </w:rPr>
        <w:t>“Con la imposición y ejecución de la cláusula penal se penaliza al contratista, por el incumplimiento grave del contrato, constituyendo una verdadera indemnización, que, aunque parcial es definitiva, pues con ella se resarcen los perjuicios, o parte de ellos, a favor de la parte que ha cumplido el negocio”</w:t>
      </w:r>
      <w:r>
        <w:rPr>
          <w:rStyle w:val="Refdenotaalpie"/>
          <w:rFonts w:ascii="Verdana" w:hAnsi="Verdana" w:cs="Arial"/>
        </w:rPr>
        <w:footnoteReference w:id="23"/>
      </w:r>
      <w:r w:rsidRPr="001506E8">
        <w:rPr>
          <w:rFonts w:ascii="Verdana" w:hAnsi="Verdana" w:cs="Arial"/>
        </w:rPr>
        <w:t>.</w:t>
      </w:r>
    </w:p>
    <w:p w14:paraId="0844263B" w14:textId="77777777" w:rsidR="000B71B3" w:rsidRPr="001506E8"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Ahora bien, en relación con la cuestión es especifica objeto de consulta</w:t>
      </w:r>
      <w:r>
        <w:rPr>
          <w:rFonts w:ascii="Verdana" w:hAnsi="Verdana" w:cs="Arial"/>
        </w:rPr>
        <w:t xml:space="preserve"> </w:t>
      </w:r>
      <w:r w:rsidRPr="001506E8">
        <w:rPr>
          <w:rFonts w:ascii="Verdana" w:hAnsi="Verdana" w:cs="Arial"/>
        </w:rPr>
        <w:t>es importante aclarar que, los acuerdos de voluntades, como los contratos de</w:t>
      </w:r>
      <w:r>
        <w:rPr>
          <w:rFonts w:ascii="Verdana" w:hAnsi="Verdana" w:cs="Arial"/>
        </w:rPr>
        <w:t xml:space="preserve"> </w:t>
      </w:r>
      <w:r w:rsidRPr="001506E8">
        <w:rPr>
          <w:rFonts w:ascii="Verdana" w:hAnsi="Verdana" w:cs="Arial"/>
        </w:rPr>
        <w:t>contratos de prestación de servicios, están destinados a cumplirse a lo largo del</w:t>
      </w:r>
      <w:r>
        <w:rPr>
          <w:rFonts w:ascii="Verdana" w:hAnsi="Verdana" w:cs="Arial"/>
        </w:rPr>
        <w:t xml:space="preserve"> </w:t>
      </w:r>
      <w:r w:rsidRPr="001506E8">
        <w:rPr>
          <w:rFonts w:ascii="Verdana" w:hAnsi="Verdana" w:cs="Arial"/>
        </w:rPr>
        <w:t>plazo del contrato estipulado por las partes, lo cual es una consecuencia de la</w:t>
      </w:r>
      <w:r>
        <w:rPr>
          <w:rFonts w:ascii="Verdana" w:hAnsi="Verdana" w:cs="Arial"/>
        </w:rPr>
        <w:t xml:space="preserve"> </w:t>
      </w:r>
      <w:r w:rsidRPr="001506E8">
        <w:rPr>
          <w:rFonts w:ascii="Verdana" w:hAnsi="Verdana" w:cs="Arial"/>
        </w:rPr>
        <w:t>autonomía de la voluntad privada a la que se refiere el artículo 1602 del Código</w:t>
      </w:r>
      <w:r>
        <w:rPr>
          <w:rFonts w:ascii="Verdana" w:hAnsi="Verdana" w:cs="Arial"/>
        </w:rPr>
        <w:t xml:space="preserve"> </w:t>
      </w:r>
      <w:r w:rsidRPr="001506E8">
        <w:rPr>
          <w:rFonts w:ascii="Verdana" w:hAnsi="Verdana" w:cs="Arial"/>
        </w:rPr>
        <w:t>Civil y el artículo 32 de la Ley 80 de 1993. De esta manera, la reticencia del</w:t>
      </w:r>
      <w:r>
        <w:rPr>
          <w:rFonts w:ascii="Verdana" w:hAnsi="Verdana" w:cs="Arial"/>
        </w:rPr>
        <w:t xml:space="preserve"> </w:t>
      </w:r>
      <w:r w:rsidRPr="001506E8">
        <w:rPr>
          <w:rFonts w:ascii="Verdana" w:hAnsi="Verdana" w:cs="Arial"/>
        </w:rPr>
        <w:t>contratista a cumplir con las obligaciones es susceptible de ser calificada de</w:t>
      </w:r>
      <w:r>
        <w:rPr>
          <w:rFonts w:ascii="Verdana" w:hAnsi="Verdana" w:cs="Arial"/>
        </w:rPr>
        <w:t xml:space="preserve"> </w:t>
      </w:r>
      <w:r w:rsidRPr="001506E8">
        <w:rPr>
          <w:rFonts w:ascii="Verdana" w:hAnsi="Verdana" w:cs="Arial"/>
        </w:rPr>
        <w:t>incumplimiento contractual, motivando la imposición de multas o de la cláusula</w:t>
      </w:r>
      <w:r>
        <w:rPr>
          <w:rFonts w:ascii="Verdana" w:hAnsi="Verdana" w:cs="Arial"/>
        </w:rPr>
        <w:t xml:space="preserve"> </w:t>
      </w:r>
      <w:r w:rsidRPr="001506E8">
        <w:rPr>
          <w:rFonts w:ascii="Verdana" w:hAnsi="Verdana" w:cs="Arial"/>
        </w:rPr>
        <w:t xml:space="preserve">penal, en los contratos en los que se incluyen estas estipulaciones. </w:t>
      </w:r>
    </w:p>
    <w:p w14:paraId="397B4D99"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Sin perjuicio de esto, es importante precisar que la autonomía de la</w:t>
      </w:r>
      <w:r>
        <w:rPr>
          <w:rFonts w:ascii="Verdana" w:hAnsi="Verdana" w:cs="Arial"/>
        </w:rPr>
        <w:t xml:space="preserve"> </w:t>
      </w:r>
      <w:r w:rsidRPr="001506E8">
        <w:rPr>
          <w:rFonts w:ascii="Verdana" w:hAnsi="Verdana" w:cs="Arial"/>
        </w:rPr>
        <w:t>voluntad privada, como potestad de las personas para autorregular sus propios</w:t>
      </w:r>
      <w:r>
        <w:rPr>
          <w:rFonts w:ascii="Verdana" w:hAnsi="Verdana" w:cs="Arial"/>
        </w:rPr>
        <w:t xml:space="preserve"> </w:t>
      </w:r>
      <w:r w:rsidRPr="001506E8">
        <w:rPr>
          <w:rFonts w:ascii="Verdana" w:hAnsi="Verdana" w:cs="Arial"/>
        </w:rPr>
        <w:t>intereses y determinar el contenido de los negocios jurídicos celebrados,</w:t>
      </w:r>
      <w:r>
        <w:rPr>
          <w:rFonts w:ascii="Verdana" w:hAnsi="Verdana" w:cs="Arial"/>
        </w:rPr>
        <w:t xml:space="preserve"> </w:t>
      </w:r>
      <w:r w:rsidRPr="001506E8">
        <w:rPr>
          <w:rFonts w:ascii="Verdana" w:hAnsi="Verdana" w:cs="Arial"/>
        </w:rPr>
        <w:t>implican también la posibilidad de que estos modifiquen su alcance introduciendo</w:t>
      </w:r>
      <w:r>
        <w:rPr>
          <w:rFonts w:ascii="Verdana" w:hAnsi="Verdana" w:cs="Arial"/>
        </w:rPr>
        <w:t xml:space="preserve"> </w:t>
      </w:r>
      <w:r w:rsidRPr="001506E8">
        <w:rPr>
          <w:rFonts w:ascii="Verdana" w:hAnsi="Verdana" w:cs="Arial"/>
        </w:rPr>
        <w:t>modificaciones al mismo. Esto significa que, así como las partes tienen la</w:t>
      </w:r>
      <w:r>
        <w:rPr>
          <w:rFonts w:ascii="Verdana" w:hAnsi="Verdana" w:cs="Arial"/>
        </w:rPr>
        <w:t xml:space="preserve"> </w:t>
      </w:r>
      <w:r w:rsidRPr="001506E8">
        <w:rPr>
          <w:rFonts w:ascii="Verdana" w:hAnsi="Verdana" w:cs="Arial"/>
        </w:rPr>
        <w:t>potestad de acordar el plazo del contrato, también tienen la potestad de</w:t>
      </w:r>
      <w:r>
        <w:rPr>
          <w:rFonts w:ascii="Verdana" w:hAnsi="Verdana" w:cs="Arial"/>
        </w:rPr>
        <w:t xml:space="preserve"> </w:t>
      </w:r>
      <w:r w:rsidRPr="001506E8">
        <w:rPr>
          <w:rFonts w:ascii="Verdana" w:hAnsi="Verdana" w:cs="Arial"/>
        </w:rPr>
        <w:t>modificarlo o darlo por terminado, en caso de que alguna de las partes no pueda</w:t>
      </w:r>
      <w:r>
        <w:rPr>
          <w:rFonts w:ascii="Verdana" w:hAnsi="Verdana" w:cs="Arial"/>
        </w:rPr>
        <w:t xml:space="preserve"> </w:t>
      </w:r>
      <w:r w:rsidRPr="001506E8">
        <w:rPr>
          <w:rFonts w:ascii="Verdana" w:hAnsi="Verdana" w:cs="Arial"/>
        </w:rPr>
        <w:t>seguir ejecutando el contrato.</w:t>
      </w:r>
    </w:p>
    <w:p w14:paraId="4A5CA7D8"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De hecho, la terminación anticipada de mutuo acuerdo es una práctica</w:t>
      </w:r>
      <w:r>
        <w:rPr>
          <w:rFonts w:ascii="Verdana" w:hAnsi="Verdana" w:cs="Arial"/>
        </w:rPr>
        <w:t xml:space="preserve"> </w:t>
      </w:r>
      <w:r w:rsidRPr="001506E8">
        <w:rPr>
          <w:rFonts w:ascii="Verdana" w:hAnsi="Verdana" w:cs="Arial"/>
        </w:rPr>
        <w:t>común en la contratación estatal a la que se acude cuando el contratista</w:t>
      </w:r>
      <w:r>
        <w:rPr>
          <w:rFonts w:ascii="Verdana" w:hAnsi="Verdana" w:cs="Arial"/>
        </w:rPr>
        <w:t xml:space="preserve"> </w:t>
      </w:r>
      <w:r w:rsidRPr="001506E8">
        <w:rPr>
          <w:rFonts w:ascii="Verdana" w:hAnsi="Verdana" w:cs="Arial"/>
        </w:rPr>
        <w:t>manifiesta a la Entidad Estatal contratante su voluntad de no continuar con la</w:t>
      </w:r>
      <w:r>
        <w:rPr>
          <w:rFonts w:ascii="Verdana" w:hAnsi="Verdana" w:cs="Arial"/>
        </w:rPr>
        <w:t xml:space="preserve"> </w:t>
      </w:r>
      <w:r w:rsidRPr="001506E8">
        <w:rPr>
          <w:rFonts w:ascii="Verdana" w:hAnsi="Verdana" w:cs="Arial"/>
        </w:rPr>
        <w:t>ejecución del contrato. Esto implica que, en ejercicio de la autonomía de la</w:t>
      </w:r>
      <w:r>
        <w:rPr>
          <w:rFonts w:ascii="Verdana" w:hAnsi="Verdana" w:cs="Arial"/>
        </w:rPr>
        <w:t xml:space="preserve"> </w:t>
      </w:r>
      <w:r w:rsidRPr="001506E8">
        <w:rPr>
          <w:rFonts w:ascii="Verdana" w:hAnsi="Verdana" w:cs="Arial"/>
        </w:rPr>
        <w:lastRenderedPageBreak/>
        <w:t>voluntad la entidad estatal contratante y el contratista convengan la terminación</w:t>
      </w:r>
      <w:r>
        <w:rPr>
          <w:rFonts w:ascii="Verdana" w:hAnsi="Verdana" w:cs="Arial"/>
        </w:rPr>
        <w:t xml:space="preserve"> </w:t>
      </w:r>
      <w:r w:rsidRPr="001506E8">
        <w:rPr>
          <w:rFonts w:ascii="Verdana" w:hAnsi="Verdana" w:cs="Arial"/>
        </w:rPr>
        <w:t>anticipada del contrato y lo eleven a escrito, de manera que la primera libera</w:t>
      </w:r>
      <w:r>
        <w:rPr>
          <w:rFonts w:ascii="Verdana" w:hAnsi="Verdana" w:cs="Arial"/>
        </w:rPr>
        <w:t xml:space="preserve"> </w:t>
      </w:r>
      <w:r w:rsidRPr="001506E8">
        <w:rPr>
          <w:rFonts w:ascii="Verdana" w:hAnsi="Verdana" w:cs="Arial"/>
        </w:rPr>
        <w:t>recursos asociados al contrato terminado, los cuales pueden ser destinados a la</w:t>
      </w:r>
      <w:r>
        <w:rPr>
          <w:rFonts w:ascii="Verdana" w:hAnsi="Verdana" w:cs="Arial"/>
        </w:rPr>
        <w:t xml:space="preserve"> </w:t>
      </w:r>
      <w:r w:rsidRPr="001506E8">
        <w:rPr>
          <w:rFonts w:ascii="Verdana" w:hAnsi="Verdana" w:cs="Arial"/>
        </w:rPr>
        <w:t>celebración de un nuevo contrato con otro contratista, en caso de que persista</w:t>
      </w:r>
      <w:r>
        <w:rPr>
          <w:rFonts w:ascii="Verdana" w:hAnsi="Verdana" w:cs="Arial"/>
        </w:rPr>
        <w:t xml:space="preserve"> </w:t>
      </w:r>
      <w:r w:rsidRPr="001506E8">
        <w:rPr>
          <w:rFonts w:ascii="Verdana" w:hAnsi="Verdana" w:cs="Arial"/>
        </w:rPr>
        <w:t>la necesidad que motivó la contratación. De esta manera, las partes además</w:t>
      </w:r>
      <w:r>
        <w:rPr>
          <w:rFonts w:ascii="Verdana" w:hAnsi="Verdana" w:cs="Arial"/>
        </w:rPr>
        <w:t xml:space="preserve"> </w:t>
      </w:r>
      <w:r w:rsidRPr="001506E8">
        <w:rPr>
          <w:rFonts w:ascii="Verdana" w:hAnsi="Verdana" w:cs="Arial"/>
        </w:rPr>
        <w:t>evitan que se consolide el incumplimiento del contrato, evitando la imposición</w:t>
      </w:r>
      <w:r>
        <w:rPr>
          <w:rFonts w:ascii="Verdana" w:hAnsi="Verdana" w:cs="Arial"/>
        </w:rPr>
        <w:t xml:space="preserve"> </w:t>
      </w:r>
      <w:r w:rsidRPr="001506E8">
        <w:rPr>
          <w:rFonts w:ascii="Verdana" w:hAnsi="Verdana" w:cs="Arial"/>
        </w:rPr>
        <w:t>de multas o clausulas penales, siempre que se hayan cumplido a satisfacción</w:t>
      </w:r>
      <w:r>
        <w:rPr>
          <w:rFonts w:ascii="Verdana" w:hAnsi="Verdana" w:cs="Arial"/>
        </w:rPr>
        <w:t xml:space="preserve"> </w:t>
      </w:r>
      <w:r w:rsidRPr="001506E8">
        <w:rPr>
          <w:rFonts w:ascii="Verdana" w:hAnsi="Verdana" w:cs="Arial"/>
        </w:rPr>
        <w:t>durante el periodo que estuvo vigente el contrato.</w:t>
      </w:r>
    </w:p>
    <w:p w14:paraId="5F9FEB53"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Otro mecanismo al que suelen acudir las Entidades Estatales en casos en</w:t>
      </w:r>
      <w:r>
        <w:rPr>
          <w:rFonts w:ascii="Verdana" w:hAnsi="Verdana" w:cs="Arial"/>
        </w:rPr>
        <w:t xml:space="preserve"> </w:t>
      </w:r>
      <w:r w:rsidRPr="001506E8">
        <w:rPr>
          <w:rFonts w:ascii="Verdana" w:hAnsi="Verdana" w:cs="Arial"/>
        </w:rPr>
        <w:t>los que el contratista manifiesta no poder continuar la ejecución del contrato, es</w:t>
      </w:r>
      <w:r>
        <w:rPr>
          <w:rFonts w:ascii="Verdana" w:hAnsi="Verdana" w:cs="Arial"/>
        </w:rPr>
        <w:t xml:space="preserve"> </w:t>
      </w:r>
      <w:r w:rsidRPr="001506E8">
        <w:rPr>
          <w:rFonts w:ascii="Verdana" w:hAnsi="Verdana" w:cs="Arial"/>
        </w:rPr>
        <w:t>la cesión. La cesión de contrato es la figura jurídica que permite el traspaso de</w:t>
      </w:r>
      <w:r>
        <w:rPr>
          <w:rFonts w:ascii="Verdana" w:hAnsi="Verdana" w:cs="Arial"/>
        </w:rPr>
        <w:t xml:space="preserve"> </w:t>
      </w:r>
      <w:r w:rsidRPr="001506E8">
        <w:rPr>
          <w:rFonts w:ascii="Verdana" w:hAnsi="Verdana" w:cs="Arial"/>
        </w:rPr>
        <w:t>los derechos y obligaciones que emanan de un contrato; de tal manera que, un</w:t>
      </w:r>
      <w:r>
        <w:rPr>
          <w:rFonts w:ascii="Verdana" w:hAnsi="Verdana" w:cs="Arial"/>
        </w:rPr>
        <w:t xml:space="preserve"> </w:t>
      </w:r>
      <w:r w:rsidRPr="001506E8">
        <w:rPr>
          <w:rFonts w:ascii="Verdana" w:hAnsi="Verdana" w:cs="Arial"/>
        </w:rPr>
        <w:t>tercero ajeno a la relación inicial ocupa el lugar del contratista y se obliga a</w:t>
      </w:r>
      <w:r>
        <w:rPr>
          <w:rFonts w:ascii="Verdana" w:hAnsi="Verdana" w:cs="Arial"/>
        </w:rPr>
        <w:t xml:space="preserve"> </w:t>
      </w:r>
      <w:r w:rsidRPr="001506E8">
        <w:rPr>
          <w:rFonts w:ascii="Verdana" w:hAnsi="Verdana" w:cs="Arial"/>
        </w:rPr>
        <w:t>continuar dando cumplimiento a la totalidad de las obligaciones derivadas del</w:t>
      </w:r>
      <w:r>
        <w:rPr>
          <w:rFonts w:ascii="Verdana" w:hAnsi="Verdana" w:cs="Arial"/>
        </w:rPr>
        <w:t xml:space="preserve"> </w:t>
      </w:r>
      <w:r w:rsidRPr="001506E8">
        <w:rPr>
          <w:rFonts w:ascii="Verdana" w:hAnsi="Verdana" w:cs="Arial"/>
        </w:rPr>
        <w:t>contrato. Es decir, un tercero, se subroga en los derechos y obligaciones del</w:t>
      </w:r>
      <w:r>
        <w:rPr>
          <w:rFonts w:ascii="Verdana" w:hAnsi="Verdana" w:cs="Arial"/>
        </w:rPr>
        <w:t xml:space="preserve"> </w:t>
      </w:r>
      <w:r w:rsidRPr="001506E8">
        <w:rPr>
          <w:rFonts w:ascii="Verdana" w:hAnsi="Verdana" w:cs="Arial"/>
        </w:rPr>
        <w:t>cedente, por medio de la modificación del contrato estatal originario.</w:t>
      </w:r>
    </w:p>
    <w:p w14:paraId="1513B189"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Conforme a los artículos 887 y siguientes del Código de Comercio, la</w:t>
      </w:r>
      <w:r>
        <w:rPr>
          <w:rFonts w:ascii="Verdana" w:hAnsi="Verdana" w:cs="Arial"/>
        </w:rPr>
        <w:t xml:space="preserve"> </w:t>
      </w:r>
      <w:r w:rsidRPr="001506E8">
        <w:rPr>
          <w:rFonts w:ascii="Verdana" w:hAnsi="Verdana" w:cs="Arial"/>
        </w:rPr>
        <w:t>cesión de los contratos juega un papel importante en la gestión de los intereses</w:t>
      </w:r>
      <w:r>
        <w:rPr>
          <w:rFonts w:ascii="Verdana" w:hAnsi="Verdana" w:cs="Arial"/>
        </w:rPr>
        <w:t xml:space="preserve"> </w:t>
      </w:r>
      <w:r w:rsidRPr="001506E8">
        <w:rPr>
          <w:rFonts w:ascii="Verdana" w:hAnsi="Verdana" w:cs="Arial"/>
        </w:rPr>
        <w:t>patrimoniales de los sujetos de derecho privado, ya que –a diferencia de la</w:t>
      </w:r>
      <w:r>
        <w:rPr>
          <w:rFonts w:ascii="Verdana" w:hAnsi="Verdana" w:cs="Arial"/>
        </w:rPr>
        <w:t xml:space="preserve"> </w:t>
      </w:r>
      <w:r w:rsidRPr="001506E8">
        <w:rPr>
          <w:rFonts w:ascii="Verdana" w:hAnsi="Verdana" w:cs="Arial"/>
        </w:rPr>
        <w:t>regulada en los artículos 1959 y siguientes del Código Civil– facilita el tráfico</w:t>
      </w:r>
      <w:r>
        <w:rPr>
          <w:rFonts w:ascii="Verdana" w:hAnsi="Verdana" w:cs="Arial"/>
        </w:rPr>
        <w:t xml:space="preserve"> </w:t>
      </w:r>
      <w:r w:rsidRPr="001506E8">
        <w:rPr>
          <w:rFonts w:ascii="Verdana" w:hAnsi="Verdana" w:cs="Arial"/>
        </w:rPr>
        <w:t>jurídico tanto de los derechos como de las obligaciones surgidos con ocasión del</w:t>
      </w:r>
      <w:r>
        <w:rPr>
          <w:rFonts w:ascii="Verdana" w:hAnsi="Verdana" w:cs="Arial"/>
        </w:rPr>
        <w:t xml:space="preserve"> </w:t>
      </w:r>
      <w:r w:rsidRPr="001506E8">
        <w:rPr>
          <w:rFonts w:ascii="Verdana" w:hAnsi="Verdana" w:cs="Arial"/>
        </w:rPr>
        <w:t>acuerdo de voluntades, lo que permite su transferencia total o parcial a terceros</w:t>
      </w:r>
      <w:r>
        <w:rPr>
          <w:rFonts w:ascii="Verdana" w:hAnsi="Verdana" w:cs="Arial"/>
        </w:rPr>
        <w:t xml:space="preserve"> </w:t>
      </w:r>
      <w:r w:rsidRPr="001506E8">
        <w:rPr>
          <w:rFonts w:ascii="Verdana" w:hAnsi="Verdana" w:cs="Arial"/>
        </w:rPr>
        <w:t>como negocio generador de riqueza</w:t>
      </w:r>
      <w:r>
        <w:rPr>
          <w:rStyle w:val="Refdenotaalpie"/>
          <w:rFonts w:ascii="Verdana" w:hAnsi="Verdana" w:cs="Arial"/>
        </w:rPr>
        <w:footnoteReference w:id="24"/>
      </w:r>
      <w:r w:rsidRPr="001506E8">
        <w:rPr>
          <w:rFonts w:ascii="Verdana" w:hAnsi="Verdana" w:cs="Arial"/>
        </w:rPr>
        <w:t>. Para la doctrina, “La cesión del contrato</w:t>
      </w:r>
      <w:r>
        <w:rPr>
          <w:rFonts w:ascii="Verdana" w:hAnsi="Verdana" w:cs="Arial"/>
        </w:rPr>
        <w:t xml:space="preserve"> </w:t>
      </w:r>
      <w:r w:rsidRPr="001506E8">
        <w:rPr>
          <w:rFonts w:ascii="Verdana" w:hAnsi="Verdana" w:cs="Arial"/>
        </w:rPr>
        <w:t xml:space="preserve">sirve para hacer posible la </w:t>
      </w:r>
      <w:r w:rsidRPr="00114123">
        <w:rPr>
          <w:rFonts w:ascii="Verdana" w:hAnsi="Verdana" w:cs="Arial"/>
          <w:i/>
          <w:iCs/>
        </w:rPr>
        <w:t>circulación del contrato en su integridad</w:t>
      </w:r>
      <w:r w:rsidRPr="001506E8">
        <w:rPr>
          <w:rFonts w:ascii="Verdana" w:hAnsi="Verdana" w:cs="Arial"/>
        </w:rPr>
        <w:t>, es decir,</w:t>
      </w:r>
      <w:r>
        <w:rPr>
          <w:rFonts w:ascii="Verdana" w:hAnsi="Verdana" w:cs="Arial"/>
        </w:rPr>
        <w:t xml:space="preserve"> </w:t>
      </w:r>
      <w:r w:rsidRPr="001506E8">
        <w:rPr>
          <w:rFonts w:ascii="Verdana" w:hAnsi="Verdana" w:cs="Arial"/>
        </w:rPr>
        <w:t xml:space="preserve">para hacer </w:t>
      </w:r>
      <w:r w:rsidRPr="00D0187C">
        <w:rPr>
          <w:rFonts w:ascii="Verdana" w:hAnsi="Verdana" w:cs="Arial"/>
          <w:i/>
          <w:iCs/>
        </w:rPr>
        <w:t>subintrar</w:t>
      </w:r>
      <w:r w:rsidRPr="001506E8">
        <w:rPr>
          <w:rFonts w:ascii="Verdana" w:hAnsi="Verdana" w:cs="Arial"/>
        </w:rPr>
        <w:t xml:space="preserve"> un extraño en la categoría de parte contractual, en </w:t>
      </w:r>
      <w:r w:rsidRPr="00D0187C">
        <w:rPr>
          <w:rFonts w:ascii="Verdana" w:hAnsi="Verdana" w:cs="Arial"/>
          <w:i/>
          <w:iCs/>
        </w:rPr>
        <w:t xml:space="preserve">lugar </w:t>
      </w:r>
      <w:r w:rsidRPr="001506E8">
        <w:rPr>
          <w:rFonts w:ascii="Verdana" w:hAnsi="Verdana" w:cs="Arial"/>
        </w:rPr>
        <w:t>de</w:t>
      </w:r>
      <w:r>
        <w:rPr>
          <w:rFonts w:ascii="Verdana" w:hAnsi="Verdana" w:cs="Arial"/>
        </w:rPr>
        <w:t xml:space="preserve"> </w:t>
      </w:r>
      <w:r w:rsidRPr="001506E8">
        <w:rPr>
          <w:rFonts w:ascii="Verdana" w:hAnsi="Verdana" w:cs="Arial"/>
        </w:rPr>
        <w:t>uno de los contratantes originarios”</w:t>
      </w:r>
      <w:r>
        <w:rPr>
          <w:rStyle w:val="Refdenotaalpie"/>
          <w:rFonts w:ascii="Verdana" w:hAnsi="Verdana" w:cs="Arial"/>
        </w:rPr>
        <w:footnoteReference w:id="25"/>
      </w:r>
      <w:r w:rsidRPr="001506E8">
        <w:rPr>
          <w:rFonts w:ascii="Verdana" w:hAnsi="Verdana" w:cs="Arial"/>
        </w:rPr>
        <w:t>.</w:t>
      </w:r>
    </w:p>
    <w:p w14:paraId="2F8E9B34" w14:textId="77777777" w:rsidR="000B71B3" w:rsidRPr="001506E8"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Ahora bien, el inciso tercero del artículo 41 del EGCAP prescribe que “Los</w:t>
      </w:r>
      <w:r>
        <w:rPr>
          <w:rFonts w:ascii="Verdana" w:hAnsi="Verdana" w:cs="Arial"/>
        </w:rPr>
        <w:t xml:space="preserve"> </w:t>
      </w:r>
      <w:r w:rsidRPr="001506E8">
        <w:rPr>
          <w:rFonts w:ascii="Verdana" w:hAnsi="Verdana" w:cs="Arial"/>
        </w:rPr>
        <w:lastRenderedPageBreak/>
        <w:t xml:space="preserve">contratos estatales son </w:t>
      </w:r>
      <w:r w:rsidRPr="004D0E26">
        <w:rPr>
          <w:rFonts w:ascii="Verdana" w:hAnsi="Verdana" w:cs="Arial"/>
          <w:i/>
          <w:iCs/>
        </w:rPr>
        <w:t>intuito personae</w:t>
      </w:r>
      <w:r w:rsidRPr="001506E8">
        <w:rPr>
          <w:rFonts w:ascii="Verdana" w:hAnsi="Verdana" w:cs="Arial"/>
        </w:rPr>
        <w:t xml:space="preserve"> y, en consecuencia, una vez celebrados</w:t>
      </w:r>
      <w:r>
        <w:rPr>
          <w:rFonts w:ascii="Verdana" w:hAnsi="Verdana" w:cs="Arial"/>
        </w:rPr>
        <w:t xml:space="preserve"> </w:t>
      </w:r>
      <w:r w:rsidRPr="001506E8">
        <w:rPr>
          <w:rFonts w:ascii="Verdana" w:hAnsi="Verdana" w:cs="Arial"/>
        </w:rPr>
        <w:t>no podrán cederse sin previa autorización escrita de la entidad contratante”. Esta</w:t>
      </w:r>
      <w:r>
        <w:rPr>
          <w:rFonts w:ascii="Verdana" w:hAnsi="Verdana" w:cs="Arial"/>
        </w:rPr>
        <w:t xml:space="preserve"> </w:t>
      </w:r>
      <w:r w:rsidRPr="001506E8">
        <w:rPr>
          <w:rFonts w:ascii="Verdana" w:hAnsi="Verdana" w:cs="Arial"/>
        </w:rPr>
        <w:t>norma contiene una prohibición general –</w:t>
      </w:r>
      <w:r w:rsidRPr="00114123">
        <w:rPr>
          <w:rFonts w:ascii="Verdana" w:hAnsi="Verdana" w:cs="Arial"/>
          <w:i/>
          <w:iCs/>
        </w:rPr>
        <w:t>faceta negativa</w:t>
      </w:r>
      <w:r w:rsidRPr="001506E8">
        <w:rPr>
          <w:rFonts w:ascii="Verdana" w:hAnsi="Verdana" w:cs="Arial"/>
        </w:rPr>
        <w:t>– y una autorización</w:t>
      </w:r>
      <w:r>
        <w:rPr>
          <w:rFonts w:ascii="Verdana" w:hAnsi="Verdana" w:cs="Arial"/>
        </w:rPr>
        <w:t xml:space="preserve"> </w:t>
      </w:r>
      <w:r w:rsidRPr="001506E8">
        <w:rPr>
          <w:rFonts w:ascii="Verdana" w:hAnsi="Verdana" w:cs="Arial"/>
        </w:rPr>
        <w:t>excepcional –</w:t>
      </w:r>
      <w:r w:rsidRPr="006E34DF">
        <w:rPr>
          <w:rFonts w:ascii="Verdana" w:hAnsi="Verdana" w:cs="Arial"/>
          <w:i/>
          <w:iCs/>
        </w:rPr>
        <w:t>faceta positiva</w:t>
      </w:r>
      <w:r w:rsidRPr="001506E8">
        <w:rPr>
          <w:rFonts w:ascii="Verdana" w:hAnsi="Verdana" w:cs="Arial"/>
        </w:rPr>
        <w:t>–.</w:t>
      </w:r>
    </w:p>
    <w:p w14:paraId="0CE4E9D8" w14:textId="77777777" w:rsidR="000B71B3" w:rsidRPr="008352A1" w:rsidRDefault="000B71B3" w:rsidP="000B71B3">
      <w:pPr>
        <w:widowControl w:val="0"/>
        <w:autoSpaceDE w:val="0"/>
        <w:autoSpaceDN w:val="0"/>
        <w:spacing w:before="120" w:after="120" w:line="276" w:lineRule="auto"/>
        <w:ind w:firstLine="708"/>
        <w:jc w:val="both"/>
        <w:rPr>
          <w:rFonts w:ascii="Verdana" w:hAnsi="Verdana" w:cs="Arial"/>
        </w:rPr>
      </w:pPr>
      <w:r w:rsidRPr="001506E8">
        <w:rPr>
          <w:rFonts w:ascii="Verdana" w:hAnsi="Verdana" w:cs="Arial"/>
        </w:rPr>
        <w:t xml:space="preserve">En lo que respecta a la </w:t>
      </w:r>
      <w:r w:rsidRPr="009D4AA7">
        <w:rPr>
          <w:rFonts w:ascii="Verdana" w:hAnsi="Verdana" w:cs="Arial"/>
          <w:i/>
          <w:iCs/>
        </w:rPr>
        <w:t>faceta negativa</w:t>
      </w:r>
      <w:r w:rsidRPr="001506E8">
        <w:rPr>
          <w:rFonts w:ascii="Verdana" w:hAnsi="Verdana" w:cs="Arial"/>
        </w:rPr>
        <w:t>, el artículo 41 del Estatuto General</w:t>
      </w:r>
      <w:r>
        <w:rPr>
          <w:rFonts w:ascii="Verdana" w:hAnsi="Verdana" w:cs="Arial"/>
        </w:rPr>
        <w:t xml:space="preserve"> </w:t>
      </w:r>
      <w:r w:rsidRPr="001506E8">
        <w:rPr>
          <w:rFonts w:ascii="Verdana" w:hAnsi="Verdana" w:cs="Arial"/>
        </w:rPr>
        <w:t>ordena que el contrato se ejecute con quien inicialmente se celebró el acuerdo</w:t>
      </w:r>
      <w:r>
        <w:rPr>
          <w:rFonts w:ascii="Verdana" w:hAnsi="Verdana" w:cs="Arial"/>
        </w:rPr>
        <w:t xml:space="preserve"> </w:t>
      </w:r>
      <w:r w:rsidRPr="001506E8">
        <w:rPr>
          <w:rFonts w:ascii="Verdana" w:hAnsi="Verdana" w:cs="Arial"/>
        </w:rPr>
        <w:t>de voluntades, pues es la persona que –de acuerdo con los criterios definidos</w:t>
      </w:r>
      <w:r>
        <w:rPr>
          <w:rFonts w:ascii="Verdana" w:hAnsi="Verdana" w:cs="Arial"/>
        </w:rPr>
        <w:t xml:space="preserve"> </w:t>
      </w:r>
      <w:r w:rsidRPr="001506E8">
        <w:rPr>
          <w:rFonts w:ascii="Verdana" w:hAnsi="Verdana" w:cs="Arial"/>
        </w:rPr>
        <w:t>por la entidad para la selección del contratista– resulta idónea para cumplir con</w:t>
      </w:r>
      <w:r>
        <w:rPr>
          <w:rFonts w:ascii="Verdana" w:hAnsi="Verdana" w:cs="Arial"/>
        </w:rPr>
        <w:t xml:space="preserve"> </w:t>
      </w:r>
      <w:r w:rsidRPr="001506E8">
        <w:rPr>
          <w:rFonts w:ascii="Verdana" w:hAnsi="Verdana" w:cs="Arial"/>
        </w:rPr>
        <w:t>las obligaciones. De esta manera, la prohibición contenida en la norma citada es</w:t>
      </w:r>
      <w:r>
        <w:rPr>
          <w:rFonts w:ascii="Verdana" w:hAnsi="Verdana" w:cs="Arial"/>
        </w:rPr>
        <w:t xml:space="preserve"> </w:t>
      </w:r>
      <w:r w:rsidRPr="001506E8">
        <w:rPr>
          <w:rFonts w:ascii="Verdana" w:hAnsi="Verdana" w:cs="Arial"/>
        </w:rPr>
        <w:t>uno de los elementos de la naturaleza del contrato estatal, pues –conforme a lo</w:t>
      </w:r>
      <w:r>
        <w:rPr>
          <w:rFonts w:ascii="Verdana" w:hAnsi="Verdana" w:cs="Arial"/>
        </w:rPr>
        <w:t xml:space="preserve"> </w:t>
      </w:r>
      <w:r w:rsidRPr="001506E8">
        <w:rPr>
          <w:rFonts w:ascii="Verdana" w:hAnsi="Verdana" w:cs="Arial"/>
        </w:rPr>
        <w:t>previsto en el artículo 1501 del Código Civil– es de aquellos “[…] que, no siendo</w:t>
      </w:r>
      <w:r>
        <w:rPr>
          <w:rFonts w:ascii="Verdana" w:hAnsi="Verdana" w:cs="Arial"/>
        </w:rPr>
        <w:t xml:space="preserve"> </w:t>
      </w:r>
      <w:r w:rsidRPr="001506E8">
        <w:rPr>
          <w:rFonts w:ascii="Verdana" w:hAnsi="Verdana" w:cs="Arial"/>
        </w:rPr>
        <w:t>esenciales en él, se entienden pertenecerle, sin necesidad de una cláusula</w:t>
      </w:r>
      <w:r>
        <w:rPr>
          <w:rFonts w:ascii="Verdana" w:hAnsi="Verdana" w:cs="Arial"/>
        </w:rPr>
        <w:t xml:space="preserve"> </w:t>
      </w:r>
      <w:r w:rsidRPr="008352A1">
        <w:rPr>
          <w:rFonts w:ascii="Verdana" w:hAnsi="Verdana" w:cs="Arial"/>
        </w:rPr>
        <w:t>especial […]”</w:t>
      </w:r>
      <w:r>
        <w:rPr>
          <w:rStyle w:val="Refdenotaalpie"/>
          <w:rFonts w:ascii="Verdana" w:hAnsi="Verdana" w:cs="Arial"/>
        </w:rPr>
        <w:footnoteReference w:id="26"/>
      </w:r>
      <w:r w:rsidRPr="008352A1">
        <w:rPr>
          <w:rFonts w:ascii="Verdana" w:hAnsi="Verdana" w:cs="Arial"/>
        </w:rPr>
        <w:t xml:space="preserve">. En su </w:t>
      </w:r>
      <w:r w:rsidRPr="009D4AA7">
        <w:rPr>
          <w:rFonts w:ascii="Verdana" w:hAnsi="Verdana" w:cs="Arial"/>
          <w:i/>
          <w:iCs/>
        </w:rPr>
        <w:t>faceta positiva</w:t>
      </w:r>
      <w:r w:rsidRPr="008352A1">
        <w:rPr>
          <w:rFonts w:ascii="Verdana" w:hAnsi="Verdana" w:cs="Arial"/>
        </w:rPr>
        <w:t>, la Ley 80 de 1993 permite</w:t>
      </w:r>
      <w:r>
        <w:rPr>
          <w:rFonts w:ascii="Verdana" w:hAnsi="Verdana" w:cs="Arial"/>
        </w:rPr>
        <w:t xml:space="preserve"> </w:t>
      </w:r>
      <w:r w:rsidRPr="008352A1">
        <w:rPr>
          <w:rFonts w:ascii="Verdana" w:hAnsi="Verdana" w:cs="Arial"/>
        </w:rPr>
        <w:t>excepcionalmente la cesión del contrato estatal siempre que exista autorización</w:t>
      </w:r>
      <w:r>
        <w:rPr>
          <w:rFonts w:ascii="Verdana" w:hAnsi="Verdana" w:cs="Arial"/>
        </w:rPr>
        <w:t xml:space="preserve"> </w:t>
      </w:r>
      <w:r w:rsidRPr="008352A1">
        <w:rPr>
          <w:rFonts w:ascii="Verdana" w:hAnsi="Verdana" w:cs="Arial"/>
        </w:rPr>
        <w:t xml:space="preserve">previa escrita de la entidad contratante. Por ello, “[…] El cocontratante que </w:t>
      </w:r>
      <w:r w:rsidRPr="000C1598">
        <w:rPr>
          <w:rFonts w:ascii="Verdana" w:hAnsi="Verdana" w:cs="Arial"/>
          <w:i/>
          <w:iCs/>
        </w:rPr>
        <w:t>‘ceda’</w:t>
      </w:r>
      <w:r>
        <w:rPr>
          <w:rFonts w:ascii="Verdana" w:hAnsi="Verdana" w:cs="Arial"/>
        </w:rPr>
        <w:t xml:space="preserve"> </w:t>
      </w:r>
      <w:r w:rsidRPr="008352A1">
        <w:rPr>
          <w:rFonts w:ascii="Verdana" w:hAnsi="Verdana" w:cs="Arial"/>
        </w:rPr>
        <w:t>el contrato sin estar autorizado para ello incurre en grave responsabilidad: su</w:t>
      </w:r>
      <w:r>
        <w:rPr>
          <w:rFonts w:ascii="Verdana" w:hAnsi="Verdana" w:cs="Arial"/>
        </w:rPr>
        <w:t xml:space="preserve"> </w:t>
      </w:r>
      <w:r w:rsidRPr="008352A1">
        <w:rPr>
          <w:rFonts w:ascii="Verdana" w:hAnsi="Verdana" w:cs="Arial"/>
        </w:rPr>
        <w:t xml:space="preserve">actitud implica </w:t>
      </w:r>
      <w:r w:rsidRPr="003716A4">
        <w:rPr>
          <w:rFonts w:ascii="Verdana" w:hAnsi="Verdana" w:cs="Arial"/>
          <w:i/>
          <w:iCs/>
        </w:rPr>
        <w:t>‘incumplimiento’</w:t>
      </w:r>
      <w:r w:rsidRPr="008352A1">
        <w:rPr>
          <w:rFonts w:ascii="Verdana" w:hAnsi="Verdana" w:cs="Arial"/>
        </w:rPr>
        <w:t xml:space="preserve"> del contrato; de ahí que esa cesión ilícita no</w:t>
      </w:r>
      <w:r>
        <w:rPr>
          <w:rFonts w:ascii="Verdana" w:hAnsi="Verdana" w:cs="Arial"/>
        </w:rPr>
        <w:t xml:space="preserve"> </w:t>
      </w:r>
      <w:r w:rsidRPr="008352A1">
        <w:rPr>
          <w:rFonts w:ascii="Verdana" w:hAnsi="Verdana" w:cs="Arial"/>
        </w:rPr>
        <w:t>resulte oponible a la Administración Pública […]”</w:t>
      </w:r>
      <w:r>
        <w:rPr>
          <w:rStyle w:val="Refdenotaalpie"/>
          <w:rFonts w:ascii="Verdana" w:hAnsi="Verdana" w:cs="Arial"/>
        </w:rPr>
        <w:footnoteReference w:id="27"/>
      </w:r>
      <w:r w:rsidRPr="008352A1">
        <w:rPr>
          <w:rFonts w:ascii="Verdana" w:hAnsi="Verdana" w:cs="Arial"/>
        </w:rPr>
        <w:t>. Este requisito introduce un</w:t>
      </w:r>
      <w:r>
        <w:rPr>
          <w:rFonts w:ascii="Verdana" w:hAnsi="Verdana" w:cs="Arial"/>
        </w:rPr>
        <w:t xml:space="preserve"> </w:t>
      </w:r>
      <w:r w:rsidRPr="008352A1">
        <w:rPr>
          <w:rFonts w:ascii="Verdana" w:hAnsi="Verdana" w:cs="Arial"/>
        </w:rPr>
        <w:t>elemento especial que no está previsto en el Código de Comercio, pues en el</w:t>
      </w:r>
      <w:r>
        <w:rPr>
          <w:rFonts w:ascii="Verdana" w:hAnsi="Verdana" w:cs="Arial"/>
        </w:rPr>
        <w:t xml:space="preserve"> </w:t>
      </w:r>
      <w:r w:rsidRPr="008352A1">
        <w:rPr>
          <w:rFonts w:ascii="Verdana" w:hAnsi="Verdana" w:cs="Arial"/>
        </w:rPr>
        <w:t>derecho privado –salvo las excepciones previstas en la ley– la cesión requiere el</w:t>
      </w:r>
      <w:r>
        <w:rPr>
          <w:rFonts w:ascii="Verdana" w:hAnsi="Verdana" w:cs="Arial"/>
        </w:rPr>
        <w:t xml:space="preserve"> </w:t>
      </w:r>
      <w:r w:rsidRPr="008352A1">
        <w:rPr>
          <w:rFonts w:ascii="Verdana" w:hAnsi="Verdana" w:cs="Arial"/>
        </w:rPr>
        <w:t>acuerdo de voluntades entre el cedente y el cesionario, sin que medie la</w:t>
      </w:r>
      <w:r>
        <w:rPr>
          <w:rFonts w:ascii="Verdana" w:hAnsi="Verdana" w:cs="Arial"/>
        </w:rPr>
        <w:t xml:space="preserve"> </w:t>
      </w:r>
      <w:r w:rsidRPr="008352A1">
        <w:rPr>
          <w:rFonts w:ascii="Verdana" w:hAnsi="Verdana" w:cs="Arial"/>
        </w:rPr>
        <w:t>aceptación del contratante cedido.</w:t>
      </w:r>
    </w:p>
    <w:p w14:paraId="44EBAFAD" w14:textId="77777777" w:rsidR="000B71B3" w:rsidRDefault="000B71B3" w:rsidP="000B71B3">
      <w:pPr>
        <w:widowControl w:val="0"/>
        <w:autoSpaceDE w:val="0"/>
        <w:autoSpaceDN w:val="0"/>
        <w:spacing w:before="120" w:after="120" w:line="276" w:lineRule="auto"/>
        <w:ind w:firstLine="708"/>
        <w:jc w:val="both"/>
        <w:rPr>
          <w:rFonts w:ascii="Verdana" w:hAnsi="Verdana" w:cs="Arial"/>
        </w:rPr>
      </w:pPr>
      <w:r w:rsidRPr="008352A1">
        <w:rPr>
          <w:rFonts w:ascii="Verdana" w:hAnsi="Verdana" w:cs="Arial"/>
        </w:rPr>
        <w:t>Conforme a lo anterior, un contratista de prestación de servicios tiene</w:t>
      </w:r>
      <w:r>
        <w:rPr>
          <w:rFonts w:ascii="Verdana" w:hAnsi="Verdana" w:cs="Arial"/>
        </w:rPr>
        <w:t xml:space="preserve"> </w:t>
      </w:r>
      <w:r w:rsidRPr="008352A1">
        <w:rPr>
          <w:rFonts w:ascii="Verdana" w:hAnsi="Verdana" w:cs="Arial"/>
        </w:rPr>
        <w:t>distintas posibilidades negociales, en caso de que no sea su voluntad continuar</w:t>
      </w:r>
      <w:r>
        <w:rPr>
          <w:rFonts w:ascii="Verdana" w:hAnsi="Verdana" w:cs="Arial"/>
        </w:rPr>
        <w:t xml:space="preserve"> </w:t>
      </w:r>
      <w:r w:rsidRPr="008352A1">
        <w:rPr>
          <w:rFonts w:ascii="Verdana" w:hAnsi="Verdana" w:cs="Arial"/>
        </w:rPr>
        <w:t>con la ejecución del contrato, dentro de las que se destaca la solicitud de</w:t>
      </w:r>
      <w:r>
        <w:rPr>
          <w:rFonts w:ascii="Verdana" w:hAnsi="Verdana" w:cs="Arial"/>
        </w:rPr>
        <w:t xml:space="preserve"> </w:t>
      </w:r>
      <w:r w:rsidRPr="008352A1">
        <w:rPr>
          <w:rFonts w:ascii="Verdana" w:hAnsi="Verdana" w:cs="Arial"/>
        </w:rPr>
        <w:t>terminación unilateral y la cesión. En todo caso, es claro que ambos mecanismos</w:t>
      </w:r>
      <w:r>
        <w:rPr>
          <w:rFonts w:ascii="Verdana" w:hAnsi="Verdana" w:cs="Arial"/>
        </w:rPr>
        <w:t xml:space="preserve"> </w:t>
      </w:r>
      <w:r w:rsidRPr="008352A1">
        <w:rPr>
          <w:rFonts w:ascii="Verdana" w:hAnsi="Verdana" w:cs="Arial"/>
        </w:rPr>
        <w:t>deben estar precedidos del acuerdo o autorización con la Entidad Estatal</w:t>
      </w:r>
      <w:r>
        <w:rPr>
          <w:rFonts w:ascii="Verdana" w:hAnsi="Verdana" w:cs="Arial"/>
        </w:rPr>
        <w:t xml:space="preserve"> </w:t>
      </w:r>
      <w:r w:rsidRPr="008352A1">
        <w:rPr>
          <w:rFonts w:ascii="Verdana" w:hAnsi="Verdana" w:cs="Arial"/>
        </w:rPr>
        <w:t>contratante, a efectos de que se consoliden incumplimientos que den lugar a la</w:t>
      </w:r>
      <w:r>
        <w:rPr>
          <w:rFonts w:ascii="Verdana" w:hAnsi="Verdana" w:cs="Arial"/>
        </w:rPr>
        <w:t xml:space="preserve"> </w:t>
      </w:r>
      <w:r w:rsidRPr="008352A1">
        <w:rPr>
          <w:rFonts w:ascii="Verdana" w:hAnsi="Verdana" w:cs="Arial"/>
        </w:rPr>
        <w:t>imposiciones de las sanciones contractuales que se hayan pactado en la minuta</w:t>
      </w:r>
      <w:r>
        <w:rPr>
          <w:rFonts w:ascii="Verdana" w:hAnsi="Verdana" w:cs="Arial"/>
        </w:rPr>
        <w:t xml:space="preserve"> </w:t>
      </w:r>
      <w:r w:rsidRPr="008352A1">
        <w:rPr>
          <w:rFonts w:ascii="Verdana" w:hAnsi="Verdana" w:cs="Arial"/>
        </w:rPr>
        <w:lastRenderedPageBreak/>
        <w:t>del contrato.</w:t>
      </w:r>
    </w:p>
    <w:p w14:paraId="20BF6022" w14:textId="77777777" w:rsidR="000B71B3" w:rsidRPr="008622E1" w:rsidRDefault="000B71B3" w:rsidP="000B71B3">
      <w:pPr>
        <w:spacing w:after="0" w:line="276" w:lineRule="auto"/>
        <w:ind w:firstLine="709"/>
        <w:jc w:val="both"/>
        <w:rPr>
          <w:rFonts w:ascii="Verdana" w:eastAsia="Arial" w:hAnsi="Verdana" w:cs="Arial"/>
        </w:rPr>
      </w:pPr>
      <w:r>
        <w:rPr>
          <w:rFonts w:ascii="Verdana" w:eastAsia="Times New Roman" w:hAnsi="Verdana" w:cs="Arial"/>
          <w:lang w:val="es-MX" w:eastAsia="es-ES_tradnl"/>
        </w:rPr>
        <w:t xml:space="preserve">Por último, </w:t>
      </w:r>
      <w:r w:rsidRPr="00AE7E03">
        <w:rPr>
          <w:rFonts w:ascii="Verdana" w:eastAsia="Calibri" w:hAnsi="Verdana" w:cs="Times New Roman"/>
          <w:lang w:val="es-ES"/>
        </w:rPr>
        <w:t>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p w14:paraId="68D7BB7C" w14:textId="77777777" w:rsidR="000B71B3" w:rsidRPr="00900639" w:rsidRDefault="000B71B3" w:rsidP="000B71B3">
      <w:pPr>
        <w:spacing w:after="0" w:line="276" w:lineRule="auto"/>
        <w:jc w:val="both"/>
        <w:rPr>
          <w:rFonts w:ascii="Verdana" w:hAnsi="Verdana" w:cs="Arial"/>
        </w:rPr>
      </w:pPr>
    </w:p>
    <w:p w14:paraId="37407AA9" w14:textId="77777777" w:rsidR="000B71B3" w:rsidRPr="00ED7249" w:rsidRDefault="000B71B3" w:rsidP="000B71B3">
      <w:pPr>
        <w:spacing w:after="0" w:line="276" w:lineRule="auto"/>
        <w:jc w:val="both"/>
        <w:rPr>
          <w:rFonts w:ascii="Verdana" w:eastAsia="Century Gothic" w:hAnsi="Verdana" w:cs="Century Gothic"/>
          <w:b/>
          <w:bCs/>
        </w:rPr>
      </w:pPr>
      <w:r>
        <w:rPr>
          <w:rFonts w:ascii="Verdana" w:eastAsia="Century Gothic" w:hAnsi="Verdana" w:cs="Century Gothic"/>
          <w:b/>
          <w:bCs/>
        </w:rPr>
        <w:t xml:space="preserve">4. </w:t>
      </w:r>
      <w:r w:rsidRPr="00F71A6A">
        <w:rPr>
          <w:rFonts w:ascii="Verdana" w:eastAsia="Century Gothic" w:hAnsi="Verdana" w:cs="Century Gothic"/>
          <w:b/>
          <w:bCs/>
        </w:rPr>
        <w:t>Referencias normativas, jurisprudenciales y otras fuentes:</w:t>
      </w:r>
    </w:p>
    <w:p w14:paraId="3FAE6D7A" w14:textId="77777777" w:rsidR="000B71B3" w:rsidRPr="000074D5" w:rsidRDefault="000B71B3" w:rsidP="000B71B3">
      <w:pPr>
        <w:spacing w:after="0" w:line="276" w:lineRule="auto"/>
        <w:jc w:val="both"/>
        <w:rPr>
          <w:rFonts w:ascii="Verdana" w:eastAsia="Century Gothic" w:hAnsi="Verdana" w:cs="Century Gothic"/>
          <w:b/>
          <w:bC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B71B3" w:rsidRPr="00F72403" w14:paraId="6485D7D5" w14:textId="77777777" w:rsidTr="00E7146B">
        <w:trPr>
          <w:trHeight w:val="632"/>
        </w:trPr>
        <w:tc>
          <w:tcPr>
            <w:tcW w:w="8647" w:type="dxa"/>
          </w:tcPr>
          <w:p w14:paraId="21AAB11F" w14:textId="77777777" w:rsidR="000B71B3" w:rsidRPr="007B7575" w:rsidRDefault="000B71B3" w:rsidP="00E7146B">
            <w:pPr>
              <w:pStyle w:val="Prrafodelista"/>
              <w:numPr>
                <w:ilvl w:val="0"/>
                <w:numId w:val="17"/>
              </w:numPr>
              <w:jc w:val="both"/>
              <w:rPr>
                <w:rFonts w:ascii="Verdana" w:hAnsi="Verdana" w:cs="Arial"/>
                <w:lang w:val="es-MX"/>
              </w:rPr>
            </w:pPr>
            <w:r w:rsidRPr="00612269">
              <w:rPr>
                <w:rFonts w:ascii="Verdana" w:hAnsi="Verdana" w:cs="Arial"/>
              </w:rPr>
              <w:t>Ley 80 de 1993</w:t>
            </w:r>
            <w:r>
              <w:rPr>
                <w:rFonts w:ascii="Verdana" w:hAnsi="Verdana" w:cs="Arial"/>
              </w:rPr>
              <w:t xml:space="preserve">. Artículos </w:t>
            </w:r>
            <w:r w:rsidRPr="00B1449A">
              <w:rPr>
                <w:rFonts w:ascii="Verdana" w:hAnsi="Verdana" w:cs="Arial"/>
                <w:bCs/>
                <w:color w:val="000000" w:themeColor="text1"/>
              </w:rPr>
              <w:t xml:space="preserve">4, 5, 12, </w:t>
            </w:r>
            <w:r>
              <w:rPr>
                <w:rFonts w:ascii="Verdana" w:hAnsi="Verdana" w:cs="Arial"/>
              </w:rPr>
              <w:t>14, 26, 32, 41, 60.</w:t>
            </w:r>
          </w:p>
          <w:p w14:paraId="2C59B6E6" w14:textId="77777777" w:rsidR="000B71B3" w:rsidRPr="007B7575" w:rsidRDefault="000B71B3" w:rsidP="00E7146B">
            <w:pPr>
              <w:pStyle w:val="Prrafodelista"/>
              <w:numPr>
                <w:ilvl w:val="0"/>
                <w:numId w:val="17"/>
              </w:numPr>
              <w:jc w:val="both"/>
              <w:rPr>
                <w:rFonts w:ascii="Verdana" w:hAnsi="Verdana" w:cs="Arial"/>
                <w:lang w:val="es-MX"/>
              </w:rPr>
            </w:pPr>
            <w:r w:rsidRPr="00F46609">
              <w:rPr>
                <w:rFonts w:ascii="Verdana" w:hAnsi="Verdana" w:cs="Arial"/>
              </w:rPr>
              <w:t>Ley 1150 de 2007</w:t>
            </w:r>
            <w:r>
              <w:rPr>
                <w:rFonts w:ascii="Verdana" w:hAnsi="Verdana" w:cs="Arial"/>
              </w:rPr>
              <w:t xml:space="preserve">. Artículos 2 numeral 4, literal h), 17. 21. </w:t>
            </w:r>
          </w:p>
          <w:p w14:paraId="08CA57B8" w14:textId="77777777" w:rsidR="000B71B3" w:rsidRDefault="000B71B3" w:rsidP="00E7146B">
            <w:pPr>
              <w:pStyle w:val="Prrafodelista"/>
              <w:numPr>
                <w:ilvl w:val="0"/>
                <w:numId w:val="17"/>
              </w:numPr>
              <w:jc w:val="both"/>
              <w:rPr>
                <w:rFonts w:ascii="Verdana" w:hAnsi="Verdana" w:cs="Arial"/>
                <w:lang w:val="es-MX"/>
              </w:rPr>
            </w:pPr>
            <w:r w:rsidRPr="007B7575">
              <w:rPr>
                <w:rFonts w:ascii="Verdana" w:hAnsi="Verdana" w:cs="Arial"/>
                <w:lang w:val="es-MX"/>
              </w:rPr>
              <w:t>Decreto 1068 de 2015</w:t>
            </w:r>
            <w:r>
              <w:rPr>
                <w:rFonts w:ascii="Verdana" w:hAnsi="Verdana" w:cs="Arial"/>
                <w:lang w:val="es-MX"/>
              </w:rPr>
              <w:t xml:space="preserve">. </w:t>
            </w:r>
            <w:r w:rsidRPr="007B7575">
              <w:rPr>
                <w:rFonts w:ascii="Verdana" w:hAnsi="Verdana" w:cs="Arial"/>
                <w:lang w:val="es-MX"/>
              </w:rPr>
              <w:t>Artículo 2.8.4.4.5</w:t>
            </w:r>
            <w:r>
              <w:rPr>
                <w:rFonts w:ascii="Verdana" w:hAnsi="Verdana" w:cs="Arial"/>
                <w:lang w:val="es-MX"/>
              </w:rPr>
              <w:t xml:space="preserve">. </w:t>
            </w:r>
          </w:p>
          <w:p w14:paraId="5593F03B" w14:textId="77777777" w:rsidR="000B71B3" w:rsidRDefault="000B71B3" w:rsidP="00E7146B">
            <w:pPr>
              <w:pStyle w:val="Prrafodelista"/>
              <w:numPr>
                <w:ilvl w:val="0"/>
                <w:numId w:val="17"/>
              </w:numPr>
              <w:jc w:val="both"/>
              <w:rPr>
                <w:rFonts w:ascii="Verdana" w:hAnsi="Verdana" w:cs="Arial"/>
                <w:lang w:val="es-MX"/>
              </w:rPr>
            </w:pPr>
            <w:r>
              <w:rPr>
                <w:rFonts w:ascii="Verdana" w:hAnsi="Verdana" w:cs="Arial"/>
                <w:lang w:val="es-MX"/>
              </w:rPr>
              <w:t xml:space="preserve">Código Sustantivo del Trabajo. Artículo 22. </w:t>
            </w:r>
          </w:p>
          <w:p w14:paraId="2773DEBA" w14:textId="77777777" w:rsidR="000B71B3" w:rsidRDefault="000B71B3" w:rsidP="00E7146B">
            <w:pPr>
              <w:pStyle w:val="Prrafodelista"/>
              <w:numPr>
                <w:ilvl w:val="0"/>
                <w:numId w:val="17"/>
              </w:numPr>
              <w:jc w:val="both"/>
              <w:rPr>
                <w:rFonts w:ascii="Verdana" w:hAnsi="Verdana" w:cs="Arial"/>
                <w:lang w:val="es-MX"/>
              </w:rPr>
            </w:pPr>
            <w:r w:rsidRPr="004A38AC">
              <w:rPr>
                <w:rFonts w:ascii="Verdana" w:hAnsi="Verdana" w:cs="Arial"/>
                <w:lang w:val="es-MX"/>
              </w:rPr>
              <w:t>Decreto 1082 de 2015</w:t>
            </w:r>
            <w:r>
              <w:rPr>
                <w:rFonts w:ascii="Verdana" w:hAnsi="Verdana" w:cs="Arial"/>
                <w:lang w:val="es-MX"/>
              </w:rPr>
              <w:t>. Artículos</w:t>
            </w:r>
            <w:r w:rsidRPr="004A38AC">
              <w:rPr>
                <w:rFonts w:ascii="Verdana" w:hAnsi="Verdana" w:cs="Arial"/>
                <w:lang w:val="es-MX"/>
              </w:rPr>
              <w:t xml:space="preserve"> 2.2.1.2.1.4.1</w:t>
            </w:r>
            <w:r>
              <w:rPr>
                <w:rFonts w:ascii="Verdana" w:hAnsi="Verdana" w:cs="Arial"/>
                <w:lang w:val="es-MX"/>
              </w:rPr>
              <w:t xml:space="preserve">, </w:t>
            </w:r>
            <w:r w:rsidRPr="004A38AC">
              <w:rPr>
                <w:rFonts w:ascii="Verdana" w:hAnsi="Verdana" w:cs="Arial"/>
                <w:lang w:val="es-MX"/>
              </w:rPr>
              <w:t>2.2.1.2.1.4.5</w:t>
            </w:r>
            <w:r>
              <w:rPr>
                <w:rFonts w:ascii="Verdana" w:hAnsi="Verdana" w:cs="Arial"/>
                <w:lang w:val="es-MX"/>
              </w:rPr>
              <w:t>,</w:t>
            </w:r>
            <w:r w:rsidRPr="004A38AC">
              <w:rPr>
                <w:rFonts w:ascii="Verdana" w:hAnsi="Verdana" w:cs="Arial"/>
                <w:lang w:val="es-MX"/>
              </w:rPr>
              <w:t xml:space="preserve"> 2.2.1.2.1.4.9</w:t>
            </w:r>
            <w:r>
              <w:rPr>
                <w:rFonts w:ascii="Verdana" w:hAnsi="Verdana" w:cs="Arial"/>
                <w:lang w:val="es-MX"/>
              </w:rPr>
              <w:t xml:space="preserve">. </w:t>
            </w:r>
          </w:p>
          <w:p w14:paraId="23345080" w14:textId="77777777" w:rsidR="000B71B3" w:rsidRPr="004A38AC" w:rsidRDefault="000B71B3" w:rsidP="00E7146B">
            <w:pPr>
              <w:pStyle w:val="Prrafodelista"/>
              <w:numPr>
                <w:ilvl w:val="0"/>
                <w:numId w:val="17"/>
              </w:numPr>
              <w:jc w:val="both"/>
              <w:rPr>
                <w:rFonts w:ascii="Verdana" w:hAnsi="Verdana" w:cs="Arial"/>
                <w:lang w:val="es-MX"/>
              </w:rPr>
            </w:pPr>
            <w:r w:rsidRPr="006879BA">
              <w:rPr>
                <w:rFonts w:ascii="Verdana" w:hAnsi="Verdana" w:cs="Arial"/>
              </w:rPr>
              <w:t>Decreto 019 de 2012</w:t>
            </w:r>
            <w:r>
              <w:rPr>
                <w:rFonts w:ascii="Verdana" w:hAnsi="Verdana" w:cs="Arial"/>
              </w:rPr>
              <w:t xml:space="preserve">. Artículo 217. </w:t>
            </w:r>
          </w:p>
          <w:p w14:paraId="29010A8E" w14:textId="77777777" w:rsidR="000B71B3" w:rsidRPr="005F651A" w:rsidRDefault="000B71B3" w:rsidP="00E7146B">
            <w:pPr>
              <w:pStyle w:val="Prrafodelista"/>
              <w:numPr>
                <w:ilvl w:val="0"/>
                <w:numId w:val="17"/>
              </w:numPr>
              <w:jc w:val="both"/>
              <w:rPr>
                <w:rFonts w:ascii="Verdana" w:hAnsi="Verdana" w:cs="Arial"/>
                <w:lang w:val="es-MX"/>
              </w:rPr>
            </w:pPr>
            <w:r>
              <w:rPr>
                <w:rFonts w:ascii="Verdana" w:hAnsi="Verdana" w:cs="Arial"/>
                <w:bCs/>
                <w:color w:val="000000" w:themeColor="text1"/>
              </w:rPr>
              <w:t xml:space="preserve">Ley </w:t>
            </w:r>
            <w:r w:rsidRPr="00B1449A">
              <w:rPr>
                <w:rFonts w:ascii="Verdana" w:hAnsi="Verdana" w:cs="Arial"/>
                <w:bCs/>
                <w:color w:val="000000" w:themeColor="text1"/>
              </w:rPr>
              <w:t>1474 de 2011</w:t>
            </w:r>
            <w:r>
              <w:rPr>
                <w:rFonts w:ascii="Verdana" w:hAnsi="Verdana" w:cs="Arial"/>
                <w:bCs/>
                <w:color w:val="000000" w:themeColor="text1"/>
              </w:rPr>
              <w:t>. Artículos 83, 84, 85 y 86.</w:t>
            </w:r>
          </w:p>
          <w:p w14:paraId="27FEAB13" w14:textId="77777777" w:rsidR="000B71B3" w:rsidRPr="005F651A" w:rsidRDefault="000B71B3" w:rsidP="00E7146B">
            <w:pPr>
              <w:pStyle w:val="Prrafodelista"/>
              <w:numPr>
                <w:ilvl w:val="0"/>
                <w:numId w:val="17"/>
              </w:numPr>
              <w:jc w:val="both"/>
              <w:rPr>
                <w:rFonts w:ascii="Verdana" w:hAnsi="Verdana" w:cs="Arial"/>
                <w:lang w:val="es-MX"/>
              </w:rPr>
            </w:pPr>
            <w:r>
              <w:rPr>
                <w:rFonts w:ascii="Verdana" w:hAnsi="Verdana" w:cs="Arial"/>
                <w:bCs/>
                <w:color w:val="000000" w:themeColor="text1"/>
              </w:rPr>
              <w:t xml:space="preserve">Código de Comercio. Artículo 887. </w:t>
            </w:r>
          </w:p>
          <w:p w14:paraId="6FF5C84C" w14:textId="77777777" w:rsidR="000B71B3" w:rsidRDefault="000B71B3" w:rsidP="00E7146B">
            <w:pPr>
              <w:pStyle w:val="Prrafodelista"/>
              <w:numPr>
                <w:ilvl w:val="0"/>
                <w:numId w:val="17"/>
              </w:numPr>
              <w:jc w:val="both"/>
              <w:rPr>
                <w:rFonts w:ascii="Verdana" w:hAnsi="Verdana" w:cs="Arial"/>
                <w:lang w:val="es-MX"/>
              </w:rPr>
            </w:pPr>
            <w:r>
              <w:rPr>
                <w:rFonts w:ascii="Verdana" w:hAnsi="Verdana" w:cs="Arial"/>
                <w:bCs/>
                <w:color w:val="000000" w:themeColor="text1"/>
              </w:rPr>
              <w:t xml:space="preserve">Código Civil. Artículos </w:t>
            </w:r>
            <w:r w:rsidRPr="001506E8">
              <w:rPr>
                <w:rFonts w:ascii="Verdana" w:hAnsi="Verdana" w:cs="Arial"/>
              </w:rPr>
              <w:t>1602</w:t>
            </w:r>
            <w:r>
              <w:rPr>
                <w:rFonts w:ascii="Verdana" w:hAnsi="Verdana" w:cs="Arial"/>
              </w:rPr>
              <w:t xml:space="preserve">, </w:t>
            </w:r>
            <w:r w:rsidRPr="001506E8">
              <w:rPr>
                <w:rFonts w:ascii="Verdana" w:hAnsi="Verdana" w:cs="Arial"/>
              </w:rPr>
              <w:t>1959</w:t>
            </w:r>
            <w:r>
              <w:rPr>
                <w:rFonts w:ascii="Verdana" w:hAnsi="Verdana" w:cs="Arial"/>
              </w:rPr>
              <w:t xml:space="preserve">. </w:t>
            </w:r>
          </w:p>
          <w:p w14:paraId="431207FE" w14:textId="77777777" w:rsidR="000B71B3" w:rsidRDefault="000B71B3" w:rsidP="00E7146B">
            <w:pPr>
              <w:pStyle w:val="Prrafodelista"/>
              <w:numPr>
                <w:ilvl w:val="0"/>
                <w:numId w:val="17"/>
              </w:numPr>
              <w:jc w:val="both"/>
              <w:rPr>
                <w:rFonts w:ascii="Verdana" w:hAnsi="Verdana" w:cs="Arial"/>
                <w:lang w:val="es-MX"/>
              </w:rPr>
            </w:pPr>
            <w:r w:rsidRPr="00385904">
              <w:rPr>
                <w:rFonts w:ascii="Verdana" w:hAnsi="Verdana" w:cs="Arial"/>
                <w:lang w:val="pt-PT"/>
              </w:rPr>
              <w:t xml:space="preserve">Corte Constitucional. Sentencia C-154 de 1997. </w:t>
            </w:r>
            <w:r w:rsidRPr="004A38AC">
              <w:rPr>
                <w:rFonts w:ascii="Verdana" w:hAnsi="Verdana" w:cs="Arial"/>
                <w:lang w:val="es-MX"/>
              </w:rPr>
              <w:t>Magistrado Ponente: Hernando Herrera Vergara.</w:t>
            </w:r>
          </w:p>
          <w:p w14:paraId="25C962D5" w14:textId="77777777" w:rsidR="000B71B3" w:rsidRDefault="000B71B3" w:rsidP="00E7146B">
            <w:pPr>
              <w:pStyle w:val="Prrafodelista"/>
              <w:numPr>
                <w:ilvl w:val="0"/>
                <w:numId w:val="17"/>
              </w:numPr>
              <w:jc w:val="both"/>
              <w:rPr>
                <w:rFonts w:ascii="Verdana" w:hAnsi="Verdana" w:cs="Arial"/>
                <w:lang w:val="es-MX"/>
              </w:rPr>
            </w:pPr>
            <w:r w:rsidRPr="00385904">
              <w:rPr>
                <w:rFonts w:ascii="Verdana" w:hAnsi="Verdana" w:cs="Arial"/>
                <w:lang w:val="pt-PT"/>
              </w:rPr>
              <w:t xml:space="preserve">Corte Constitucional. Sentencia C-827 de 2001. </w:t>
            </w:r>
            <w:r w:rsidRPr="005F651A">
              <w:rPr>
                <w:rFonts w:ascii="Verdana" w:hAnsi="Verdana" w:cs="Arial"/>
                <w:lang w:val="es-MX"/>
              </w:rPr>
              <w:t>M.P. Álvaro Tafur Galvis.</w:t>
            </w:r>
          </w:p>
          <w:p w14:paraId="39E14AC3" w14:textId="77777777" w:rsidR="000B71B3" w:rsidRDefault="000B71B3" w:rsidP="00E7146B">
            <w:pPr>
              <w:pStyle w:val="Prrafodelista"/>
              <w:numPr>
                <w:ilvl w:val="0"/>
                <w:numId w:val="17"/>
              </w:numPr>
              <w:jc w:val="both"/>
              <w:rPr>
                <w:rFonts w:ascii="Verdana" w:hAnsi="Verdana" w:cs="Arial"/>
                <w:lang w:val="es-MX"/>
              </w:rPr>
            </w:pPr>
            <w:r w:rsidRPr="004A38AC">
              <w:rPr>
                <w:rFonts w:ascii="Verdana" w:hAnsi="Verdana" w:cs="Arial"/>
                <w:lang w:val="es-MX"/>
              </w:rPr>
              <w:t>Consejo de Estado. Sala de lo Contencioso Administrativo. Sección Tercera. Subsección C. Sentencia del 2 de diciembre de 2013. Exp. 41719. Consejero Ponente: Jaime Orlando Santofimio Gamboa.</w:t>
            </w:r>
          </w:p>
          <w:p w14:paraId="12FDFC53" w14:textId="77777777" w:rsidR="000B71B3" w:rsidRDefault="000B71B3" w:rsidP="00E7146B">
            <w:pPr>
              <w:pStyle w:val="Prrafodelista"/>
              <w:numPr>
                <w:ilvl w:val="0"/>
                <w:numId w:val="17"/>
              </w:numPr>
              <w:jc w:val="both"/>
              <w:rPr>
                <w:rFonts w:ascii="Verdana" w:hAnsi="Verdana" w:cs="Arial"/>
                <w:lang w:val="es-MX"/>
              </w:rPr>
            </w:pPr>
            <w:r w:rsidRPr="004A38AC">
              <w:rPr>
                <w:rFonts w:ascii="Verdana" w:hAnsi="Verdana" w:cs="Arial"/>
                <w:lang w:val="es-MX"/>
              </w:rPr>
              <w:t>Consejo de Estado. Sala de lo Contencioso Administrativo. Sección Tercera. Sentencia del 27 de noviembre de 2017. M.P. Jaime Orlando Santofimio. Exp. 51.802.</w:t>
            </w:r>
          </w:p>
          <w:p w14:paraId="34C5BBB1" w14:textId="77777777" w:rsidR="000B71B3" w:rsidRDefault="000B71B3" w:rsidP="00E7146B">
            <w:pPr>
              <w:pStyle w:val="Prrafodelista"/>
              <w:numPr>
                <w:ilvl w:val="0"/>
                <w:numId w:val="17"/>
              </w:numPr>
              <w:jc w:val="both"/>
              <w:rPr>
                <w:rFonts w:ascii="Verdana" w:hAnsi="Verdana" w:cs="Arial"/>
                <w:lang w:val="es-MX"/>
              </w:rPr>
            </w:pPr>
            <w:r w:rsidRPr="004A38AC">
              <w:rPr>
                <w:rFonts w:ascii="Verdana" w:hAnsi="Verdana" w:cs="Arial"/>
                <w:lang w:val="es-MX"/>
              </w:rPr>
              <w:t>Consejo de Estado. Sala de lo Contencioso Administrativo. Sección Tercera. Subsección C. Sentencia del 15 de noviembre de 2011. Rad. 20.916.</w:t>
            </w:r>
            <w:r>
              <w:rPr>
                <w:rFonts w:ascii="Verdana" w:hAnsi="Verdana" w:cs="Arial"/>
                <w:lang w:val="es-MX"/>
              </w:rPr>
              <w:t xml:space="preserve"> </w:t>
            </w:r>
            <w:r w:rsidRPr="004A38AC">
              <w:rPr>
                <w:rFonts w:ascii="Verdana" w:hAnsi="Verdana" w:cs="Arial"/>
                <w:lang w:val="es-MX"/>
              </w:rPr>
              <w:t>Consejera Ponente: Olga Mélida Valle de De La Hoz.</w:t>
            </w:r>
          </w:p>
          <w:p w14:paraId="20BE5057" w14:textId="77777777" w:rsidR="000B71B3" w:rsidRDefault="000B71B3" w:rsidP="00E7146B">
            <w:pPr>
              <w:pStyle w:val="Prrafodelista"/>
              <w:numPr>
                <w:ilvl w:val="0"/>
                <w:numId w:val="17"/>
              </w:numPr>
              <w:jc w:val="both"/>
              <w:rPr>
                <w:rFonts w:ascii="Verdana" w:hAnsi="Verdana" w:cs="Arial"/>
                <w:lang w:val="es-MX"/>
              </w:rPr>
            </w:pPr>
            <w:r w:rsidRPr="005F651A">
              <w:rPr>
                <w:rFonts w:ascii="Verdana" w:hAnsi="Verdana" w:cs="Arial"/>
                <w:lang w:val="es-MX"/>
              </w:rPr>
              <w:t xml:space="preserve">Consejo de Estado. Sala de lo Contencioso Administrativo. Sección Tercera. Sentencia del 23 de junio de 2010. Rad. 16.367. C.P. Enrique Gil Botero. </w:t>
            </w:r>
          </w:p>
          <w:p w14:paraId="401CE7AE" w14:textId="77777777" w:rsidR="000B71B3" w:rsidRPr="005F651A" w:rsidRDefault="000B71B3" w:rsidP="00E7146B">
            <w:pPr>
              <w:pStyle w:val="Prrafodelista"/>
              <w:numPr>
                <w:ilvl w:val="0"/>
                <w:numId w:val="17"/>
              </w:numPr>
              <w:jc w:val="both"/>
              <w:rPr>
                <w:rFonts w:ascii="Verdana" w:hAnsi="Verdana" w:cs="Arial"/>
                <w:lang w:val="es-MX"/>
              </w:rPr>
            </w:pPr>
            <w:r w:rsidRPr="005F651A">
              <w:rPr>
                <w:rFonts w:ascii="Verdana" w:hAnsi="Verdana" w:cs="Arial"/>
                <w:lang w:val="es-MX"/>
              </w:rPr>
              <w:lastRenderedPageBreak/>
              <w:t>Consejo de Estado. Sala de lo Contencioso Administrativo. Sección Tercera. Sentencia del 13 de noviembre de 2008. Rad. 17.009. C.P. Enrique Gil Botero.</w:t>
            </w:r>
          </w:p>
          <w:p w14:paraId="2FF0E264" w14:textId="77777777" w:rsidR="000B71B3" w:rsidRDefault="000B71B3" w:rsidP="00E7146B">
            <w:pPr>
              <w:pStyle w:val="Prrafodelista"/>
              <w:numPr>
                <w:ilvl w:val="0"/>
                <w:numId w:val="17"/>
              </w:numPr>
              <w:jc w:val="both"/>
              <w:rPr>
                <w:rFonts w:ascii="Verdana" w:hAnsi="Verdana" w:cs="Arial"/>
                <w:lang w:val="es-MX"/>
              </w:rPr>
            </w:pPr>
            <w:r w:rsidRPr="005F651A">
              <w:rPr>
                <w:rFonts w:ascii="Verdana" w:hAnsi="Verdana" w:cs="Arial"/>
                <w:lang w:val="es-MX"/>
              </w:rPr>
              <w:t>Corte Suprema de Justicia. Sala de Casación Civil, sentencia del 31 de julio de 2018, Radicación n.º 25899-31-03-002-2013-00162-01, M.P. Luis Alonso Rico Puerta.</w:t>
            </w:r>
          </w:p>
          <w:p w14:paraId="4729EA8C" w14:textId="77777777" w:rsidR="000B71B3" w:rsidRDefault="000B71B3" w:rsidP="00E7146B">
            <w:pPr>
              <w:pStyle w:val="Prrafodelista"/>
              <w:numPr>
                <w:ilvl w:val="0"/>
                <w:numId w:val="17"/>
              </w:numPr>
              <w:jc w:val="both"/>
              <w:rPr>
                <w:rFonts w:ascii="Verdana" w:hAnsi="Verdana" w:cs="Arial"/>
                <w:lang w:val="es-MX"/>
              </w:rPr>
            </w:pPr>
            <w:r w:rsidRPr="005F651A">
              <w:rPr>
                <w:rFonts w:ascii="Verdana" w:hAnsi="Verdana" w:cs="Arial"/>
                <w:lang w:val="es-MX"/>
              </w:rPr>
              <w:t xml:space="preserve">EXPÓSITO VÉLEZ, Juan Carlos. Forma y contenido del contrato estatal. Bogotá: Universidad Externado de Colombia, 2013. p. 181. </w:t>
            </w:r>
          </w:p>
          <w:p w14:paraId="2E17DCFE" w14:textId="77777777" w:rsidR="000B71B3" w:rsidRPr="00FE10BE" w:rsidRDefault="000B71B3" w:rsidP="00E7146B">
            <w:pPr>
              <w:pStyle w:val="Prrafodelista"/>
              <w:numPr>
                <w:ilvl w:val="0"/>
                <w:numId w:val="17"/>
              </w:numPr>
              <w:jc w:val="both"/>
              <w:rPr>
                <w:rFonts w:ascii="Verdana" w:hAnsi="Verdana" w:cs="Arial"/>
                <w:lang w:val="es-MX"/>
              </w:rPr>
            </w:pPr>
            <w:r w:rsidRPr="005F651A">
              <w:rPr>
                <w:rFonts w:ascii="Verdana" w:hAnsi="Verdana" w:cs="Arial"/>
                <w:lang w:val="it-CH"/>
              </w:rPr>
              <w:t xml:space="preserve">MESSINEO, Francesco. Doctrina general del contrato. </w:t>
            </w:r>
            <w:r w:rsidRPr="005F651A">
              <w:rPr>
                <w:rFonts w:ascii="Verdana" w:hAnsi="Verdana" w:cs="Arial"/>
                <w:lang w:val="es-MX"/>
              </w:rPr>
              <w:t>Santiago: Olejnik, 2018. p. 633</w:t>
            </w:r>
            <w:r>
              <w:rPr>
                <w:rFonts w:ascii="Verdana" w:hAnsi="Verdana" w:cs="Arial"/>
                <w:lang w:val="es-MX"/>
              </w:rPr>
              <w:t>.</w:t>
            </w:r>
          </w:p>
        </w:tc>
      </w:tr>
    </w:tbl>
    <w:p w14:paraId="7DB6053B" w14:textId="77777777" w:rsidR="000B71B3" w:rsidRPr="00F72403" w:rsidRDefault="000B71B3" w:rsidP="000B71B3">
      <w:pPr>
        <w:pStyle w:val="Prrafodelista"/>
        <w:tabs>
          <w:tab w:val="left" w:pos="142"/>
          <w:tab w:val="left" w:pos="284"/>
        </w:tabs>
        <w:spacing w:after="0" w:line="276" w:lineRule="auto"/>
        <w:ind w:left="0"/>
        <w:contextualSpacing w:val="0"/>
        <w:jc w:val="both"/>
        <w:rPr>
          <w:rFonts w:ascii="Verdana" w:eastAsia="Century Gothic" w:hAnsi="Verdana" w:cs="Century Gothic"/>
          <w:b/>
          <w:bCs/>
          <w:highlight w:val="yellow"/>
          <w:lang w:val="es-CO"/>
        </w:rPr>
      </w:pPr>
    </w:p>
    <w:p w14:paraId="4AF39621" w14:textId="77777777" w:rsidR="000B71B3" w:rsidRPr="00436E82" w:rsidRDefault="000B71B3" w:rsidP="000B71B3">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436E82">
        <w:rPr>
          <w:rFonts w:ascii="Verdana" w:eastAsia="Century Gothic" w:hAnsi="Verdana" w:cs="Century Gothic"/>
          <w:b/>
          <w:bCs/>
          <w:lang w:val="es-CO"/>
        </w:rPr>
        <w:t xml:space="preserve">5. </w:t>
      </w:r>
      <w:r w:rsidRPr="00436E82">
        <w:rPr>
          <w:rFonts w:ascii="Verdana" w:eastAsia="Century Gothic" w:hAnsi="Verdana" w:cs="Century Gothic"/>
          <w:b/>
          <w:bCs/>
        </w:rPr>
        <w:t>Doctrina de la Agencia Nacional de Contratación Pública:</w:t>
      </w:r>
    </w:p>
    <w:p w14:paraId="7DD346D4" w14:textId="77777777" w:rsidR="000B71B3" w:rsidRPr="007620A6" w:rsidRDefault="000B71B3" w:rsidP="000B71B3">
      <w:pPr>
        <w:spacing w:after="0" w:line="276" w:lineRule="auto"/>
        <w:jc w:val="both"/>
        <w:rPr>
          <w:rFonts w:ascii="Verdana" w:eastAsia="Calibri" w:hAnsi="Verdana" w:cs="Arial"/>
          <w:lang w:eastAsia="es-ES_tradnl"/>
        </w:rPr>
      </w:pPr>
    </w:p>
    <w:p w14:paraId="22D08460" w14:textId="2E30E984" w:rsidR="000B71B3" w:rsidRPr="000B71B3" w:rsidRDefault="00E4568B" w:rsidP="000B71B3">
      <w:pPr>
        <w:spacing w:after="0" w:line="276" w:lineRule="auto"/>
        <w:jc w:val="both"/>
        <w:rPr>
          <w:rFonts w:ascii="Verdana" w:hAnsi="Verdana" w:cs="Arial"/>
          <w:lang w:val="es-ES"/>
        </w:rPr>
      </w:pPr>
      <w:r w:rsidRPr="007620A6">
        <w:rPr>
          <w:rFonts w:ascii="Verdana" w:hAnsi="Verdana" w:cs="Arial"/>
          <w:shd w:val="clear" w:color="auto" w:fill="FFFFFF"/>
          <w:lang w:val="es-ES"/>
        </w:rPr>
        <w:t xml:space="preserve">Sobre los contratos de prestación de servicios, </w:t>
      </w:r>
      <w:r>
        <w:rPr>
          <w:rFonts w:ascii="Verdana" w:hAnsi="Verdana" w:cs="Arial"/>
          <w:shd w:val="clear" w:color="auto" w:fill="FFFFFF"/>
          <w:lang w:val="es-ES"/>
        </w:rPr>
        <w:t>así como la cesión y terminación unilateral</w:t>
      </w:r>
      <w:r w:rsidR="000B71B3" w:rsidRPr="007620A6">
        <w:rPr>
          <w:rFonts w:ascii="Verdana" w:hAnsi="Verdana" w:cs="Arial"/>
          <w:shd w:val="clear" w:color="auto" w:fill="FFFFFF"/>
          <w:lang w:val="es-ES"/>
        </w:rPr>
        <w:t>, entre otros, se pronunció esta Subdirección en los conceptos</w:t>
      </w:r>
      <w:r w:rsidR="000B71B3" w:rsidRPr="007620A6">
        <w:rPr>
          <w:rFonts w:ascii="Verdana" w:hAnsi="Verdana" w:cs="Arial"/>
          <w:shd w:val="clear" w:color="auto" w:fill="FFFFFF"/>
        </w:rPr>
        <w:t xml:space="preserve"> </w:t>
      </w:r>
      <w:r w:rsidR="000B71B3" w:rsidRPr="007620A6">
        <w:rPr>
          <w:rFonts w:ascii="Verdana" w:hAnsi="Verdana" w:cs="Arial"/>
          <w:shd w:val="clear" w:color="auto" w:fill="FFFFFF"/>
          <w:lang w:val="es-ES"/>
        </w:rPr>
        <w:t>4201913000006452 del 07 de octubre de 2019, 4201912000006434 del 30 de octubre de 2019, 4201913000006444 del 01 de noviembre de 2019, 4201913000006331 del 07 de noviembre de 2019, 4201912000006692 del 12 de noviembre de 2019, 4201912000006692 del 12 de noviembre  de 2019, 4201912000007378 del 11 de diciembre de 2019, 4201912000007781 del 26 de diciembre de 2019, C−047 del 19 de febrero de 2020, C−105 del 12 de marzo de 2020, C−208 del 24 de marzo de 2020, C−005 del 11 de mayo de 2020, C−006 del 11 de mayo de 2020, C−018 del 11 de mayo de 2020, C−138 del 11 de mayo de 2020,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04de junio de 2020, C−379 del 30 de junio de 2020, C−414 del 30 de junio de 2020, C-661 del 17 de noviembre de 2020, C−685 del 18 de diciembre de 2020, C- 004 del 12 de febrero de 2021, C−106 del 7 de abril de 2021, C-181 del 07 de abril de 2022, C-214 del 22 de abril de 2022 y C-491 de 01 de agosto de 2022, C-008 del 20 de febrero de 2023, C-009 del 20 de febrero de 2023, C-286 del 2023, C-351 del 30 de agosto de 2024, C-372 del 26 de Agosto 2024, C-904 del 9 de diciembre de 2024, C-754 del 4 de diciembre de 2024, C-363 del 15 de abril de 2025</w:t>
      </w:r>
      <w:r w:rsidR="000B71B3" w:rsidRPr="007620A6">
        <w:rPr>
          <w:rFonts w:ascii="Verdana" w:hAnsi="Verdana" w:cs="Arial"/>
          <w:lang w:val="es-ES"/>
        </w:rPr>
        <w:t xml:space="preserve">, C-441 del 16 de mayo de 2025, C-517 del 27 de mayo de 2025, entre otros. </w:t>
      </w:r>
      <w:r w:rsidR="000B71B3" w:rsidRPr="007620A6">
        <w:rPr>
          <w:rFonts w:ascii="Verdana" w:hAnsi="Verdana" w:cs="Arial"/>
          <w:shd w:val="clear" w:color="auto" w:fill="FFFFFF"/>
        </w:rPr>
        <w:t>Accede a través del siguiente enlace: </w:t>
      </w:r>
      <w:hyperlink r:id="rId12" w:tgtFrame="_blank" w:tooltip="Dirección URL original: https://relatoria.colombiacompra.gov.co/. Haga clic o pulse si confía en este vínculo." w:history="1">
        <w:r w:rsidR="000B71B3" w:rsidRPr="007620A6">
          <w:rPr>
            <w:rStyle w:val="Hipervnculo"/>
            <w:rFonts w:ascii="Verdana" w:hAnsi="Verdana" w:cs="Arial"/>
            <w:shd w:val="clear" w:color="auto" w:fill="FFFFFF"/>
          </w:rPr>
          <w:t>https://relatoria.colombiacompra.gov.co/</w:t>
        </w:r>
      </w:hyperlink>
      <w:r w:rsidR="000B71B3" w:rsidRPr="007620A6">
        <w:rPr>
          <w:rFonts w:ascii="Verdana" w:hAnsi="Verdana" w:cs="Arial"/>
          <w:shd w:val="clear" w:color="auto" w:fill="FFFFFF"/>
        </w:rPr>
        <w:t>.</w:t>
      </w:r>
    </w:p>
    <w:p w14:paraId="34730DCC" w14:textId="77777777" w:rsidR="000B71B3" w:rsidRDefault="000B71B3" w:rsidP="000B71B3">
      <w:pPr>
        <w:spacing w:after="0" w:line="276" w:lineRule="auto"/>
        <w:jc w:val="both"/>
        <w:rPr>
          <w:rFonts w:ascii="Verdana" w:hAnsi="Verdana"/>
        </w:rPr>
      </w:pPr>
    </w:p>
    <w:p w14:paraId="57DAD3AE" w14:textId="77777777" w:rsidR="00BD65EE" w:rsidRPr="009A385A" w:rsidRDefault="00BD65EE" w:rsidP="00BD65EE">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00F7A7F3" w14:textId="77777777" w:rsidR="00BD65EE" w:rsidRDefault="00BD65EE" w:rsidP="00BD65EE">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37F2B619" w14:textId="77777777" w:rsidR="00BD65EE" w:rsidRPr="009A385A" w:rsidRDefault="00BD65EE" w:rsidP="00BD65EE">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27FAB412" w14:textId="77777777" w:rsidR="00BD65EE" w:rsidRDefault="00BD65EE" w:rsidP="000B71B3">
      <w:pPr>
        <w:spacing w:after="0" w:line="276" w:lineRule="auto"/>
        <w:jc w:val="both"/>
        <w:rPr>
          <w:rFonts w:ascii="Verdana" w:hAnsi="Verdana"/>
        </w:rPr>
      </w:pPr>
    </w:p>
    <w:p w14:paraId="3CE52A6B" w14:textId="00FDE9B0" w:rsidR="000B71B3" w:rsidRPr="00F71A6A" w:rsidRDefault="000B71B3" w:rsidP="000B71B3">
      <w:pPr>
        <w:spacing w:after="0" w:line="276" w:lineRule="auto"/>
        <w:jc w:val="both"/>
        <w:rPr>
          <w:rFonts w:ascii="Verdana" w:hAnsi="Verdana"/>
        </w:rPr>
      </w:pPr>
      <w:r w:rsidRPr="00F71A6A">
        <w:rPr>
          <w:rFonts w:ascii="Verdana" w:hAnsi="Verdana"/>
        </w:rPr>
        <w:t xml:space="preserve">Por último, lo invitamos a seguirnos en las redes sociales en las cuales se difunde información institucional: </w:t>
      </w:r>
    </w:p>
    <w:p w14:paraId="3E992682" w14:textId="77777777" w:rsidR="000B71B3" w:rsidRPr="00F71A6A" w:rsidRDefault="000B71B3" w:rsidP="000B71B3">
      <w:pPr>
        <w:spacing w:after="0" w:line="276" w:lineRule="auto"/>
        <w:jc w:val="both"/>
        <w:rPr>
          <w:rFonts w:ascii="Verdana" w:hAnsi="Verdana"/>
        </w:rPr>
      </w:pPr>
    </w:p>
    <w:p w14:paraId="146728B0" w14:textId="77777777" w:rsidR="000B71B3" w:rsidRPr="00F71A6A" w:rsidRDefault="000B71B3" w:rsidP="000B71B3">
      <w:pPr>
        <w:spacing w:after="0" w:line="276" w:lineRule="auto"/>
        <w:jc w:val="both"/>
        <w:rPr>
          <w:rFonts w:ascii="Verdana" w:hAnsi="Verdana"/>
        </w:rPr>
      </w:pPr>
      <w:r w:rsidRPr="00F71A6A">
        <w:rPr>
          <w:rFonts w:ascii="Verdana" w:hAnsi="Verdana"/>
        </w:rPr>
        <w:t xml:space="preserve">Twitter: </w:t>
      </w:r>
      <w:r w:rsidRPr="00F71A6A">
        <w:rPr>
          <w:rStyle w:val="Hipervnculo"/>
          <w:rFonts w:ascii="Verdana" w:hAnsi="Verdana"/>
          <w:color w:val="4472C4" w:themeColor="accent1"/>
        </w:rPr>
        <w:t>@colombiacompra</w:t>
      </w:r>
      <w:r w:rsidRPr="00F71A6A">
        <w:rPr>
          <w:rFonts w:ascii="Verdana" w:hAnsi="Verdana"/>
          <w:color w:val="4472C4" w:themeColor="accent1"/>
        </w:rPr>
        <w:t xml:space="preserve"> </w:t>
      </w:r>
    </w:p>
    <w:p w14:paraId="5490AB26" w14:textId="77777777" w:rsidR="000B71B3" w:rsidRPr="00F71A6A" w:rsidRDefault="000B71B3" w:rsidP="000B71B3">
      <w:pPr>
        <w:spacing w:after="0" w:line="276" w:lineRule="auto"/>
        <w:jc w:val="both"/>
        <w:rPr>
          <w:rFonts w:ascii="Verdana" w:hAnsi="Verdana"/>
        </w:rPr>
      </w:pPr>
      <w:r w:rsidRPr="00F71A6A">
        <w:rPr>
          <w:rFonts w:ascii="Verdana" w:hAnsi="Verdana"/>
        </w:rPr>
        <w:lastRenderedPageBreak/>
        <w:t xml:space="preserve">Facebook: </w:t>
      </w:r>
      <w:r w:rsidRPr="00F71A6A">
        <w:rPr>
          <w:rStyle w:val="Hipervnculo"/>
          <w:rFonts w:ascii="Verdana" w:hAnsi="Verdana"/>
          <w:color w:val="4472C4" w:themeColor="accent1"/>
        </w:rPr>
        <w:t>ColombiaCompraEficiente</w:t>
      </w:r>
    </w:p>
    <w:p w14:paraId="4D02A805" w14:textId="77777777" w:rsidR="000B71B3" w:rsidRDefault="000B71B3" w:rsidP="000B71B3">
      <w:pPr>
        <w:spacing w:after="0" w:line="276" w:lineRule="auto"/>
        <w:jc w:val="both"/>
        <w:rPr>
          <w:rStyle w:val="Hipervnculo"/>
          <w:rFonts w:ascii="Verdana" w:hAnsi="Verdana"/>
          <w:color w:val="4472C4" w:themeColor="accent1"/>
        </w:rPr>
      </w:pPr>
      <w:r w:rsidRPr="00F71A6A">
        <w:rPr>
          <w:rFonts w:ascii="Verdana" w:hAnsi="Verdana"/>
        </w:rPr>
        <w:t xml:space="preserve">LinkedIn: </w:t>
      </w:r>
      <w:r w:rsidRPr="00F71A6A">
        <w:rPr>
          <w:rStyle w:val="Hipervnculo"/>
          <w:rFonts w:ascii="Verdana" w:hAnsi="Verdana"/>
          <w:color w:val="4472C4" w:themeColor="accent1"/>
        </w:rPr>
        <w:t>Agencia Nacional de Contratación Pública - Colombia Compra Eficiente</w:t>
      </w:r>
      <w:r w:rsidRPr="00F71A6A">
        <w:rPr>
          <w:rFonts w:ascii="Verdana" w:hAnsi="Verdana"/>
          <w:color w:val="4472C4" w:themeColor="accent1"/>
        </w:rPr>
        <w:t xml:space="preserve"> </w:t>
      </w:r>
      <w:r w:rsidRPr="00F71A6A">
        <w:rPr>
          <w:rFonts w:ascii="Verdana" w:hAnsi="Verdana"/>
        </w:rPr>
        <w:t xml:space="preserve">Instagram: </w:t>
      </w:r>
      <w:r w:rsidRPr="00F71A6A">
        <w:rPr>
          <w:rStyle w:val="Hipervnculo"/>
          <w:rFonts w:ascii="Verdana" w:hAnsi="Verdana"/>
          <w:color w:val="4472C4" w:themeColor="accent1"/>
        </w:rPr>
        <w:t>@colombiacompraeficiente_cce</w:t>
      </w:r>
    </w:p>
    <w:p w14:paraId="79F4B223" w14:textId="77777777" w:rsidR="000B71B3" w:rsidRDefault="000B71B3" w:rsidP="000B71B3">
      <w:pPr>
        <w:widowControl w:val="0"/>
        <w:autoSpaceDE w:val="0"/>
        <w:autoSpaceDN w:val="0"/>
        <w:spacing w:after="0" w:line="276" w:lineRule="auto"/>
        <w:jc w:val="both"/>
        <w:rPr>
          <w:rFonts w:ascii="Verdana" w:hAnsi="Verdana" w:cs="Arial"/>
        </w:rPr>
      </w:pPr>
    </w:p>
    <w:p w14:paraId="3B62DF41" w14:textId="77777777" w:rsidR="000B71B3" w:rsidRPr="00F71A6A" w:rsidRDefault="000B71B3" w:rsidP="000B71B3">
      <w:pPr>
        <w:widowControl w:val="0"/>
        <w:autoSpaceDE w:val="0"/>
        <w:autoSpaceDN w:val="0"/>
        <w:spacing w:after="0" w:line="276" w:lineRule="auto"/>
        <w:jc w:val="both"/>
        <w:rPr>
          <w:rFonts w:ascii="Verdana" w:hAnsi="Verdana" w:cs="Arial"/>
          <w:lang w:val="es-ES_tradnl"/>
        </w:rPr>
      </w:pPr>
      <w:r w:rsidRPr="00F71A6A">
        <w:rPr>
          <w:rFonts w:ascii="Verdana" w:hAnsi="Verdana" w:cs="Arial"/>
        </w:rPr>
        <w:t xml:space="preserve">Este concepto tiene el alcance previsto en el artículo 28 del Código de Procedimiento Administrativo y de lo Contencioso Administrativo </w:t>
      </w:r>
      <w:r w:rsidRPr="00F71A6A">
        <w:rPr>
          <w:rFonts w:ascii="Verdana" w:hAnsi="Verdana" w:cs="Arial"/>
          <w:lang w:val="es-ES_tradnl"/>
        </w:rPr>
        <w:t>y las expresiones aquí utilizadas con mayúscula inicial deben ser entendidas con el significado que les otorga el artículo 2.2.1.1.1.3.1. del Decreto 1082 de 2015.</w:t>
      </w:r>
    </w:p>
    <w:p w14:paraId="5B1B81E0" w14:textId="77777777" w:rsidR="000B71B3" w:rsidRPr="006F2228" w:rsidRDefault="000B71B3" w:rsidP="000B71B3">
      <w:pPr>
        <w:widowControl w:val="0"/>
        <w:autoSpaceDE w:val="0"/>
        <w:autoSpaceDN w:val="0"/>
        <w:spacing w:after="0" w:line="276" w:lineRule="auto"/>
        <w:jc w:val="both"/>
        <w:rPr>
          <w:rFonts w:ascii="Verdana" w:hAnsi="Verdana" w:cs="Arial"/>
          <w:lang w:val="es-ES_tradnl"/>
        </w:rPr>
      </w:pPr>
    </w:p>
    <w:p w14:paraId="4952503B" w14:textId="77777777" w:rsidR="000B71B3" w:rsidRDefault="000B71B3" w:rsidP="000B71B3">
      <w:pPr>
        <w:spacing w:after="0" w:line="276" w:lineRule="auto"/>
        <w:rPr>
          <w:rFonts w:ascii="Verdana" w:hAnsi="Verdana" w:cs="Arial"/>
          <w:lang w:eastAsia="es-CO"/>
        </w:rPr>
      </w:pPr>
      <w:r w:rsidRPr="00F71A6A">
        <w:rPr>
          <w:rFonts w:ascii="Verdana" w:eastAsia="Times New Roman" w:hAnsi="Verdana" w:cs="Arial"/>
          <w:lang w:eastAsia="es-CO"/>
        </w:rPr>
        <w:t>Atentamente,</w:t>
      </w:r>
    </w:p>
    <w:p w14:paraId="75DCC9D0" w14:textId="4A626A71" w:rsidR="000B71B3" w:rsidRPr="00672628" w:rsidRDefault="00907294" w:rsidP="000B71B3">
      <w:pPr>
        <w:spacing w:after="0" w:line="276" w:lineRule="auto"/>
        <w:jc w:val="center"/>
        <w:rPr>
          <w:rFonts w:ascii="Verdana" w:hAnsi="Verdana"/>
          <w:lang w:val="es-MX"/>
        </w:rPr>
      </w:pPr>
      <w:r w:rsidRPr="002C3AD6">
        <w:rPr>
          <w:rFonts w:ascii="Century Gothic" w:hAnsi="Century Gothic"/>
          <w:noProof/>
        </w:rPr>
        <w:drawing>
          <wp:inline distT="0" distB="0" distL="0" distR="0" wp14:anchorId="3C9A5A1A" wp14:editId="087F6440">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32371D5C" w14:textId="77777777" w:rsidR="000B71B3" w:rsidRPr="000B6F3C" w:rsidRDefault="000B71B3" w:rsidP="000B71B3">
      <w:pPr>
        <w:spacing w:after="0" w:line="276" w:lineRule="auto"/>
        <w:jc w:val="center"/>
        <w:rPr>
          <w:rFonts w:ascii="Verdana" w:hAnsi="Verdana"/>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B71B3" w:rsidRPr="00156969" w14:paraId="79C81624" w14:textId="77777777" w:rsidTr="00E7146B">
        <w:trPr>
          <w:trHeight w:val="315"/>
        </w:trPr>
        <w:tc>
          <w:tcPr>
            <w:tcW w:w="893" w:type="dxa"/>
            <w:vAlign w:val="center"/>
            <w:hideMark/>
          </w:tcPr>
          <w:p w14:paraId="076E2260" w14:textId="77777777" w:rsidR="000B71B3" w:rsidRPr="00156969" w:rsidRDefault="000B71B3" w:rsidP="00E7146B">
            <w:pPr>
              <w:contextualSpacing/>
              <w:rPr>
                <w:rFonts w:ascii="Verdana" w:hAnsi="Verdana" w:cs="Arial"/>
                <w:sz w:val="16"/>
                <w:szCs w:val="16"/>
                <w:lang w:val="es-ES" w:eastAsia="es-ES"/>
              </w:rPr>
            </w:pPr>
            <w:r w:rsidRPr="00156969">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296916" w14:textId="77777777" w:rsidR="000B71B3" w:rsidRPr="00F34C7A" w:rsidRDefault="000B71B3" w:rsidP="00E7146B">
            <w:pPr>
              <w:contextualSpacing/>
              <w:rPr>
                <w:rStyle w:val="normaltextrun"/>
                <w:rFonts w:ascii="Verdana" w:hAnsi="Verdana"/>
                <w:sz w:val="16"/>
                <w:szCs w:val="16"/>
              </w:rPr>
            </w:pPr>
            <w:r w:rsidRPr="00F34C7A">
              <w:rPr>
                <w:rStyle w:val="normaltextrun"/>
                <w:rFonts w:ascii="Verdana" w:hAnsi="Verdana"/>
                <w:sz w:val="16"/>
                <w:szCs w:val="16"/>
              </w:rPr>
              <w:t>Richard Andrés Montenegro Siefken</w:t>
            </w:r>
          </w:p>
          <w:p w14:paraId="7AB12AE9" w14:textId="77777777" w:rsidR="000B71B3" w:rsidRPr="00156969" w:rsidRDefault="000B71B3" w:rsidP="00E7146B">
            <w:pPr>
              <w:contextualSpacing/>
              <w:rPr>
                <w:rFonts w:ascii="Verdana" w:eastAsia="Arial" w:hAnsi="Verdana" w:cs="Arial"/>
                <w:sz w:val="16"/>
                <w:szCs w:val="16"/>
              </w:rPr>
            </w:pPr>
            <w:r w:rsidRPr="00156969">
              <w:rPr>
                <w:rStyle w:val="normaltextrun"/>
                <w:rFonts w:ascii="Verdana" w:hAnsi="Verdana" w:cs="Arial"/>
                <w:sz w:val="16"/>
                <w:szCs w:val="16"/>
                <w:lang w:val="es-ES"/>
              </w:rPr>
              <w:t>Contratista de la Subdirección de Gestión Contractual</w:t>
            </w:r>
            <w:r w:rsidRPr="00156969">
              <w:rPr>
                <w:rStyle w:val="eop"/>
                <w:rFonts w:ascii="Verdana" w:hAnsi="Verdana" w:cs="Arial"/>
                <w:sz w:val="16"/>
                <w:szCs w:val="16"/>
              </w:rPr>
              <w:t> </w:t>
            </w:r>
          </w:p>
        </w:tc>
      </w:tr>
      <w:tr w:rsidR="000B71B3" w:rsidRPr="00156969" w14:paraId="0C53BBF2" w14:textId="77777777" w:rsidTr="00E7146B">
        <w:trPr>
          <w:trHeight w:val="330"/>
        </w:trPr>
        <w:tc>
          <w:tcPr>
            <w:tcW w:w="893" w:type="dxa"/>
            <w:vAlign w:val="center"/>
            <w:hideMark/>
          </w:tcPr>
          <w:p w14:paraId="0C0659B1" w14:textId="77777777" w:rsidR="000B71B3" w:rsidRPr="00156969" w:rsidRDefault="000B71B3" w:rsidP="00E7146B">
            <w:pPr>
              <w:contextualSpacing/>
              <w:rPr>
                <w:rFonts w:ascii="Verdana" w:hAnsi="Verdana" w:cs="Arial"/>
                <w:sz w:val="16"/>
                <w:szCs w:val="16"/>
                <w:lang w:val="es-ES" w:eastAsia="es-ES"/>
              </w:rPr>
            </w:pPr>
            <w:r w:rsidRPr="00156969">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AABA374" w14:textId="77777777" w:rsidR="000B71B3" w:rsidRPr="0086168D" w:rsidRDefault="000B71B3" w:rsidP="00E7146B">
            <w:pPr>
              <w:pStyle w:val="paragraph"/>
              <w:spacing w:before="0" w:beforeAutospacing="0" w:after="0" w:afterAutospacing="0"/>
              <w:contextualSpacing/>
              <w:textAlignment w:val="baseline"/>
              <w:rPr>
                <w:rStyle w:val="normaltextrun"/>
                <w:rFonts w:ascii="Verdana" w:hAnsi="Verdana"/>
                <w:sz w:val="16"/>
                <w:szCs w:val="16"/>
                <w:lang w:val="es-ES"/>
              </w:rPr>
            </w:pPr>
            <w:r w:rsidRPr="0086168D">
              <w:rPr>
                <w:rStyle w:val="normaltextrun"/>
                <w:rFonts w:ascii="Verdana" w:hAnsi="Verdana"/>
                <w:sz w:val="16"/>
                <w:szCs w:val="16"/>
                <w:lang w:val="es-ES"/>
              </w:rPr>
              <w:t xml:space="preserve">Diana Lucía Saavedra Castañeda </w:t>
            </w:r>
          </w:p>
          <w:p w14:paraId="55AA9645" w14:textId="77777777" w:rsidR="000B71B3" w:rsidRPr="00C666EA" w:rsidRDefault="000B71B3" w:rsidP="00E7146B">
            <w:pPr>
              <w:pStyle w:val="paragraph"/>
              <w:spacing w:before="0" w:beforeAutospacing="0" w:after="0" w:afterAutospacing="0"/>
              <w:contextualSpacing/>
              <w:textAlignment w:val="baseline"/>
              <w:rPr>
                <w:rFonts w:ascii="Verdana" w:hAnsi="Verdana" w:cs="Segoe UI"/>
                <w:sz w:val="16"/>
                <w:szCs w:val="16"/>
              </w:rPr>
            </w:pPr>
            <w:r w:rsidRPr="00C666EA">
              <w:rPr>
                <w:rStyle w:val="eop"/>
                <w:rFonts w:ascii="Verdana" w:hAnsi="Verdana" w:cs="Arial"/>
                <w:sz w:val="16"/>
                <w:szCs w:val="16"/>
              </w:rPr>
              <w:t xml:space="preserve">Contratista de la Subdirección de Negocios </w:t>
            </w:r>
          </w:p>
        </w:tc>
      </w:tr>
      <w:tr w:rsidR="000B71B3" w:rsidRPr="00F71A6A" w14:paraId="6E57D44F" w14:textId="77777777" w:rsidTr="00E7146B">
        <w:trPr>
          <w:trHeight w:val="300"/>
        </w:trPr>
        <w:tc>
          <w:tcPr>
            <w:tcW w:w="893" w:type="dxa"/>
            <w:vAlign w:val="center"/>
          </w:tcPr>
          <w:p w14:paraId="035DF574" w14:textId="77777777" w:rsidR="000B71B3" w:rsidRPr="00156969" w:rsidRDefault="000B71B3" w:rsidP="00E7146B">
            <w:pPr>
              <w:contextualSpacing/>
              <w:rPr>
                <w:rFonts w:ascii="Verdana" w:hAnsi="Verdana" w:cs="Arial"/>
                <w:sz w:val="16"/>
                <w:szCs w:val="16"/>
                <w:lang w:val="es-ES" w:eastAsia="es-ES"/>
              </w:rPr>
            </w:pPr>
            <w:r w:rsidRPr="00156969">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9E2201" w14:textId="77777777" w:rsidR="000B71B3" w:rsidRPr="00156969" w:rsidRDefault="000B71B3" w:rsidP="00E7146B">
            <w:pPr>
              <w:contextualSpacing/>
              <w:rPr>
                <w:rFonts w:ascii="Verdana" w:eastAsia="Calibri" w:hAnsi="Verdana" w:cs="Arial"/>
                <w:sz w:val="16"/>
                <w:szCs w:val="16"/>
                <w:lang w:val="pt-BR" w:eastAsia="es-ES"/>
              </w:rPr>
            </w:pPr>
            <w:r w:rsidRPr="00156969">
              <w:rPr>
                <w:rFonts w:ascii="Verdana" w:eastAsia="Calibri" w:hAnsi="Verdana" w:cs="Arial"/>
                <w:sz w:val="16"/>
                <w:szCs w:val="16"/>
                <w:lang w:val="pt-BR" w:eastAsia="es-ES"/>
              </w:rPr>
              <w:t>Carolina Quintero Gacharná</w:t>
            </w:r>
          </w:p>
          <w:p w14:paraId="3B8B696A" w14:textId="77777777" w:rsidR="000B71B3" w:rsidRPr="00F71A6A" w:rsidRDefault="000B71B3" w:rsidP="00E7146B">
            <w:pPr>
              <w:contextualSpacing/>
              <w:rPr>
                <w:rFonts w:ascii="Verdana" w:eastAsia="Calibri" w:hAnsi="Verdana" w:cs="Arial"/>
                <w:sz w:val="16"/>
                <w:szCs w:val="16"/>
                <w:lang w:val="pt-BR" w:eastAsia="es-ES"/>
              </w:rPr>
            </w:pPr>
            <w:r w:rsidRPr="00156969">
              <w:rPr>
                <w:rFonts w:ascii="Verdana" w:eastAsia="Calibri" w:hAnsi="Verdana" w:cs="Arial"/>
                <w:sz w:val="16"/>
                <w:szCs w:val="16"/>
                <w:lang w:eastAsia="es-ES"/>
              </w:rPr>
              <w:t>Subdirectora</w:t>
            </w:r>
            <w:r w:rsidRPr="00156969">
              <w:rPr>
                <w:rFonts w:ascii="Verdana" w:eastAsia="Calibri" w:hAnsi="Verdana" w:cs="Arial"/>
                <w:sz w:val="16"/>
                <w:szCs w:val="16"/>
                <w:lang w:val="pt-BR" w:eastAsia="es-ES"/>
              </w:rPr>
              <w:t xml:space="preserve"> de Gestión Contractual ANCP – CCE</w:t>
            </w:r>
          </w:p>
        </w:tc>
      </w:tr>
      <w:bookmarkEnd w:id="0"/>
      <w:bookmarkEnd w:id="1"/>
    </w:tbl>
    <w:p w14:paraId="3A78BB82" w14:textId="77777777" w:rsidR="000B71B3" w:rsidRPr="0044528D" w:rsidRDefault="000B71B3" w:rsidP="000B71B3">
      <w:pPr>
        <w:spacing w:after="0"/>
        <w:rPr>
          <w:rFonts w:ascii="Verdana" w:hAnsi="Verdana"/>
        </w:rPr>
      </w:pPr>
    </w:p>
    <w:p w14:paraId="44BE37C7" w14:textId="77777777" w:rsidR="000B71B3" w:rsidRPr="0044528D" w:rsidRDefault="000B71B3" w:rsidP="000B71B3">
      <w:pPr>
        <w:spacing w:after="0"/>
        <w:jc w:val="both"/>
        <w:rPr>
          <w:rStyle w:val="Hipervnculo"/>
          <w:rFonts w:ascii="Verdana" w:hAnsi="Verdana"/>
        </w:rPr>
      </w:pPr>
    </w:p>
    <w:p w14:paraId="506EA70E" w14:textId="77777777" w:rsidR="000B71B3" w:rsidRPr="0044528D" w:rsidRDefault="000B71B3" w:rsidP="000B71B3">
      <w:pPr>
        <w:spacing w:after="0" w:line="240" w:lineRule="auto"/>
        <w:textAlignment w:val="baseline"/>
        <w:rPr>
          <w:rFonts w:ascii="Verdana" w:eastAsia="Times New Roman" w:hAnsi="Verdana" w:cs="Segoe UI"/>
          <w:b/>
          <w:bCs/>
          <w:color w:val="46589C"/>
          <w:lang w:val="es-ES" w:eastAsia="es-CO"/>
        </w:rPr>
      </w:pPr>
    </w:p>
    <w:p w14:paraId="400BB527" w14:textId="77777777" w:rsidR="000B71B3" w:rsidRPr="00D47916" w:rsidRDefault="000B71B3" w:rsidP="000B71B3">
      <w:pPr>
        <w:spacing w:after="0"/>
        <w:jc w:val="both"/>
        <w:rPr>
          <w:rStyle w:val="Hipervnculo"/>
          <w:rFonts w:ascii="Verdana" w:hAnsi="Verdana"/>
          <w:lang w:val="es-ES"/>
        </w:rPr>
      </w:pPr>
    </w:p>
    <w:p w14:paraId="1C3176AE" w14:textId="77777777" w:rsidR="000B71B3" w:rsidRPr="0044528D" w:rsidRDefault="000B71B3" w:rsidP="000B71B3">
      <w:pPr>
        <w:spacing w:after="0"/>
        <w:jc w:val="both"/>
        <w:rPr>
          <w:rStyle w:val="Hipervnculo"/>
          <w:rFonts w:ascii="Verdana" w:hAnsi="Verdana"/>
        </w:rPr>
      </w:pPr>
    </w:p>
    <w:p w14:paraId="30A2BF10" w14:textId="77777777" w:rsidR="000B71B3" w:rsidRPr="0044528D" w:rsidRDefault="000B71B3" w:rsidP="000B71B3">
      <w:pPr>
        <w:spacing w:after="0"/>
        <w:jc w:val="both"/>
        <w:rPr>
          <w:rStyle w:val="Hipervnculo"/>
          <w:rFonts w:ascii="Verdana" w:hAnsi="Verdana"/>
        </w:rPr>
      </w:pPr>
    </w:p>
    <w:p w14:paraId="6E889816" w14:textId="77777777" w:rsidR="000B71B3" w:rsidRPr="0044528D" w:rsidRDefault="000B71B3" w:rsidP="000B71B3">
      <w:pPr>
        <w:spacing w:after="0"/>
        <w:jc w:val="both"/>
        <w:rPr>
          <w:rStyle w:val="Hipervnculo"/>
          <w:rFonts w:ascii="Verdana" w:hAnsi="Verdana"/>
        </w:rPr>
      </w:pPr>
    </w:p>
    <w:p w14:paraId="093F6494" w14:textId="77777777" w:rsidR="000B71B3" w:rsidRPr="0044528D" w:rsidRDefault="000B71B3" w:rsidP="000B71B3">
      <w:pPr>
        <w:spacing w:after="0"/>
        <w:jc w:val="both"/>
        <w:rPr>
          <w:rStyle w:val="Hipervnculo"/>
          <w:rFonts w:ascii="Verdana" w:hAnsi="Verdana"/>
        </w:rPr>
      </w:pPr>
    </w:p>
    <w:p w14:paraId="60023A7C" w14:textId="77777777" w:rsidR="000B71B3" w:rsidRPr="0044528D" w:rsidRDefault="000B71B3" w:rsidP="000B71B3">
      <w:pPr>
        <w:spacing w:after="0"/>
        <w:jc w:val="both"/>
        <w:rPr>
          <w:rStyle w:val="Hipervnculo"/>
          <w:rFonts w:ascii="Verdana" w:hAnsi="Verdana"/>
        </w:rPr>
      </w:pPr>
    </w:p>
    <w:p w14:paraId="508A9424" w14:textId="77777777" w:rsidR="000B71B3" w:rsidRPr="0044528D" w:rsidRDefault="000B71B3" w:rsidP="000B71B3">
      <w:pPr>
        <w:spacing w:after="0"/>
        <w:jc w:val="both"/>
        <w:rPr>
          <w:rStyle w:val="Hipervnculo"/>
          <w:rFonts w:ascii="Verdana" w:hAnsi="Verdana"/>
        </w:rPr>
      </w:pPr>
    </w:p>
    <w:bookmarkEnd w:id="2"/>
    <w:p w14:paraId="6F6214E6" w14:textId="77777777" w:rsidR="000B71B3" w:rsidRPr="0044528D" w:rsidRDefault="000B71B3" w:rsidP="000B71B3">
      <w:pPr>
        <w:spacing w:after="0" w:line="240" w:lineRule="auto"/>
        <w:textAlignment w:val="baseline"/>
        <w:rPr>
          <w:rFonts w:ascii="Verdana" w:eastAsia="Times New Roman" w:hAnsi="Verdana" w:cs="Segoe UI"/>
          <w:b/>
          <w:bCs/>
          <w:color w:val="46589C"/>
          <w:lang w:val="es-ES" w:eastAsia="es-CO"/>
        </w:rPr>
      </w:pPr>
    </w:p>
    <w:p w14:paraId="0F293BF4" w14:textId="08030BC4" w:rsidR="00127233" w:rsidRPr="00AA310B" w:rsidRDefault="00127233" w:rsidP="00AA310B"/>
    <w:sectPr w:rsidR="00127233" w:rsidRPr="00AA310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6A7891" w14:textId="77777777" w:rsidR="00B43B94" w:rsidRDefault="00B43B94" w:rsidP="004A1847">
      <w:pPr>
        <w:spacing w:after="0" w:line="240" w:lineRule="auto"/>
      </w:pPr>
      <w:r>
        <w:separator/>
      </w:r>
    </w:p>
  </w:endnote>
  <w:endnote w:type="continuationSeparator" w:id="0">
    <w:p w14:paraId="73CF47F8" w14:textId="77777777" w:rsidR="00B43B94" w:rsidRDefault="00B43B9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AA310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PT" w:eastAsia="es-CO"/>
      </w:rPr>
    </w:pPr>
    <w:r w:rsidRPr="00AA310B">
      <w:rPr>
        <w:rFonts w:ascii="Verdana" w:eastAsia="Verdana" w:hAnsi="Verdana" w:cs="Verdana"/>
        <w:b/>
        <w:bCs/>
        <w:color w:val="000000" w:themeColor="text1"/>
        <w:sz w:val="18"/>
        <w:szCs w:val="18"/>
        <w:lang w:val="pt-PT" w:eastAsia="es-CO"/>
      </w:rPr>
      <w:t xml:space="preserve">Código: </w:t>
    </w:r>
    <w:r w:rsidRPr="00AA310B">
      <w:rPr>
        <w:rFonts w:ascii="Verdana" w:eastAsia="Verdana" w:hAnsi="Verdana" w:cs="Verdana"/>
        <w:color w:val="000000" w:themeColor="text1"/>
        <w:sz w:val="18"/>
        <w:szCs w:val="18"/>
        <w:lang w:val="pt-PT" w:eastAsia="es-CO"/>
      </w:rPr>
      <w:t xml:space="preserve">CCE-REC-FM-17 </w:t>
    </w:r>
    <w:r w:rsidRPr="00AA310B">
      <w:rPr>
        <w:rFonts w:ascii="Verdana" w:eastAsia="Verdana" w:hAnsi="Verdana" w:cs="Verdana"/>
        <w:b/>
        <w:bCs/>
        <w:color w:val="000000" w:themeColor="text1"/>
        <w:sz w:val="18"/>
        <w:szCs w:val="18"/>
        <w:lang w:val="pt-PT" w:eastAsia="es-CO"/>
      </w:rPr>
      <w:t xml:space="preserve">V: </w:t>
    </w:r>
    <w:r w:rsidRPr="00AA310B">
      <w:rPr>
        <w:rFonts w:ascii="Verdana" w:eastAsia="Verdana" w:hAnsi="Verdana" w:cs="Verdana"/>
        <w:sz w:val="18"/>
        <w:szCs w:val="18"/>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27BDCE" w14:textId="77777777" w:rsidR="00B43B94" w:rsidRDefault="00B43B94" w:rsidP="004A1847">
      <w:pPr>
        <w:spacing w:after="0" w:line="240" w:lineRule="auto"/>
      </w:pPr>
      <w:r>
        <w:separator/>
      </w:r>
    </w:p>
  </w:footnote>
  <w:footnote w:type="continuationSeparator" w:id="0">
    <w:p w14:paraId="53AA4949" w14:textId="77777777" w:rsidR="00B43B94" w:rsidRDefault="00B43B94" w:rsidP="004A1847">
      <w:pPr>
        <w:spacing w:after="0" w:line="240" w:lineRule="auto"/>
      </w:pPr>
      <w:r>
        <w:continuationSeparator/>
      </w:r>
    </w:p>
  </w:footnote>
  <w:footnote w:id="1">
    <w:p w14:paraId="18A0D299"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 xml:space="preserve">Decreto 1068 de 2015: “Artículo 2.8.4.4.5. Condiciones para contratar la prestación de servicios. Los contratos de prestación de servicios con personas naturales o jurídicas, sólo se podrán celebrar cuando no exista personal de planta con capacidad para realizar las actividades que se contratarán. </w:t>
      </w:r>
    </w:p>
    <w:p w14:paraId="6CBBF9E4"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 xml:space="preserve">Se entiende que no existe personal de planta en el respectivo organismo, entidad, ente público o persona jurídica, es imposible atender la actividad con personal de planta, porque de acuerdo con los manuales específicos, no existe personal que pueda desarrollar la actividad para la cual se requiere contratar la prestación del servicio, o cuando el desarrollo de la actividad requiere un grado de especialización que implica la contratación del servicio, o cuando aun existiendo personal en la planta, éste no sea suficiente, la inexistencia de personal suficiente deberá acreditarse por el jefe del respectivo organismo. </w:t>
      </w:r>
    </w:p>
    <w:p w14:paraId="026E9685"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Tampoco se podrán celebrar estos contratos cuando existan relaciones contractuales vigentes con objeto igual al del contrato que se pretende suscribir, salvo autorización expresa del jefe del respectivo órgano, ente o entidad contratante. Esta autorización estará precedida de la sustentación sobre las especiales características y necesidades técnicas de las contrataciones a realizar”.</w:t>
      </w:r>
    </w:p>
  </w:footnote>
  <w:footnote w:id="2">
    <w:p w14:paraId="67911500" w14:textId="77777777" w:rsidR="000B71B3" w:rsidRPr="00C024A8" w:rsidRDefault="000B71B3" w:rsidP="000B71B3">
      <w:pPr>
        <w:pStyle w:val="Textonotapie"/>
        <w:ind w:firstLine="708"/>
        <w:jc w:val="both"/>
        <w:rPr>
          <w:rFonts w:ascii="Verdana" w:hAnsi="Verdana"/>
          <w:sz w:val="14"/>
          <w:szCs w:val="14"/>
        </w:rPr>
      </w:pPr>
      <w:r w:rsidRPr="00C024A8">
        <w:rPr>
          <w:rStyle w:val="Refdenotaalpie"/>
          <w:rFonts w:ascii="Verdana" w:hAnsi="Verdana"/>
          <w:sz w:val="14"/>
          <w:szCs w:val="14"/>
        </w:rPr>
        <w:footnoteRef/>
      </w:r>
      <w:r w:rsidRPr="00C024A8">
        <w:rPr>
          <w:rFonts w:ascii="Verdana" w:hAnsi="Verdana"/>
          <w:sz w:val="14"/>
          <w:szCs w:val="14"/>
        </w:rPr>
        <w:t xml:space="preserve">  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w:t>
      </w:r>
    </w:p>
    <w:p w14:paraId="43DF930B"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2. Quien presta el servicio se denomina trabajador, quien lo recibe y remunera, empleador, y la remuneración, cualquiera que sea su forma, salario”</w:t>
      </w:r>
    </w:p>
  </w:footnote>
  <w:footnote w:id="3">
    <w:p w14:paraId="7318E901"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2D49E7">
        <w:rPr>
          <w:rFonts w:ascii="Verdana" w:hAnsi="Verdana"/>
          <w:sz w:val="14"/>
          <w:szCs w:val="14"/>
          <w:lang w:val="pt-PT"/>
        </w:rPr>
        <w:t xml:space="preserve"> CORTE CONSTITUCIONAL. Sentencia C-154 de 1997. </w:t>
      </w:r>
      <w:r w:rsidRPr="00C024A8">
        <w:rPr>
          <w:rFonts w:ascii="Verdana" w:hAnsi="Verdana"/>
          <w:sz w:val="14"/>
          <w:szCs w:val="14"/>
          <w:lang w:val="es-CO"/>
        </w:rPr>
        <w:t>Magistrado Ponente: Hernando Herrera Vergara.</w:t>
      </w:r>
    </w:p>
  </w:footnote>
  <w:footnote w:id="4">
    <w:p w14:paraId="1DAFCDA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Ibíd.</w:t>
      </w:r>
    </w:p>
  </w:footnote>
  <w:footnote w:id="5">
    <w:p w14:paraId="7C71C7CC"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 xml:space="preserve">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340AE388"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 xml:space="preserve">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20C7AD27"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La Entidad Estatal, para la contratación de trabajos artísticos que solamente puedan en-comendarse a determinadas personas naturales, debe justificar esta situación en los estudios y documentos previos”.</w:t>
      </w:r>
    </w:p>
  </w:footnote>
  <w:footnote w:id="6">
    <w:p w14:paraId="274A755B"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CONSEJO DE ESTADO. Sección Tercera. Subsección C. Sentencia del 2 de diciembre de 2013. Exp. 41719. Consejero Ponente: Jaime Orlando Santofimio Gamboa.</w:t>
      </w:r>
    </w:p>
  </w:footnote>
  <w:footnote w:id="7">
    <w:p w14:paraId="6E84E2C5"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Ibíd.</w:t>
      </w:r>
    </w:p>
  </w:footnote>
  <w:footnote w:id="8">
    <w:p w14:paraId="7AFCA10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Ibíd.</w:t>
      </w:r>
    </w:p>
  </w:footnote>
  <w:footnote w:id="9">
    <w:p w14:paraId="48BAF80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Ibíd.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47CA77C4"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Son también contratos de consultoría los que tienen por objeto la interventoría, asesoría, gerencia de obra o de proyectos, dirección, programación y la ejecución de diseños, planos, anteproyectos y proyectos.</w:t>
      </w:r>
    </w:p>
    <w:p w14:paraId="3D6175C4"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Ninguna orden del interventor de una obra podrá darse verbalmente. Es obligatorio para el interventor entregar por escrito sus órdenes o sugerencias y ellas deben enmarcarse dentro de los términos del respectivo contrato”.</w:t>
      </w:r>
    </w:p>
  </w:footnote>
  <w:footnote w:id="10">
    <w:p w14:paraId="5EEFB8B1"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 xml:space="preserve">Así lo prevé el artículo 2.2.1.2.1.4.1. del Decreto 1082 de 2015: “La Entidad Estatal debe señalar en un acto administrativo la justificación para contratar bajo la modalidad de contratación directa, el cual debe contener: </w:t>
      </w:r>
    </w:p>
    <w:p w14:paraId="2D8D4BFF"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1. La causal que invoca para contratar directamente.</w:t>
      </w:r>
    </w:p>
    <w:p w14:paraId="20A94C7B"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2. El objeto del contrato.</w:t>
      </w:r>
    </w:p>
    <w:p w14:paraId="19E7D22B"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3. El presupuesto para la contratación y las condiciones que exigirá al contratista.</w:t>
      </w:r>
    </w:p>
    <w:p w14:paraId="6D767A09"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4. El lugar en el cual los interesados pueden consultar los estudios y documentos previos.</w:t>
      </w:r>
    </w:p>
    <w:p w14:paraId="753490DF"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Este acto administrativo no es necesario cuando el contrato a celebrar es de prestación de servicios profesionales y de apoyo a la gestión, y para los contratos de que tratan los literales (a) y (b) del artículo 2.2.1.2.1.4.3 del presente decreto”.</w:t>
      </w:r>
    </w:p>
  </w:footnote>
  <w:footnote w:id="11">
    <w:p w14:paraId="7CA6A089"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Esta norma expresa: “Para el cumplimiento de los fines de la contratación, las entidades estatales al celebrar un contrato:</w:t>
      </w:r>
    </w:p>
    <w:p w14:paraId="1F69ACC5"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w:t>
      </w:r>
    </w:p>
    <w:p w14:paraId="3415C4EE"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 Las entidades estatales podrán pactar estas cláusulas en los contratos de suministro y de prestación de servicios. […]”.</w:t>
      </w:r>
    </w:p>
  </w:footnote>
  <w:footnote w:id="12">
    <w:p w14:paraId="42309D40"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a norma dispone: “La liquidación a que se refiere el presente artículo no será obligatoria en los contratos de prestación de servicios profesionales y de apoyo a la gestión”.</w:t>
      </w:r>
    </w:p>
  </w:footnote>
  <w:footnote w:id="13">
    <w:p w14:paraId="5E0D8254"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474DC7CD"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DF6E3E9"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w:t>
      </w:r>
    </w:p>
  </w:footnote>
  <w:footnote w:id="14">
    <w:p w14:paraId="53920C5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footnote>
  <w:footnote w:id="15">
    <w:p w14:paraId="24F0C711"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Motivo por el cual son típicas cláusulas accidentales dentro de los contratos estatales, en los términos del artículo 1501 del Código Civil.</w:t>
      </w:r>
    </w:p>
  </w:footnote>
  <w:footnote w:id="16">
    <w:p w14:paraId="4411A002"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CONSEJO DE ESTADO. Sección Tercera. Sentencia del 15 de noviembre de 2011. Rad. 20.916.Consejera Ponente: Olga Mélida Valle de De La Hoz.</w:t>
      </w:r>
    </w:p>
  </w:footnote>
  <w:footnote w:id="17">
    <w:p w14:paraId="7334357B"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CONSEJO DE ESTADO. Sección Tercera. Sentencia del 23 de junio de 2010. Rad. 16.367. C.P. Enrique Gil Botero. Véase también: CONSEJO DE ESTADO. Sección Tercera. Sentencia del 13 de noviembre de 2008. Rad. 17.009. C.P. Enrique Gil Botero</w:t>
      </w:r>
    </w:p>
  </w:footnote>
  <w:footnote w:id="18">
    <w:p w14:paraId="34F497D6"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2D49E7">
        <w:rPr>
          <w:rFonts w:ascii="Verdana" w:hAnsi="Verdana"/>
          <w:sz w:val="14"/>
          <w:szCs w:val="14"/>
          <w:lang w:val="pt-PT"/>
        </w:rPr>
        <w:t xml:space="preserve"> CORTE CONSTITUCIONAL. Sentencia C-827 de 2001. </w:t>
      </w:r>
      <w:r w:rsidRPr="00C024A8">
        <w:rPr>
          <w:rFonts w:ascii="Verdana" w:hAnsi="Verdana"/>
          <w:sz w:val="14"/>
          <w:szCs w:val="14"/>
          <w:lang w:val="es-CO"/>
        </w:rPr>
        <w:t>M.P. Álvaro Tafur Galvis.</w:t>
      </w:r>
    </w:p>
  </w:footnote>
  <w:footnote w:id="19">
    <w:p w14:paraId="2671B2CD"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CONSEJO DE ESTADO. Sección Tercera. Sentencia del 13 de noviembre de 2008. Rad. 17.009. C.P. Enrique Gil Botero.</w:t>
      </w:r>
    </w:p>
  </w:footnote>
  <w:footnote w:id="20">
    <w:p w14:paraId="72E535F1"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Ibídem.</w:t>
      </w:r>
    </w:p>
  </w:footnote>
  <w:footnote w:id="21">
    <w:p w14:paraId="5E5345B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CORTE SUPREMA DE JUSTICIA, Sala de Casación Civil, sentencia del 31 de julio de 2018, Radicación n.º 25899-31-03-002-2013-00162-01, M.P. Luis Alonso Rico Puerta.</w:t>
      </w:r>
    </w:p>
  </w:footnote>
  <w:footnote w:id="22">
    <w:p w14:paraId="3BA6CF0E"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EXPÓSITO VÉLEZ, Juan Carlos. Forma y contenido del contrato estatal. Bogotá: Universidad Externado de Colombia, 2013. p. 181. Frente a este tema, David Suárez Tamayo expresa: “ […] las multas se han considerado como un apremio, acoso, conminación para que el contratista se ponga al día en sus compromisos, pero igualmente tienen una connotación sancionatoria; de otra parte, la penal pecuniaria es una estimación anticipada, pero no de perjuicios, es decir, tiene un carácter resarcitorio, indemnizatorio, de garantía, pero al igual que las multas, también puede llegar a considerarse como una sanción” (SUÁREZ TAMAYO, David. Cláusula de multas y penal pecuniaria. Medellín: Librería Jurídica Sánchez R Ltda y CEDA, 2014. p. 10).</w:t>
      </w:r>
    </w:p>
  </w:footnote>
  <w:footnote w:id="23">
    <w:p w14:paraId="096227CD"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CONSEJO DE ESTADO. Sección Tercera. Op. cit., Exp. 17.009. Ibídem.</w:t>
      </w:r>
    </w:p>
  </w:footnote>
  <w:footnote w:id="24">
    <w:p w14:paraId="159DA38A"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5B97A439"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La misma sustitución podrá hacerse en los contratos mercantiles de ejecución instantánea que aún no hayan sido cumplidos en todo o en parte, y en los celebrados intuitu personae, pero en estos casos será necesaria la aceptación del contratante cedido”.</w:t>
      </w:r>
    </w:p>
    <w:p w14:paraId="6383F64C"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footnote>
  <w:footnote w:id="25">
    <w:p w14:paraId="588CA869" w14:textId="77777777" w:rsidR="000B71B3" w:rsidRPr="00C024A8"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2D49E7">
        <w:rPr>
          <w:rFonts w:ascii="Verdana" w:hAnsi="Verdana"/>
          <w:sz w:val="14"/>
          <w:szCs w:val="14"/>
          <w:lang w:val="it-IT"/>
        </w:rPr>
        <w:t xml:space="preserve"> MESSINEO, Francesco. Doctrina general del contrato. </w:t>
      </w:r>
      <w:r w:rsidRPr="00C024A8">
        <w:rPr>
          <w:rFonts w:ascii="Verdana" w:hAnsi="Verdana"/>
          <w:sz w:val="14"/>
          <w:szCs w:val="14"/>
          <w:lang w:val="es-CO"/>
        </w:rPr>
        <w:t>Santiago: Olejnik, 2018. p. 633. Énfasis dentro del texto).</w:t>
      </w:r>
    </w:p>
  </w:footnote>
  <w:footnote w:id="26">
    <w:p w14:paraId="2725A614" w14:textId="77777777" w:rsidR="000B71B3" w:rsidRDefault="000B71B3" w:rsidP="000B71B3">
      <w:pPr>
        <w:pStyle w:val="Textonotapie"/>
        <w:ind w:firstLine="708"/>
        <w:jc w:val="both"/>
        <w:rPr>
          <w:rFonts w:ascii="Verdana" w:hAnsi="Verdana"/>
          <w:sz w:val="14"/>
          <w:szCs w:val="14"/>
          <w:lang w:val="es-CO"/>
        </w:rPr>
      </w:pPr>
      <w:r w:rsidRPr="00C024A8">
        <w:rPr>
          <w:rStyle w:val="Refdenotaalpie"/>
          <w:rFonts w:ascii="Verdana" w:hAnsi="Verdana"/>
          <w:sz w:val="14"/>
          <w:szCs w:val="14"/>
        </w:rPr>
        <w:footnoteRef/>
      </w:r>
      <w:r w:rsidRPr="00C024A8">
        <w:rPr>
          <w:rFonts w:ascii="Verdana" w:hAnsi="Verdana"/>
          <w:sz w:val="14"/>
          <w:szCs w:val="14"/>
        </w:rPr>
        <w:t xml:space="preserve"> </w:t>
      </w:r>
      <w:r w:rsidRPr="00C024A8">
        <w:rPr>
          <w:rFonts w:ascii="Verdana" w:hAnsi="Verdana"/>
          <w:sz w:val="14"/>
          <w:szCs w:val="14"/>
          <w:lang w:val="es-CO"/>
        </w:rPr>
        <w:t xml:space="preserve">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 </w:t>
      </w:r>
    </w:p>
    <w:p w14:paraId="6A611040" w14:textId="77777777" w:rsidR="000B71B3" w:rsidRPr="00C024A8" w:rsidRDefault="000B71B3" w:rsidP="000B71B3">
      <w:pPr>
        <w:pStyle w:val="Textonotapie"/>
        <w:ind w:firstLine="708"/>
        <w:jc w:val="both"/>
        <w:rPr>
          <w:rFonts w:ascii="Verdana" w:hAnsi="Verdana"/>
          <w:sz w:val="14"/>
          <w:szCs w:val="14"/>
          <w:lang w:val="es-CO"/>
        </w:rPr>
      </w:pPr>
      <w:r w:rsidRPr="00C024A8">
        <w:rPr>
          <w:rFonts w:ascii="Verdana" w:hAnsi="Verdana"/>
          <w:sz w:val="14"/>
          <w:szCs w:val="14"/>
          <w:lang w:val="es-CO"/>
        </w:rPr>
        <w:t>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Depalma, 2012. p. 424).</w:t>
      </w:r>
    </w:p>
  </w:footnote>
  <w:footnote w:id="27">
    <w:p w14:paraId="28B94FED" w14:textId="77777777" w:rsidR="000B71B3" w:rsidRPr="003716A4" w:rsidRDefault="000B71B3" w:rsidP="000B71B3">
      <w:pPr>
        <w:pStyle w:val="Textonotapie"/>
        <w:ind w:firstLine="708"/>
        <w:rPr>
          <w:lang w:val="es-CO"/>
        </w:rPr>
      </w:pPr>
      <w:r>
        <w:rPr>
          <w:rStyle w:val="Refdenotaalpie"/>
        </w:rPr>
        <w:footnoteRef/>
      </w:r>
      <w:r>
        <w:t xml:space="preserve"> </w:t>
      </w:r>
      <w:r w:rsidRPr="00266182">
        <w:rPr>
          <w:lang w:val="es-CO"/>
        </w:rPr>
        <w:t>MARIENHOFF, Miguel S. Tratado de derecho administrativo. Tomo IIIA. Cuarta Edición. Buenos Aires: Abeledo Perrot, 1998. p. 318. Énfasis dentro del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06F3D9D"/>
    <w:multiLevelType w:val="hybridMultilevel"/>
    <w:tmpl w:val="919A48DE"/>
    <w:lvl w:ilvl="0" w:tplc="240A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3"/>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2"/>
  </w:num>
  <w:num w:numId="13" w16cid:durableId="1512908409">
    <w:abstractNumId w:val="4"/>
  </w:num>
  <w:num w:numId="14" w16cid:durableId="895897244">
    <w:abstractNumId w:val="14"/>
  </w:num>
  <w:num w:numId="15" w16cid:durableId="390349800">
    <w:abstractNumId w:val="10"/>
  </w:num>
  <w:num w:numId="16" w16cid:durableId="341274352">
    <w:abstractNumId w:val="1"/>
  </w:num>
  <w:num w:numId="17" w16cid:durableId="19783363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1C16"/>
    <w:rsid w:val="00082362"/>
    <w:rsid w:val="000A683E"/>
    <w:rsid w:val="000B19B9"/>
    <w:rsid w:val="000B71B3"/>
    <w:rsid w:val="000D0334"/>
    <w:rsid w:val="000D5DA7"/>
    <w:rsid w:val="000F6486"/>
    <w:rsid w:val="00116940"/>
    <w:rsid w:val="00125105"/>
    <w:rsid w:val="00127233"/>
    <w:rsid w:val="0015699B"/>
    <w:rsid w:val="001A33BF"/>
    <w:rsid w:val="001E4177"/>
    <w:rsid w:val="001F0B24"/>
    <w:rsid w:val="001F40E7"/>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3F4AF7"/>
    <w:rsid w:val="00406575"/>
    <w:rsid w:val="00414C74"/>
    <w:rsid w:val="0042195C"/>
    <w:rsid w:val="0042722E"/>
    <w:rsid w:val="0044528D"/>
    <w:rsid w:val="00466E39"/>
    <w:rsid w:val="004A1847"/>
    <w:rsid w:val="004A305D"/>
    <w:rsid w:val="004F21C4"/>
    <w:rsid w:val="004F685F"/>
    <w:rsid w:val="005566E8"/>
    <w:rsid w:val="00574867"/>
    <w:rsid w:val="00591460"/>
    <w:rsid w:val="005A0FF2"/>
    <w:rsid w:val="005A65E0"/>
    <w:rsid w:val="005C3777"/>
    <w:rsid w:val="005C5CDC"/>
    <w:rsid w:val="005D476C"/>
    <w:rsid w:val="006200BF"/>
    <w:rsid w:val="006219F8"/>
    <w:rsid w:val="006302F7"/>
    <w:rsid w:val="00646B9F"/>
    <w:rsid w:val="00665D70"/>
    <w:rsid w:val="006900D9"/>
    <w:rsid w:val="006B3426"/>
    <w:rsid w:val="006B46D1"/>
    <w:rsid w:val="006B4B9E"/>
    <w:rsid w:val="00706C16"/>
    <w:rsid w:val="00712458"/>
    <w:rsid w:val="007340C3"/>
    <w:rsid w:val="0075235A"/>
    <w:rsid w:val="00756841"/>
    <w:rsid w:val="007649AB"/>
    <w:rsid w:val="00771D0C"/>
    <w:rsid w:val="007833AC"/>
    <w:rsid w:val="007B268C"/>
    <w:rsid w:val="007B7171"/>
    <w:rsid w:val="007C0C0F"/>
    <w:rsid w:val="007C3DC2"/>
    <w:rsid w:val="007E5497"/>
    <w:rsid w:val="00806F5F"/>
    <w:rsid w:val="00807104"/>
    <w:rsid w:val="00820278"/>
    <w:rsid w:val="008258C9"/>
    <w:rsid w:val="00844AE9"/>
    <w:rsid w:val="00867F95"/>
    <w:rsid w:val="008843B6"/>
    <w:rsid w:val="00891928"/>
    <w:rsid w:val="008A446D"/>
    <w:rsid w:val="008B25F1"/>
    <w:rsid w:val="008C21AF"/>
    <w:rsid w:val="008D180B"/>
    <w:rsid w:val="008F0EA7"/>
    <w:rsid w:val="00907294"/>
    <w:rsid w:val="00923EEF"/>
    <w:rsid w:val="00933622"/>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69C7"/>
    <w:rsid w:val="00A33C78"/>
    <w:rsid w:val="00AA310B"/>
    <w:rsid w:val="00AB0ADB"/>
    <w:rsid w:val="00B00C0E"/>
    <w:rsid w:val="00B01B1A"/>
    <w:rsid w:val="00B0381D"/>
    <w:rsid w:val="00B43B94"/>
    <w:rsid w:val="00B44A47"/>
    <w:rsid w:val="00B72CD3"/>
    <w:rsid w:val="00B72FFF"/>
    <w:rsid w:val="00BC3D36"/>
    <w:rsid w:val="00BD54A6"/>
    <w:rsid w:val="00BD65EE"/>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568B"/>
    <w:rsid w:val="00E50AFE"/>
    <w:rsid w:val="00E7146B"/>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43D7CBBD-C9D9-44D3-B528-4548AE3EF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0B71B3"/>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B71B3"/>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o.paez@palmira.gov.c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3F7F0DA-5760-4CB5-A8FF-EB7EA4BDD97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7</TotalTime>
  <Pages>19</Pages>
  <Words>5989</Words>
  <Characters>32404</Characters>
  <Application>Microsoft Office Word</Application>
  <DocSecurity>0</DocSecurity>
  <Lines>648</Lines>
  <Paragraphs>147</Paragraphs>
  <ScaleCrop>false</ScaleCrop>
  <Company/>
  <LinksUpToDate>false</LinksUpToDate>
  <CharactersWithSpaces>38246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2023-01-10T18:18:00Z</cp:lastPrinted>
  <dcterms:created xsi:type="dcterms:W3CDTF">2026-03-20T16:58:00Z</dcterms:created>
  <dcterms:modified xsi:type="dcterms:W3CDTF">2026-03-24T01:04:00Z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