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6FD35" w14:textId="77777777" w:rsidR="00187B26" w:rsidRDefault="00187B26" w:rsidP="00187B26">
      <w:pPr>
        <w:spacing w:after="0" w:line="240" w:lineRule="auto"/>
        <w:jc w:val="both"/>
        <w:rPr>
          <w:rFonts w:ascii="Verdana" w:eastAsia="Verdana" w:hAnsi="Verdana" w:cs="Verdana"/>
          <w:b/>
          <w:bCs/>
          <w:color w:val="000000" w:themeColor="text1"/>
        </w:rPr>
      </w:pPr>
      <w:bookmarkStart w:id="0" w:name="_Hlk214366482"/>
      <w:bookmarkStart w:id="1" w:name="_Hlk143780582"/>
      <w:r w:rsidRPr="00187B26">
        <w:rPr>
          <w:rFonts w:ascii="Verdana" w:eastAsia="Verdana" w:hAnsi="Verdana" w:cs="Verdana"/>
          <w:b/>
          <w:bCs/>
          <w:color w:val="000000" w:themeColor="text1"/>
        </w:rPr>
        <w:t xml:space="preserve">LEY DE GARANTÍAS ELECTORALES – Propósito </w:t>
      </w:r>
    </w:p>
    <w:p w14:paraId="16DFA987" w14:textId="77777777" w:rsidR="00187B26" w:rsidRDefault="00187B26" w:rsidP="00187B26">
      <w:pPr>
        <w:spacing w:after="0" w:line="240" w:lineRule="auto"/>
        <w:jc w:val="both"/>
        <w:rPr>
          <w:rFonts w:ascii="Verdana" w:eastAsia="Verdana" w:hAnsi="Verdana" w:cs="Verdana"/>
          <w:b/>
          <w:bCs/>
          <w:color w:val="000000" w:themeColor="text1"/>
        </w:rPr>
      </w:pPr>
    </w:p>
    <w:p w14:paraId="1FDE7E90" w14:textId="0CC54F42" w:rsidR="00187B26" w:rsidRPr="00187B26" w:rsidRDefault="00187B26" w:rsidP="00187B26">
      <w:pPr>
        <w:tabs>
          <w:tab w:val="left" w:pos="426"/>
        </w:tabs>
        <w:spacing w:after="0" w:line="240" w:lineRule="auto"/>
        <w:jc w:val="both"/>
        <w:rPr>
          <w:rFonts w:ascii="Verdana" w:eastAsia="Calibri" w:hAnsi="Verdana" w:cs="Arial"/>
          <w:noProof/>
          <w:sz w:val="20"/>
          <w:szCs w:val="20"/>
          <w:lang w:val="es-ES_tradnl"/>
        </w:rPr>
      </w:pPr>
      <w:r w:rsidRPr="00187B26">
        <w:rPr>
          <w:rFonts w:ascii="Verdana" w:eastAsia="Times New Roman" w:hAnsi="Verdana" w:cs="Arial"/>
          <w:bCs/>
          <w:sz w:val="20"/>
          <w:szCs w:val="20"/>
          <w:lang w:eastAsia="es-CO"/>
        </w:rPr>
        <w:t xml:space="preserve">[…] </w:t>
      </w:r>
      <w:r w:rsidRPr="00187B26">
        <w:rPr>
          <w:rFonts w:ascii="Verdana" w:eastAsia="Times New Roman" w:hAnsi="Verdana" w:cs="Arial"/>
          <w:bCs/>
          <w:sz w:val="20"/>
          <w:szCs w:val="20"/>
          <w:lang w:eastAsia="es-CO"/>
        </w:rPr>
        <w:t>la Ley 996 de 2005, conocida como “Ley de Garantías Electorales</w:t>
      </w:r>
      <w:r w:rsidRPr="00187B26">
        <w:rPr>
          <w:rFonts w:ascii="Verdana" w:eastAsia="Times New Roman" w:hAnsi="Verdana" w:cs="Arial"/>
          <w:bCs/>
          <w:sz w:val="20"/>
          <w:szCs w:val="20"/>
          <w:lang w:eastAsia="es-CO"/>
        </w:rPr>
        <w:t xml:space="preserve"> […]</w:t>
      </w:r>
      <w:r w:rsidRPr="00187B26">
        <w:rPr>
          <w:rFonts w:ascii="Verdana" w:eastAsia="Times New Roman" w:hAnsi="Verdana" w:cs="Arial"/>
          <w:bCs/>
          <w:sz w:val="20"/>
          <w:szCs w:val="20"/>
          <w:lang w:eastAsia="es-CO"/>
        </w:rPr>
        <w:t xml:space="preserve">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87B26">
        <w:rPr>
          <w:rFonts w:ascii="Verdana" w:eastAsia="Calibri" w:hAnsi="Verdana" w:cs="Arial"/>
          <w:noProof/>
          <w:sz w:val="20"/>
          <w:szCs w:val="20"/>
          <w:lang w:val="es-ES_tradnl"/>
        </w:rPr>
        <w:t xml:space="preserve"> </w:t>
      </w:r>
    </w:p>
    <w:p w14:paraId="4A601098" w14:textId="77777777" w:rsidR="00187B26" w:rsidRDefault="00187B26" w:rsidP="00187B26">
      <w:pPr>
        <w:spacing w:after="0" w:line="240" w:lineRule="auto"/>
        <w:jc w:val="both"/>
        <w:rPr>
          <w:rFonts w:ascii="Verdana" w:eastAsia="Verdana" w:hAnsi="Verdana" w:cs="Verdana"/>
          <w:b/>
          <w:bCs/>
          <w:color w:val="000000" w:themeColor="text1"/>
        </w:rPr>
      </w:pPr>
    </w:p>
    <w:p w14:paraId="630651E4" w14:textId="076BB735" w:rsidR="00187B26" w:rsidRDefault="00187B26" w:rsidP="00187B26">
      <w:pPr>
        <w:spacing w:after="0" w:line="240" w:lineRule="auto"/>
        <w:jc w:val="both"/>
        <w:rPr>
          <w:rFonts w:ascii="Verdana" w:eastAsia="Verdana" w:hAnsi="Verdana" w:cs="Verdana"/>
          <w:b/>
          <w:bCs/>
          <w:color w:val="000000" w:themeColor="text1"/>
        </w:rPr>
      </w:pPr>
      <w:r w:rsidRPr="00187B26">
        <w:rPr>
          <w:rFonts w:ascii="Verdana" w:eastAsia="Verdana" w:hAnsi="Verdana" w:cs="Verdana"/>
          <w:b/>
          <w:bCs/>
          <w:color w:val="000000" w:themeColor="text1"/>
        </w:rPr>
        <w:t xml:space="preserve">LEY DE GARANTÍAS ELECTORALES – Prohibiciones – Restricciones </w:t>
      </w:r>
    </w:p>
    <w:p w14:paraId="729E1A55" w14:textId="77777777" w:rsidR="00187B26" w:rsidRDefault="00187B26" w:rsidP="00187B26">
      <w:pPr>
        <w:spacing w:after="0" w:line="240" w:lineRule="auto"/>
        <w:jc w:val="both"/>
        <w:rPr>
          <w:rFonts w:ascii="Verdana" w:eastAsia="Verdana" w:hAnsi="Verdana" w:cs="Verdana"/>
          <w:color w:val="000000" w:themeColor="text1"/>
        </w:rPr>
      </w:pPr>
    </w:p>
    <w:p w14:paraId="6346AC11" w14:textId="05A3A92F" w:rsidR="00187B26" w:rsidRPr="00187B26" w:rsidRDefault="00187B26" w:rsidP="00187B26">
      <w:pPr>
        <w:spacing w:after="0" w:line="240" w:lineRule="auto"/>
        <w:jc w:val="both"/>
        <w:rPr>
          <w:rFonts w:ascii="Verdana" w:eastAsia="Arial" w:hAnsi="Verdana" w:cs="Arial"/>
          <w:sz w:val="20"/>
          <w:szCs w:val="20"/>
          <w:lang w:val="es-ES" w:eastAsia="es-ES" w:bidi="es-ES"/>
        </w:rPr>
      </w:pPr>
      <w:r w:rsidRPr="00187B26">
        <w:rPr>
          <w:rFonts w:ascii="Verdana" w:eastAsia="Verdana" w:hAnsi="Verdana" w:cs="Verdana"/>
          <w:color w:val="000000" w:themeColor="text1"/>
        </w:rPr>
        <w:t xml:space="preserve">[…] </w:t>
      </w:r>
      <w:r w:rsidRPr="00187B26">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F9BAF1A" w14:textId="77777777" w:rsidR="00187B26" w:rsidRDefault="00187B26" w:rsidP="00187B26">
      <w:pPr>
        <w:spacing w:after="0" w:line="240" w:lineRule="auto"/>
        <w:jc w:val="both"/>
        <w:rPr>
          <w:rFonts w:ascii="Verdana" w:eastAsia="Arial" w:hAnsi="Verdana" w:cs="Arial"/>
          <w:sz w:val="20"/>
          <w:szCs w:val="20"/>
          <w:lang w:val="es-ES" w:eastAsia="es-ES" w:bidi="es-ES"/>
        </w:rPr>
      </w:pPr>
    </w:p>
    <w:p w14:paraId="2943F6B2" w14:textId="366519CD" w:rsidR="00187B26" w:rsidRPr="00187B26" w:rsidRDefault="00187B26" w:rsidP="00187B26">
      <w:pPr>
        <w:spacing w:after="0" w:line="240" w:lineRule="auto"/>
        <w:jc w:val="both"/>
        <w:rPr>
          <w:rFonts w:ascii="Verdana" w:eastAsia="Arial" w:hAnsi="Verdana" w:cs="Arial"/>
          <w:sz w:val="20"/>
          <w:szCs w:val="20"/>
          <w:lang w:val="es-ES" w:eastAsia="es-ES" w:bidi="es-ES"/>
        </w:rPr>
      </w:pPr>
      <w:r w:rsidRPr="00187B26">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02DBFF52" w14:textId="77777777" w:rsidR="00187B26" w:rsidRDefault="00187B26" w:rsidP="00187B26">
      <w:pPr>
        <w:spacing w:after="0" w:line="240" w:lineRule="auto"/>
        <w:jc w:val="both"/>
        <w:rPr>
          <w:rFonts w:ascii="Verdana" w:eastAsia="Calibri" w:hAnsi="Verdana" w:cs="Arial"/>
          <w:sz w:val="20"/>
          <w:szCs w:val="20"/>
        </w:rPr>
      </w:pPr>
    </w:p>
    <w:p w14:paraId="2F5BE16F" w14:textId="0F86493C" w:rsidR="00187B26" w:rsidRPr="00187B26" w:rsidRDefault="00187B26" w:rsidP="00187B26">
      <w:pPr>
        <w:spacing w:after="0" w:line="240" w:lineRule="auto"/>
        <w:jc w:val="both"/>
        <w:rPr>
          <w:rFonts w:ascii="Verdana" w:eastAsia="Calibri" w:hAnsi="Verdana" w:cs="Arial"/>
          <w:sz w:val="20"/>
          <w:szCs w:val="20"/>
        </w:rPr>
      </w:pPr>
      <w:r w:rsidRPr="00187B26">
        <w:rPr>
          <w:rFonts w:ascii="Verdana" w:eastAsia="Calibri" w:hAnsi="Verdana" w:cs="Arial"/>
          <w:sz w:val="20"/>
          <w:szCs w:val="20"/>
        </w:rPr>
        <w:t>Por un lado, el artículo 33 de la Ley 996 de 2005 prohíbe “</w:t>
      </w:r>
      <w:r w:rsidRPr="00187B26">
        <w:rPr>
          <w:rFonts w:ascii="Verdana" w:eastAsia="Calibri" w:hAnsi="Verdana" w:cs="Arial"/>
          <w:bCs/>
          <w:sz w:val="20"/>
          <w:szCs w:val="20"/>
        </w:rPr>
        <w:t xml:space="preserve">(…) </w:t>
      </w:r>
      <w:r w:rsidRPr="00187B26">
        <w:rPr>
          <w:rFonts w:ascii="Verdana" w:eastAsia="Calibri" w:hAnsi="Verdana" w:cs="Arial"/>
          <w:sz w:val="20"/>
          <w:szCs w:val="20"/>
        </w:rPr>
        <w:t>la contratación directa por parte de todos los entes del Estado</w:t>
      </w:r>
      <w:r w:rsidRPr="00187B26">
        <w:rPr>
          <w:rFonts w:ascii="Verdana" w:eastAsia="Calibri" w:hAnsi="Verdana" w:cs="Arial"/>
          <w:bCs/>
          <w:sz w:val="20"/>
          <w:szCs w:val="20"/>
        </w:rPr>
        <w:t>”</w:t>
      </w:r>
      <w:r w:rsidRPr="00187B26">
        <w:rPr>
          <w:rFonts w:ascii="Verdana" w:eastAsia="Calibri" w:hAnsi="Verdana" w:cs="Arial"/>
          <w:sz w:val="20"/>
          <w:szCs w:val="20"/>
        </w:rPr>
        <w:t xml:space="preserve"> durante los cuatro (4) meses anteriores a las elecciones presidenciales, salvo </w:t>
      </w:r>
      <w:r w:rsidRPr="00187B26">
        <w:rPr>
          <w:rFonts w:ascii="Verdana" w:eastAsia="Calibri" w:hAnsi="Verdana" w:cs="Arial"/>
          <w:bCs/>
          <w:sz w:val="20"/>
          <w:szCs w:val="20"/>
        </w:rPr>
        <w:t xml:space="preserve">“(…) </w:t>
      </w:r>
      <w:r w:rsidRPr="00187B26">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87B26">
        <w:rPr>
          <w:rFonts w:ascii="Verdana" w:eastAsia="Calibri" w:hAnsi="Verdana" w:cs="Arial"/>
          <w:bCs/>
          <w:sz w:val="20"/>
          <w:szCs w:val="20"/>
        </w:rPr>
        <w:t>”</w:t>
      </w:r>
      <w:r w:rsidRPr="00187B26">
        <w:rPr>
          <w:rFonts w:ascii="Verdana" w:eastAsia="Calibri" w:hAnsi="Verdana" w:cs="Arial"/>
          <w:sz w:val="20"/>
          <w:szCs w:val="20"/>
        </w:rPr>
        <w:t>.</w:t>
      </w:r>
    </w:p>
    <w:p w14:paraId="12137543" w14:textId="77777777" w:rsidR="00187B26" w:rsidRDefault="00187B26" w:rsidP="00187B26">
      <w:pPr>
        <w:widowControl w:val="0"/>
        <w:autoSpaceDE w:val="0"/>
        <w:autoSpaceDN w:val="0"/>
        <w:spacing w:after="0" w:line="240" w:lineRule="auto"/>
        <w:jc w:val="both"/>
        <w:rPr>
          <w:rFonts w:ascii="Verdana" w:eastAsia="Calibri" w:hAnsi="Verdana" w:cs="Arial"/>
          <w:sz w:val="20"/>
          <w:szCs w:val="20"/>
        </w:rPr>
      </w:pPr>
    </w:p>
    <w:p w14:paraId="72E41FD6" w14:textId="4CDE9553" w:rsidR="00187B26" w:rsidRPr="00187B26" w:rsidRDefault="00187B26" w:rsidP="00187B26">
      <w:pPr>
        <w:widowControl w:val="0"/>
        <w:autoSpaceDE w:val="0"/>
        <w:autoSpaceDN w:val="0"/>
        <w:spacing w:after="0" w:line="240" w:lineRule="auto"/>
        <w:jc w:val="both"/>
        <w:rPr>
          <w:rFonts w:ascii="Verdana" w:eastAsia="Arial" w:hAnsi="Verdana" w:cs="Arial"/>
          <w:sz w:val="20"/>
          <w:szCs w:val="20"/>
          <w:lang w:val="es-ES" w:eastAsia="es-ES" w:bidi="es-ES"/>
        </w:rPr>
      </w:pPr>
      <w:r w:rsidRPr="00187B26">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187B26">
        <w:rPr>
          <w:rFonts w:ascii="Verdana" w:eastAsia="Calibri" w:hAnsi="Verdana" w:cs="Arial"/>
          <w:bCs/>
          <w:sz w:val="20"/>
          <w:szCs w:val="20"/>
        </w:rPr>
        <w:t xml:space="preserve">“(…) </w:t>
      </w:r>
      <w:r w:rsidRPr="00187B26">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87B26">
        <w:rPr>
          <w:rFonts w:ascii="Verdana" w:eastAsia="Calibri" w:hAnsi="Verdana" w:cs="Arial"/>
          <w:bCs/>
          <w:sz w:val="20"/>
          <w:szCs w:val="20"/>
        </w:rPr>
        <w:t>”</w:t>
      </w:r>
      <w:r w:rsidRPr="00187B26">
        <w:rPr>
          <w:rFonts w:ascii="Verdana" w:eastAsia="Calibri" w:hAnsi="Verdana" w:cs="Arial"/>
          <w:sz w:val="20"/>
          <w:szCs w:val="20"/>
        </w:rPr>
        <w:t>.</w:t>
      </w:r>
      <w:r w:rsidRPr="00187B26">
        <w:rPr>
          <w:rFonts w:ascii="Verdana" w:eastAsia="Arial" w:hAnsi="Verdana" w:cs="Arial"/>
          <w:sz w:val="20"/>
          <w:szCs w:val="20"/>
          <w:lang w:val="es-ES" w:eastAsia="es-ES" w:bidi="es-ES"/>
        </w:rPr>
        <w:t xml:space="preserve"> </w:t>
      </w:r>
    </w:p>
    <w:p w14:paraId="7EDF9AE8" w14:textId="77777777" w:rsidR="00187B26" w:rsidRPr="00187B26" w:rsidRDefault="00187B26" w:rsidP="00187B26">
      <w:pPr>
        <w:spacing w:after="0" w:line="240" w:lineRule="auto"/>
        <w:jc w:val="both"/>
        <w:rPr>
          <w:rFonts w:ascii="Verdana" w:eastAsia="Verdana" w:hAnsi="Verdana" w:cs="Verdana"/>
          <w:b/>
          <w:bCs/>
          <w:color w:val="000000" w:themeColor="text1"/>
          <w:lang w:val="es-ES"/>
        </w:rPr>
      </w:pPr>
    </w:p>
    <w:p w14:paraId="75C6AAC5" w14:textId="77777777" w:rsidR="00187B26" w:rsidRDefault="00187B26" w:rsidP="00187B26">
      <w:pPr>
        <w:spacing w:after="0" w:line="240" w:lineRule="auto"/>
        <w:jc w:val="both"/>
        <w:rPr>
          <w:rFonts w:ascii="Verdana" w:eastAsia="Verdana" w:hAnsi="Verdana" w:cs="Verdana"/>
          <w:b/>
          <w:bCs/>
          <w:color w:val="000000" w:themeColor="text1"/>
        </w:rPr>
      </w:pPr>
      <w:r w:rsidRPr="00187B26">
        <w:rPr>
          <w:rFonts w:ascii="Verdana" w:eastAsia="Verdana" w:hAnsi="Verdana" w:cs="Verdana"/>
          <w:b/>
          <w:bCs/>
          <w:color w:val="000000" w:themeColor="text1"/>
        </w:rPr>
        <w:t>LEY DE GARANTÍAS ELECTORALES – Artículo 33 – Ámbito material</w:t>
      </w:r>
    </w:p>
    <w:p w14:paraId="44289EB1" w14:textId="77777777" w:rsidR="00187B26" w:rsidRDefault="00187B26" w:rsidP="00187B26">
      <w:pPr>
        <w:spacing w:after="0" w:line="240" w:lineRule="auto"/>
        <w:jc w:val="both"/>
        <w:rPr>
          <w:rFonts w:ascii="Verdana" w:eastAsia="Verdana" w:hAnsi="Verdana" w:cs="Verdana"/>
          <w:b/>
          <w:bCs/>
          <w:color w:val="000000" w:themeColor="text1"/>
        </w:rPr>
      </w:pPr>
    </w:p>
    <w:p w14:paraId="75DFFC6A" w14:textId="78DC025D" w:rsidR="00187B26" w:rsidRDefault="00187B26" w:rsidP="00187B26">
      <w:pPr>
        <w:spacing w:after="0" w:line="240" w:lineRule="auto"/>
        <w:jc w:val="both"/>
        <w:rPr>
          <w:rFonts w:ascii="Verdana" w:hAnsi="Verdana" w:cs="Arial"/>
          <w:bCs/>
          <w:sz w:val="20"/>
          <w:szCs w:val="20"/>
          <w:lang w:eastAsia="x-none"/>
        </w:rPr>
      </w:pPr>
      <w:r w:rsidRPr="00187B26">
        <w:rPr>
          <w:rFonts w:ascii="Verdana" w:hAnsi="Verdana" w:cs="Arial"/>
          <w:bCs/>
          <w:sz w:val="20"/>
          <w:szCs w:val="20"/>
          <w:lang w:eastAsia="x-none"/>
        </w:rPr>
        <w:t xml:space="preserve">El ámbito material de la prohibición contenida en el artículo 33 de la Ley 996 de 2005 está delimitado por la expresión </w:t>
      </w:r>
      <w:r w:rsidRPr="00187B26">
        <w:rPr>
          <w:rFonts w:ascii="Verdana" w:eastAsia="Calibri" w:hAnsi="Verdana" w:cs="Arial"/>
          <w:bCs/>
          <w:i/>
          <w:iCs/>
          <w:sz w:val="20"/>
          <w:szCs w:val="20"/>
        </w:rPr>
        <w:t>“</w:t>
      </w:r>
      <w:r w:rsidRPr="00187B26">
        <w:rPr>
          <w:rFonts w:ascii="Verdana" w:hAnsi="Verdana" w:cs="Arial"/>
          <w:bCs/>
          <w:i/>
          <w:iCs/>
          <w:sz w:val="20"/>
          <w:szCs w:val="20"/>
          <w:lang w:eastAsia="x-none"/>
        </w:rPr>
        <w:t>queda prohibida la contratación directa</w:t>
      </w:r>
      <w:r w:rsidRPr="00187B26">
        <w:rPr>
          <w:rFonts w:ascii="Verdana" w:hAnsi="Verdana" w:cs="Arial"/>
          <w:sz w:val="20"/>
          <w:szCs w:val="20"/>
        </w:rPr>
        <w:t>”</w:t>
      </w:r>
      <w:r>
        <w:rPr>
          <w:rFonts w:ascii="Verdana" w:hAnsi="Verdana" w:cs="Arial"/>
          <w:bCs/>
          <w:sz w:val="20"/>
          <w:szCs w:val="20"/>
          <w:lang w:eastAsia="x-none"/>
        </w:rPr>
        <w:t xml:space="preserve"> […]</w:t>
      </w:r>
      <w:r w:rsidRPr="00187B26">
        <w:rPr>
          <w:rFonts w:ascii="Verdana" w:hAnsi="Verdana" w:cs="Arial"/>
          <w:bCs/>
          <w:sz w:val="20"/>
          <w:szCs w:val="20"/>
          <w:lang w:eastAsia="x-none"/>
        </w:rPr>
        <w:t xml:space="preserve"> por lo que excluye las demás modalidades de contratación previstas en la Ley 1150 de 2007, es </w:t>
      </w:r>
      <w:r w:rsidRPr="00187B26">
        <w:rPr>
          <w:rFonts w:ascii="Verdana" w:hAnsi="Verdana" w:cs="Arial"/>
          <w:bCs/>
          <w:sz w:val="20"/>
          <w:szCs w:val="20"/>
          <w:lang w:eastAsia="x-none"/>
        </w:rPr>
        <w:lastRenderedPageBreak/>
        <w:t>decir, la licitación pública, la selección abreviada, el concurso de méritos y la mínima cuantía u otros previstos sistemas abiertos y competitivos dispuestos en normas especiales.</w:t>
      </w:r>
    </w:p>
    <w:p w14:paraId="44177BCC" w14:textId="77777777" w:rsidR="00187B26" w:rsidRPr="00187B26" w:rsidRDefault="00187B26" w:rsidP="00187B26">
      <w:pPr>
        <w:spacing w:after="0" w:line="240" w:lineRule="auto"/>
        <w:jc w:val="both"/>
        <w:rPr>
          <w:rFonts w:ascii="Verdana" w:hAnsi="Verdana" w:cs="Arial"/>
          <w:bCs/>
          <w:sz w:val="20"/>
          <w:szCs w:val="20"/>
          <w:lang w:eastAsia="x-none"/>
        </w:rPr>
      </w:pPr>
    </w:p>
    <w:p w14:paraId="7FA9C26B" w14:textId="1FC23FEF" w:rsidR="00187B26" w:rsidRPr="00187B26" w:rsidRDefault="00187B26" w:rsidP="00187B26">
      <w:pPr>
        <w:spacing w:after="0" w:line="240" w:lineRule="auto"/>
        <w:jc w:val="both"/>
        <w:rPr>
          <w:rFonts w:ascii="Verdana" w:hAnsi="Verdana" w:cs="Arial"/>
          <w:bCs/>
          <w:sz w:val="20"/>
          <w:szCs w:val="20"/>
          <w:lang w:eastAsia="es-CO"/>
        </w:rPr>
      </w:pPr>
      <w:r w:rsidRPr="00187B26">
        <w:rPr>
          <w:rFonts w:ascii="Verdana" w:hAnsi="Verdana" w:cs="Arial"/>
          <w:bCs/>
          <w:sz w:val="20"/>
          <w:szCs w:val="20"/>
          <w:lang w:eastAsia="x-none"/>
        </w:rPr>
        <w:t>E</w:t>
      </w:r>
      <w:r w:rsidRPr="00187B26">
        <w:rPr>
          <w:rFonts w:ascii="Verdana" w:hAnsi="Verdana" w:cs="Arial"/>
          <w:sz w:val="20"/>
          <w:szCs w:val="20"/>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87B26">
        <w:rPr>
          <w:rFonts w:ascii="Verdana" w:hAnsi="Verdana" w:cs="Arial"/>
          <w:i/>
          <w:iCs/>
          <w:sz w:val="20"/>
          <w:szCs w:val="20"/>
          <w:lang w:eastAsia="x-none"/>
        </w:rPr>
        <w:t>“contratación directa</w:t>
      </w:r>
      <w:r w:rsidRPr="00187B26">
        <w:rPr>
          <w:rFonts w:ascii="Verdana" w:hAnsi="Verdana" w:cs="Arial"/>
          <w:sz w:val="20"/>
          <w:szCs w:val="20"/>
          <w:lang w:eastAsia="x-none"/>
        </w:rPr>
        <w:t xml:space="preserve">”, es que la convocatoria para inscribirse en forma previa se haga de manera pública, y que se permita la participación de una pluralidad de oferentes. </w:t>
      </w:r>
    </w:p>
    <w:p w14:paraId="0D89AAC5" w14:textId="77777777" w:rsidR="00187B26" w:rsidRDefault="00187B26" w:rsidP="00187B26">
      <w:pPr>
        <w:spacing w:after="0" w:line="240" w:lineRule="auto"/>
        <w:jc w:val="both"/>
        <w:rPr>
          <w:rFonts w:ascii="Verdana" w:hAnsi="Verdana" w:cs="Arial"/>
          <w:bCs/>
          <w:sz w:val="20"/>
          <w:szCs w:val="20"/>
          <w:lang w:eastAsia="es-CO"/>
        </w:rPr>
      </w:pPr>
    </w:p>
    <w:p w14:paraId="6B23D07B" w14:textId="357C670B" w:rsidR="00187B26" w:rsidRPr="00187B26" w:rsidRDefault="000A5D17" w:rsidP="000A5D17">
      <w:pPr>
        <w:spacing w:after="0" w:line="240" w:lineRule="auto"/>
        <w:jc w:val="both"/>
        <w:rPr>
          <w:rFonts w:ascii="Verdana" w:hAnsi="Verdana" w:cs="Arial"/>
          <w:sz w:val="20"/>
          <w:szCs w:val="20"/>
          <w:lang w:eastAsia="x-none"/>
        </w:rPr>
      </w:pPr>
      <w:r>
        <w:rPr>
          <w:rFonts w:ascii="Verdana" w:hAnsi="Verdana" w:cs="Arial"/>
          <w:bCs/>
          <w:sz w:val="20"/>
          <w:szCs w:val="20"/>
          <w:lang w:eastAsia="es-CO"/>
        </w:rPr>
        <w:t xml:space="preserve">[…] </w:t>
      </w:r>
      <w:r w:rsidR="00187B26" w:rsidRPr="00187B26">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7D2BCD0A" w14:textId="77777777" w:rsidR="00187B26" w:rsidRPr="00187B26" w:rsidRDefault="00187B26" w:rsidP="00187B26">
      <w:pPr>
        <w:spacing w:after="0" w:line="240" w:lineRule="auto"/>
        <w:jc w:val="both"/>
        <w:rPr>
          <w:rFonts w:ascii="Verdana" w:hAnsi="Verdana" w:cs="Arial"/>
          <w:bCs/>
          <w:sz w:val="20"/>
          <w:szCs w:val="20"/>
          <w:lang w:eastAsia="x-none"/>
        </w:rPr>
      </w:pPr>
    </w:p>
    <w:p w14:paraId="2C573EAD" w14:textId="43BE3F8A" w:rsidR="00187B26" w:rsidRDefault="00187B26" w:rsidP="00187B26">
      <w:pPr>
        <w:spacing w:after="0" w:line="240" w:lineRule="auto"/>
        <w:jc w:val="both"/>
        <w:rPr>
          <w:rFonts w:ascii="Verdana" w:eastAsia="Verdana" w:hAnsi="Verdana" w:cs="Verdana"/>
          <w:b/>
          <w:bCs/>
          <w:color w:val="000000" w:themeColor="text1"/>
        </w:rPr>
      </w:pPr>
      <w:r w:rsidRPr="00187B26">
        <w:rPr>
          <w:rFonts w:ascii="Verdana" w:eastAsia="Verdana" w:hAnsi="Verdana" w:cs="Verdana"/>
          <w:b/>
          <w:bCs/>
          <w:color w:val="000000" w:themeColor="text1"/>
        </w:rPr>
        <w:t xml:space="preserve">LEY DE GARANTÍAS ELECTORALES – Destinatarios </w:t>
      </w:r>
    </w:p>
    <w:p w14:paraId="1480C44A" w14:textId="77777777" w:rsidR="000A5D17" w:rsidRDefault="000A5D17" w:rsidP="00187B26">
      <w:pPr>
        <w:spacing w:after="0" w:line="240" w:lineRule="auto"/>
        <w:jc w:val="both"/>
        <w:rPr>
          <w:rFonts w:ascii="Verdana" w:eastAsia="Verdana" w:hAnsi="Verdana" w:cs="Verdana"/>
          <w:b/>
          <w:bCs/>
          <w:color w:val="000000" w:themeColor="text1"/>
        </w:rPr>
      </w:pPr>
    </w:p>
    <w:p w14:paraId="3EF4D1AD" w14:textId="3FA1E30A" w:rsidR="000A5D17" w:rsidRPr="000A5D17" w:rsidRDefault="000A5D17" w:rsidP="000A5D17">
      <w:pPr>
        <w:spacing w:after="0" w:line="240" w:lineRule="auto"/>
        <w:jc w:val="both"/>
        <w:rPr>
          <w:rFonts w:ascii="Verdana" w:hAnsi="Verdana" w:cs="Arial"/>
          <w:color w:val="000000" w:themeColor="text1"/>
          <w:sz w:val="20"/>
          <w:szCs w:val="20"/>
          <w:lang w:val="es-MX"/>
        </w:rPr>
      </w:pPr>
      <w:r w:rsidRPr="000A5D17">
        <w:rPr>
          <w:rFonts w:ascii="Verdana" w:hAnsi="Verdana" w:cs="Arial"/>
          <w:color w:val="000000" w:themeColor="text1"/>
          <w:sz w:val="20"/>
          <w:szCs w:val="20"/>
          <w:lang w:val="es-MX"/>
        </w:rPr>
        <w:t xml:space="preserve">[…] </w:t>
      </w:r>
      <w:r w:rsidRPr="000A5D17">
        <w:rPr>
          <w:rFonts w:ascii="Verdana" w:hAnsi="Verdana" w:cs="Arial"/>
          <w:color w:val="000000" w:themeColor="text1"/>
          <w:sz w:val="20"/>
          <w:szCs w:val="20"/>
          <w:lang w:val="es-MX"/>
        </w:rPr>
        <w:t>en relación con los destinatarios de las restricciones, el artículo 33 de la Ley 996 de 2005 los señala expresamente, en el sentido de que son “</w:t>
      </w:r>
      <w:r w:rsidRPr="000A5D17">
        <w:rPr>
          <w:rFonts w:ascii="Verdana" w:hAnsi="Verdana" w:cs="Arial"/>
          <w:i/>
          <w:color w:val="000000" w:themeColor="text1"/>
          <w:sz w:val="20"/>
          <w:szCs w:val="20"/>
          <w:lang w:val="es-MX"/>
        </w:rPr>
        <w:t>todos los entes del Estado</w:t>
      </w:r>
      <w:r w:rsidRPr="000A5D17">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4C71027" w14:textId="77777777" w:rsidR="000A5D17" w:rsidRPr="000A5D17" w:rsidRDefault="000A5D17" w:rsidP="00187B26">
      <w:pPr>
        <w:spacing w:after="0" w:line="240" w:lineRule="auto"/>
        <w:jc w:val="both"/>
        <w:rPr>
          <w:rFonts w:ascii="Verdana" w:eastAsia="Verdana" w:hAnsi="Verdana" w:cs="Verdana"/>
          <w:b/>
          <w:bCs/>
          <w:color w:val="000000" w:themeColor="text1"/>
          <w:lang w:val="es-MX"/>
        </w:rPr>
      </w:pPr>
    </w:p>
    <w:p w14:paraId="23B9B219" w14:textId="77777777" w:rsidR="00187B26" w:rsidRDefault="00187B26" w:rsidP="00187B26">
      <w:pPr>
        <w:spacing w:after="0" w:line="240" w:lineRule="auto"/>
        <w:jc w:val="both"/>
        <w:rPr>
          <w:rFonts w:ascii="Verdana" w:eastAsia="Verdana" w:hAnsi="Verdana" w:cs="Verdana"/>
          <w:b/>
          <w:bCs/>
          <w:color w:val="000000" w:themeColor="text1"/>
        </w:rPr>
      </w:pPr>
      <w:r w:rsidRPr="00187B26">
        <w:rPr>
          <w:rFonts w:ascii="Verdana" w:eastAsia="Verdana" w:hAnsi="Verdana" w:cs="Verdana"/>
          <w:b/>
          <w:bCs/>
          <w:color w:val="000000" w:themeColor="text1"/>
        </w:rPr>
        <w:t xml:space="preserve">LEY DE GARANTÍAS ELECTORALES – Excepciones </w:t>
      </w:r>
    </w:p>
    <w:p w14:paraId="45B483A7" w14:textId="77777777" w:rsidR="000A5D17" w:rsidRDefault="000A5D17" w:rsidP="00187B26">
      <w:pPr>
        <w:spacing w:after="0" w:line="240" w:lineRule="auto"/>
        <w:jc w:val="both"/>
        <w:rPr>
          <w:rFonts w:ascii="Verdana" w:eastAsia="Verdana" w:hAnsi="Verdana" w:cs="Verdana"/>
          <w:b/>
          <w:bCs/>
          <w:color w:val="000000" w:themeColor="text1"/>
        </w:rPr>
      </w:pPr>
    </w:p>
    <w:p w14:paraId="378F9433" w14:textId="77777777" w:rsidR="000A5D17" w:rsidRPr="000A5D17" w:rsidRDefault="000A5D17" w:rsidP="000A5D17">
      <w:pPr>
        <w:spacing w:after="0" w:line="240" w:lineRule="auto"/>
        <w:jc w:val="both"/>
        <w:rPr>
          <w:rFonts w:ascii="Verdana" w:hAnsi="Verdana" w:cs="Arial"/>
          <w:bCs/>
          <w:sz w:val="20"/>
          <w:szCs w:val="20"/>
          <w:lang w:eastAsia="x-none"/>
        </w:rPr>
      </w:pPr>
      <w:r w:rsidRPr="000A5D17">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0A5D17">
        <w:rPr>
          <w:rFonts w:ascii="Verdana" w:eastAsia="Times New Roman" w:hAnsi="Verdana" w:cs="Arial"/>
          <w:bCs/>
          <w:sz w:val="20"/>
          <w:szCs w:val="20"/>
          <w:lang w:val="es-ES" w:eastAsia="es-CO" w:bidi="es-ES"/>
        </w:rPr>
        <w:t>ii</w:t>
      </w:r>
      <w:proofErr w:type="spellEnd"/>
      <w:r w:rsidRPr="000A5D17">
        <w:rPr>
          <w:rFonts w:ascii="Verdana" w:eastAsia="Times New Roman" w:hAnsi="Verdana" w:cs="Arial"/>
          <w:bCs/>
          <w:sz w:val="20"/>
          <w:szCs w:val="20"/>
          <w:lang w:val="es-ES" w:eastAsia="es-CO" w:bidi="es-ES"/>
        </w:rPr>
        <w:t xml:space="preserve">) los contratos de crédito público; </w:t>
      </w:r>
      <w:proofErr w:type="spellStart"/>
      <w:r w:rsidRPr="000A5D17">
        <w:rPr>
          <w:rFonts w:ascii="Verdana" w:eastAsia="Times New Roman" w:hAnsi="Verdana" w:cs="Arial"/>
          <w:bCs/>
          <w:sz w:val="20"/>
          <w:szCs w:val="20"/>
          <w:lang w:val="es-ES" w:eastAsia="es-CO" w:bidi="es-ES"/>
        </w:rPr>
        <w:t>iii</w:t>
      </w:r>
      <w:proofErr w:type="spellEnd"/>
      <w:r w:rsidRPr="000A5D17">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0A5D17">
        <w:rPr>
          <w:rFonts w:ascii="Verdana" w:eastAsia="Times New Roman" w:hAnsi="Verdana" w:cs="Arial"/>
          <w:bCs/>
          <w:sz w:val="20"/>
          <w:szCs w:val="20"/>
          <w:lang w:val="es-ES" w:eastAsia="es-CO" w:bidi="es-ES"/>
        </w:rPr>
        <w:t>iv</w:t>
      </w:r>
      <w:proofErr w:type="spellEnd"/>
      <w:r w:rsidRPr="000A5D17">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0A5D17">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4A2BBBE" w14:textId="77777777" w:rsidR="000A5D17" w:rsidRPr="00187B26" w:rsidRDefault="000A5D17" w:rsidP="00187B26">
      <w:pPr>
        <w:spacing w:after="0" w:line="240" w:lineRule="auto"/>
        <w:jc w:val="both"/>
        <w:rPr>
          <w:rFonts w:ascii="Verdana" w:eastAsia="Verdana" w:hAnsi="Verdana" w:cs="Verdana"/>
          <w:b/>
          <w:bCs/>
          <w:color w:val="000000" w:themeColor="text1"/>
        </w:rPr>
      </w:pPr>
    </w:p>
    <w:p w14:paraId="4305BA32" w14:textId="77777777" w:rsidR="000A5D17" w:rsidRDefault="00187B26" w:rsidP="00187B26">
      <w:pPr>
        <w:spacing w:after="0" w:line="240" w:lineRule="auto"/>
        <w:jc w:val="both"/>
        <w:rPr>
          <w:rFonts w:ascii="Verdana" w:eastAsia="Verdana" w:hAnsi="Verdana" w:cs="Verdana"/>
          <w:b/>
          <w:bCs/>
          <w:color w:val="000000" w:themeColor="text1"/>
        </w:rPr>
      </w:pPr>
      <w:r w:rsidRPr="00187B26">
        <w:rPr>
          <w:rFonts w:ascii="Verdana" w:eastAsia="Verdana" w:hAnsi="Verdana" w:cs="Verdana"/>
          <w:b/>
          <w:bCs/>
          <w:color w:val="000000" w:themeColor="text1"/>
        </w:rPr>
        <w:t xml:space="preserve">ACTIVIDADES DE CIENCIA, TECNOLOGÍA E INNOVACIÓN ― Regulación </w:t>
      </w:r>
    </w:p>
    <w:p w14:paraId="1682D7D7" w14:textId="77777777" w:rsidR="000A5D17" w:rsidRDefault="000A5D17" w:rsidP="00187B26">
      <w:pPr>
        <w:spacing w:after="0" w:line="240" w:lineRule="auto"/>
        <w:jc w:val="both"/>
        <w:rPr>
          <w:rFonts w:ascii="Verdana" w:eastAsia="Verdana" w:hAnsi="Verdana" w:cs="Verdana"/>
          <w:b/>
          <w:bCs/>
          <w:color w:val="000000" w:themeColor="text1"/>
        </w:rPr>
      </w:pPr>
    </w:p>
    <w:p w14:paraId="24D82A2F" w14:textId="2E7006B3" w:rsidR="000A5D17" w:rsidRDefault="000A5D17" w:rsidP="00187B26">
      <w:pPr>
        <w:spacing w:after="0" w:line="240" w:lineRule="auto"/>
        <w:jc w:val="both"/>
        <w:rPr>
          <w:rFonts w:ascii="Verdana" w:eastAsia="Calibri" w:hAnsi="Verdana" w:cs="Arial"/>
          <w:sz w:val="20"/>
          <w:szCs w:val="20"/>
          <w:shd w:val="clear" w:color="auto" w:fill="FFFFFF"/>
        </w:rPr>
      </w:pPr>
      <w:r w:rsidRPr="000A5D17">
        <w:rPr>
          <w:rFonts w:ascii="Verdana" w:eastAsia="Calibri" w:hAnsi="Verdana" w:cs="Arial"/>
          <w:sz w:val="20"/>
          <w:szCs w:val="20"/>
          <w:shd w:val="clear" w:color="auto" w:fill="FFFFFF"/>
        </w:rPr>
        <w:t>Antes de la Constitución Política de 1991 ya existía un marco legislativo que regulaba la especial naturaleza de las materias relacionadas con la ciencia y tecnología. En particular, la Ley 29 de 1990 “por la cual se dictan disposiciones para el fomento de la investigación científica y el desarrollo tecnológico y se otorgan facultades extraordinarias”</w:t>
      </w:r>
      <w:r>
        <w:rPr>
          <w:rFonts w:ascii="Verdana" w:eastAsia="Calibri" w:hAnsi="Verdana" w:cs="Arial"/>
          <w:sz w:val="20"/>
          <w:szCs w:val="20"/>
          <w:shd w:val="clear" w:color="auto" w:fill="FFFFFF"/>
        </w:rPr>
        <w:t xml:space="preserve"> […] </w:t>
      </w:r>
      <w:r w:rsidRPr="000A5D17">
        <w:rPr>
          <w:rFonts w:ascii="Verdana" w:eastAsia="Calibri" w:hAnsi="Verdana" w:cs="Arial"/>
          <w:sz w:val="20"/>
          <w:szCs w:val="20"/>
          <w:shd w:val="clear" w:color="auto" w:fill="FFFFFF"/>
        </w:rPr>
        <w:t>la ley otorgó facultades extraordinarias que le permitirían al Gobierno Nacional dictar una serie de normas que debían ser acatadas por las entidades de orden nacional y aquellas entidades descentralizadas, con el fin de que pudieran asociarse con particulares para desarrollar actividades científicas y tecnológicas, avanzar en proyectos de investigación y creación de nuevas tecnologías. En un segundo plano, las normas a expedir debían regular las modalidades específicas de los contratos mediante los cuales fuera posible el fomento de actividades científicas y tecnológicas.</w:t>
      </w:r>
      <w:r>
        <w:rPr>
          <w:rFonts w:ascii="Verdana" w:eastAsia="Calibri" w:hAnsi="Verdana" w:cs="Arial"/>
          <w:sz w:val="20"/>
          <w:szCs w:val="20"/>
          <w:shd w:val="clear" w:color="auto" w:fill="FFFFFF"/>
        </w:rPr>
        <w:t xml:space="preserve"> </w:t>
      </w:r>
    </w:p>
    <w:p w14:paraId="14F9C558" w14:textId="77777777" w:rsidR="000A5D17" w:rsidRDefault="000A5D17" w:rsidP="00187B26">
      <w:pPr>
        <w:spacing w:after="0" w:line="240" w:lineRule="auto"/>
        <w:jc w:val="both"/>
        <w:rPr>
          <w:rFonts w:ascii="Verdana" w:eastAsia="Verdana" w:hAnsi="Verdana" w:cs="Verdana"/>
          <w:b/>
          <w:bCs/>
          <w:color w:val="000000" w:themeColor="text1"/>
        </w:rPr>
      </w:pPr>
    </w:p>
    <w:p w14:paraId="0C1326C5" w14:textId="218C0DCA" w:rsidR="00187B26" w:rsidRDefault="00187B26" w:rsidP="00187B26">
      <w:pPr>
        <w:spacing w:after="0" w:line="240" w:lineRule="auto"/>
        <w:jc w:val="both"/>
        <w:rPr>
          <w:rFonts w:ascii="Verdana" w:eastAsia="Verdana" w:hAnsi="Verdana" w:cs="Verdana"/>
          <w:b/>
          <w:bCs/>
        </w:rPr>
      </w:pPr>
      <w:r w:rsidRPr="00187B26">
        <w:rPr>
          <w:rFonts w:ascii="Verdana" w:eastAsia="Verdana" w:hAnsi="Verdana" w:cs="Verdana"/>
          <w:b/>
          <w:bCs/>
          <w:color w:val="000000" w:themeColor="text1"/>
        </w:rPr>
        <w:t>CONVENIOS ESPECIALES DE COOPERACIÓN</w:t>
      </w:r>
      <w:r w:rsidRPr="00187B26">
        <w:rPr>
          <w:rFonts w:ascii="Verdana" w:eastAsia="Verdana" w:hAnsi="Verdana" w:cs="Verdana"/>
          <w:b/>
          <w:bCs/>
        </w:rPr>
        <w:t xml:space="preserve"> – </w:t>
      </w:r>
      <w:r w:rsidRPr="00187B26">
        <w:rPr>
          <w:rFonts w:ascii="Verdana" w:eastAsia="Verdana" w:hAnsi="Verdana" w:cs="Verdana"/>
          <w:b/>
          <w:bCs/>
          <w:color w:val="000000" w:themeColor="text1"/>
        </w:rPr>
        <w:t>Regulación – Contratación directa</w:t>
      </w:r>
      <w:r w:rsidRPr="00187B26">
        <w:rPr>
          <w:rFonts w:ascii="Verdana" w:eastAsia="Verdana" w:hAnsi="Verdana" w:cs="Verdana"/>
          <w:b/>
          <w:bCs/>
        </w:rPr>
        <w:t xml:space="preserve"> </w:t>
      </w:r>
    </w:p>
    <w:p w14:paraId="15D9E43B" w14:textId="77777777" w:rsidR="003E797F" w:rsidRDefault="003E797F" w:rsidP="00187B26">
      <w:pPr>
        <w:spacing w:after="0" w:line="240" w:lineRule="auto"/>
        <w:jc w:val="both"/>
        <w:rPr>
          <w:rFonts w:ascii="Verdana" w:eastAsia="Verdana" w:hAnsi="Verdana" w:cs="Verdana"/>
          <w:b/>
          <w:bCs/>
        </w:rPr>
      </w:pPr>
    </w:p>
    <w:p w14:paraId="62A8054E" w14:textId="1EF623CD" w:rsidR="003E797F" w:rsidRDefault="003E797F" w:rsidP="003E797F">
      <w:pPr>
        <w:spacing w:after="0" w:line="240" w:lineRule="auto"/>
        <w:jc w:val="both"/>
        <w:rPr>
          <w:rFonts w:ascii="Verdana" w:eastAsia="Verdana" w:hAnsi="Verdana" w:cs="Verdana"/>
          <w:color w:val="000000" w:themeColor="text1"/>
          <w:sz w:val="20"/>
          <w:szCs w:val="20"/>
          <w:lang w:val="es-ES"/>
        </w:rPr>
      </w:pPr>
      <w:r>
        <w:rPr>
          <w:rFonts w:ascii="Verdana" w:eastAsia="Verdana" w:hAnsi="Verdana" w:cs="Verdana"/>
          <w:color w:val="000000" w:themeColor="text1"/>
          <w:sz w:val="20"/>
          <w:szCs w:val="20"/>
          <w:lang w:val="es-ES"/>
        </w:rPr>
        <w:t xml:space="preserve">[…] </w:t>
      </w:r>
      <w:r w:rsidRPr="003E797F">
        <w:rPr>
          <w:rFonts w:ascii="Verdana" w:eastAsia="Verdana" w:hAnsi="Verdana" w:cs="Verdana"/>
          <w:color w:val="000000" w:themeColor="text1"/>
          <w:sz w:val="20"/>
          <w:szCs w:val="20"/>
          <w:lang w:val="es-ES"/>
        </w:rPr>
        <w:t>en ejercicio de las facultades extraordinarias otorgadas en la Ley 29 de 1990, el Gobierno Nacional expidió el Decreto 393 de 1991 “Por el cual se dictan normas sobre asociación para actividades científicas y tecnológicas, proyectos de investigación y creación de tecnologías”, y el Decreto 591 del mismo año “por el cual se regulan las modalidades específicas de contratos de fomento de actividades científicas y tecnológicas”. Ambas normas se encuentran parcialmente vigentes a la fecha y regulan de manera sustancial tipologías contractuales que pueden implementar las entidades para desarrollar dichas actividades.</w:t>
      </w:r>
    </w:p>
    <w:p w14:paraId="653DE6D2" w14:textId="77777777" w:rsidR="003E797F" w:rsidRDefault="003E797F" w:rsidP="003E797F">
      <w:pPr>
        <w:spacing w:after="0" w:line="240" w:lineRule="auto"/>
        <w:jc w:val="both"/>
        <w:rPr>
          <w:rFonts w:ascii="Verdana" w:eastAsia="Verdana" w:hAnsi="Verdana" w:cs="Verdana"/>
          <w:color w:val="000000" w:themeColor="text1"/>
          <w:sz w:val="20"/>
          <w:szCs w:val="20"/>
          <w:lang w:val="es-ES"/>
        </w:rPr>
      </w:pPr>
    </w:p>
    <w:p w14:paraId="7EE5C99C" w14:textId="77777777" w:rsidR="003E797F" w:rsidRPr="003E797F" w:rsidRDefault="003E797F" w:rsidP="003E797F">
      <w:pPr>
        <w:spacing w:after="0" w:line="240" w:lineRule="auto"/>
        <w:jc w:val="both"/>
        <w:rPr>
          <w:rFonts w:ascii="Verdana" w:eastAsia="Verdana" w:hAnsi="Verdana" w:cs="Verdana"/>
          <w:color w:val="000000" w:themeColor="text1"/>
          <w:sz w:val="20"/>
          <w:szCs w:val="20"/>
          <w:lang w:val="es-ES"/>
        </w:rPr>
      </w:pPr>
      <w:r>
        <w:rPr>
          <w:rFonts w:ascii="Verdana" w:eastAsia="Verdana" w:hAnsi="Verdana" w:cs="Verdana"/>
          <w:color w:val="000000" w:themeColor="text1"/>
          <w:sz w:val="20"/>
          <w:szCs w:val="20"/>
          <w:lang w:val="es-ES"/>
        </w:rPr>
        <w:t xml:space="preserve">[…] </w:t>
      </w:r>
      <w:r w:rsidRPr="003E797F">
        <w:rPr>
          <w:rFonts w:ascii="Verdana" w:eastAsia="Verdana" w:hAnsi="Verdana" w:cs="Verdana"/>
          <w:color w:val="000000" w:themeColor="text1"/>
          <w:sz w:val="20"/>
          <w:szCs w:val="20"/>
          <w:lang w:val="es-ES"/>
        </w:rPr>
        <w:t xml:space="preserve">Así las cosas, las normas referidas establecen tipologías contractuales por las que pueden optar las entidades allí señaladas para contratar directamente el desarrollo de actividades de ciencia y tecnología. De cualquier modo, su aplicación se encuentra limitada a los sujetos y materias allí reguladas. </w:t>
      </w:r>
    </w:p>
    <w:p w14:paraId="4B347394" w14:textId="77777777" w:rsidR="003E797F" w:rsidRDefault="003E797F" w:rsidP="003E797F">
      <w:pPr>
        <w:spacing w:after="0" w:line="240" w:lineRule="auto"/>
        <w:jc w:val="both"/>
        <w:rPr>
          <w:rFonts w:ascii="Verdana" w:eastAsia="Verdana" w:hAnsi="Verdana" w:cs="Verdana"/>
          <w:color w:val="000000" w:themeColor="text1"/>
          <w:sz w:val="20"/>
          <w:szCs w:val="20"/>
          <w:lang w:val="es-ES"/>
        </w:rPr>
      </w:pPr>
    </w:p>
    <w:p w14:paraId="5A0F7487" w14:textId="7B5C0061" w:rsidR="003E797F" w:rsidRDefault="003E797F" w:rsidP="003E797F">
      <w:pPr>
        <w:spacing w:after="0" w:line="240" w:lineRule="auto"/>
        <w:jc w:val="both"/>
        <w:rPr>
          <w:rFonts w:ascii="Verdana" w:eastAsia="Verdana" w:hAnsi="Verdana" w:cs="Verdana"/>
          <w:color w:val="000000" w:themeColor="text1"/>
          <w:sz w:val="20"/>
          <w:szCs w:val="20"/>
          <w:lang w:val="es-ES"/>
        </w:rPr>
      </w:pPr>
      <w:r w:rsidRPr="003E797F">
        <w:rPr>
          <w:rFonts w:ascii="Verdana" w:eastAsia="Verdana" w:hAnsi="Verdana" w:cs="Verdana"/>
          <w:color w:val="000000" w:themeColor="text1"/>
          <w:sz w:val="20"/>
          <w:szCs w:val="20"/>
          <w:lang w:val="es-ES"/>
        </w:rPr>
        <w:t>Al respecto, el artículo primero del Decreto Ley 393 de 1991 señala expresamente que la Nación y sus entidades descentralizadas “podrán asociarse con los particulares” bajo creación de personas jurídicas o la celebración de convenios especiales de cooperación para adelantar actividades científicas y tecnológicas, sobre éstos últimos el artículo sexto reitera que dichas entidades “podrán celebrar con los particulares convenios especiales de cooperación, que no darán lugar al nacimiento de una nueva persona jurídica</w:t>
      </w:r>
      <w:r>
        <w:rPr>
          <w:rFonts w:ascii="Verdana" w:eastAsia="Verdana" w:hAnsi="Verdana" w:cs="Verdana"/>
          <w:color w:val="000000" w:themeColor="text1"/>
          <w:sz w:val="20"/>
          <w:szCs w:val="20"/>
          <w:lang w:val="es-ES"/>
        </w:rPr>
        <w:t>.</w:t>
      </w:r>
    </w:p>
    <w:p w14:paraId="533A5401" w14:textId="7812074E" w:rsidR="003E797F" w:rsidRDefault="003E797F" w:rsidP="003E797F">
      <w:pPr>
        <w:spacing w:after="0" w:line="240" w:lineRule="auto"/>
        <w:jc w:val="both"/>
        <w:rPr>
          <w:rFonts w:ascii="Verdana" w:eastAsia="Verdana" w:hAnsi="Verdana" w:cs="Verdana"/>
          <w:color w:val="000000" w:themeColor="text1"/>
          <w:sz w:val="20"/>
          <w:szCs w:val="20"/>
        </w:rPr>
      </w:pPr>
      <w:r w:rsidRPr="003E797F">
        <w:rPr>
          <w:rFonts w:ascii="Verdana" w:eastAsia="Verdana" w:hAnsi="Verdana" w:cs="Verdana"/>
          <w:color w:val="000000" w:themeColor="text1"/>
          <w:sz w:val="20"/>
          <w:szCs w:val="20"/>
        </w:rPr>
        <w:t>De manera similar, los artículo 8, 9 y 17 del Decreto Ley 591 de 1991 señalan que la Nación y sus entidades descentralizadas “podrán”: 1) celebrar contratos de financiamiento destinados a actividades científicas y tecnológicas, que tengan por objeto proveer de recursos al particular contratista o a otra entidad pública; 2) celebrar con personas públicas o privadas contratos de administración de proyectos; y 3) celebrar con los particulares y con otras entidades públicas de cualquier orden convenios especiales de cooperación. En efecto, las normas referidas otorgan la potestad para que la Nación y sus entidades descentralizadas adopten las tipologías contractuales allí descritas cuando pretendan contratar el desarrollo de actividades científicas y tecnológicas.</w:t>
      </w:r>
    </w:p>
    <w:p w14:paraId="7B092FDA" w14:textId="77777777" w:rsidR="003E797F" w:rsidRDefault="003E797F" w:rsidP="003E797F">
      <w:pPr>
        <w:spacing w:after="0" w:line="240" w:lineRule="auto"/>
        <w:jc w:val="both"/>
        <w:rPr>
          <w:rFonts w:ascii="Verdana" w:eastAsia="Verdana" w:hAnsi="Verdana" w:cs="Verdana"/>
          <w:color w:val="000000" w:themeColor="text1"/>
          <w:sz w:val="20"/>
          <w:szCs w:val="20"/>
        </w:rPr>
      </w:pPr>
    </w:p>
    <w:p w14:paraId="36850F37" w14:textId="54A9AC34" w:rsidR="003E797F" w:rsidRDefault="003E797F" w:rsidP="003E797F">
      <w:pPr>
        <w:spacing w:after="0" w:line="240" w:lineRule="auto"/>
        <w:jc w:val="both"/>
        <w:rPr>
          <w:rFonts w:ascii="Verdana" w:eastAsia="Verdana" w:hAnsi="Verdana" w:cs="Verdana"/>
          <w:color w:val="000000" w:themeColor="text1"/>
          <w:sz w:val="20"/>
          <w:szCs w:val="20"/>
        </w:rPr>
      </w:pPr>
      <w:r>
        <w:rPr>
          <w:rFonts w:ascii="Verdana" w:eastAsia="Verdana" w:hAnsi="Verdana" w:cs="Verdana"/>
          <w:color w:val="000000" w:themeColor="text1"/>
          <w:sz w:val="20"/>
          <w:szCs w:val="20"/>
        </w:rPr>
        <w:t xml:space="preserve">[…] </w:t>
      </w:r>
    </w:p>
    <w:p w14:paraId="16D7CDB5" w14:textId="77777777" w:rsidR="003E797F" w:rsidRDefault="003E797F" w:rsidP="003E797F">
      <w:pPr>
        <w:spacing w:after="0" w:line="240" w:lineRule="auto"/>
        <w:jc w:val="both"/>
        <w:rPr>
          <w:rFonts w:ascii="Verdana" w:eastAsia="Verdana" w:hAnsi="Verdana" w:cs="Verdana"/>
          <w:color w:val="000000" w:themeColor="text1"/>
          <w:sz w:val="20"/>
          <w:szCs w:val="20"/>
        </w:rPr>
      </w:pPr>
    </w:p>
    <w:p w14:paraId="4E4AD7EB" w14:textId="7B64A6F8" w:rsidR="003E797F" w:rsidRPr="001E437D" w:rsidRDefault="003E797F" w:rsidP="001E437D">
      <w:pPr>
        <w:spacing w:after="0" w:line="240" w:lineRule="auto"/>
        <w:jc w:val="both"/>
        <w:rPr>
          <w:rFonts w:ascii="Verdana" w:eastAsia="Calibri" w:hAnsi="Verdana" w:cs="Arial"/>
          <w:sz w:val="20"/>
          <w:szCs w:val="20"/>
          <w:lang w:eastAsia="es-ES_tradnl"/>
        </w:rPr>
      </w:pPr>
      <w:r w:rsidRPr="001E437D">
        <w:rPr>
          <w:rFonts w:ascii="Verdana" w:hAnsi="Verdana" w:cs="Arial"/>
          <w:sz w:val="20"/>
          <w:szCs w:val="20"/>
          <w:lang w:eastAsia="es-ES_tradnl"/>
        </w:rPr>
        <w:t xml:space="preserve">[…] </w:t>
      </w:r>
      <w:r w:rsidRPr="001E437D">
        <w:rPr>
          <w:rFonts w:ascii="Verdana" w:hAnsi="Verdana" w:cs="Arial"/>
          <w:sz w:val="20"/>
          <w:szCs w:val="20"/>
          <w:lang w:eastAsia="es-ES_tradnl"/>
        </w:rPr>
        <w:t>la Ley 1150 de 2007 incluyó una causal de contratación directa en el literal e) del numeral 4 del artículo 2 que es procedente cuando se trate de “contratos para el desarrollo de actividades científicas y tecnológicas”. Esta causal es aplicable a las Entidades Estatales cuya actividad contractual se encuentra sometida al Estatuto General de Contratación de la Administración Pública, es decir, aquellas establecidas en el artículo segundo de la Ley 80 de 1993.</w:t>
      </w:r>
      <w:r w:rsidRPr="001E437D">
        <w:rPr>
          <w:rFonts w:ascii="Verdana" w:eastAsia="Calibri" w:hAnsi="Verdana" w:cs="Arial"/>
          <w:sz w:val="20"/>
          <w:szCs w:val="20"/>
          <w:lang w:eastAsia="es-ES_tradnl"/>
        </w:rPr>
        <w:t xml:space="preserve"> </w:t>
      </w:r>
    </w:p>
    <w:p w14:paraId="46593D6A" w14:textId="77777777" w:rsidR="001E437D" w:rsidRDefault="001E437D" w:rsidP="001E437D">
      <w:pPr>
        <w:spacing w:after="0" w:line="240" w:lineRule="auto"/>
        <w:jc w:val="both"/>
        <w:rPr>
          <w:rFonts w:ascii="Verdana" w:eastAsia="Calibri" w:hAnsi="Verdana" w:cs="Arial"/>
          <w:sz w:val="20"/>
          <w:szCs w:val="20"/>
          <w:lang w:eastAsia="es-ES_tradnl"/>
        </w:rPr>
      </w:pPr>
    </w:p>
    <w:p w14:paraId="284A43D0" w14:textId="1794E671" w:rsidR="003E797F" w:rsidRPr="001E437D" w:rsidRDefault="003E797F" w:rsidP="001E437D">
      <w:pPr>
        <w:spacing w:after="0" w:line="240" w:lineRule="auto"/>
        <w:jc w:val="both"/>
        <w:rPr>
          <w:rFonts w:ascii="Verdana" w:eastAsia="Calibri" w:hAnsi="Verdana" w:cs="Arial"/>
          <w:sz w:val="20"/>
          <w:szCs w:val="20"/>
          <w:lang w:eastAsia="es-ES_tradnl"/>
        </w:rPr>
      </w:pPr>
      <w:r w:rsidRPr="001E437D">
        <w:rPr>
          <w:rFonts w:ascii="Verdana" w:eastAsia="Calibri" w:hAnsi="Verdana" w:cs="Arial"/>
          <w:sz w:val="20"/>
          <w:szCs w:val="20"/>
          <w:lang w:eastAsia="es-ES_tradnl"/>
        </w:rPr>
        <w:t xml:space="preserve">En consecuencia, la causal de contratación directa a la cual se refiere la </w:t>
      </w:r>
      <w:r w:rsidRPr="001E437D">
        <w:rPr>
          <w:rFonts w:ascii="Verdana" w:hAnsi="Verdana" w:cs="Arial"/>
          <w:sz w:val="20"/>
          <w:szCs w:val="20"/>
          <w:lang w:eastAsia="es-ES_tradnl"/>
        </w:rPr>
        <w:t xml:space="preserve">Ley 1150 de 2007 autoriza a todas las entidades estatales regidas por el Estatuto General de Contratación de la Administración Pública para contratar directamente </w:t>
      </w:r>
      <w:r w:rsidRPr="001E437D">
        <w:rPr>
          <w:rFonts w:ascii="Verdana" w:hAnsi="Verdana" w:cs="Arial"/>
          <w:i/>
          <w:iCs/>
          <w:sz w:val="20"/>
          <w:szCs w:val="20"/>
          <w:lang w:eastAsia="es-ES_tradnl"/>
        </w:rPr>
        <w:t>el desarrollo de actividades científicas y tecnológicas</w:t>
      </w:r>
      <w:r w:rsidRPr="001E437D">
        <w:rPr>
          <w:rFonts w:ascii="Verdana" w:hAnsi="Verdana" w:cs="Arial"/>
          <w:sz w:val="20"/>
          <w:szCs w:val="20"/>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679699BD" w14:textId="77777777" w:rsidR="001E437D" w:rsidRDefault="001E437D" w:rsidP="001E437D">
      <w:pPr>
        <w:spacing w:after="0" w:line="240" w:lineRule="auto"/>
        <w:jc w:val="both"/>
        <w:rPr>
          <w:rFonts w:ascii="Verdana" w:hAnsi="Verdana" w:cs="Arial"/>
          <w:sz w:val="20"/>
          <w:szCs w:val="20"/>
          <w:lang w:eastAsia="es-ES_tradnl"/>
        </w:rPr>
      </w:pPr>
    </w:p>
    <w:p w14:paraId="44185C8D" w14:textId="1644C718" w:rsidR="003E797F" w:rsidRPr="001E437D" w:rsidRDefault="003E797F" w:rsidP="001E437D">
      <w:pPr>
        <w:spacing w:after="0" w:line="240" w:lineRule="auto"/>
        <w:jc w:val="both"/>
        <w:rPr>
          <w:rFonts w:ascii="Verdana" w:hAnsi="Verdana" w:cs="Arial"/>
          <w:sz w:val="20"/>
          <w:szCs w:val="20"/>
          <w:lang w:eastAsia="es-ES_tradnl"/>
        </w:rPr>
      </w:pPr>
      <w:r w:rsidRPr="001E437D">
        <w:rPr>
          <w:rFonts w:ascii="Verdana" w:hAnsi="Verdana" w:cs="Arial"/>
          <w:sz w:val="20"/>
          <w:szCs w:val="20"/>
          <w:lang w:eastAsia="es-ES_tradnl"/>
        </w:rPr>
        <w:t xml:space="preserve">Se deriva de lo expuesto que: i) la Ley 1150 de 2007 autorizó a las entidades estatales sometidas al Estatuto General de Contratación de la Administración Pública para contratar directamente el desarrollo de actividades científicas y tecnológicas, sin determinar una tipología específica; y </w:t>
      </w:r>
      <w:proofErr w:type="spellStart"/>
      <w:r w:rsidRPr="001E437D">
        <w:rPr>
          <w:rFonts w:ascii="Verdana" w:hAnsi="Verdana" w:cs="Arial"/>
          <w:sz w:val="20"/>
          <w:szCs w:val="20"/>
          <w:lang w:eastAsia="es-ES_tradnl"/>
        </w:rPr>
        <w:t>ii</w:t>
      </w:r>
      <w:proofErr w:type="spellEnd"/>
      <w:r w:rsidRPr="001E437D">
        <w:rPr>
          <w:rFonts w:ascii="Verdana" w:hAnsi="Verdana" w:cs="Arial"/>
          <w:sz w:val="20"/>
          <w:szCs w:val="20"/>
          <w:lang w:eastAsia="es-ES_tradnl"/>
        </w:rPr>
        <w:t>) los Decretos Ley 393 y 591 de 1991 señalaron que la Nación y sus entidades descentralizadas tienen la facultad de optar por las tipologías contractuales allí señaladas cuando requieran contratar dichas actividades. En este sentido, el marco jurídico es claro en que la nación y sus entidades descentralizadas se encuentran autorizadas para contratar directamente el desarrollo de actividades científicas y tecnológicas en virtud de la causal establecida en la Ley 1150 de 2007, y que tienen la posibilidad de adoptar las tipologías contractuales señaladas en los Decretos Ley 393 y 591 de 1991 con este fin.</w:t>
      </w:r>
    </w:p>
    <w:p w14:paraId="1E03E3BF" w14:textId="77777777" w:rsidR="001E437D" w:rsidRDefault="001E437D" w:rsidP="003E797F">
      <w:pPr>
        <w:spacing w:after="0" w:line="240" w:lineRule="auto"/>
        <w:jc w:val="both"/>
        <w:rPr>
          <w:rFonts w:ascii="Verdana" w:eastAsia="Verdana" w:hAnsi="Verdana" w:cs="Verdana"/>
          <w:color w:val="000000" w:themeColor="text1"/>
          <w:sz w:val="20"/>
          <w:szCs w:val="20"/>
        </w:rPr>
      </w:pPr>
    </w:p>
    <w:p w14:paraId="17B678F4" w14:textId="16CBA84A" w:rsidR="003E797F" w:rsidRDefault="003E797F" w:rsidP="003E797F">
      <w:pPr>
        <w:spacing w:after="0" w:line="240" w:lineRule="auto"/>
        <w:jc w:val="both"/>
        <w:rPr>
          <w:rFonts w:ascii="Verdana" w:eastAsia="Verdana" w:hAnsi="Verdana" w:cs="Verdana"/>
          <w:color w:val="000000" w:themeColor="text1"/>
          <w:sz w:val="20"/>
          <w:szCs w:val="20"/>
        </w:rPr>
      </w:pPr>
      <w:r w:rsidRPr="003E797F">
        <w:rPr>
          <w:rFonts w:ascii="Verdana" w:eastAsia="Verdana" w:hAnsi="Verdana" w:cs="Verdana"/>
          <w:color w:val="000000" w:themeColor="text1"/>
          <w:sz w:val="20"/>
          <w:szCs w:val="20"/>
        </w:rPr>
        <w:t>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Estatuto General de Contratación de la Administración Pública cuando contraten directamente el desarrollo de actividades de ciencia y tecnología.</w:t>
      </w:r>
    </w:p>
    <w:p w14:paraId="3F8C6AE1" w14:textId="77777777" w:rsidR="003E797F" w:rsidRDefault="003E797F" w:rsidP="003E797F">
      <w:pPr>
        <w:spacing w:after="0" w:line="240" w:lineRule="auto"/>
        <w:jc w:val="both"/>
        <w:rPr>
          <w:rFonts w:ascii="Verdana" w:eastAsia="Verdana" w:hAnsi="Verdana" w:cs="Verdana"/>
          <w:color w:val="000000" w:themeColor="text1"/>
          <w:sz w:val="20"/>
          <w:szCs w:val="20"/>
        </w:rPr>
      </w:pPr>
    </w:p>
    <w:p w14:paraId="0C53CC93" w14:textId="3AA0EA72" w:rsidR="003E797F" w:rsidRPr="003E797F" w:rsidRDefault="003E797F" w:rsidP="003E797F">
      <w:pPr>
        <w:spacing w:after="0" w:line="240" w:lineRule="auto"/>
        <w:jc w:val="both"/>
        <w:rPr>
          <w:rFonts w:ascii="Verdana" w:eastAsia="Verdana" w:hAnsi="Verdana" w:cs="Verdana"/>
          <w:color w:val="000000" w:themeColor="text1"/>
          <w:sz w:val="20"/>
          <w:szCs w:val="20"/>
        </w:rPr>
      </w:pPr>
      <w:r w:rsidRPr="003E797F">
        <w:rPr>
          <w:rFonts w:ascii="Verdana" w:eastAsia="Verdana" w:hAnsi="Verdana" w:cs="Verdana"/>
          <w:color w:val="000000" w:themeColor="text1"/>
          <w:sz w:val="20"/>
          <w:szCs w:val="20"/>
        </w:rPr>
        <w:t>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potestad establecida en los Decretos Ley 591 y 393 de 1991 se regirán por esta normativa, mientras que las demás entidades estatales regidas por el Estatuto General de Contratación de la Administración Pública podrán contratar directamente el desarrollo de tales actividades en virtud de lo dispuesto en la Ley 1150 de 2007 implementando otras tipologías contractuales que resulten adecuadas para la satisfacción de la necesidad identificada.</w:t>
      </w:r>
    </w:p>
    <w:p w14:paraId="4850E683" w14:textId="77777777" w:rsidR="003E797F" w:rsidRPr="003E797F" w:rsidRDefault="003E797F" w:rsidP="00187B26">
      <w:pPr>
        <w:spacing w:after="0" w:line="240" w:lineRule="auto"/>
        <w:jc w:val="both"/>
        <w:rPr>
          <w:rFonts w:ascii="Verdana" w:eastAsia="Verdana" w:hAnsi="Verdana" w:cs="Verdana"/>
          <w:b/>
          <w:bCs/>
          <w:lang w:val="es-ES"/>
        </w:rPr>
      </w:pPr>
    </w:p>
    <w:p w14:paraId="50F611E3" w14:textId="4B4E0B45" w:rsidR="00187B26" w:rsidRDefault="00187B26" w:rsidP="00187B26">
      <w:pPr>
        <w:spacing w:after="0" w:line="240" w:lineRule="auto"/>
        <w:jc w:val="both"/>
        <w:rPr>
          <w:rFonts w:ascii="Verdana" w:eastAsia="Verdana" w:hAnsi="Verdana" w:cs="Verdana"/>
          <w:b/>
          <w:bCs/>
          <w:color w:val="000000" w:themeColor="text1"/>
        </w:rPr>
      </w:pPr>
      <w:r w:rsidRPr="00187B26">
        <w:rPr>
          <w:rFonts w:ascii="Verdana" w:eastAsia="Verdana" w:hAnsi="Verdana" w:cs="Verdana"/>
          <w:b/>
          <w:bCs/>
          <w:color w:val="000000" w:themeColor="text1"/>
        </w:rPr>
        <w:t>CONTRATACIÓN ESTATAL - Aplicación de la ley 996 de 2005 - Convenios especiales de cooperación</w:t>
      </w:r>
    </w:p>
    <w:p w14:paraId="6CEAFB30" w14:textId="77777777" w:rsidR="003E797F" w:rsidRDefault="003E797F" w:rsidP="00187B26">
      <w:pPr>
        <w:spacing w:after="0" w:line="240" w:lineRule="auto"/>
        <w:jc w:val="both"/>
        <w:rPr>
          <w:rFonts w:ascii="Verdana" w:eastAsia="Verdana" w:hAnsi="Verdana" w:cs="Verdana"/>
          <w:b/>
          <w:bCs/>
          <w:color w:val="000000" w:themeColor="text1"/>
        </w:rPr>
      </w:pPr>
    </w:p>
    <w:p w14:paraId="0C50D3A7" w14:textId="1AE5814F" w:rsidR="003E797F" w:rsidRPr="003E797F" w:rsidRDefault="003E797F" w:rsidP="003E797F">
      <w:pPr>
        <w:spacing w:after="0" w:line="240" w:lineRule="auto"/>
        <w:jc w:val="both"/>
        <w:rPr>
          <w:rFonts w:ascii="Verdana" w:eastAsia="Calibri" w:hAnsi="Verdana" w:cs="Arial"/>
          <w:bCs/>
          <w:sz w:val="20"/>
          <w:szCs w:val="20"/>
        </w:rPr>
      </w:pPr>
      <w:r>
        <w:rPr>
          <w:rFonts w:ascii="Verdana" w:eastAsia="Calibri" w:hAnsi="Verdana" w:cs="Arial"/>
          <w:bCs/>
          <w:sz w:val="20"/>
          <w:szCs w:val="20"/>
        </w:rPr>
        <w:t xml:space="preserve">[…] </w:t>
      </w:r>
      <w:r w:rsidRPr="003E797F">
        <w:rPr>
          <w:rFonts w:ascii="Verdana" w:eastAsia="Calibri" w:hAnsi="Verdana" w:cs="Arial"/>
          <w:bCs/>
          <w:sz w:val="20"/>
          <w:szCs w:val="20"/>
        </w:rPr>
        <w:t xml:space="preserve">tratándose de contratos o convenios de cooperación de ciencia y tecnología, es clara la posición de la Sala de Consulta y Servicio Civil en afirmar que la modalidad de selección del contratista es la contratación directa, regla plenamente concordante con lo señalado en la Ley 80 de 1993 y la modificación prevista en la Ley 1150 de 2007. Bajo este contexto, se sostiene que en los contratos cuyo objeto es la realización de actividades de ciencia y tecnología, la modalidad de selección aplicable es la contratación directa, la cual puede instrumentarse mediante </w:t>
      </w:r>
      <w:r w:rsidRPr="003E797F">
        <w:rPr>
          <w:rFonts w:ascii="Verdana" w:eastAsia="Calibri" w:hAnsi="Verdana" w:cs="Arial"/>
          <w:i/>
          <w:sz w:val="20"/>
          <w:szCs w:val="20"/>
        </w:rPr>
        <w:t>convocatorias públicas</w:t>
      </w:r>
      <w:r w:rsidRPr="003E797F">
        <w:rPr>
          <w:rFonts w:ascii="Verdana" w:eastAsia="Calibri" w:hAnsi="Verdana" w:cs="Arial"/>
          <w:bCs/>
          <w:sz w:val="20"/>
          <w:szCs w:val="20"/>
        </w:rPr>
        <w:t xml:space="preserve"> tendientes garantizar </w:t>
      </w:r>
      <w:r w:rsidRPr="003E797F">
        <w:rPr>
          <w:rFonts w:ascii="Verdana" w:eastAsia="Calibri" w:hAnsi="Verdana" w:cs="Arial"/>
          <w:bCs/>
          <w:i/>
          <w:iCs/>
          <w:sz w:val="20"/>
          <w:szCs w:val="20"/>
        </w:rPr>
        <w:t>transparencia</w:t>
      </w:r>
      <w:r w:rsidRPr="003E797F">
        <w:rPr>
          <w:rFonts w:ascii="Verdana" w:eastAsia="Calibri" w:hAnsi="Verdana" w:cs="Arial"/>
          <w:bCs/>
          <w:sz w:val="20"/>
          <w:szCs w:val="20"/>
        </w:rPr>
        <w:t xml:space="preserve"> y </w:t>
      </w:r>
      <w:r w:rsidRPr="003E797F">
        <w:rPr>
          <w:rFonts w:ascii="Verdana" w:eastAsia="Calibri" w:hAnsi="Verdana" w:cs="Arial"/>
          <w:bCs/>
          <w:i/>
          <w:iCs/>
          <w:sz w:val="20"/>
          <w:szCs w:val="20"/>
        </w:rPr>
        <w:t>objetividad</w:t>
      </w:r>
      <w:r w:rsidRPr="003E797F">
        <w:rPr>
          <w:rFonts w:ascii="Verdana" w:eastAsia="Calibri" w:hAnsi="Verdana" w:cs="Arial"/>
          <w:bCs/>
          <w:sz w:val="20"/>
          <w:szCs w:val="20"/>
        </w:rPr>
        <w:t xml:space="preserve"> en la celebración de este tipo contratos. No obstante, conforme explica el Consejo de Estado, el desarrollo de este tipo de convocatorias, disimiles de los procesos de selección del </w:t>
      </w:r>
      <w:r w:rsidRPr="003E797F">
        <w:rPr>
          <w:rFonts w:ascii="Verdana" w:hAnsi="Verdana" w:cs="Arial"/>
          <w:sz w:val="20"/>
          <w:szCs w:val="20"/>
          <w:lang w:eastAsia="es-ES_tradnl"/>
        </w:rPr>
        <w:t>Estatuto General de Contratación de la Administración Pública</w:t>
      </w:r>
      <w:r w:rsidRPr="003E797F">
        <w:rPr>
          <w:rFonts w:ascii="Verdana" w:eastAsia="Calibri" w:hAnsi="Verdana" w:cs="Arial"/>
          <w:bCs/>
          <w:sz w:val="20"/>
          <w:szCs w:val="20"/>
        </w:rPr>
        <w:t xml:space="preserve">, no quiere decir que estos contratos no se celebren de manera directa, de acuerdo con el artículo 33 de la Ley 1286 de 2009.  </w:t>
      </w:r>
    </w:p>
    <w:p w14:paraId="68C2EEA9" w14:textId="77777777" w:rsidR="003E797F" w:rsidRDefault="003E797F" w:rsidP="003E797F">
      <w:pPr>
        <w:spacing w:after="0" w:line="240" w:lineRule="auto"/>
        <w:jc w:val="both"/>
        <w:rPr>
          <w:rFonts w:ascii="Verdana" w:eastAsia="Calibri" w:hAnsi="Verdana" w:cs="Arial"/>
          <w:bCs/>
          <w:sz w:val="20"/>
          <w:szCs w:val="20"/>
        </w:rPr>
      </w:pPr>
    </w:p>
    <w:p w14:paraId="13D47321" w14:textId="719E80DF" w:rsidR="003E797F" w:rsidRPr="003E797F" w:rsidRDefault="003E797F" w:rsidP="003E797F">
      <w:pPr>
        <w:spacing w:after="0" w:line="240" w:lineRule="auto"/>
        <w:jc w:val="both"/>
        <w:rPr>
          <w:rFonts w:ascii="Verdana" w:eastAsia="Calibri" w:hAnsi="Verdana" w:cs="Arial"/>
          <w:i/>
          <w:sz w:val="20"/>
          <w:szCs w:val="20"/>
        </w:rPr>
      </w:pPr>
      <w:r w:rsidRPr="003E797F">
        <w:rPr>
          <w:rFonts w:ascii="Verdana" w:eastAsia="Calibri" w:hAnsi="Verdana" w:cs="Arial"/>
          <w:bCs/>
          <w:sz w:val="20"/>
          <w:szCs w:val="20"/>
        </w:rPr>
        <w:t xml:space="preserve">De acuerdo con lo anterior, es posible concluir que, en vigencia de la restricción del artículo 33 de la Ley 996 de 2005, no resulta jurídicamente viable suscribir contratos de ciencia y tecnología, como, por ejemplo, convenios especiales de cooperación. Esto comoquiera que, de acuerdo con lo previsto en el artículo 33 de la Ley 1286 de 2009, este tipo de contratos y convenios se celebran de manera directa, independientemente de que se desarrollen o no </w:t>
      </w:r>
      <w:r w:rsidRPr="003E797F">
        <w:rPr>
          <w:rFonts w:ascii="Verdana" w:eastAsia="Calibri" w:hAnsi="Verdana" w:cs="Arial"/>
          <w:bCs/>
          <w:i/>
          <w:iCs/>
          <w:sz w:val="20"/>
          <w:szCs w:val="20"/>
        </w:rPr>
        <w:t>convocatorias públicas</w:t>
      </w:r>
      <w:r w:rsidRPr="003E797F">
        <w:rPr>
          <w:rFonts w:ascii="Verdana" w:eastAsia="Calibri" w:hAnsi="Verdana" w:cs="Arial"/>
          <w:bCs/>
          <w:sz w:val="20"/>
          <w:szCs w:val="20"/>
        </w:rPr>
        <w:t xml:space="preserve">, máxime cuando estas no son equiparables a los procesos de selección competitivos regulados en el </w:t>
      </w:r>
      <w:r w:rsidRPr="003E797F">
        <w:rPr>
          <w:rFonts w:ascii="Verdana" w:hAnsi="Verdana" w:cs="Arial"/>
          <w:sz w:val="20"/>
          <w:szCs w:val="20"/>
          <w:lang w:eastAsia="es-ES_tradnl"/>
        </w:rPr>
        <w:t>Estatuto General de Contratación de la Administración Pública</w:t>
      </w:r>
      <w:r w:rsidRPr="003E797F">
        <w:rPr>
          <w:rFonts w:ascii="Verdana" w:eastAsia="Calibri" w:hAnsi="Verdana" w:cs="Arial"/>
          <w:bCs/>
          <w:sz w:val="20"/>
          <w:szCs w:val="20"/>
        </w:rPr>
        <w:t xml:space="preserve"> y normas especiales.   </w:t>
      </w:r>
      <w:r w:rsidRPr="003E797F">
        <w:rPr>
          <w:rFonts w:ascii="Verdana" w:eastAsia="Calibri" w:hAnsi="Verdana" w:cs="Arial"/>
          <w:bCs/>
          <w:i/>
          <w:iCs/>
          <w:sz w:val="20"/>
          <w:szCs w:val="20"/>
        </w:rPr>
        <w:t xml:space="preserve">  </w:t>
      </w:r>
    </w:p>
    <w:p w14:paraId="30D23BE7" w14:textId="77777777" w:rsidR="003E797F" w:rsidRPr="00187B26" w:rsidRDefault="003E797F" w:rsidP="00187B26">
      <w:pPr>
        <w:spacing w:after="0" w:line="240" w:lineRule="auto"/>
        <w:jc w:val="both"/>
        <w:rPr>
          <w:rStyle w:val="eop"/>
          <w:rFonts w:ascii="Verdana" w:eastAsia="Verdana" w:hAnsi="Verdana" w:cs="Verdana"/>
          <w:b/>
          <w:bCs/>
          <w:color w:val="000000"/>
          <w:shd w:val="clear" w:color="auto" w:fill="FFFFFF"/>
        </w:rPr>
      </w:pPr>
    </w:p>
    <w:p w14:paraId="3E294984" w14:textId="77777777" w:rsidR="00187B26" w:rsidRDefault="00187B26" w:rsidP="0062698A">
      <w:pPr>
        <w:spacing w:after="0" w:line="240" w:lineRule="auto"/>
        <w:jc w:val="both"/>
        <w:rPr>
          <w:rFonts w:ascii="Verdana" w:eastAsia="Verdana" w:hAnsi="Verdana" w:cs="Verdana"/>
        </w:rPr>
      </w:pPr>
    </w:p>
    <w:p w14:paraId="6039BCE6" w14:textId="77777777" w:rsidR="003E797F" w:rsidRDefault="003E797F" w:rsidP="0062698A">
      <w:pPr>
        <w:spacing w:after="0" w:line="240" w:lineRule="auto"/>
        <w:jc w:val="both"/>
        <w:rPr>
          <w:rFonts w:ascii="Verdana" w:eastAsia="Verdana" w:hAnsi="Verdana" w:cs="Verdana"/>
        </w:rPr>
      </w:pPr>
    </w:p>
    <w:p w14:paraId="5B391175" w14:textId="0AD23AE0" w:rsidR="00187B26" w:rsidRDefault="00647D77" w:rsidP="0062698A">
      <w:pPr>
        <w:spacing w:after="0" w:line="240" w:lineRule="auto"/>
        <w:jc w:val="both"/>
        <w:rPr>
          <w:rFonts w:ascii="Verdana" w:eastAsia="Verdana" w:hAnsi="Verdana" w:cs="Verdana"/>
        </w:rPr>
      </w:pPr>
      <w:r w:rsidRPr="30821638">
        <w:rPr>
          <w:rFonts w:ascii="Verdana" w:eastAsia="Verdana" w:hAnsi="Verdana" w:cs="Verdana"/>
        </w:rPr>
        <w:t>Bogotá D.C</w:t>
      </w:r>
      <w:r w:rsidR="00187B26">
        <w:rPr>
          <w:rFonts w:ascii="Verdana" w:eastAsia="Verdana" w:hAnsi="Verdana" w:cs="Verdana"/>
        </w:rPr>
        <w:t xml:space="preserve">., 29 </w:t>
      </w:r>
      <w:proofErr w:type="gramStart"/>
      <w:r w:rsidR="00187B26">
        <w:rPr>
          <w:rFonts w:ascii="Verdana" w:eastAsia="Verdana" w:hAnsi="Verdana" w:cs="Verdana"/>
        </w:rPr>
        <w:t>Marzo</w:t>
      </w:r>
      <w:proofErr w:type="gramEnd"/>
      <w:r w:rsidR="00187B26">
        <w:rPr>
          <w:rFonts w:ascii="Verdana" w:eastAsia="Verdana" w:hAnsi="Verdana" w:cs="Verdana"/>
        </w:rPr>
        <w:t xml:space="preserve"> 2026</w:t>
      </w:r>
    </w:p>
    <w:p w14:paraId="69FF1E23" w14:textId="67359D75" w:rsidR="00187B26" w:rsidRPr="0099386F" w:rsidRDefault="00187B26" w:rsidP="00187B26">
      <w:pPr>
        <w:spacing w:after="0" w:line="240" w:lineRule="auto"/>
        <w:jc w:val="right"/>
        <w:rPr>
          <w:rFonts w:ascii="Verdana" w:eastAsia="Calibri" w:hAnsi="Verdana" w:cs="Arial"/>
          <w:lang w:eastAsia="es-ES"/>
        </w:rPr>
      </w:pPr>
      <w:r w:rsidRPr="00187B26">
        <w:rPr>
          <w:rFonts w:ascii="Verdana" w:eastAsia="Calibri" w:hAnsi="Verdana" w:cs="Arial"/>
          <w:lang w:eastAsia="es-ES"/>
        </w:rPr>
        <w:drawing>
          <wp:inline distT="0" distB="0" distL="0" distR="0" wp14:anchorId="0EE671DD" wp14:editId="26095CBF">
            <wp:extent cx="1545189" cy="430756"/>
            <wp:effectExtent l="0" t="0" r="0" b="7620"/>
            <wp:docPr id="18621385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138525" name=""/>
                    <pic:cNvPicPr/>
                  </pic:nvPicPr>
                  <pic:blipFill>
                    <a:blip r:embed="rId10"/>
                    <a:stretch>
                      <a:fillRect/>
                    </a:stretch>
                  </pic:blipFill>
                  <pic:spPr>
                    <a:xfrm>
                      <a:off x="0" y="0"/>
                      <a:ext cx="1589869" cy="443212"/>
                    </a:xfrm>
                    <a:prstGeom prst="rect">
                      <a:avLst/>
                    </a:prstGeom>
                  </pic:spPr>
                </pic:pic>
              </a:graphicData>
            </a:graphic>
          </wp:inline>
        </w:drawing>
      </w:r>
    </w:p>
    <w:p w14:paraId="140CBC9B" w14:textId="77777777" w:rsidR="003E253F" w:rsidRDefault="003E253F" w:rsidP="003E253F">
      <w:pPr>
        <w:spacing w:after="0" w:line="240" w:lineRule="auto"/>
        <w:jc w:val="both"/>
        <w:rPr>
          <w:rFonts w:ascii="Verdana" w:eastAsia="Calibri" w:hAnsi="Verdana" w:cs="Arial"/>
          <w:b/>
          <w:bCs/>
          <w:lang w:eastAsia="es-ES"/>
        </w:rPr>
      </w:pPr>
      <w:r>
        <w:rPr>
          <w:rFonts w:ascii="Verdana" w:eastAsia="Calibri" w:hAnsi="Verdana" w:cs="Arial"/>
          <w:b/>
          <w:bCs/>
          <w:lang w:eastAsia="es-ES"/>
        </w:rPr>
        <w:t>Señora</w:t>
      </w:r>
    </w:p>
    <w:p w14:paraId="0D3DBBCA" w14:textId="7D8FE337" w:rsidR="003E253F" w:rsidRDefault="003E253F" w:rsidP="003E253F">
      <w:pPr>
        <w:spacing w:after="0" w:line="240" w:lineRule="auto"/>
        <w:jc w:val="both"/>
        <w:rPr>
          <w:rFonts w:ascii="Verdana" w:eastAsia="Calibri" w:hAnsi="Verdana" w:cs="Arial"/>
          <w:b/>
          <w:bCs/>
          <w:lang w:eastAsia="es-ES"/>
        </w:rPr>
      </w:pPr>
      <w:r w:rsidRPr="002825BF">
        <w:rPr>
          <w:rFonts w:ascii="Verdana" w:eastAsia="Calibri" w:hAnsi="Verdana" w:cs="Arial"/>
          <w:b/>
          <w:bCs/>
          <w:lang w:eastAsia="es-ES"/>
        </w:rPr>
        <w:t>Mar</w:t>
      </w:r>
      <w:r>
        <w:rPr>
          <w:rFonts w:ascii="Verdana" w:eastAsia="Calibri" w:hAnsi="Verdana" w:cs="Arial"/>
          <w:b/>
          <w:bCs/>
          <w:lang w:eastAsia="es-ES"/>
        </w:rPr>
        <w:t>í</w:t>
      </w:r>
      <w:r w:rsidRPr="002825BF">
        <w:rPr>
          <w:rFonts w:ascii="Verdana" w:eastAsia="Calibri" w:hAnsi="Verdana" w:cs="Arial"/>
          <w:b/>
          <w:bCs/>
          <w:lang w:eastAsia="es-ES"/>
        </w:rPr>
        <w:t>a Alejandra</w:t>
      </w:r>
      <w:r>
        <w:rPr>
          <w:rFonts w:ascii="Verdana" w:eastAsia="Calibri" w:hAnsi="Verdana" w:cs="Arial"/>
          <w:b/>
          <w:bCs/>
          <w:lang w:eastAsia="es-ES"/>
        </w:rPr>
        <w:t xml:space="preserve"> </w:t>
      </w:r>
      <w:r w:rsidRPr="002825BF">
        <w:rPr>
          <w:rFonts w:ascii="Verdana" w:eastAsia="Calibri" w:hAnsi="Verdana" w:cs="Arial"/>
          <w:b/>
          <w:bCs/>
          <w:lang w:eastAsia="es-ES"/>
        </w:rPr>
        <w:t>Palacio Ortiz</w:t>
      </w:r>
    </w:p>
    <w:p w14:paraId="1459F9FF" w14:textId="77777777" w:rsidR="003E253F" w:rsidRPr="002825BF" w:rsidRDefault="003E253F" w:rsidP="003E253F">
      <w:pPr>
        <w:spacing w:after="0" w:line="240" w:lineRule="auto"/>
        <w:jc w:val="both"/>
        <w:rPr>
          <w:rFonts w:ascii="Verdana" w:hAnsi="Verdana"/>
          <w:b/>
          <w:bCs/>
        </w:rPr>
      </w:pPr>
      <w:hyperlink r:id="rId11" w:history="1">
        <w:r w:rsidRPr="0099386F">
          <w:rPr>
            <w:rStyle w:val="Hipervnculo"/>
            <w:rFonts w:ascii="Verdana" w:hAnsi="Verdana"/>
            <w:b/>
            <w:bCs/>
          </w:rPr>
          <w:t>abg.alejandrapalacio@outlook.com</w:t>
        </w:r>
      </w:hyperlink>
    </w:p>
    <w:p w14:paraId="5AD8554C" w14:textId="77777777" w:rsidR="003E253F" w:rsidRPr="003F658D" w:rsidRDefault="003E253F" w:rsidP="003E253F">
      <w:pPr>
        <w:spacing w:after="0" w:line="240" w:lineRule="auto"/>
        <w:jc w:val="both"/>
        <w:rPr>
          <w:rFonts w:ascii="Verdana" w:hAnsi="Verdana"/>
          <w:lang w:val="it-CH"/>
        </w:rPr>
      </w:pPr>
      <w:r>
        <w:rPr>
          <w:rFonts w:ascii="Verdana" w:hAnsi="Verdana"/>
          <w:lang w:val="it-CH"/>
        </w:rPr>
        <w:t xml:space="preserve">Itaguí – Antioquia </w:t>
      </w:r>
    </w:p>
    <w:p w14:paraId="57C60D01" w14:textId="77777777" w:rsidR="0099386F" w:rsidRPr="0099386F" w:rsidRDefault="0099386F">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E253F" w:rsidRPr="005644FE" w14:paraId="53E71D92" w14:textId="77777777" w:rsidTr="0019466E">
        <w:trPr>
          <w:trHeight w:val="162"/>
        </w:trPr>
        <w:tc>
          <w:tcPr>
            <w:tcW w:w="3119" w:type="dxa"/>
          </w:tcPr>
          <w:p w14:paraId="018A73F8" w14:textId="77777777" w:rsidR="003E253F" w:rsidRPr="003F658D" w:rsidRDefault="003E253F" w:rsidP="0019466E">
            <w:pPr>
              <w:jc w:val="both"/>
              <w:rPr>
                <w:rFonts w:ascii="Verdana" w:eastAsia="Calibri" w:hAnsi="Verdana" w:cs="Arial"/>
                <w:b/>
                <w:bCs/>
                <w:color w:val="7030A0"/>
                <w:lang w:val="it-CH" w:eastAsia="es-ES_tradnl"/>
              </w:rPr>
            </w:pPr>
          </w:p>
        </w:tc>
        <w:tc>
          <w:tcPr>
            <w:tcW w:w="5670" w:type="dxa"/>
          </w:tcPr>
          <w:p w14:paraId="378FB49B" w14:textId="77777777" w:rsidR="003E253F" w:rsidRPr="005644FE" w:rsidRDefault="003E253F" w:rsidP="0019466E">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207 de 2026</w:t>
            </w:r>
          </w:p>
          <w:p w14:paraId="1F106B0A" w14:textId="77777777" w:rsidR="003E253F" w:rsidRPr="005644FE" w:rsidRDefault="003E253F" w:rsidP="0019466E">
            <w:pPr>
              <w:jc w:val="both"/>
              <w:rPr>
                <w:rFonts w:ascii="Verdana" w:eastAsia="Calibri" w:hAnsi="Verdana" w:cs="Arial"/>
                <w:b/>
                <w:bCs/>
                <w:color w:val="7030A0"/>
                <w:lang w:eastAsia="es-ES"/>
              </w:rPr>
            </w:pPr>
          </w:p>
        </w:tc>
      </w:tr>
      <w:tr w:rsidR="003E253F" w:rsidRPr="005644FE" w14:paraId="7FE41303" w14:textId="77777777" w:rsidTr="0019466E">
        <w:trPr>
          <w:trHeight w:val="884"/>
        </w:trPr>
        <w:tc>
          <w:tcPr>
            <w:tcW w:w="3119" w:type="dxa"/>
          </w:tcPr>
          <w:p w14:paraId="64665A0E" w14:textId="77777777" w:rsidR="003E253F" w:rsidRPr="005644FE" w:rsidRDefault="003E253F" w:rsidP="0019466E">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4599BA21" w14:textId="77777777" w:rsidR="003E253F" w:rsidRPr="0099386F" w:rsidRDefault="003E253F" w:rsidP="0019466E">
            <w:pPr>
              <w:jc w:val="both"/>
              <w:rPr>
                <w:rStyle w:val="eop"/>
                <w:rFonts w:ascii="Verdana" w:eastAsia="Verdana" w:hAnsi="Verdana" w:cs="Verdana"/>
                <w:color w:val="000000"/>
                <w:shd w:val="clear" w:color="auto" w:fill="FFFFFF"/>
              </w:rPr>
            </w:pPr>
            <w:r w:rsidRPr="0062698A">
              <w:rPr>
                <w:rFonts w:ascii="Verdana" w:eastAsia="Verdana" w:hAnsi="Verdana" w:cs="Verdana"/>
                <w:color w:val="000000" w:themeColor="text1"/>
              </w:rPr>
              <w:t>LEY DE GARANTÍAS ELECTORALES – Propósito /LEY DE GARANTÍAS ELECTORALES – Prohibiciones – Restricciones / LEY DE GARANTÍAS ELECTORALES – Artículo 33 – Ámbito material / LEY DE GARANTÍAS ELECTORALES – Destinatarios / LEY DE GARANTÍAS ELEC</w:t>
            </w:r>
            <w:r w:rsidRPr="0099386F">
              <w:rPr>
                <w:rFonts w:ascii="Verdana" w:eastAsia="Verdana" w:hAnsi="Verdana" w:cs="Verdana"/>
                <w:color w:val="000000" w:themeColor="text1"/>
              </w:rPr>
              <w:t>TORALES – Excepciones / ACTIVIDADES DE CIENCIA, TECNOLOGÍA E INNOVACIÓN ― Regulación /</w:t>
            </w:r>
            <w:r w:rsidRPr="0099386F">
              <w:rPr>
                <w:rFonts w:ascii="Verdana" w:eastAsia="Verdana" w:hAnsi="Verdana" w:cs="Verdana"/>
              </w:rPr>
              <w:t xml:space="preserve"> </w:t>
            </w:r>
            <w:r w:rsidRPr="0099386F">
              <w:rPr>
                <w:rFonts w:ascii="Verdana" w:eastAsia="Verdana" w:hAnsi="Verdana" w:cs="Verdana"/>
                <w:color w:val="000000" w:themeColor="text1"/>
              </w:rPr>
              <w:t>CONVENIOS ESPECIALES DE COOPERACIÓN</w:t>
            </w:r>
            <w:r w:rsidRPr="0099386F">
              <w:rPr>
                <w:rFonts w:ascii="Verdana" w:eastAsia="Verdana" w:hAnsi="Verdana" w:cs="Verdana"/>
              </w:rPr>
              <w:t xml:space="preserve"> – </w:t>
            </w:r>
            <w:r w:rsidRPr="0099386F">
              <w:rPr>
                <w:rFonts w:ascii="Verdana" w:eastAsia="Verdana" w:hAnsi="Verdana" w:cs="Verdana"/>
                <w:color w:val="000000" w:themeColor="text1"/>
              </w:rPr>
              <w:t>Regulación – Contratación directa</w:t>
            </w:r>
            <w:r w:rsidRPr="0099386F">
              <w:rPr>
                <w:rFonts w:ascii="Verdana" w:eastAsia="Verdana" w:hAnsi="Verdana" w:cs="Verdana"/>
              </w:rPr>
              <w:t xml:space="preserve"> / </w:t>
            </w:r>
            <w:r w:rsidRPr="0099386F">
              <w:rPr>
                <w:rFonts w:ascii="Verdana" w:eastAsia="Verdana" w:hAnsi="Verdana" w:cs="Verdana"/>
                <w:color w:val="000000" w:themeColor="text1"/>
              </w:rPr>
              <w:t>CONTRATACIÓN ESTATAL - Aplicación de la ley 996 de 2005 - Convenios especiales de cooperación</w:t>
            </w:r>
          </w:p>
          <w:p w14:paraId="3586652C" w14:textId="77777777" w:rsidR="003E253F" w:rsidRPr="00E65C5F" w:rsidRDefault="003E253F" w:rsidP="00647D77">
            <w:pPr>
              <w:jc w:val="both"/>
              <w:rPr>
                <w:rFonts w:ascii="Verdana" w:hAnsi="Verdana" w:cs="Arial"/>
                <w:color w:val="000000" w:themeColor="text1"/>
              </w:rPr>
            </w:pPr>
          </w:p>
        </w:tc>
      </w:tr>
      <w:tr w:rsidR="003E253F" w:rsidRPr="005644FE" w14:paraId="70DC86E1" w14:textId="77777777" w:rsidTr="0019466E">
        <w:tc>
          <w:tcPr>
            <w:tcW w:w="3119" w:type="dxa"/>
          </w:tcPr>
          <w:p w14:paraId="6BBA459C" w14:textId="77777777" w:rsidR="003E253F" w:rsidRPr="005644FE" w:rsidRDefault="003E253F" w:rsidP="0019466E">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40D64AF" w14:textId="77777777" w:rsidR="003E253F" w:rsidRPr="00F04657" w:rsidRDefault="003E253F" w:rsidP="0019466E">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2825BF">
              <w:rPr>
                <w:rFonts w:ascii="Verdana" w:eastAsia="Calibri" w:hAnsi="Verdana" w:cs="Arial"/>
                <w:lang w:eastAsia="es-ES_tradnl"/>
              </w:rPr>
              <w:t>1_2026_02_19_002275</w:t>
            </w:r>
          </w:p>
        </w:tc>
      </w:tr>
    </w:tbl>
    <w:p w14:paraId="572F68DD" w14:textId="77777777" w:rsidR="003E253F" w:rsidRPr="005644FE" w:rsidRDefault="003E253F" w:rsidP="003E253F">
      <w:pPr>
        <w:spacing w:after="0" w:line="276" w:lineRule="auto"/>
        <w:jc w:val="both"/>
        <w:rPr>
          <w:rFonts w:ascii="Verdana" w:eastAsia="Calibri" w:hAnsi="Verdana" w:cs="Arial"/>
          <w:lang w:eastAsia="es-ES_tradnl"/>
        </w:rPr>
      </w:pPr>
    </w:p>
    <w:p w14:paraId="50D6BB54" w14:textId="77777777" w:rsidR="003E253F" w:rsidRPr="005644FE" w:rsidRDefault="003E253F" w:rsidP="003E253F">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María Alejandra: </w:t>
      </w:r>
    </w:p>
    <w:p w14:paraId="58DD6593" w14:textId="77777777" w:rsidR="003E253F" w:rsidRPr="00E02524" w:rsidRDefault="003E253F" w:rsidP="00647D77">
      <w:pPr>
        <w:spacing w:after="0" w:line="276" w:lineRule="auto"/>
        <w:jc w:val="both"/>
        <w:rPr>
          <w:rFonts w:ascii="Verdana" w:hAnsi="Verdana"/>
          <w:lang w:val="es-MX"/>
        </w:rPr>
      </w:pPr>
    </w:p>
    <w:p w14:paraId="408E8CFF" w14:textId="4171B14B" w:rsidR="003E253F" w:rsidRDefault="003E253F" w:rsidP="0099386F">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19 de febrero de 2026, </w:t>
      </w:r>
      <w:r w:rsidRPr="005644FE">
        <w:rPr>
          <w:rFonts w:ascii="Verdana" w:eastAsia="Calibri" w:hAnsi="Verdana" w:cs="Arial"/>
          <w:lang w:eastAsia="es-ES"/>
        </w:rPr>
        <w:t>en la cual manifiesta lo siguiente:</w:t>
      </w:r>
    </w:p>
    <w:p w14:paraId="41AB5ED7" w14:textId="77777777" w:rsidR="0099386F" w:rsidRDefault="0099386F" w:rsidP="00647D77">
      <w:pPr>
        <w:spacing w:after="0" w:line="276" w:lineRule="auto"/>
        <w:jc w:val="both"/>
        <w:rPr>
          <w:rFonts w:ascii="Verdana" w:hAnsi="Verdana"/>
        </w:rPr>
      </w:pPr>
    </w:p>
    <w:p w14:paraId="37C3EF40" w14:textId="77777777" w:rsidR="003E253F" w:rsidRDefault="003E253F" w:rsidP="00647D77">
      <w:pPr>
        <w:spacing w:after="0" w:line="276" w:lineRule="auto"/>
        <w:jc w:val="both"/>
        <w:rPr>
          <w:rFonts w:ascii="Verdana" w:hAnsi="Verdana"/>
        </w:rPr>
      </w:pPr>
      <w:r w:rsidRPr="00E02524">
        <w:rPr>
          <w:rFonts w:ascii="Verdana" w:hAnsi="Verdana"/>
        </w:rPr>
        <w:t xml:space="preserve">PETICIÓN REALIZADA </w:t>
      </w:r>
    </w:p>
    <w:p w14:paraId="72BE3134" w14:textId="77777777" w:rsidR="003E253F" w:rsidRPr="008E5B36" w:rsidRDefault="003E253F" w:rsidP="00647D77">
      <w:pPr>
        <w:spacing w:after="0" w:line="276" w:lineRule="auto"/>
        <w:jc w:val="both"/>
        <w:rPr>
          <w:rFonts w:ascii="Verdana" w:hAnsi="Verdana"/>
        </w:rPr>
      </w:pPr>
    </w:p>
    <w:p w14:paraId="36A32396" w14:textId="1BD1E80D" w:rsidR="00FB004A" w:rsidRDefault="003E253F" w:rsidP="00CB650E">
      <w:pPr>
        <w:spacing w:after="0" w:line="240" w:lineRule="auto"/>
        <w:ind w:left="709" w:right="709"/>
        <w:jc w:val="both"/>
        <w:rPr>
          <w:rFonts w:ascii="Verdana" w:hAnsi="Verdana"/>
          <w:sz w:val="20"/>
          <w:szCs w:val="20"/>
        </w:rPr>
      </w:pPr>
      <w:r>
        <w:rPr>
          <w:rFonts w:ascii="Verdana" w:hAnsi="Verdana"/>
          <w:sz w:val="20"/>
          <w:szCs w:val="20"/>
        </w:rPr>
        <w:t xml:space="preserve">“(…) </w:t>
      </w:r>
      <w:r w:rsidRPr="002825BF">
        <w:rPr>
          <w:rFonts w:ascii="Verdana" w:hAnsi="Verdana"/>
          <w:sz w:val="20"/>
          <w:szCs w:val="20"/>
        </w:rPr>
        <w:t>Teniendo en cuenta las restricciones de contratación contenidas en la Ley de Garantías, solicito respetuosamente su concepto técnico sobre los siguientes puntos:</w:t>
      </w:r>
    </w:p>
    <w:p w14:paraId="1855C1A3" w14:textId="77777777" w:rsidR="003E253F" w:rsidRDefault="003E253F" w:rsidP="00647D77">
      <w:pPr>
        <w:spacing w:after="0" w:line="240" w:lineRule="auto"/>
        <w:ind w:left="709" w:right="709"/>
        <w:jc w:val="both"/>
        <w:rPr>
          <w:rFonts w:ascii="Verdana" w:hAnsi="Verdana"/>
          <w:sz w:val="20"/>
          <w:szCs w:val="20"/>
        </w:rPr>
      </w:pPr>
      <w:r w:rsidRPr="002825BF">
        <w:rPr>
          <w:rFonts w:ascii="Verdana" w:hAnsi="Verdana"/>
          <w:sz w:val="20"/>
          <w:szCs w:val="20"/>
        </w:rPr>
        <w:t xml:space="preserve">1. ¿Se encuentra cobijado por la prohibición de la Ley de Garantías un acuerdo de voluntades suscrito entre una entidad pública y una entidad privada cuando este no implica la ejecución de recursos del presupuesto público (cuantía cero)? </w:t>
      </w:r>
    </w:p>
    <w:p w14:paraId="2CF254B2" w14:textId="77777777" w:rsidR="003E253F" w:rsidRDefault="003E253F" w:rsidP="00647D77">
      <w:pPr>
        <w:spacing w:after="0" w:line="240" w:lineRule="auto"/>
        <w:ind w:left="709" w:right="709"/>
        <w:jc w:val="both"/>
        <w:rPr>
          <w:rFonts w:ascii="Verdana" w:hAnsi="Verdana"/>
          <w:sz w:val="20"/>
          <w:szCs w:val="20"/>
        </w:rPr>
      </w:pPr>
    </w:p>
    <w:p w14:paraId="67A7F944" w14:textId="77777777" w:rsidR="003E253F" w:rsidRDefault="003E253F" w:rsidP="00647D77">
      <w:pPr>
        <w:spacing w:after="0" w:line="240" w:lineRule="auto"/>
        <w:ind w:left="709" w:right="709"/>
        <w:jc w:val="both"/>
        <w:rPr>
          <w:rFonts w:ascii="Verdana" w:hAnsi="Verdana"/>
          <w:sz w:val="20"/>
          <w:szCs w:val="20"/>
        </w:rPr>
      </w:pPr>
      <w:r w:rsidRPr="002825BF">
        <w:rPr>
          <w:rFonts w:ascii="Verdana" w:hAnsi="Verdana"/>
          <w:sz w:val="20"/>
          <w:szCs w:val="20"/>
        </w:rPr>
        <w:t xml:space="preserve">2. ¿La restricción de "contratación directa" mencionada en la norma aplica exclusivamente a contratos que generan obligaciones pecuniarias o también se extiende a convenios de cooperación técnica sin cuantía? </w:t>
      </w:r>
    </w:p>
    <w:p w14:paraId="3212A648" w14:textId="77777777" w:rsidR="003E253F" w:rsidRDefault="003E253F" w:rsidP="00647D77">
      <w:pPr>
        <w:spacing w:after="0" w:line="240" w:lineRule="auto"/>
        <w:ind w:left="709" w:right="709"/>
        <w:jc w:val="both"/>
        <w:rPr>
          <w:rFonts w:ascii="Verdana" w:hAnsi="Verdana"/>
          <w:sz w:val="20"/>
          <w:szCs w:val="20"/>
        </w:rPr>
      </w:pPr>
    </w:p>
    <w:p w14:paraId="1081E64F" w14:textId="77777777" w:rsidR="003E253F" w:rsidRPr="00594153" w:rsidRDefault="003E253F" w:rsidP="00647D77">
      <w:pPr>
        <w:spacing w:after="0" w:line="240" w:lineRule="auto"/>
        <w:ind w:left="709" w:right="709"/>
        <w:jc w:val="both"/>
        <w:rPr>
          <w:rFonts w:ascii="Verdana" w:hAnsi="Verdana"/>
          <w:sz w:val="20"/>
          <w:szCs w:val="20"/>
        </w:rPr>
      </w:pPr>
      <w:r w:rsidRPr="002825BF">
        <w:rPr>
          <w:rFonts w:ascii="Verdana" w:hAnsi="Verdana"/>
          <w:sz w:val="20"/>
          <w:szCs w:val="20"/>
        </w:rPr>
        <w:t>3. ¿</w:t>
      </w:r>
      <w:proofErr w:type="gramStart"/>
      <w:r w:rsidRPr="002825BF">
        <w:rPr>
          <w:rFonts w:ascii="Verdana" w:hAnsi="Verdana"/>
          <w:sz w:val="20"/>
          <w:szCs w:val="20"/>
        </w:rPr>
        <w:t>Bajo qué condiciones</w:t>
      </w:r>
      <w:proofErr w:type="gramEnd"/>
      <w:r w:rsidRPr="002825BF">
        <w:rPr>
          <w:rFonts w:ascii="Verdana" w:hAnsi="Verdana"/>
          <w:sz w:val="20"/>
          <w:szCs w:val="20"/>
        </w:rPr>
        <w:t xml:space="preserve"> una entidad pública puede suscribir alianzas con particulares durante el periodo de Ley de Garantías sin incurrir en las prohibiciones legales, siempre que se garantice la neutralidad y la ausencia de gasto público? </w:t>
      </w:r>
      <w:r w:rsidRPr="00FC1BE4">
        <w:rPr>
          <w:rFonts w:ascii="Verdana" w:hAnsi="Verdana"/>
          <w:sz w:val="20"/>
          <w:szCs w:val="20"/>
        </w:rPr>
        <w:t>(…)”.</w:t>
      </w:r>
    </w:p>
    <w:p w14:paraId="626D297B" w14:textId="77777777" w:rsidR="003E253F" w:rsidRPr="00647D77" w:rsidRDefault="003E253F" w:rsidP="00647D77">
      <w:pPr>
        <w:spacing w:after="0" w:line="276" w:lineRule="auto"/>
        <w:ind w:left="567" w:right="760"/>
        <w:jc w:val="both"/>
        <w:rPr>
          <w:rFonts w:ascii="Verdana" w:hAnsi="Verdana"/>
        </w:rPr>
      </w:pPr>
    </w:p>
    <w:p w14:paraId="10DD4A26" w14:textId="287AEECA" w:rsidR="003E253F" w:rsidRPr="00F64722" w:rsidRDefault="003E253F" w:rsidP="003E253F">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626431">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4724DF4" w14:textId="77777777" w:rsidR="003E253F" w:rsidRPr="009D221F" w:rsidRDefault="003E253F" w:rsidP="003E253F">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w:t>
      </w:r>
      <w:r w:rsidRPr="009D221F">
        <w:rPr>
          <w:rFonts w:ascii="Verdana" w:eastAsia="Calibri" w:hAnsi="Verdana" w:cs="Arial"/>
          <w:color w:val="000000"/>
          <w:lang w:eastAsia="es-ES"/>
        </w:rPr>
        <w:t>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9D221F">
        <w:rPr>
          <w:rFonts w:ascii="Verdana" w:eastAsia="Calibri" w:hAnsi="Verdana" w:cs="Arial"/>
          <w:color w:val="000000"/>
          <w:lang w:eastAsia="es-ES"/>
        </w:rPr>
        <w:t>l</w:t>
      </w:r>
      <w:r>
        <w:rPr>
          <w:rFonts w:ascii="Verdana" w:eastAsia="Calibri" w:hAnsi="Verdana" w:cs="Arial"/>
          <w:color w:val="000000"/>
          <w:lang w:eastAsia="es-ES"/>
        </w:rPr>
        <w:t>os</w:t>
      </w:r>
      <w:r w:rsidRPr="009D221F">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9D221F">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9D221F">
        <w:rPr>
          <w:rFonts w:ascii="Verdana" w:eastAsia="Calibri" w:hAnsi="Verdana" w:cs="Arial"/>
          <w:color w:val="000000"/>
          <w:lang w:eastAsia="es-ES"/>
        </w:rPr>
        <w:t xml:space="preserve"> de su consulta.</w:t>
      </w:r>
      <w:r w:rsidRPr="009D221F">
        <w:rPr>
          <w:rFonts w:ascii="Verdana" w:eastAsia="Calibri" w:hAnsi="Verdana" w:cs="Arial"/>
          <w:lang w:eastAsia="es-ES"/>
        </w:rPr>
        <w:t xml:space="preserve">  </w:t>
      </w:r>
    </w:p>
    <w:p w14:paraId="00253B53" w14:textId="77777777" w:rsidR="003E253F" w:rsidRPr="009D221F" w:rsidRDefault="003E253F" w:rsidP="003E253F">
      <w:pPr>
        <w:spacing w:after="0" w:line="276" w:lineRule="auto"/>
        <w:ind w:firstLine="709"/>
        <w:jc w:val="both"/>
        <w:rPr>
          <w:rFonts w:ascii="Verdana" w:eastAsia="Calibri" w:hAnsi="Verdana" w:cs="Arial"/>
          <w:lang w:eastAsia="es-ES"/>
        </w:rPr>
      </w:pPr>
    </w:p>
    <w:p w14:paraId="2F617CAD" w14:textId="77777777" w:rsidR="003E253F" w:rsidRPr="009D221F" w:rsidRDefault="003E253F" w:rsidP="003E25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D221F">
        <w:rPr>
          <w:rFonts w:ascii="Verdana" w:eastAsia="Century Gothic" w:hAnsi="Verdana" w:cs="Century Gothic"/>
          <w:b/>
          <w:bCs/>
        </w:rPr>
        <w:t>Problema planteado:</w:t>
      </w:r>
    </w:p>
    <w:p w14:paraId="49F8C20E" w14:textId="77777777" w:rsidR="003E253F" w:rsidRPr="009D221F" w:rsidRDefault="003E253F" w:rsidP="00647D77">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673966B4" w14:textId="7282062E" w:rsidR="003E253F" w:rsidRPr="00EC1D8F" w:rsidRDefault="003E253F" w:rsidP="003E253F">
      <w:pPr>
        <w:spacing w:after="0" w:line="276" w:lineRule="auto"/>
        <w:jc w:val="both"/>
        <w:rPr>
          <w:rFonts w:ascii="Verdana" w:eastAsia="Times New Roman" w:hAnsi="Verdana" w:cs="Arial"/>
          <w:lang w:eastAsia="es-MX"/>
        </w:rPr>
      </w:pPr>
      <w:r w:rsidRPr="009D221F">
        <w:rPr>
          <w:rFonts w:ascii="Verdana" w:eastAsia="Calibri" w:hAnsi="Verdana" w:cs="Arial"/>
          <w:color w:val="000000"/>
          <w:lang w:eastAsia="es-ES"/>
        </w:rPr>
        <w:t>De acuerdo con el contenido de su solicitud, esta Agencia resolverá el siguiente problema jurídico:</w:t>
      </w:r>
      <w:r>
        <w:rPr>
          <w:rFonts w:ascii="Verdana" w:eastAsia="Calibri" w:hAnsi="Verdana" w:cs="Arial"/>
          <w:color w:val="000000"/>
          <w:lang w:eastAsia="es-ES"/>
        </w:rPr>
        <w:t xml:space="preserve"> i) La restricción contenida en el artículo 33 de la Ley de Garantías Electorales ¿es aplicable a los negocios jurídicos celebrados entre una entidad pública y una entidad privada aun cuando no implique la ejecución de recursos públicos?</w:t>
      </w:r>
      <w:r w:rsidR="003508A0">
        <w:rPr>
          <w:rFonts w:ascii="Verdana" w:eastAsia="Calibri" w:hAnsi="Verdana" w:cs="Arial"/>
          <w:color w:val="000000"/>
          <w:lang w:eastAsia="es-ES"/>
        </w:rPr>
        <w:t>;</w:t>
      </w:r>
      <w:r>
        <w:rPr>
          <w:rFonts w:ascii="Verdana" w:eastAsia="Calibri" w:hAnsi="Verdana" w:cs="Arial"/>
          <w:color w:val="000000"/>
          <w:lang w:eastAsia="es-ES"/>
        </w:rPr>
        <w:t xml:space="preserve">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la restricción contenida en el artículo 33 de la Ley 996 de 2005 ¿se extiende a la celebración de los convenios especiales de cooperación?</w:t>
      </w:r>
      <w:r w:rsidR="003508A0">
        <w:rPr>
          <w:rFonts w:ascii="Verdana" w:eastAsia="Calibri" w:hAnsi="Verdana" w:cs="Arial"/>
          <w:color w:val="000000"/>
          <w:lang w:eastAsia="es-ES"/>
        </w:rPr>
        <w:t>;</w:t>
      </w:r>
      <w:r>
        <w:rPr>
          <w:rFonts w:ascii="Verdana" w:eastAsia="Calibri" w:hAnsi="Verdana" w:cs="Arial"/>
          <w:color w:val="000000"/>
          <w:lang w:eastAsia="es-ES"/>
        </w:rPr>
        <w:t xml:space="preserve"> </w:t>
      </w:r>
      <w:proofErr w:type="spellStart"/>
      <w:r>
        <w:rPr>
          <w:rFonts w:ascii="Verdana" w:eastAsia="Calibri" w:hAnsi="Verdana" w:cs="Arial"/>
          <w:color w:val="000000"/>
          <w:lang w:eastAsia="es-ES"/>
        </w:rPr>
        <w:t>iii</w:t>
      </w:r>
      <w:proofErr w:type="spellEnd"/>
      <w:r>
        <w:rPr>
          <w:rFonts w:ascii="Verdana" w:eastAsia="Calibri" w:hAnsi="Verdana" w:cs="Arial"/>
          <w:color w:val="000000"/>
          <w:lang w:eastAsia="es-ES"/>
        </w:rPr>
        <w:t xml:space="preserve">) ¿La ausencia o no de gasto público es un elemento determinante para la no aplicación de la Ley 996 de 2005?   </w:t>
      </w:r>
    </w:p>
    <w:p w14:paraId="2025FC81" w14:textId="77777777" w:rsidR="003E253F" w:rsidRPr="009E1ACC" w:rsidRDefault="003E253F" w:rsidP="003E797F">
      <w:pPr>
        <w:spacing w:after="0" w:line="240" w:lineRule="auto"/>
        <w:jc w:val="both"/>
        <w:rPr>
          <w:rFonts w:ascii="Verdana" w:eastAsia="Century Gothic" w:hAnsi="Verdana" w:cs="Century Gothic"/>
        </w:rPr>
      </w:pPr>
    </w:p>
    <w:p w14:paraId="6C54B707" w14:textId="77777777" w:rsidR="003E253F" w:rsidRPr="00B33011" w:rsidRDefault="003E253F" w:rsidP="00647D77">
      <w:pPr>
        <w:spacing w:after="0" w:line="276" w:lineRule="auto"/>
        <w:jc w:val="both"/>
        <w:rPr>
          <w:rFonts w:ascii="Verdana" w:eastAsia="Century Gothic" w:hAnsi="Verdana" w:cs="Century Gothic"/>
          <w:b/>
          <w:bCs/>
        </w:rPr>
      </w:pPr>
      <w:r w:rsidRPr="00B33011">
        <w:rPr>
          <w:rFonts w:ascii="Verdana" w:eastAsia="Century Gothic" w:hAnsi="Verdana" w:cs="Century Gothic"/>
          <w:b/>
          <w:bCs/>
        </w:rPr>
        <w:t>2. Respuesta:</w:t>
      </w:r>
    </w:p>
    <w:p w14:paraId="08FE8367" w14:textId="77777777" w:rsidR="003E253F" w:rsidRPr="005644FE" w:rsidRDefault="003E253F" w:rsidP="00647D77">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3E253F" w:rsidRPr="005644FE" w14:paraId="57087708" w14:textId="77777777" w:rsidTr="0019466E">
        <w:tc>
          <w:tcPr>
            <w:tcW w:w="8828" w:type="dxa"/>
          </w:tcPr>
          <w:p w14:paraId="251057AF" w14:textId="77777777" w:rsidR="0062698A" w:rsidRDefault="003E253F" w:rsidP="0019466E">
            <w:pPr>
              <w:spacing w:after="120" w:line="276" w:lineRule="auto"/>
              <w:jc w:val="both"/>
              <w:rPr>
                <w:rFonts w:ascii="Verdana" w:hAnsi="Verdana" w:cs="Arial"/>
                <w:lang w:eastAsia="x-none"/>
              </w:rPr>
            </w:pPr>
            <w:r>
              <w:rPr>
                <w:rFonts w:ascii="Verdana" w:eastAsia="Calibri" w:hAnsi="Verdana" w:cs="Arial"/>
                <w:lang w:eastAsia="es-ES"/>
              </w:rPr>
              <w:t xml:space="preserve">i) </w:t>
            </w:r>
            <w:r w:rsidRPr="00E80F85">
              <w:rPr>
                <w:rFonts w:ascii="Verdana" w:eastAsia="Calibri" w:hAnsi="Verdana" w:cs="Arial"/>
                <w:lang w:eastAsia="es-ES"/>
              </w:rPr>
              <w:t xml:space="preserve">Las restricciones contenidas en el artículo 33 de la Ley 996 de 2005 aplica para “la contratación directa” de todos los entes del Estado, </w:t>
            </w:r>
            <w:r w:rsidRPr="00E80F8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E80F85">
              <w:rPr>
                <w:rFonts w:ascii="Verdana" w:eastAsia="Calibri" w:hAnsi="Verdana" w:cs="Arial"/>
                <w:lang w:eastAsia="es-ES"/>
              </w:rPr>
              <w:t xml:space="preserve"> Se trata de la prohibición de </w:t>
            </w:r>
            <w:r w:rsidRPr="00E80F85">
              <w:rPr>
                <w:rFonts w:ascii="Verdana" w:hAnsi="Verdana" w:cs="Arial"/>
                <w:bCs/>
                <w:lang w:eastAsia="x-none"/>
              </w:rPr>
              <w:t>aquellos contratos en los que no exista un proceso abierto y competitivo.</w:t>
            </w:r>
            <w:r w:rsidRPr="00E80F8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w:t>
            </w:r>
            <w:r w:rsidR="0062698A">
              <w:rPr>
                <w:rFonts w:ascii="Verdana" w:hAnsi="Verdana" w:cs="Arial"/>
                <w:lang w:eastAsia="x-none"/>
              </w:rPr>
              <w:t>, así como los procedimientos de selección abiertos y competitivos dispuestos en regímenes especiales</w:t>
            </w:r>
            <w:r w:rsidRPr="00E80F85">
              <w:rPr>
                <w:rFonts w:ascii="Verdana" w:hAnsi="Verdana" w:cs="Arial"/>
                <w:lang w:eastAsia="x-none"/>
              </w:rPr>
              <w:t xml:space="preserve">. </w:t>
            </w:r>
          </w:p>
          <w:p w14:paraId="2703C3A3" w14:textId="6B5F344C" w:rsidR="003E253F" w:rsidRPr="001B1272" w:rsidRDefault="003E253F" w:rsidP="00647D77">
            <w:pPr>
              <w:spacing w:after="120" w:line="276" w:lineRule="auto"/>
              <w:ind w:firstLine="709"/>
              <w:jc w:val="both"/>
              <w:rPr>
                <w:rFonts w:ascii="Verdana" w:eastAsia="Calibri" w:hAnsi="Verdana" w:cs="Arial"/>
                <w:lang w:eastAsia="es-ES"/>
              </w:rPr>
            </w:pPr>
            <w:r w:rsidRPr="00E80F85">
              <w:rPr>
                <w:rFonts w:ascii="Verdana" w:hAnsi="Verdana" w:cs="Arial"/>
                <w:lang w:eastAsia="x-none"/>
              </w:rPr>
              <w:t xml:space="preserve">Adicionalmente, la celebración de la contratación directa </w:t>
            </w:r>
            <w:r w:rsidRPr="00E80F85">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w:t>
            </w:r>
            <w:r w:rsidRPr="001B1272">
              <w:rPr>
                <w:rFonts w:ascii="Verdana" w:eastAsia="Calibri" w:hAnsi="Verdana" w:cs="Arial"/>
                <w:lang w:eastAsia="es-ES"/>
              </w:rPr>
              <w:t xml:space="preserve">privada. </w:t>
            </w:r>
            <w:r w:rsidR="0062698A">
              <w:rPr>
                <w:rFonts w:ascii="Verdana" w:eastAsia="Calibri" w:hAnsi="Verdana" w:cs="Arial"/>
                <w:lang w:eastAsia="es-ES"/>
              </w:rPr>
              <w:t xml:space="preserve">Lo relevante para determinar la aplicación de la prohibición establecida en el artículo 33 ibidem es si el contrato que se pretende celebrar está precedido de un procedimiento de selección directo, esto es que no se abierto ni competitivo. </w:t>
            </w:r>
          </w:p>
          <w:p w14:paraId="5675070D" w14:textId="77777777" w:rsidR="003E253F" w:rsidRPr="001B1272" w:rsidRDefault="003E253F" w:rsidP="0019466E">
            <w:pPr>
              <w:spacing w:after="120" w:line="276" w:lineRule="auto"/>
              <w:ind w:firstLine="709"/>
              <w:jc w:val="both"/>
              <w:rPr>
                <w:rFonts w:ascii="Verdana" w:eastAsia="Calibri" w:hAnsi="Verdana" w:cs="Arial"/>
                <w:lang w:eastAsia="es-ES"/>
              </w:rPr>
            </w:pPr>
            <w:r w:rsidRPr="001B1272">
              <w:rPr>
                <w:rFonts w:ascii="Verdana" w:eastAsia="Calibri" w:hAnsi="Verdana" w:cs="Arial"/>
                <w:lang w:eastAsia="es-ES"/>
              </w:rPr>
              <w:t xml:space="preserve">Por su parte, la entidad definirá si la contratación que pretende celebrar se enmarca en alguna de las excepciones definidas en el artículo 33 de la Ley 996 de 2005, de tal manera que las excepciones contempladas no permiten efectuar una interpretación extensiva para incluir otros supuestos. </w:t>
            </w:r>
          </w:p>
          <w:p w14:paraId="629C5876" w14:textId="64E4422E" w:rsidR="003E253F" w:rsidRPr="00B26706" w:rsidRDefault="003E253F" w:rsidP="0019466E">
            <w:pPr>
              <w:spacing w:after="120" w:line="276" w:lineRule="auto"/>
              <w:ind w:firstLine="708"/>
              <w:jc w:val="both"/>
              <w:rPr>
                <w:rFonts w:ascii="Verdana" w:hAnsi="Verdana" w:cs="Arial"/>
                <w:lang w:eastAsia="es-ES_tradnl"/>
              </w:rPr>
            </w:pPr>
            <w:proofErr w:type="spellStart"/>
            <w:r w:rsidRPr="001B1272">
              <w:rPr>
                <w:rFonts w:ascii="Verdana" w:eastAsia="Calibri" w:hAnsi="Verdana" w:cs="Arial"/>
                <w:lang w:eastAsia="es-ES"/>
              </w:rPr>
              <w:t>ii</w:t>
            </w:r>
            <w:proofErr w:type="spellEnd"/>
            <w:r w:rsidRPr="001B1272">
              <w:rPr>
                <w:rFonts w:ascii="Verdana" w:eastAsia="Calibri" w:hAnsi="Verdana" w:cs="Arial"/>
                <w:lang w:eastAsia="es-ES"/>
              </w:rPr>
              <w:t>) En cuanto a las actividades de ciencia, tecnología e innovación</w:t>
            </w:r>
            <w:r>
              <w:rPr>
                <w:rFonts w:ascii="Verdana" w:eastAsia="Calibri" w:hAnsi="Verdana" w:cs="Arial"/>
                <w:lang w:eastAsia="es-ES"/>
              </w:rPr>
              <w:t xml:space="preserve">, i) </w:t>
            </w:r>
            <w:r w:rsidRPr="00B26706">
              <w:rPr>
                <w:rFonts w:ascii="Verdana" w:hAnsi="Verdana" w:cs="Arial"/>
                <w:lang w:eastAsia="es-ES_tradnl"/>
              </w:rPr>
              <w:t xml:space="preserve">la </w:t>
            </w:r>
            <w:r>
              <w:rPr>
                <w:rFonts w:ascii="Verdana" w:hAnsi="Verdana" w:cs="Arial"/>
                <w:lang w:eastAsia="es-ES_tradnl"/>
              </w:rPr>
              <w:t>L</w:t>
            </w:r>
            <w:r w:rsidRPr="00B26706">
              <w:rPr>
                <w:rFonts w:ascii="Verdana" w:hAnsi="Verdana" w:cs="Arial"/>
                <w:lang w:eastAsia="es-ES_tradnl"/>
              </w:rPr>
              <w:t xml:space="preserve">ey 1150 de 2007 autorizó a las </w:t>
            </w:r>
            <w:r w:rsidR="0062698A">
              <w:rPr>
                <w:rFonts w:ascii="Verdana" w:hAnsi="Verdana" w:cs="Arial"/>
                <w:lang w:eastAsia="es-ES_tradnl"/>
              </w:rPr>
              <w:t>e</w:t>
            </w:r>
            <w:r w:rsidRPr="00B26706">
              <w:rPr>
                <w:rFonts w:ascii="Verdana" w:hAnsi="Verdana" w:cs="Arial"/>
                <w:lang w:eastAsia="es-ES_tradnl"/>
              </w:rPr>
              <w:t xml:space="preserve">ntidades </w:t>
            </w:r>
            <w:r w:rsidR="0062698A">
              <w:rPr>
                <w:rFonts w:ascii="Verdana" w:hAnsi="Verdana" w:cs="Arial"/>
                <w:lang w:eastAsia="es-ES_tradnl"/>
              </w:rPr>
              <w:t>e</w:t>
            </w:r>
            <w:r w:rsidRPr="00B26706">
              <w:rPr>
                <w:rFonts w:ascii="Verdana" w:hAnsi="Verdana" w:cs="Arial"/>
                <w:lang w:eastAsia="es-ES_tradnl"/>
              </w:rPr>
              <w:t>statales sometidas al E</w:t>
            </w:r>
            <w:r w:rsidR="0062698A">
              <w:rPr>
                <w:rFonts w:ascii="Verdana" w:hAnsi="Verdana" w:cs="Arial"/>
                <w:lang w:eastAsia="es-ES_tradnl"/>
              </w:rPr>
              <w:t xml:space="preserve">statuto </w:t>
            </w:r>
            <w:r w:rsidRPr="00B26706">
              <w:rPr>
                <w:rFonts w:ascii="Verdana" w:hAnsi="Verdana" w:cs="Arial"/>
                <w:lang w:eastAsia="es-ES_tradnl"/>
              </w:rPr>
              <w:t>G</w:t>
            </w:r>
            <w:r w:rsidR="0062698A">
              <w:rPr>
                <w:rFonts w:ascii="Verdana" w:hAnsi="Verdana" w:cs="Arial"/>
                <w:lang w:eastAsia="es-ES_tradnl"/>
              </w:rPr>
              <w:t xml:space="preserve">eneral de </w:t>
            </w:r>
            <w:r w:rsidRPr="00B26706">
              <w:rPr>
                <w:rFonts w:ascii="Verdana" w:hAnsi="Verdana" w:cs="Arial"/>
                <w:lang w:eastAsia="es-ES_tradnl"/>
              </w:rPr>
              <w:t>C</w:t>
            </w:r>
            <w:r w:rsidR="0062698A">
              <w:rPr>
                <w:rFonts w:ascii="Verdana" w:hAnsi="Verdana" w:cs="Arial"/>
                <w:lang w:eastAsia="es-ES_tradnl"/>
              </w:rPr>
              <w:t xml:space="preserve">ontratación de la </w:t>
            </w:r>
            <w:r w:rsidRPr="00B26706">
              <w:rPr>
                <w:rFonts w:ascii="Verdana" w:hAnsi="Verdana" w:cs="Arial"/>
                <w:lang w:eastAsia="es-ES_tradnl"/>
              </w:rPr>
              <w:t>A</w:t>
            </w:r>
            <w:r w:rsidR="0062698A">
              <w:rPr>
                <w:rFonts w:ascii="Verdana" w:hAnsi="Verdana" w:cs="Arial"/>
                <w:lang w:eastAsia="es-ES_tradnl"/>
              </w:rPr>
              <w:t xml:space="preserve">dministración </w:t>
            </w:r>
            <w:r w:rsidRPr="00B26706">
              <w:rPr>
                <w:rFonts w:ascii="Verdana" w:hAnsi="Verdana" w:cs="Arial"/>
                <w:lang w:eastAsia="es-ES_tradnl"/>
              </w:rPr>
              <w:t>P</w:t>
            </w:r>
            <w:r w:rsidR="0062698A">
              <w:rPr>
                <w:rFonts w:ascii="Verdana" w:hAnsi="Verdana" w:cs="Arial"/>
                <w:lang w:eastAsia="es-ES_tradnl"/>
              </w:rPr>
              <w:t>ública</w:t>
            </w:r>
            <w:r w:rsidRPr="00B26706">
              <w:rPr>
                <w:rFonts w:ascii="Verdana" w:hAnsi="Verdana" w:cs="Arial"/>
                <w:lang w:eastAsia="es-ES_tradnl"/>
              </w:rPr>
              <w:t xml:space="preserve"> para contratar directamente el desarrollo de actividades científicas y tecnológicas, sin determinar una tipología específica; y </w:t>
            </w:r>
            <w:proofErr w:type="spellStart"/>
            <w:r w:rsidRPr="00B26706">
              <w:rPr>
                <w:rFonts w:ascii="Verdana" w:hAnsi="Verdana" w:cs="Arial"/>
                <w:lang w:eastAsia="es-ES_tradnl"/>
              </w:rPr>
              <w:t>ii</w:t>
            </w:r>
            <w:proofErr w:type="spellEnd"/>
            <w:r w:rsidRPr="00B26706">
              <w:rPr>
                <w:rFonts w:ascii="Verdana" w:hAnsi="Verdana" w:cs="Arial"/>
                <w:lang w:eastAsia="es-ES_tradnl"/>
              </w:rPr>
              <w:t xml:space="preserve">) los Decretos Ley 393 y 591 de 1991 señalaron que la Nación y sus entidades descentralizadas tienen la facultad de optar por las tipologías contractuales allí señaladas cuando requieran contratar </w:t>
            </w:r>
            <w:r>
              <w:rPr>
                <w:rFonts w:ascii="Verdana" w:hAnsi="Verdana" w:cs="Arial"/>
                <w:lang w:eastAsia="es-ES_tradnl"/>
              </w:rPr>
              <w:t xml:space="preserve">dichas </w:t>
            </w:r>
            <w:r w:rsidRPr="00B26706">
              <w:rPr>
                <w:rFonts w:ascii="Verdana" w:hAnsi="Verdana" w:cs="Arial"/>
                <w:lang w:eastAsia="es-ES_tradnl"/>
              </w:rPr>
              <w:t>actividades. En este sentido, el marco jurídico es claro en que la nación y sus entidades descentralizadas se encuentran autorizadas para contratar directamente el desarrollo de actividades científicas y tecnológicas en virtud de la causal establecida en la Ley 1150 de 2007, y que tienen la posibilidad de adoptar las tipologías contractuales señaladas en los Decretos Ley 393 y 591 de 1991 con este fin.</w:t>
            </w:r>
          </w:p>
          <w:p w14:paraId="22FA7F6F" w14:textId="56B08368" w:rsidR="003E253F" w:rsidRPr="00B26706" w:rsidRDefault="003E253F" w:rsidP="0019466E">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los Decretos Ley 393 y 591 de 1991 señalan algunas tipologías contractuales mediante las cuales es posible materializar la contratación directa de dichas actividades, señalan expresamente que es una </w:t>
            </w:r>
            <w:r w:rsidRPr="00B47B4C">
              <w:rPr>
                <w:rFonts w:ascii="Verdana" w:hAnsi="Verdana" w:cs="Arial"/>
                <w:i/>
                <w:iCs/>
                <w:u w:val="single"/>
                <w:lang w:eastAsia="es-ES_tradnl"/>
              </w:rPr>
              <w:t>facultad</w:t>
            </w:r>
            <w:r w:rsidRPr="00B26706">
              <w:rPr>
                <w:rFonts w:ascii="Verdana" w:hAnsi="Verdana" w:cs="Arial"/>
                <w:lang w:eastAsia="es-ES_tradnl"/>
              </w:rPr>
              <w:t xml:space="preserve"> al utilizar la expresión “podrán”. Adicionalmente, estas normas reservan expresamente la autorización de desarrollarlas mediante los tipos contractuales allí establecidos a la Nación y sus entidades descentralizadas. Así las cosas, todas las </w:t>
            </w:r>
            <w:r w:rsidR="0062698A">
              <w:rPr>
                <w:rFonts w:ascii="Verdana" w:hAnsi="Verdana" w:cs="Arial"/>
                <w:lang w:eastAsia="es-ES_tradnl"/>
              </w:rPr>
              <w:t>e</w:t>
            </w:r>
            <w:r w:rsidRPr="00B26706">
              <w:rPr>
                <w:rFonts w:ascii="Verdana" w:hAnsi="Verdana" w:cs="Arial"/>
                <w:lang w:eastAsia="es-ES_tradnl"/>
              </w:rPr>
              <w:t xml:space="preserve">ntidades </w:t>
            </w:r>
            <w:r w:rsidR="0062698A">
              <w:rPr>
                <w:rFonts w:ascii="Verdana" w:hAnsi="Verdana" w:cs="Arial"/>
                <w:lang w:eastAsia="es-ES_tradnl"/>
              </w:rPr>
              <w:t>e</w:t>
            </w:r>
            <w:r w:rsidRPr="00B26706">
              <w:rPr>
                <w:rFonts w:ascii="Verdana" w:hAnsi="Verdana" w:cs="Arial"/>
                <w:lang w:eastAsia="es-ES_tradnl"/>
              </w:rPr>
              <w:t xml:space="preserv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w:t>
            </w:r>
            <w:r w:rsidR="0062698A">
              <w:rPr>
                <w:rFonts w:ascii="Verdana" w:hAnsi="Verdana" w:cs="Arial"/>
                <w:lang w:eastAsia="es-ES_tradnl"/>
              </w:rPr>
              <w:t>e</w:t>
            </w:r>
            <w:r w:rsidRPr="00B26706">
              <w:rPr>
                <w:rFonts w:ascii="Verdana" w:hAnsi="Verdana" w:cs="Arial"/>
                <w:lang w:eastAsia="es-ES_tradnl"/>
              </w:rPr>
              <w:t xml:space="preserve">ntidades </w:t>
            </w:r>
            <w:r w:rsidR="0062698A">
              <w:rPr>
                <w:rFonts w:ascii="Verdana" w:hAnsi="Verdana" w:cs="Arial"/>
                <w:lang w:eastAsia="es-ES_tradnl"/>
              </w:rPr>
              <w:t>e</w:t>
            </w:r>
            <w:r w:rsidRPr="00B26706">
              <w:rPr>
                <w:rFonts w:ascii="Verdana" w:hAnsi="Verdana" w:cs="Arial"/>
                <w:lang w:eastAsia="es-ES_tradnl"/>
              </w:rPr>
              <w:t>statales que no sean del orden nacional o sus descentralizadas tienen la facultad de adoptar otras tipologías contractuales permitidas por el E</w:t>
            </w:r>
            <w:r w:rsidR="0062698A">
              <w:rPr>
                <w:rFonts w:ascii="Verdana" w:hAnsi="Verdana" w:cs="Arial"/>
                <w:lang w:eastAsia="es-ES_tradnl"/>
              </w:rPr>
              <w:t xml:space="preserve">statuto </w:t>
            </w:r>
            <w:r w:rsidRPr="00B26706">
              <w:rPr>
                <w:rFonts w:ascii="Verdana" w:hAnsi="Verdana" w:cs="Arial"/>
                <w:lang w:eastAsia="es-ES_tradnl"/>
              </w:rPr>
              <w:t>G</w:t>
            </w:r>
            <w:r w:rsidR="0062698A">
              <w:rPr>
                <w:rFonts w:ascii="Verdana" w:hAnsi="Verdana" w:cs="Arial"/>
                <w:lang w:eastAsia="es-ES_tradnl"/>
              </w:rPr>
              <w:t xml:space="preserve">eneral de </w:t>
            </w:r>
            <w:r w:rsidRPr="00B26706">
              <w:rPr>
                <w:rFonts w:ascii="Verdana" w:hAnsi="Verdana" w:cs="Arial"/>
                <w:lang w:eastAsia="es-ES_tradnl"/>
              </w:rPr>
              <w:t>C</w:t>
            </w:r>
            <w:r w:rsidR="0062698A">
              <w:rPr>
                <w:rFonts w:ascii="Verdana" w:hAnsi="Verdana" w:cs="Arial"/>
                <w:lang w:eastAsia="es-ES_tradnl"/>
              </w:rPr>
              <w:t xml:space="preserve">ontratación de la </w:t>
            </w:r>
            <w:r w:rsidRPr="00B26706">
              <w:rPr>
                <w:rFonts w:ascii="Verdana" w:hAnsi="Verdana" w:cs="Arial"/>
                <w:lang w:eastAsia="es-ES_tradnl"/>
              </w:rPr>
              <w:t>A</w:t>
            </w:r>
            <w:r w:rsidR="0062698A">
              <w:rPr>
                <w:rFonts w:ascii="Verdana" w:hAnsi="Verdana" w:cs="Arial"/>
                <w:lang w:eastAsia="es-ES_tradnl"/>
              </w:rPr>
              <w:t xml:space="preserve">dministración </w:t>
            </w:r>
            <w:r w:rsidRPr="00B26706">
              <w:rPr>
                <w:rFonts w:ascii="Verdana" w:hAnsi="Verdana" w:cs="Arial"/>
                <w:lang w:eastAsia="es-ES_tradnl"/>
              </w:rPr>
              <w:t>P</w:t>
            </w:r>
            <w:r w:rsidR="0062698A">
              <w:rPr>
                <w:rFonts w:ascii="Verdana" w:hAnsi="Verdana" w:cs="Arial"/>
                <w:lang w:eastAsia="es-ES_tradnl"/>
              </w:rPr>
              <w:t>ública</w:t>
            </w:r>
            <w:r w:rsidRPr="00B26706">
              <w:rPr>
                <w:rFonts w:ascii="Verdana" w:hAnsi="Verdana" w:cs="Arial"/>
                <w:lang w:eastAsia="es-ES_tradnl"/>
              </w:rPr>
              <w:t xml:space="preserve"> cuando contraten directamente el desarrollo de actividades de ciencia y tecnología. </w:t>
            </w:r>
          </w:p>
          <w:p w14:paraId="7EF7939F" w14:textId="26BD3233" w:rsidR="003E253F" w:rsidRDefault="003E253F" w:rsidP="0019466E">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potestad establecida en los Decretos Ley 591 y 393 de 1991 se regirán por esta normativa, mientras que las demás entidades estatales regidas por el E</w:t>
            </w:r>
            <w:r w:rsidR="0062698A">
              <w:rPr>
                <w:rFonts w:ascii="Verdana" w:hAnsi="Verdana" w:cs="Arial"/>
                <w:lang w:eastAsia="es-ES_tradnl"/>
              </w:rPr>
              <w:t xml:space="preserve">statuto </w:t>
            </w:r>
            <w:r w:rsidRPr="00B26706">
              <w:rPr>
                <w:rFonts w:ascii="Verdana" w:hAnsi="Verdana" w:cs="Arial"/>
                <w:lang w:eastAsia="es-ES_tradnl"/>
              </w:rPr>
              <w:t>G</w:t>
            </w:r>
            <w:r w:rsidR="0062698A">
              <w:rPr>
                <w:rFonts w:ascii="Verdana" w:hAnsi="Verdana" w:cs="Arial"/>
                <w:lang w:eastAsia="es-ES_tradnl"/>
              </w:rPr>
              <w:t xml:space="preserve">eneral de </w:t>
            </w:r>
            <w:r w:rsidRPr="00B26706">
              <w:rPr>
                <w:rFonts w:ascii="Verdana" w:hAnsi="Verdana" w:cs="Arial"/>
                <w:lang w:eastAsia="es-ES_tradnl"/>
              </w:rPr>
              <w:t>C</w:t>
            </w:r>
            <w:r w:rsidR="0062698A">
              <w:rPr>
                <w:rFonts w:ascii="Verdana" w:hAnsi="Verdana" w:cs="Arial"/>
                <w:lang w:eastAsia="es-ES_tradnl"/>
              </w:rPr>
              <w:t xml:space="preserve">ontratación de la </w:t>
            </w:r>
            <w:r w:rsidRPr="00B26706">
              <w:rPr>
                <w:rFonts w:ascii="Verdana" w:hAnsi="Verdana" w:cs="Arial"/>
                <w:lang w:eastAsia="es-ES_tradnl"/>
              </w:rPr>
              <w:t>A</w:t>
            </w:r>
            <w:r w:rsidR="0062698A">
              <w:rPr>
                <w:rFonts w:ascii="Verdana" w:hAnsi="Verdana" w:cs="Arial"/>
                <w:lang w:eastAsia="es-ES_tradnl"/>
              </w:rPr>
              <w:t xml:space="preserve">dministración </w:t>
            </w:r>
            <w:r w:rsidRPr="00B26706">
              <w:rPr>
                <w:rFonts w:ascii="Verdana" w:hAnsi="Verdana" w:cs="Arial"/>
                <w:lang w:eastAsia="es-ES_tradnl"/>
              </w:rPr>
              <w:t>P</w:t>
            </w:r>
            <w:r w:rsidR="0062698A">
              <w:rPr>
                <w:rFonts w:ascii="Verdana" w:hAnsi="Verdana" w:cs="Arial"/>
                <w:lang w:eastAsia="es-ES_tradnl"/>
              </w:rPr>
              <w:t>ública</w:t>
            </w:r>
            <w:r w:rsidRPr="00B26706">
              <w:rPr>
                <w:rFonts w:ascii="Verdana" w:hAnsi="Verdana" w:cs="Arial"/>
                <w:lang w:eastAsia="es-ES_tradnl"/>
              </w:rPr>
              <w:t xml:space="preserve"> podrán contratar directamente el desarrollo de tales actividades en virtud de lo dispuesto en la Ley 1150 de 2007 implementando otras tipologías contractuales que resulten adecuadas para la satisfacción de la necesidad identificada. </w:t>
            </w:r>
          </w:p>
          <w:p w14:paraId="7AE733D8" w14:textId="79BEFDF2" w:rsidR="003E253F" w:rsidRDefault="003E253F" w:rsidP="0019466E">
            <w:pPr>
              <w:spacing w:after="120" w:line="276" w:lineRule="auto"/>
              <w:ind w:firstLine="708"/>
              <w:jc w:val="both"/>
              <w:rPr>
                <w:rFonts w:ascii="Verdana" w:eastAsia="Calibri" w:hAnsi="Verdana" w:cs="Arial"/>
                <w:bCs/>
              </w:rPr>
            </w:pPr>
            <w:r>
              <w:rPr>
                <w:rFonts w:ascii="Verdana" w:eastAsia="Calibri" w:hAnsi="Verdana" w:cs="Arial"/>
                <w:bCs/>
              </w:rPr>
              <w:t>Así las cosas, tratándose de contratos o convenios de cooperación de ciencia y tecnología y de acuerdo con la posición de la Sala de Consulta y Servicio Civil del Consejo de Estado es posible afirmar que la modalidad de selección del contratista es la contratación directa, regla plenamente concordante con lo señalado en la Ley 80 de 1993 y la modificación prevista en la Ley 1150 de 2007. Bajo este contexto, se</w:t>
            </w:r>
            <w:r w:rsidRPr="00403A56">
              <w:rPr>
                <w:rFonts w:ascii="Verdana" w:eastAsia="Calibri" w:hAnsi="Verdana" w:cs="Arial"/>
                <w:bCs/>
              </w:rPr>
              <w:t xml:space="preserve"> </w:t>
            </w:r>
            <w:r>
              <w:rPr>
                <w:rFonts w:ascii="Verdana" w:eastAsia="Calibri" w:hAnsi="Verdana" w:cs="Arial"/>
                <w:bCs/>
              </w:rPr>
              <w:t>sostiene</w:t>
            </w:r>
            <w:r w:rsidRPr="00403A56">
              <w:rPr>
                <w:rFonts w:ascii="Verdana" w:eastAsia="Calibri" w:hAnsi="Verdana" w:cs="Arial"/>
                <w:bCs/>
              </w:rPr>
              <w:t xml:space="preserve"> que en los contratos cuyo objeto es la realización de actividades de ciencia y tecnología, la modalidad de selección aplicable es la contratación directa, la cual puede instrumentarse mediante </w:t>
            </w:r>
            <w:r w:rsidRPr="00DA1764">
              <w:rPr>
                <w:rFonts w:ascii="Verdana" w:eastAsia="Calibri" w:hAnsi="Verdana" w:cs="Arial"/>
                <w:i/>
              </w:rPr>
              <w:t>convocatorias públicas</w:t>
            </w:r>
            <w:r w:rsidRPr="00403A56">
              <w:rPr>
                <w:rFonts w:ascii="Verdana" w:eastAsia="Calibri" w:hAnsi="Verdana" w:cs="Arial"/>
                <w:bCs/>
              </w:rPr>
              <w:t xml:space="preserve"> </w:t>
            </w:r>
            <w:r>
              <w:rPr>
                <w:rFonts w:ascii="Verdana" w:eastAsia="Calibri" w:hAnsi="Verdana" w:cs="Arial"/>
                <w:bCs/>
              </w:rPr>
              <w:t>tendientes</w:t>
            </w:r>
            <w:r w:rsidRPr="00403A56">
              <w:rPr>
                <w:rFonts w:ascii="Verdana" w:eastAsia="Calibri" w:hAnsi="Verdana" w:cs="Arial"/>
                <w:bCs/>
              </w:rPr>
              <w:t xml:space="preserve"> </w:t>
            </w:r>
            <w:r>
              <w:rPr>
                <w:rFonts w:ascii="Verdana" w:eastAsia="Calibri" w:hAnsi="Verdana" w:cs="Arial"/>
                <w:bCs/>
              </w:rPr>
              <w:t xml:space="preserve">garantizar </w:t>
            </w:r>
            <w:r w:rsidRPr="00DA1764">
              <w:rPr>
                <w:rFonts w:ascii="Verdana" w:eastAsia="Calibri" w:hAnsi="Verdana" w:cs="Arial"/>
                <w:bCs/>
                <w:i/>
                <w:iCs/>
              </w:rPr>
              <w:t>transparencia</w:t>
            </w:r>
            <w:r>
              <w:rPr>
                <w:rFonts w:ascii="Verdana" w:eastAsia="Calibri" w:hAnsi="Verdana" w:cs="Arial"/>
                <w:bCs/>
              </w:rPr>
              <w:t xml:space="preserve"> y </w:t>
            </w:r>
            <w:r w:rsidRPr="0038115E">
              <w:rPr>
                <w:rFonts w:ascii="Verdana" w:eastAsia="Calibri" w:hAnsi="Verdana" w:cs="Arial"/>
                <w:bCs/>
                <w:i/>
                <w:iCs/>
              </w:rPr>
              <w:t>objetividad</w:t>
            </w:r>
            <w:r>
              <w:rPr>
                <w:rFonts w:ascii="Verdana" w:eastAsia="Calibri" w:hAnsi="Verdana" w:cs="Arial"/>
                <w:bCs/>
              </w:rPr>
              <w:t xml:space="preserve"> en la celebración de este tipo contratos. No obstante, conforme explica el Consejo de Estado, el desarrollo de este tipo de convocatorias, disimiles de los procesos de selección del</w:t>
            </w:r>
            <w:r w:rsidR="00D9087C" w:rsidRPr="00B26706">
              <w:rPr>
                <w:rFonts w:ascii="Verdana" w:hAnsi="Verdana" w:cs="Arial"/>
                <w:lang w:eastAsia="es-ES_tradnl"/>
              </w:rPr>
              <w:t xml:space="preserve"> E</w:t>
            </w:r>
            <w:r w:rsidR="00D9087C">
              <w:rPr>
                <w:rFonts w:ascii="Verdana" w:hAnsi="Verdana" w:cs="Arial"/>
                <w:lang w:eastAsia="es-ES_tradnl"/>
              </w:rPr>
              <w:t xml:space="preserve">statuto </w:t>
            </w:r>
            <w:r w:rsidR="00D9087C" w:rsidRPr="00B26706">
              <w:rPr>
                <w:rFonts w:ascii="Verdana" w:hAnsi="Verdana" w:cs="Arial"/>
                <w:lang w:eastAsia="es-ES_tradnl"/>
              </w:rPr>
              <w:t>G</w:t>
            </w:r>
            <w:r w:rsidR="00D9087C">
              <w:rPr>
                <w:rFonts w:ascii="Verdana" w:hAnsi="Verdana" w:cs="Arial"/>
                <w:lang w:eastAsia="es-ES_tradnl"/>
              </w:rPr>
              <w:t xml:space="preserve">eneral de </w:t>
            </w:r>
            <w:r w:rsidR="00D9087C" w:rsidRPr="00B26706">
              <w:rPr>
                <w:rFonts w:ascii="Verdana" w:hAnsi="Verdana" w:cs="Arial"/>
                <w:lang w:eastAsia="es-ES_tradnl"/>
              </w:rPr>
              <w:t>C</w:t>
            </w:r>
            <w:r w:rsidR="00D9087C">
              <w:rPr>
                <w:rFonts w:ascii="Verdana" w:hAnsi="Verdana" w:cs="Arial"/>
                <w:lang w:eastAsia="es-ES_tradnl"/>
              </w:rPr>
              <w:t xml:space="preserve">ontratación de la </w:t>
            </w:r>
            <w:r w:rsidR="00D9087C" w:rsidRPr="00B26706">
              <w:rPr>
                <w:rFonts w:ascii="Verdana" w:hAnsi="Verdana" w:cs="Arial"/>
                <w:lang w:eastAsia="es-ES_tradnl"/>
              </w:rPr>
              <w:t>A</w:t>
            </w:r>
            <w:r w:rsidR="00D9087C">
              <w:rPr>
                <w:rFonts w:ascii="Verdana" w:hAnsi="Verdana" w:cs="Arial"/>
                <w:lang w:eastAsia="es-ES_tradnl"/>
              </w:rPr>
              <w:t xml:space="preserve">dministración </w:t>
            </w:r>
            <w:r w:rsidR="00D9087C" w:rsidRPr="00B26706">
              <w:rPr>
                <w:rFonts w:ascii="Verdana" w:hAnsi="Verdana" w:cs="Arial"/>
                <w:lang w:eastAsia="es-ES_tradnl"/>
              </w:rPr>
              <w:t>P</w:t>
            </w:r>
            <w:r w:rsidR="00D9087C">
              <w:rPr>
                <w:rFonts w:ascii="Verdana" w:hAnsi="Verdana" w:cs="Arial"/>
                <w:lang w:eastAsia="es-ES_tradnl"/>
              </w:rPr>
              <w:t>ública</w:t>
            </w:r>
            <w:r>
              <w:rPr>
                <w:rFonts w:ascii="Verdana" w:eastAsia="Calibri" w:hAnsi="Verdana" w:cs="Arial"/>
                <w:bCs/>
              </w:rPr>
              <w:t xml:space="preserve">, no quiere decir que estos contratos no se celebren de manera directa, de acuerdo con el artículo 33 de la Ley 1286 de 2009.  </w:t>
            </w:r>
          </w:p>
          <w:p w14:paraId="12BCD3B1" w14:textId="77777777" w:rsidR="003E253F" w:rsidRPr="005548E3" w:rsidRDefault="003E253F" w:rsidP="0019466E">
            <w:pPr>
              <w:spacing w:after="120" w:line="276" w:lineRule="auto"/>
              <w:ind w:firstLine="708"/>
              <w:jc w:val="both"/>
              <w:rPr>
                <w:rFonts w:ascii="Verdana" w:eastAsia="Calibri" w:hAnsi="Verdana" w:cs="Arial"/>
                <w:bCs/>
              </w:rPr>
            </w:pPr>
            <w:r>
              <w:rPr>
                <w:rFonts w:ascii="Verdana" w:eastAsia="Calibri" w:hAnsi="Verdana" w:cs="Arial"/>
                <w:bCs/>
              </w:rPr>
              <w:t xml:space="preserve">De acuerdo con lo anterior, es posible concluir que, en vigencia de la restricción del artículo 33 de la Ley 996 de 2005, no resulta jurídicamente viable suscribir </w:t>
            </w:r>
            <w:r w:rsidRPr="00BD6251">
              <w:rPr>
                <w:rFonts w:ascii="Verdana" w:eastAsia="Calibri" w:hAnsi="Verdana" w:cs="Arial"/>
                <w:bCs/>
              </w:rPr>
              <w:t>contratos de ciencia y tecnología</w:t>
            </w:r>
            <w:r>
              <w:rPr>
                <w:rFonts w:ascii="Verdana" w:eastAsia="Calibri" w:hAnsi="Verdana" w:cs="Arial"/>
                <w:bCs/>
              </w:rPr>
              <w:t xml:space="preserve">, como, por ejemplo, convenios especiales de cooperación. Esto comoquiera que, de acuerdo con lo previsto en el artículo 33 de la Ley 1286 de 2009, este tipo de contratos y convenios se celebran de manera directa, independientemente de que se desarrollen o no </w:t>
            </w:r>
            <w:r w:rsidRPr="00C638AC">
              <w:rPr>
                <w:rFonts w:ascii="Verdana" w:eastAsia="Calibri" w:hAnsi="Verdana" w:cs="Arial"/>
                <w:bCs/>
                <w:i/>
                <w:iCs/>
              </w:rPr>
              <w:t>convocatorias pública</w:t>
            </w:r>
            <w:r>
              <w:rPr>
                <w:rFonts w:ascii="Verdana" w:eastAsia="Calibri" w:hAnsi="Verdana" w:cs="Arial"/>
                <w:bCs/>
                <w:i/>
                <w:iCs/>
              </w:rPr>
              <w:t>s</w:t>
            </w:r>
            <w:r>
              <w:rPr>
                <w:rFonts w:ascii="Verdana" w:eastAsia="Calibri" w:hAnsi="Verdana" w:cs="Arial"/>
                <w:bCs/>
              </w:rPr>
              <w:t xml:space="preserve">, máxime cuando estas no son equiparables a los procesos de selección competitivos regulados en el EGCAP y normas especiales.   </w:t>
            </w:r>
            <w:r>
              <w:rPr>
                <w:rFonts w:ascii="Verdana" w:eastAsia="Calibri" w:hAnsi="Verdana" w:cs="Arial"/>
                <w:bCs/>
                <w:i/>
                <w:iCs/>
              </w:rPr>
              <w:t xml:space="preserve">  </w:t>
            </w:r>
          </w:p>
          <w:p w14:paraId="7111E844" w14:textId="420C413A" w:rsidR="003E253F" w:rsidRPr="00E66595" w:rsidRDefault="003E253F" w:rsidP="0019466E">
            <w:pPr>
              <w:shd w:val="clear" w:color="auto" w:fill="FFFFFF"/>
              <w:spacing w:line="276" w:lineRule="auto"/>
              <w:jc w:val="both"/>
              <w:rPr>
                <w:rFonts w:ascii="Verdana" w:hAnsi="Verdana" w:cs="Arial"/>
                <w:bCs/>
                <w:color w:val="000000" w:themeColor="text1"/>
                <w:lang w:val="es-MX" w:eastAsia="x-none"/>
              </w:rPr>
            </w:pPr>
            <w:proofErr w:type="spellStart"/>
            <w:r>
              <w:rPr>
                <w:rFonts w:ascii="Verdana" w:hAnsi="Verdana" w:cs="Arial"/>
                <w:lang w:val="es-ES_tradnl" w:eastAsia="es-CO"/>
              </w:rPr>
              <w:t>iii</w:t>
            </w:r>
            <w:proofErr w:type="spellEnd"/>
            <w:r>
              <w:rPr>
                <w:rFonts w:ascii="Verdana" w:hAnsi="Verdana" w:cs="Arial"/>
                <w:lang w:val="es-ES_tradnl" w:eastAsia="es-CO"/>
              </w:rPr>
              <w:t xml:space="preserve">) Por último, con fundamento en lo dispuesto en la Circular Externa No. 006 de 2025 expedida por la Agencia Nacional de contratación Pública, </w:t>
            </w:r>
            <w:r w:rsidRPr="00C41C60">
              <w:rPr>
                <w:rFonts w:ascii="Verdana" w:eastAsia="Calibri" w:hAnsi="Verdana" w:cs="Arial"/>
                <w:lang w:eastAsia="es-ES"/>
              </w:rPr>
              <w:t xml:space="preserve">las restricciones contenidas en el artículo 33 de la Ley 996 de 2005 aplica para “la contratación directa” de todos los entes del Estado, </w:t>
            </w:r>
            <w:r w:rsidRPr="00C41C60">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C41C60">
              <w:rPr>
                <w:rFonts w:ascii="Verdana" w:eastAsia="Calibri" w:hAnsi="Verdana" w:cs="Arial"/>
                <w:lang w:eastAsia="es-ES"/>
              </w:rPr>
              <w:t xml:space="preserve">Se trata de la prohibición de </w:t>
            </w:r>
            <w:r w:rsidRPr="00C41C60">
              <w:rPr>
                <w:rFonts w:ascii="Verdana" w:hAnsi="Verdana" w:cs="Arial"/>
                <w:bCs/>
                <w:lang w:eastAsia="x-none"/>
              </w:rPr>
              <w:t>aquellos contratos en los que no exista un proceso abierto y competitivo.</w:t>
            </w:r>
            <w:r w:rsidRPr="00C41C60">
              <w:rPr>
                <w:rFonts w:ascii="Verdana" w:hAnsi="Verdana" w:cs="Arial"/>
                <w:lang w:eastAsia="x-none"/>
              </w:rPr>
              <w:t xml:space="preserve"> Por lo tanto, no son materia de la prohibición las demás modalidades de selección previstas en la Ley 1150</w:t>
            </w:r>
            <w:r w:rsidRPr="00954F55">
              <w:rPr>
                <w:rFonts w:ascii="Verdana" w:hAnsi="Verdana" w:cs="Arial"/>
                <w:lang w:eastAsia="x-none"/>
              </w:rPr>
              <w:t xml:space="preserve"> de 2007</w:t>
            </w:r>
            <w:r>
              <w:rPr>
                <w:rFonts w:ascii="Verdana" w:hAnsi="Verdana" w:cs="Arial"/>
                <w:lang w:eastAsia="x-none"/>
              </w:rPr>
              <w:t xml:space="preserve">. Así mismo la restricción del artículo 33 </w:t>
            </w:r>
            <w:r w:rsidRPr="00954F55">
              <w:rPr>
                <w:rFonts w:ascii="Verdana" w:eastAsia="Calibri" w:hAnsi="Verdana" w:cs="Arial"/>
                <w:lang w:eastAsia="es-ES"/>
              </w:rPr>
              <w:t>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w:t>
            </w:r>
          </w:p>
        </w:tc>
      </w:tr>
    </w:tbl>
    <w:p w14:paraId="1ABDF67C" w14:textId="77777777" w:rsidR="001F3439" w:rsidRDefault="001F3439" w:rsidP="001F3439">
      <w:pPr>
        <w:tabs>
          <w:tab w:val="left" w:pos="142"/>
          <w:tab w:val="left" w:pos="284"/>
        </w:tabs>
        <w:spacing w:after="0" w:line="276" w:lineRule="auto"/>
        <w:jc w:val="both"/>
        <w:rPr>
          <w:rFonts w:ascii="Verdana" w:eastAsia="Century Gothic" w:hAnsi="Verdana" w:cs="Century Gothic"/>
          <w:b/>
          <w:bCs/>
        </w:rPr>
      </w:pPr>
    </w:p>
    <w:p w14:paraId="64FC2B81" w14:textId="13FE382E" w:rsidR="003E253F" w:rsidRPr="005644FE" w:rsidRDefault="003E253F" w:rsidP="003E253F">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91DD6FF" w14:textId="77777777" w:rsidR="003E253F" w:rsidRPr="005644FE" w:rsidRDefault="003E253F" w:rsidP="00647D77">
      <w:pPr>
        <w:pStyle w:val="Prrafodelista"/>
        <w:tabs>
          <w:tab w:val="left" w:pos="142"/>
          <w:tab w:val="left" w:pos="284"/>
        </w:tabs>
        <w:spacing w:after="0" w:line="276" w:lineRule="auto"/>
        <w:ind w:left="0"/>
        <w:contextualSpacing w:val="0"/>
        <w:jc w:val="both"/>
        <w:rPr>
          <w:rFonts w:ascii="Verdana" w:eastAsia="Calibri" w:hAnsi="Verdana" w:cs="Arial"/>
        </w:rPr>
      </w:pPr>
    </w:p>
    <w:p w14:paraId="48CDB407" w14:textId="77777777" w:rsidR="003E253F" w:rsidRDefault="003E253F" w:rsidP="003E253F">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16803DA6" w14:textId="77777777" w:rsidR="003E253F" w:rsidRDefault="003E253F" w:rsidP="00647D77">
      <w:pPr>
        <w:tabs>
          <w:tab w:val="left" w:pos="142"/>
          <w:tab w:val="left" w:pos="284"/>
          <w:tab w:val="left" w:pos="6912"/>
        </w:tabs>
        <w:spacing w:after="0" w:line="276" w:lineRule="auto"/>
        <w:jc w:val="both"/>
        <w:rPr>
          <w:rFonts w:ascii="Verdana" w:eastAsia="Times New Roman" w:hAnsi="Verdana" w:cs="Arial"/>
          <w:bCs/>
          <w:lang w:eastAsia="es-CO"/>
        </w:rPr>
      </w:pPr>
    </w:p>
    <w:p w14:paraId="50C9B942" w14:textId="77777777" w:rsidR="003E253F" w:rsidRPr="009D221F" w:rsidRDefault="003E253F" w:rsidP="003E253F">
      <w:pPr>
        <w:tabs>
          <w:tab w:val="left" w:pos="142"/>
          <w:tab w:val="left" w:pos="284"/>
          <w:tab w:val="left" w:pos="6912"/>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i)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65D4FC68" w14:textId="308F9D19" w:rsidR="003E253F" w:rsidRDefault="003E253F" w:rsidP="003E253F">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sidR="001F3439">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36E3FD0B" w14:textId="128AB047" w:rsidR="003E253F" w:rsidRPr="00F10E52" w:rsidRDefault="003E253F" w:rsidP="001F3439">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6D995F18" w14:textId="77777777" w:rsidR="001F3439" w:rsidRPr="00F10E52" w:rsidRDefault="001F3439" w:rsidP="00647D77">
      <w:pPr>
        <w:tabs>
          <w:tab w:val="left" w:pos="426"/>
        </w:tabs>
        <w:spacing w:after="0" w:line="276" w:lineRule="auto"/>
        <w:ind w:firstLine="709"/>
        <w:jc w:val="both"/>
        <w:rPr>
          <w:rFonts w:ascii="Verdana" w:eastAsia="Times New Roman" w:hAnsi="Verdana" w:cs="Arial"/>
          <w:bCs/>
          <w:lang w:eastAsia="es-CO"/>
        </w:rPr>
      </w:pPr>
    </w:p>
    <w:p w14:paraId="636F71F9" w14:textId="77777777" w:rsidR="003E253F" w:rsidRPr="007777F3" w:rsidRDefault="003E253F" w:rsidP="003E253F">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45745BA3" w14:textId="77777777" w:rsidR="003E253F" w:rsidRPr="009E6EDF" w:rsidRDefault="003E253F" w:rsidP="003E253F">
      <w:pPr>
        <w:spacing w:after="0" w:line="240" w:lineRule="auto"/>
        <w:ind w:left="709" w:right="709"/>
        <w:jc w:val="both"/>
        <w:rPr>
          <w:rFonts w:ascii="Verdana" w:eastAsia="Times New Roman" w:hAnsi="Verdana" w:cs="Arial"/>
          <w:bCs/>
          <w:sz w:val="20"/>
          <w:szCs w:val="20"/>
          <w:lang w:eastAsia="es-CO"/>
        </w:rPr>
      </w:pPr>
    </w:p>
    <w:p w14:paraId="1BEC5190" w14:textId="77777777" w:rsidR="003E253F" w:rsidRPr="00E80F85" w:rsidRDefault="003E253F" w:rsidP="003E253F">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5401B084" w14:textId="77777777" w:rsidR="003E253F" w:rsidRDefault="003E253F" w:rsidP="00647D77">
      <w:pPr>
        <w:spacing w:after="0" w:line="240" w:lineRule="auto"/>
        <w:ind w:firstLine="709"/>
        <w:jc w:val="both"/>
        <w:rPr>
          <w:rFonts w:ascii="Verdana" w:eastAsia="Times New Roman" w:hAnsi="Verdana" w:cs="Arial"/>
          <w:bCs/>
          <w:lang w:eastAsia="es-CO"/>
        </w:rPr>
      </w:pPr>
    </w:p>
    <w:p w14:paraId="2818674A" w14:textId="77777777" w:rsidR="001F3439" w:rsidRDefault="003E253F" w:rsidP="00647D77">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5FDDA26D" w14:textId="23DB1DF1" w:rsidR="003E253F" w:rsidRPr="002D6B92" w:rsidRDefault="003E253F" w:rsidP="001F3439">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24E89518" w14:textId="77777777" w:rsidR="001F3439" w:rsidRPr="002D6B92" w:rsidRDefault="001F3439" w:rsidP="00647D77">
      <w:pPr>
        <w:spacing w:after="0" w:line="276" w:lineRule="auto"/>
        <w:ind w:firstLine="709"/>
        <w:jc w:val="both"/>
        <w:rPr>
          <w:rFonts w:ascii="Verdana" w:eastAsia="Times New Roman" w:hAnsi="Verdana" w:cs="Arial"/>
          <w:bCs/>
          <w:lang w:eastAsia="es-CO"/>
        </w:rPr>
      </w:pPr>
    </w:p>
    <w:p w14:paraId="54AD0DB5" w14:textId="77777777" w:rsidR="003E253F" w:rsidRPr="009B20C5" w:rsidRDefault="003E253F" w:rsidP="003E253F">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DF3B7FE" w14:textId="77777777" w:rsidR="003E253F" w:rsidRDefault="003E253F" w:rsidP="003E253F">
      <w:pPr>
        <w:spacing w:after="0" w:line="240" w:lineRule="auto"/>
        <w:ind w:left="709" w:right="709"/>
        <w:jc w:val="both"/>
        <w:rPr>
          <w:rFonts w:ascii="Verdana" w:eastAsia="Times New Roman" w:hAnsi="Verdana" w:cs="Arial"/>
          <w:bCs/>
          <w:sz w:val="20"/>
          <w:szCs w:val="20"/>
          <w:lang w:eastAsia="es-CO"/>
        </w:rPr>
      </w:pPr>
    </w:p>
    <w:p w14:paraId="59E63994" w14:textId="77777777" w:rsidR="003E253F" w:rsidRPr="009B20C5" w:rsidRDefault="003E253F" w:rsidP="003E253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703BC658" w14:textId="77777777" w:rsidR="003E253F" w:rsidRDefault="003E253F" w:rsidP="00647D77">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4035072B" w14:textId="77777777" w:rsidR="003E253F" w:rsidRDefault="003E253F" w:rsidP="003E253F">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D60D75C" w14:textId="77777777" w:rsidR="003E253F" w:rsidRPr="00F10E52" w:rsidRDefault="003E253F" w:rsidP="003E253F">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1732BCFD" w14:textId="77777777" w:rsidR="003E253F" w:rsidRPr="00F10E52" w:rsidRDefault="003E253F" w:rsidP="003E253F">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10890437" w14:textId="77777777" w:rsidR="003E253F" w:rsidRDefault="003E253F" w:rsidP="003E253F">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73735E56" w14:textId="41278C96" w:rsidR="003E253F" w:rsidRPr="006A51F6" w:rsidRDefault="003E253F" w:rsidP="009D3EE3">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25491F8D" w14:textId="77777777" w:rsidR="009D3EE3" w:rsidRPr="006A51F6" w:rsidRDefault="009D3EE3" w:rsidP="00647D77">
      <w:pPr>
        <w:widowControl w:val="0"/>
        <w:autoSpaceDE w:val="0"/>
        <w:autoSpaceDN w:val="0"/>
        <w:spacing w:after="0" w:line="276" w:lineRule="auto"/>
        <w:ind w:firstLine="709"/>
        <w:jc w:val="both"/>
        <w:rPr>
          <w:rFonts w:ascii="Verdana" w:eastAsia="Arial" w:hAnsi="Verdana" w:cs="Arial"/>
          <w:lang w:val="es-ES" w:eastAsia="es-ES" w:bidi="es-ES"/>
        </w:rPr>
      </w:pPr>
    </w:p>
    <w:p w14:paraId="3C804B33" w14:textId="6E3D3691" w:rsidR="003E253F" w:rsidRDefault="003E253F" w:rsidP="003E253F">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27D9BB8A" w14:textId="77777777" w:rsidR="003E253F" w:rsidRPr="00647D77" w:rsidRDefault="003E253F" w:rsidP="00647D77">
      <w:pPr>
        <w:widowControl w:val="0"/>
        <w:autoSpaceDE w:val="0"/>
        <w:autoSpaceDN w:val="0"/>
        <w:spacing w:after="0" w:line="276" w:lineRule="auto"/>
        <w:ind w:left="709" w:right="709"/>
        <w:jc w:val="both"/>
        <w:rPr>
          <w:rFonts w:ascii="Verdana" w:eastAsia="Arial" w:hAnsi="Verdana" w:cs="Arial"/>
          <w:lang w:val="es-ES" w:eastAsia="es-ES" w:bidi="es-ES"/>
        </w:rPr>
      </w:pPr>
    </w:p>
    <w:p w14:paraId="20D1BB7F" w14:textId="77777777" w:rsidR="003E253F" w:rsidRPr="00F10E52" w:rsidRDefault="003E253F" w:rsidP="003E253F">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2912B40E" w14:textId="77777777" w:rsidR="003E253F" w:rsidRPr="00F10E52" w:rsidRDefault="003E253F" w:rsidP="003E253F">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4D924A69" w14:textId="30806916" w:rsidR="003E253F" w:rsidRDefault="003E253F" w:rsidP="003E253F">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w:t>
      </w:r>
      <w:r w:rsidR="00386FE5">
        <w:rPr>
          <w:rFonts w:ascii="Verdana" w:eastAsia="Arial" w:hAnsi="Verdana" w:cs="Arial"/>
          <w:lang w:val="es-ES" w:eastAsia="es-ES" w:bidi="es-ES"/>
        </w:rPr>
        <w:t xml:space="preserve">(6) </w:t>
      </w:r>
      <w:r w:rsidRPr="00F10E52">
        <w:rPr>
          <w:rFonts w:ascii="Verdana" w:eastAsia="Arial" w:hAnsi="Verdana" w:cs="Arial"/>
          <w:lang w:val="es-ES" w:eastAsia="es-ES" w:bidi="es-ES"/>
        </w:rPr>
        <w:t xml:space="preserve">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03D895F" w14:textId="0D1C9F16" w:rsidR="003E253F" w:rsidRDefault="003E253F" w:rsidP="00066B32">
      <w:pPr>
        <w:spacing w:after="0" w:line="276" w:lineRule="auto"/>
        <w:ind w:firstLine="709"/>
        <w:jc w:val="both"/>
        <w:rPr>
          <w:rFonts w:ascii="Verdana" w:eastAsia="Times New Roman" w:hAnsi="Verdana" w:cs="Arial"/>
          <w:lang w:val="es-ES" w:eastAsia="es-CO"/>
        </w:rPr>
      </w:pPr>
      <w:r w:rsidRPr="00647D77">
        <w:rPr>
          <w:rFonts w:ascii="Verdana" w:eastAsia="Times New Roman" w:hAnsi="Verdana" w:cs="Arial"/>
          <w:lang w:val="es-ES" w:eastAsia="es-CO"/>
        </w:rPr>
        <w:t xml:space="preserve">Teniendo en cuenta lo anterior, a continuación, se hará un análisis sobre la aplicación de la prohibición contenida en el artículo 33 </w:t>
      </w:r>
      <w:r w:rsidR="00E759B9" w:rsidRPr="00647D77">
        <w:rPr>
          <w:rFonts w:ascii="Verdana" w:eastAsia="Times New Roman" w:hAnsi="Verdana" w:cs="Arial"/>
          <w:bCs/>
          <w:lang w:val="es-ES" w:eastAsia="es-CO"/>
        </w:rPr>
        <w:t>de la Ley de Garantías Electorales</w:t>
      </w:r>
      <w:r w:rsidRPr="00647D77">
        <w:rPr>
          <w:rFonts w:ascii="Verdana" w:eastAsia="Times New Roman" w:hAnsi="Verdana" w:cs="Arial"/>
          <w:lang w:val="es-ES" w:eastAsia="es-CO"/>
        </w:rPr>
        <w:t>, relacionada con su ámbito de aplicación</w:t>
      </w:r>
      <w:r w:rsidR="00E759B9" w:rsidRPr="00647D77">
        <w:rPr>
          <w:rFonts w:ascii="Verdana" w:eastAsia="Times New Roman" w:hAnsi="Verdana" w:cs="Arial"/>
          <w:bCs/>
          <w:lang w:val="es-ES" w:eastAsia="es-CO"/>
        </w:rPr>
        <w:t xml:space="preserve">, </w:t>
      </w:r>
      <w:r w:rsidRPr="00647D77">
        <w:rPr>
          <w:rFonts w:ascii="Verdana" w:eastAsia="Times New Roman" w:hAnsi="Verdana" w:cs="Arial"/>
          <w:lang w:val="es-ES" w:eastAsia="es-CO"/>
        </w:rPr>
        <w:t>sus destinatarios</w:t>
      </w:r>
      <w:r w:rsidR="00E759B9" w:rsidRPr="00647D77">
        <w:rPr>
          <w:rFonts w:ascii="Verdana" w:eastAsia="Times New Roman" w:hAnsi="Verdana" w:cs="Arial"/>
          <w:bCs/>
          <w:lang w:val="es-ES" w:eastAsia="es-CO"/>
        </w:rPr>
        <w:t xml:space="preserve"> y sus excepciones</w:t>
      </w:r>
      <w:r w:rsidRPr="00647D77">
        <w:rPr>
          <w:rFonts w:ascii="Verdana" w:eastAsia="Times New Roman" w:hAnsi="Verdana" w:cs="Arial"/>
          <w:lang w:val="es-ES" w:eastAsia="es-CO"/>
        </w:rPr>
        <w:t>.</w:t>
      </w:r>
      <w:r>
        <w:rPr>
          <w:rFonts w:ascii="Verdana" w:eastAsia="Times New Roman" w:hAnsi="Verdana" w:cs="Arial"/>
          <w:bCs/>
          <w:lang w:val="es-ES" w:eastAsia="es-CO"/>
        </w:rPr>
        <w:t xml:space="preserve"> </w:t>
      </w:r>
    </w:p>
    <w:p w14:paraId="3B90EEA7" w14:textId="77777777" w:rsidR="00066B32" w:rsidRDefault="00066B32" w:rsidP="00647D77">
      <w:pPr>
        <w:spacing w:after="0" w:line="276" w:lineRule="auto"/>
        <w:ind w:firstLine="709"/>
        <w:jc w:val="both"/>
        <w:rPr>
          <w:rFonts w:ascii="Verdana" w:eastAsia="Arial" w:hAnsi="Verdana" w:cs="Arial"/>
          <w:lang w:val="es-ES" w:eastAsia="es-ES" w:bidi="es-ES"/>
        </w:rPr>
      </w:pPr>
    </w:p>
    <w:p w14:paraId="53CBB237" w14:textId="07BAA1CA" w:rsidR="003E253F" w:rsidRDefault="00066B32" w:rsidP="00647D77">
      <w:pPr>
        <w:spacing w:after="0" w:line="276" w:lineRule="auto"/>
        <w:jc w:val="both"/>
        <w:rPr>
          <w:rFonts w:ascii="Verdana" w:hAnsi="Verdana" w:cs="Arial"/>
          <w:lang w:eastAsia="es-CO"/>
        </w:rPr>
      </w:pPr>
      <w:proofErr w:type="spellStart"/>
      <w:r>
        <w:rPr>
          <w:rFonts w:ascii="Verdana" w:hAnsi="Verdana" w:cs="Arial"/>
          <w:bCs/>
          <w:lang w:eastAsia="x-none"/>
        </w:rPr>
        <w:t>ii</w:t>
      </w:r>
      <w:proofErr w:type="spellEnd"/>
      <w:r>
        <w:rPr>
          <w:rFonts w:ascii="Verdana" w:hAnsi="Verdana" w:cs="Arial"/>
          <w:bCs/>
          <w:lang w:eastAsia="x-none"/>
        </w:rPr>
        <w:t xml:space="preserve">) </w:t>
      </w:r>
      <w:r w:rsidR="003E253F" w:rsidRPr="00195E24">
        <w:rPr>
          <w:rFonts w:ascii="Verdana" w:hAnsi="Verdana" w:cs="Arial"/>
          <w:bCs/>
          <w:lang w:eastAsia="x-none"/>
        </w:rPr>
        <w:t xml:space="preserve">El ámbito material de la prohibición contenida </w:t>
      </w:r>
      <w:bookmarkStart w:id="11" w:name="_Hlk75628761"/>
      <w:r w:rsidR="003E253F" w:rsidRPr="00195E24">
        <w:rPr>
          <w:rFonts w:ascii="Verdana" w:hAnsi="Verdana" w:cs="Arial"/>
          <w:bCs/>
          <w:lang w:eastAsia="x-none"/>
        </w:rPr>
        <w:t xml:space="preserve">en el artículo 33 de la </w:t>
      </w:r>
      <w:r w:rsidR="004829D6">
        <w:rPr>
          <w:rFonts w:ascii="Verdana" w:hAnsi="Verdana" w:cs="Arial"/>
          <w:bCs/>
          <w:lang w:eastAsia="x-none"/>
        </w:rPr>
        <w:t>L</w:t>
      </w:r>
      <w:r w:rsidR="003E253F" w:rsidRPr="00195E24">
        <w:rPr>
          <w:rFonts w:ascii="Verdana" w:hAnsi="Verdana" w:cs="Arial"/>
          <w:bCs/>
          <w:lang w:eastAsia="x-none"/>
        </w:rPr>
        <w:t xml:space="preserve">ey 996 de 2005 </w:t>
      </w:r>
      <w:bookmarkEnd w:id="11"/>
      <w:r w:rsidR="003E253F" w:rsidRPr="00195E24">
        <w:rPr>
          <w:rFonts w:ascii="Verdana" w:hAnsi="Verdana" w:cs="Arial"/>
          <w:bCs/>
          <w:lang w:eastAsia="x-none"/>
        </w:rPr>
        <w:t xml:space="preserve">está delimitado por la expresión </w:t>
      </w:r>
      <w:r w:rsidR="003E253F" w:rsidRPr="00195E24">
        <w:rPr>
          <w:rFonts w:ascii="Verdana" w:eastAsia="Calibri" w:hAnsi="Verdana" w:cs="Arial"/>
          <w:bCs/>
          <w:i/>
          <w:iCs/>
          <w:sz w:val="20"/>
          <w:szCs w:val="20"/>
        </w:rPr>
        <w:t>“</w:t>
      </w:r>
      <w:r w:rsidR="003E253F" w:rsidRPr="00195E24">
        <w:rPr>
          <w:rFonts w:ascii="Verdana" w:hAnsi="Verdana" w:cs="Arial"/>
          <w:bCs/>
          <w:i/>
          <w:iCs/>
          <w:lang w:eastAsia="x-none"/>
        </w:rPr>
        <w:t>queda prohibida la contratación directa</w:t>
      </w:r>
      <w:r w:rsidR="003E253F" w:rsidRPr="00195E24">
        <w:rPr>
          <w:rFonts w:ascii="Verdana" w:hAnsi="Verdana" w:cs="Arial"/>
          <w:sz w:val="20"/>
          <w:szCs w:val="20"/>
        </w:rPr>
        <w:t>”</w:t>
      </w:r>
      <w:r w:rsidR="003E253F" w:rsidRPr="00195E24">
        <w:rPr>
          <w:rFonts w:ascii="Verdana" w:hAnsi="Verdana" w:cs="Arial"/>
          <w:bCs/>
          <w:lang w:eastAsia="x-none"/>
        </w:rPr>
        <w:t>.</w:t>
      </w:r>
      <w:r w:rsidR="003E253F"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2837916A" w14:textId="77777777" w:rsidR="004829D6" w:rsidRPr="00435A6A" w:rsidRDefault="004829D6" w:rsidP="00647D77">
      <w:pPr>
        <w:spacing w:after="0" w:line="276" w:lineRule="auto"/>
        <w:ind w:firstLine="709"/>
        <w:jc w:val="both"/>
        <w:rPr>
          <w:rFonts w:ascii="Verdana" w:eastAsia="Arial" w:hAnsi="Verdana" w:cs="Arial"/>
          <w:lang w:val="es-ES" w:eastAsia="es-ES" w:bidi="es-ES"/>
        </w:rPr>
      </w:pPr>
    </w:p>
    <w:p w14:paraId="4880C45E" w14:textId="77777777" w:rsidR="003E253F" w:rsidRPr="005800D0" w:rsidRDefault="003E253F" w:rsidP="003E253F">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0EFA30F4" w14:textId="77777777" w:rsidR="003E253F" w:rsidRDefault="003E253F" w:rsidP="003E253F">
      <w:pPr>
        <w:spacing w:after="0" w:line="240" w:lineRule="auto"/>
        <w:ind w:left="709" w:right="709"/>
        <w:jc w:val="both"/>
        <w:rPr>
          <w:rFonts w:ascii="Verdana" w:hAnsi="Verdana" w:cs="Arial"/>
          <w:sz w:val="20"/>
          <w:szCs w:val="20"/>
        </w:rPr>
      </w:pPr>
    </w:p>
    <w:p w14:paraId="2F34BC36" w14:textId="77777777" w:rsidR="003E253F" w:rsidRDefault="003E253F" w:rsidP="003E253F">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1525269B" w14:textId="77777777" w:rsidR="003E253F" w:rsidRPr="005800D0" w:rsidRDefault="003E253F" w:rsidP="00647D77">
      <w:pPr>
        <w:spacing w:after="0" w:line="276" w:lineRule="auto"/>
        <w:ind w:left="709" w:right="709"/>
        <w:jc w:val="both"/>
        <w:rPr>
          <w:rFonts w:ascii="Verdana" w:hAnsi="Verdana" w:cs="Arial"/>
        </w:rPr>
      </w:pPr>
    </w:p>
    <w:p w14:paraId="4D46CA9F" w14:textId="0F4297AA" w:rsidR="003E253F" w:rsidRPr="00195E24" w:rsidRDefault="003E253F" w:rsidP="003E253F">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previstos </w:t>
      </w:r>
      <w:r w:rsidR="0053295A" w:rsidRPr="00130C72">
        <w:rPr>
          <w:rFonts w:ascii="Verdana" w:hAnsi="Verdana" w:cs="Arial"/>
          <w:lang w:eastAsia="x-none"/>
        </w:rPr>
        <w:t xml:space="preserve">sistemas abiertos y competitivos dispuestos </w:t>
      </w:r>
      <w:r w:rsidRPr="00130C72">
        <w:rPr>
          <w:rFonts w:ascii="Verdana" w:hAnsi="Verdana" w:cs="Arial"/>
          <w:lang w:eastAsia="x-none"/>
        </w:rPr>
        <w:t>en normas especiales.</w:t>
      </w:r>
      <w:r w:rsidRPr="00195E24">
        <w:rPr>
          <w:rFonts w:ascii="Verdana" w:hAnsi="Verdana" w:cs="Arial"/>
          <w:lang w:eastAsia="x-none"/>
        </w:rPr>
        <w:t xml:space="preserve">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2FD80616" w14:textId="77777777" w:rsidR="003E253F" w:rsidRPr="00195E24" w:rsidRDefault="003E253F" w:rsidP="003E253F">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D6E490C" w14:textId="77777777" w:rsidR="003E253F" w:rsidRPr="00195E24" w:rsidRDefault="003E253F" w:rsidP="003E253F">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5AF4F6AC" w14:textId="77777777" w:rsidR="003E253F" w:rsidRPr="00CE0712" w:rsidRDefault="003E253F" w:rsidP="003E253F">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02A80FDC" w14:textId="77777777" w:rsidR="003E253F" w:rsidRDefault="003E253F" w:rsidP="003E253F">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p w14:paraId="04752991" w14:textId="77777777" w:rsidR="003E253F" w:rsidRDefault="003E253F" w:rsidP="003E253F">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8"/>
      </w:r>
      <w:r w:rsidRPr="00AD17FF">
        <w:rPr>
          <w:rFonts w:ascii="Verdana" w:hAnsi="Verdana" w:cs="Arial"/>
          <w:lang w:eastAsia="x-none"/>
        </w:rPr>
        <w:t>.</w:t>
      </w:r>
    </w:p>
    <w:p w14:paraId="1DC84D76" w14:textId="624742E5" w:rsidR="003E253F" w:rsidRDefault="003E253F" w:rsidP="003E253F">
      <w:pPr>
        <w:spacing w:after="120" w:line="276" w:lineRule="auto"/>
        <w:ind w:firstLine="709"/>
        <w:jc w:val="both"/>
        <w:rPr>
          <w:rFonts w:ascii="Verdana" w:hAnsi="Verdana" w:cs="Arial"/>
          <w:lang w:eastAsia="x-none"/>
        </w:rPr>
      </w:pPr>
      <w:r>
        <w:rPr>
          <w:rFonts w:ascii="Verdana" w:hAnsi="Verdana" w:cs="Arial"/>
          <w:lang w:eastAsia="x-none"/>
        </w:rPr>
        <w:t xml:space="preserve">En este sentido se La Agencia Nacional de Contratación Pública </w:t>
      </w:r>
      <w:r w:rsidR="007C50B2" w:rsidRPr="00066B32">
        <w:rPr>
          <w:rFonts w:ascii="Verdana" w:hAnsi="Verdana" w:cs="Arial"/>
          <w:lang w:eastAsia="x-none"/>
        </w:rPr>
        <w:t xml:space="preserve">– Colombia </w:t>
      </w:r>
      <w:r w:rsidR="007C50B2" w:rsidRPr="00360AB5">
        <w:rPr>
          <w:rFonts w:ascii="Verdana" w:hAnsi="Verdana" w:cs="Arial"/>
          <w:lang w:eastAsia="x-none"/>
        </w:rPr>
        <w:t>Compra Eficiente,</w:t>
      </w:r>
      <w:r w:rsidRPr="001D6D08">
        <w:rPr>
          <w:rFonts w:ascii="Verdana" w:hAnsi="Verdana" w:cs="Arial"/>
          <w:lang w:eastAsia="x-none"/>
        </w:rPr>
        <w:t xml:space="preserve"> en </w:t>
      </w:r>
      <w:r w:rsidR="007C50B2" w:rsidRPr="00A53A1E">
        <w:rPr>
          <w:rFonts w:ascii="Verdana" w:hAnsi="Verdana" w:cs="Arial"/>
          <w:lang w:eastAsia="x-none"/>
        </w:rPr>
        <w:t>el</w:t>
      </w:r>
      <w:r>
        <w:rPr>
          <w:rFonts w:ascii="Verdana" w:hAnsi="Verdana" w:cs="Arial"/>
          <w:lang w:eastAsia="x-none"/>
        </w:rPr>
        <w:t xml:space="preserve"> concepto </w:t>
      </w:r>
      <w:r w:rsidRPr="004A2E70">
        <w:rPr>
          <w:rFonts w:ascii="Verdana" w:eastAsia="Verdana" w:hAnsi="Verdana" w:cs="Verdana"/>
          <w:bCs/>
        </w:rPr>
        <w:t>C-048 de 2026</w:t>
      </w:r>
      <w:r w:rsidRPr="004A2E70">
        <w:rPr>
          <w:rStyle w:val="Refdenotaalpie"/>
          <w:rFonts w:ascii="Verdana" w:eastAsia="Verdana" w:hAnsi="Verdana" w:cs="Verdana"/>
          <w:bCs/>
        </w:rPr>
        <w:footnoteReference w:id="19"/>
      </w:r>
      <w:r w:rsidR="007C50B2" w:rsidRPr="00130C72">
        <w:rPr>
          <w:rFonts w:ascii="Verdana" w:eastAsia="Verdana" w:hAnsi="Verdana" w:cs="Verdana"/>
          <w:bCs/>
        </w:rPr>
        <w:t>,</w:t>
      </w:r>
      <w:r>
        <w:rPr>
          <w:rFonts w:ascii="Verdana" w:eastAsia="Verdana" w:hAnsi="Verdana" w:cs="Verdana"/>
          <w:bCs/>
        </w:rPr>
        <w:t xml:space="preserve"> reitera la anterior postura al sostener que</w:t>
      </w:r>
      <w:r w:rsidRPr="004A2E70">
        <w:rPr>
          <w:rFonts w:ascii="Verdana" w:eastAsia="Verdana" w:hAnsi="Verdana" w:cs="Verdana"/>
          <w:bCs/>
        </w:rPr>
        <w:t xml:space="preserve"> </w:t>
      </w:r>
      <w:r w:rsidRPr="00647D77">
        <w:rPr>
          <w:rFonts w:ascii="Verdana" w:eastAsia="Verdana" w:hAnsi="Verdana" w:cs="Verdana"/>
          <w:i/>
        </w:rPr>
        <w:t>“</w:t>
      </w:r>
      <w:r w:rsidRPr="00095A89">
        <w:rPr>
          <w:rFonts w:ascii="Verdana" w:eastAsia="Times New Roman" w:hAnsi="Verdana" w:cs="Arial"/>
          <w:bCs/>
          <w:lang w:eastAsia="x-none"/>
        </w:rPr>
        <w:t xml:space="preserve">para determinar la aplicación de la restricción prevista en el artículo 33 de la Ley de Garantías Electorales en aquellos sistemas de contratación en los cuales se invita a presentar propuesta […]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 </w:t>
      </w:r>
    </w:p>
    <w:p w14:paraId="285071AA" w14:textId="77777777" w:rsidR="003E253F" w:rsidRPr="00095A89" w:rsidRDefault="003E253F" w:rsidP="003E253F">
      <w:pPr>
        <w:spacing w:after="120" w:line="276" w:lineRule="auto"/>
        <w:ind w:firstLine="709"/>
        <w:jc w:val="both"/>
        <w:rPr>
          <w:rFonts w:ascii="Verdana" w:hAnsi="Verdana" w:cs="Arial"/>
          <w:lang w:eastAsia="x-none"/>
        </w:rPr>
      </w:pPr>
      <w:r w:rsidRPr="00095A89">
        <w:rPr>
          <w:rFonts w:ascii="Verdana" w:eastAsia="Verdana" w:hAnsi="Verdana" w:cs="Verdana"/>
          <w:bCs/>
        </w:rPr>
        <w:t>“</w:t>
      </w:r>
      <w:r w:rsidRPr="00095A89">
        <w:rPr>
          <w:rFonts w:ascii="Verdana" w:eastAsia="Times New Roman" w:hAnsi="Verdana" w:cs="Arial"/>
          <w:bCs/>
          <w:lang w:eastAsia="x-none"/>
        </w:rPr>
        <w:t xml:space="preserve">En todo caso, las entidades sometidas a regímenes especiales o al derecho privado son responsables de evaluar, en cada caso concreto, si la implementación de sistemas como listas de precalificados, bancos de proveedores o esquemas de invitación cerrada comporta efectivamente la realización de una convocatoria pública y asegura la participación real de una pluralidad de oferentes. Dicha valoración debe efectuarse a la luz de las reglas previstas en sus respectivos manuales de contratación, lo cual exige un análisis del procedimiento adoptado, de manera que se garantice que la selección del contratista se derive de un escenario de competencia efectiva y no de mecanismos que, bajo una apariencia de pluralidad de oferentes, habiliten contrataciones que se encuentra bajo el ámbito de aplicación del artículo 33 de la Ley de Garantías Electorales”.  </w:t>
      </w:r>
    </w:p>
    <w:bookmarkEnd w:id="16"/>
    <w:p w14:paraId="31254E21" w14:textId="2D3BE88E" w:rsidR="003E253F" w:rsidRDefault="003E253F" w:rsidP="003E253F">
      <w:pPr>
        <w:spacing w:after="120" w:line="276" w:lineRule="auto"/>
        <w:ind w:firstLine="709"/>
        <w:jc w:val="both"/>
        <w:rPr>
          <w:rFonts w:ascii="Verdana" w:hAnsi="Verdana" w:cs="Arial"/>
          <w:lang w:eastAsia="x-none"/>
        </w:rPr>
      </w:pPr>
      <w:r w:rsidRPr="00195E24">
        <w:rPr>
          <w:rFonts w:ascii="Verdana" w:hAnsi="Verdana" w:cs="Arial"/>
          <w:bCs/>
          <w:lang w:eastAsia="x-none"/>
        </w:rPr>
        <w:t xml:space="preserve">De lo anterior se desprende que la restricción aplica, sin perjuicio de las excepciones establecidas en la misma </w:t>
      </w:r>
      <w:r w:rsidR="000A646A" w:rsidRPr="00130C72">
        <w:rPr>
          <w:rFonts w:ascii="Verdana" w:hAnsi="Verdana" w:cs="Arial"/>
          <w:bCs/>
          <w:lang w:eastAsia="x-none"/>
        </w:rPr>
        <w:t>L</w:t>
      </w:r>
      <w:r w:rsidRPr="00195E24">
        <w:rPr>
          <w:rFonts w:ascii="Verdana" w:hAnsi="Verdana" w:cs="Arial"/>
          <w:bCs/>
          <w:lang w:eastAsia="x-none"/>
        </w:rPr>
        <w:t>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r>
        <w:rPr>
          <w:rFonts w:ascii="Verdana" w:hAnsi="Verdana" w:cs="Arial"/>
          <w:lang w:eastAsia="x-none"/>
        </w:rPr>
        <w:t xml:space="preserve"> </w:t>
      </w:r>
    </w:p>
    <w:p w14:paraId="7F330F21" w14:textId="210D4E98" w:rsidR="003E253F" w:rsidRDefault="003E253F" w:rsidP="00CB650E">
      <w:pPr>
        <w:spacing w:after="120" w:line="276" w:lineRule="auto"/>
        <w:ind w:firstLine="709"/>
        <w:jc w:val="both"/>
        <w:rPr>
          <w:rFonts w:ascii="Verdana" w:eastAsia="Arial" w:hAnsi="Verdana" w:cs="Arial"/>
          <w:color w:val="1A1A1A" w:themeColor="background1" w:themeShade="1A"/>
          <w:lang w:val="es-ES_tradnl"/>
        </w:rPr>
      </w:pPr>
      <w:r>
        <w:rPr>
          <w:rFonts w:ascii="Verdana" w:hAnsi="Verdana" w:cs="Arial"/>
          <w:lang w:eastAsia="x-none"/>
        </w:rPr>
        <w:t xml:space="preserve">De acuerdo con lo anterior, </w:t>
      </w:r>
      <w:r w:rsidR="00AD294A">
        <w:rPr>
          <w:rFonts w:ascii="Verdana" w:hAnsi="Verdana" w:cs="Arial"/>
          <w:lang w:eastAsia="x-none"/>
        </w:rPr>
        <w:t xml:space="preserve">y en atención a </w:t>
      </w:r>
      <w:r w:rsidR="00647D77">
        <w:rPr>
          <w:rFonts w:ascii="Verdana" w:hAnsi="Verdana" w:cs="Arial"/>
          <w:lang w:eastAsia="x-none"/>
        </w:rPr>
        <w:t>sus</w:t>
      </w:r>
      <w:r w:rsidR="00AD294A">
        <w:rPr>
          <w:rFonts w:ascii="Verdana" w:hAnsi="Verdana" w:cs="Arial"/>
          <w:lang w:eastAsia="x-none"/>
        </w:rPr>
        <w:t xml:space="preserve"> consultas, </w:t>
      </w:r>
      <w:r>
        <w:rPr>
          <w:rFonts w:ascii="Verdana" w:hAnsi="Verdana" w:cs="Arial"/>
          <w:lang w:eastAsia="x-none"/>
        </w:rPr>
        <w:t xml:space="preserve">la celebración del contrato entre una entidad pública y una persona jurídica de naturaleza privada podrá realizarse en el periodo de restricciones electorales de que trata el artículo 33 de la Ley 996 de 2005 </w:t>
      </w:r>
      <w:r w:rsidR="00AD294A">
        <w:rPr>
          <w:rFonts w:ascii="Verdana" w:hAnsi="Verdana" w:cs="Arial"/>
          <w:lang w:eastAsia="x-none"/>
        </w:rPr>
        <w:t>siempre</w:t>
      </w:r>
      <w:r>
        <w:rPr>
          <w:rFonts w:ascii="Verdana" w:hAnsi="Verdana" w:cs="Arial"/>
          <w:lang w:eastAsia="x-none"/>
        </w:rPr>
        <w:t xml:space="preserve"> que dicha contratación se derive de un proceso de selección distinto a la contratación directa. </w:t>
      </w:r>
      <w:r>
        <w:rPr>
          <w:rFonts w:ascii="Verdana" w:hAnsi="Verdana" w:cs="Arial"/>
          <w:color w:val="1A1A1A" w:themeColor="background1" w:themeShade="1A"/>
          <w:shd w:val="clear" w:color="auto" w:fill="FFFFFF"/>
          <w:lang w:val="es-ES_tradnl"/>
        </w:rPr>
        <w:t>Por lo tanto,</w:t>
      </w:r>
      <w:r w:rsidRPr="008363F8">
        <w:rPr>
          <w:rFonts w:ascii="Verdana" w:hAnsi="Verdana" w:cs="Arial"/>
          <w:color w:val="1A1A1A" w:themeColor="background1" w:themeShade="1A"/>
          <w:shd w:val="clear" w:color="auto" w:fill="FFFFFF"/>
          <w:lang w:val="es-ES_tradnl"/>
        </w:rPr>
        <w:t xml:space="preserve"> en principio </w:t>
      </w:r>
      <w:r w:rsidR="00AD294A">
        <w:rPr>
          <w:rFonts w:ascii="Verdana" w:hAnsi="Verdana" w:cs="Arial"/>
          <w:color w:val="1A1A1A" w:themeColor="background1" w:themeShade="1A"/>
          <w:shd w:val="clear" w:color="auto" w:fill="FFFFFF"/>
          <w:lang w:val="es-ES_tradnl"/>
        </w:rPr>
        <w:t>lo que</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color w:val="1A1A1A" w:themeColor="background1" w:themeShade="1A"/>
          <w:shd w:val="clear" w:color="auto" w:fill="FFFFFF"/>
          <w:lang w:val="es-ES_tradnl"/>
        </w:rPr>
        <w:t xml:space="preserve">está prohibida </w:t>
      </w:r>
      <w:r w:rsidR="00AD294A">
        <w:rPr>
          <w:rFonts w:ascii="Verdana" w:hAnsi="Verdana" w:cs="Arial"/>
          <w:color w:val="1A1A1A" w:themeColor="background1" w:themeShade="1A"/>
          <w:shd w:val="clear" w:color="auto" w:fill="FFFFFF"/>
          <w:lang w:val="es-ES_tradnl"/>
        </w:rPr>
        <w:t>es</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i/>
          <w:iCs/>
          <w:color w:val="1A1A1A" w:themeColor="background1" w:themeShade="1A"/>
          <w:shd w:val="clear" w:color="auto" w:fill="FFFFFF"/>
          <w:lang w:val="es-ES_tradnl"/>
        </w:rPr>
        <w:t>la contratación directa</w:t>
      </w:r>
      <w:r w:rsidRPr="008363F8">
        <w:rPr>
          <w:rFonts w:ascii="Verdana" w:hAnsi="Verdana" w:cs="Arial"/>
          <w:color w:val="1A1A1A" w:themeColor="background1" w:themeShade="1A"/>
          <w:shd w:val="clear" w:color="auto" w:fill="FFFFFF"/>
          <w:lang w:val="es-ES_tradnl"/>
        </w:rPr>
        <w:t xml:space="preserve">, salvo que </w:t>
      </w:r>
      <w:r w:rsidR="00AD294A">
        <w:rPr>
          <w:rFonts w:ascii="Verdana" w:hAnsi="Verdana" w:cs="Arial"/>
          <w:color w:val="1A1A1A" w:themeColor="background1" w:themeShade="1A"/>
          <w:shd w:val="clear" w:color="auto" w:fill="FFFFFF"/>
          <w:lang w:val="es-ES_tradnl"/>
        </w:rPr>
        <w:t>la contratación que se va a realizar se encuadre en alguna de las excepciones consagradas en el mismo artículo. Lo que está permitido en dicha época son los contratos que se</w:t>
      </w:r>
      <w:r w:rsidRPr="00AD294A">
        <w:rPr>
          <w:rFonts w:ascii="Verdana" w:hAnsi="Verdana" w:cs="Arial"/>
          <w:color w:val="1A1A1A" w:themeColor="background1" w:themeShade="1A"/>
          <w:shd w:val="clear" w:color="auto" w:fill="FFFFFF"/>
          <w:lang w:val="es-ES_tradnl"/>
        </w:rPr>
        <w:t xml:space="preserve"> celebr</w:t>
      </w:r>
      <w:r w:rsidR="00AD294A">
        <w:rPr>
          <w:rFonts w:ascii="Verdana" w:hAnsi="Verdana" w:cs="Arial"/>
          <w:color w:val="1A1A1A" w:themeColor="background1" w:themeShade="1A"/>
          <w:shd w:val="clear" w:color="auto" w:fill="FFFFFF"/>
          <w:lang w:val="es-ES_tradnl"/>
        </w:rPr>
        <w:t xml:space="preserve">en </w:t>
      </w:r>
      <w:r w:rsidRPr="008363F8">
        <w:rPr>
          <w:rFonts w:ascii="Verdana" w:hAnsi="Verdana" w:cs="Arial"/>
          <w:i/>
          <w:iCs/>
          <w:color w:val="1A1A1A" w:themeColor="background1" w:themeShade="1A"/>
          <w:shd w:val="clear" w:color="auto" w:fill="FFFFFF"/>
          <w:lang w:val="es-ES_tradnl"/>
        </w:rPr>
        <w:t>de manera competitiva</w:t>
      </w:r>
      <w:r w:rsidR="00AD294A">
        <w:rPr>
          <w:rFonts w:ascii="Verdana" w:hAnsi="Verdana" w:cs="Arial"/>
          <w:i/>
          <w:iCs/>
          <w:color w:val="1A1A1A" w:themeColor="background1" w:themeShade="1A"/>
          <w:shd w:val="clear" w:color="auto" w:fill="FFFFFF"/>
          <w:lang w:val="es-ES_tradnl"/>
        </w:rPr>
        <w:t xml:space="preserve">. </w:t>
      </w:r>
      <w:r w:rsidR="00AD294A">
        <w:rPr>
          <w:rFonts w:ascii="Verdana" w:hAnsi="Verdana" w:cs="Arial"/>
          <w:color w:val="1A1A1A" w:themeColor="background1" w:themeShade="1A"/>
          <w:shd w:val="clear" w:color="auto" w:fill="FFFFFF"/>
          <w:lang w:val="es-ES_tradnl"/>
        </w:rPr>
        <w:t>Frente a</w:t>
      </w:r>
      <w:r w:rsidRPr="008363F8">
        <w:rPr>
          <w:rFonts w:ascii="Verdana" w:hAnsi="Verdana" w:cs="Arial"/>
          <w:color w:val="1A1A1A" w:themeColor="background1" w:themeShade="1A"/>
          <w:shd w:val="clear" w:color="auto" w:fill="FFFFFF"/>
          <w:lang w:val="es-ES_tradnl"/>
        </w:rPr>
        <w:t xml:space="preserve"> los convenios de interés público o de asociación regulados en el Decreto 092 de 2017 </w:t>
      </w:r>
      <w:r w:rsidR="00AD294A">
        <w:rPr>
          <w:rFonts w:ascii="Verdana" w:hAnsi="Verdana" w:cs="Arial"/>
          <w:color w:val="1A1A1A" w:themeColor="background1" w:themeShade="1A"/>
          <w:shd w:val="clear" w:color="auto" w:fill="FFFFFF"/>
          <w:lang w:val="es-ES_tradnl"/>
        </w:rPr>
        <w:t xml:space="preserve">deberá analizarse en cada caso si estos se celebran previo un proceso competitivo </w:t>
      </w:r>
      <w:r w:rsidRPr="00AD294A">
        <w:rPr>
          <w:rFonts w:ascii="Verdana" w:hAnsi="Verdana" w:cs="Arial"/>
          <w:color w:val="1A1A1A" w:themeColor="background1" w:themeShade="1A"/>
          <w:shd w:val="clear" w:color="auto" w:fill="FFFFFF"/>
          <w:lang w:val="es-ES_tradnl"/>
        </w:rPr>
        <w:t xml:space="preserve">o </w:t>
      </w:r>
      <w:r w:rsidR="00AD294A">
        <w:rPr>
          <w:rFonts w:ascii="Verdana" w:hAnsi="Verdana" w:cs="Arial"/>
          <w:color w:val="1A1A1A" w:themeColor="background1" w:themeShade="1A"/>
          <w:shd w:val="clear" w:color="auto" w:fill="FFFFFF"/>
          <w:lang w:val="es-ES_tradnl"/>
        </w:rPr>
        <w:t xml:space="preserve">si </w:t>
      </w:r>
      <w:r w:rsidRPr="00AD294A">
        <w:rPr>
          <w:rFonts w:ascii="Verdana" w:hAnsi="Verdana" w:cs="Arial"/>
          <w:color w:val="1A1A1A" w:themeColor="background1" w:themeShade="1A"/>
          <w:shd w:val="clear" w:color="auto" w:fill="FFFFFF"/>
          <w:lang w:val="es-ES_tradnl"/>
        </w:rPr>
        <w:t>se configur</w:t>
      </w:r>
      <w:r w:rsidR="00AD294A">
        <w:rPr>
          <w:rFonts w:ascii="Verdana" w:hAnsi="Verdana" w:cs="Arial"/>
          <w:color w:val="1A1A1A" w:themeColor="background1" w:themeShade="1A"/>
          <w:shd w:val="clear" w:color="auto" w:fill="FFFFFF"/>
          <w:lang w:val="es-ES_tradnl"/>
        </w:rPr>
        <w:t>a</w:t>
      </w:r>
      <w:r w:rsidRPr="008363F8">
        <w:rPr>
          <w:rFonts w:ascii="Verdana" w:hAnsi="Verdana" w:cs="Arial"/>
          <w:color w:val="1A1A1A" w:themeColor="background1" w:themeShade="1A"/>
          <w:shd w:val="clear" w:color="auto" w:fill="FFFFFF"/>
          <w:lang w:val="es-ES_tradnl"/>
        </w:rPr>
        <w:t xml:space="preserve"> alguna de las excepciones previstas en el artículo 33 de la Ley 996 de 2005. </w:t>
      </w:r>
    </w:p>
    <w:p w14:paraId="5C7F6CB8" w14:textId="3508CF3C" w:rsidR="003E253F" w:rsidRPr="00012D64" w:rsidRDefault="003E253F" w:rsidP="00CB650E">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F7AA9F5" w14:textId="77777777" w:rsidR="003E253F" w:rsidRDefault="003E253F" w:rsidP="003E253F">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3FD6F10C" w14:textId="49EE6B01" w:rsidR="003E253F" w:rsidRPr="002D6B92" w:rsidRDefault="003E253F" w:rsidP="00444A15">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1"/>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5A8BE126" w14:textId="77777777" w:rsidR="00444A15" w:rsidRPr="002D6B92" w:rsidRDefault="00444A15" w:rsidP="00CB650E">
      <w:pPr>
        <w:spacing w:after="0" w:line="276" w:lineRule="auto"/>
        <w:ind w:firstLine="709"/>
        <w:jc w:val="both"/>
        <w:rPr>
          <w:rFonts w:ascii="Verdana" w:hAnsi="Verdana" w:cs="Arial"/>
          <w:color w:val="000000" w:themeColor="text1"/>
          <w:lang w:val="es-MX"/>
        </w:rPr>
      </w:pPr>
    </w:p>
    <w:p w14:paraId="33EA396B" w14:textId="77777777" w:rsidR="003E253F" w:rsidRDefault="003E253F" w:rsidP="003E253F">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BA99277" w14:textId="77777777" w:rsidR="003E253F" w:rsidRDefault="003E253F" w:rsidP="003E253F">
      <w:pPr>
        <w:spacing w:after="0" w:line="240" w:lineRule="auto"/>
        <w:ind w:left="709" w:right="709"/>
        <w:jc w:val="both"/>
        <w:rPr>
          <w:rFonts w:ascii="Verdana" w:hAnsi="Verdana" w:cs="Arial"/>
          <w:color w:val="000000" w:themeColor="text1"/>
          <w:sz w:val="20"/>
          <w:szCs w:val="20"/>
          <w:lang w:val="es-MX"/>
        </w:rPr>
      </w:pPr>
    </w:p>
    <w:p w14:paraId="7364BBD7" w14:textId="43495C33" w:rsidR="003E253F" w:rsidRPr="00435A6A" w:rsidRDefault="003E253F" w:rsidP="003E253F">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2"/>
      </w:r>
      <w:r w:rsidRPr="005800D0">
        <w:rPr>
          <w:rFonts w:ascii="Verdana" w:hAnsi="Verdana" w:cs="Arial"/>
          <w:color w:val="000000" w:themeColor="text1"/>
          <w:sz w:val="20"/>
          <w:szCs w:val="20"/>
          <w:lang w:val="es-MX" w:eastAsia="x-none"/>
        </w:rPr>
        <w:t>.</w:t>
      </w:r>
    </w:p>
    <w:p w14:paraId="7A87146C" w14:textId="77777777" w:rsidR="003E253F" w:rsidRDefault="003E253F" w:rsidP="00CB650E">
      <w:pPr>
        <w:spacing w:after="0" w:line="240" w:lineRule="auto"/>
        <w:jc w:val="both"/>
        <w:rPr>
          <w:rFonts w:ascii="Verdana" w:hAnsi="Verdana" w:cs="Arial"/>
          <w:color w:val="000000" w:themeColor="text1"/>
          <w:lang w:val="es-MX"/>
        </w:rPr>
      </w:pPr>
    </w:p>
    <w:p w14:paraId="2B27740A" w14:textId="77777777" w:rsidR="003E253F" w:rsidRDefault="003E253F" w:rsidP="003E253F">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3"/>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239B6067" w14:textId="77777777" w:rsidR="003E253F" w:rsidRPr="00195E24" w:rsidRDefault="003E253F" w:rsidP="003E253F">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ACE0ECF" w14:textId="77777777" w:rsidR="003E253F" w:rsidRPr="00CE0712" w:rsidRDefault="003E253F" w:rsidP="003E253F">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6E1AE84C" w14:textId="77777777" w:rsidR="003E253F" w:rsidRDefault="003E253F" w:rsidP="003E253F">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94EA84B" w14:textId="77777777" w:rsidR="003E253F" w:rsidRDefault="003E253F" w:rsidP="003E253F">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4"/>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4AB49253" w14:textId="6CF69942" w:rsidR="003E253F" w:rsidRPr="0004207F" w:rsidRDefault="003E253F" w:rsidP="003E253F">
      <w:pPr>
        <w:shd w:val="clear" w:color="auto" w:fill="FFFFFF" w:themeFill="background1"/>
        <w:spacing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5"/>
      </w:r>
      <w:r w:rsidRPr="2E79A5E2">
        <w:rPr>
          <w:rFonts w:ascii="Verdana" w:hAnsi="Verdana" w:cs="Arial"/>
          <w:lang w:val="es-ES" w:eastAsia="es-CO"/>
        </w:rPr>
        <w:t xml:space="preserve">. </w:t>
      </w:r>
    </w:p>
    <w:p w14:paraId="4B6257FC" w14:textId="0C85CBE4" w:rsidR="00066B32" w:rsidRPr="0004207F" w:rsidRDefault="00066B32" w:rsidP="00CB650E">
      <w:pPr>
        <w:spacing w:after="120" w:line="276" w:lineRule="auto"/>
        <w:ind w:firstLine="709"/>
        <w:jc w:val="both"/>
        <w:rPr>
          <w:rFonts w:ascii="Verdana" w:hAnsi="Verdana" w:cs="Arial"/>
          <w:lang w:val="es-ES" w:eastAsia="es-CO"/>
        </w:rPr>
      </w:pPr>
      <w:r>
        <w:rPr>
          <w:rFonts w:ascii="Verdana" w:hAnsi="Verdana" w:cs="Arial"/>
          <w:bCs/>
          <w:lang w:val="es-MX" w:eastAsia="x-none"/>
        </w:rPr>
        <w:t>Igualmente,</w:t>
      </w:r>
      <w:r w:rsidRPr="0004207F">
        <w:rPr>
          <w:rFonts w:ascii="Verdana" w:hAnsi="Verdana" w:cs="Arial"/>
          <w:bCs/>
          <w:lang w:val="es-MX" w:eastAsia="x-none"/>
        </w:rPr>
        <w:t xml:space="preserve"> </w:t>
      </w:r>
      <w:r>
        <w:rPr>
          <w:rFonts w:ascii="Verdana" w:hAnsi="Verdana" w:cs="Arial"/>
          <w:bCs/>
          <w:lang w:val="es-MX" w:eastAsia="x-none"/>
        </w:rPr>
        <w:t>l</w:t>
      </w:r>
      <w:r w:rsidRPr="0004207F">
        <w:rPr>
          <w:rFonts w:ascii="Verdana" w:hAnsi="Verdana" w:cs="Arial"/>
          <w:bCs/>
          <w:lang w:val="es-MX" w:eastAsia="x-none"/>
        </w:rPr>
        <w:t>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6"/>
      </w:r>
      <w:r w:rsidRPr="0004207F">
        <w:rPr>
          <w:rFonts w:ascii="Verdana" w:hAnsi="Verdana" w:cs="Arial"/>
          <w:bCs/>
          <w:lang w:val="es-MX" w:eastAsia="x-none"/>
        </w:rPr>
        <w:t>.</w:t>
      </w:r>
    </w:p>
    <w:p w14:paraId="0C5E5D49" w14:textId="68BC7667" w:rsidR="003E253F" w:rsidRDefault="003E253F" w:rsidP="00360AB5">
      <w:pPr>
        <w:shd w:val="clear" w:color="auto" w:fill="FFFFFF"/>
        <w:spacing w:after="0" w:line="276" w:lineRule="auto"/>
        <w:ind w:firstLine="709"/>
        <w:jc w:val="both"/>
        <w:rPr>
          <w:rFonts w:ascii="Verdana" w:hAnsi="Verdana" w:cs="Arial"/>
          <w:bCs/>
          <w:lang w:val="es-ES_tradnl"/>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21173FFC" w14:textId="77777777" w:rsidR="00360AB5" w:rsidRDefault="00360AB5" w:rsidP="00CB650E">
      <w:pPr>
        <w:shd w:val="clear" w:color="auto" w:fill="FFFFFF"/>
        <w:spacing w:after="0" w:line="276" w:lineRule="auto"/>
        <w:ind w:firstLine="709"/>
        <w:jc w:val="both"/>
        <w:rPr>
          <w:rFonts w:ascii="Verdana" w:hAnsi="Verdana" w:cs="Arial"/>
          <w:bCs/>
          <w:lang w:val="es-ES_tradnl"/>
        </w:rPr>
      </w:pPr>
    </w:p>
    <w:p w14:paraId="1B2D78E9" w14:textId="13FE75F9" w:rsidR="003E253F" w:rsidRDefault="003E253F" w:rsidP="003E253F">
      <w:pPr>
        <w:spacing w:after="120" w:line="276" w:lineRule="auto"/>
        <w:jc w:val="both"/>
        <w:rPr>
          <w:rFonts w:ascii="Verdana" w:eastAsia="Times New Roman" w:hAnsi="Verdana" w:cs="Arial"/>
          <w:lang w:eastAsia="es-CO"/>
        </w:rPr>
      </w:pPr>
      <w:proofErr w:type="spellStart"/>
      <w:r w:rsidRPr="009252FB">
        <w:rPr>
          <w:rFonts w:ascii="Verdana" w:hAnsi="Verdana" w:cs="Arial"/>
          <w:bCs/>
          <w:lang w:val="es-ES_tradnl"/>
        </w:rPr>
        <w:t>ii</w:t>
      </w:r>
      <w:r w:rsidR="00360AB5">
        <w:rPr>
          <w:rFonts w:ascii="Verdana" w:hAnsi="Verdana" w:cs="Arial"/>
          <w:bCs/>
          <w:lang w:val="es-ES_tradnl"/>
        </w:rPr>
        <w:t>i</w:t>
      </w:r>
      <w:proofErr w:type="spellEnd"/>
      <w:r w:rsidRPr="009252FB">
        <w:rPr>
          <w:rFonts w:ascii="Verdana" w:hAnsi="Verdana" w:cs="Arial"/>
          <w:bCs/>
          <w:lang w:val="es-ES_tradnl"/>
        </w:rPr>
        <w:t xml:space="preserve">) La celebración de los convenios especiales de cooperación </w:t>
      </w:r>
      <w:r w:rsidRPr="009252FB">
        <w:rPr>
          <w:rFonts w:ascii="Verdana" w:eastAsia="Times New Roman" w:hAnsi="Verdana" w:cs="Arial"/>
          <w:lang w:eastAsia="es-CO"/>
        </w:rPr>
        <w:t xml:space="preserve">puede verse afectada por la restricción establecida en el artículo 33 de la Ley 996 de 2005, dado que esta </w:t>
      </w:r>
      <w:r>
        <w:rPr>
          <w:rFonts w:ascii="Verdana" w:eastAsia="Times New Roman" w:hAnsi="Verdana" w:cs="Arial"/>
          <w:lang w:eastAsia="es-CO"/>
        </w:rPr>
        <w:t xml:space="preserve">limitante </w:t>
      </w:r>
      <w:r w:rsidRPr="009252FB">
        <w:rPr>
          <w:rFonts w:ascii="Verdana" w:eastAsia="Times New Roman" w:hAnsi="Verdana" w:cs="Arial"/>
          <w:lang w:eastAsia="es-CO"/>
        </w:rPr>
        <w:t xml:space="preserve">prohíbe la contratación directa. Esto significa que, en vigencia de </w:t>
      </w:r>
      <w:r>
        <w:rPr>
          <w:rFonts w:ascii="Verdana" w:eastAsia="Times New Roman" w:hAnsi="Verdana" w:cs="Arial"/>
          <w:lang w:eastAsia="es-CO"/>
        </w:rPr>
        <w:t>la Ley de Garantías Electorales</w:t>
      </w:r>
      <w:r w:rsidRPr="009252FB">
        <w:rPr>
          <w:rFonts w:ascii="Verdana" w:eastAsia="Times New Roman" w:hAnsi="Verdana" w:cs="Arial"/>
          <w:lang w:eastAsia="es-CO"/>
        </w:rPr>
        <w:t>, no se encuentra permitido celebrar convenios</w:t>
      </w:r>
      <w:r>
        <w:rPr>
          <w:rFonts w:ascii="Verdana" w:eastAsia="Times New Roman" w:hAnsi="Verdana" w:cs="Arial"/>
          <w:lang w:eastAsia="es-CO"/>
        </w:rPr>
        <w:t xml:space="preserve"> especiales de contratación aplicando la causal de contratación directa contemplada en el literal e) del numeral 4 del artículo 2 de la Ley 1150 de 2007, ni ninguna de las demás causales contempladas en dicho numeral. Tal posibilidad también se encuentra restringida para las entidades estatales de régimen especial, quienes en atención a los efectos del artículo 33 </w:t>
      </w:r>
      <w:proofErr w:type="spellStart"/>
      <w:r w:rsidRPr="00692211">
        <w:rPr>
          <w:rFonts w:ascii="Verdana" w:eastAsia="Times New Roman" w:hAnsi="Verdana" w:cs="Arial"/>
          <w:i/>
          <w:iCs/>
          <w:lang w:eastAsia="es-CO"/>
        </w:rPr>
        <w:t>ib</w:t>
      </w:r>
      <w:r>
        <w:rPr>
          <w:rFonts w:ascii="Verdana" w:eastAsia="Times New Roman" w:hAnsi="Verdana" w:cs="Arial"/>
          <w:i/>
          <w:iCs/>
          <w:lang w:eastAsia="es-CO"/>
        </w:rPr>
        <w:t>í</w:t>
      </w:r>
      <w:r w:rsidRPr="00692211">
        <w:rPr>
          <w:rFonts w:ascii="Verdana" w:eastAsia="Times New Roman" w:hAnsi="Verdana" w:cs="Arial"/>
          <w:i/>
          <w:iCs/>
          <w:lang w:eastAsia="es-CO"/>
        </w:rPr>
        <w:t>dem</w:t>
      </w:r>
      <w:proofErr w:type="spellEnd"/>
      <w:r>
        <w:rPr>
          <w:rFonts w:ascii="Verdana" w:eastAsia="Times New Roman" w:hAnsi="Verdana" w:cs="Arial"/>
          <w:i/>
          <w:iCs/>
          <w:lang w:eastAsia="es-CO"/>
        </w:rPr>
        <w:t xml:space="preserve">, </w:t>
      </w:r>
      <w:r>
        <w:rPr>
          <w:rFonts w:ascii="Verdana" w:eastAsia="Times New Roman" w:hAnsi="Verdana" w:cs="Arial"/>
          <w:lang w:eastAsia="es-CO"/>
        </w:rPr>
        <w:t>tampoco pueden celebrar este tipo de convenios de manera directa.</w:t>
      </w:r>
    </w:p>
    <w:p w14:paraId="3A844FBF" w14:textId="141C2EB6" w:rsidR="003E253F" w:rsidRDefault="003E253F" w:rsidP="003E253F">
      <w:pPr>
        <w:spacing w:after="120" w:line="276" w:lineRule="auto"/>
        <w:ind w:firstLine="708"/>
        <w:jc w:val="both"/>
        <w:rPr>
          <w:rFonts w:ascii="Verdana" w:hAnsi="Verdana" w:cs="Arial"/>
          <w:bCs/>
          <w:color w:val="000000" w:themeColor="text1"/>
        </w:rPr>
      </w:pPr>
      <w:r>
        <w:rPr>
          <w:rFonts w:ascii="Verdana" w:eastAsia="Times New Roman" w:hAnsi="Verdana" w:cs="Arial"/>
          <w:lang w:eastAsia="es-CO"/>
        </w:rPr>
        <w:t xml:space="preserve">Sin perjuicio de lo anterior, en el marco de la autonomía que les asiste para dirigir su gestión contractual, las </w:t>
      </w:r>
      <w:r w:rsidR="00360AB5">
        <w:rPr>
          <w:rFonts w:ascii="Verdana" w:eastAsia="Times New Roman" w:hAnsi="Verdana" w:cs="Arial"/>
          <w:lang w:eastAsia="es-CO"/>
        </w:rPr>
        <w:t>e</w:t>
      </w:r>
      <w:r>
        <w:rPr>
          <w:rFonts w:ascii="Verdana" w:eastAsia="Times New Roman" w:hAnsi="Verdana" w:cs="Arial"/>
          <w:lang w:eastAsia="es-CO"/>
        </w:rPr>
        <w:t xml:space="preserve">ntidades </w:t>
      </w:r>
      <w:r w:rsidR="00360AB5">
        <w:rPr>
          <w:rFonts w:ascii="Verdana" w:eastAsia="Times New Roman" w:hAnsi="Verdana" w:cs="Arial"/>
          <w:lang w:eastAsia="es-CO"/>
        </w:rPr>
        <w:t>e</w:t>
      </w:r>
      <w:r>
        <w:rPr>
          <w:rFonts w:ascii="Verdana" w:eastAsia="Times New Roman" w:hAnsi="Verdana" w:cs="Arial"/>
          <w:lang w:eastAsia="es-CO"/>
        </w:rPr>
        <w:t xml:space="preserve">statales, de acuerdo con las reglas que rigen sus procedimientos de selección, podrán valorar la posibilidad de celebrar estos o cualquier otro negocio jurídico, previo desarrollo de un proceso competitivo en el que se garantice pluralidad de oferentes o la existencia de alguna causal de excepción contemplada en el propio artículo 33 de la Ley 996 de 2005. </w:t>
      </w:r>
    </w:p>
    <w:p w14:paraId="226744CA" w14:textId="3E44F11C" w:rsidR="00042B28" w:rsidRPr="00E05C51" w:rsidRDefault="003E253F" w:rsidP="00CB650E">
      <w:pPr>
        <w:spacing w:after="0" w:line="276" w:lineRule="auto"/>
        <w:ind w:firstLine="708"/>
        <w:jc w:val="both"/>
        <w:rPr>
          <w:rFonts w:ascii="Verdana" w:hAnsi="Verdana" w:cs="Arial"/>
          <w:bCs/>
          <w:color w:val="000000" w:themeColor="text1"/>
        </w:rPr>
      </w:pPr>
      <w:r>
        <w:rPr>
          <w:rFonts w:ascii="Verdana" w:eastAsia="Times New Roman" w:hAnsi="Verdana" w:cs="Arial"/>
          <w:color w:val="000000" w:themeColor="text1"/>
          <w:lang w:val="es-ES" w:eastAsia="es-ES"/>
        </w:rPr>
        <w:t xml:space="preserve">Respecto del segundo problema jurídico, </w:t>
      </w:r>
      <w:r w:rsidRPr="00B26706">
        <w:rPr>
          <w:rFonts w:ascii="Verdana" w:eastAsia="Calibri" w:hAnsi="Verdana" w:cs="Arial"/>
          <w:shd w:val="clear" w:color="auto" w:fill="FFFFFF"/>
        </w:rPr>
        <w:t xml:space="preserve">es conveniente realizar algunas precisiones conceptuales sobre las actividades de ciencia, tecnología e innovación. </w:t>
      </w:r>
      <w:r>
        <w:rPr>
          <w:rFonts w:ascii="Verdana" w:eastAsia="Calibri" w:hAnsi="Verdana" w:cs="Arial"/>
          <w:shd w:val="clear" w:color="auto" w:fill="FFFFFF"/>
        </w:rPr>
        <w:t>Antes</w:t>
      </w:r>
      <w:r w:rsidRPr="00B26706">
        <w:rPr>
          <w:rFonts w:ascii="Verdana" w:eastAsia="Calibri" w:hAnsi="Verdana" w:cs="Arial"/>
          <w:shd w:val="clear" w:color="auto" w:fill="FFFFFF"/>
        </w:rPr>
        <w:t xml:space="preserve"> de la Constitución Política de 1991 ya existía un marco legislativo que regulaba la especial naturaleza de las materias relacionadas con la ciencia y tecnología. En particular, la Ley 29 de 1990 “por la cual se dictan disposiciones para el fomento de la investigación científica y el desarrollo tecnológico y se otorgan facultades extraordinarias”, estableció en el artículo 1° que:</w:t>
      </w:r>
    </w:p>
    <w:p w14:paraId="31CA64D2" w14:textId="77777777" w:rsidR="003E253F" w:rsidRPr="009252FB" w:rsidRDefault="003E253F" w:rsidP="003E253F">
      <w:pPr>
        <w:spacing w:after="0" w:line="240" w:lineRule="auto"/>
        <w:ind w:left="709" w:right="709"/>
        <w:contextualSpacing/>
        <w:jc w:val="both"/>
        <w:rPr>
          <w:rFonts w:ascii="Verdana" w:eastAsia="Calibri" w:hAnsi="Verdana" w:cs="Arial"/>
          <w:sz w:val="20"/>
          <w:szCs w:val="20"/>
          <w:shd w:val="clear" w:color="auto" w:fill="FFFFFF"/>
        </w:rPr>
      </w:pPr>
      <w:r w:rsidRPr="00B26706">
        <w:rPr>
          <w:rFonts w:ascii="Verdana" w:eastAsia="Calibri" w:hAnsi="Verdana" w:cs="Arial"/>
          <w:sz w:val="21"/>
          <w:szCs w:val="21"/>
          <w:shd w:val="clear" w:color="auto" w:fill="FFFFFF"/>
        </w:rPr>
        <w:t>“</w:t>
      </w:r>
      <w:r w:rsidRPr="009252FB">
        <w:rPr>
          <w:rFonts w:ascii="Verdana" w:eastAsia="Calibri" w:hAnsi="Verdana" w:cs="Arial"/>
          <w:sz w:val="20"/>
          <w:szCs w:val="20"/>
          <w:shd w:val="clear" w:color="auto" w:fill="FFFFFF"/>
        </w:rPr>
        <w:t>corresponde al Estado promover y orientar el adelanto científico y tecnológico y, por lo mismo, está obligado a incorporar la ciencia y tecnología a los planes y programas de desarrollo económico y social del país y a formular planes de ciencia y tecnología tanto para el mediano como para el largo plazo. Así mismo, deberá establecer los mecanismos de relación entre sus actividades de desarrollo científico y tecnológico y las que, en los mismos campos, adelanten la universidad, la comunidad científica y el sector privado colombianos”.</w:t>
      </w:r>
    </w:p>
    <w:p w14:paraId="3C8AA78E" w14:textId="77777777" w:rsidR="003E253F" w:rsidRPr="00B26706" w:rsidRDefault="003E253F" w:rsidP="003E253F">
      <w:pPr>
        <w:ind w:left="709" w:right="709"/>
        <w:contextualSpacing/>
        <w:jc w:val="both"/>
        <w:rPr>
          <w:rFonts w:ascii="Verdana" w:eastAsia="Calibri" w:hAnsi="Verdana" w:cs="Arial"/>
          <w:sz w:val="21"/>
          <w:szCs w:val="21"/>
          <w:shd w:val="clear" w:color="auto" w:fill="FFFFFF"/>
        </w:rPr>
      </w:pPr>
    </w:p>
    <w:p w14:paraId="2E4ABAB5" w14:textId="77777777" w:rsidR="003E253F" w:rsidRPr="00B26706" w:rsidRDefault="003E253F" w:rsidP="003E253F">
      <w:pPr>
        <w:spacing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De tal manera, la ley otorgó facultades extraordinarias que le permitirían al Gobierno Nacional dictar una serie de normas que debían ser acatadas por las entidades de orden nacional y aquellas entidades descentralizadas, con el fin de que pudieran asociarse con particulares para desarrollar actividades científicas y tecnológicas, avanzar en proyectos de investigación y creación de nuevas tecnologías. En un segundo plano, las normas a expedir debían regular las modalidades específicas de los contratos mediante los cuales fuera posible el fomento de actividades científicas y tecnológicas.</w:t>
      </w:r>
    </w:p>
    <w:p w14:paraId="03E971E6" w14:textId="77777777" w:rsidR="003E253F" w:rsidRPr="00B26706" w:rsidRDefault="003E253F" w:rsidP="003E253F">
      <w:pPr>
        <w:spacing w:before="120"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 xml:space="preserve">En ese sentido, en ejercicio de las facultades extraordinarias otorgadas en la Ley 29 de 1990, el Gobierno Nacional expidió el Decreto 393 de 1991 “Por el cual se dictan normas sobre asociación para actividades científicas y tecnológicas, proyectos de investigación y creación de tecnologías”, y el Decreto 591 del mismo año “por el cual se regulan las modalidades específicas de contratos de fomento de actividades científicas y tecnológicas”. Ambas normas se encuentran parcialmente vigentes a la fecha y regulan de manera sustancial </w:t>
      </w:r>
      <w:r w:rsidRPr="005C4B2F">
        <w:rPr>
          <w:rFonts w:ascii="Verdana" w:eastAsia="Aptos" w:hAnsi="Verdana" w:cs="Arial"/>
          <w:i/>
          <w:iCs/>
          <w:lang w:val="es-ES" w:eastAsia="es-MX"/>
        </w:rPr>
        <w:t>tipologías</w:t>
      </w:r>
      <w:r w:rsidRPr="00B26706">
        <w:rPr>
          <w:rFonts w:ascii="Verdana" w:eastAsia="Aptos" w:hAnsi="Verdana" w:cs="Arial"/>
          <w:i/>
          <w:iCs/>
          <w:lang w:val="es-ES" w:eastAsia="es-MX"/>
        </w:rPr>
        <w:t xml:space="preserve"> contractuales</w:t>
      </w:r>
      <w:r w:rsidRPr="00B26706">
        <w:rPr>
          <w:rFonts w:ascii="Verdana" w:eastAsia="Aptos" w:hAnsi="Verdana" w:cs="Arial"/>
          <w:lang w:val="es-ES" w:eastAsia="es-MX"/>
        </w:rPr>
        <w:t xml:space="preserve"> que pueden implementar las entidades para desarrollar dichas actividades.</w:t>
      </w:r>
    </w:p>
    <w:p w14:paraId="2DC32440" w14:textId="77777777" w:rsidR="003E253F" w:rsidRPr="00B26706" w:rsidRDefault="003E253F" w:rsidP="003E253F">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En concreto, las actividades de ciencia, tecnología e innovación están previstas en cuatro (4) cuerpos normativos: </w:t>
      </w:r>
    </w:p>
    <w:p w14:paraId="32527EB9" w14:textId="77777777" w:rsidR="003E253F" w:rsidRPr="00B26706" w:rsidRDefault="003E253F" w:rsidP="00CB650E">
      <w:pPr>
        <w:pStyle w:val="Prrafodelista"/>
        <w:numPr>
          <w:ilvl w:val="0"/>
          <w:numId w:val="18"/>
        </w:numPr>
        <w:spacing w:after="120" w:line="276" w:lineRule="auto"/>
        <w:ind w:left="1066" w:hanging="357"/>
        <w:contextualSpacing w:val="0"/>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393 de 1991</w:t>
      </w:r>
      <w:r w:rsidRPr="00B26706">
        <w:rPr>
          <w:rFonts w:ascii="Verdana" w:eastAsia="Times New Roman" w:hAnsi="Verdana" w:cs="Arial"/>
          <w:lang w:eastAsia="es-ES_tradnl"/>
        </w:rPr>
        <w:t xml:space="preserve">, que se refiere a dos (2) formas de asociación para que las entidades ejecuten actividades científicas y tecnológicas, proyectos de investigación y creación de tecnologías: 1) la creación de personas jurídicas civiles, comerciales y sin ánimo de lucro y 2) la celebración de convenios especiales de cooperación; </w:t>
      </w:r>
    </w:p>
    <w:p w14:paraId="21D44006" w14:textId="77777777" w:rsidR="003E253F" w:rsidRPr="00B26706" w:rsidRDefault="003E253F" w:rsidP="00CB650E">
      <w:pPr>
        <w:pStyle w:val="Prrafodelista"/>
        <w:numPr>
          <w:ilvl w:val="0"/>
          <w:numId w:val="18"/>
        </w:numPr>
        <w:spacing w:after="120" w:line="276" w:lineRule="auto"/>
        <w:ind w:left="1066" w:hanging="357"/>
        <w:contextualSpacing w:val="0"/>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591 de 1991</w:t>
      </w:r>
      <w:r w:rsidRPr="00B26706">
        <w:rPr>
          <w:rFonts w:ascii="Verdana" w:eastAsia="Times New Roman" w:hAnsi="Verdana" w:cs="Arial"/>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de financiamiento, 2) contratos de administración de proyectos y 3) convenios especiales de cooperación; </w:t>
      </w:r>
    </w:p>
    <w:p w14:paraId="66A8DE39" w14:textId="77777777" w:rsidR="003E253F" w:rsidRPr="00B214BC" w:rsidRDefault="003E253F" w:rsidP="00CB650E">
      <w:pPr>
        <w:pStyle w:val="Prrafodelista"/>
        <w:numPr>
          <w:ilvl w:val="0"/>
          <w:numId w:val="18"/>
        </w:numPr>
        <w:spacing w:after="120" w:line="276" w:lineRule="auto"/>
        <w:ind w:left="1066" w:hanging="357"/>
        <w:contextualSpacing w:val="0"/>
        <w:jc w:val="both"/>
        <w:rPr>
          <w:rFonts w:ascii="Verdana" w:eastAsia="Times New Roman" w:hAnsi="Verdana" w:cs="Arial"/>
          <w:lang w:eastAsia="es-ES_tradnl"/>
        </w:rPr>
      </w:pPr>
      <w:r w:rsidRPr="00B26706">
        <w:rPr>
          <w:rFonts w:ascii="Verdana" w:eastAsia="Times New Roman" w:hAnsi="Verdana" w:cs="Arial"/>
          <w:lang w:eastAsia="es-ES_tradnl"/>
        </w:rPr>
        <w:t xml:space="preserve">La </w:t>
      </w:r>
      <w:r w:rsidRPr="00B26706">
        <w:rPr>
          <w:rFonts w:ascii="Verdana" w:eastAsia="Times New Roman" w:hAnsi="Verdana" w:cs="Arial"/>
          <w:i/>
          <w:iCs/>
          <w:lang w:eastAsia="es-ES_tradnl"/>
        </w:rPr>
        <w:t>Ley 1286 de 2009</w:t>
      </w:r>
      <w:r w:rsidRPr="00B26706">
        <w:rPr>
          <w:rFonts w:ascii="Verdana" w:hAnsi="Verdana"/>
          <w:vertAlign w:val="superscript"/>
          <w:lang w:eastAsia="es-ES_tradnl"/>
        </w:rPr>
        <w:footnoteReference w:id="27"/>
      </w:r>
      <w:r>
        <w:rPr>
          <w:rFonts w:ascii="Verdana" w:eastAsia="Times New Roman" w:hAnsi="Verdana" w:cs="Arial"/>
          <w:i/>
          <w:iCs/>
          <w:lang w:eastAsia="es-ES_tradnl"/>
        </w:rPr>
        <w:t>;</w:t>
      </w:r>
    </w:p>
    <w:p w14:paraId="77622BD0" w14:textId="77777777" w:rsidR="003E253F" w:rsidRPr="00B214BC" w:rsidRDefault="003E253F" w:rsidP="00CB650E">
      <w:pPr>
        <w:pStyle w:val="Prrafodelista"/>
        <w:numPr>
          <w:ilvl w:val="0"/>
          <w:numId w:val="18"/>
        </w:numPr>
        <w:spacing w:after="0" w:line="276" w:lineRule="auto"/>
        <w:ind w:left="1066" w:hanging="357"/>
        <w:contextualSpacing w:val="0"/>
        <w:jc w:val="both"/>
        <w:rPr>
          <w:rFonts w:ascii="Verdana" w:eastAsia="Times New Roman" w:hAnsi="Verdana" w:cs="Arial"/>
          <w:lang w:eastAsia="es-ES_tradnl"/>
        </w:rPr>
      </w:pPr>
      <w:r w:rsidRPr="00B214BC">
        <w:rPr>
          <w:rFonts w:ascii="Verdana" w:eastAsia="Times New Roman" w:hAnsi="Verdana" w:cs="Arial"/>
          <w:lang w:eastAsia="es-ES_tradnl"/>
        </w:rPr>
        <w:t xml:space="preserve">El </w:t>
      </w:r>
      <w:r w:rsidRPr="00B214BC">
        <w:rPr>
          <w:rFonts w:ascii="Verdana" w:eastAsia="Times New Roman" w:hAnsi="Verdana" w:cs="Arial"/>
          <w:i/>
          <w:iCs/>
          <w:lang w:eastAsia="es-ES_tradnl"/>
        </w:rPr>
        <w:t>Documento CONPES 3582 de 2009</w:t>
      </w:r>
      <w:r w:rsidRPr="00B214BC">
        <w:rPr>
          <w:rFonts w:ascii="Verdana" w:eastAsia="Times New Roman" w:hAnsi="Verdana" w:cs="Arial"/>
          <w:lang w:eastAsia="es-ES_tradnl"/>
        </w:rPr>
        <w:t xml:space="preserve"> que identifica </w:t>
      </w:r>
      <w:r w:rsidRPr="00B214BC">
        <w:rPr>
          <w:rFonts w:ascii="Verdana" w:eastAsia="Verdana" w:hAnsi="Verdana" w:cs="Verdana"/>
          <w:bCs/>
        </w:rPr>
        <w:t xml:space="preserve">las actividades con respecto a los actores del Sistema Nacional de Ciencia, Tecnología e Innovación. Así mismo, definió los objetivos relativos a i) fomentar la innovación en los sistemas productivos; </w:t>
      </w:r>
      <w:proofErr w:type="spellStart"/>
      <w:r w:rsidRPr="00B214BC">
        <w:rPr>
          <w:rFonts w:ascii="Verdana" w:eastAsia="Verdana" w:hAnsi="Verdana" w:cs="Verdana"/>
          <w:bCs/>
        </w:rPr>
        <w:t>ii</w:t>
      </w:r>
      <w:proofErr w:type="spellEnd"/>
      <w:r w:rsidRPr="00B214BC">
        <w:rPr>
          <w:rFonts w:ascii="Verdana" w:eastAsia="Verdana" w:hAnsi="Verdana" w:cs="Verdana"/>
          <w:bCs/>
        </w:rPr>
        <w:t xml:space="preserve">) consolidar la institucionalidad del Sistema Nacional de Ciencia, Tecnología e Innovación; </w:t>
      </w:r>
      <w:proofErr w:type="spellStart"/>
      <w:r w:rsidRPr="00B214BC">
        <w:rPr>
          <w:rFonts w:ascii="Verdana" w:eastAsia="Verdana" w:hAnsi="Verdana" w:cs="Verdana"/>
          <w:bCs/>
        </w:rPr>
        <w:t>iii</w:t>
      </w:r>
      <w:proofErr w:type="spellEnd"/>
      <w:r w:rsidRPr="00B214BC">
        <w:rPr>
          <w:rFonts w:ascii="Verdana" w:eastAsia="Verdana" w:hAnsi="Verdana" w:cs="Verdana"/>
          <w:bCs/>
        </w:rPr>
        <w:t xml:space="preserve">) fortalecer la formación del recurso humano para la investigación y la innovación; </w:t>
      </w:r>
      <w:proofErr w:type="spellStart"/>
      <w:r w:rsidRPr="00B214BC">
        <w:rPr>
          <w:rFonts w:ascii="Verdana" w:eastAsia="Verdana" w:hAnsi="Verdana" w:cs="Verdana"/>
          <w:bCs/>
        </w:rPr>
        <w:t>iv</w:t>
      </w:r>
      <w:proofErr w:type="spellEnd"/>
      <w:r w:rsidRPr="00B214BC">
        <w:rPr>
          <w:rFonts w:ascii="Verdana" w:eastAsia="Verdana" w:hAnsi="Verdana" w:cs="Verdana"/>
          <w:bCs/>
        </w:rPr>
        <w:t>) promover la apropiación social del conocimiento.; v) focalizar la acción pública en áreas estratégicas y vi) desarrollar y fortalecer capacidades.</w:t>
      </w:r>
    </w:p>
    <w:p w14:paraId="6B135ACA" w14:textId="77777777" w:rsidR="00042B28" w:rsidRDefault="00042B28" w:rsidP="00CB650E">
      <w:pPr>
        <w:shd w:val="clear" w:color="auto" w:fill="FFFFFF"/>
        <w:spacing w:after="0" w:line="276" w:lineRule="auto"/>
        <w:ind w:firstLine="709"/>
        <w:jc w:val="both"/>
        <w:rPr>
          <w:rFonts w:ascii="Verdana" w:hAnsi="Verdana" w:cs="Arial"/>
          <w:lang w:eastAsia="es-ES_tradnl"/>
        </w:rPr>
      </w:pPr>
    </w:p>
    <w:p w14:paraId="0C37B51D" w14:textId="63D48586" w:rsidR="003E253F" w:rsidRPr="00B26706" w:rsidRDefault="003E253F" w:rsidP="003E253F">
      <w:pPr>
        <w:shd w:val="clear" w:color="auto" w:fill="FFFFFF"/>
        <w:spacing w:line="276" w:lineRule="auto"/>
        <w:ind w:firstLine="709"/>
        <w:jc w:val="both"/>
        <w:rPr>
          <w:rFonts w:ascii="Verdana" w:hAnsi="Verdana" w:cs="Arial"/>
          <w:lang w:eastAsia="es-ES_tradnl"/>
        </w:rPr>
      </w:pPr>
      <w:r w:rsidRPr="00B26706">
        <w:rPr>
          <w:rFonts w:ascii="Verdana" w:hAnsi="Verdana" w:cs="Arial"/>
          <w:lang w:eastAsia="es-ES_tradnl"/>
        </w:rPr>
        <w:t xml:space="preserve">Así las cosas, las normas referidas establecen </w:t>
      </w:r>
      <w:r w:rsidRPr="00B26706">
        <w:rPr>
          <w:rFonts w:ascii="Verdana" w:hAnsi="Verdana" w:cs="Arial"/>
          <w:i/>
          <w:iCs/>
          <w:lang w:eastAsia="es-ES_tradnl"/>
        </w:rPr>
        <w:t>tipologías contractuales</w:t>
      </w:r>
      <w:r w:rsidRPr="00B26706">
        <w:rPr>
          <w:rFonts w:ascii="Verdana" w:hAnsi="Verdana" w:cs="Arial"/>
          <w:lang w:eastAsia="es-ES_tradnl"/>
        </w:rPr>
        <w:t xml:space="preserve"> por las que pueden optar las entidades allí señaladas para contratar directamente el desarrollo de actividades de ciencia y tecnología. De cualquier modo, su aplicación se encuentra limitada a los sujetos y materias allí reguladas. </w:t>
      </w:r>
    </w:p>
    <w:p w14:paraId="784A8EF7" w14:textId="77777777" w:rsidR="00042B28" w:rsidRDefault="003E253F" w:rsidP="003E253F">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Al respecto, el artículo primero del Decreto Ley 393 de 1991 señala expresamente que la Nación y sus entidades descentralizadas “podrán</w:t>
      </w:r>
      <w:r w:rsidRPr="00B26706">
        <w:rPr>
          <w:rFonts w:ascii="Verdana" w:hAnsi="Verdana" w:cs="Arial"/>
          <w:i/>
          <w:iCs/>
          <w:lang w:eastAsia="es-ES_tradnl"/>
        </w:rPr>
        <w:t xml:space="preserve"> </w:t>
      </w:r>
      <w:r w:rsidRPr="00B26706">
        <w:rPr>
          <w:rFonts w:ascii="Verdana" w:hAnsi="Verdana" w:cs="Arial"/>
          <w:lang w:eastAsia="es-ES_tradnl"/>
        </w:rPr>
        <w:t>asociarse con los particulares” bajo creación de personas jurídicas o la celebración de convenios especiales de cooperación para adelantar actividades científicas y tecnológicas, sobre éstos últimos el artículo sexto reitera que dichas entidades “</w:t>
      </w:r>
      <w:r w:rsidRPr="00B26706">
        <w:rPr>
          <w:rFonts w:ascii="Verdana" w:hAnsi="Verdana" w:cs="Arial"/>
          <w:i/>
          <w:iCs/>
          <w:lang w:eastAsia="es-ES_tradnl"/>
        </w:rPr>
        <w:t xml:space="preserve">podrán </w:t>
      </w:r>
      <w:r w:rsidRPr="00B26706">
        <w:rPr>
          <w:rFonts w:ascii="Verdana" w:hAnsi="Verdana" w:cs="Arial"/>
          <w:lang w:eastAsia="es-ES_tradnl"/>
        </w:rPr>
        <w:t>celebrar con los particulares convenios especiales de cooperación, que no darán lugar al nacimiento de una nueva persona jurídica”</w:t>
      </w:r>
      <w:r w:rsidRPr="00B26706">
        <w:rPr>
          <w:rStyle w:val="Refdenotaalpie"/>
          <w:rFonts w:ascii="Verdana" w:hAnsi="Verdana" w:cs="Arial"/>
          <w:lang w:eastAsia="es-ES_tradnl"/>
        </w:rPr>
        <w:footnoteReference w:id="28"/>
      </w:r>
      <w:r w:rsidRPr="00B26706">
        <w:rPr>
          <w:rFonts w:ascii="Verdana" w:hAnsi="Verdana" w:cs="Arial"/>
          <w:lang w:eastAsia="es-ES_tradnl"/>
        </w:rPr>
        <w:t xml:space="preserve">. </w:t>
      </w:r>
    </w:p>
    <w:p w14:paraId="502BD866" w14:textId="0F603128" w:rsidR="003E253F" w:rsidRPr="00B26706" w:rsidRDefault="003E253F" w:rsidP="003E253F">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De manera similar, los artículo 8, 9 y 17 del Decreto Ley 591 de 1991 señalan que la Nación y sus entidades descentralizadas “</w:t>
      </w:r>
      <w:r w:rsidRPr="00B26706">
        <w:rPr>
          <w:rFonts w:ascii="Verdana" w:hAnsi="Verdana" w:cs="Arial"/>
          <w:i/>
          <w:iCs/>
          <w:lang w:eastAsia="es-ES_tradnl"/>
        </w:rPr>
        <w:t>podrán</w:t>
      </w:r>
      <w:r w:rsidRPr="00B26706">
        <w:rPr>
          <w:rFonts w:ascii="Verdana" w:hAnsi="Verdana" w:cs="Arial"/>
          <w:lang w:eastAsia="es-ES_tradnl"/>
        </w:rPr>
        <w:t xml:space="preserve">”: </w:t>
      </w:r>
      <w:r>
        <w:rPr>
          <w:rFonts w:ascii="Verdana" w:hAnsi="Verdana" w:cs="Arial"/>
          <w:lang w:eastAsia="es-ES_tradnl"/>
        </w:rPr>
        <w:t>1</w:t>
      </w:r>
      <w:r w:rsidRPr="00B26706">
        <w:rPr>
          <w:rFonts w:ascii="Verdana" w:hAnsi="Verdana" w:cs="Arial"/>
          <w:lang w:eastAsia="es-ES_tradnl"/>
        </w:rPr>
        <w:t xml:space="preserve">) celebrar contratos de financiamiento destinados a actividades científicas y tecnológicas, que tengan por objeto proveer de recursos al particular contratista o a otra entidad pública; </w:t>
      </w:r>
      <w:r>
        <w:rPr>
          <w:rFonts w:ascii="Verdana" w:hAnsi="Verdana" w:cs="Arial"/>
          <w:lang w:eastAsia="es-ES_tradnl"/>
        </w:rPr>
        <w:t>2</w:t>
      </w:r>
      <w:r w:rsidRPr="00B26706">
        <w:rPr>
          <w:rFonts w:ascii="Verdana" w:hAnsi="Verdana" w:cs="Arial"/>
          <w:lang w:eastAsia="es-ES_tradnl"/>
        </w:rPr>
        <w:t xml:space="preserve">) celebrar con personas públicas o privadas contratos de administración de proyectos; y </w:t>
      </w:r>
      <w:r>
        <w:rPr>
          <w:rFonts w:ascii="Verdana" w:hAnsi="Verdana" w:cs="Arial"/>
          <w:lang w:eastAsia="es-ES_tradnl"/>
        </w:rPr>
        <w:t>3</w:t>
      </w:r>
      <w:r w:rsidRPr="00B26706">
        <w:rPr>
          <w:rFonts w:ascii="Verdana" w:hAnsi="Verdana" w:cs="Arial"/>
          <w:lang w:eastAsia="es-ES_tradnl"/>
        </w:rPr>
        <w:t>)</w:t>
      </w:r>
      <w:r w:rsidRPr="00B26706">
        <w:rPr>
          <w:rFonts w:ascii="Arial" w:hAnsi="Arial" w:cs="Arial"/>
          <w:color w:val="000000"/>
          <w:sz w:val="21"/>
          <w:szCs w:val="21"/>
        </w:rPr>
        <w:t xml:space="preserve"> </w:t>
      </w:r>
      <w:r w:rsidRPr="00B26706">
        <w:rPr>
          <w:rFonts w:ascii="Verdana" w:hAnsi="Verdana" w:cs="Arial"/>
          <w:lang w:eastAsia="es-ES_tradnl"/>
        </w:rPr>
        <w:t>celebrar con los particulares y con otras entidades públicas de cualquier orden convenios especiales de cooperación. En efecto, las normas referidas otorgan la potestad para que la Nación y sus entidades descentralizadas adopten las tipologías contractuales allí descritas cuando pretendan contratar el desarrollo de actividades científicas y tecnológicas.</w:t>
      </w:r>
    </w:p>
    <w:p w14:paraId="3D19AA1B" w14:textId="77777777" w:rsidR="003E253F" w:rsidRPr="00EF65A5" w:rsidRDefault="003E253F" w:rsidP="003E253F">
      <w:pPr>
        <w:spacing w:after="120" w:line="276" w:lineRule="auto"/>
        <w:ind w:firstLine="708"/>
        <w:jc w:val="both"/>
        <w:rPr>
          <w:rFonts w:ascii="Verdana" w:eastAsia="Times New Roman" w:hAnsi="Verdana" w:cs="Arial"/>
          <w:lang w:eastAsia="es-ES_tradnl"/>
        </w:rPr>
      </w:pPr>
      <w:r w:rsidRPr="0069136E">
        <w:rPr>
          <w:rFonts w:ascii="Verdana" w:hAnsi="Verdana" w:cs="Arial"/>
          <w:lang w:eastAsia="es-ES_tradnl"/>
        </w:rPr>
        <w:t>Posteriormente, la Ley 80 de 1993 derogó diversas disposiciones del Decreto Ley 591 de 1991 que establecían otras modalidades específicas de contratos para el fomento de actividades científicas y tecnológicas, manteniendo únicamente las tres tipologías contractuales referidas, es decir</w:t>
      </w:r>
      <w:r>
        <w:rPr>
          <w:rFonts w:ascii="Verdana" w:hAnsi="Verdana" w:cs="Arial"/>
          <w:lang w:eastAsia="es-ES_tradnl"/>
        </w:rPr>
        <w:t xml:space="preserve"> los</w:t>
      </w:r>
      <w:r w:rsidRPr="0069136E">
        <w:rPr>
          <w:rFonts w:ascii="Verdana" w:hAnsi="Verdana" w:cs="Arial"/>
          <w:lang w:eastAsia="es-ES_tradnl"/>
        </w:rPr>
        <w:t xml:space="preserve">: </w:t>
      </w:r>
      <w:r w:rsidRPr="0069136E">
        <w:rPr>
          <w:rFonts w:ascii="Verdana" w:eastAsia="Times New Roman" w:hAnsi="Verdana" w:cs="Arial"/>
          <w:lang w:eastAsia="es-ES_tradnl"/>
        </w:rPr>
        <w:t>1) contratos de financiamiento, 2) contratos de administración de proyectos y 3) convenios especiales de cooperación</w:t>
      </w:r>
      <w:r>
        <w:rPr>
          <w:rFonts w:ascii="Verdana" w:eastAsia="Times New Roman" w:hAnsi="Verdana" w:cs="Arial"/>
          <w:lang w:eastAsia="es-ES_tradnl"/>
        </w:rPr>
        <w:t>.</w:t>
      </w:r>
    </w:p>
    <w:p w14:paraId="552ADA3B" w14:textId="4D76FB8E" w:rsidR="00042B28" w:rsidRDefault="003E253F" w:rsidP="003E253F">
      <w:pPr>
        <w:spacing w:after="120" w:line="276" w:lineRule="auto"/>
        <w:ind w:firstLine="708"/>
        <w:jc w:val="both"/>
        <w:rPr>
          <w:rFonts w:ascii="Verdana" w:eastAsia="Calibri" w:hAnsi="Verdana" w:cs="Arial"/>
          <w:lang w:eastAsia="es-ES_tradnl"/>
        </w:rPr>
      </w:pPr>
      <w:r w:rsidRPr="00B26706">
        <w:rPr>
          <w:rFonts w:ascii="Verdana" w:hAnsi="Verdana" w:cs="Arial"/>
          <w:lang w:eastAsia="es-ES_tradnl"/>
        </w:rPr>
        <w:t xml:space="preserve"> Finalmente, la Ley 1150 de 2007 incluyó una causal de contratación directa en el literal e) del numeral 4 del artículo 2 que es procedente cuando se trate de “contratos para el desarrollo de actividades científicas y tecnológicas”. </w:t>
      </w:r>
      <w:r>
        <w:rPr>
          <w:rFonts w:ascii="Verdana" w:hAnsi="Verdana" w:cs="Arial"/>
          <w:lang w:eastAsia="es-ES_tradnl"/>
        </w:rPr>
        <w:t>E</w:t>
      </w:r>
      <w:r w:rsidRPr="00B26706">
        <w:rPr>
          <w:rFonts w:ascii="Verdana" w:hAnsi="Verdana" w:cs="Arial"/>
          <w:lang w:eastAsia="es-ES_tradnl"/>
        </w:rPr>
        <w:t>sta causal es aplicable a las Entidades Estatales cuya actividad contractual se encuentra sometida al Estatuto General de Contratación de la Administración Pública, es decir, aquellas establecidas en el artículo segundo de la Ley 80 de 1993.</w:t>
      </w:r>
      <w:r w:rsidRPr="00B26706">
        <w:rPr>
          <w:rFonts w:ascii="Verdana" w:eastAsia="Calibri" w:hAnsi="Verdana" w:cs="Arial"/>
          <w:lang w:eastAsia="es-ES_tradnl"/>
        </w:rPr>
        <w:t xml:space="preserve"> </w:t>
      </w:r>
    </w:p>
    <w:p w14:paraId="1C9F9A9D" w14:textId="248BA743" w:rsidR="003E253F" w:rsidRPr="00B47B4C" w:rsidRDefault="003E253F" w:rsidP="003E253F">
      <w:pPr>
        <w:spacing w:after="120" w:line="276" w:lineRule="auto"/>
        <w:ind w:firstLine="708"/>
        <w:jc w:val="both"/>
        <w:rPr>
          <w:rFonts w:ascii="Verdana" w:eastAsia="Calibri" w:hAnsi="Verdana" w:cs="Arial"/>
          <w:lang w:eastAsia="es-ES_tradnl"/>
        </w:rPr>
      </w:pPr>
      <w:r w:rsidRPr="00B26706">
        <w:rPr>
          <w:rFonts w:ascii="Verdana" w:eastAsia="Calibri" w:hAnsi="Verdana" w:cs="Arial"/>
          <w:lang w:eastAsia="es-ES_tradnl"/>
        </w:rPr>
        <w:t xml:space="preserve">En consecuencia, la causal de contratación directa a la cual se refiere la </w:t>
      </w:r>
      <w:r w:rsidRPr="00B26706">
        <w:rPr>
          <w:rFonts w:ascii="Verdana" w:hAnsi="Verdana" w:cs="Arial"/>
          <w:lang w:eastAsia="es-ES_tradnl"/>
        </w:rPr>
        <w:t xml:space="preserve">Ley 1150 de 2007 autoriza a todas las </w:t>
      </w:r>
      <w:r w:rsidR="00042B28">
        <w:rPr>
          <w:rFonts w:ascii="Verdana" w:hAnsi="Verdana" w:cs="Arial"/>
          <w:lang w:eastAsia="es-ES_tradnl"/>
        </w:rPr>
        <w:t>e</w:t>
      </w:r>
      <w:r w:rsidRPr="00B26706">
        <w:rPr>
          <w:rFonts w:ascii="Verdana" w:hAnsi="Verdana" w:cs="Arial"/>
          <w:lang w:eastAsia="es-ES_tradnl"/>
        </w:rPr>
        <w:t xml:space="preserve">ntidades </w:t>
      </w:r>
      <w:r w:rsidR="00042B28">
        <w:rPr>
          <w:rFonts w:ascii="Verdana" w:hAnsi="Verdana" w:cs="Arial"/>
          <w:lang w:eastAsia="es-ES_tradnl"/>
        </w:rPr>
        <w:t>e</w:t>
      </w:r>
      <w:r w:rsidRPr="00B26706">
        <w:rPr>
          <w:rFonts w:ascii="Verdana" w:hAnsi="Verdana" w:cs="Arial"/>
          <w:lang w:eastAsia="es-ES_tradnl"/>
        </w:rPr>
        <w:t>statales regidas por el E</w:t>
      </w:r>
      <w:r w:rsidR="00042B28">
        <w:rPr>
          <w:rFonts w:ascii="Verdana" w:hAnsi="Verdana" w:cs="Arial"/>
          <w:lang w:eastAsia="es-ES_tradnl"/>
        </w:rPr>
        <w:t xml:space="preserve">statuto </w:t>
      </w:r>
      <w:r w:rsidRPr="00B26706">
        <w:rPr>
          <w:rFonts w:ascii="Verdana" w:hAnsi="Verdana" w:cs="Arial"/>
          <w:lang w:eastAsia="es-ES_tradnl"/>
        </w:rPr>
        <w:t>G</w:t>
      </w:r>
      <w:r w:rsidR="00042B28">
        <w:rPr>
          <w:rFonts w:ascii="Verdana" w:hAnsi="Verdana" w:cs="Arial"/>
          <w:lang w:eastAsia="es-ES_tradnl"/>
        </w:rPr>
        <w:t xml:space="preserve">eneral de </w:t>
      </w:r>
      <w:r w:rsidRPr="00B26706">
        <w:rPr>
          <w:rFonts w:ascii="Verdana" w:hAnsi="Verdana" w:cs="Arial"/>
          <w:lang w:eastAsia="es-ES_tradnl"/>
        </w:rPr>
        <w:t>C</w:t>
      </w:r>
      <w:r w:rsidR="00042B28">
        <w:rPr>
          <w:rFonts w:ascii="Verdana" w:hAnsi="Verdana" w:cs="Arial"/>
          <w:lang w:eastAsia="es-ES_tradnl"/>
        </w:rPr>
        <w:t xml:space="preserve">ontratación de la </w:t>
      </w:r>
      <w:r w:rsidRPr="00B26706">
        <w:rPr>
          <w:rFonts w:ascii="Verdana" w:hAnsi="Verdana" w:cs="Arial"/>
          <w:lang w:eastAsia="es-ES_tradnl"/>
        </w:rPr>
        <w:t>A</w:t>
      </w:r>
      <w:r w:rsidR="00042B28">
        <w:rPr>
          <w:rFonts w:ascii="Verdana" w:hAnsi="Verdana" w:cs="Arial"/>
          <w:lang w:eastAsia="es-ES_tradnl"/>
        </w:rPr>
        <w:t>dministración Pública</w:t>
      </w:r>
      <w:r w:rsidRPr="00B26706">
        <w:rPr>
          <w:rFonts w:ascii="Verdana" w:hAnsi="Verdana" w:cs="Arial"/>
          <w:lang w:eastAsia="es-ES_tradnl"/>
        </w:rPr>
        <w:t xml:space="preserve"> para contratar directamente </w:t>
      </w:r>
      <w:r w:rsidRPr="00B47B4C">
        <w:rPr>
          <w:rFonts w:ascii="Verdana" w:hAnsi="Verdana" w:cs="Arial"/>
          <w:i/>
          <w:iCs/>
          <w:lang w:eastAsia="es-ES_tradnl"/>
        </w:rPr>
        <w:t>el desarrollo de actividades científicas y tecnológicas</w:t>
      </w:r>
      <w:r w:rsidRPr="00B26706">
        <w:rPr>
          <w:rFonts w:ascii="Verdana" w:hAnsi="Verdana" w:cs="Arial"/>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31FB337B" w14:textId="26712070" w:rsidR="003E253F" w:rsidRPr="00B26706" w:rsidRDefault="003E253F" w:rsidP="003E253F">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Se deriva de lo expuesto que: i) la </w:t>
      </w:r>
      <w:r>
        <w:rPr>
          <w:rFonts w:ascii="Verdana" w:hAnsi="Verdana" w:cs="Arial"/>
          <w:lang w:eastAsia="es-ES_tradnl"/>
        </w:rPr>
        <w:t>L</w:t>
      </w:r>
      <w:r w:rsidRPr="00B26706">
        <w:rPr>
          <w:rFonts w:ascii="Verdana" w:hAnsi="Verdana" w:cs="Arial"/>
          <w:lang w:eastAsia="es-ES_tradnl"/>
        </w:rPr>
        <w:t xml:space="preserve">ey 1150 de 2007 autorizó a las </w:t>
      </w:r>
      <w:r w:rsidR="00042B28">
        <w:rPr>
          <w:rFonts w:ascii="Verdana" w:hAnsi="Verdana" w:cs="Arial"/>
          <w:lang w:eastAsia="es-ES_tradnl"/>
        </w:rPr>
        <w:t>e</w:t>
      </w:r>
      <w:r w:rsidRPr="00B26706">
        <w:rPr>
          <w:rFonts w:ascii="Verdana" w:hAnsi="Verdana" w:cs="Arial"/>
          <w:lang w:eastAsia="es-ES_tradnl"/>
        </w:rPr>
        <w:t xml:space="preserve">ntidades </w:t>
      </w:r>
      <w:r w:rsidR="00042B28">
        <w:rPr>
          <w:rFonts w:ascii="Verdana" w:hAnsi="Verdana" w:cs="Arial"/>
          <w:lang w:eastAsia="es-ES_tradnl"/>
        </w:rPr>
        <w:t>e</w:t>
      </w:r>
      <w:r w:rsidRPr="00B26706">
        <w:rPr>
          <w:rFonts w:ascii="Verdana" w:hAnsi="Verdana" w:cs="Arial"/>
          <w:lang w:eastAsia="es-ES_tradnl"/>
        </w:rPr>
        <w:t xml:space="preserve">statales sometidas al </w:t>
      </w:r>
      <w:r w:rsidR="00042B28" w:rsidRPr="00B26706">
        <w:rPr>
          <w:rFonts w:ascii="Verdana" w:hAnsi="Verdana" w:cs="Arial"/>
          <w:lang w:eastAsia="es-ES_tradnl"/>
        </w:rPr>
        <w:t>E</w:t>
      </w:r>
      <w:r w:rsidR="00042B28">
        <w:rPr>
          <w:rFonts w:ascii="Verdana" w:hAnsi="Verdana" w:cs="Arial"/>
          <w:lang w:eastAsia="es-ES_tradnl"/>
        </w:rPr>
        <w:t xml:space="preserve">statuto </w:t>
      </w:r>
      <w:r w:rsidR="00042B28" w:rsidRPr="00B26706">
        <w:rPr>
          <w:rFonts w:ascii="Verdana" w:hAnsi="Verdana" w:cs="Arial"/>
          <w:lang w:eastAsia="es-ES_tradnl"/>
        </w:rPr>
        <w:t>G</w:t>
      </w:r>
      <w:r w:rsidR="00042B28">
        <w:rPr>
          <w:rFonts w:ascii="Verdana" w:hAnsi="Verdana" w:cs="Arial"/>
          <w:lang w:eastAsia="es-ES_tradnl"/>
        </w:rPr>
        <w:t xml:space="preserve">eneral de </w:t>
      </w:r>
      <w:r w:rsidR="00042B28" w:rsidRPr="00B26706">
        <w:rPr>
          <w:rFonts w:ascii="Verdana" w:hAnsi="Verdana" w:cs="Arial"/>
          <w:lang w:eastAsia="es-ES_tradnl"/>
        </w:rPr>
        <w:t>C</w:t>
      </w:r>
      <w:r w:rsidR="00042B28">
        <w:rPr>
          <w:rFonts w:ascii="Verdana" w:hAnsi="Verdana" w:cs="Arial"/>
          <w:lang w:eastAsia="es-ES_tradnl"/>
        </w:rPr>
        <w:t xml:space="preserve">ontratación de la </w:t>
      </w:r>
      <w:r w:rsidR="00042B28" w:rsidRPr="00B26706">
        <w:rPr>
          <w:rFonts w:ascii="Verdana" w:hAnsi="Verdana" w:cs="Arial"/>
          <w:lang w:eastAsia="es-ES_tradnl"/>
        </w:rPr>
        <w:t>A</w:t>
      </w:r>
      <w:r w:rsidR="00042B28">
        <w:rPr>
          <w:rFonts w:ascii="Verdana" w:hAnsi="Verdana" w:cs="Arial"/>
          <w:lang w:eastAsia="es-ES_tradnl"/>
        </w:rPr>
        <w:t>dministración Pública</w:t>
      </w:r>
      <w:r w:rsidRPr="00B26706">
        <w:rPr>
          <w:rFonts w:ascii="Verdana" w:hAnsi="Verdana" w:cs="Arial"/>
          <w:lang w:eastAsia="es-ES_tradnl"/>
        </w:rPr>
        <w:t xml:space="preserve"> para contratar directamente el desarrollo de actividades científicas y tecnológicas, sin determinar una tipología específica; y </w:t>
      </w:r>
      <w:proofErr w:type="spellStart"/>
      <w:r w:rsidRPr="00B26706">
        <w:rPr>
          <w:rFonts w:ascii="Verdana" w:hAnsi="Verdana" w:cs="Arial"/>
          <w:lang w:eastAsia="es-ES_tradnl"/>
        </w:rPr>
        <w:t>ii</w:t>
      </w:r>
      <w:proofErr w:type="spellEnd"/>
      <w:r w:rsidRPr="00B26706">
        <w:rPr>
          <w:rFonts w:ascii="Verdana" w:hAnsi="Verdana" w:cs="Arial"/>
          <w:lang w:eastAsia="es-ES_tradnl"/>
        </w:rPr>
        <w:t xml:space="preserve">) los Decretos Ley 393 y 591 de 1991 señalaron que la Nación y sus entidades descentralizadas tienen la facultad de optar por las tipologías contractuales allí señaladas cuando requieran contratar </w:t>
      </w:r>
      <w:r>
        <w:rPr>
          <w:rFonts w:ascii="Verdana" w:hAnsi="Verdana" w:cs="Arial"/>
          <w:lang w:eastAsia="es-ES_tradnl"/>
        </w:rPr>
        <w:t xml:space="preserve">dichas </w:t>
      </w:r>
      <w:r w:rsidRPr="00B26706">
        <w:rPr>
          <w:rFonts w:ascii="Verdana" w:hAnsi="Verdana" w:cs="Arial"/>
          <w:lang w:eastAsia="es-ES_tradnl"/>
        </w:rPr>
        <w:t>actividades. En este sentido, el marco jurídico es claro en que la nación y sus entidades descentralizadas se encuentran autorizadas para contratar directamente el desarrollo de actividades científicas y tecnológicas en virtud de la causal establecida en la Ley 1150 de 2007, y que tienen la posibilidad de adoptar las tipologías contractuales señaladas en los Decretos Ley 393 y 591 de 1991 con este fin.</w:t>
      </w:r>
    </w:p>
    <w:p w14:paraId="01394936" w14:textId="77777777" w:rsidR="00042B28" w:rsidRDefault="003E253F" w:rsidP="003E253F">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los Decretos Ley 393 y 591 de 1991 señalan algunas tipologías contractuales mediante las cuales es posible materializar la contratación directa de dichas actividades, señalan expresamente que es una </w:t>
      </w:r>
      <w:r w:rsidRPr="00B47B4C">
        <w:rPr>
          <w:rFonts w:ascii="Verdana" w:hAnsi="Verdana" w:cs="Arial"/>
          <w:i/>
          <w:iCs/>
          <w:u w:val="single"/>
          <w:lang w:eastAsia="es-ES_tradnl"/>
        </w:rPr>
        <w:t>facultad</w:t>
      </w:r>
      <w:r w:rsidRPr="00B26706">
        <w:rPr>
          <w:rFonts w:ascii="Verdana" w:hAnsi="Verdana" w:cs="Arial"/>
          <w:lang w:eastAsia="es-ES_tradnl"/>
        </w:rPr>
        <w:t xml:space="preserve"> al utilizar la expresión “podrán”. Adicionalmente, estas normas reservan expresamente la autorización de desarrollarlas mediante los tipos contractuales allí establecidos a la Nación y sus entidades descentralizadas. </w:t>
      </w:r>
    </w:p>
    <w:p w14:paraId="0CF2C33D" w14:textId="3B5F5CE4" w:rsidR="003E253F" w:rsidRPr="00B26706" w:rsidRDefault="003E253F" w:rsidP="003E253F">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Así las cosas, todas las </w:t>
      </w:r>
      <w:r w:rsidR="00042B28">
        <w:rPr>
          <w:rFonts w:ascii="Verdana" w:hAnsi="Verdana" w:cs="Arial"/>
          <w:lang w:eastAsia="es-ES_tradnl"/>
        </w:rPr>
        <w:t>e</w:t>
      </w:r>
      <w:r w:rsidRPr="00B26706">
        <w:rPr>
          <w:rFonts w:ascii="Verdana" w:hAnsi="Verdana" w:cs="Arial"/>
          <w:lang w:eastAsia="es-ES_tradnl"/>
        </w:rPr>
        <w:t xml:space="preserve">ntidades </w:t>
      </w:r>
      <w:r w:rsidR="00042B28">
        <w:rPr>
          <w:rFonts w:ascii="Verdana" w:hAnsi="Verdana" w:cs="Arial"/>
          <w:lang w:eastAsia="es-ES_tradnl"/>
        </w:rPr>
        <w:t>e</w:t>
      </w:r>
      <w:r w:rsidRPr="00B26706">
        <w:rPr>
          <w:rFonts w:ascii="Verdana" w:hAnsi="Verdana" w:cs="Arial"/>
          <w:lang w:eastAsia="es-ES_tradnl"/>
        </w:rPr>
        <w:t xml:space="preserv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w:t>
      </w:r>
      <w:r w:rsidR="00042B28">
        <w:rPr>
          <w:rFonts w:ascii="Verdana" w:hAnsi="Verdana" w:cs="Arial"/>
          <w:lang w:eastAsia="es-ES_tradnl"/>
        </w:rPr>
        <w:t>e</w:t>
      </w:r>
      <w:r w:rsidRPr="00B26706">
        <w:rPr>
          <w:rFonts w:ascii="Verdana" w:hAnsi="Verdana" w:cs="Arial"/>
          <w:lang w:eastAsia="es-ES_tradnl"/>
        </w:rPr>
        <w:t xml:space="preserve">ntidades </w:t>
      </w:r>
      <w:r w:rsidR="00042B28">
        <w:rPr>
          <w:rFonts w:ascii="Verdana" w:hAnsi="Verdana" w:cs="Arial"/>
          <w:lang w:eastAsia="es-ES_tradnl"/>
        </w:rPr>
        <w:t>e</w:t>
      </w:r>
      <w:r w:rsidRPr="00B26706">
        <w:rPr>
          <w:rFonts w:ascii="Verdana" w:hAnsi="Verdana" w:cs="Arial"/>
          <w:lang w:eastAsia="es-ES_tradnl"/>
        </w:rPr>
        <w:t xml:space="preserve">statales que no sean del orden nacional o sus descentralizadas tienen la facultad de adoptar otras tipologías contractuales permitidas por el </w:t>
      </w:r>
      <w:r w:rsidR="00042B28" w:rsidRPr="00B26706">
        <w:rPr>
          <w:rFonts w:ascii="Verdana" w:hAnsi="Verdana" w:cs="Arial"/>
          <w:lang w:eastAsia="es-ES_tradnl"/>
        </w:rPr>
        <w:t>E</w:t>
      </w:r>
      <w:r w:rsidR="00042B28">
        <w:rPr>
          <w:rFonts w:ascii="Verdana" w:hAnsi="Verdana" w:cs="Arial"/>
          <w:lang w:eastAsia="es-ES_tradnl"/>
        </w:rPr>
        <w:t xml:space="preserve">statuto </w:t>
      </w:r>
      <w:r w:rsidR="00042B28" w:rsidRPr="00B26706">
        <w:rPr>
          <w:rFonts w:ascii="Verdana" w:hAnsi="Verdana" w:cs="Arial"/>
          <w:lang w:eastAsia="es-ES_tradnl"/>
        </w:rPr>
        <w:t>G</w:t>
      </w:r>
      <w:r w:rsidR="00042B28">
        <w:rPr>
          <w:rFonts w:ascii="Verdana" w:hAnsi="Verdana" w:cs="Arial"/>
          <w:lang w:eastAsia="es-ES_tradnl"/>
        </w:rPr>
        <w:t xml:space="preserve">eneral de </w:t>
      </w:r>
      <w:r w:rsidR="00042B28" w:rsidRPr="00B26706">
        <w:rPr>
          <w:rFonts w:ascii="Verdana" w:hAnsi="Verdana" w:cs="Arial"/>
          <w:lang w:eastAsia="es-ES_tradnl"/>
        </w:rPr>
        <w:t>C</w:t>
      </w:r>
      <w:r w:rsidR="00042B28">
        <w:rPr>
          <w:rFonts w:ascii="Verdana" w:hAnsi="Verdana" w:cs="Arial"/>
          <w:lang w:eastAsia="es-ES_tradnl"/>
        </w:rPr>
        <w:t xml:space="preserve">ontratación de la </w:t>
      </w:r>
      <w:r w:rsidR="00042B28" w:rsidRPr="00B26706">
        <w:rPr>
          <w:rFonts w:ascii="Verdana" w:hAnsi="Verdana" w:cs="Arial"/>
          <w:lang w:eastAsia="es-ES_tradnl"/>
        </w:rPr>
        <w:t>A</w:t>
      </w:r>
      <w:r w:rsidR="00042B28">
        <w:rPr>
          <w:rFonts w:ascii="Verdana" w:hAnsi="Verdana" w:cs="Arial"/>
          <w:lang w:eastAsia="es-ES_tradnl"/>
        </w:rPr>
        <w:t>dministración Pública</w:t>
      </w:r>
      <w:r w:rsidRPr="00B26706">
        <w:rPr>
          <w:rFonts w:ascii="Verdana" w:hAnsi="Verdana" w:cs="Arial"/>
          <w:lang w:eastAsia="es-ES_tradnl"/>
        </w:rPr>
        <w:t xml:space="preserve"> cuando contraten directamente el desarrollo de actividades de ciencia y tecnología. </w:t>
      </w:r>
    </w:p>
    <w:p w14:paraId="5838AE8F" w14:textId="547B63C7" w:rsidR="003E253F" w:rsidRPr="00B26706" w:rsidRDefault="003E253F" w:rsidP="003E253F">
      <w:pPr>
        <w:shd w:val="clear" w:color="auto" w:fill="FFFFFF"/>
        <w:spacing w:after="120" w:line="276" w:lineRule="auto"/>
        <w:ind w:firstLine="709"/>
        <w:jc w:val="both"/>
        <w:rPr>
          <w:rFonts w:ascii="Verdana" w:hAnsi="Verdana" w:cs="Arial"/>
          <w:lang w:eastAsia="es-ES_tradnl"/>
        </w:rPr>
      </w:pPr>
      <w:r w:rsidRPr="00B26706">
        <w:rPr>
          <w:rFonts w:ascii="Verdana" w:hAnsi="Verdana" w:cs="Arial"/>
          <w:lang w:eastAsia="es-ES_tradnl"/>
        </w:rPr>
        <w:t xml:space="preserve">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potestad establecida en los Decretos Ley 591 y 393 de 1991 se regirán por esta normativa, mientras que las demás entidades estatales regidas por el </w:t>
      </w:r>
      <w:r w:rsidR="00042B28" w:rsidRPr="00B26706">
        <w:rPr>
          <w:rFonts w:ascii="Verdana" w:hAnsi="Verdana" w:cs="Arial"/>
          <w:lang w:eastAsia="es-ES_tradnl"/>
        </w:rPr>
        <w:t>E</w:t>
      </w:r>
      <w:r w:rsidR="00042B28">
        <w:rPr>
          <w:rFonts w:ascii="Verdana" w:hAnsi="Verdana" w:cs="Arial"/>
          <w:lang w:eastAsia="es-ES_tradnl"/>
        </w:rPr>
        <w:t xml:space="preserve">statuto </w:t>
      </w:r>
      <w:r w:rsidR="00042B28" w:rsidRPr="00B26706">
        <w:rPr>
          <w:rFonts w:ascii="Verdana" w:hAnsi="Verdana" w:cs="Arial"/>
          <w:lang w:eastAsia="es-ES_tradnl"/>
        </w:rPr>
        <w:t>G</w:t>
      </w:r>
      <w:r w:rsidR="00042B28">
        <w:rPr>
          <w:rFonts w:ascii="Verdana" w:hAnsi="Verdana" w:cs="Arial"/>
          <w:lang w:eastAsia="es-ES_tradnl"/>
        </w:rPr>
        <w:t xml:space="preserve">eneral de </w:t>
      </w:r>
      <w:r w:rsidR="00042B28" w:rsidRPr="00B26706">
        <w:rPr>
          <w:rFonts w:ascii="Verdana" w:hAnsi="Verdana" w:cs="Arial"/>
          <w:lang w:eastAsia="es-ES_tradnl"/>
        </w:rPr>
        <w:t>C</w:t>
      </w:r>
      <w:r w:rsidR="00042B28">
        <w:rPr>
          <w:rFonts w:ascii="Verdana" w:hAnsi="Verdana" w:cs="Arial"/>
          <w:lang w:eastAsia="es-ES_tradnl"/>
        </w:rPr>
        <w:t xml:space="preserve">ontratación de la </w:t>
      </w:r>
      <w:r w:rsidR="00042B28" w:rsidRPr="00B26706">
        <w:rPr>
          <w:rFonts w:ascii="Verdana" w:hAnsi="Verdana" w:cs="Arial"/>
          <w:lang w:eastAsia="es-ES_tradnl"/>
        </w:rPr>
        <w:t>A</w:t>
      </w:r>
      <w:r w:rsidR="00042B28">
        <w:rPr>
          <w:rFonts w:ascii="Verdana" w:hAnsi="Verdana" w:cs="Arial"/>
          <w:lang w:eastAsia="es-ES_tradnl"/>
        </w:rPr>
        <w:t>dministración Pública</w:t>
      </w:r>
      <w:r w:rsidRPr="00B26706">
        <w:rPr>
          <w:rFonts w:ascii="Verdana" w:hAnsi="Verdana" w:cs="Arial"/>
          <w:lang w:eastAsia="es-ES_tradnl"/>
        </w:rPr>
        <w:t xml:space="preserve"> podrán contratar directamente el desarrollo de tales actividades en virtud de lo dispuesto en la Ley 1150 de 2007 implementando otras tipologías contractuales que resulten adecuadas para la satisfacción de la necesidad identificada. </w:t>
      </w:r>
    </w:p>
    <w:p w14:paraId="118D9505" w14:textId="77777777" w:rsidR="003E253F" w:rsidRDefault="003E253F" w:rsidP="003E253F">
      <w:pPr>
        <w:shd w:val="clear" w:color="auto" w:fill="FFFFFF"/>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Sobre lo anterior, la Sala de Consulta y Servicio Civil del Consejo de Estado se refirió a las tipologías contractuales que pueden implementar las entidades para la contratación de actividades científicas y tecnológicas. Al respecto aclaró que el legislador tuvo la clara voluntad de mantener vigentes las modalidades de asociación previstas en el Decreto 393 de 1991. Con base en lo anterior, concluyó que los negocios individualizados y regulados por el ordenamiento jurídico colombiano, para el fomento de las actividades de ciencia, tecnología e innovación, son: </w:t>
      </w:r>
      <w:r>
        <w:rPr>
          <w:rFonts w:ascii="Verdana" w:hAnsi="Verdana" w:cs="Arial"/>
          <w:lang w:eastAsia="es-ES_tradnl"/>
        </w:rPr>
        <w:t xml:space="preserve">1) </w:t>
      </w:r>
      <w:r w:rsidRPr="00B26706">
        <w:rPr>
          <w:rFonts w:ascii="Verdana" w:hAnsi="Verdana" w:cs="Arial"/>
          <w:lang w:eastAsia="es-ES_tradnl"/>
        </w:rPr>
        <w:t xml:space="preserve">las asociaciones dirigidas a crear sociedades civiles y comerciales, y personas jurídicas sin ánimo de lucro como fundaciones y corporaciones; </w:t>
      </w:r>
      <w:r>
        <w:rPr>
          <w:rFonts w:ascii="Verdana" w:hAnsi="Verdana" w:cs="Arial"/>
          <w:lang w:eastAsia="es-ES_tradnl"/>
        </w:rPr>
        <w:t xml:space="preserve">2) </w:t>
      </w:r>
      <w:r w:rsidRPr="00B26706">
        <w:rPr>
          <w:rFonts w:ascii="Verdana" w:hAnsi="Verdana" w:cs="Arial"/>
          <w:lang w:eastAsia="es-ES_tradnl"/>
        </w:rPr>
        <w:t>los convenios especiales de cooperación;</w:t>
      </w:r>
      <w:r>
        <w:rPr>
          <w:rFonts w:ascii="Verdana" w:hAnsi="Verdana" w:cs="Arial"/>
          <w:lang w:eastAsia="es-ES_tradnl"/>
        </w:rPr>
        <w:t xml:space="preserve"> 3</w:t>
      </w:r>
      <w:r w:rsidRPr="00B26706">
        <w:rPr>
          <w:rFonts w:ascii="Verdana" w:hAnsi="Verdana" w:cs="Arial"/>
          <w:lang w:eastAsia="es-ES_tradnl"/>
        </w:rPr>
        <w:t xml:space="preserve">) los contratos de financiamiento y </w:t>
      </w:r>
      <w:r>
        <w:rPr>
          <w:rFonts w:ascii="Verdana" w:hAnsi="Verdana" w:cs="Arial"/>
          <w:lang w:eastAsia="es-ES_tradnl"/>
        </w:rPr>
        <w:t>4</w:t>
      </w:r>
      <w:r w:rsidRPr="00B26706">
        <w:rPr>
          <w:rFonts w:ascii="Verdana" w:hAnsi="Verdana" w:cs="Arial"/>
          <w:lang w:eastAsia="es-ES_tradnl"/>
        </w:rPr>
        <w:t xml:space="preserve">) los contratos de administración de proyectos. Si embargo señaló expresamente que “Este cuadro normativo no excluye la posibilidad de que las entidades de fomento de las actividades científicas y tecnológicas </w:t>
      </w:r>
      <w:r w:rsidRPr="00B47B4C">
        <w:rPr>
          <w:rFonts w:ascii="Verdana" w:hAnsi="Verdana" w:cs="Arial"/>
          <w:i/>
          <w:iCs/>
          <w:u w:val="single"/>
          <w:lang w:eastAsia="es-ES_tradnl"/>
        </w:rPr>
        <w:t>puedan convenir libremente negocios distintos</w:t>
      </w:r>
      <w:r w:rsidRPr="00B26706">
        <w:rPr>
          <w:rFonts w:ascii="Verdana" w:hAnsi="Verdana" w:cs="Arial"/>
          <w:lang w:eastAsia="es-ES_tradnl"/>
        </w:rPr>
        <w:t xml:space="preserve"> a los expresamente previstos en la ley o el reglamento, en desarrollo del principio de la autonomía de la voluntad […]”</w:t>
      </w:r>
      <w:r w:rsidRPr="00B26706">
        <w:rPr>
          <w:rStyle w:val="Refdenotaalpie"/>
          <w:rFonts w:ascii="Verdana" w:hAnsi="Verdana" w:cs="Arial"/>
          <w:lang w:eastAsia="es-ES_tradnl"/>
        </w:rPr>
        <w:footnoteReference w:id="29"/>
      </w:r>
      <w:r>
        <w:rPr>
          <w:rFonts w:ascii="Verdana" w:hAnsi="Verdana" w:cs="Arial"/>
          <w:lang w:eastAsia="es-ES_tradnl"/>
        </w:rPr>
        <w:t xml:space="preserve"> (Énfasis propio)</w:t>
      </w:r>
      <w:r w:rsidRPr="00B26706">
        <w:rPr>
          <w:rFonts w:ascii="Verdana" w:hAnsi="Verdana" w:cs="Arial"/>
          <w:lang w:eastAsia="es-ES_tradnl"/>
        </w:rPr>
        <w:t>.</w:t>
      </w:r>
    </w:p>
    <w:p w14:paraId="7F9A97F6" w14:textId="46EADC49" w:rsidR="003E253F" w:rsidRDefault="003E253F" w:rsidP="003E253F">
      <w:pPr>
        <w:spacing w:after="120" w:line="276" w:lineRule="auto"/>
        <w:ind w:firstLine="709"/>
        <w:jc w:val="both"/>
        <w:rPr>
          <w:rFonts w:ascii="Verdana" w:eastAsia="Calibri" w:hAnsi="Verdana" w:cs="Arial"/>
          <w:color w:val="000000" w:themeColor="text1"/>
          <w:szCs w:val="24"/>
          <w:lang w:val="es-ES_tradnl" w:eastAsia="es-ES_tradnl"/>
        </w:rPr>
      </w:pPr>
      <w:r w:rsidRPr="00480A95">
        <w:rPr>
          <w:rFonts w:ascii="Verdana" w:eastAsia="Times New Roman" w:hAnsi="Verdana" w:cs="Arial"/>
          <w:color w:val="000000" w:themeColor="text1"/>
          <w:szCs w:val="24"/>
          <w:lang w:val="es-ES_tradnl" w:eastAsia="es-ES_tradnl"/>
        </w:rPr>
        <w:t xml:space="preserve">De esta forma, las </w:t>
      </w:r>
      <w:r w:rsidR="00042B28">
        <w:rPr>
          <w:rFonts w:ascii="Verdana" w:eastAsia="Times New Roman" w:hAnsi="Verdana" w:cs="Arial"/>
          <w:color w:val="000000" w:themeColor="text1"/>
          <w:szCs w:val="24"/>
          <w:lang w:val="es-ES_tradnl" w:eastAsia="es-ES_tradnl"/>
        </w:rPr>
        <w:t>e</w:t>
      </w:r>
      <w:r w:rsidRPr="00480A95">
        <w:rPr>
          <w:rFonts w:ascii="Verdana" w:eastAsia="Times New Roman" w:hAnsi="Verdana" w:cs="Arial"/>
          <w:color w:val="000000" w:themeColor="text1"/>
          <w:szCs w:val="24"/>
          <w:lang w:val="es-ES_tradnl" w:eastAsia="es-ES_tradnl"/>
        </w:rPr>
        <w:t>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w:t>
      </w:r>
      <w:r>
        <w:rPr>
          <w:rFonts w:ascii="Verdana" w:eastAsia="Times New Roman" w:hAnsi="Verdana" w:cs="Arial"/>
          <w:color w:val="000000" w:themeColor="text1"/>
          <w:szCs w:val="24"/>
          <w:lang w:val="es-ES_tradnl" w:eastAsia="es-ES_tradnl"/>
        </w:rPr>
        <w:t xml:space="preserve"> </w:t>
      </w:r>
      <w:r w:rsidRPr="00480A95">
        <w:rPr>
          <w:rFonts w:ascii="Verdana" w:eastAsia="Calibri" w:hAnsi="Verdana" w:cs="Arial"/>
          <w:color w:val="000000" w:themeColor="text1"/>
          <w:szCs w:val="24"/>
          <w:lang w:val="es-ES_tradnl" w:eastAsia="es-ES_tradnl"/>
        </w:rPr>
        <w:t>En todo caso, se resalta, el régimen de las actividades de ciencia, tecnología e innovación se define a partir de las normas citadas; pero le corresponde al Ministerio de Ciencia, Tecnología e Innovación, como autoridad competente, catalogar las actividades cuando las Entidades presenten dudas respecto de un objeto contractual que pretendan satisfacer</w:t>
      </w:r>
      <w:r w:rsidRPr="00480A95">
        <w:rPr>
          <w:rFonts w:ascii="Verdana" w:eastAsia="Calibri" w:hAnsi="Verdana" w:cs="Arial"/>
          <w:szCs w:val="24"/>
          <w:vertAlign w:val="superscript"/>
          <w:lang w:eastAsia="es-ES_tradnl"/>
        </w:rPr>
        <w:footnoteReference w:id="30"/>
      </w:r>
      <w:r w:rsidRPr="00480A95">
        <w:rPr>
          <w:rFonts w:ascii="Verdana" w:eastAsia="Calibri" w:hAnsi="Verdana" w:cs="Arial"/>
          <w:color w:val="000000" w:themeColor="text1"/>
          <w:szCs w:val="24"/>
          <w:lang w:val="es-ES_tradnl" w:eastAsia="es-ES_tradnl"/>
        </w:rPr>
        <w:t xml:space="preserve">. </w:t>
      </w:r>
    </w:p>
    <w:p w14:paraId="68C4AC94" w14:textId="6D3E5FD3" w:rsidR="003E253F" w:rsidRDefault="003E253F" w:rsidP="00934714">
      <w:pPr>
        <w:spacing w:after="0" w:line="276" w:lineRule="auto"/>
        <w:ind w:firstLine="709"/>
        <w:jc w:val="both"/>
        <w:rPr>
          <w:rFonts w:ascii="Verdana" w:eastAsia="Calibri" w:hAnsi="Verdana" w:cs="Arial"/>
        </w:rPr>
      </w:pPr>
      <w:r>
        <w:rPr>
          <w:rFonts w:ascii="Verdana" w:eastAsia="Calibri" w:hAnsi="Verdana" w:cs="Arial"/>
          <w:bCs/>
        </w:rPr>
        <w:t xml:space="preserve">De otra parte, en aras de responder la solicitud, resulta necesario mencionar que, la Sala de Consulta y Servicio Civil del Consejo de Estado se pronunció sobre la aplicación de la restricción establecida en el artículo 33 de la Ley 996 de 2005 a la celebración de contratos de fomento o financiación de actividades científicas y tecnológicas. Esto con base en lo establecido en el artículo 33 de la Ley 1286 de 2009, el cual expresamente establece que la modalidad aplicable a estos contratos es la contratación directa. Al respecto indico: </w:t>
      </w:r>
    </w:p>
    <w:p w14:paraId="0CEF1A11" w14:textId="77777777" w:rsidR="00934714" w:rsidRPr="00B214BC" w:rsidRDefault="00934714" w:rsidP="00CB650E">
      <w:pPr>
        <w:spacing w:after="0" w:line="276" w:lineRule="auto"/>
        <w:ind w:firstLine="709"/>
        <w:jc w:val="both"/>
        <w:rPr>
          <w:rFonts w:ascii="Verdana" w:eastAsia="Calibri" w:hAnsi="Verdana" w:cs="Arial"/>
          <w:color w:val="000000" w:themeColor="text1"/>
          <w:szCs w:val="24"/>
          <w:lang w:val="es-ES_tradnl" w:eastAsia="es-ES_tradnl"/>
        </w:rPr>
      </w:pPr>
    </w:p>
    <w:p w14:paraId="5C1D9F7A" w14:textId="77777777" w:rsidR="003E253F" w:rsidRPr="00645EAA" w:rsidRDefault="003E253F" w:rsidP="003E253F">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“A juicio de la Sala, la norma transcrita [art. 33, Ley 1286 de 2009] ratifica lo expuesto en precedencia y lo dicho por la Sección Tercera de esta Corporación en la sentencia del 11 de febrero de 2009 en el sentido de que los contratos que se celebren con el objeto de fomentar la ciencia y tecnología se encuentran sujetos a la ley 80 de 1993 con las modificaciones previstas en la ley 1150, en todo aquello que no esté expresamente regulado en las normas especiales de los decretos — leyes 393 y 591 de 1991.</w:t>
      </w:r>
    </w:p>
    <w:p w14:paraId="777BF2DE" w14:textId="77777777" w:rsidR="003E253F" w:rsidRDefault="003E253F" w:rsidP="003E253F">
      <w:pPr>
        <w:spacing w:after="0" w:line="240" w:lineRule="auto"/>
        <w:ind w:left="709" w:right="709"/>
        <w:jc w:val="both"/>
        <w:rPr>
          <w:rFonts w:ascii="Verdana" w:eastAsia="Calibri" w:hAnsi="Verdana" w:cs="Arial"/>
          <w:bCs/>
          <w:sz w:val="20"/>
          <w:szCs w:val="20"/>
        </w:rPr>
      </w:pPr>
    </w:p>
    <w:p w14:paraId="69212FE6" w14:textId="77777777" w:rsidR="003E253F" w:rsidRPr="00645EAA" w:rsidRDefault="003E253F" w:rsidP="003E253F">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Igualmente ratifica </w:t>
      </w:r>
      <w:proofErr w:type="gramStart"/>
      <w:r w:rsidRPr="00645EAA">
        <w:rPr>
          <w:rFonts w:ascii="Verdana" w:eastAsia="Calibri" w:hAnsi="Verdana" w:cs="Arial"/>
          <w:bCs/>
          <w:sz w:val="20"/>
          <w:szCs w:val="20"/>
        </w:rPr>
        <w:t>que</w:t>
      </w:r>
      <w:proofErr w:type="gramEnd"/>
      <w:r w:rsidRPr="00645EAA">
        <w:rPr>
          <w:rFonts w:ascii="Verdana" w:eastAsia="Calibri" w:hAnsi="Verdana" w:cs="Arial"/>
          <w:bCs/>
          <w:sz w:val="20"/>
          <w:szCs w:val="20"/>
        </w:rPr>
        <w:t xml:space="preserve"> en los contratos de ciencia y tecnología, la modalidad de</w:t>
      </w:r>
      <w:r>
        <w:rPr>
          <w:rFonts w:ascii="Verdana" w:eastAsia="Calibri" w:hAnsi="Verdana" w:cs="Arial"/>
          <w:bCs/>
          <w:sz w:val="20"/>
          <w:szCs w:val="20"/>
        </w:rPr>
        <w:t xml:space="preserve"> </w:t>
      </w:r>
      <w:r w:rsidRPr="00645EAA">
        <w:rPr>
          <w:rFonts w:ascii="Verdana" w:eastAsia="Calibri" w:hAnsi="Verdana" w:cs="Arial"/>
          <w:bCs/>
          <w:sz w:val="20"/>
          <w:szCs w:val="20"/>
        </w:rPr>
        <w:t>selección del contratista es la contratación directa, regla plenamente concordante con lo señalado en la ley 80 y la modificación prevista en la ley 1150, expuestas en detalle en el punto 3.2.</w:t>
      </w:r>
    </w:p>
    <w:p w14:paraId="39377122" w14:textId="77777777" w:rsidR="003E253F" w:rsidRDefault="003E253F" w:rsidP="003E253F">
      <w:pPr>
        <w:spacing w:after="0" w:line="240" w:lineRule="auto"/>
        <w:ind w:left="709" w:right="709"/>
        <w:jc w:val="both"/>
        <w:rPr>
          <w:rFonts w:ascii="Verdana" w:eastAsia="Calibri" w:hAnsi="Verdana" w:cs="Arial"/>
          <w:bCs/>
          <w:sz w:val="20"/>
          <w:szCs w:val="20"/>
        </w:rPr>
      </w:pPr>
    </w:p>
    <w:p w14:paraId="1EFBF261" w14:textId="77777777" w:rsidR="003E253F" w:rsidRPr="00645EAA" w:rsidRDefault="003E253F" w:rsidP="003E253F">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p>
    <w:p w14:paraId="428E4296" w14:textId="77777777" w:rsidR="003E253F" w:rsidRDefault="003E253F" w:rsidP="003E253F">
      <w:pPr>
        <w:spacing w:after="0" w:line="240" w:lineRule="auto"/>
        <w:ind w:left="709" w:right="709"/>
        <w:jc w:val="both"/>
        <w:rPr>
          <w:rFonts w:ascii="Verdana" w:eastAsia="Calibri" w:hAnsi="Verdana" w:cs="Arial"/>
          <w:bCs/>
          <w:sz w:val="20"/>
          <w:szCs w:val="20"/>
        </w:rPr>
      </w:pPr>
    </w:p>
    <w:p w14:paraId="669D5C0B" w14:textId="77777777" w:rsidR="003E253F" w:rsidRPr="00645EAA" w:rsidRDefault="003E253F" w:rsidP="003E253F">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[L]o dispuesto en ese precepto, no es más que la ratificación del principio general de transparencia que rige la contratación estatal el cual se desarrolla en la ley 80 de 1993 (arts. 23 y 24), que para el caso concreto de la ciencia y tecnología permite concretarlo, además, en la realización de </w:t>
      </w:r>
      <w:r w:rsidRPr="00645EAA">
        <w:rPr>
          <w:rFonts w:ascii="Verdana" w:eastAsia="Calibri" w:hAnsi="Verdana" w:cs="Arial"/>
          <w:bCs/>
          <w:i/>
          <w:iCs/>
          <w:sz w:val="20"/>
          <w:szCs w:val="20"/>
        </w:rPr>
        <w:t xml:space="preserve">"convocatorias públicas", </w:t>
      </w:r>
      <w:r w:rsidRPr="00645EAA">
        <w:rPr>
          <w:rFonts w:ascii="Verdana" w:eastAsia="Calibri" w:hAnsi="Verdana" w:cs="Arial"/>
          <w:bCs/>
          <w:sz w:val="20"/>
          <w:szCs w:val="20"/>
        </w:rPr>
        <w:t>pero sin que ellas se conviertan en una nueva modalidad de selección de contratistas diferente a la contratación directa prevista en el artículo 33 de la ley 1286, en concordancia con la leyes 80 y 1150, según se ha explicado.</w:t>
      </w:r>
    </w:p>
    <w:p w14:paraId="214001C5" w14:textId="77777777" w:rsidR="003E253F" w:rsidRDefault="003E253F" w:rsidP="003E253F">
      <w:pPr>
        <w:spacing w:after="0" w:line="240" w:lineRule="auto"/>
        <w:ind w:left="709" w:right="709"/>
        <w:jc w:val="both"/>
        <w:rPr>
          <w:rFonts w:ascii="Verdana" w:eastAsia="Calibri" w:hAnsi="Verdana" w:cs="Arial"/>
          <w:bCs/>
          <w:sz w:val="20"/>
          <w:szCs w:val="20"/>
        </w:rPr>
      </w:pPr>
    </w:p>
    <w:p w14:paraId="3DE0ECE2" w14:textId="34A46193" w:rsidR="003E253F" w:rsidRPr="00645EAA" w:rsidRDefault="003E253F" w:rsidP="003E253F">
      <w:pPr>
        <w:spacing w:after="0" w:line="240" w:lineRule="auto"/>
        <w:ind w:left="709" w:right="709"/>
        <w:jc w:val="both"/>
        <w:rPr>
          <w:rFonts w:ascii="Verdana" w:eastAsia="Calibri" w:hAnsi="Verdana" w:cs="Arial"/>
          <w:bCs/>
          <w:i/>
          <w:iCs/>
          <w:sz w:val="20"/>
          <w:szCs w:val="20"/>
        </w:rPr>
      </w:pPr>
      <w:r w:rsidRPr="00645EAA">
        <w:rPr>
          <w:rFonts w:ascii="Verdana" w:eastAsia="Calibri" w:hAnsi="Verdana" w:cs="Arial"/>
          <w:bCs/>
          <w:sz w:val="20"/>
          <w:szCs w:val="20"/>
        </w:rPr>
        <w:t xml:space="preserve">En efecto, Colciencias expidió la resolución 00389 de 2009 </w:t>
      </w:r>
      <w:r w:rsidRPr="00645EAA">
        <w:rPr>
          <w:rFonts w:ascii="Verdana" w:eastAsia="Calibri" w:hAnsi="Verdana" w:cs="Arial"/>
          <w:bCs/>
          <w:i/>
          <w:iCs/>
          <w:sz w:val="20"/>
          <w:szCs w:val="20"/>
        </w:rPr>
        <w:t xml:space="preserve">"por la cual se adopta el Manual de Contratación", </w:t>
      </w:r>
      <w:r w:rsidRPr="00645EAA">
        <w:rPr>
          <w:rFonts w:ascii="Verdana" w:eastAsia="Calibri" w:hAnsi="Verdana" w:cs="Arial"/>
          <w:bCs/>
          <w:sz w:val="20"/>
          <w:szCs w:val="20"/>
        </w:rPr>
        <w:t xml:space="preserve">en donde se establece un procedimiento sobre convocatorias públicas. </w:t>
      </w:r>
      <w:r w:rsidRPr="00645EAA">
        <w:rPr>
          <w:rFonts w:ascii="Verdana" w:eastAsia="Calibri" w:hAnsi="Verdana" w:cs="Arial"/>
          <w:bCs/>
          <w:i/>
          <w:iCs/>
          <w:sz w:val="20"/>
          <w:szCs w:val="20"/>
        </w:rPr>
        <w:t xml:space="preserve">Si bien el procedimiento permite aplicar el principio de transparencia, de acuerdo con la ley, tanto la 80, la 1150 y la 1286, no significa un sistema de licitación o concurso singular, sino aplicar dicho principio en la contratación directa. </w:t>
      </w:r>
    </w:p>
    <w:p w14:paraId="78EC809A" w14:textId="77777777" w:rsidR="003E253F" w:rsidRDefault="003E253F" w:rsidP="003E253F">
      <w:pPr>
        <w:spacing w:after="0" w:line="240" w:lineRule="auto"/>
        <w:ind w:left="709" w:right="709"/>
        <w:jc w:val="both"/>
        <w:rPr>
          <w:rFonts w:ascii="Verdana" w:eastAsia="Calibri" w:hAnsi="Verdana" w:cs="Arial"/>
          <w:bCs/>
          <w:sz w:val="20"/>
          <w:szCs w:val="20"/>
        </w:rPr>
      </w:pPr>
    </w:p>
    <w:p w14:paraId="240E805E" w14:textId="77777777" w:rsidR="003E253F" w:rsidRPr="00645EAA" w:rsidRDefault="003E253F" w:rsidP="003E253F">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De esta manera, una interpretación sistemática de los artículos 4 </w:t>
      </w:r>
      <w:proofErr w:type="spellStart"/>
      <w:r w:rsidRPr="00645EAA">
        <w:rPr>
          <w:rFonts w:ascii="Verdana" w:eastAsia="Calibri" w:hAnsi="Verdana" w:cs="Arial"/>
          <w:bCs/>
          <w:sz w:val="20"/>
          <w:szCs w:val="20"/>
        </w:rPr>
        <w:t>num</w:t>
      </w:r>
      <w:proofErr w:type="spellEnd"/>
      <w:r w:rsidRPr="00645EAA">
        <w:rPr>
          <w:rFonts w:ascii="Verdana" w:eastAsia="Calibri" w:hAnsi="Verdana" w:cs="Arial"/>
          <w:bCs/>
          <w:sz w:val="20"/>
          <w:szCs w:val="20"/>
        </w:rPr>
        <w:t>. 5 y 33 de la ley 1286, lleva a sostener que en los contratos cuyo objeto es la realización de actividades de ciencia y tecnología, la modalidad de selección aplicable es la contratación directa, la cual puede instrumentarse mediante convocatorias públicas que permitan pluralidad de ofertas y concurrencia de oferentes con miras a realizar el principio de selección objetiva ínsito en la contratación pública.</w:t>
      </w:r>
    </w:p>
    <w:p w14:paraId="5B5F69B1" w14:textId="77777777" w:rsidR="003E253F" w:rsidRDefault="003E253F" w:rsidP="003E253F">
      <w:pPr>
        <w:spacing w:after="0" w:line="240" w:lineRule="auto"/>
        <w:ind w:left="709" w:right="709"/>
        <w:jc w:val="both"/>
        <w:rPr>
          <w:rFonts w:ascii="Verdana" w:eastAsia="Calibri" w:hAnsi="Verdana" w:cs="Arial"/>
          <w:bCs/>
          <w:sz w:val="20"/>
          <w:szCs w:val="20"/>
        </w:rPr>
      </w:pPr>
    </w:p>
    <w:p w14:paraId="76669971" w14:textId="77777777" w:rsidR="003E253F" w:rsidRPr="00645EAA" w:rsidRDefault="003E253F" w:rsidP="003E253F">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w:t>
      </w:r>
    </w:p>
    <w:p w14:paraId="591984B4" w14:textId="77777777" w:rsidR="003E253F" w:rsidRDefault="003E253F" w:rsidP="003E253F">
      <w:pPr>
        <w:spacing w:after="0" w:line="240" w:lineRule="auto"/>
        <w:ind w:left="709" w:right="709"/>
        <w:jc w:val="both"/>
        <w:rPr>
          <w:rFonts w:ascii="Verdana" w:eastAsia="Calibri" w:hAnsi="Verdana" w:cs="Arial"/>
          <w:bCs/>
          <w:sz w:val="20"/>
          <w:szCs w:val="20"/>
        </w:rPr>
      </w:pPr>
    </w:p>
    <w:p w14:paraId="28A9BC20" w14:textId="1B304308" w:rsidR="003E253F" w:rsidRPr="003E797F" w:rsidRDefault="003E253F" w:rsidP="003E797F">
      <w:pPr>
        <w:spacing w:after="0" w:line="240" w:lineRule="auto"/>
        <w:ind w:left="709" w:right="709"/>
        <w:jc w:val="both"/>
        <w:rPr>
          <w:rFonts w:ascii="Verdana" w:eastAsia="Calibri" w:hAnsi="Verdana" w:cs="Arial"/>
          <w:bCs/>
          <w:sz w:val="20"/>
          <w:szCs w:val="20"/>
        </w:rPr>
      </w:pPr>
      <w:r w:rsidRPr="00645EAA">
        <w:rPr>
          <w:rFonts w:ascii="Verdana" w:eastAsia="Calibri" w:hAnsi="Verdana" w:cs="Arial"/>
          <w:bCs/>
          <w:sz w:val="20"/>
          <w:szCs w:val="20"/>
        </w:rPr>
        <w:t xml:space="preserve">[E]s menester </w:t>
      </w:r>
      <w:r w:rsidRPr="00645EAA">
        <w:rPr>
          <w:rFonts w:ascii="Verdana" w:eastAsia="Calibri" w:hAnsi="Verdana" w:cs="Arial"/>
          <w:bCs/>
          <w:i/>
          <w:iCs/>
          <w:sz w:val="20"/>
          <w:szCs w:val="20"/>
        </w:rPr>
        <w:t>concluir que en los contratos de ciencia y tecnología no podrá acudirse a la modalidad de contratación directa dentro del ámbito temporal en que la prohibición prevista en el artículo 33 de la ley estatutaria 996 de 2005 produce sus efectos jurídicos</w:t>
      </w:r>
      <w:r w:rsidRPr="00645EAA">
        <w:rPr>
          <w:rFonts w:ascii="Verdana" w:eastAsia="Calibri" w:hAnsi="Verdana" w:cs="Arial"/>
          <w:bCs/>
          <w:sz w:val="20"/>
          <w:szCs w:val="20"/>
        </w:rPr>
        <w:t>, en atención a que la prohibición temporal contenida en ésta se aplica también a los contratos de derecho público de ciencia y tecnología”</w:t>
      </w:r>
      <w:r w:rsidRPr="00CB650E">
        <w:rPr>
          <w:rStyle w:val="Refdenotaalpie"/>
          <w:rFonts w:ascii="Verdana" w:eastAsia="Calibri" w:hAnsi="Verdana" w:cs="Arial"/>
          <w:sz w:val="20"/>
          <w:szCs w:val="20"/>
        </w:rPr>
        <w:t xml:space="preserve"> </w:t>
      </w:r>
      <w:r w:rsidRPr="00CB650E">
        <w:rPr>
          <w:rFonts w:ascii="Verdana" w:eastAsia="Calibri" w:hAnsi="Verdana" w:cs="Arial"/>
          <w:sz w:val="20"/>
          <w:szCs w:val="20"/>
        </w:rPr>
        <w:t>[Énfasis fuera de texto]</w:t>
      </w:r>
      <w:r w:rsidRPr="00CB650E">
        <w:rPr>
          <w:rStyle w:val="Refdenotaalpie"/>
          <w:rFonts w:ascii="Verdana" w:eastAsia="Calibri" w:hAnsi="Verdana" w:cs="Arial"/>
          <w:sz w:val="20"/>
          <w:szCs w:val="20"/>
        </w:rPr>
        <w:footnoteReference w:id="31"/>
      </w:r>
    </w:p>
    <w:p w14:paraId="12A2E3FB" w14:textId="5F16C636" w:rsidR="003E253F" w:rsidRDefault="003E253F" w:rsidP="003E253F">
      <w:pPr>
        <w:spacing w:after="120" w:line="276" w:lineRule="auto"/>
        <w:ind w:firstLine="709"/>
        <w:jc w:val="both"/>
        <w:rPr>
          <w:rFonts w:ascii="Verdana" w:eastAsia="Calibri" w:hAnsi="Verdana" w:cs="Arial"/>
          <w:bCs/>
        </w:rPr>
      </w:pPr>
      <w:r>
        <w:rPr>
          <w:rFonts w:ascii="Verdana" w:eastAsia="Calibri" w:hAnsi="Verdana" w:cs="Arial"/>
          <w:bCs/>
        </w:rPr>
        <w:t xml:space="preserve">En este pronunciamiento se determinó que dada la naturaleza de la </w:t>
      </w:r>
      <w:r w:rsidR="00E57D87">
        <w:rPr>
          <w:rFonts w:ascii="Verdana" w:eastAsia="Calibri" w:hAnsi="Verdana" w:cs="Arial"/>
          <w:bCs/>
        </w:rPr>
        <w:t>L</w:t>
      </w:r>
      <w:r>
        <w:rPr>
          <w:rFonts w:ascii="Verdana" w:eastAsia="Calibri" w:hAnsi="Verdana" w:cs="Arial"/>
          <w:bCs/>
        </w:rPr>
        <w:t>ey 996 de 2005, la aplicación de su a</w:t>
      </w:r>
      <w:r w:rsidRPr="001015C3">
        <w:rPr>
          <w:rFonts w:ascii="Verdana" w:eastAsia="Calibri" w:hAnsi="Verdana" w:cs="Arial"/>
          <w:bCs/>
        </w:rPr>
        <w:t xml:space="preserve">rtículo 33 prevalece sobre cualquier régimen de contratación aplicable, ya sea el contenido en el Estatuto General de Contratación de la Administración Pública - </w:t>
      </w:r>
      <w:r w:rsidR="00E57D87">
        <w:rPr>
          <w:rFonts w:ascii="Verdana" w:eastAsia="Calibri" w:hAnsi="Verdana" w:cs="Arial"/>
          <w:bCs/>
        </w:rPr>
        <w:t>L</w:t>
      </w:r>
      <w:r w:rsidRPr="001015C3">
        <w:rPr>
          <w:rFonts w:ascii="Verdana" w:eastAsia="Calibri" w:hAnsi="Verdana" w:cs="Arial"/>
          <w:bCs/>
        </w:rPr>
        <w:t xml:space="preserve">ey 80 de 1993 con las modificaciones de la </w:t>
      </w:r>
      <w:r w:rsidR="00E57D87">
        <w:rPr>
          <w:rFonts w:ascii="Verdana" w:eastAsia="Calibri" w:hAnsi="Verdana" w:cs="Arial"/>
          <w:bCs/>
        </w:rPr>
        <w:t>L</w:t>
      </w:r>
      <w:r w:rsidRPr="001015C3">
        <w:rPr>
          <w:rFonts w:ascii="Verdana" w:eastAsia="Calibri" w:hAnsi="Verdana" w:cs="Arial"/>
          <w:bCs/>
        </w:rPr>
        <w:t>ey 1150 de 2007-, o uno especial debido al objeto el contrato o de la entidad u órgano que contrata.</w:t>
      </w:r>
      <w:r>
        <w:rPr>
          <w:rFonts w:ascii="Verdana" w:eastAsia="Calibri" w:hAnsi="Verdana" w:cs="Arial"/>
          <w:bCs/>
        </w:rPr>
        <w:t xml:space="preserve"> </w:t>
      </w:r>
    </w:p>
    <w:p w14:paraId="0E10CB2F" w14:textId="07BEE9A6" w:rsidR="003E253F" w:rsidRDefault="003E253F" w:rsidP="003E253F">
      <w:pPr>
        <w:spacing w:after="120" w:line="276" w:lineRule="auto"/>
        <w:ind w:firstLine="709"/>
        <w:jc w:val="both"/>
        <w:rPr>
          <w:rFonts w:ascii="Verdana" w:eastAsia="Calibri" w:hAnsi="Verdana" w:cs="Arial"/>
          <w:bCs/>
        </w:rPr>
      </w:pPr>
      <w:r>
        <w:rPr>
          <w:rFonts w:ascii="Verdana" w:eastAsia="Calibri" w:hAnsi="Verdana" w:cs="Arial"/>
          <w:bCs/>
        </w:rPr>
        <w:t>Así las cosas, tratándose de contratos o convenios de cooperación de ciencia y tecnología, es clara la posición de la Sala de Consulta y Servicio Civil en afirmar que la modalidad de selección del contratista es la contratación directa, regla plenamente concordante con lo señalado en la Ley 80 de 1993 y la modificación prevista en la Ley 1150 de 2007. Bajo este contexto, se</w:t>
      </w:r>
      <w:r w:rsidRPr="00403A56">
        <w:rPr>
          <w:rFonts w:ascii="Verdana" w:eastAsia="Calibri" w:hAnsi="Verdana" w:cs="Arial"/>
          <w:bCs/>
        </w:rPr>
        <w:t xml:space="preserve"> </w:t>
      </w:r>
      <w:r>
        <w:rPr>
          <w:rFonts w:ascii="Verdana" w:eastAsia="Calibri" w:hAnsi="Verdana" w:cs="Arial"/>
          <w:bCs/>
        </w:rPr>
        <w:t>sostiene</w:t>
      </w:r>
      <w:r w:rsidRPr="00403A56">
        <w:rPr>
          <w:rFonts w:ascii="Verdana" w:eastAsia="Calibri" w:hAnsi="Verdana" w:cs="Arial"/>
          <w:bCs/>
        </w:rPr>
        <w:t xml:space="preserve"> que en los contratos cuyo objeto es la realización de actividades de ciencia y tecnología, la modalidad de selección aplicable es la contratación directa, la cual puede instrumentarse mediante </w:t>
      </w:r>
      <w:r w:rsidRPr="00DA1764">
        <w:rPr>
          <w:rFonts w:ascii="Verdana" w:eastAsia="Calibri" w:hAnsi="Verdana" w:cs="Arial"/>
          <w:i/>
        </w:rPr>
        <w:t>convocatorias públicas</w:t>
      </w:r>
      <w:r w:rsidRPr="00403A56">
        <w:rPr>
          <w:rFonts w:ascii="Verdana" w:eastAsia="Calibri" w:hAnsi="Verdana" w:cs="Arial"/>
          <w:bCs/>
        </w:rPr>
        <w:t xml:space="preserve"> </w:t>
      </w:r>
      <w:r>
        <w:rPr>
          <w:rFonts w:ascii="Verdana" w:eastAsia="Calibri" w:hAnsi="Verdana" w:cs="Arial"/>
          <w:bCs/>
        </w:rPr>
        <w:t>tendientes</w:t>
      </w:r>
      <w:r w:rsidRPr="00403A56">
        <w:rPr>
          <w:rFonts w:ascii="Verdana" w:eastAsia="Calibri" w:hAnsi="Verdana" w:cs="Arial"/>
          <w:bCs/>
        </w:rPr>
        <w:t xml:space="preserve"> </w:t>
      </w:r>
      <w:r>
        <w:rPr>
          <w:rFonts w:ascii="Verdana" w:eastAsia="Calibri" w:hAnsi="Verdana" w:cs="Arial"/>
          <w:bCs/>
        </w:rPr>
        <w:t xml:space="preserve">garantizar </w:t>
      </w:r>
      <w:r w:rsidRPr="00DA1764">
        <w:rPr>
          <w:rFonts w:ascii="Verdana" w:eastAsia="Calibri" w:hAnsi="Verdana" w:cs="Arial"/>
          <w:bCs/>
          <w:i/>
          <w:iCs/>
        </w:rPr>
        <w:t>transparencia</w:t>
      </w:r>
      <w:r>
        <w:rPr>
          <w:rFonts w:ascii="Verdana" w:eastAsia="Calibri" w:hAnsi="Verdana" w:cs="Arial"/>
          <w:bCs/>
        </w:rPr>
        <w:t xml:space="preserve"> y </w:t>
      </w:r>
      <w:r w:rsidRPr="0038115E">
        <w:rPr>
          <w:rFonts w:ascii="Verdana" w:eastAsia="Calibri" w:hAnsi="Verdana" w:cs="Arial"/>
          <w:bCs/>
          <w:i/>
          <w:iCs/>
        </w:rPr>
        <w:t>objetividad</w:t>
      </w:r>
      <w:r>
        <w:rPr>
          <w:rFonts w:ascii="Verdana" w:eastAsia="Calibri" w:hAnsi="Verdana" w:cs="Arial"/>
          <w:bCs/>
        </w:rPr>
        <w:t xml:space="preserve"> en la celebración de este tipo contratos. No obstante, conforme explica el Consejo de Estado, el desarrollo de este tipo de convocatorias, disimiles de los procesos de selección del </w:t>
      </w:r>
      <w:r w:rsidR="00E57D87" w:rsidRPr="00B26706">
        <w:rPr>
          <w:rFonts w:ascii="Verdana" w:hAnsi="Verdana" w:cs="Arial"/>
          <w:lang w:eastAsia="es-ES_tradnl"/>
        </w:rPr>
        <w:t>E</w:t>
      </w:r>
      <w:r w:rsidR="00E57D87">
        <w:rPr>
          <w:rFonts w:ascii="Verdana" w:hAnsi="Verdana" w:cs="Arial"/>
          <w:lang w:eastAsia="es-ES_tradnl"/>
        </w:rPr>
        <w:t xml:space="preserve">statuto </w:t>
      </w:r>
      <w:r w:rsidR="00E57D87" w:rsidRPr="00B26706">
        <w:rPr>
          <w:rFonts w:ascii="Verdana" w:hAnsi="Verdana" w:cs="Arial"/>
          <w:lang w:eastAsia="es-ES_tradnl"/>
        </w:rPr>
        <w:t>G</w:t>
      </w:r>
      <w:r w:rsidR="00E57D87">
        <w:rPr>
          <w:rFonts w:ascii="Verdana" w:hAnsi="Verdana" w:cs="Arial"/>
          <w:lang w:eastAsia="es-ES_tradnl"/>
        </w:rPr>
        <w:t xml:space="preserve">eneral de </w:t>
      </w:r>
      <w:r w:rsidR="00E57D87" w:rsidRPr="00B26706">
        <w:rPr>
          <w:rFonts w:ascii="Verdana" w:hAnsi="Verdana" w:cs="Arial"/>
          <w:lang w:eastAsia="es-ES_tradnl"/>
        </w:rPr>
        <w:t>C</w:t>
      </w:r>
      <w:r w:rsidR="00E57D87">
        <w:rPr>
          <w:rFonts w:ascii="Verdana" w:hAnsi="Verdana" w:cs="Arial"/>
          <w:lang w:eastAsia="es-ES_tradnl"/>
        </w:rPr>
        <w:t xml:space="preserve">ontratación de la </w:t>
      </w:r>
      <w:r w:rsidR="00E57D87" w:rsidRPr="00B26706">
        <w:rPr>
          <w:rFonts w:ascii="Verdana" w:hAnsi="Verdana" w:cs="Arial"/>
          <w:lang w:eastAsia="es-ES_tradnl"/>
        </w:rPr>
        <w:t>A</w:t>
      </w:r>
      <w:r w:rsidR="00E57D87">
        <w:rPr>
          <w:rFonts w:ascii="Verdana" w:hAnsi="Verdana" w:cs="Arial"/>
          <w:lang w:eastAsia="es-ES_tradnl"/>
        </w:rPr>
        <w:t>dministración Pública</w:t>
      </w:r>
      <w:r>
        <w:rPr>
          <w:rFonts w:ascii="Verdana" w:eastAsia="Calibri" w:hAnsi="Verdana" w:cs="Arial"/>
          <w:bCs/>
        </w:rPr>
        <w:t xml:space="preserve">, no quiere decir que estos contratos no se celebren de manera directa, de acuerdo con el artículo 33 de la Ley 1286 de 2009.  </w:t>
      </w:r>
    </w:p>
    <w:p w14:paraId="354F89FD" w14:textId="4C6BD3DB" w:rsidR="003E253F" w:rsidRDefault="003E253F" w:rsidP="008746BD">
      <w:pPr>
        <w:spacing w:after="0" w:line="276" w:lineRule="auto"/>
        <w:ind w:firstLine="709"/>
        <w:jc w:val="both"/>
        <w:rPr>
          <w:rFonts w:ascii="Verdana" w:eastAsia="Calibri" w:hAnsi="Verdana" w:cs="Arial"/>
          <w:i/>
        </w:rPr>
      </w:pPr>
      <w:r>
        <w:rPr>
          <w:rFonts w:ascii="Verdana" w:eastAsia="Calibri" w:hAnsi="Verdana" w:cs="Arial"/>
          <w:bCs/>
        </w:rPr>
        <w:t xml:space="preserve">De acuerdo con lo anterior, es posible concluir que, en vigencia de la restricción del artículo 33 de la Ley 996 de 2005, no resulta jurídicamente viable suscribir </w:t>
      </w:r>
      <w:r w:rsidRPr="00BD6251">
        <w:rPr>
          <w:rFonts w:ascii="Verdana" w:eastAsia="Calibri" w:hAnsi="Verdana" w:cs="Arial"/>
          <w:bCs/>
        </w:rPr>
        <w:t>contratos de ciencia y tecnología</w:t>
      </w:r>
      <w:r>
        <w:rPr>
          <w:rFonts w:ascii="Verdana" w:eastAsia="Calibri" w:hAnsi="Verdana" w:cs="Arial"/>
          <w:bCs/>
        </w:rPr>
        <w:t xml:space="preserve">, como, por ejemplo, convenios especiales de cooperación. Esto comoquiera que, de acuerdo con lo previsto en el artículo 33 de la Ley 1286 de 2009, este tipo de contratos y convenios se celebran de manera directa, independientemente de que se desarrollen o no </w:t>
      </w:r>
      <w:r w:rsidRPr="00C638AC">
        <w:rPr>
          <w:rFonts w:ascii="Verdana" w:eastAsia="Calibri" w:hAnsi="Verdana" w:cs="Arial"/>
          <w:bCs/>
          <w:i/>
          <w:iCs/>
        </w:rPr>
        <w:t>convocatorias pública</w:t>
      </w:r>
      <w:r>
        <w:rPr>
          <w:rFonts w:ascii="Verdana" w:eastAsia="Calibri" w:hAnsi="Verdana" w:cs="Arial"/>
          <w:bCs/>
          <w:i/>
          <w:iCs/>
        </w:rPr>
        <w:t>s</w:t>
      </w:r>
      <w:r>
        <w:rPr>
          <w:rFonts w:ascii="Verdana" w:eastAsia="Calibri" w:hAnsi="Verdana" w:cs="Arial"/>
          <w:bCs/>
        </w:rPr>
        <w:t xml:space="preserve">, máxime cuando estas no son equiparables a los procesos de selección competitivos regulados en el </w:t>
      </w:r>
      <w:r w:rsidR="008746BD" w:rsidRPr="00B26706">
        <w:rPr>
          <w:rFonts w:ascii="Verdana" w:hAnsi="Verdana" w:cs="Arial"/>
          <w:lang w:eastAsia="es-ES_tradnl"/>
        </w:rPr>
        <w:t>E</w:t>
      </w:r>
      <w:r w:rsidR="008746BD">
        <w:rPr>
          <w:rFonts w:ascii="Verdana" w:hAnsi="Verdana" w:cs="Arial"/>
          <w:lang w:eastAsia="es-ES_tradnl"/>
        </w:rPr>
        <w:t xml:space="preserve">statuto </w:t>
      </w:r>
      <w:r w:rsidR="008746BD" w:rsidRPr="00B26706">
        <w:rPr>
          <w:rFonts w:ascii="Verdana" w:hAnsi="Verdana" w:cs="Arial"/>
          <w:lang w:eastAsia="es-ES_tradnl"/>
        </w:rPr>
        <w:t>G</w:t>
      </w:r>
      <w:r w:rsidR="008746BD">
        <w:rPr>
          <w:rFonts w:ascii="Verdana" w:hAnsi="Verdana" w:cs="Arial"/>
          <w:lang w:eastAsia="es-ES_tradnl"/>
        </w:rPr>
        <w:t xml:space="preserve">eneral de </w:t>
      </w:r>
      <w:r w:rsidR="008746BD" w:rsidRPr="00B26706">
        <w:rPr>
          <w:rFonts w:ascii="Verdana" w:hAnsi="Verdana" w:cs="Arial"/>
          <w:lang w:eastAsia="es-ES_tradnl"/>
        </w:rPr>
        <w:t>C</w:t>
      </w:r>
      <w:r w:rsidR="008746BD">
        <w:rPr>
          <w:rFonts w:ascii="Verdana" w:hAnsi="Verdana" w:cs="Arial"/>
          <w:lang w:eastAsia="es-ES_tradnl"/>
        </w:rPr>
        <w:t xml:space="preserve">ontratación de la </w:t>
      </w:r>
      <w:r w:rsidR="008746BD" w:rsidRPr="00B26706">
        <w:rPr>
          <w:rFonts w:ascii="Verdana" w:hAnsi="Verdana" w:cs="Arial"/>
          <w:lang w:eastAsia="es-ES_tradnl"/>
        </w:rPr>
        <w:t>A</w:t>
      </w:r>
      <w:r w:rsidR="008746BD">
        <w:rPr>
          <w:rFonts w:ascii="Verdana" w:hAnsi="Verdana" w:cs="Arial"/>
          <w:lang w:eastAsia="es-ES_tradnl"/>
        </w:rPr>
        <w:t>dministración Pública</w:t>
      </w:r>
      <w:r>
        <w:rPr>
          <w:rFonts w:ascii="Verdana" w:eastAsia="Calibri" w:hAnsi="Verdana" w:cs="Arial"/>
          <w:bCs/>
        </w:rPr>
        <w:t xml:space="preserve"> y normas especiales.   </w:t>
      </w:r>
      <w:r>
        <w:rPr>
          <w:rFonts w:ascii="Verdana" w:eastAsia="Calibri" w:hAnsi="Verdana" w:cs="Arial"/>
          <w:bCs/>
          <w:i/>
          <w:iCs/>
        </w:rPr>
        <w:t xml:space="preserve">  </w:t>
      </w:r>
    </w:p>
    <w:p w14:paraId="34B01F4B" w14:textId="77777777" w:rsidR="008746BD" w:rsidRPr="005548E3" w:rsidRDefault="008746BD" w:rsidP="003E797F">
      <w:pPr>
        <w:spacing w:after="0" w:line="240" w:lineRule="auto"/>
        <w:ind w:firstLine="709"/>
        <w:jc w:val="both"/>
        <w:rPr>
          <w:rFonts w:ascii="Verdana" w:eastAsia="Calibri" w:hAnsi="Verdana" w:cs="Arial"/>
          <w:bCs/>
        </w:rPr>
      </w:pPr>
    </w:p>
    <w:p w14:paraId="0877BCEF" w14:textId="5FAB4403" w:rsidR="008746BD" w:rsidRDefault="003E253F" w:rsidP="00CB650E">
      <w:pPr>
        <w:shd w:val="clear" w:color="auto" w:fill="FFFFFF"/>
        <w:spacing w:after="120" w:line="276" w:lineRule="auto"/>
        <w:jc w:val="both"/>
        <w:rPr>
          <w:rFonts w:ascii="Verdana" w:hAnsi="Verdana" w:cs="Arial"/>
          <w:lang w:eastAsia="x-none"/>
        </w:rPr>
      </w:pPr>
      <w:proofErr w:type="spellStart"/>
      <w:r>
        <w:rPr>
          <w:rFonts w:ascii="Verdana" w:hAnsi="Verdana" w:cs="Arial"/>
          <w:lang w:val="es-ES_tradnl" w:eastAsia="es-CO"/>
        </w:rPr>
        <w:t>i</w:t>
      </w:r>
      <w:r w:rsidR="008746BD">
        <w:rPr>
          <w:rFonts w:ascii="Verdana" w:hAnsi="Verdana" w:cs="Arial"/>
          <w:lang w:val="es-ES_tradnl" w:eastAsia="es-CO"/>
        </w:rPr>
        <w:t>v</w:t>
      </w:r>
      <w:proofErr w:type="spellEnd"/>
      <w:r>
        <w:rPr>
          <w:rFonts w:ascii="Verdana" w:hAnsi="Verdana" w:cs="Arial"/>
          <w:lang w:val="es-ES_tradnl" w:eastAsia="es-CO"/>
        </w:rPr>
        <w:t xml:space="preserve">) Por último, para dar respuesta al tercer problema jurídico y con fundamento en lo dispuesto en la Circular Externa No. 006 de 2025 expedida por la Agencia Nacional de contratación Pública, </w:t>
      </w:r>
      <w:r w:rsidRPr="00C41C60">
        <w:rPr>
          <w:rFonts w:ascii="Verdana" w:eastAsia="Calibri" w:hAnsi="Verdana" w:cs="Arial"/>
          <w:lang w:eastAsia="es-ES"/>
        </w:rPr>
        <w:t xml:space="preserve">las restricciones contenidas en el artículo 33 de la Ley 996 de 2005 aplica para “la contratación directa” de todos los entes del Estado, </w:t>
      </w:r>
      <w:r w:rsidRPr="00C41C60">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C41C60">
        <w:rPr>
          <w:rFonts w:ascii="Verdana" w:eastAsia="Calibri" w:hAnsi="Verdana" w:cs="Arial"/>
          <w:lang w:eastAsia="es-ES"/>
        </w:rPr>
        <w:t xml:space="preserve"> Se trata de la prohibición de </w:t>
      </w:r>
      <w:r w:rsidRPr="00C41C60">
        <w:rPr>
          <w:rFonts w:ascii="Verdana" w:hAnsi="Verdana" w:cs="Arial"/>
          <w:bCs/>
          <w:lang w:eastAsia="x-none"/>
        </w:rPr>
        <w:t>aquellos contratos en los que no exista un proceso abierto y competitivo.</w:t>
      </w:r>
      <w:r w:rsidRPr="00C41C60">
        <w:rPr>
          <w:rFonts w:ascii="Verdana" w:hAnsi="Verdana" w:cs="Arial"/>
          <w:lang w:eastAsia="x-none"/>
        </w:rPr>
        <w:t xml:space="preserve"> </w:t>
      </w:r>
    </w:p>
    <w:p w14:paraId="476D866D" w14:textId="63AD3FDC" w:rsidR="003E253F" w:rsidRPr="00E64C1B" w:rsidRDefault="003E253F" w:rsidP="00CB650E">
      <w:pPr>
        <w:shd w:val="clear" w:color="auto" w:fill="FFFFFF"/>
        <w:spacing w:line="276" w:lineRule="auto"/>
        <w:ind w:firstLine="708"/>
        <w:jc w:val="both"/>
        <w:rPr>
          <w:rFonts w:ascii="Verdana" w:hAnsi="Verdana" w:cs="Arial"/>
          <w:bCs/>
          <w:color w:val="000000" w:themeColor="text1"/>
          <w:lang w:val="es-MX" w:eastAsia="x-none"/>
        </w:rPr>
      </w:pPr>
      <w:r w:rsidRPr="00C41C60">
        <w:rPr>
          <w:rFonts w:ascii="Verdana" w:hAnsi="Verdana" w:cs="Arial"/>
          <w:lang w:eastAsia="x-none"/>
        </w:rPr>
        <w:t>Por lo tanto, no son materia de la prohibición las demás modalidades de selección previstas en la Ley 1150</w:t>
      </w:r>
      <w:r w:rsidRPr="00954F55">
        <w:rPr>
          <w:rFonts w:ascii="Verdana" w:hAnsi="Verdana" w:cs="Arial"/>
          <w:lang w:eastAsia="x-none"/>
        </w:rPr>
        <w:t xml:space="preserve"> de 2007, esto es, la licitación pública, el concurso de méritos, la selección abreviada y la contratación de mínima cuantía. </w:t>
      </w:r>
      <w:r>
        <w:rPr>
          <w:rFonts w:ascii="Verdana" w:hAnsi="Verdana" w:cs="Arial"/>
          <w:lang w:eastAsia="x-none"/>
        </w:rPr>
        <w:t xml:space="preserve">Así mismo la restricción del artículo 33 </w:t>
      </w:r>
      <w:r w:rsidRPr="00954F55">
        <w:rPr>
          <w:rFonts w:ascii="Verdana" w:eastAsia="Calibri" w:hAnsi="Verdana" w:cs="Arial"/>
          <w:lang w:eastAsia="es-ES"/>
        </w:rPr>
        <w:t>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w:t>
      </w:r>
      <w:r w:rsidRPr="00954F55">
        <w:rPr>
          <w:rStyle w:val="Refdenotaalpie"/>
          <w:rFonts w:ascii="Verdana" w:eastAsia="Calibri" w:hAnsi="Verdana" w:cs="Arial"/>
          <w:lang w:eastAsia="es-ES"/>
        </w:rPr>
        <w:footnoteReference w:id="32"/>
      </w:r>
      <w:r w:rsidRPr="00954F55">
        <w:rPr>
          <w:rFonts w:ascii="Verdana" w:eastAsia="Calibri" w:hAnsi="Verdana" w:cs="Arial"/>
          <w:lang w:eastAsia="es-ES"/>
        </w:rPr>
        <w:t xml:space="preserve">. </w:t>
      </w:r>
    </w:p>
    <w:p w14:paraId="4FCAE36E" w14:textId="77777777" w:rsidR="003E253F" w:rsidRDefault="003E253F" w:rsidP="003E253F">
      <w:pPr>
        <w:spacing w:after="120" w:line="276" w:lineRule="auto"/>
        <w:ind w:firstLine="709"/>
        <w:jc w:val="both"/>
        <w:rPr>
          <w:rFonts w:ascii="Verdana" w:eastAsia="Calibri" w:hAnsi="Verdana" w:cs="Arial"/>
          <w:lang w:eastAsia="es-ES"/>
        </w:rPr>
      </w:pPr>
      <w:r>
        <w:rPr>
          <w:rFonts w:ascii="Verdana" w:eastAsia="Calibri" w:hAnsi="Verdana" w:cs="Arial"/>
          <w:lang w:eastAsia="es-ES"/>
        </w:rPr>
        <w:t>Sin embargo, se insiste, l</w:t>
      </w:r>
      <w:r w:rsidRPr="00C41C60">
        <w:rPr>
          <w:rFonts w:ascii="Verdana" w:eastAsia="Calibri" w:hAnsi="Verdana" w:cs="Arial"/>
          <w:lang w:eastAsia="es-ES"/>
        </w:rPr>
        <w:t xml:space="preserve">a entidad definirá si la contratación que pretende celebrar se enmarca en alguna de las excepciones definidas en el artículo 33 de la Ley 996 de 2005, esto es, que se pretenda </w:t>
      </w:r>
      <w:r w:rsidRPr="00F72B2A">
        <w:rPr>
          <w:rFonts w:ascii="Verdana" w:eastAsia="Calibri" w:hAnsi="Verdana" w:cs="Arial"/>
          <w:lang w:eastAsia="es-ES"/>
        </w:rPr>
        <w:t>cubrir</w:t>
      </w:r>
      <w:r w:rsidRPr="00F72B2A">
        <w:rPr>
          <w:rFonts w:ascii="Verdana" w:hAnsi="Verdana"/>
        </w:rPr>
        <w:t xml:space="preserve"> la </w:t>
      </w:r>
      <w:r w:rsidRPr="00F72B2A">
        <w:rPr>
          <w:rFonts w:ascii="Verdana" w:eastAsia="Calibri" w:hAnsi="Verdana" w:cs="Arial"/>
          <w:lang w:eastAsia="es-ES"/>
        </w:rPr>
        <w:t>defensa y seguridad del Estado</w:t>
      </w:r>
      <w:r>
        <w:rPr>
          <w:rFonts w:ascii="Verdana" w:eastAsia="Calibri" w:hAnsi="Verdana" w:cs="Arial"/>
          <w:lang w:eastAsia="es-ES"/>
        </w:rPr>
        <w:t>; l</w:t>
      </w:r>
      <w:r w:rsidRPr="00F72B2A">
        <w:rPr>
          <w:rFonts w:ascii="Verdana" w:eastAsia="Calibri" w:hAnsi="Verdana" w:cs="Arial"/>
          <w:lang w:eastAsia="es-ES"/>
        </w:rPr>
        <w:t xml:space="preserve">os contratos de crédito público; </w:t>
      </w:r>
      <w:r>
        <w:rPr>
          <w:rFonts w:ascii="Verdana" w:eastAsia="Calibri" w:hAnsi="Verdana" w:cs="Arial"/>
          <w:lang w:eastAsia="es-ES"/>
        </w:rPr>
        <w:t>l</w:t>
      </w:r>
      <w:r w:rsidRPr="00F72B2A">
        <w:rPr>
          <w:rFonts w:ascii="Verdana" w:eastAsia="Calibri" w:hAnsi="Verdana" w:cs="Arial"/>
          <w:lang w:eastAsia="es-ES"/>
        </w:rPr>
        <w:t xml:space="preserve">os contratos requeridos para cubrir las emergencias educativas, sanitarias y desastres; </w:t>
      </w:r>
      <w:r>
        <w:rPr>
          <w:rFonts w:ascii="Verdana" w:eastAsia="Calibri" w:hAnsi="Verdana" w:cs="Arial"/>
          <w:lang w:eastAsia="es-ES"/>
        </w:rPr>
        <w:t>l</w:t>
      </w:r>
      <w:r w:rsidRPr="00F72B2A">
        <w:rPr>
          <w:rFonts w:ascii="Verdana" w:eastAsia="Calibri" w:hAnsi="Verdana" w:cs="Arial"/>
          <w:lang w:eastAsia="es-ES"/>
        </w:rPr>
        <w:t xml:space="preserve">os utilizados para la reconstrucción de vías, puentes, carreteras, infraestructura energética y de comunicaciones, en caso de que hayan sido objeto de atentados, acciones terroristas, desastres naturales o casos de fuerza mayor; y </w:t>
      </w:r>
      <w:r>
        <w:rPr>
          <w:rFonts w:ascii="Verdana" w:eastAsia="Calibri" w:hAnsi="Verdana" w:cs="Arial"/>
          <w:lang w:eastAsia="es-ES"/>
        </w:rPr>
        <w:t>los</w:t>
      </w:r>
      <w:r w:rsidRPr="00F72B2A">
        <w:rPr>
          <w:rFonts w:ascii="Verdana" w:eastAsia="Calibri" w:hAnsi="Verdana" w:cs="Arial"/>
          <w:lang w:eastAsia="es-ES"/>
        </w:rPr>
        <w:t xml:space="preserve"> que deban realizar las entidades sanitarias y hospitalarias</w:t>
      </w:r>
      <w:r w:rsidRPr="00C41C60">
        <w:rPr>
          <w:rFonts w:ascii="Verdana" w:eastAsia="Calibri" w:hAnsi="Verdana" w:cs="Arial"/>
          <w:lang w:eastAsia="es-ES"/>
        </w:rPr>
        <w:t xml:space="preserve">, de tal manera que las excepciones contempladas no permiten efectuar una interpretación extensiva para incluir otros supuestos. </w:t>
      </w:r>
    </w:p>
    <w:p w14:paraId="3583D904" w14:textId="77777777" w:rsidR="003E253F" w:rsidRPr="00F72B2A" w:rsidRDefault="003E253F" w:rsidP="003E253F">
      <w:pPr>
        <w:spacing w:after="120" w:line="276" w:lineRule="auto"/>
        <w:ind w:firstLine="709"/>
        <w:jc w:val="both"/>
        <w:rPr>
          <w:rFonts w:ascii="Verdana" w:eastAsia="Calibri" w:hAnsi="Verdana" w:cs="Arial"/>
          <w:lang w:eastAsia="es-ES"/>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E293111" w14:textId="564BA051" w:rsidR="003E253F" w:rsidRDefault="003E253F" w:rsidP="008746BD">
      <w:pPr>
        <w:spacing w:after="0" w:line="276" w:lineRule="auto"/>
        <w:ind w:firstLine="709"/>
        <w:jc w:val="both"/>
        <w:rPr>
          <w:rFonts w:ascii="Verdana" w:hAnsi="Verdana" w:cs="Arial"/>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E52280E" w14:textId="77777777" w:rsidR="008746BD" w:rsidRPr="008746BD" w:rsidRDefault="008746BD" w:rsidP="003E797F">
      <w:pPr>
        <w:spacing w:after="0" w:line="240" w:lineRule="auto"/>
        <w:ind w:firstLine="709"/>
        <w:jc w:val="both"/>
        <w:rPr>
          <w:rFonts w:ascii="Verdana" w:eastAsia="Times New Roman" w:hAnsi="Verdana" w:cs="Arial"/>
          <w:lang w:eastAsia="es-CO"/>
        </w:rPr>
      </w:pPr>
    </w:p>
    <w:p w14:paraId="2D4C1F03" w14:textId="77777777" w:rsidR="003E253F" w:rsidRDefault="003E253F" w:rsidP="003E253F">
      <w:pPr>
        <w:spacing w:after="0" w:line="276" w:lineRule="auto"/>
        <w:jc w:val="both"/>
        <w:rPr>
          <w:rFonts w:ascii="Verdana" w:eastAsia="Century Gothic" w:hAnsi="Verdana" w:cs="Century Gothic"/>
          <w:b/>
          <w:bCs/>
        </w:rPr>
      </w:pPr>
      <w:bookmarkStart w:id="20"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0"/>
    </w:p>
    <w:p w14:paraId="5C4E74A7" w14:textId="77777777" w:rsidR="003E253F" w:rsidRPr="000B6E79" w:rsidRDefault="003E253F" w:rsidP="003E253F">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253F" w:rsidRPr="002D2C18" w14:paraId="4513A25A" w14:textId="77777777" w:rsidTr="0019466E">
        <w:trPr>
          <w:trHeight w:val="56"/>
          <w:jc w:val="center"/>
        </w:trPr>
        <w:tc>
          <w:tcPr>
            <w:tcW w:w="8647" w:type="dxa"/>
          </w:tcPr>
          <w:p w14:paraId="48DE1E35" w14:textId="77777777" w:rsidR="003E253F" w:rsidRDefault="003E253F" w:rsidP="00CB650E">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Constitución Política. Artículo 127. </w:t>
            </w:r>
          </w:p>
          <w:p w14:paraId="0C39B48B" w14:textId="21C84EF7" w:rsidR="003E253F" w:rsidRDefault="003E253F" w:rsidP="00CB650E">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Ley 80 de 1993</w:t>
            </w:r>
            <w:r w:rsidR="008746BD" w:rsidRPr="0062698A">
              <w:rPr>
                <w:rFonts w:ascii="Verdana" w:hAnsi="Verdana" w:cs="Arial"/>
                <w:lang w:eastAsia="es-ES"/>
              </w:rPr>
              <w:t xml:space="preserve">. </w:t>
            </w:r>
            <w:r w:rsidR="008746BD" w:rsidRPr="008746BD">
              <w:rPr>
                <w:rFonts w:ascii="Verdana" w:hAnsi="Verdana" w:cs="Arial"/>
                <w:lang w:eastAsia="es-ES"/>
              </w:rPr>
              <w:t>A</w:t>
            </w:r>
            <w:r w:rsidRPr="008746BD">
              <w:rPr>
                <w:rFonts w:ascii="Verdana" w:hAnsi="Verdana" w:cs="Arial"/>
                <w:lang w:eastAsia="es-ES"/>
              </w:rPr>
              <w:t>rtículos</w:t>
            </w:r>
            <w:r>
              <w:rPr>
                <w:rFonts w:ascii="Verdana" w:hAnsi="Verdana" w:cs="Arial"/>
                <w:lang w:eastAsia="es-ES"/>
              </w:rPr>
              <w:t xml:space="preserve"> 41 y 42.</w:t>
            </w:r>
          </w:p>
          <w:p w14:paraId="1CCFF172" w14:textId="77777777" w:rsidR="003E253F" w:rsidRDefault="003E253F" w:rsidP="00CB650E">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Ley 1150 de 2007. Artículo 2 numeral 4 literal c, literal e. </w:t>
            </w:r>
          </w:p>
          <w:p w14:paraId="706E57AF" w14:textId="77777777" w:rsidR="003E253F" w:rsidRDefault="003E253F" w:rsidP="00CB650E">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Ley 996 de 2005. Artículos 33 y parágrafo del artículo 38.</w:t>
            </w:r>
          </w:p>
          <w:p w14:paraId="5426DA65" w14:textId="77777777" w:rsidR="003E253F" w:rsidRDefault="003E253F" w:rsidP="00CB650E">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Ley 1289 de 2009. </w:t>
            </w:r>
          </w:p>
          <w:p w14:paraId="71953E6A" w14:textId="77777777" w:rsidR="003E253F" w:rsidRDefault="003E253F" w:rsidP="00CB650E">
            <w:pPr>
              <w:pStyle w:val="Prrafodelista"/>
              <w:numPr>
                <w:ilvl w:val="0"/>
                <w:numId w:val="17"/>
              </w:numPr>
              <w:spacing w:line="276" w:lineRule="auto"/>
              <w:contextualSpacing w:val="0"/>
              <w:jc w:val="both"/>
              <w:rPr>
                <w:rFonts w:ascii="Verdana" w:hAnsi="Verdana" w:cs="Arial"/>
                <w:lang w:eastAsia="es-ES"/>
              </w:rPr>
            </w:pPr>
            <w:r>
              <w:rPr>
                <w:rFonts w:ascii="Verdana" w:hAnsi="Verdana" w:cs="Arial"/>
                <w:lang w:eastAsia="es-ES"/>
              </w:rPr>
              <w:t xml:space="preserve">Decreto 393 de 1991.Artículo 1. </w:t>
            </w:r>
          </w:p>
          <w:p w14:paraId="05884DAA" w14:textId="18BCAEA0" w:rsidR="003E253F" w:rsidRPr="00A651C7"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cs="Arial"/>
                <w:lang w:eastAsia="es-ES"/>
              </w:rPr>
              <w:t xml:space="preserve">Decreto 591 de 1991. Artículos </w:t>
            </w:r>
            <w:r w:rsidRPr="00A651C7">
              <w:rPr>
                <w:rFonts w:ascii="Verdana" w:hAnsi="Verdana" w:cs="Arial"/>
                <w:lang w:eastAsia="es-ES_tradnl"/>
              </w:rPr>
              <w:t>8, 9 y 17</w:t>
            </w:r>
            <w:r>
              <w:rPr>
                <w:rFonts w:ascii="Verdana" w:hAnsi="Verdana" w:cs="Arial"/>
                <w:lang w:eastAsia="es-ES_tradnl"/>
              </w:rPr>
              <w:t>.</w:t>
            </w:r>
          </w:p>
          <w:p w14:paraId="0A8FBC2C" w14:textId="77777777" w:rsidR="008746BD" w:rsidRPr="008746BD" w:rsidRDefault="008746BD" w:rsidP="00CB650E">
            <w:pPr>
              <w:pStyle w:val="Prrafodelista"/>
              <w:numPr>
                <w:ilvl w:val="0"/>
                <w:numId w:val="17"/>
              </w:numPr>
              <w:spacing w:line="276" w:lineRule="auto"/>
              <w:contextualSpacing w:val="0"/>
              <w:jc w:val="both"/>
              <w:rPr>
                <w:rFonts w:ascii="Verdana" w:hAnsi="Verdana" w:cs="Arial"/>
                <w:lang w:eastAsia="es-ES"/>
              </w:rPr>
            </w:pPr>
            <w:r w:rsidRPr="008746BD">
              <w:rPr>
                <w:rFonts w:ascii="Verdana" w:hAnsi="Verdana" w:cs="Arial"/>
                <w:lang w:eastAsia="es-ES"/>
              </w:rPr>
              <w:t>Consejo de Estado. Sala de lo Contencioso Administrativo. Sección Tercera. Sentencia de 20 de noviembre de 2001, expediente número 2001-0130-01(PI).</w:t>
            </w:r>
          </w:p>
          <w:p w14:paraId="1E206CF7" w14:textId="77777777" w:rsidR="008746BD" w:rsidRPr="008746BD" w:rsidRDefault="008746BD" w:rsidP="00CB650E">
            <w:pPr>
              <w:pStyle w:val="Prrafodelista"/>
              <w:numPr>
                <w:ilvl w:val="0"/>
                <w:numId w:val="17"/>
              </w:numPr>
              <w:spacing w:line="276" w:lineRule="auto"/>
              <w:contextualSpacing w:val="0"/>
              <w:jc w:val="both"/>
              <w:rPr>
                <w:rFonts w:ascii="Verdana" w:hAnsi="Verdana" w:cs="Arial"/>
                <w:lang w:eastAsia="es-ES"/>
              </w:rPr>
            </w:pPr>
            <w:r w:rsidRPr="008746BD">
              <w:rPr>
                <w:rFonts w:ascii="Verdana" w:hAnsi="Verdana" w:cs="Arial"/>
                <w:lang w:eastAsia="es-ES"/>
              </w:rPr>
              <w:t xml:space="preserve">Consejo de Estado. Sala de lo Contencioso Administrativo. Sección Tercera. Sentencia de 22 de enero de 2002, expediente número 2001-0148-01. </w:t>
            </w:r>
          </w:p>
          <w:p w14:paraId="59182EA0" w14:textId="77777777" w:rsidR="003E253F" w:rsidRPr="00A651C7"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68368456" w14:textId="77777777" w:rsidR="008746BD" w:rsidRPr="008746BD" w:rsidRDefault="008746BD" w:rsidP="00CB650E">
            <w:pPr>
              <w:pStyle w:val="Prrafodelista"/>
              <w:numPr>
                <w:ilvl w:val="0"/>
                <w:numId w:val="17"/>
              </w:numPr>
              <w:spacing w:line="276" w:lineRule="auto"/>
              <w:contextualSpacing w:val="0"/>
              <w:jc w:val="both"/>
              <w:rPr>
                <w:rFonts w:ascii="Verdana" w:hAnsi="Verdana" w:cs="Arial"/>
                <w:lang w:eastAsia="es-ES"/>
              </w:rPr>
            </w:pPr>
            <w:r w:rsidRPr="008746BD">
              <w:rPr>
                <w:rFonts w:ascii="Verdana" w:hAnsi="Verdana" w:cs="Arial"/>
                <w:lang w:eastAsia="es-ES"/>
              </w:rPr>
              <w:t>Consejo de Estado. Sala de Consulta y Servicio Civil. Concepto de 20 de febrero de 2006. Radicación Número: 11001-03-06-000-2006-00026-00 (1727). C.P: Enrique José Arboleda Perdomo.</w:t>
            </w:r>
          </w:p>
          <w:p w14:paraId="78486898" w14:textId="77777777" w:rsidR="008746BD" w:rsidRPr="008746BD" w:rsidRDefault="008746BD" w:rsidP="00CB650E">
            <w:pPr>
              <w:pStyle w:val="Prrafodelista"/>
              <w:numPr>
                <w:ilvl w:val="0"/>
                <w:numId w:val="17"/>
              </w:numPr>
              <w:spacing w:line="276" w:lineRule="auto"/>
              <w:contextualSpacing w:val="0"/>
              <w:jc w:val="both"/>
              <w:rPr>
                <w:rFonts w:ascii="Verdana" w:hAnsi="Verdana" w:cs="Arial"/>
                <w:lang w:eastAsia="es-ES"/>
              </w:rPr>
            </w:pPr>
            <w:r w:rsidRPr="008746BD">
              <w:rPr>
                <w:rFonts w:ascii="Verdana" w:hAnsi="Verdana" w:cs="Arial"/>
                <w:lang w:eastAsia="es-ES"/>
              </w:rPr>
              <w:t>Consejo de Estado. Sala de Consulta y Servicio Civil. Concepto de 6 de abril de 2006. Radicación Número: 11001-03-06-000-2006-00038-00 (1738). C.P: Enrique José Arboleda Perdomo.</w:t>
            </w:r>
          </w:p>
          <w:p w14:paraId="3303C04F" w14:textId="77777777" w:rsidR="008746BD" w:rsidRPr="008746BD" w:rsidRDefault="008746BD" w:rsidP="00CB650E">
            <w:pPr>
              <w:pStyle w:val="Prrafodelista"/>
              <w:numPr>
                <w:ilvl w:val="0"/>
                <w:numId w:val="17"/>
              </w:numPr>
              <w:spacing w:line="276" w:lineRule="auto"/>
              <w:contextualSpacing w:val="0"/>
              <w:jc w:val="both"/>
              <w:rPr>
                <w:rFonts w:ascii="Verdana" w:hAnsi="Verdana" w:cs="Arial"/>
                <w:lang w:eastAsia="es-ES"/>
              </w:rPr>
            </w:pPr>
            <w:r w:rsidRPr="008746BD">
              <w:rPr>
                <w:rFonts w:ascii="Verdana" w:hAnsi="Verdana" w:cs="Arial"/>
                <w:lang w:eastAsia="es-ES"/>
              </w:rPr>
              <w:t>Consejo de Estado. Sala de Consulta y Servicio Civil. Concepto del 26 de noviembre del 2009. Radicado Nro. 11001-03-06-000-2009-0062-00 (1974). C.P. Luis Fernando Álvarez Jaramillo.</w:t>
            </w:r>
          </w:p>
          <w:p w14:paraId="4B23F224" w14:textId="77777777" w:rsidR="008746BD" w:rsidRPr="008746BD" w:rsidRDefault="008746BD" w:rsidP="00CB650E">
            <w:pPr>
              <w:pStyle w:val="Prrafodelista"/>
              <w:numPr>
                <w:ilvl w:val="0"/>
                <w:numId w:val="17"/>
              </w:numPr>
              <w:spacing w:line="276" w:lineRule="auto"/>
              <w:contextualSpacing w:val="0"/>
              <w:jc w:val="both"/>
              <w:rPr>
                <w:rFonts w:ascii="Verdana" w:hAnsi="Verdana" w:cs="Arial"/>
                <w:lang w:eastAsia="es-ES"/>
              </w:rPr>
            </w:pPr>
            <w:r w:rsidRPr="008746BD">
              <w:rPr>
                <w:rFonts w:ascii="Verdana" w:hAnsi="Verdana" w:cs="Arial"/>
                <w:lang w:eastAsia="es-ES"/>
              </w:rPr>
              <w:t>Consejo de Estado. Sala de Consulta y Servicio Civil. Concepto del 18 de febrero 2010. Rad. 11001-03-06-000-2010-00006-00 (1985). C.P. Enrique José Arboleda Perdomo.</w:t>
            </w:r>
          </w:p>
          <w:p w14:paraId="365BF17C" w14:textId="77777777" w:rsidR="003E253F" w:rsidRPr="00A651C7"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cs="Arial"/>
                <w:lang w:eastAsia="es-ES"/>
              </w:rPr>
              <w:t xml:space="preserve">Consejo de Estado, Sala de Consulta y Servicio Civil. 24 de julio de 2013. Radicado: 11001-03-06-000-2013-00407-00 (2166). C.P. Álvaro Namén Vargas.  </w:t>
            </w:r>
          </w:p>
          <w:p w14:paraId="064A86B4" w14:textId="77777777" w:rsidR="008746BD" w:rsidRPr="008746BD" w:rsidRDefault="008746BD" w:rsidP="00CB650E">
            <w:pPr>
              <w:pStyle w:val="Prrafodelista"/>
              <w:numPr>
                <w:ilvl w:val="0"/>
                <w:numId w:val="17"/>
              </w:numPr>
              <w:spacing w:line="276" w:lineRule="auto"/>
              <w:contextualSpacing w:val="0"/>
              <w:jc w:val="both"/>
              <w:rPr>
                <w:rFonts w:ascii="Verdana" w:hAnsi="Verdana" w:cs="Arial"/>
                <w:lang w:eastAsia="es-ES"/>
              </w:rPr>
            </w:pPr>
            <w:r w:rsidRPr="008746BD">
              <w:rPr>
                <w:rFonts w:ascii="Verdana" w:hAnsi="Verdana" w:cs="Arial"/>
                <w:lang w:eastAsia="es-ES"/>
              </w:rPr>
              <w:t>Consejo de Estado. Sala de Consulta y Servicio Civil. Concepto del 2 de septiembre de 2013. Radicación número: 11001-03-06-000-2013-00412-00 (2168). C.P: Álvaro Namén Vargas.</w:t>
            </w:r>
          </w:p>
          <w:p w14:paraId="004BE304" w14:textId="77777777" w:rsidR="003E253F" w:rsidRPr="00A651C7"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cs="Arial"/>
                <w:lang w:eastAsia="es-ES"/>
              </w:rPr>
              <w:t>Consejo de Estado. Sala de Consulta y Servicio Civil. Concepto del 17 de febrero de 2015. Radicado: 11001-03-06-000-2015-00164-00 (2269). C.P. William Zambrano Cetina.</w:t>
            </w:r>
          </w:p>
          <w:p w14:paraId="1EAF6EBE" w14:textId="77777777" w:rsidR="008746BD" w:rsidRPr="008746BD" w:rsidRDefault="008746BD" w:rsidP="00CB650E">
            <w:pPr>
              <w:pStyle w:val="Prrafodelista"/>
              <w:numPr>
                <w:ilvl w:val="0"/>
                <w:numId w:val="17"/>
              </w:numPr>
              <w:spacing w:line="276" w:lineRule="auto"/>
              <w:contextualSpacing w:val="0"/>
              <w:jc w:val="both"/>
              <w:rPr>
                <w:rFonts w:ascii="Verdana" w:hAnsi="Verdana" w:cs="Arial"/>
                <w:lang w:eastAsia="es-ES"/>
              </w:rPr>
            </w:pPr>
            <w:r w:rsidRPr="008746BD">
              <w:rPr>
                <w:rFonts w:ascii="Verdana" w:hAnsi="Verdana" w:cs="Arial"/>
                <w:lang w:eastAsia="es-ES"/>
              </w:rPr>
              <w:t>Consejo de Estado. Sala de Consulta y Servicio Civil. Concepto del ocho (08) de marzo de dos mil diecisiete (2017). Radicación número: 11001-03-06-000-2016-00102-00(2298). C.P. Edgar González López.</w:t>
            </w:r>
          </w:p>
          <w:p w14:paraId="047F9569" w14:textId="77777777" w:rsidR="003E253F" w:rsidRPr="00A651C7"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cs="Arial"/>
                <w:lang w:eastAsia="es-ES"/>
              </w:rPr>
              <w:t>Consejo de Estado. Sala de Consulta y Servicio Civil, Concepto de 8 de mayo de 2018. Radicación Número: 11001-03-06-000-2018-00095-00 (2382). C.P: Álvaro Namén Vargas.</w:t>
            </w:r>
          </w:p>
          <w:p w14:paraId="025FCA7E" w14:textId="77777777" w:rsidR="003E253F" w:rsidRPr="004A42DD" w:rsidRDefault="003E253F" w:rsidP="00CB650E">
            <w:pPr>
              <w:pStyle w:val="Prrafodelista"/>
              <w:numPr>
                <w:ilvl w:val="0"/>
                <w:numId w:val="17"/>
              </w:numPr>
              <w:spacing w:line="276" w:lineRule="auto"/>
              <w:contextualSpacing w:val="0"/>
              <w:jc w:val="both"/>
              <w:rPr>
                <w:rFonts w:ascii="Verdana" w:hAnsi="Verdana" w:cs="Arial"/>
                <w:lang w:eastAsia="es-ES"/>
              </w:rPr>
            </w:pPr>
            <w:r w:rsidRPr="004A42DD">
              <w:rPr>
                <w:rFonts w:ascii="Verdana" w:hAnsi="Verdana" w:cs="Arial"/>
                <w:lang w:eastAsia="es-ES"/>
              </w:rPr>
              <w:t>Corte Constitucional. Sentencia C-233 de 4 de abril de 2002. M.P: Álvaro Tafur Galvis.</w:t>
            </w:r>
          </w:p>
          <w:p w14:paraId="2FE80410" w14:textId="77777777" w:rsidR="003E253F" w:rsidRPr="00A651C7"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cs="Arial"/>
                <w:lang w:eastAsia="es-ES"/>
              </w:rPr>
              <w:t>Corte Constitucional. Sentencia C-551 de 9 de julio de 2003. M.P: Eduardo Montealegre Lynnet.</w:t>
            </w:r>
          </w:p>
          <w:p w14:paraId="72F0ADCF" w14:textId="6E3E85C9" w:rsidR="003E253F" w:rsidRPr="00A651C7"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cs="Arial"/>
                <w:lang w:eastAsia="es-ES"/>
              </w:rPr>
              <w:t xml:space="preserve">Corte Constitucional. </w:t>
            </w:r>
            <w:r w:rsidR="008746BD" w:rsidRPr="008746BD">
              <w:rPr>
                <w:rFonts w:ascii="Verdana" w:hAnsi="Verdana" w:cs="Arial"/>
                <w:lang w:eastAsia="es-ES"/>
              </w:rPr>
              <w:t xml:space="preserve">Sentencia C- 1153 de 2005, </w:t>
            </w:r>
            <w:proofErr w:type="gramStart"/>
            <w:r w:rsidR="008746BD" w:rsidRPr="008746BD">
              <w:rPr>
                <w:rFonts w:ascii="Verdana" w:hAnsi="Verdana" w:cs="Arial"/>
                <w:lang w:eastAsia="es-ES"/>
              </w:rPr>
              <w:t>M.P</w:t>
            </w:r>
            <w:proofErr w:type="gramEnd"/>
            <w:r w:rsidR="008746BD" w:rsidRPr="008746BD">
              <w:rPr>
                <w:rFonts w:ascii="Verdana" w:hAnsi="Verdana" w:cs="Arial"/>
                <w:lang w:eastAsia="es-ES"/>
              </w:rPr>
              <w:t xml:space="preserve">: Marco Gerardo Monroy </w:t>
            </w:r>
            <w:proofErr w:type="spellStart"/>
            <w:r w:rsidR="008746BD" w:rsidRPr="008746BD">
              <w:rPr>
                <w:rFonts w:ascii="Verdana" w:hAnsi="Verdana" w:cs="Arial"/>
                <w:lang w:eastAsia="es-ES"/>
              </w:rPr>
              <w:t>Cabra.</w:t>
            </w:r>
            <w:r w:rsidRPr="0062698A">
              <w:rPr>
                <w:rFonts w:ascii="Verdana" w:hAnsi="Verdana" w:cs="Arial"/>
                <w:lang w:eastAsia="es-ES"/>
              </w:rPr>
              <w:t>Corte</w:t>
            </w:r>
            <w:proofErr w:type="spellEnd"/>
            <w:r w:rsidRPr="0062698A">
              <w:rPr>
                <w:rFonts w:ascii="Verdana" w:hAnsi="Verdana" w:cs="Arial"/>
                <w:lang w:eastAsia="es-ES"/>
              </w:rPr>
              <w:t xml:space="preserve"> Constitucional. </w:t>
            </w:r>
            <w:r w:rsidRPr="00A651C7">
              <w:rPr>
                <w:rFonts w:ascii="Verdana" w:hAnsi="Verdana" w:cs="Arial"/>
                <w:lang w:eastAsia="es-ES"/>
              </w:rPr>
              <w:t xml:space="preserve">Sentencia C-353 de 20 de mayo de 2009. M.P: Jorge Iván Palacio </w:t>
            </w:r>
            <w:proofErr w:type="spellStart"/>
            <w:r w:rsidRPr="00A651C7">
              <w:rPr>
                <w:rFonts w:ascii="Verdana" w:hAnsi="Verdana" w:cs="Arial"/>
                <w:lang w:eastAsia="es-ES"/>
              </w:rPr>
              <w:t>Palacio</w:t>
            </w:r>
            <w:proofErr w:type="spellEnd"/>
            <w:r w:rsidRPr="00A651C7">
              <w:rPr>
                <w:rFonts w:ascii="Verdana" w:hAnsi="Verdana" w:cs="Arial"/>
                <w:lang w:eastAsia="es-ES"/>
              </w:rPr>
              <w:t>.</w:t>
            </w:r>
          </w:p>
          <w:p w14:paraId="1648C06F" w14:textId="77777777" w:rsidR="003E253F"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cs="Arial"/>
                <w:lang w:eastAsia="es-ES"/>
              </w:rPr>
              <w:t>Corte Constitucional. Sentencia C-541 de 30 de junio de 2010. M.P: Gabriel Eduardo Mendoza Martelo.</w:t>
            </w:r>
          </w:p>
          <w:p w14:paraId="000B1AE6" w14:textId="77777777" w:rsidR="003E253F" w:rsidRPr="00A651C7" w:rsidRDefault="003E253F" w:rsidP="00CB650E">
            <w:pPr>
              <w:pStyle w:val="Prrafodelista"/>
              <w:numPr>
                <w:ilvl w:val="0"/>
                <w:numId w:val="17"/>
              </w:numPr>
              <w:spacing w:line="276" w:lineRule="auto"/>
              <w:contextualSpacing w:val="0"/>
              <w:jc w:val="both"/>
              <w:rPr>
                <w:rFonts w:ascii="Verdana" w:hAnsi="Verdana" w:cs="Arial"/>
                <w:lang w:eastAsia="es-ES"/>
              </w:rPr>
            </w:pPr>
            <w:r w:rsidRPr="00A651C7">
              <w:rPr>
                <w:rFonts w:ascii="Verdana" w:hAnsi="Verdana"/>
              </w:rPr>
              <w:t xml:space="preserve">Agencia Nacional de Contratación Pública. Circular Externa 006 del 25 de septiembre de 2025. </w:t>
            </w:r>
            <w:r w:rsidRPr="008746BD">
              <w:rPr>
                <w:rFonts w:ascii="Verdana" w:hAnsi="Verdana"/>
              </w:rPr>
              <w:t xml:space="preserve">Disponible en </w:t>
            </w:r>
            <w:hyperlink r:id="rId12" w:history="1">
              <w:r w:rsidRPr="008746BD">
                <w:rPr>
                  <w:rStyle w:val="Hipervnculo"/>
                  <w:rFonts w:ascii="Verdana" w:hAnsi="Verdana"/>
                  <w:lang w:val="es-CO"/>
                </w:rPr>
                <w:t>006-de-2025-Circular-Externa-L996-ajustado-comentarios-BM-BID-Rev-ARSC-V3.d-1.pdf</w:t>
              </w:r>
            </w:hyperlink>
          </w:p>
        </w:tc>
      </w:tr>
    </w:tbl>
    <w:p w14:paraId="5D3CE31A" w14:textId="77777777" w:rsidR="003E253F" w:rsidRDefault="003E253F" w:rsidP="003E253F">
      <w:pPr>
        <w:tabs>
          <w:tab w:val="left" w:pos="142"/>
          <w:tab w:val="left" w:pos="284"/>
          <w:tab w:val="left" w:pos="3828"/>
        </w:tabs>
        <w:spacing w:after="0" w:line="276" w:lineRule="auto"/>
        <w:jc w:val="both"/>
        <w:rPr>
          <w:rFonts w:ascii="Verdana" w:eastAsia="Century Gothic" w:hAnsi="Verdana" w:cs="Century Gothic"/>
          <w:b/>
          <w:bCs/>
        </w:rPr>
      </w:pPr>
    </w:p>
    <w:p w14:paraId="61A9BA83" w14:textId="77777777" w:rsidR="00CB650E" w:rsidRDefault="00CB650E" w:rsidP="003E253F">
      <w:pPr>
        <w:tabs>
          <w:tab w:val="left" w:pos="142"/>
          <w:tab w:val="left" w:pos="284"/>
          <w:tab w:val="left" w:pos="3828"/>
        </w:tabs>
        <w:spacing w:after="0" w:line="276" w:lineRule="auto"/>
        <w:jc w:val="both"/>
        <w:rPr>
          <w:rFonts w:ascii="Verdana" w:eastAsia="Century Gothic" w:hAnsi="Verdana" w:cs="Century Gothic"/>
          <w:b/>
          <w:bCs/>
        </w:rPr>
      </w:pPr>
    </w:p>
    <w:p w14:paraId="237AA4EB" w14:textId="77777777" w:rsidR="00CB650E" w:rsidRDefault="00CB650E" w:rsidP="003E253F">
      <w:pPr>
        <w:tabs>
          <w:tab w:val="left" w:pos="142"/>
          <w:tab w:val="left" w:pos="284"/>
          <w:tab w:val="left" w:pos="3828"/>
        </w:tabs>
        <w:spacing w:after="0" w:line="276" w:lineRule="auto"/>
        <w:jc w:val="both"/>
        <w:rPr>
          <w:rFonts w:ascii="Verdana" w:eastAsia="Century Gothic" w:hAnsi="Verdana" w:cs="Century Gothic"/>
          <w:b/>
          <w:bCs/>
        </w:rPr>
      </w:pPr>
    </w:p>
    <w:p w14:paraId="73A92C07" w14:textId="77777777" w:rsidR="003E253F" w:rsidRPr="0091091D" w:rsidRDefault="003E253F" w:rsidP="003E253F">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3C0AF39E" w14:textId="77777777" w:rsidR="003E253F" w:rsidRDefault="003E253F" w:rsidP="00CB650E">
      <w:pPr>
        <w:widowControl w:val="0"/>
        <w:autoSpaceDE w:val="0"/>
        <w:autoSpaceDN w:val="0"/>
        <w:spacing w:after="0" w:line="276" w:lineRule="auto"/>
        <w:jc w:val="both"/>
        <w:rPr>
          <w:rStyle w:val="normaltextrun"/>
          <w:rFonts w:ascii="Verdana" w:hAnsi="Verdana" w:cs="Arial"/>
          <w:shd w:val="clear" w:color="auto" w:fill="FFFFFF"/>
          <w:lang w:val="es-ES"/>
        </w:rPr>
      </w:pPr>
    </w:p>
    <w:p w14:paraId="0B30BD9B" w14:textId="77777777" w:rsidR="003E253F" w:rsidRPr="00A54323" w:rsidRDefault="003E253F" w:rsidP="003E253F">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 la Ley de Garantías Electorales en los conceptos C-227 del 24 de mayo de 2021</w:t>
      </w:r>
      <w:r>
        <w:rPr>
          <w:rFonts w:ascii="Verdana" w:hAnsi="Verdana" w:cs="Arial"/>
          <w:shd w:val="clear" w:color="auto" w:fill="FFFFFF"/>
        </w:rPr>
        <w:t>,</w:t>
      </w:r>
      <w:r w:rsidRPr="000F79CF">
        <w:rPr>
          <w:rFonts w:ascii="Verdana" w:hAnsi="Verdana" w:cs="Arial"/>
          <w:shd w:val="clear" w:color="auto" w:fill="FFFFFF"/>
        </w:rPr>
        <w:t xml:space="preserve"> 396 del 13 de agosto de 2021, C-439 del 27 de agosto de 2021,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w:t>
      </w:r>
      <w:r>
        <w:rPr>
          <w:rStyle w:val="normaltextrun"/>
          <w:rFonts w:ascii="Verdana" w:hAnsi="Verdana" w:cs="Arial"/>
          <w:shd w:val="clear" w:color="auto" w:fill="FFFFFF"/>
          <w:lang w:val="es-ES"/>
        </w:rPr>
        <w:t xml:space="preserve">, C-257 del 10 de marzo de 2026, </w:t>
      </w:r>
      <w:r w:rsidRPr="001450CA">
        <w:rPr>
          <w:rStyle w:val="normaltextrun"/>
          <w:rFonts w:ascii="Verdana" w:hAnsi="Verdana" w:cs="Arial"/>
          <w:shd w:val="clear" w:color="auto" w:fill="FFFFFF"/>
          <w:lang w:val="es-ES"/>
        </w:rPr>
        <w:t>entre otros.</w:t>
      </w:r>
      <w:r w:rsidRPr="001450CA">
        <w:rPr>
          <w:rFonts w:ascii="Verdana" w:hAnsi="Verdana" w:cs="Arial"/>
          <w:shd w:val="clear" w:color="auto" w:fill="FFFFFF"/>
          <w:lang w:val="es-ES"/>
        </w:rPr>
        <w:t xml:space="preserve"> </w:t>
      </w:r>
      <w:r w:rsidRPr="00480A95">
        <w:rPr>
          <w:rFonts w:ascii="Verdana" w:eastAsia="Calibri" w:hAnsi="Verdana" w:cs="Arial"/>
          <w:bCs/>
          <w:lang w:val="es-MX"/>
        </w:rPr>
        <w:t xml:space="preserve">Igualmente y </w:t>
      </w:r>
      <w:r w:rsidRPr="00480A95">
        <w:rPr>
          <w:rFonts w:ascii="Verdana" w:eastAsia="Calibri" w:hAnsi="Verdana" w:cs="Arial"/>
          <w:color w:val="000000" w:themeColor="text1"/>
        </w:rPr>
        <w:t>frente a las actividades de ciencia, tecnología e innovación la Agencia se ha pronunciado, entre otros, en los conceptos C-084 del 11 de marzo de 2020, C-236 del 6 de abril de 2020, C-036 del 2 de marzo de 2021, C-346 del 30 de junio de 2021, C-453 de 1 de septiembre de 2021, C-529 de 27 de septiembre de 2021, C-574 de 13 de octubre de 2021, C-656 de 30 de noviembre de 2021, C-022 de 21 de febrero de 2022, C-131 del 28 de marzo del 2022</w:t>
      </w:r>
      <w:r w:rsidRPr="00480A95">
        <w:rPr>
          <w:rFonts w:ascii="Verdana" w:eastAsia="Calibri" w:hAnsi="Verdana" w:cs="Arial"/>
          <w:lang w:val="es-MX" w:eastAsia="es-ES_tradnl"/>
        </w:rPr>
        <w:t>, C-1587 del 09 de diciembre del 2025</w:t>
      </w:r>
      <w:r>
        <w:rPr>
          <w:rFonts w:ascii="Verdana" w:eastAsia="Calibri" w:hAnsi="Verdana" w:cs="Arial"/>
          <w:lang w:val="es-MX" w:eastAsia="es-ES_tradnl"/>
        </w:rPr>
        <w:t>, C-051 del 30 de enero de 2026, entre otros</w:t>
      </w:r>
      <w:r w:rsidRPr="00480A95">
        <w:rPr>
          <w:rFonts w:ascii="Verdana" w:hAnsi="Verdana" w:cs="Arial"/>
          <w:shd w:val="clear" w:color="auto" w:fill="FFFFFF"/>
          <w:lang w:val="es-ES"/>
        </w:rPr>
        <w:t>.</w:t>
      </w:r>
      <w:r>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3" w:history="1">
        <w:r w:rsidRPr="008746BD">
          <w:rPr>
            <w:rFonts w:ascii="Verdana" w:hAnsi="Verdana" w:cs="Arial"/>
            <w:color w:val="0563C1" w:themeColor="hyperlink"/>
            <w:u w:val="single"/>
            <w:shd w:val="clear" w:color="auto" w:fill="FFFFFF"/>
          </w:rPr>
          <w:t>https://relatoria.colombiacompra.gov.co/busqueda/conceptos</w:t>
        </w:r>
      </w:hyperlink>
      <w:r w:rsidRPr="008746BD">
        <w:rPr>
          <w:rFonts w:ascii="Verdana" w:hAnsi="Verdana" w:cs="Arial"/>
          <w:shd w:val="clear" w:color="auto" w:fill="FFFFFF"/>
        </w:rPr>
        <w:t>.</w:t>
      </w:r>
      <w:r w:rsidRPr="008746BD">
        <w:rPr>
          <w:rFonts w:ascii="Verdana" w:hAnsi="Verdana" w:cs="Arial"/>
          <w:color w:val="FF0000"/>
          <w:shd w:val="clear" w:color="auto" w:fill="FFFFFF"/>
        </w:rPr>
        <w:t xml:space="preserve"> </w:t>
      </w:r>
      <w:r w:rsidRPr="008746BD">
        <w:rPr>
          <w:rFonts w:ascii="Verdana" w:hAnsi="Verdana" w:cs="Arial"/>
          <w:color w:val="000000" w:themeColor="text1"/>
          <w:shd w:val="clear" w:color="auto" w:fill="FFFFFF"/>
        </w:rPr>
        <w:t>  </w:t>
      </w:r>
    </w:p>
    <w:p w14:paraId="67E6A88A" w14:textId="77777777" w:rsidR="003E253F" w:rsidRDefault="003E253F" w:rsidP="00CB650E">
      <w:pPr>
        <w:widowControl w:val="0"/>
        <w:autoSpaceDE w:val="0"/>
        <w:autoSpaceDN w:val="0"/>
        <w:spacing w:after="0" w:line="276" w:lineRule="auto"/>
        <w:jc w:val="both"/>
        <w:rPr>
          <w:rFonts w:ascii="Verdana" w:hAnsi="Verdana"/>
          <w:lang w:val="es-ES"/>
        </w:rPr>
      </w:pPr>
    </w:p>
    <w:p w14:paraId="16DCB00B" w14:textId="77777777" w:rsidR="003E253F" w:rsidRPr="009A385A" w:rsidRDefault="003E253F" w:rsidP="00CB650E">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8746BD">
          <w:rPr>
            <w:rStyle w:val="Hipervnculo"/>
            <w:rFonts w:ascii="Verdana" w:hAnsi="Verdana"/>
          </w:rPr>
          <w:t>https://formacionvirtual.colombiacompra.gov.co/mod/page/view.php?id=3718</w:t>
        </w:r>
      </w:hyperlink>
    </w:p>
    <w:p w14:paraId="579F575F" w14:textId="77777777" w:rsidR="001D6D08" w:rsidRDefault="001D6D08" w:rsidP="008746BD">
      <w:pPr>
        <w:spacing w:after="0" w:line="276" w:lineRule="auto"/>
        <w:jc w:val="both"/>
        <w:rPr>
          <w:rFonts w:ascii="Verdana" w:hAnsi="Verdana"/>
        </w:rPr>
      </w:pPr>
    </w:p>
    <w:p w14:paraId="2B5A5DC7" w14:textId="16E7ADFB" w:rsidR="003E253F" w:rsidRDefault="003E253F" w:rsidP="008746BD">
      <w:pPr>
        <w:spacing w:after="0" w:line="276" w:lineRule="auto"/>
        <w:jc w:val="both"/>
        <w:rPr>
          <w:rStyle w:val="Hipervnculo"/>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8746BD">
        <w:rPr>
          <w:rFonts w:ascii="Verdana" w:hAnsi="Verdana"/>
        </w:rPr>
        <w:t xml:space="preserve">Consulta y descarga los documentos aquí: </w:t>
      </w:r>
      <w:hyperlink r:id="rId15" w:tgtFrame="_new" w:history="1">
        <w:r w:rsidRPr="008746BD">
          <w:rPr>
            <w:rStyle w:val="Hipervnculo"/>
            <w:rFonts w:ascii="Verdana" w:hAnsi="Verdana"/>
          </w:rPr>
          <w:t>https://www.colombiacompra.gov.co/normativa-y-relatoria/documentos-tipo</w:t>
        </w:r>
      </w:hyperlink>
    </w:p>
    <w:p w14:paraId="510A4130" w14:textId="77777777" w:rsidR="001D6D08" w:rsidRPr="008746BD" w:rsidRDefault="001D6D08" w:rsidP="00CB650E">
      <w:pPr>
        <w:spacing w:after="0" w:line="276" w:lineRule="auto"/>
        <w:jc w:val="both"/>
        <w:rPr>
          <w:rFonts w:ascii="Verdana" w:hAnsi="Verdana"/>
        </w:rPr>
      </w:pPr>
    </w:p>
    <w:p w14:paraId="44CC7595" w14:textId="1173A176" w:rsidR="003E253F" w:rsidRDefault="003E253F" w:rsidP="008746BD">
      <w:pPr>
        <w:spacing w:after="0" w:line="276" w:lineRule="auto"/>
        <w:jc w:val="both"/>
        <w:rPr>
          <w:rStyle w:val="Hipervnculo"/>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6"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C05E93C" w14:textId="77777777" w:rsidR="001D6D08" w:rsidRPr="008746BD" w:rsidRDefault="001D6D08" w:rsidP="00CB650E">
      <w:pPr>
        <w:spacing w:after="0" w:line="276" w:lineRule="auto"/>
        <w:jc w:val="both"/>
        <w:rPr>
          <w:rFonts w:ascii="Verdana" w:hAnsi="Verdana"/>
        </w:rPr>
      </w:pPr>
    </w:p>
    <w:p w14:paraId="72C7AA3F" w14:textId="29D17392" w:rsidR="003E253F" w:rsidRDefault="003E253F" w:rsidP="008746BD">
      <w:pPr>
        <w:widowControl w:val="0"/>
        <w:autoSpaceDE w:val="0"/>
        <w:autoSpaceDN w:val="0"/>
        <w:spacing w:after="0" w:line="276" w:lineRule="auto"/>
        <w:jc w:val="both"/>
        <w:rPr>
          <w:rFonts w:ascii="Verdana" w:hAnsi="Verdana"/>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634B7A89" w14:textId="77777777" w:rsidR="001D6D08" w:rsidRPr="008746BD" w:rsidRDefault="001D6D08" w:rsidP="00CB650E">
      <w:pPr>
        <w:widowControl w:val="0"/>
        <w:autoSpaceDE w:val="0"/>
        <w:autoSpaceDN w:val="0"/>
        <w:spacing w:after="0" w:line="276" w:lineRule="auto"/>
        <w:jc w:val="both"/>
        <w:rPr>
          <w:rFonts w:ascii="Verdana" w:hAnsi="Verdana" w:cs="Arial"/>
          <w:highlight w:val="yellow"/>
          <w:shd w:val="clear" w:color="auto" w:fill="FFFFFF"/>
          <w:lang w:val="es-MX"/>
        </w:rPr>
      </w:pPr>
    </w:p>
    <w:p w14:paraId="70DB19E9" w14:textId="77777777" w:rsidR="003E253F" w:rsidRPr="00116940" w:rsidRDefault="003E253F" w:rsidP="00CB650E">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07DF68F" w14:textId="77777777" w:rsidR="003E253F" w:rsidRPr="00116940" w:rsidRDefault="003E253F" w:rsidP="00CB650E">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B68899E" w14:textId="77777777" w:rsidR="003E253F" w:rsidRPr="00116940" w:rsidRDefault="003E253F" w:rsidP="00CB650E">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147438AF" w14:textId="77777777" w:rsidR="003E253F" w:rsidRPr="00116940" w:rsidRDefault="003E253F" w:rsidP="00CB650E">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49AF5396" w14:textId="77777777" w:rsidR="003E253F" w:rsidRPr="00116940" w:rsidRDefault="003E253F" w:rsidP="00CB650E">
      <w:pPr>
        <w:spacing w:after="0" w:line="276" w:lineRule="auto"/>
        <w:ind w:left="720"/>
        <w:jc w:val="both"/>
        <w:rPr>
          <w:rFonts w:ascii="Verdana" w:hAnsi="Verdana"/>
        </w:rPr>
      </w:pPr>
    </w:p>
    <w:p w14:paraId="66267C4E" w14:textId="77777777" w:rsidR="003E253F" w:rsidRDefault="003E253F" w:rsidP="00CB650E">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54CB9B15" w14:textId="77777777" w:rsidR="008746BD" w:rsidRDefault="008746BD" w:rsidP="00CB650E">
      <w:pPr>
        <w:spacing w:after="0" w:line="276" w:lineRule="auto"/>
        <w:jc w:val="both"/>
        <w:rPr>
          <w:rFonts w:ascii="Verdana" w:hAnsi="Verdana"/>
        </w:rPr>
      </w:pPr>
    </w:p>
    <w:p w14:paraId="6D7B9BDE" w14:textId="61A8B315" w:rsidR="003E253F" w:rsidRPr="00116940" w:rsidRDefault="003E253F" w:rsidP="008746BD">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FEB1A40" w14:textId="77777777" w:rsidR="001D6D08" w:rsidRPr="008746BD" w:rsidRDefault="001D6D08" w:rsidP="00CB650E">
      <w:pPr>
        <w:spacing w:after="0" w:line="276" w:lineRule="auto"/>
        <w:jc w:val="both"/>
        <w:rPr>
          <w:rFonts w:ascii="Verdana" w:hAnsi="Verdana"/>
        </w:rPr>
      </w:pPr>
    </w:p>
    <w:p w14:paraId="3A178431" w14:textId="77777777" w:rsidR="003E253F" w:rsidRPr="00116940" w:rsidRDefault="003E253F" w:rsidP="003E253F">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3371F0C" w14:textId="77777777" w:rsidR="003E253F" w:rsidRPr="00116940" w:rsidRDefault="003E253F" w:rsidP="003E253F">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4AEE1A1" w14:textId="77777777" w:rsidR="003E253F" w:rsidRPr="00116940" w:rsidRDefault="003E253F" w:rsidP="003E253F">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412C843" w14:textId="77777777" w:rsidR="003E253F" w:rsidRDefault="003E253F" w:rsidP="003E253F">
      <w:pPr>
        <w:spacing w:after="0" w:line="276" w:lineRule="auto"/>
        <w:jc w:val="both"/>
        <w:rPr>
          <w:rFonts w:ascii="Verdana" w:hAnsi="Verdana"/>
          <w:lang w:val="es-MX"/>
        </w:rPr>
      </w:pPr>
    </w:p>
    <w:p w14:paraId="7F9985F5" w14:textId="77777777" w:rsidR="003E253F" w:rsidRPr="00330029" w:rsidRDefault="003E253F" w:rsidP="003E253F">
      <w:pPr>
        <w:spacing w:after="0" w:line="276" w:lineRule="auto"/>
        <w:jc w:val="both"/>
        <w:rPr>
          <w:rFonts w:ascii="Verdana" w:hAnsi="Verdana"/>
          <w:lang w:val="es-MX"/>
        </w:rPr>
      </w:pPr>
      <w:r w:rsidRPr="00E02524">
        <w:rPr>
          <w:rFonts w:ascii="Verdana" w:hAnsi="Verdana"/>
          <w:lang w:val="es-MX"/>
        </w:rPr>
        <w:t>Cordialmente,</w:t>
      </w:r>
    </w:p>
    <w:p w14:paraId="3FB4FD1E" w14:textId="4507D685" w:rsidR="003E253F" w:rsidRDefault="003E253F" w:rsidP="003E253F">
      <w:pPr>
        <w:spacing w:after="0" w:line="256" w:lineRule="auto"/>
        <w:jc w:val="center"/>
        <w:rPr>
          <w:rFonts w:ascii="Verdana" w:eastAsia="Calibri" w:hAnsi="Verdana" w:cs="Times New Roman"/>
        </w:rPr>
      </w:pPr>
    </w:p>
    <w:p w14:paraId="1D5F3E25" w14:textId="7B0CAE20" w:rsidR="003E253F" w:rsidRDefault="00187B26" w:rsidP="003E253F">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080F9BC" wp14:editId="1F1B8D56">
            <wp:extent cx="2523158" cy="1188796"/>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2535274" cy="1194505"/>
                    </a:xfrm>
                    <a:prstGeom prst="rect">
                      <a:avLst/>
                    </a:prstGeom>
                  </pic:spPr>
                </pic:pic>
              </a:graphicData>
            </a:graphic>
          </wp:inline>
        </w:drawing>
      </w:r>
    </w:p>
    <w:p w14:paraId="69DFC78A" w14:textId="77777777" w:rsidR="003E253F" w:rsidRDefault="003E253F" w:rsidP="003E253F">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3E253F" w:rsidRPr="005644FE" w14:paraId="1B1C1179" w14:textId="77777777" w:rsidTr="0019466E">
        <w:trPr>
          <w:trHeight w:val="288"/>
        </w:trPr>
        <w:tc>
          <w:tcPr>
            <w:tcW w:w="893" w:type="dxa"/>
            <w:vAlign w:val="center"/>
            <w:hideMark/>
          </w:tcPr>
          <w:p w14:paraId="48F6D884" w14:textId="77777777" w:rsidR="003E253F" w:rsidRPr="005644FE" w:rsidRDefault="003E253F" w:rsidP="0019466E">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0DD228F" w14:textId="77777777" w:rsidR="003E253F" w:rsidRPr="005644FE" w:rsidRDefault="003E253F" w:rsidP="0019466E">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7E83A349" w14:textId="77777777" w:rsidR="003E253F" w:rsidRPr="005644FE" w:rsidRDefault="003E253F" w:rsidP="0019466E">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E253F" w:rsidRPr="005644FE" w14:paraId="17EAEF8D" w14:textId="77777777" w:rsidTr="0019466E">
        <w:trPr>
          <w:trHeight w:val="330"/>
        </w:trPr>
        <w:tc>
          <w:tcPr>
            <w:tcW w:w="893" w:type="dxa"/>
            <w:vAlign w:val="center"/>
            <w:hideMark/>
          </w:tcPr>
          <w:p w14:paraId="1ED6FC71" w14:textId="77777777" w:rsidR="003E253F" w:rsidRPr="005644FE" w:rsidRDefault="003E253F" w:rsidP="0019466E">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89F3858" w14:textId="77777777" w:rsidR="003E253F" w:rsidRPr="0043234D" w:rsidRDefault="003E253F" w:rsidP="0019466E">
            <w:pPr>
              <w:pStyle w:val="paragraph"/>
              <w:spacing w:before="0" w:beforeAutospacing="0" w:after="0" w:afterAutospacing="0"/>
              <w:contextualSpacing/>
              <w:textAlignment w:val="baseline"/>
              <w:rPr>
                <w:rStyle w:val="normaltextrun"/>
                <w:rFonts w:ascii="Verdana" w:hAnsi="Verdana"/>
                <w:sz w:val="16"/>
                <w:szCs w:val="16"/>
              </w:rPr>
            </w:pPr>
            <w:r w:rsidRPr="0043234D">
              <w:rPr>
                <w:rStyle w:val="normaltextrun"/>
                <w:rFonts w:ascii="Verdana" w:hAnsi="Verdana"/>
                <w:sz w:val="16"/>
                <w:szCs w:val="16"/>
              </w:rPr>
              <w:t xml:space="preserve">Diana Lucía Saavedra </w:t>
            </w:r>
            <w:r>
              <w:rPr>
                <w:rStyle w:val="normaltextrun"/>
                <w:rFonts w:ascii="Verdana" w:hAnsi="Verdana"/>
                <w:sz w:val="16"/>
                <w:szCs w:val="16"/>
              </w:rPr>
              <w:t>Castañeda</w:t>
            </w:r>
          </w:p>
          <w:p w14:paraId="4F4151C6" w14:textId="77777777" w:rsidR="003E253F" w:rsidRPr="005644FE" w:rsidRDefault="003E253F" w:rsidP="0019466E">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E253F" w:rsidRPr="005644FE" w14:paraId="44ED97AA" w14:textId="77777777" w:rsidTr="0019466E">
        <w:trPr>
          <w:trHeight w:val="300"/>
        </w:trPr>
        <w:tc>
          <w:tcPr>
            <w:tcW w:w="893" w:type="dxa"/>
            <w:vAlign w:val="center"/>
          </w:tcPr>
          <w:p w14:paraId="2AF4A6CD" w14:textId="77777777" w:rsidR="003E253F" w:rsidRPr="005644FE" w:rsidRDefault="003E253F" w:rsidP="0019466E">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6AFD141" w14:textId="77777777" w:rsidR="003E253F" w:rsidRPr="005644FE" w:rsidRDefault="003E253F" w:rsidP="0019466E">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21FB68BB" w14:textId="77777777" w:rsidR="003E253F" w:rsidRPr="005644FE" w:rsidRDefault="003E253F" w:rsidP="0019466E">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tbl>
    <w:p w14:paraId="5F861103" w14:textId="77777777" w:rsidR="003E253F" w:rsidRPr="00F459C4" w:rsidRDefault="003E253F" w:rsidP="003E253F"/>
    <w:p w14:paraId="35477E6D" w14:textId="77777777" w:rsidR="003E253F" w:rsidRPr="009C576B" w:rsidRDefault="003E253F" w:rsidP="003E253F">
      <w:pPr>
        <w:spacing w:after="0" w:line="240" w:lineRule="auto"/>
        <w:jc w:val="both"/>
        <w:rPr>
          <w:rFonts w:ascii="Verdana" w:eastAsia="Verdana" w:hAnsi="Verdana" w:cs="Verdana"/>
          <w:b/>
          <w:bCs/>
        </w:rPr>
      </w:pPr>
    </w:p>
    <w:bookmarkEnd w:id="1"/>
    <w:p w14:paraId="12C9E960" w14:textId="77777777" w:rsidR="003E253F" w:rsidRPr="00BB1C8C" w:rsidRDefault="003E253F" w:rsidP="003E253F">
      <w:pPr>
        <w:spacing w:after="0" w:line="240" w:lineRule="auto"/>
        <w:textAlignment w:val="baseline"/>
        <w:rPr>
          <w:rFonts w:ascii="Verdana" w:eastAsia="Verdana" w:hAnsi="Verdana" w:cs="Verdana"/>
          <w:lang w:eastAsia="es-CO"/>
        </w:rPr>
      </w:pPr>
    </w:p>
    <w:p w14:paraId="0F293BF4" w14:textId="513E2434" w:rsidR="00127233" w:rsidRPr="005B24D8" w:rsidRDefault="00127233" w:rsidP="005B24D8"/>
    <w:sectPr w:rsidR="00127233" w:rsidRPr="005B24D8"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BD035" w14:textId="77777777" w:rsidR="00142A65" w:rsidRDefault="00142A65" w:rsidP="004A1847">
      <w:pPr>
        <w:spacing w:after="0" w:line="240" w:lineRule="auto"/>
      </w:pPr>
      <w:r>
        <w:separator/>
      </w:r>
    </w:p>
  </w:endnote>
  <w:endnote w:type="continuationSeparator" w:id="0">
    <w:p w14:paraId="7FDB86D6" w14:textId="77777777" w:rsidR="00142A65" w:rsidRDefault="00142A6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8F23A" w14:textId="77777777" w:rsidR="00142A65" w:rsidRDefault="00142A65" w:rsidP="004A1847">
      <w:pPr>
        <w:spacing w:after="0" w:line="240" w:lineRule="auto"/>
      </w:pPr>
      <w:r>
        <w:separator/>
      </w:r>
    </w:p>
  </w:footnote>
  <w:footnote w:type="continuationSeparator" w:id="0">
    <w:p w14:paraId="08185DBC" w14:textId="77777777" w:rsidR="00142A65" w:rsidRDefault="00142A65" w:rsidP="004A1847">
      <w:pPr>
        <w:spacing w:after="0" w:line="240" w:lineRule="auto"/>
      </w:pPr>
      <w:r>
        <w:continuationSeparator/>
      </w:r>
    </w:p>
  </w:footnote>
  <w:footnote w:id="1">
    <w:p w14:paraId="4C6259E8" w14:textId="77777777" w:rsidR="003E253F" w:rsidRPr="003E253F" w:rsidRDefault="003E253F" w:rsidP="003E253F">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41FE721" w14:textId="77777777" w:rsidR="003E253F" w:rsidRPr="003E253F" w:rsidRDefault="003E253F" w:rsidP="003E253F">
      <w:pPr>
        <w:pStyle w:val="Textonotapie"/>
        <w:ind w:firstLine="709"/>
        <w:jc w:val="both"/>
        <w:rPr>
          <w:rFonts w:ascii="Verdana" w:hAnsi="Verdana" w:cs="Arial"/>
          <w:sz w:val="14"/>
          <w:szCs w:val="14"/>
        </w:rPr>
      </w:pPr>
      <w:r w:rsidRPr="003E253F">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06F2D2A1" w14:textId="77777777" w:rsidR="003E253F" w:rsidRPr="003E253F" w:rsidRDefault="003E253F" w:rsidP="003E253F">
      <w:pPr>
        <w:pStyle w:val="Textonotapie"/>
        <w:ind w:firstLine="709"/>
        <w:jc w:val="both"/>
        <w:rPr>
          <w:rFonts w:ascii="Verdana" w:hAnsi="Verdana" w:cs="Arial"/>
          <w:sz w:val="14"/>
          <w:szCs w:val="14"/>
        </w:rPr>
      </w:pPr>
    </w:p>
  </w:footnote>
  <w:footnote w:id="2">
    <w:p w14:paraId="2C8724DC" w14:textId="77777777" w:rsidR="003E253F" w:rsidRPr="003E253F" w:rsidRDefault="003E253F" w:rsidP="003E253F">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Gaceta del Congreso de la República No. 71 del 2005.</w:t>
      </w:r>
    </w:p>
    <w:p w14:paraId="579DD281" w14:textId="77777777" w:rsidR="003E253F" w:rsidRPr="003E253F" w:rsidRDefault="003E253F" w:rsidP="003E253F">
      <w:pPr>
        <w:pStyle w:val="Textonotapie"/>
        <w:ind w:firstLine="709"/>
        <w:jc w:val="both"/>
        <w:rPr>
          <w:rFonts w:ascii="Verdana" w:hAnsi="Verdana" w:cs="Arial"/>
          <w:sz w:val="14"/>
          <w:szCs w:val="14"/>
        </w:rPr>
      </w:pPr>
    </w:p>
  </w:footnote>
  <w:footnote w:id="3">
    <w:p w14:paraId="5CA17CBF" w14:textId="77777777" w:rsidR="003E253F" w:rsidRPr="003E253F" w:rsidRDefault="003E253F" w:rsidP="003E253F">
      <w:pPr>
        <w:pStyle w:val="Textonotapie"/>
        <w:tabs>
          <w:tab w:val="left" w:pos="8145"/>
        </w:tabs>
        <w:ind w:firstLine="709"/>
        <w:jc w:val="both"/>
        <w:rPr>
          <w:rFonts w:ascii="Verdana" w:hAnsi="Verdana" w:cs="Arial"/>
          <w:sz w:val="14"/>
          <w:szCs w:val="14"/>
          <w:lang w:val="pt-PT"/>
        </w:rPr>
      </w:pPr>
      <w:r w:rsidRPr="003E253F">
        <w:rPr>
          <w:rStyle w:val="Refdenotaalpie"/>
          <w:rFonts w:ascii="Verdana" w:hAnsi="Verdana" w:cs="Arial"/>
          <w:sz w:val="14"/>
          <w:szCs w:val="14"/>
        </w:rPr>
        <w:footnoteRef/>
      </w:r>
      <w:r w:rsidRPr="003E253F">
        <w:rPr>
          <w:rFonts w:ascii="Verdana" w:hAnsi="Verdana" w:cs="Arial"/>
          <w:sz w:val="14"/>
          <w:szCs w:val="14"/>
          <w:lang w:val="pt-PT"/>
        </w:rPr>
        <w:t xml:space="preserve"> Corte Constitucional. Sentencia C- 1153 de 2005, M.P: Marco Gerardo Monroy Cabra.</w:t>
      </w:r>
      <w:r w:rsidRPr="003E253F">
        <w:rPr>
          <w:rFonts w:ascii="Verdana" w:hAnsi="Verdana" w:cs="Arial"/>
          <w:sz w:val="14"/>
          <w:szCs w:val="14"/>
          <w:lang w:val="pt-PT"/>
        </w:rPr>
        <w:tab/>
      </w:r>
    </w:p>
    <w:p w14:paraId="3A3B9C14" w14:textId="77777777" w:rsidR="003E253F" w:rsidRPr="003E253F" w:rsidRDefault="003E253F" w:rsidP="003E253F">
      <w:pPr>
        <w:pStyle w:val="Textonotapie"/>
        <w:tabs>
          <w:tab w:val="left" w:pos="8145"/>
        </w:tabs>
        <w:ind w:firstLine="709"/>
        <w:jc w:val="both"/>
        <w:rPr>
          <w:rFonts w:ascii="Verdana" w:hAnsi="Verdana" w:cs="Arial"/>
          <w:sz w:val="14"/>
          <w:szCs w:val="14"/>
          <w:lang w:val="pt-PT"/>
        </w:rPr>
      </w:pPr>
    </w:p>
  </w:footnote>
  <w:footnote w:id="4">
    <w:p w14:paraId="1BDF8C4D" w14:textId="77777777" w:rsidR="003E253F" w:rsidRPr="003E253F" w:rsidRDefault="003E253F" w:rsidP="003E253F">
      <w:pPr>
        <w:pStyle w:val="Textonotapie"/>
        <w:ind w:firstLine="709"/>
        <w:jc w:val="both"/>
        <w:rPr>
          <w:rFonts w:ascii="Verdana" w:hAnsi="Verdana" w:cs="Arial"/>
          <w:sz w:val="14"/>
          <w:szCs w:val="14"/>
          <w:lang w:val="pt-PT"/>
        </w:rPr>
      </w:pPr>
      <w:r w:rsidRPr="003E253F">
        <w:rPr>
          <w:rStyle w:val="Refdenotaalpie"/>
          <w:rFonts w:ascii="Verdana" w:hAnsi="Verdana" w:cs="Arial"/>
          <w:sz w:val="14"/>
          <w:szCs w:val="14"/>
        </w:rPr>
        <w:footnoteRef/>
      </w:r>
      <w:r w:rsidRPr="003E253F">
        <w:rPr>
          <w:rFonts w:ascii="Verdana" w:hAnsi="Verdana" w:cs="Arial"/>
          <w:sz w:val="14"/>
          <w:szCs w:val="14"/>
          <w:lang w:val="pt-PT"/>
        </w:rPr>
        <w:t xml:space="preserve"> </w:t>
      </w:r>
      <w:r w:rsidRPr="003E253F">
        <w:rPr>
          <w:rFonts w:ascii="Verdana" w:hAnsi="Verdana" w:cs="Arial"/>
          <w:sz w:val="14"/>
          <w:szCs w:val="14"/>
          <w:lang w:val="es-CO"/>
        </w:rPr>
        <w:t xml:space="preserve">Corte Constitucional. Sentencias: C-233 de 4 de abril de 2002. M.P: Álvaro Tafur Galvis; C-551 de 9 de julio de 2003. M.P: Eduardo Montealegre Lynnet; C-353 de 20 de mayo de 2009. M.P: Jorge Iván Palacio </w:t>
      </w:r>
      <w:proofErr w:type="spellStart"/>
      <w:r w:rsidRPr="003E253F">
        <w:rPr>
          <w:rFonts w:ascii="Verdana" w:hAnsi="Verdana" w:cs="Arial"/>
          <w:sz w:val="14"/>
          <w:szCs w:val="14"/>
          <w:lang w:val="es-CO"/>
        </w:rPr>
        <w:t>Palacio</w:t>
      </w:r>
      <w:proofErr w:type="spellEnd"/>
      <w:r w:rsidRPr="003E253F">
        <w:rPr>
          <w:rFonts w:ascii="Verdana" w:hAnsi="Verdana" w:cs="Arial"/>
          <w:sz w:val="14"/>
          <w:szCs w:val="14"/>
          <w:lang w:val="es-CO"/>
        </w:rPr>
        <w:t>; C-541 de 30 de junio de 2010. M.P: Gabriel Eduardo Mendoza Martelo; entre otras.</w:t>
      </w:r>
    </w:p>
    <w:p w14:paraId="6A162210" w14:textId="77777777" w:rsidR="003E253F" w:rsidRPr="003E253F" w:rsidRDefault="003E253F" w:rsidP="003E253F">
      <w:pPr>
        <w:pStyle w:val="Textonotapie"/>
        <w:ind w:firstLine="709"/>
        <w:jc w:val="both"/>
        <w:rPr>
          <w:rFonts w:ascii="Verdana" w:hAnsi="Verdana" w:cs="Arial"/>
          <w:sz w:val="14"/>
          <w:szCs w:val="14"/>
          <w:lang w:val="pt-PT"/>
        </w:rPr>
      </w:pPr>
    </w:p>
  </w:footnote>
  <w:footnote w:id="5">
    <w:p w14:paraId="6E25B393" w14:textId="77777777" w:rsidR="003E253F" w:rsidRPr="003E253F" w:rsidRDefault="003E253F" w:rsidP="003E253F">
      <w:pPr>
        <w:pStyle w:val="Textonotapie"/>
        <w:ind w:firstLine="709"/>
        <w:jc w:val="both"/>
        <w:rPr>
          <w:rFonts w:ascii="Verdana" w:hAnsi="Verdana" w:cs="Arial"/>
          <w:sz w:val="14"/>
          <w:szCs w:val="14"/>
          <w:lang w:val="es-CO"/>
        </w:rPr>
      </w:pPr>
      <w:r w:rsidRPr="003E253F">
        <w:rPr>
          <w:rStyle w:val="Refdenotaalpie"/>
          <w:rFonts w:ascii="Verdana" w:hAnsi="Verdana" w:cs="Arial"/>
          <w:sz w:val="14"/>
          <w:szCs w:val="14"/>
        </w:rPr>
        <w:footnoteRef/>
      </w:r>
      <w:r w:rsidRPr="003E253F">
        <w:rPr>
          <w:rFonts w:ascii="Verdana" w:hAnsi="Verdana" w:cs="Arial"/>
          <w:sz w:val="14"/>
          <w:szCs w:val="14"/>
          <w:lang w:val="es-CO"/>
        </w:rPr>
        <w:t xml:space="preserve"> Consejo de Estado. Sala de lo Contencioso Administrativo. Sección Primera. Sentencia de 3 de marzo de 2005. Radicado: </w:t>
      </w:r>
      <w:r w:rsidRPr="003E253F">
        <w:rPr>
          <w:rFonts w:ascii="Verdana" w:hAnsi="Verdana" w:cs="Arial"/>
          <w:sz w:val="14"/>
          <w:szCs w:val="14"/>
          <w:lang w:val="es-ES"/>
        </w:rPr>
        <w:t xml:space="preserve">25001-23-15-000-2004-00823-01 (PI). </w:t>
      </w:r>
      <w:r w:rsidRPr="003E253F">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37670098" w14:textId="77777777" w:rsidR="003E253F" w:rsidRPr="00647D77" w:rsidRDefault="003E253F" w:rsidP="003E253F">
      <w:pPr>
        <w:pStyle w:val="Textonotapie"/>
        <w:ind w:firstLine="709"/>
        <w:jc w:val="both"/>
        <w:rPr>
          <w:rFonts w:ascii="Verdana" w:hAnsi="Verdana" w:cs="Arial"/>
          <w:sz w:val="14"/>
          <w:szCs w:val="14"/>
          <w:lang w:val="es-CO"/>
        </w:rPr>
      </w:pPr>
    </w:p>
  </w:footnote>
  <w:footnote w:id="6">
    <w:p w14:paraId="058E9A2B" w14:textId="77777777" w:rsidR="003E253F" w:rsidRPr="003E253F" w:rsidRDefault="003E253F" w:rsidP="003E253F">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Consejo de Estado, Sala de Consulta y Servicio Civil. 24 de julio de 2013. Radicado: </w:t>
      </w:r>
      <w:r w:rsidRPr="003E253F">
        <w:rPr>
          <w:rFonts w:ascii="Verdana" w:hAnsi="Verdana" w:cs="Arial"/>
          <w:sz w:val="14"/>
          <w:szCs w:val="14"/>
          <w:lang w:val="es-CO"/>
        </w:rPr>
        <w:t xml:space="preserve">11001-03-06-000-2013-00407-00 </w:t>
      </w:r>
      <w:r w:rsidRPr="003E253F">
        <w:rPr>
          <w:rFonts w:ascii="Verdana" w:hAnsi="Verdana" w:cs="Arial"/>
          <w:sz w:val="14"/>
          <w:szCs w:val="14"/>
        </w:rPr>
        <w:t xml:space="preserve">(2166). C.P. Álvaro Namén Vargas.  </w:t>
      </w:r>
    </w:p>
    <w:p w14:paraId="4ABD1A05" w14:textId="77777777" w:rsidR="003E253F" w:rsidRPr="003E253F" w:rsidRDefault="003E253F" w:rsidP="003E253F">
      <w:pPr>
        <w:pStyle w:val="Textonotapie"/>
        <w:ind w:firstLine="709"/>
        <w:jc w:val="both"/>
        <w:rPr>
          <w:rFonts w:ascii="Verdana" w:hAnsi="Verdana" w:cs="Arial"/>
          <w:sz w:val="14"/>
          <w:szCs w:val="14"/>
        </w:rPr>
      </w:pPr>
    </w:p>
  </w:footnote>
  <w:footnote w:id="7">
    <w:p w14:paraId="539C06B6" w14:textId="77777777" w:rsidR="003E253F" w:rsidRPr="003E253F" w:rsidRDefault="003E253F" w:rsidP="003E253F">
      <w:pPr>
        <w:spacing w:after="0" w:line="240" w:lineRule="auto"/>
        <w:ind w:firstLine="709"/>
        <w:jc w:val="both"/>
        <w:rPr>
          <w:rFonts w:ascii="Verdana" w:eastAsia="Times New Roman"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w:t>
      </w:r>
      <w:bookmarkStart w:id="4" w:name="33"/>
      <w:r w:rsidRPr="003E253F">
        <w:rPr>
          <w:rFonts w:ascii="Verdana" w:eastAsia="Calibri" w:hAnsi="Verdana" w:cs="Arial"/>
          <w:color w:val="000000"/>
          <w:sz w:val="14"/>
          <w:szCs w:val="14"/>
        </w:rPr>
        <w:t>“</w:t>
      </w:r>
      <w:r w:rsidRPr="003E253F">
        <w:rPr>
          <w:rFonts w:ascii="Verdana" w:eastAsia="Times New Roman" w:hAnsi="Verdana" w:cs="Arial"/>
          <w:sz w:val="14"/>
          <w:szCs w:val="14"/>
        </w:rPr>
        <w:t>Artículo 33. Restricciones a la contratación pública.</w:t>
      </w:r>
      <w:bookmarkEnd w:id="4"/>
      <w:r w:rsidRPr="003E253F">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23BA463E" w14:textId="77777777" w:rsidR="003E253F" w:rsidRPr="00647D77" w:rsidRDefault="003E253F" w:rsidP="003E253F">
      <w:pPr>
        <w:spacing w:after="0" w:line="240" w:lineRule="auto"/>
        <w:ind w:firstLine="709"/>
        <w:jc w:val="both"/>
        <w:rPr>
          <w:rFonts w:ascii="Verdana" w:eastAsia="Times New Roman" w:hAnsi="Verdana" w:cs="Arial"/>
          <w:sz w:val="14"/>
          <w:szCs w:val="14"/>
        </w:rPr>
      </w:pPr>
      <w:r w:rsidRPr="003E253F">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47D77">
        <w:rPr>
          <w:rFonts w:ascii="Verdana" w:eastAsia="Times New Roman" w:hAnsi="Verdana" w:cs="Arial"/>
          <w:sz w:val="14"/>
          <w:szCs w:val="14"/>
        </w:rPr>
        <w:t>.</w:t>
      </w:r>
    </w:p>
    <w:p w14:paraId="3C256EFF" w14:textId="77777777" w:rsidR="003E253F" w:rsidRPr="00647D77" w:rsidRDefault="003E253F" w:rsidP="003E253F">
      <w:pPr>
        <w:spacing w:after="0" w:line="240" w:lineRule="auto"/>
        <w:ind w:firstLine="709"/>
        <w:jc w:val="both"/>
        <w:rPr>
          <w:rFonts w:ascii="Verdana" w:eastAsia="Times New Roman" w:hAnsi="Verdana" w:cs="Arial"/>
          <w:sz w:val="14"/>
          <w:szCs w:val="14"/>
        </w:rPr>
      </w:pPr>
    </w:p>
  </w:footnote>
  <w:footnote w:id="8">
    <w:p w14:paraId="03200881" w14:textId="77777777" w:rsidR="003E253F" w:rsidRPr="003E253F" w:rsidRDefault="003E253F" w:rsidP="003E253F">
      <w:pPr>
        <w:pStyle w:val="NormalWeb"/>
        <w:spacing w:before="0" w:beforeAutospacing="0" w:after="0" w:afterAutospacing="0"/>
        <w:ind w:firstLine="709"/>
        <w:jc w:val="both"/>
        <w:rPr>
          <w:rFonts w:ascii="Verdana" w:hAnsi="Verdana" w:cs="Arial"/>
          <w:sz w:val="14"/>
          <w:szCs w:val="14"/>
          <w:lang w:val="es-MX"/>
        </w:rPr>
      </w:pPr>
      <w:r w:rsidRPr="003E253F">
        <w:rPr>
          <w:rStyle w:val="Refdenotaalpie"/>
          <w:rFonts w:ascii="Verdana" w:eastAsiaTheme="majorEastAsia" w:hAnsi="Verdana" w:cs="Arial"/>
          <w:sz w:val="14"/>
          <w:szCs w:val="14"/>
        </w:rPr>
        <w:footnoteRef/>
      </w:r>
      <w:r w:rsidRPr="003E253F">
        <w:rPr>
          <w:rFonts w:ascii="Verdana" w:hAnsi="Verdana" w:cs="Arial"/>
          <w:sz w:val="14"/>
          <w:szCs w:val="14"/>
        </w:rPr>
        <w:t xml:space="preserve"> </w:t>
      </w:r>
      <w:bookmarkStart w:id="5" w:name="38"/>
      <w:r w:rsidRPr="003E253F">
        <w:rPr>
          <w:rFonts w:ascii="Verdana" w:eastAsia="Calibri" w:hAnsi="Verdana" w:cs="Arial"/>
          <w:color w:val="000000"/>
          <w:sz w:val="14"/>
          <w:szCs w:val="14"/>
        </w:rPr>
        <w:t>“</w:t>
      </w:r>
      <w:r w:rsidRPr="003E253F">
        <w:rPr>
          <w:rFonts w:ascii="Verdana" w:hAnsi="Verdana" w:cs="Arial"/>
          <w:sz w:val="14"/>
          <w:szCs w:val="14"/>
          <w:lang w:val="es-MX"/>
        </w:rPr>
        <w:t>Artículo 38. Prohibiciones para los servidores públicos. A los empleados del Estado les está prohibido:</w:t>
      </w:r>
      <w:bookmarkEnd w:id="5"/>
    </w:p>
    <w:p w14:paraId="7EF2E47F" w14:textId="77777777" w:rsidR="003E253F" w:rsidRPr="003E253F" w:rsidRDefault="003E253F" w:rsidP="003E253F">
      <w:pPr>
        <w:pStyle w:val="NormalWeb"/>
        <w:spacing w:before="0" w:beforeAutospacing="0" w:after="0" w:afterAutospacing="0"/>
        <w:ind w:firstLine="709"/>
        <w:jc w:val="both"/>
        <w:rPr>
          <w:rFonts w:ascii="Verdana" w:hAnsi="Verdana" w:cs="Arial"/>
          <w:sz w:val="14"/>
          <w:szCs w:val="14"/>
          <w:lang w:val="es-MX"/>
        </w:rPr>
      </w:pPr>
      <w:r w:rsidRPr="003E253F">
        <w:rPr>
          <w:rFonts w:ascii="Verdana" w:hAnsi="Verdana" w:cs="Arial"/>
          <w:sz w:val="14"/>
          <w:szCs w:val="14"/>
          <w:lang w:val="es-MX"/>
        </w:rPr>
        <w:t>(…)</w:t>
      </w:r>
    </w:p>
    <w:p w14:paraId="4734DFB7" w14:textId="77777777" w:rsidR="003E253F" w:rsidRDefault="003E253F" w:rsidP="003E253F">
      <w:pPr>
        <w:pStyle w:val="NormalWeb"/>
        <w:spacing w:before="0" w:beforeAutospacing="0" w:after="0" w:afterAutospacing="0"/>
        <w:ind w:firstLine="709"/>
        <w:jc w:val="both"/>
        <w:rPr>
          <w:rFonts w:ascii="Verdana" w:eastAsia="Calibri" w:hAnsi="Verdana" w:cs="Arial"/>
          <w:color w:val="000000"/>
          <w:sz w:val="14"/>
          <w:szCs w:val="14"/>
        </w:rPr>
      </w:pPr>
      <w:r w:rsidRPr="003E253F">
        <w:rPr>
          <w:rStyle w:val="baj"/>
          <w:rFonts w:ascii="Verdana" w:hAnsi="Verdana" w:cs="Arial"/>
          <w:sz w:val="14"/>
          <w:szCs w:val="14"/>
          <w:lang w:val="es-MX"/>
        </w:rPr>
        <w:t>Parágrafo.</w:t>
      </w:r>
      <w:r w:rsidRPr="003E253F">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E253F">
        <w:rPr>
          <w:rFonts w:ascii="Verdana" w:eastAsia="Calibri" w:hAnsi="Verdana" w:cs="Arial"/>
          <w:color w:val="000000"/>
          <w:sz w:val="14"/>
          <w:szCs w:val="14"/>
        </w:rPr>
        <w:t>”.</w:t>
      </w:r>
    </w:p>
    <w:p w14:paraId="79FD9336" w14:textId="77777777" w:rsidR="003E253F" w:rsidRPr="003E253F" w:rsidRDefault="003E253F" w:rsidP="003E253F">
      <w:pPr>
        <w:pStyle w:val="NormalWeb"/>
        <w:spacing w:before="0" w:beforeAutospacing="0" w:after="0" w:afterAutospacing="0"/>
        <w:ind w:firstLine="709"/>
        <w:jc w:val="both"/>
        <w:rPr>
          <w:rFonts w:ascii="Verdana" w:eastAsia="Calibri" w:hAnsi="Verdana" w:cs="Arial"/>
          <w:color w:val="000000"/>
          <w:sz w:val="14"/>
          <w:szCs w:val="14"/>
        </w:rPr>
      </w:pPr>
    </w:p>
  </w:footnote>
  <w:footnote w:id="9">
    <w:p w14:paraId="52773889" w14:textId="77777777" w:rsidR="003E253F" w:rsidRPr="003E253F" w:rsidRDefault="003E253F" w:rsidP="003E253F">
      <w:pPr>
        <w:tabs>
          <w:tab w:val="left" w:pos="2127"/>
        </w:tabs>
        <w:spacing w:after="0" w:line="240" w:lineRule="auto"/>
        <w:ind w:left="100" w:right="244"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Consejo de Estado. Sala de Consulta y Servicio Civil. Concepto del 17 de febrero de 2015. Radicado: 11001-03-06-000-2015-00164-00 (2269). C.P. William Zambrano Cetina.</w:t>
      </w:r>
    </w:p>
    <w:p w14:paraId="42C0BD6E" w14:textId="77777777" w:rsidR="003E253F" w:rsidRPr="003E253F" w:rsidRDefault="003E253F" w:rsidP="003E253F">
      <w:pPr>
        <w:spacing w:after="0" w:line="240" w:lineRule="auto"/>
        <w:ind w:left="100" w:right="244" w:firstLine="709"/>
        <w:jc w:val="both"/>
        <w:rPr>
          <w:rFonts w:ascii="Verdana" w:hAnsi="Verdana" w:cs="Arial"/>
          <w:sz w:val="14"/>
          <w:szCs w:val="14"/>
          <w:lang w:val="es-ES"/>
        </w:rPr>
      </w:pPr>
    </w:p>
  </w:footnote>
  <w:footnote w:id="10">
    <w:p w14:paraId="773000BF" w14:textId="77777777" w:rsidR="003E253F" w:rsidRPr="003E253F" w:rsidRDefault="003E253F" w:rsidP="003E253F">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w:t>
      </w:r>
      <w:r w:rsidRPr="003E253F">
        <w:rPr>
          <w:rFonts w:ascii="Verdana" w:hAnsi="Verdana" w:cs="Arial"/>
          <w:sz w:val="14"/>
          <w:szCs w:val="14"/>
          <w:lang w:val="es-ES"/>
        </w:rPr>
        <w:t xml:space="preserve">[25] </w:t>
      </w:r>
      <w:r w:rsidRPr="003E253F">
        <w:rPr>
          <w:rFonts w:ascii="Verdana" w:hAnsi="Verdana" w:cs="Arial"/>
          <w:sz w:val="14"/>
          <w:szCs w:val="14"/>
        </w:rPr>
        <w:t>Cfr. Consejo de Estado. Sección Tercera. Sentencia de 3 de diciembre de 2007. Radicados: 24.715, 25.206, 25.409, 24.524, 27.834, 25.410, 26.105, 28.244, 31.447 -acumulados</w:t>
      </w:r>
      <w:proofErr w:type="gramStart"/>
      <w:r w:rsidRPr="003E253F">
        <w:rPr>
          <w:rFonts w:ascii="Verdana" w:hAnsi="Verdana" w:cs="Arial"/>
          <w:sz w:val="14"/>
          <w:szCs w:val="14"/>
        </w:rPr>
        <w:t>-“</w:t>
      </w:r>
      <w:proofErr w:type="gramEnd"/>
      <w:r w:rsidRPr="003E253F">
        <w:rPr>
          <w:rFonts w:ascii="Verdana" w:hAnsi="Verdana" w:cs="Arial"/>
          <w:sz w:val="14"/>
          <w:szCs w:val="14"/>
        </w:rPr>
        <w:t>.</w:t>
      </w:r>
    </w:p>
    <w:p w14:paraId="07998CC9" w14:textId="77777777" w:rsidR="003E253F" w:rsidRPr="003E253F" w:rsidRDefault="003E253F" w:rsidP="003E253F">
      <w:pPr>
        <w:pStyle w:val="Textonotapie"/>
        <w:ind w:firstLine="709"/>
        <w:jc w:val="both"/>
        <w:rPr>
          <w:rFonts w:ascii="Verdana" w:hAnsi="Verdana" w:cs="Arial"/>
          <w:sz w:val="14"/>
          <w:szCs w:val="14"/>
        </w:rPr>
      </w:pPr>
    </w:p>
  </w:footnote>
  <w:footnote w:id="11">
    <w:p w14:paraId="28BAB5FD" w14:textId="77777777" w:rsidR="003E253F" w:rsidRPr="003E253F" w:rsidRDefault="003E253F" w:rsidP="003E253F">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w:t>
      </w:r>
      <w:bookmarkStart w:id="13" w:name="_Hlk74294506"/>
      <w:r w:rsidRPr="003E253F">
        <w:rPr>
          <w:rFonts w:ascii="Verdana" w:hAnsi="Verdana" w:cs="Arial"/>
          <w:sz w:val="14"/>
          <w:szCs w:val="14"/>
        </w:rPr>
        <w:t>“</w:t>
      </w:r>
      <w:r w:rsidRPr="003E253F">
        <w:rPr>
          <w:rFonts w:ascii="Verdana" w:hAnsi="Verdana" w:cs="Arial"/>
          <w:sz w:val="14"/>
          <w:szCs w:val="14"/>
          <w:lang w:val="es-ES"/>
        </w:rPr>
        <w:t xml:space="preserve">[26] </w:t>
      </w:r>
      <w:bookmarkEnd w:id="13"/>
      <w:r w:rsidRPr="003E253F">
        <w:rPr>
          <w:rFonts w:ascii="Verdana" w:hAnsi="Verdana" w:cs="Arial"/>
          <w:sz w:val="14"/>
          <w:szCs w:val="14"/>
        </w:rPr>
        <w:t>Al respecto ver el concepto 1712 de 2 de febrero de 2006. Consejo de Estado Sala de Consulta y Servicio Civil”.</w:t>
      </w:r>
    </w:p>
    <w:p w14:paraId="1DE482E1" w14:textId="77777777" w:rsidR="003E253F" w:rsidRPr="003E253F" w:rsidRDefault="003E253F" w:rsidP="003E253F">
      <w:pPr>
        <w:pStyle w:val="Textonotapie"/>
        <w:ind w:firstLine="709"/>
        <w:jc w:val="both"/>
        <w:rPr>
          <w:rFonts w:ascii="Verdana" w:hAnsi="Verdana" w:cs="Arial"/>
          <w:sz w:val="14"/>
          <w:szCs w:val="14"/>
        </w:rPr>
      </w:pPr>
    </w:p>
  </w:footnote>
  <w:footnote w:id="12">
    <w:p w14:paraId="627DAEA7" w14:textId="77777777" w:rsidR="003E253F" w:rsidRPr="003E253F" w:rsidRDefault="003E253F" w:rsidP="003E253F">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0AA2305C" w14:textId="77777777" w:rsidR="003E253F" w:rsidRPr="003E253F" w:rsidRDefault="003E253F" w:rsidP="003E253F">
      <w:pPr>
        <w:pStyle w:val="Textonotapie"/>
        <w:ind w:firstLine="709"/>
        <w:jc w:val="both"/>
        <w:rPr>
          <w:rFonts w:ascii="Verdana" w:hAnsi="Verdana" w:cs="Arial"/>
          <w:sz w:val="14"/>
          <w:szCs w:val="14"/>
        </w:rPr>
      </w:pPr>
    </w:p>
  </w:footnote>
  <w:footnote w:id="13">
    <w:p w14:paraId="0B25FE49" w14:textId="77777777" w:rsidR="003E253F" w:rsidRPr="003E253F" w:rsidRDefault="003E253F" w:rsidP="00647D77">
      <w:pPr>
        <w:pStyle w:val="Textonotapie"/>
        <w:ind w:firstLine="709"/>
        <w:jc w:val="both"/>
        <w:rPr>
          <w:rFonts w:ascii="Verdana" w:hAnsi="Verdana" w:cs="Arial"/>
          <w:sz w:val="14"/>
          <w:szCs w:val="14"/>
          <w:lang w:val="es-ES"/>
        </w:rPr>
      </w:pPr>
      <w:r w:rsidRPr="003E253F">
        <w:rPr>
          <w:rStyle w:val="Refdenotaalpie"/>
          <w:rFonts w:ascii="Verdana" w:hAnsi="Verdana" w:cs="Arial"/>
          <w:sz w:val="14"/>
          <w:szCs w:val="14"/>
        </w:rPr>
        <w:footnoteRef/>
      </w:r>
      <w:r w:rsidRPr="003E253F">
        <w:rPr>
          <w:rFonts w:ascii="Verdana" w:hAnsi="Verdana" w:cs="Arial"/>
          <w:sz w:val="14"/>
          <w:szCs w:val="14"/>
        </w:rPr>
        <w:t xml:space="preserve"> </w:t>
      </w:r>
      <w:r w:rsidRPr="003E253F">
        <w:rPr>
          <w:rFonts w:ascii="Verdana" w:hAnsi="Verdana" w:cs="Arial"/>
          <w:sz w:val="14"/>
          <w:szCs w:val="14"/>
          <w:lang w:val="es-ES"/>
        </w:rPr>
        <w:t xml:space="preserve">Artículo 2. </w:t>
      </w:r>
    </w:p>
    <w:p w14:paraId="4B98E739" w14:textId="77777777" w:rsidR="003E253F" w:rsidRPr="003E253F" w:rsidRDefault="003E253F" w:rsidP="00647D77">
      <w:pPr>
        <w:pStyle w:val="Textonotapie"/>
        <w:ind w:firstLine="709"/>
        <w:jc w:val="both"/>
        <w:rPr>
          <w:rFonts w:ascii="Verdana" w:hAnsi="Verdana" w:cs="Arial"/>
          <w:sz w:val="14"/>
          <w:szCs w:val="14"/>
          <w:lang w:val="es-ES"/>
        </w:rPr>
      </w:pPr>
    </w:p>
  </w:footnote>
  <w:footnote w:id="14">
    <w:p w14:paraId="43EB5218" w14:textId="77777777" w:rsidR="003E253F" w:rsidRPr="003E253F" w:rsidRDefault="003E253F" w:rsidP="00647D77">
      <w:pPr>
        <w:pStyle w:val="Textonotapie"/>
        <w:ind w:firstLine="709"/>
        <w:jc w:val="both"/>
        <w:rPr>
          <w:rFonts w:ascii="Verdana" w:hAnsi="Verdana" w:cs="Arial"/>
          <w:sz w:val="14"/>
          <w:szCs w:val="14"/>
          <w:lang w:val="es-ES"/>
        </w:rPr>
      </w:pPr>
      <w:r w:rsidRPr="003E253F">
        <w:rPr>
          <w:rStyle w:val="Refdenotaalpie"/>
          <w:rFonts w:ascii="Verdana" w:hAnsi="Verdana" w:cs="Arial"/>
          <w:sz w:val="14"/>
          <w:szCs w:val="14"/>
        </w:rPr>
        <w:footnoteRef/>
      </w:r>
      <w:r w:rsidRPr="003E253F">
        <w:rPr>
          <w:rFonts w:ascii="Verdana" w:hAnsi="Verdana" w:cs="Arial"/>
          <w:sz w:val="14"/>
          <w:szCs w:val="14"/>
        </w:rPr>
        <w:t xml:space="preserve"> </w:t>
      </w:r>
      <w:r w:rsidRPr="003E253F">
        <w:rPr>
          <w:rFonts w:ascii="Verdana" w:hAnsi="Verdana" w:cs="Arial"/>
          <w:i/>
          <w:sz w:val="14"/>
          <w:szCs w:val="14"/>
          <w:lang w:val="es-ES"/>
        </w:rPr>
        <w:t>Ídem</w:t>
      </w:r>
      <w:r w:rsidRPr="003E253F">
        <w:rPr>
          <w:rFonts w:ascii="Verdana" w:hAnsi="Verdana" w:cs="Arial"/>
          <w:sz w:val="14"/>
          <w:szCs w:val="14"/>
          <w:lang w:val="es-ES"/>
        </w:rPr>
        <w:t>.</w:t>
      </w:r>
    </w:p>
    <w:p w14:paraId="35B93B23" w14:textId="77777777" w:rsidR="003E253F" w:rsidRPr="003E253F" w:rsidRDefault="003E253F" w:rsidP="00647D77">
      <w:pPr>
        <w:pStyle w:val="Textonotapie"/>
        <w:ind w:firstLine="709"/>
        <w:jc w:val="both"/>
        <w:rPr>
          <w:rFonts w:ascii="Verdana" w:hAnsi="Verdana" w:cs="Arial"/>
          <w:sz w:val="14"/>
          <w:szCs w:val="14"/>
          <w:lang w:val="es-ES"/>
        </w:rPr>
      </w:pPr>
    </w:p>
  </w:footnote>
  <w:footnote w:id="15">
    <w:p w14:paraId="1E1E6E15" w14:textId="77777777" w:rsidR="003E253F" w:rsidRPr="003E253F" w:rsidRDefault="003E253F" w:rsidP="00647D77">
      <w:pPr>
        <w:pStyle w:val="Textonotapie"/>
        <w:ind w:firstLine="709"/>
        <w:jc w:val="both"/>
        <w:rPr>
          <w:rFonts w:ascii="Verdana" w:hAnsi="Verdana" w:cs="Arial"/>
          <w:sz w:val="14"/>
          <w:szCs w:val="14"/>
          <w:lang w:val="es-ES"/>
        </w:rPr>
      </w:pPr>
      <w:r w:rsidRPr="003E253F">
        <w:rPr>
          <w:rStyle w:val="Refdenotaalpie"/>
          <w:rFonts w:ascii="Verdana" w:hAnsi="Verdana" w:cs="Arial"/>
          <w:sz w:val="14"/>
          <w:szCs w:val="14"/>
        </w:rPr>
        <w:footnoteRef/>
      </w:r>
      <w:r w:rsidRPr="003E253F">
        <w:rPr>
          <w:rStyle w:val="Refdenotaalpie"/>
          <w:rFonts w:ascii="Verdana" w:hAnsi="Verdana" w:cs="Arial"/>
          <w:sz w:val="14"/>
          <w:szCs w:val="14"/>
        </w:rPr>
        <w:t xml:space="preserve"> </w:t>
      </w:r>
      <w:r w:rsidRPr="003E253F">
        <w:rPr>
          <w:rFonts w:ascii="Verdana" w:hAnsi="Verdana" w:cs="Arial"/>
          <w:sz w:val="14"/>
          <w:szCs w:val="14"/>
          <w:lang w:val="es-ES"/>
        </w:rPr>
        <w:t xml:space="preserve">[…] A este respecto, cabe recordar que el artículo 860 del Código de Comercio regula la licitación en el derecho privado. </w:t>
      </w:r>
    </w:p>
    <w:p w14:paraId="1071D03B" w14:textId="77777777" w:rsidR="003E253F" w:rsidRPr="003E253F" w:rsidRDefault="003E253F" w:rsidP="00647D77">
      <w:pPr>
        <w:pStyle w:val="Textonotapie"/>
        <w:ind w:firstLine="709"/>
        <w:jc w:val="both"/>
        <w:rPr>
          <w:rFonts w:ascii="Verdana" w:hAnsi="Verdana" w:cs="Arial"/>
          <w:sz w:val="14"/>
          <w:szCs w:val="14"/>
          <w:lang w:val="es-ES"/>
        </w:rPr>
      </w:pPr>
    </w:p>
  </w:footnote>
  <w:footnote w:id="16">
    <w:p w14:paraId="794E2E8A" w14:textId="77777777" w:rsidR="003E253F" w:rsidRPr="003E253F" w:rsidRDefault="003E253F" w:rsidP="003E253F">
      <w:pPr>
        <w:shd w:val="clear" w:color="auto" w:fill="FFFFFF"/>
        <w:spacing w:after="0" w:line="240" w:lineRule="auto"/>
        <w:ind w:firstLine="709"/>
        <w:jc w:val="both"/>
        <w:rPr>
          <w:rFonts w:ascii="Verdana" w:hAnsi="Verdana" w:cs="Arial"/>
          <w:sz w:val="14"/>
          <w:szCs w:val="14"/>
          <w:lang w:val="es-ES"/>
        </w:rPr>
      </w:pPr>
      <w:r w:rsidRPr="003E253F">
        <w:rPr>
          <w:rStyle w:val="Refdenotaalpie"/>
          <w:rFonts w:ascii="Verdana" w:hAnsi="Verdana" w:cs="Arial"/>
          <w:sz w:val="14"/>
          <w:szCs w:val="14"/>
        </w:rPr>
        <w:footnoteRef/>
      </w:r>
      <w:r w:rsidRPr="003E253F">
        <w:rPr>
          <w:rStyle w:val="Refdenotaalpie"/>
          <w:rFonts w:ascii="Verdana" w:hAnsi="Verdana" w:cs="Arial"/>
          <w:sz w:val="14"/>
          <w:szCs w:val="14"/>
        </w:rPr>
        <w:t xml:space="preserve"> </w:t>
      </w:r>
      <w:r w:rsidRPr="003E253F">
        <w:rPr>
          <w:rFonts w:ascii="Verdana" w:hAnsi="Verdana" w:cs="Arial"/>
          <w:sz w:val="14"/>
          <w:szCs w:val="14"/>
          <w:lang w:val="es-ES"/>
        </w:rPr>
        <w:t>Consejo de Estado. Sala de Consulta y Servicio Civil, Concepto de 8 de mayo de 2018. Radicación Número: 11001-03-06-000-2018-00095-00 (2382). C.P: Álvaro Namén Vargas.</w:t>
      </w:r>
    </w:p>
    <w:p w14:paraId="475C4C6F" w14:textId="77777777" w:rsidR="003E253F" w:rsidRPr="00435A6A" w:rsidRDefault="003E253F" w:rsidP="003E253F">
      <w:pPr>
        <w:shd w:val="clear" w:color="auto" w:fill="FFFFFF"/>
        <w:spacing w:after="0" w:line="240" w:lineRule="auto"/>
        <w:ind w:firstLine="709"/>
        <w:jc w:val="both"/>
        <w:rPr>
          <w:rFonts w:ascii="Verdana" w:hAnsi="Verdana" w:cs="Arial"/>
          <w:sz w:val="14"/>
          <w:szCs w:val="14"/>
          <w:lang w:val="es-ES"/>
        </w:rPr>
      </w:pPr>
    </w:p>
  </w:footnote>
  <w:footnote w:id="17">
    <w:p w14:paraId="3AED122B" w14:textId="77777777" w:rsidR="003E253F" w:rsidRPr="003E253F" w:rsidRDefault="003E253F" w:rsidP="003E253F">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Consejo de Estado. Sala de Consulta y Servicio Civil. Concepto del 08 de mayo de 2018. </w:t>
      </w:r>
      <w:proofErr w:type="spellStart"/>
      <w:r w:rsidRPr="003E253F">
        <w:rPr>
          <w:rFonts w:ascii="Verdana" w:hAnsi="Verdana" w:cs="Arial"/>
          <w:sz w:val="14"/>
          <w:szCs w:val="14"/>
        </w:rPr>
        <w:t>Exp</w:t>
      </w:r>
      <w:proofErr w:type="spellEnd"/>
      <w:r w:rsidRPr="003E253F">
        <w:rPr>
          <w:rFonts w:ascii="Verdana" w:hAnsi="Verdana" w:cs="Arial"/>
          <w:sz w:val="14"/>
          <w:szCs w:val="14"/>
        </w:rPr>
        <w:t>. 2.382. C.P. Álvaro Namén Vargas.</w:t>
      </w:r>
    </w:p>
    <w:p w14:paraId="33DEDF47" w14:textId="77777777" w:rsidR="003E253F" w:rsidRPr="003E253F" w:rsidRDefault="003E253F" w:rsidP="003E253F">
      <w:pPr>
        <w:pStyle w:val="Textonotapie"/>
        <w:ind w:firstLine="709"/>
        <w:jc w:val="both"/>
        <w:rPr>
          <w:rFonts w:ascii="Verdana" w:hAnsi="Verdana" w:cs="Arial"/>
          <w:sz w:val="14"/>
          <w:szCs w:val="14"/>
        </w:rPr>
      </w:pPr>
    </w:p>
  </w:footnote>
  <w:footnote w:id="18">
    <w:p w14:paraId="0828709A" w14:textId="69D4F9A1" w:rsidR="003E253F" w:rsidRPr="003E253F" w:rsidRDefault="003E253F" w:rsidP="00647D77">
      <w:pPr>
        <w:pStyle w:val="Textonotapie"/>
        <w:ind w:firstLine="709"/>
        <w:jc w:val="both"/>
        <w:rPr>
          <w:rFonts w:ascii="Verdana" w:hAnsi="Verdana"/>
          <w:sz w:val="14"/>
          <w:szCs w:val="14"/>
          <w:lang w:val="es-ES"/>
        </w:rPr>
      </w:pPr>
      <w:r w:rsidRPr="003E253F">
        <w:rPr>
          <w:rStyle w:val="Refdenotaalpie"/>
          <w:rFonts w:ascii="Verdana" w:hAnsi="Verdana"/>
          <w:sz w:val="14"/>
          <w:szCs w:val="14"/>
        </w:rPr>
        <w:footnoteRef/>
      </w:r>
      <w:r w:rsidRPr="003E253F">
        <w:rPr>
          <w:rFonts w:ascii="Verdana" w:hAnsi="Verdana"/>
          <w:sz w:val="14"/>
          <w:szCs w:val="14"/>
        </w:rPr>
        <w:t xml:space="preserve"> </w:t>
      </w:r>
      <w:r w:rsidRPr="003E253F">
        <w:rPr>
          <w:rFonts w:ascii="Verdana" w:hAnsi="Verdana"/>
          <w:sz w:val="14"/>
          <w:szCs w:val="14"/>
          <w:lang w:val="es-ES"/>
        </w:rPr>
        <w:t>Agencia Nacional de Contratación Pública</w:t>
      </w:r>
      <w:r w:rsidR="00A53A1E">
        <w:rPr>
          <w:rFonts w:ascii="Verdana" w:hAnsi="Verdana"/>
          <w:sz w:val="14"/>
          <w:szCs w:val="14"/>
          <w:lang w:val="es-ES"/>
        </w:rPr>
        <w:t xml:space="preserve"> – Colombia Compra Eficiente</w:t>
      </w:r>
      <w:r w:rsidRPr="00A53A1E">
        <w:rPr>
          <w:rFonts w:ascii="Verdana" w:hAnsi="Verdana"/>
          <w:sz w:val="14"/>
          <w:szCs w:val="14"/>
          <w:lang w:val="es-ES"/>
        </w:rPr>
        <w:t>.</w:t>
      </w:r>
      <w:r w:rsidRPr="003E253F">
        <w:rPr>
          <w:rFonts w:ascii="Verdana" w:hAnsi="Verdana"/>
          <w:sz w:val="14"/>
          <w:szCs w:val="14"/>
          <w:lang w:val="es-ES"/>
        </w:rPr>
        <w:t xml:space="preserve"> Circular Externa 006 del 25 de septiembre de 2025. </w:t>
      </w:r>
      <w:r w:rsidRPr="00A53A1E">
        <w:rPr>
          <w:rFonts w:ascii="Verdana" w:hAnsi="Verdana"/>
          <w:sz w:val="14"/>
          <w:szCs w:val="14"/>
          <w:lang w:val="es-ES"/>
        </w:rPr>
        <w:t xml:space="preserve">Disponible en </w:t>
      </w:r>
      <w:hyperlink r:id="rId1" w:history="1">
        <w:r w:rsidRPr="001D6D08">
          <w:rPr>
            <w:rStyle w:val="Hipervnculo"/>
            <w:rFonts w:ascii="Verdana" w:hAnsi="Verdana"/>
            <w:sz w:val="14"/>
            <w:szCs w:val="14"/>
            <w:lang w:val="es-CO"/>
          </w:rPr>
          <w:t>006-de-2025-Circular-Externa-L996-ajustado-comentarios-BM-BID-Rev-ARSC-V3.d-1.pdf</w:t>
        </w:r>
      </w:hyperlink>
    </w:p>
    <w:p w14:paraId="12747434" w14:textId="77777777" w:rsidR="003E253F" w:rsidRPr="003E253F" w:rsidRDefault="003E253F" w:rsidP="00647D77">
      <w:pPr>
        <w:pStyle w:val="Textonotapie"/>
        <w:ind w:firstLine="709"/>
        <w:jc w:val="both"/>
        <w:rPr>
          <w:rFonts w:ascii="Verdana" w:hAnsi="Verdana"/>
          <w:sz w:val="14"/>
          <w:szCs w:val="14"/>
          <w:lang w:val="es-ES"/>
        </w:rPr>
      </w:pPr>
    </w:p>
  </w:footnote>
  <w:footnote w:id="19">
    <w:p w14:paraId="7A0A3AA6" w14:textId="5D42D045" w:rsidR="003E253F" w:rsidRPr="003E253F" w:rsidRDefault="003E253F" w:rsidP="00647D77">
      <w:pPr>
        <w:pStyle w:val="Textonotapie"/>
        <w:ind w:firstLine="709"/>
        <w:jc w:val="both"/>
        <w:rPr>
          <w:rFonts w:ascii="Verdana" w:hAnsi="Verdana"/>
          <w:sz w:val="14"/>
          <w:szCs w:val="14"/>
          <w:lang w:val="es-ES"/>
        </w:rPr>
      </w:pPr>
      <w:r w:rsidRPr="003E253F">
        <w:rPr>
          <w:rStyle w:val="Refdenotaalpie"/>
          <w:rFonts w:ascii="Verdana" w:hAnsi="Verdana"/>
          <w:sz w:val="14"/>
          <w:szCs w:val="14"/>
        </w:rPr>
        <w:footnoteRef/>
      </w:r>
      <w:r w:rsidRPr="00A53A1E">
        <w:rPr>
          <w:rFonts w:ascii="Verdana" w:hAnsi="Verdana"/>
          <w:sz w:val="14"/>
          <w:szCs w:val="14"/>
        </w:rPr>
        <w:t xml:space="preserve"> </w:t>
      </w:r>
      <w:r w:rsidR="00A53A1E" w:rsidRPr="00A53A1E">
        <w:rPr>
          <w:rFonts w:ascii="Verdana" w:hAnsi="Verdana"/>
          <w:sz w:val="14"/>
          <w:szCs w:val="14"/>
          <w:lang w:val="es-ES"/>
        </w:rPr>
        <w:t>Agencia Nacional de Contratación P</w:t>
      </w:r>
      <w:r w:rsidR="00A53A1E">
        <w:rPr>
          <w:rFonts w:ascii="Verdana" w:hAnsi="Verdana"/>
          <w:sz w:val="14"/>
          <w:szCs w:val="14"/>
          <w:lang w:val="es-ES"/>
        </w:rPr>
        <w:t xml:space="preserve">ública - </w:t>
      </w:r>
      <w:r w:rsidRPr="00A53A1E">
        <w:rPr>
          <w:rFonts w:ascii="Verdana" w:hAnsi="Verdana"/>
          <w:sz w:val="14"/>
          <w:szCs w:val="14"/>
          <w:lang w:val="es-ES"/>
        </w:rPr>
        <w:t xml:space="preserve">Colombia Compra Eficiente. Concepto </w:t>
      </w:r>
      <w:hyperlink r:id="rId2" w:history="1">
        <w:r w:rsidRPr="001D6D08">
          <w:rPr>
            <w:rStyle w:val="Hipervnculo"/>
            <w:rFonts w:ascii="Verdana" w:hAnsi="Verdana"/>
            <w:sz w:val="14"/>
            <w:szCs w:val="14"/>
          </w:rPr>
          <w:t xml:space="preserve">C-048 de 2026 – </w:t>
        </w:r>
        <w:proofErr w:type="spellStart"/>
        <w:r w:rsidRPr="001D6D08">
          <w:rPr>
            <w:rStyle w:val="Hipervnculo"/>
            <w:rFonts w:ascii="Verdana" w:hAnsi="Verdana"/>
            <w:sz w:val="14"/>
            <w:szCs w:val="14"/>
          </w:rPr>
          <w:t>Relatoria</w:t>
        </w:r>
        <w:proofErr w:type="spellEnd"/>
        <w:r w:rsidRPr="001D6D08">
          <w:rPr>
            <w:rStyle w:val="Hipervnculo"/>
            <w:rFonts w:ascii="Verdana" w:hAnsi="Verdana"/>
            <w:sz w:val="14"/>
            <w:szCs w:val="14"/>
          </w:rPr>
          <w:t xml:space="preserve"> ANCP-CCE</w:t>
        </w:r>
      </w:hyperlink>
      <w:r w:rsidRPr="00A53A1E">
        <w:rPr>
          <w:rFonts w:ascii="Verdana" w:hAnsi="Verdana"/>
          <w:sz w:val="14"/>
          <w:szCs w:val="14"/>
          <w:lang w:val="es-ES"/>
        </w:rPr>
        <w:t>.</w:t>
      </w:r>
    </w:p>
  </w:footnote>
  <w:footnote w:id="20">
    <w:p w14:paraId="7F31435E" w14:textId="77777777" w:rsidR="003E253F" w:rsidRPr="003E253F" w:rsidRDefault="003E253F" w:rsidP="003E253F">
      <w:pPr>
        <w:spacing w:after="0" w:line="240" w:lineRule="auto"/>
        <w:ind w:firstLine="709"/>
        <w:jc w:val="both"/>
        <w:rPr>
          <w:rFonts w:ascii="Verdana" w:hAnsi="Verdana" w:cs="Arial"/>
          <w:color w:val="000000" w:themeColor="text1"/>
          <w:sz w:val="14"/>
          <w:szCs w:val="14"/>
        </w:rPr>
      </w:pPr>
      <w:r w:rsidRPr="003E253F">
        <w:rPr>
          <w:rStyle w:val="Refdenotaalpie"/>
          <w:rFonts w:ascii="Verdana" w:hAnsi="Verdana" w:cs="Arial"/>
          <w:color w:val="000000" w:themeColor="text1"/>
          <w:sz w:val="14"/>
          <w:szCs w:val="14"/>
        </w:rPr>
        <w:footnoteRef/>
      </w:r>
      <w:r w:rsidRPr="003E253F">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FF277FE" w14:textId="77777777" w:rsidR="003E253F" w:rsidRPr="003E253F" w:rsidRDefault="003E253F" w:rsidP="003E253F">
      <w:pPr>
        <w:spacing w:after="0" w:line="240" w:lineRule="auto"/>
        <w:ind w:firstLine="709"/>
        <w:jc w:val="both"/>
        <w:rPr>
          <w:rFonts w:ascii="Verdana" w:hAnsi="Verdana" w:cs="Arial"/>
          <w:color w:val="000000" w:themeColor="text1"/>
          <w:sz w:val="14"/>
          <w:szCs w:val="14"/>
        </w:rPr>
      </w:pPr>
    </w:p>
  </w:footnote>
  <w:footnote w:id="21">
    <w:p w14:paraId="33F21514" w14:textId="77777777" w:rsidR="003E253F" w:rsidRPr="003E253F" w:rsidRDefault="003E253F" w:rsidP="003E253F">
      <w:pPr>
        <w:pStyle w:val="Textonotapie"/>
        <w:ind w:firstLine="709"/>
        <w:jc w:val="both"/>
        <w:rPr>
          <w:rFonts w:ascii="Verdana" w:eastAsia="Times New Roman" w:hAnsi="Verdana" w:cs="Arial"/>
          <w:color w:val="000000" w:themeColor="text1"/>
          <w:sz w:val="14"/>
          <w:szCs w:val="14"/>
          <w:lang w:eastAsia="x-none"/>
        </w:rPr>
      </w:pPr>
      <w:r w:rsidRPr="003E253F">
        <w:rPr>
          <w:rStyle w:val="Refdenotaalpie"/>
          <w:rFonts w:ascii="Verdana" w:hAnsi="Verdana" w:cs="Arial"/>
          <w:color w:val="000000" w:themeColor="text1"/>
          <w:sz w:val="14"/>
          <w:szCs w:val="14"/>
        </w:rPr>
        <w:footnoteRef/>
      </w:r>
      <w:r w:rsidRPr="003E253F">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3E253F">
        <w:rPr>
          <w:rFonts w:ascii="Verdana" w:eastAsia="Times New Roman" w:hAnsi="Verdana" w:cs="Arial"/>
          <w:color w:val="000000" w:themeColor="text1"/>
          <w:sz w:val="14"/>
          <w:szCs w:val="14"/>
          <w:lang w:eastAsia="x-none"/>
        </w:rPr>
        <w:t xml:space="preserve"> </w:t>
      </w:r>
      <w:bookmarkStart w:id="17" w:name="_Hlk97890572"/>
      <w:r w:rsidRPr="003E253F">
        <w:rPr>
          <w:rFonts w:ascii="Verdana" w:eastAsia="Times New Roman" w:hAnsi="Verdana" w:cs="Arial"/>
          <w:color w:val="000000" w:themeColor="text1"/>
          <w:sz w:val="14"/>
          <w:szCs w:val="14"/>
          <w:lang w:eastAsia="x-none"/>
        </w:rPr>
        <w:t>“</w:t>
      </w:r>
      <w:r w:rsidRPr="003E253F">
        <w:rPr>
          <w:rFonts w:ascii="Verdana" w:hAnsi="Verdana" w:cs="Arial"/>
          <w:color w:val="000000" w:themeColor="text1"/>
          <w:sz w:val="14"/>
          <w:szCs w:val="14"/>
        </w:rPr>
        <w:t xml:space="preserve">Si bien en el tema del concepto del que se extractaron </w:t>
      </w:r>
      <w:bookmarkEnd w:id="17"/>
      <w:r w:rsidRPr="003E253F">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3E253F">
        <w:rPr>
          <w:rFonts w:ascii="Verdana" w:eastAsia="Times New Roman" w:hAnsi="Verdana" w:cs="Arial"/>
          <w:color w:val="000000" w:themeColor="text1"/>
          <w:sz w:val="14"/>
          <w:szCs w:val="14"/>
          <w:lang w:eastAsia="x-none"/>
        </w:rPr>
        <w:t>”.</w:t>
      </w:r>
    </w:p>
    <w:p w14:paraId="691F76E1" w14:textId="77777777" w:rsidR="003E253F" w:rsidRPr="003E253F" w:rsidRDefault="003E253F" w:rsidP="003E253F">
      <w:pPr>
        <w:pStyle w:val="Textonotapie"/>
        <w:ind w:firstLine="709"/>
        <w:jc w:val="both"/>
        <w:rPr>
          <w:rFonts w:ascii="Verdana" w:hAnsi="Verdana" w:cs="Arial"/>
          <w:color w:val="000000" w:themeColor="text1"/>
          <w:sz w:val="14"/>
          <w:szCs w:val="14"/>
        </w:rPr>
      </w:pPr>
    </w:p>
  </w:footnote>
  <w:footnote w:id="22">
    <w:p w14:paraId="59927E8E" w14:textId="6585780B" w:rsidR="003E253F" w:rsidRPr="003E253F" w:rsidRDefault="003E253F" w:rsidP="003E253F">
      <w:pPr>
        <w:spacing w:after="0" w:line="240" w:lineRule="auto"/>
        <w:ind w:firstLine="709"/>
        <w:jc w:val="both"/>
        <w:rPr>
          <w:rFonts w:ascii="Verdana" w:hAnsi="Verdana" w:cs="Arial"/>
          <w:color w:val="000000" w:themeColor="text1"/>
          <w:sz w:val="14"/>
          <w:szCs w:val="14"/>
        </w:rPr>
      </w:pPr>
      <w:r w:rsidRPr="003E253F">
        <w:rPr>
          <w:rStyle w:val="Refdenotaalpie"/>
          <w:rFonts w:ascii="Verdana" w:hAnsi="Verdana" w:cs="Arial"/>
          <w:color w:val="000000" w:themeColor="text1"/>
          <w:sz w:val="14"/>
          <w:szCs w:val="14"/>
        </w:rPr>
        <w:footnoteRef/>
      </w:r>
      <w:r w:rsidRPr="003E253F">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380291C6" w14:textId="77777777" w:rsidR="003E253F" w:rsidRPr="003E253F" w:rsidRDefault="003E253F" w:rsidP="003E253F">
      <w:pPr>
        <w:spacing w:after="0" w:line="240" w:lineRule="auto"/>
        <w:ind w:firstLine="709"/>
        <w:jc w:val="both"/>
        <w:rPr>
          <w:rFonts w:ascii="Verdana" w:hAnsi="Verdana" w:cs="Arial"/>
          <w:color w:val="000000" w:themeColor="text1"/>
          <w:sz w:val="14"/>
          <w:szCs w:val="14"/>
        </w:rPr>
      </w:pPr>
    </w:p>
  </w:footnote>
  <w:footnote w:id="23">
    <w:p w14:paraId="559F3D8F" w14:textId="77777777" w:rsidR="003E253F" w:rsidRPr="003E253F" w:rsidRDefault="003E253F" w:rsidP="00CB650E">
      <w:pPr>
        <w:pStyle w:val="Textonotapie"/>
        <w:ind w:firstLine="709"/>
        <w:jc w:val="both"/>
        <w:rPr>
          <w:rFonts w:ascii="Verdana" w:hAnsi="Verdana" w:cs="Arial"/>
          <w:color w:val="000000" w:themeColor="text1"/>
          <w:sz w:val="14"/>
          <w:szCs w:val="14"/>
        </w:rPr>
      </w:pPr>
      <w:r w:rsidRPr="003E253F">
        <w:rPr>
          <w:rStyle w:val="Refdenotaalpie"/>
          <w:rFonts w:ascii="Verdana" w:hAnsi="Verdana" w:cs="Arial"/>
          <w:color w:val="000000" w:themeColor="text1"/>
          <w:sz w:val="14"/>
          <w:szCs w:val="14"/>
        </w:rPr>
        <w:footnoteRef/>
      </w:r>
      <w:r w:rsidRPr="003E253F">
        <w:rPr>
          <w:rFonts w:ascii="Verdana" w:hAnsi="Verdana" w:cs="Arial"/>
          <w:color w:val="000000" w:themeColor="text1"/>
          <w:sz w:val="14"/>
          <w:szCs w:val="14"/>
        </w:rPr>
        <w:t xml:space="preserve"> Consejo de Estado. Sala de Consulta y Servicio Civil, ídem.</w:t>
      </w:r>
    </w:p>
    <w:p w14:paraId="59096E9D" w14:textId="77777777" w:rsidR="003E253F" w:rsidRPr="003E253F" w:rsidRDefault="003E253F" w:rsidP="00CB650E">
      <w:pPr>
        <w:pStyle w:val="Textonotapie"/>
        <w:ind w:firstLine="709"/>
        <w:jc w:val="both"/>
        <w:rPr>
          <w:rFonts w:ascii="Verdana" w:hAnsi="Verdana" w:cs="Arial"/>
          <w:color w:val="000000" w:themeColor="text1"/>
          <w:sz w:val="14"/>
          <w:szCs w:val="14"/>
        </w:rPr>
      </w:pPr>
    </w:p>
  </w:footnote>
  <w:footnote w:id="24">
    <w:p w14:paraId="59E56ACE" w14:textId="77777777" w:rsidR="003E253F" w:rsidRPr="003E253F" w:rsidRDefault="003E253F" w:rsidP="003E253F">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w:t>
      </w:r>
      <w:proofErr w:type="spellStart"/>
      <w:r w:rsidRPr="003E253F">
        <w:rPr>
          <w:rFonts w:ascii="Verdana" w:hAnsi="Verdana" w:cs="Arial"/>
          <w:sz w:val="14"/>
          <w:szCs w:val="14"/>
        </w:rPr>
        <w:t>N°</w:t>
      </w:r>
      <w:proofErr w:type="spellEnd"/>
      <w:r w:rsidRPr="003E253F">
        <w:rPr>
          <w:rFonts w:ascii="Verdana" w:hAnsi="Verdana" w:cs="Arial"/>
          <w:sz w:val="14"/>
          <w:szCs w:val="14"/>
        </w:rPr>
        <w:t xml:space="preserve"> 216/05 Senado, </w:t>
      </w:r>
      <w:proofErr w:type="spellStart"/>
      <w:r w:rsidRPr="003E253F">
        <w:rPr>
          <w:rFonts w:ascii="Verdana" w:hAnsi="Verdana" w:cs="Arial"/>
          <w:sz w:val="14"/>
          <w:szCs w:val="14"/>
        </w:rPr>
        <w:t>N°</w:t>
      </w:r>
      <w:proofErr w:type="spellEnd"/>
      <w:r w:rsidRPr="003E253F">
        <w:rPr>
          <w:rFonts w:ascii="Verdana" w:hAnsi="Verdana" w:cs="Arial"/>
          <w:sz w:val="14"/>
          <w:szCs w:val="14"/>
        </w:rPr>
        <w:t xml:space="preserve"> 235-Cámara que dio lugar a la Ley de Garantías Electorales.</w:t>
      </w:r>
    </w:p>
    <w:p w14:paraId="513F3EA5" w14:textId="77777777" w:rsidR="003E253F" w:rsidRPr="00CB650E" w:rsidRDefault="003E253F" w:rsidP="003E253F">
      <w:pPr>
        <w:pStyle w:val="Textonotapie"/>
        <w:ind w:firstLine="709"/>
        <w:jc w:val="both"/>
        <w:rPr>
          <w:rFonts w:ascii="Verdana" w:hAnsi="Verdana" w:cs="Arial"/>
          <w:sz w:val="14"/>
          <w:szCs w:val="14"/>
        </w:rPr>
      </w:pPr>
    </w:p>
  </w:footnote>
  <w:footnote w:id="25">
    <w:p w14:paraId="79A423BA" w14:textId="77777777" w:rsidR="003E253F" w:rsidRPr="003E253F" w:rsidRDefault="003E253F" w:rsidP="00CB650E">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Corte Constitucional. Sentencia C-1153 de 2005 M.P. Marco Gerardo Monroy Cabra. </w:t>
      </w:r>
    </w:p>
    <w:p w14:paraId="28FB7E7F" w14:textId="77777777" w:rsidR="003E253F" w:rsidRPr="003E253F" w:rsidRDefault="003E253F" w:rsidP="00CB650E">
      <w:pPr>
        <w:pStyle w:val="Textonotapie"/>
        <w:ind w:firstLine="709"/>
        <w:jc w:val="both"/>
        <w:rPr>
          <w:rFonts w:ascii="Verdana" w:hAnsi="Verdana" w:cs="Arial"/>
          <w:sz w:val="14"/>
          <w:szCs w:val="14"/>
        </w:rPr>
      </w:pPr>
    </w:p>
  </w:footnote>
  <w:footnote w:id="26">
    <w:p w14:paraId="35156A6E" w14:textId="77777777" w:rsidR="00066B32" w:rsidRPr="00684B48" w:rsidRDefault="00066B32" w:rsidP="00CB650E">
      <w:pPr>
        <w:pStyle w:val="Textonotapie"/>
        <w:ind w:firstLine="709"/>
        <w:jc w:val="both"/>
        <w:rPr>
          <w:rFonts w:ascii="Verdana" w:hAnsi="Verdana" w:cs="Arial"/>
          <w:sz w:val="14"/>
          <w:szCs w:val="14"/>
        </w:rPr>
      </w:pPr>
      <w:r w:rsidRPr="001D6D08">
        <w:rPr>
          <w:rStyle w:val="Refdenotaalpie"/>
          <w:rFonts w:ascii="Verdana" w:hAnsi="Verdana" w:cs="Arial"/>
          <w:sz w:val="14"/>
          <w:szCs w:val="14"/>
        </w:rPr>
        <w:footnoteRef/>
      </w:r>
      <w:r w:rsidRPr="001D6D08">
        <w:rPr>
          <w:rFonts w:ascii="Verdana" w:hAnsi="Verdana" w:cs="Arial"/>
          <w:sz w:val="14"/>
          <w:szCs w:val="14"/>
        </w:rPr>
        <w:t xml:space="preserve"> Consejo de Estado. Sala de Consulta y Servicio Civil. Concepto del 18 de febrero 2010. Rad. 11001-03-06-000-2010-00006-00 (1985). C.P. Enrique José Arboleda Perdomo.</w:t>
      </w:r>
    </w:p>
    <w:p w14:paraId="11A0BFAD" w14:textId="77777777" w:rsidR="00066B32" w:rsidRPr="00684B48" w:rsidRDefault="00066B32" w:rsidP="00CB650E">
      <w:pPr>
        <w:pStyle w:val="Textonotapie"/>
        <w:ind w:firstLine="709"/>
        <w:jc w:val="both"/>
        <w:rPr>
          <w:rFonts w:ascii="Verdana" w:hAnsi="Verdana" w:cs="Arial"/>
          <w:sz w:val="14"/>
          <w:szCs w:val="14"/>
        </w:rPr>
      </w:pPr>
    </w:p>
  </w:footnote>
  <w:footnote w:id="27">
    <w:p w14:paraId="5330A594" w14:textId="77777777" w:rsidR="003E253F" w:rsidRPr="003E253F" w:rsidRDefault="003E253F" w:rsidP="00CB650E">
      <w:pPr>
        <w:pStyle w:val="Textonotapie"/>
        <w:ind w:firstLine="709"/>
        <w:jc w:val="both"/>
        <w:rPr>
          <w:rFonts w:ascii="Verdana" w:hAnsi="Verdana"/>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w:t>
      </w:r>
      <w:r w:rsidRPr="003E253F">
        <w:rPr>
          <w:rFonts w:ascii="Verdana" w:hAnsi="Verdana"/>
          <w:sz w:val="14"/>
          <w:szCs w:val="14"/>
        </w:rPr>
        <w:t>Por la cual se modifica la Ley 29 de 1990, se transforma a Colciencias en Departamento Administrativo, se fortalece el Sistema Nacional de Ciencia, Tecnología e Innovación&lt;</w:t>
      </w:r>
      <w:hyperlink r:id="rId3" w:anchor="1" w:history="1">
        <w:r w:rsidRPr="001D6D08">
          <w:rPr>
            <w:rFonts w:ascii="Verdana" w:hAnsi="Verdana"/>
            <w:sz w:val="14"/>
            <w:szCs w:val="14"/>
          </w:rPr>
          <w:t>1</w:t>
        </w:r>
      </w:hyperlink>
      <w:r w:rsidRPr="003E253F">
        <w:rPr>
          <w:rFonts w:ascii="Verdana" w:hAnsi="Verdana"/>
          <w:sz w:val="14"/>
          <w:szCs w:val="14"/>
        </w:rPr>
        <w:t>&gt; en Colombia y se dictan otras disposiciones.</w:t>
      </w:r>
    </w:p>
    <w:p w14:paraId="0C4CF7A2" w14:textId="77777777" w:rsidR="003E253F" w:rsidRPr="00CB650E" w:rsidRDefault="003E253F" w:rsidP="00CB650E">
      <w:pPr>
        <w:pStyle w:val="Textonotapie"/>
        <w:ind w:firstLine="709"/>
        <w:jc w:val="both"/>
        <w:rPr>
          <w:rFonts w:ascii="Verdana" w:hAnsi="Verdana"/>
          <w:sz w:val="14"/>
          <w:szCs w:val="14"/>
        </w:rPr>
      </w:pPr>
    </w:p>
  </w:footnote>
  <w:footnote w:id="28">
    <w:p w14:paraId="7FC4C5A8" w14:textId="77777777" w:rsidR="003E253F" w:rsidRPr="003E253F" w:rsidRDefault="003E253F" w:rsidP="00CB650E">
      <w:pPr>
        <w:pStyle w:val="Textonotapie"/>
        <w:ind w:firstLine="709"/>
        <w:jc w:val="both"/>
        <w:rPr>
          <w:rFonts w:ascii="Verdana" w:hAnsi="Verdana"/>
          <w:sz w:val="14"/>
          <w:szCs w:val="14"/>
        </w:rPr>
      </w:pPr>
      <w:r w:rsidRPr="003E253F">
        <w:rPr>
          <w:rStyle w:val="Refdenotaalpie"/>
          <w:rFonts w:ascii="Verdana" w:hAnsi="Verdana"/>
          <w:sz w:val="14"/>
          <w:szCs w:val="14"/>
        </w:rPr>
        <w:footnoteRef/>
      </w:r>
      <w:r w:rsidRPr="003E253F">
        <w:rPr>
          <w:rFonts w:ascii="Verdana" w:hAnsi="Verdana"/>
          <w:sz w:val="14"/>
          <w:szCs w:val="14"/>
        </w:rPr>
        <w:t xml:space="preserve"> Decreto Ley 393 de 1991. “Artículo 1°. Modalidades de asociación. Para adelantar actividades científicas y tecnológicas proyectos de investigación y creación de tecnologías, la Nación y sus entidades descentralizadas podrán asociarse con los particulares bajo dos modalidades. </w:t>
      </w:r>
    </w:p>
    <w:p w14:paraId="3ADFCCFF" w14:textId="77777777" w:rsidR="003E253F" w:rsidRPr="003E253F" w:rsidRDefault="003E253F" w:rsidP="00CB650E">
      <w:pPr>
        <w:pStyle w:val="Textonotapie"/>
        <w:ind w:firstLine="709"/>
        <w:jc w:val="both"/>
        <w:rPr>
          <w:rFonts w:ascii="Verdana" w:hAnsi="Verdana"/>
          <w:sz w:val="14"/>
          <w:szCs w:val="14"/>
        </w:rPr>
      </w:pPr>
      <w:r w:rsidRPr="003E253F">
        <w:rPr>
          <w:rFonts w:ascii="Verdana" w:hAnsi="Verdana"/>
          <w:sz w:val="14"/>
          <w:szCs w:val="14"/>
        </w:rPr>
        <w:t>1. Mediante la creación y organización de sociedades civiles y comerciales y personas jurídicas sin ánimo de lucro como corporaciones y fundaciones. </w:t>
      </w:r>
    </w:p>
    <w:p w14:paraId="36C81BFE" w14:textId="77777777" w:rsidR="003E253F" w:rsidRPr="003E253F" w:rsidRDefault="003E253F" w:rsidP="00CB650E">
      <w:pPr>
        <w:pStyle w:val="Textonotapie"/>
        <w:ind w:firstLine="709"/>
        <w:jc w:val="both"/>
        <w:rPr>
          <w:rFonts w:ascii="Verdana" w:hAnsi="Verdana"/>
          <w:sz w:val="14"/>
          <w:szCs w:val="14"/>
        </w:rPr>
      </w:pPr>
      <w:r w:rsidRPr="003E253F">
        <w:rPr>
          <w:rFonts w:ascii="Verdana" w:hAnsi="Verdana"/>
          <w:sz w:val="14"/>
          <w:szCs w:val="14"/>
        </w:rPr>
        <w:t>2. Mediante la celebración de convenios especiales de cooperación”. </w:t>
      </w:r>
    </w:p>
    <w:p w14:paraId="35E6B272" w14:textId="4C5B3C40" w:rsidR="003E253F" w:rsidRDefault="003E253F" w:rsidP="00A53A1E">
      <w:pPr>
        <w:pStyle w:val="Textonotapie"/>
        <w:ind w:firstLine="709"/>
        <w:jc w:val="both"/>
        <w:rPr>
          <w:rFonts w:ascii="Verdana" w:hAnsi="Verdana"/>
          <w:sz w:val="14"/>
          <w:szCs w:val="14"/>
        </w:rPr>
      </w:pPr>
      <w:r w:rsidRPr="003E253F">
        <w:rPr>
          <w:rFonts w:ascii="Verdana" w:hAnsi="Verdana"/>
          <w:sz w:val="14"/>
          <w:szCs w:val="14"/>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w:t>
      </w:r>
      <w:r w:rsidRPr="00CB650E">
        <w:rPr>
          <w:rFonts w:ascii="Verdana" w:hAnsi="Verdana"/>
          <w:sz w:val="14"/>
          <w:szCs w:val="14"/>
        </w:rPr>
        <w:t> </w:t>
      </w:r>
    </w:p>
    <w:p w14:paraId="63233F8F" w14:textId="77777777" w:rsidR="003E253F" w:rsidRPr="004A42DD" w:rsidRDefault="003E253F" w:rsidP="004A42DD">
      <w:pPr>
        <w:pStyle w:val="Textonotapie"/>
        <w:ind w:firstLine="709"/>
        <w:jc w:val="both"/>
        <w:rPr>
          <w:rFonts w:ascii="Verdana" w:hAnsi="Verdana"/>
          <w:sz w:val="14"/>
          <w:szCs w:val="14"/>
        </w:rPr>
      </w:pPr>
    </w:p>
  </w:footnote>
  <w:footnote w:id="29">
    <w:p w14:paraId="6E588AB7" w14:textId="5A4A48C2" w:rsidR="003E253F" w:rsidRDefault="003E253F" w:rsidP="00A53A1E">
      <w:pPr>
        <w:pStyle w:val="Textonotapie"/>
        <w:ind w:firstLine="709"/>
        <w:jc w:val="both"/>
        <w:rPr>
          <w:rFonts w:ascii="Verdana" w:hAnsi="Verdana"/>
          <w:sz w:val="14"/>
          <w:szCs w:val="14"/>
          <w:lang w:val="es-CO"/>
        </w:rPr>
      </w:pPr>
      <w:r w:rsidRPr="003E253F">
        <w:rPr>
          <w:rStyle w:val="Refdenotaalpie"/>
          <w:rFonts w:ascii="Verdana" w:hAnsi="Verdana"/>
          <w:sz w:val="14"/>
          <w:szCs w:val="14"/>
        </w:rPr>
        <w:footnoteRef/>
      </w:r>
      <w:r w:rsidRPr="003E253F">
        <w:rPr>
          <w:rFonts w:ascii="Verdana" w:hAnsi="Verdana"/>
          <w:sz w:val="14"/>
          <w:szCs w:val="14"/>
        </w:rPr>
        <w:t xml:space="preserve"> </w:t>
      </w:r>
      <w:r w:rsidRPr="003E253F">
        <w:rPr>
          <w:rFonts w:ascii="Verdana" w:hAnsi="Verdana"/>
          <w:sz w:val="14"/>
          <w:szCs w:val="14"/>
          <w:lang w:val="es-CO"/>
        </w:rPr>
        <w:t>Consejo de Estado. Sala de Consulta y Servicio Civil. Concepto del ocho (08) de marzo de dos mil diecisiete (2017). Radicación número: 11001-03-06-000-2016-00102-00(2298). C.P. Edgar González López.</w:t>
      </w:r>
    </w:p>
    <w:p w14:paraId="6ED62552" w14:textId="77777777" w:rsidR="003E253F" w:rsidRPr="00684B48" w:rsidRDefault="003E253F" w:rsidP="004A42DD">
      <w:pPr>
        <w:pStyle w:val="Textonotapie"/>
        <w:ind w:firstLine="709"/>
        <w:jc w:val="both"/>
        <w:rPr>
          <w:rFonts w:ascii="Verdana" w:hAnsi="Verdana"/>
          <w:sz w:val="14"/>
          <w:szCs w:val="14"/>
          <w:lang w:val="es-ES"/>
        </w:rPr>
      </w:pPr>
    </w:p>
  </w:footnote>
  <w:footnote w:id="30">
    <w:p w14:paraId="55CE7D60" w14:textId="77777777" w:rsidR="003E253F" w:rsidRPr="003E253F" w:rsidRDefault="003E253F" w:rsidP="003E253F">
      <w:pPr>
        <w:pStyle w:val="Textonotapie"/>
        <w:ind w:firstLine="709"/>
        <w:jc w:val="both"/>
        <w:rPr>
          <w:rFonts w:ascii="Verdana" w:hAnsi="Verdana" w:cs="Arial"/>
          <w:color w:val="000000" w:themeColor="text1"/>
          <w:sz w:val="14"/>
          <w:szCs w:val="14"/>
        </w:rPr>
      </w:pPr>
      <w:r w:rsidRPr="003E253F">
        <w:rPr>
          <w:rStyle w:val="Refdenotaalpie"/>
          <w:rFonts w:ascii="Verdana" w:hAnsi="Verdana" w:cs="Arial"/>
          <w:sz w:val="14"/>
          <w:szCs w:val="14"/>
        </w:rPr>
        <w:footnoteRef/>
      </w:r>
      <w:r w:rsidRPr="003E253F">
        <w:rPr>
          <w:rFonts w:ascii="Verdana" w:hAnsi="Verdana" w:cs="Arial"/>
          <w:color w:val="000000" w:themeColor="text1"/>
          <w:sz w:val="14"/>
          <w:szCs w:val="14"/>
        </w:rPr>
        <w:t xml:space="preserve"> Colombia Compra Eficiente, Circular Externa Única: “De conformidad con lo dispuesto en el artículo 33 de la Ley 1286 de 2009, las actividades, contratos y convenios que tengan por objeto la realización de actividades definidas como de ciencia, tecnología e innovación, que celebren las Entidades Estatales, continuarán rigiéndose por las normas especiales que les sean aplicables.</w:t>
      </w:r>
    </w:p>
    <w:p w14:paraId="6DAC9F1E" w14:textId="77777777" w:rsidR="003E253F" w:rsidRPr="003E253F" w:rsidRDefault="003E253F" w:rsidP="003E253F">
      <w:pPr>
        <w:pStyle w:val="Textonotapie"/>
        <w:ind w:firstLine="709"/>
        <w:jc w:val="both"/>
        <w:rPr>
          <w:rFonts w:ascii="Verdana" w:hAnsi="Verdana" w:cs="Arial"/>
          <w:color w:val="000000" w:themeColor="text1"/>
          <w:sz w:val="14"/>
          <w:szCs w:val="14"/>
        </w:rPr>
      </w:pPr>
      <w:r w:rsidRPr="003E253F">
        <w:rPr>
          <w:rFonts w:ascii="Verdana" w:hAnsi="Verdana" w:cs="Arial"/>
          <w:color w:val="000000" w:themeColor="text1"/>
          <w:sz w:val="14"/>
          <w:szCs w:val="14"/>
        </w:rPr>
        <w:t>“El Documento CONPES 4069 de 2021, donde se define cuáles son estas actividades de los actores del Sistema Nacional de Ciencia, Tecnología e Innovación.</w:t>
      </w:r>
    </w:p>
    <w:p w14:paraId="12613A89" w14:textId="2862BBBE" w:rsidR="003E253F" w:rsidRDefault="003E253F" w:rsidP="00A53A1E">
      <w:pPr>
        <w:pStyle w:val="Textonotapie"/>
        <w:ind w:firstLine="709"/>
        <w:jc w:val="both"/>
        <w:rPr>
          <w:rFonts w:ascii="Verdana" w:hAnsi="Verdana" w:cs="Arial"/>
          <w:color w:val="000000" w:themeColor="text1"/>
          <w:sz w:val="14"/>
          <w:szCs w:val="14"/>
        </w:rPr>
      </w:pPr>
      <w:r w:rsidRPr="003E253F">
        <w:rPr>
          <w:rFonts w:ascii="Verdana" w:hAnsi="Verdana" w:cs="Arial"/>
          <w:color w:val="000000" w:themeColor="text1"/>
          <w:sz w:val="14"/>
          <w:szCs w:val="14"/>
        </w:rPr>
        <w:t>“En caso de que las Entidades Estatales no tengan certeza sobre la catalogación de las actividades científicas, tecnológicas y de innovación, deben acudir al Ministerio de Ciencia, Tecnología e Innovación, autoridad competente en la materia.”</w:t>
      </w:r>
    </w:p>
    <w:p w14:paraId="6EC932B9" w14:textId="77777777" w:rsidR="003E253F" w:rsidRPr="003E253F" w:rsidRDefault="003E253F" w:rsidP="003E253F">
      <w:pPr>
        <w:pStyle w:val="Textonotapie"/>
        <w:ind w:firstLine="709"/>
        <w:jc w:val="both"/>
        <w:rPr>
          <w:rFonts w:ascii="Verdana" w:hAnsi="Verdana" w:cs="Arial"/>
          <w:color w:val="000000" w:themeColor="text1"/>
          <w:sz w:val="14"/>
          <w:szCs w:val="14"/>
        </w:rPr>
      </w:pPr>
    </w:p>
  </w:footnote>
  <w:footnote w:id="31">
    <w:p w14:paraId="370F5E54" w14:textId="37ABE715" w:rsidR="003E253F" w:rsidRDefault="003E253F" w:rsidP="00A53A1E">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Consejo de Estado. Sala de consulta y Servicio Civil. Concepto del 26 de noviembre del 2009. Radicado Nro. 11001-03-06-000-2009-0062-00 (1974). C.P. Luis Fernando Álvarez Jaramillo.</w:t>
      </w:r>
    </w:p>
    <w:p w14:paraId="58CCDE7A" w14:textId="77777777" w:rsidR="003E253F" w:rsidRPr="00684B48" w:rsidRDefault="003E253F" w:rsidP="004A42DD">
      <w:pPr>
        <w:pStyle w:val="Textonotapie"/>
        <w:ind w:firstLine="709"/>
        <w:jc w:val="both"/>
        <w:rPr>
          <w:rFonts w:ascii="Verdana" w:hAnsi="Verdana"/>
          <w:sz w:val="14"/>
          <w:szCs w:val="14"/>
          <w:lang w:val="es-ES"/>
        </w:rPr>
      </w:pPr>
    </w:p>
  </w:footnote>
  <w:footnote w:id="32">
    <w:p w14:paraId="63A29E12" w14:textId="467FE3F5" w:rsidR="003E253F" w:rsidRDefault="003E253F" w:rsidP="00A53A1E">
      <w:pPr>
        <w:pStyle w:val="Textonotapie"/>
        <w:ind w:firstLine="709"/>
        <w:jc w:val="both"/>
        <w:rPr>
          <w:rStyle w:val="Hipervnculo"/>
          <w:rFonts w:ascii="Verdana" w:hAnsi="Verdana"/>
          <w:sz w:val="14"/>
          <w:szCs w:val="14"/>
          <w:lang w:val="es-CO"/>
        </w:rPr>
      </w:pPr>
      <w:r w:rsidRPr="003E253F">
        <w:rPr>
          <w:rStyle w:val="Refdenotaalpie"/>
          <w:rFonts w:ascii="Verdana" w:hAnsi="Verdana"/>
          <w:sz w:val="14"/>
          <w:szCs w:val="14"/>
        </w:rPr>
        <w:footnoteRef/>
      </w:r>
      <w:r w:rsidRPr="003E253F">
        <w:rPr>
          <w:rFonts w:ascii="Verdana" w:hAnsi="Verdana"/>
          <w:sz w:val="14"/>
          <w:szCs w:val="14"/>
        </w:rPr>
        <w:t xml:space="preserve"> </w:t>
      </w:r>
      <w:r w:rsidRPr="003E253F">
        <w:rPr>
          <w:rFonts w:ascii="Verdana" w:hAnsi="Verdana"/>
          <w:sz w:val="14"/>
          <w:szCs w:val="14"/>
          <w:lang w:val="es-ES"/>
        </w:rPr>
        <w:t xml:space="preserve">Agencia Nacional de Contratación Pública – Colombia Compra Eficiente. Circular Externa No. 006 del 25 de septiembre de 2025. </w:t>
      </w:r>
      <w:r w:rsidRPr="00684B48">
        <w:rPr>
          <w:rFonts w:ascii="Verdana" w:hAnsi="Verdana"/>
          <w:sz w:val="14"/>
          <w:szCs w:val="14"/>
          <w:lang w:val="es-ES"/>
        </w:rPr>
        <w:t xml:space="preserve">Disponible en </w:t>
      </w:r>
      <w:hyperlink r:id="rId4" w:history="1">
        <w:r w:rsidRPr="001D6D08">
          <w:rPr>
            <w:rStyle w:val="Hipervnculo"/>
            <w:rFonts w:ascii="Verdana" w:hAnsi="Verdana"/>
            <w:sz w:val="14"/>
            <w:szCs w:val="14"/>
            <w:lang w:val="es-CO"/>
          </w:rPr>
          <w:t>006-de-2025-Circular-Externa-L996-ajustado-comentarios-BM-BID-Rev-ARSC-V3.d-1.pdf</w:t>
        </w:r>
      </w:hyperlink>
    </w:p>
    <w:p w14:paraId="33590E96" w14:textId="5CC6F916" w:rsidR="003E253F" w:rsidRPr="001D6D08" w:rsidRDefault="003E253F" w:rsidP="004A42DD">
      <w:pPr>
        <w:pStyle w:val="Textonotapie"/>
        <w:ind w:firstLine="709"/>
        <w:jc w:val="both"/>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546F3E"/>
    <w:multiLevelType w:val="hybridMultilevel"/>
    <w:tmpl w:val="249CDDD8"/>
    <w:lvl w:ilvl="0" w:tplc="23FE460A">
      <w:start w:val="1"/>
      <w:numFmt w:val="lowerRoman"/>
      <w:lvlText w:val="(%1)"/>
      <w:lvlJc w:val="left"/>
      <w:pPr>
        <w:ind w:left="1070" w:hanging="360"/>
      </w:pPr>
      <w:rPr>
        <w:rFonts w:ascii="Verdana" w:eastAsia="Times New Roman" w:hAnsi="Verdana" w:cs="Arial"/>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358431546">
    <w:abstractNumId w:val="3"/>
  </w:num>
  <w:num w:numId="18" w16cid:durableId="13239695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B28"/>
    <w:rsid w:val="00046945"/>
    <w:rsid w:val="00061B2A"/>
    <w:rsid w:val="00066B32"/>
    <w:rsid w:val="00082362"/>
    <w:rsid w:val="000A5D17"/>
    <w:rsid w:val="000A646A"/>
    <w:rsid w:val="000A683E"/>
    <w:rsid w:val="000B19B9"/>
    <w:rsid w:val="000D0334"/>
    <w:rsid w:val="000D5DA7"/>
    <w:rsid w:val="000F6486"/>
    <w:rsid w:val="00116940"/>
    <w:rsid w:val="00125105"/>
    <w:rsid w:val="00127233"/>
    <w:rsid w:val="00130C72"/>
    <w:rsid w:val="00142A65"/>
    <w:rsid w:val="0015699B"/>
    <w:rsid w:val="00187B26"/>
    <w:rsid w:val="001A33BF"/>
    <w:rsid w:val="001D6D08"/>
    <w:rsid w:val="001E4177"/>
    <w:rsid w:val="001E437D"/>
    <w:rsid w:val="001F0B24"/>
    <w:rsid w:val="001F3439"/>
    <w:rsid w:val="001F7DC6"/>
    <w:rsid w:val="0022400B"/>
    <w:rsid w:val="002421BB"/>
    <w:rsid w:val="00243152"/>
    <w:rsid w:val="0025796E"/>
    <w:rsid w:val="002707A2"/>
    <w:rsid w:val="002951A0"/>
    <w:rsid w:val="002962BC"/>
    <w:rsid w:val="002A093D"/>
    <w:rsid w:val="002A0DD0"/>
    <w:rsid w:val="002A49AC"/>
    <w:rsid w:val="002A64FD"/>
    <w:rsid w:val="002C7A84"/>
    <w:rsid w:val="002E2BF8"/>
    <w:rsid w:val="002E3E27"/>
    <w:rsid w:val="002E4FD9"/>
    <w:rsid w:val="0030657A"/>
    <w:rsid w:val="00322A85"/>
    <w:rsid w:val="00324168"/>
    <w:rsid w:val="00330834"/>
    <w:rsid w:val="003448F4"/>
    <w:rsid w:val="003508A0"/>
    <w:rsid w:val="00360AB5"/>
    <w:rsid w:val="00374F5E"/>
    <w:rsid w:val="00377E3E"/>
    <w:rsid w:val="00386FE5"/>
    <w:rsid w:val="003A779E"/>
    <w:rsid w:val="003D0F4D"/>
    <w:rsid w:val="003D5B0D"/>
    <w:rsid w:val="003D5EA8"/>
    <w:rsid w:val="003E0499"/>
    <w:rsid w:val="003E253F"/>
    <w:rsid w:val="003E4F80"/>
    <w:rsid w:val="003E6439"/>
    <w:rsid w:val="003E797F"/>
    <w:rsid w:val="003F3941"/>
    <w:rsid w:val="004062B1"/>
    <w:rsid w:val="00406575"/>
    <w:rsid w:val="00414C74"/>
    <w:rsid w:val="0042722E"/>
    <w:rsid w:val="00444A15"/>
    <w:rsid w:val="0044528D"/>
    <w:rsid w:val="0045723F"/>
    <w:rsid w:val="00466E39"/>
    <w:rsid w:val="004829D6"/>
    <w:rsid w:val="004A1847"/>
    <w:rsid w:val="004A305D"/>
    <w:rsid w:val="004A42DD"/>
    <w:rsid w:val="004F21C4"/>
    <w:rsid w:val="004F685F"/>
    <w:rsid w:val="0053295A"/>
    <w:rsid w:val="005566E8"/>
    <w:rsid w:val="00574867"/>
    <w:rsid w:val="00591460"/>
    <w:rsid w:val="005A65E0"/>
    <w:rsid w:val="005B24D8"/>
    <w:rsid w:val="005C3777"/>
    <w:rsid w:val="005C5CDC"/>
    <w:rsid w:val="005D476C"/>
    <w:rsid w:val="006200BF"/>
    <w:rsid w:val="006219F8"/>
    <w:rsid w:val="00626431"/>
    <w:rsid w:val="0062698A"/>
    <w:rsid w:val="006302F7"/>
    <w:rsid w:val="00646B9F"/>
    <w:rsid w:val="00647D77"/>
    <w:rsid w:val="00665D70"/>
    <w:rsid w:val="00684B48"/>
    <w:rsid w:val="006900D9"/>
    <w:rsid w:val="00706C16"/>
    <w:rsid w:val="007340C3"/>
    <w:rsid w:val="0075235A"/>
    <w:rsid w:val="00756841"/>
    <w:rsid w:val="007649AB"/>
    <w:rsid w:val="00771D0C"/>
    <w:rsid w:val="007833AC"/>
    <w:rsid w:val="007B268C"/>
    <w:rsid w:val="007B7171"/>
    <w:rsid w:val="007C0C0F"/>
    <w:rsid w:val="007C3DC2"/>
    <w:rsid w:val="007C50B2"/>
    <w:rsid w:val="007E5497"/>
    <w:rsid w:val="00806F5F"/>
    <w:rsid w:val="00820278"/>
    <w:rsid w:val="008258C9"/>
    <w:rsid w:val="00830AE2"/>
    <w:rsid w:val="00844AE9"/>
    <w:rsid w:val="00867F95"/>
    <w:rsid w:val="008746BD"/>
    <w:rsid w:val="008843B6"/>
    <w:rsid w:val="00891928"/>
    <w:rsid w:val="008A446D"/>
    <w:rsid w:val="008B25F1"/>
    <w:rsid w:val="008D180B"/>
    <w:rsid w:val="008F0EA7"/>
    <w:rsid w:val="00923EEF"/>
    <w:rsid w:val="00934181"/>
    <w:rsid w:val="00934714"/>
    <w:rsid w:val="009419F9"/>
    <w:rsid w:val="0095685E"/>
    <w:rsid w:val="00961B09"/>
    <w:rsid w:val="00965334"/>
    <w:rsid w:val="0097093E"/>
    <w:rsid w:val="0099386F"/>
    <w:rsid w:val="009A0DFA"/>
    <w:rsid w:val="009A1C6F"/>
    <w:rsid w:val="009A35C5"/>
    <w:rsid w:val="009B2D26"/>
    <w:rsid w:val="009C71FA"/>
    <w:rsid w:val="009C72E7"/>
    <w:rsid w:val="009C7F7E"/>
    <w:rsid w:val="009D3058"/>
    <w:rsid w:val="009D3EE3"/>
    <w:rsid w:val="009F3A13"/>
    <w:rsid w:val="00A122D3"/>
    <w:rsid w:val="00A14468"/>
    <w:rsid w:val="00A17F13"/>
    <w:rsid w:val="00A20739"/>
    <w:rsid w:val="00A23AF9"/>
    <w:rsid w:val="00A33C78"/>
    <w:rsid w:val="00A53A1E"/>
    <w:rsid w:val="00A91DFF"/>
    <w:rsid w:val="00AB0ADB"/>
    <w:rsid w:val="00AC2AA6"/>
    <w:rsid w:val="00AD294A"/>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B650E"/>
    <w:rsid w:val="00CC1B26"/>
    <w:rsid w:val="00D361FD"/>
    <w:rsid w:val="00D423A2"/>
    <w:rsid w:val="00D44E26"/>
    <w:rsid w:val="00D520D8"/>
    <w:rsid w:val="00D63AC2"/>
    <w:rsid w:val="00D7383B"/>
    <w:rsid w:val="00D7788A"/>
    <w:rsid w:val="00D9087C"/>
    <w:rsid w:val="00DA231B"/>
    <w:rsid w:val="00DC39FC"/>
    <w:rsid w:val="00DE525A"/>
    <w:rsid w:val="00DF5254"/>
    <w:rsid w:val="00E02524"/>
    <w:rsid w:val="00E16408"/>
    <w:rsid w:val="00E20894"/>
    <w:rsid w:val="00E245AB"/>
    <w:rsid w:val="00E2764C"/>
    <w:rsid w:val="00E27F2E"/>
    <w:rsid w:val="00E50AFE"/>
    <w:rsid w:val="00E57D87"/>
    <w:rsid w:val="00E759B9"/>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004A"/>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04C8931"/>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E253F"/>
    <w:rPr>
      <w:rFonts w:ascii="Geomanist Light" w:hAnsi="Geomanist Light"/>
      <w:lang w:val="es-ES"/>
    </w:rPr>
  </w:style>
  <w:style w:type="paragraph" w:customStyle="1" w:styleId="Appelnotedebasde">
    <w:name w:val="Appel note de bas de..."/>
    <w:basedOn w:val="Normal"/>
    <w:link w:val="Refdenotaalpie"/>
    <w:uiPriority w:val="99"/>
    <w:rsid w:val="003E253F"/>
    <w:pPr>
      <w:spacing w:line="240" w:lineRule="exact"/>
    </w:pPr>
    <w:rPr>
      <w:vertAlign w:val="superscript"/>
    </w:rPr>
  </w:style>
  <w:style w:type="character" w:customStyle="1" w:styleId="NormalWebCar">
    <w:name w:val="Normal (Web) Car"/>
    <w:link w:val="NormalWeb"/>
    <w:uiPriority w:val="99"/>
    <w:locked/>
    <w:rsid w:val="003E253F"/>
    <w:rPr>
      <w:rFonts w:ascii="Times New Roman" w:eastAsia="Times New Roman" w:hAnsi="Times New Roman" w:cs="Times New Roman"/>
      <w:sz w:val="24"/>
      <w:szCs w:val="24"/>
      <w:lang w:eastAsia="es-CO"/>
    </w:rPr>
  </w:style>
  <w:style w:type="character" w:customStyle="1" w:styleId="baj">
    <w:name w:val="b_aj"/>
    <w:basedOn w:val="Fuentedeprrafopredeter"/>
    <w:rsid w:val="003E25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colombiacompra.gov.co/wp-content/uploads/2025/09/006-de-2025-Circular-Externa-L996-ajustado-comentarios-BM-BID-Rev-ARSC-V3.d-1.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g.alejandrapalacio@outlook.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1286_2009.html" TargetMode="External"/><Relationship Id="rId2" Type="http://schemas.openxmlformats.org/officeDocument/2006/relationships/hyperlink" Target="https://relatoria.colombiacompra.gov.co/conceptos/c-048-de-2026/" TargetMode="External"/><Relationship Id="rId1" Type="http://schemas.openxmlformats.org/officeDocument/2006/relationships/hyperlink" Target="https://colombiacompra.gov.co/wp-content/uploads/2025/09/006-de-2025-Circular-Externa-L996-ajustado-comentarios-BM-BID-Rev-ARSC-V3.d-1.pdf" TargetMode="External"/><Relationship Id="rId4"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DE64FFF-DE6F-4FC7-AAD7-15E788DB1C9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38</Pages>
  <Words>13612</Words>
  <Characters>74868</Characters>
  <Application>Microsoft Office Word</Application>
  <DocSecurity>0</DocSecurity>
  <Lines>623</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2026-03-30T01:35:00Z</dcterms:created>
  <dcterms:modified xsi:type="dcterms:W3CDTF">2026-03-30T14:02:00Z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