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DD85A" w14:textId="77777777" w:rsidR="00070863" w:rsidRPr="00C34E7A" w:rsidRDefault="00070863" w:rsidP="00724D0D">
      <w:pPr>
        <w:spacing w:after="240"/>
        <w:jc w:val="both"/>
        <w:rPr>
          <w:rFonts w:ascii="Verdana" w:eastAsia="Arial" w:hAnsi="Verdana" w:cs="Arial"/>
          <w:b/>
          <w:lang w:val="es-ES"/>
        </w:rPr>
      </w:pPr>
      <w:bookmarkStart w:id="0" w:name="_Hlk143780582"/>
      <w:r w:rsidRPr="00C34E7A">
        <w:rPr>
          <w:rFonts w:ascii="Verdana" w:eastAsia="Arial" w:hAnsi="Verdana" w:cs="Arial"/>
          <w:b/>
          <w:lang w:val="es-ES"/>
        </w:rPr>
        <w:t xml:space="preserve">LEY DE GARANTÍAS ELECTORALES – Finalidad </w:t>
      </w:r>
    </w:p>
    <w:p w14:paraId="6A03DADE" w14:textId="30F05ECD" w:rsidR="00070863" w:rsidRPr="00C34E7A" w:rsidRDefault="00070863" w:rsidP="00A95B89">
      <w:pPr>
        <w:spacing w:after="240" w:line="240" w:lineRule="auto"/>
        <w:jc w:val="both"/>
        <w:rPr>
          <w:rFonts w:ascii="Verdana" w:eastAsia="Arial" w:hAnsi="Verdana" w:cs="Arial"/>
          <w:bCs/>
          <w:sz w:val="20"/>
          <w:szCs w:val="20"/>
          <w:lang w:val="es-MX"/>
        </w:rPr>
      </w:pPr>
      <w:r w:rsidRPr="00C34E7A">
        <w:rPr>
          <w:rFonts w:ascii="Verdana" w:eastAsia="Arial" w:hAnsi="Verdana" w:cs="Arial"/>
          <w:bCs/>
          <w:sz w:val="20"/>
          <w:szCs w:val="20"/>
          <w:lang w:val="es-MX"/>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9F15B89" w14:textId="72BC0922" w:rsidR="00070863" w:rsidRPr="00C34E7A" w:rsidRDefault="00070863" w:rsidP="00214287">
      <w:pPr>
        <w:spacing w:after="0"/>
        <w:jc w:val="both"/>
        <w:rPr>
          <w:rFonts w:ascii="Verdana" w:eastAsia="Arial" w:hAnsi="Verdana" w:cs="Arial"/>
          <w:b/>
          <w:lang w:val="es-ES"/>
        </w:rPr>
      </w:pPr>
      <w:r w:rsidRPr="00C34E7A">
        <w:rPr>
          <w:rFonts w:ascii="Verdana" w:eastAsia="Arial" w:hAnsi="Verdana" w:cs="Arial"/>
          <w:b/>
          <w:lang w:val="es-ES"/>
        </w:rPr>
        <w:t xml:space="preserve">LEY DE GARANTÍAS ELECTORALES ‒ Restricciones ‒ Contratación ‒ Tipos de elección </w:t>
      </w:r>
    </w:p>
    <w:p w14:paraId="594C5C8A" w14:textId="77777777" w:rsidR="00070863" w:rsidRPr="00C34E7A" w:rsidRDefault="00070863" w:rsidP="00214287">
      <w:pPr>
        <w:spacing w:after="0"/>
        <w:jc w:val="both"/>
        <w:rPr>
          <w:rFonts w:ascii="Verdana" w:eastAsia="Arial" w:hAnsi="Verdana" w:cs="Arial"/>
          <w:b/>
          <w:lang w:val="es-ES"/>
        </w:rPr>
      </w:pPr>
    </w:p>
    <w:p w14:paraId="666E4480" w14:textId="77777777" w:rsidR="00070863" w:rsidRPr="00C34E7A" w:rsidRDefault="00070863" w:rsidP="00C34E7A">
      <w:pPr>
        <w:spacing w:after="0" w:line="240" w:lineRule="auto"/>
        <w:jc w:val="both"/>
        <w:rPr>
          <w:rFonts w:ascii="Verdana" w:eastAsia="Arial" w:hAnsi="Verdana" w:cs="Arial"/>
          <w:bCs/>
          <w:sz w:val="20"/>
          <w:szCs w:val="20"/>
        </w:rPr>
      </w:pPr>
      <w:r w:rsidRPr="00070863">
        <w:rPr>
          <w:rFonts w:ascii="Verdana" w:eastAsia="Arial" w:hAnsi="Verdana" w:cs="Arial"/>
          <w:bCs/>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81CF47" w14:textId="77777777" w:rsidR="00A95B89" w:rsidRPr="00C34E7A" w:rsidRDefault="00A95B89" w:rsidP="00C34E7A">
      <w:pPr>
        <w:spacing w:after="0" w:line="240" w:lineRule="auto"/>
        <w:jc w:val="both"/>
        <w:rPr>
          <w:rFonts w:ascii="Verdana" w:eastAsia="Arial" w:hAnsi="Verdana" w:cs="Arial"/>
          <w:bCs/>
          <w:sz w:val="20"/>
          <w:szCs w:val="20"/>
        </w:rPr>
      </w:pPr>
    </w:p>
    <w:p w14:paraId="711A57E2" w14:textId="77777777" w:rsidR="00070863" w:rsidRPr="00C34E7A" w:rsidRDefault="00070863" w:rsidP="00C34E7A">
      <w:pPr>
        <w:spacing w:after="0" w:line="240" w:lineRule="auto"/>
        <w:jc w:val="both"/>
        <w:rPr>
          <w:rFonts w:ascii="Verdana" w:eastAsia="Arial" w:hAnsi="Verdana" w:cs="Arial"/>
          <w:bCs/>
          <w:sz w:val="20"/>
          <w:szCs w:val="20"/>
        </w:rPr>
      </w:pPr>
      <w:r w:rsidRPr="00070863">
        <w:rPr>
          <w:rFonts w:ascii="Verdana" w:eastAsia="Arial" w:hAnsi="Verdana" w:cs="Arial"/>
          <w:bCs/>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FDAC0F8" w14:textId="77777777" w:rsidR="00A95B89" w:rsidRPr="00C34E7A" w:rsidRDefault="00A95B89" w:rsidP="00C34E7A">
      <w:pPr>
        <w:spacing w:after="0" w:line="240" w:lineRule="auto"/>
        <w:jc w:val="both"/>
        <w:rPr>
          <w:rFonts w:ascii="Verdana" w:eastAsia="Arial" w:hAnsi="Verdana" w:cs="Arial"/>
          <w:bCs/>
          <w:sz w:val="20"/>
          <w:szCs w:val="20"/>
        </w:rPr>
      </w:pPr>
    </w:p>
    <w:p w14:paraId="522206F9" w14:textId="47F08490" w:rsidR="00070863" w:rsidRPr="00070863" w:rsidRDefault="00070863" w:rsidP="00C34E7A">
      <w:pPr>
        <w:spacing w:after="0" w:line="240" w:lineRule="auto"/>
        <w:jc w:val="both"/>
        <w:rPr>
          <w:rFonts w:ascii="Verdana" w:eastAsia="Arial" w:hAnsi="Verdana" w:cs="Arial"/>
          <w:bCs/>
          <w:sz w:val="20"/>
          <w:szCs w:val="20"/>
        </w:rPr>
      </w:pPr>
      <w:r w:rsidRPr="00070863">
        <w:rPr>
          <w:rFonts w:ascii="Verdana" w:eastAsia="Arial" w:hAnsi="Verdana" w:cs="Arial"/>
          <w:bCs/>
          <w:sz w:val="20"/>
          <w:szCs w:val="20"/>
        </w:rPr>
        <w:t>[…]</w:t>
      </w:r>
    </w:p>
    <w:p w14:paraId="173DE851" w14:textId="77777777" w:rsidR="00A95B89" w:rsidRPr="00C34E7A" w:rsidRDefault="00A95B89" w:rsidP="00C34E7A">
      <w:pPr>
        <w:spacing w:after="0" w:line="240" w:lineRule="auto"/>
        <w:jc w:val="both"/>
        <w:rPr>
          <w:rFonts w:ascii="Verdana" w:eastAsia="Arial" w:hAnsi="Verdana" w:cs="Arial"/>
          <w:bCs/>
          <w:sz w:val="20"/>
          <w:szCs w:val="20"/>
        </w:rPr>
      </w:pPr>
    </w:p>
    <w:p w14:paraId="76EF49DF" w14:textId="5629A8CF" w:rsidR="00070863" w:rsidRPr="00C34E7A" w:rsidRDefault="00070863" w:rsidP="00C34E7A">
      <w:pPr>
        <w:spacing w:after="0" w:line="240" w:lineRule="auto"/>
        <w:jc w:val="both"/>
        <w:rPr>
          <w:rFonts w:ascii="Verdana" w:eastAsia="Arial" w:hAnsi="Verdana" w:cs="Arial"/>
          <w:bCs/>
          <w:sz w:val="20"/>
          <w:szCs w:val="20"/>
        </w:rPr>
      </w:pPr>
      <w:r w:rsidRPr="00070863">
        <w:rPr>
          <w:rFonts w:ascii="Verdana" w:eastAsia="Arial" w:hAnsi="Verdana" w:cs="Arial"/>
          <w:bCs/>
          <w:sz w:val="20"/>
          <w:szCs w:val="20"/>
        </w:rPr>
        <w:t>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373C49EB" w14:textId="3D061A1B" w:rsidR="00070863" w:rsidRPr="00C34E7A" w:rsidRDefault="00070863" w:rsidP="00214287">
      <w:pPr>
        <w:spacing w:after="0"/>
        <w:jc w:val="both"/>
        <w:rPr>
          <w:rFonts w:ascii="Verdana" w:eastAsia="Arial" w:hAnsi="Verdana" w:cs="Arial"/>
          <w:b/>
          <w:lang w:val="es-ES"/>
        </w:rPr>
      </w:pPr>
      <w:r w:rsidRPr="00C34E7A">
        <w:rPr>
          <w:rFonts w:ascii="Verdana" w:eastAsia="Arial" w:hAnsi="Verdana" w:cs="Arial"/>
          <w:b/>
          <w:lang w:val="es-ES"/>
        </w:rPr>
        <w:lastRenderedPageBreak/>
        <w:t>LEY DE GARANTÍAS ELECTORALES ‒ Artículo 33 ‒ Contratación directa</w:t>
      </w:r>
    </w:p>
    <w:p w14:paraId="71071769" w14:textId="77777777" w:rsidR="00712C01" w:rsidRPr="00C34E7A" w:rsidRDefault="00712C01" w:rsidP="00214287">
      <w:pPr>
        <w:spacing w:after="0"/>
        <w:jc w:val="both"/>
        <w:rPr>
          <w:rFonts w:ascii="Verdana" w:eastAsia="Arial" w:hAnsi="Verdana" w:cs="Arial"/>
          <w:bCs/>
          <w:sz w:val="20"/>
          <w:szCs w:val="20"/>
          <w:lang w:val="es-ES"/>
        </w:rPr>
      </w:pPr>
    </w:p>
    <w:p w14:paraId="5DC05CA0" w14:textId="77777777" w:rsidR="00C34E7A" w:rsidRPr="00C34E7A" w:rsidRDefault="00C34E7A" w:rsidP="00C34E7A">
      <w:pPr>
        <w:spacing w:after="0" w:line="240" w:lineRule="auto"/>
        <w:jc w:val="both"/>
        <w:rPr>
          <w:rFonts w:ascii="Verdana" w:eastAsia="Arial" w:hAnsi="Verdana" w:cs="Arial"/>
          <w:bCs/>
          <w:sz w:val="20"/>
          <w:szCs w:val="20"/>
        </w:rPr>
      </w:pPr>
      <w:r w:rsidRPr="00C34E7A">
        <w:rPr>
          <w:rFonts w:ascii="Verdana" w:eastAsia="Arial" w:hAnsi="Verdana" w:cs="Arial"/>
          <w:bCs/>
          <w:sz w:val="20"/>
          <w:szCs w:val="20"/>
        </w:rPr>
        <w:t>(…) 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37AE5D43" w14:textId="77777777" w:rsidR="00C34E7A" w:rsidRPr="00C34E7A" w:rsidRDefault="00C34E7A" w:rsidP="00C34E7A">
      <w:pPr>
        <w:spacing w:after="0" w:line="240" w:lineRule="auto"/>
        <w:jc w:val="both"/>
        <w:rPr>
          <w:rFonts w:ascii="Verdana" w:eastAsia="Arial" w:hAnsi="Verdana" w:cs="Arial"/>
          <w:bCs/>
          <w:sz w:val="20"/>
          <w:szCs w:val="20"/>
        </w:rPr>
      </w:pPr>
    </w:p>
    <w:p w14:paraId="5A101952" w14:textId="2CB2DC0F" w:rsidR="00712C01" w:rsidRPr="00C34E7A" w:rsidRDefault="00C34E7A" w:rsidP="00C34E7A">
      <w:pPr>
        <w:spacing w:after="0" w:line="240" w:lineRule="auto"/>
        <w:jc w:val="both"/>
        <w:rPr>
          <w:rFonts w:ascii="Verdana" w:eastAsia="Arial" w:hAnsi="Verdana" w:cs="Arial"/>
          <w:bCs/>
          <w:sz w:val="20"/>
          <w:szCs w:val="20"/>
        </w:rPr>
      </w:pPr>
      <w:r w:rsidRPr="00C34E7A">
        <w:rPr>
          <w:rFonts w:ascii="Verdana" w:eastAsia="Arial" w:hAnsi="Verdana" w:cs="Arial"/>
          <w:bCs/>
          <w:sz w:val="20"/>
          <w:szCs w:val="20"/>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72A505CF" w14:textId="77777777" w:rsidR="00070863" w:rsidRPr="00C34E7A" w:rsidRDefault="00070863" w:rsidP="00214287">
      <w:pPr>
        <w:spacing w:after="0"/>
        <w:jc w:val="both"/>
        <w:rPr>
          <w:rFonts w:ascii="Verdana" w:eastAsia="Arial" w:hAnsi="Verdana" w:cs="Arial"/>
          <w:b/>
          <w:lang w:val="es-ES"/>
        </w:rPr>
      </w:pPr>
    </w:p>
    <w:p w14:paraId="3B6768F8" w14:textId="77777777" w:rsidR="00070863" w:rsidRPr="00C34E7A" w:rsidRDefault="00070863" w:rsidP="00724D0D">
      <w:pPr>
        <w:spacing w:after="240"/>
        <w:jc w:val="both"/>
        <w:rPr>
          <w:rFonts w:ascii="Verdana" w:eastAsia="Arial" w:hAnsi="Verdana" w:cs="Arial"/>
          <w:b/>
          <w:lang w:val="es-ES"/>
        </w:rPr>
      </w:pPr>
      <w:r w:rsidRPr="00C34E7A">
        <w:rPr>
          <w:rFonts w:ascii="Verdana" w:eastAsia="Arial" w:hAnsi="Verdana" w:cs="Arial"/>
          <w:b/>
          <w:lang w:val="es-ES"/>
        </w:rPr>
        <w:t xml:space="preserve">LEY DE GARANTÍAS ELECTORALES ‒ Artículo 33 ‒ Ámbito subjetivo – Empresas de Servicios Públicos Domiciliarios </w:t>
      </w:r>
    </w:p>
    <w:p w14:paraId="43D63DD0" w14:textId="05A8BC47" w:rsidR="00724D0D" w:rsidRPr="00C34E7A" w:rsidRDefault="00724D0D" w:rsidP="00724D0D">
      <w:pPr>
        <w:spacing w:after="0" w:line="240" w:lineRule="auto"/>
        <w:jc w:val="both"/>
        <w:rPr>
          <w:rFonts w:ascii="Verdana" w:eastAsia="Arial" w:hAnsi="Verdana" w:cs="Arial"/>
          <w:bCs/>
          <w:sz w:val="20"/>
          <w:szCs w:val="20"/>
        </w:rPr>
      </w:pPr>
      <w:r w:rsidRPr="00C34E7A">
        <w:rPr>
          <w:rFonts w:ascii="Verdana" w:eastAsia="Arial" w:hAnsi="Verdana" w:cs="Arial"/>
          <w:bCs/>
          <w:sz w:val="20"/>
          <w:szCs w:val="20"/>
        </w:rPr>
        <w:t>“</w:t>
      </w:r>
      <w:r w:rsidRPr="00070863">
        <w:rPr>
          <w:rFonts w:ascii="Verdana" w:eastAsia="Arial" w:hAnsi="Verdana" w:cs="Arial"/>
          <w:bCs/>
          <w:sz w:val="20"/>
          <w:szCs w:val="20"/>
        </w:rPr>
        <w:t>[…]</w:t>
      </w:r>
      <w:r w:rsidRPr="00C34E7A">
        <w:rPr>
          <w:rFonts w:ascii="Verdana" w:eastAsia="Arial" w:hAnsi="Verdana" w:cs="Arial"/>
          <w:bCs/>
          <w:sz w:val="20"/>
          <w:szCs w:val="20"/>
        </w:rPr>
        <w:t xml:space="preserve"> </w:t>
      </w:r>
      <w:r w:rsidRPr="00C34E7A">
        <w:rPr>
          <w:rFonts w:ascii="Verdana" w:eastAsia="Arial" w:hAnsi="Verdana" w:cs="Arial"/>
          <w:bCs/>
          <w:sz w:val="20"/>
          <w:szCs w:val="20"/>
          <w:lang w:val="es-ES"/>
        </w:rPr>
        <w:t xml:space="preserve">algunas de estas entidades, como sucede con las Empresas de Servicios Públicos Domiciliarios – a los que se refiere en su consulta-,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w:t>
      </w:r>
      <w:r w:rsidRPr="00070863">
        <w:rPr>
          <w:rFonts w:ascii="Verdana" w:eastAsia="Arial" w:hAnsi="Verdana" w:cs="Arial"/>
          <w:bCs/>
          <w:sz w:val="20"/>
          <w:szCs w:val="20"/>
        </w:rPr>
        <w:t>[…]</w:t>
      </w:r>
      <w:r w:rsidRPr="00C34E7A">
        <w:rPr>
          <w:rFonts w:ascii="Verdana" w:eastAsia="Arial" w:hAnsi="Verdana" w:cs="Arial"/>
          <w:bCs/>
          <w:sz w:val="20"/>
          <w:szCs w:val="20"/>
        </w:rPr>
        <w:t xml:space="preserve"> </w:t>
      </w:r>
      <w:r w:rsidRPr="00C34E7A">
        <w:rPr>
          <w:rFonts w:ascii="Verdana" w:eastAsia="Arial" w:hAnsi="Verdana" w:cs="Arial"/>
          <w:bCs/>
          <w:sz w:val="20"/>
          <w:szCs w:val="20"/>
          <w:lang w:val="es-ES"/>
        </w:rPr>
        <w:t>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 .</w:t>
      </w:r>
    </w:p>
    <w:p w14:paraId="74910EF3" w14:textId="14921903" w:rsidR="00724D0D" w:rsidRPr="00C34E7A" w:rsidRDefault="00724D0D" w:rsidP="00724D0D">
      <w:pPr>
        <w:spacing w:after="0" w:line="240" w:lineRule="auto"/>
        <w:jc w:val="both"/>
        <w:rPr>
          <w:rFonts w:ascii="Verdana" w:eastAsia="Arial" w:hAnsi="Verdana" w:cs="Arial"/>
          <w:bCs/>
          <w:sz w:val="20"/>
          <w:szCs w:val="20"/>
          <w:lang w:val="es-ES"/>
        </w:rPr>
      </w:pPr>
      <w:r w:rsidRPr="00C34E7A">
        <w:rPr>
          <w:rFonts w:ascii="Verdana" w:eastAsia="Arial" w:hAnsi="Verdana" w:cs="Arial"/>
          <w:bCs/>
          <w:sz w:val="20"/>
          <w:szCs w:val="20"/>
          <w:lang w:val="es-ES"/>
        </w:rPr>
        <w:t xml:space="preserve"> </w:t>
      </w:r>
    </w:p>
    <w:p w14:paraId="6B8F142D" w14:textId="70243838" w:rsidR="00724D0D" w:rsidRPr="00C34E7A" w:rsidRDefault="00724D0D" w:rsidP="00724D0D">
      <w:pPr>
        <w:spacing w:after="0" w:line="240" w:lineRule="auto"/>
        <w:jc w:val="both"/>
        <w:rPr>
          <w:rFonts w:ascii="Verdana" w:eastAsia="Arial" w:hAnsi="Verdana" w:cs="Arial"/>
          <w:bCs/>
          <w:sz w:val="20"/>
          <w:szCs w:val="20"/>
          <w:lang w:val="es-ES"/>
        </w:rPr>
      </w:pPr>
      <w:r w:rsidRPr="00C34E7A">
        <w:rPr>
          <w:rFonts w:ascii="Verdana" w:eastAsia="Arial" w:hAnsi="Verdana" w:cs="Arial"/>
          <w:bCs/>
          <w:sz w:val="20"/>
          <w:szCs w:val="20"/>
          <w:lang w:val="es-ES"/>
        </w:rPr>
        <w:t>En consecuencia, el artículo 33 de la Ley 996 de 2005 señala expresamente que los destinatarios de la prohibición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AE09759" w14:textId="77777777" w:rsidR="00070863" w:rsidRPr="00C34E7A" w:rsidRDefault="00070863" w:rsidP="00214287">
      <w:pPr>
        <w:spacing w:after="0"/>
        <w:jc w:val="both"/>
        <w:rPr>
          <w:rFonts w:ascii="Verdana" w:eastAsia="Arial" w:hAnsi="Verdana" w:cs="Arial"/>
          <w:b/>
          <w:lang w:val="es-ES"/>
        </w:rPr>
      </w:pPr>
    </w:p>
    <w:p w14:paraId="491459CB" w14:textId="77777777" w:rsidR="00070863" w:rsidRPr="00C34E7A" w:rsidRDefault="00070863" w:rsidP="00070863">
      <w:pPr>
        <w:spacing w:after="120"/>
        <w:jc w:val="both"/>
        <w:rPr>
          <w:rFonts w:ascii="Verdana" w:eastAsia="Arial" w:hAnsi="Verdana" w:cs="Arial"/>
          <w:b/>
          <w:lang w:val="es-ES"/>
        </w:rPr>
      </w:pPr>
      <w:r w:rsidRPr="00C34E7A">
        <w:rPr>
          <w:rFonts w:ascii="Verdana" w:eastAsia="Arial" w:hAnsi="Verdana" w:cs="Arial"/>
          <w:b/>
          <w:lang w:val="es-ES"/>
        </w:rPr>
        <w:t>LEY DE GARANTÍAS ELECTORALES ─ Contratación Directa – Excepciones</w:t>
      </w:r>
    </w:p>
    <w:p w14:paraId="1A9B50DD" w14:textId="7E6A24D7" w:rsidR="00070863" w:rsidRPr="00C34E7A" w:rsidRDefault="00070863" w:rsidP="00A95B89">
      <w:pPr>
        <w:spacing w:after="240" w:line="240" w:lineRule="auto"/>
        <w:jc w:val="both"/>
        <w:rPr>
          <w:rFonts w:ascii="Verdana" w:eastAsia="Arial" w:hAnsi="Verdana" w:cs="Arial"/>
          <w:b/>
          <w:lang w:val="es-ES"/>
        </w:rPr>
      </w:pPr>
      <w:r w:rsidRPr="00C34E7A">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w:t>
      </w:r>
      <w:r w:rsidRPr="00C34E7A">
        <w:rPr>
          <w:rFonts w:ascii="Verdana" w:eastAsia="Times New Roman" w:hAnsi="Verdana" w:cs="Arial"/>
          <w:bCs/>
          <w:sz w:val="20"/>
          <w:szCs w:val="20"/>
          <w:lang w:val="es-MX" w:eastAsia="x-none"/>
        </w:rPr>
        <w:lastRenderedPageBreak/>
        <w:t xml:space="preserve">encuentran consagradas expresamente en el inciso final del citado artículo 33 de la Ley 996 de 2005 en lo referente a i) la defensa y seguridad del Estado; </w:t>
      </w:r>
      <w:proofErr w:type="spellStart"/>
      <w:r w:rsidRPr="00C34E7A">
        <w:rPr>
          <w:rFonts w:ascii="Verdana" w:eastAsia="Times New Roman" w:hAnsi="Verdana" w:cs="Arial"/>
          <w:bCs/>
          <w:sz w:val="20"/>
          <w:szCs w:val="20"/>
          <w:lang w:val="es-MX" w:eastAsia="x-none"/>
        </w:rPr>
        <w:t>ii</w:t>
      </w:r>
      <w:proofErr w:type="spellEnd"/>
      <w:r w:rsidRPr="00C34E7A">
        <w:rPr>
          <w:rFonts w:ascii="Verdana" w:eastAsia="Times New Roman" w:hAnsi="Verdana" w:cs="Arial"/>
          <w:bCs/>
          <w:sz w:val="20"/>
          <w:szCs w:val="20"/>
          <w:lang w:val="es-MX" w:eastAsia="x-none"/>
        </w:rPr>
        <w:t xml:space="preserve">) los contratos de crédito público; </w:t>
      </w:r>
      <w:proofErr w:type="spellStart"/>
      <w:r w:rsidRPr="00C34E7A">
        <w:rPr>
          <w:rFonts w:ascii="Verdana" w:eastAsia="Times New Roman" w:hAnsi="Verdana" w:cs="Arial"/>
          <w:bCs/>
          <w:sz w:val="20"/>
          <w:szCs w:val="20"/>
          <w:lang w:val="es-MX" w:eastAsia="x-none"/>
        </w:rPr>
        <w:t>iii</w:t>
      </w:r>
      <w:proofErr w:type="spellEnd"/>
      <w:r w:rsidRPr="00C34E7A">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C34E7A">
        <w:rPr>
          <w:rFonts w:ascii="Verdana" w:eastAsia="Times New Roman" w:hAnsi="Verdana" w:cs="Arial"/>
          <w:bCs/>
          <w:sz w:val="20"/>
          <w:szCs w:val="20"/>
          <w:lang w:val="es-MX" w:eastAsia="x-none"/>
        </w:rPr>
        <w:t>iv</w:t>
      </w:r>
      <w:proofErr w:type="spellEnd"/>
      <w:r w:rsidRPr="00C34E7A">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34E7A">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AEF2FAB" w14:textId="37CF945D" w:rsidR="00214287" w:rsidRPr="00C34E7A" w:rsidRDefault="00214287" w:rsidP="00214287">
      <w:pPr>
        <w:spacing w:after="0"/>
        <w:jc w:val="both"/>
        <w:rPr>
          <w:rFonts w:ascii="Verdana" w:hAnsi="Verdana" w:cs="Arial"/>
          <w:b/>
          <w:bCs/>
          <w:lang w:val="es-ES_tradnl" w:eastAsia="es-ES" w:bidi="es-ES"/>
        </w:rPr>
      </w:pPr>
      <w:r w:rsidRPr="00C34E7A">
        <w:rPr>
          <w:rFonts w:ascii="Verdana" w:eastAsia="Arial" w:hAnsi="Verdana" w:cs="Arial"/>
          <w:b/>
          <w:lang w:val="es-ES"/>
        </w:rPr>
        <w:t>PRINCIPIO DE PUBLICIDAD – Concepto – Fundamento axiológico – Fundamento constitucional</w:t>
      </w:r>
      <w:r w:rsidRPr="00C34E7A">
        <w:rPr>
          <w:rFonts w:ascii="Verdana" w:hAnsi="Verdana" w:cs="Arial"/>
          <w:b/>
          <w:bCs/>
          <w:lang w:val="es-ES_tradnl" w:eastAsia="es-ES" w:bidi="es-ES"/>
        </w:rPr>
        <w:t xml:space="preserve"> </w:t>
      </w:r>
    </w:p>
    <w:p w14:paraId="3504847F" w14:textId="77777777" w:rsidR="00214287" w:rsidRPr="00C34E7A" w:rsidRDefault="00214287" w:rsidP="00214287">
      <w:pPr>
        <w:spacing w:after="0" w:line="240" w:lineRule="auto"/>
        <w:jc w:val="both"/>
        <w:rPr>
          <w:rFonts w:ascii="Verdana" w:hAnsi="Verdana" w:cs="Arial"/>
          <w:b/>
          <w:bCs/>
          <w:sz w:val="20"/>
          <w:szCs w:val="20"/>
          <w:lang w:val="es-ES_tradnl" w:eastAsia="es-ES" w:bidi="es-ES"/>
        </w:rPr>
      </w:pPr>
    </w:p>
    <w:p w14:paraId="095BB9A8" w14:textId="77777777" w:rsidR="00214287" w:rsidRPr="00C34E7A" w:rsidRDefault="00214287" w:rsidP="00214287">
      <w:pPr>
        <w:spacing w:after="0" w:line="240" w:lineRule="auto"/>
        <w:jc w:val="both"/>
        <w:rPr>
          <w:rFonts w:ascii="Verdana" w:eastAsia="Times New Roman" w:hAnsi="Verdana" w:cs="Arial"/>
          <w:sz w:val="20"/>
          <w:szCs w:val="20"/>
          <w:lang w:val="es-ES" w:eastAsia="es-ES"/>
          <w14:ligatures w14:val="standardContextual"/>
        </w:rPr>
      </w:pPr>
      <w:r w:rsidRPr="00C34E7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C34E7A">
        <w:rPr>
          <w:rFonts w:ascii="Verdana" w:eastAsia="Times New Roman" w:hAnsi="Verdana" w:cs="Arial"/>
          <w:i/>
          <w:iCs/>
          <w:sz w:val="20"/>
          <w:szCs w:val="20"/>
          <w:lang w:val="es-ES" w:eastAsia="es-ES"/>
          <w14:ligatures w14:val="standardContextual"/>
        </w:rPr>
        <w:t>publicidad</w:t>
      </w:r>
      <w:r w:rsidRPr="00C34E7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1EEE1A61" w14:textId="77777777" w:rsidR="00214287" w:rsidRPr="00C34E7A" w:rsidRDefault="00214287" w:rsidP="00214287">
      <w:pPr>
        <w:spacing w:after="0" w:line="240" w:lineRule="auto"/>
        <w:jc w:val="both"/>
        <w:rPr>
          <w:rFonts w:ascii="Verdana" w:eastAsia="Times New Roman" w:hAnsi="Verdana" w:cs="Arial"/>
          <w:sz w:val="20"/>
          <w:szCs w:val="20"/>
          <w:lang w:val="es-ES" w:eastAsia="es-ES"/>
          <w14:ligatures w14:val="standardContextual"/>
        </w:rPr>
      </w:pPr>
    </w:p>
    <w:p w14:paraId="2F76C57E" w14:textId="77777777" w:rsidR="00214287" w:rsidRPr="00C34E7A" w:rsidRDefault="00214287" w:rsidP="00214287">
      <w:pPr>
        <w:spacing w:after="0" w:line="240" w:lineRule="auto"/>
        <w:jc w:val="both"/>
        <w:rPr>
          <w:rFonts w:ascii="Verdana" w:eastAsia="Times New Roman" w:hAnsi="Verdana" w:cs="Arial"/>
          <w:sz w:val="20"/>
          <w:szCs w:val="20"/>
          <w:lang w:val="es-ES" w:eastAsia="es-ES"/>
          <w14:ligatures w14:val="standardContextual"/>
        </w:rPr>
      </w:pPr>
      <w:r w:rsidRPr="00C34E7A">
        <w:rPr>
          <w:rFonts w:ascii="Verdana" w:eastAsia="Times New Roman" w:hAnsi="Verdana" w:cs="Arial"/>
          <w:sz w:val="20"/>
          <w:szCs w:val="20"/>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7A834CD6" w14:textId="77777777" w:rsidR="00214287" w:rsidRPr="00C34E7A" w:rsidRDefault="00214287" w:rsidP="00214287">
      <w:pPr>
        <w:spacing w:after="0"/>
        <w:jc w:val="both"/>
        <w:rPr>
          <w:rFonts w:ascii="Verdana" w:hAnsi="Verdana" w:cs="Arial"/>
          <w:b/>
          <w:bCs/>
          <w:lang w:val="es-ES" w:eastAsia="es-ES" w:bidi="es-ES"/>
        </w:rPr>
      </w:pPr>
    </w:p>
    <w:p w14:paraId="1A279452" w14:textId="77777777" w:rsidR="00214287" w:rsidRPr="00C34E7A" w:rsidRDefault="00214287" w:rsidP="00214287">
      <w:pPr>
        <w:spacing w:after="0"/>
        <w:jc w:val="both"/>
        <w:rPr>
          <w:rFonts w:ascii="Verdana" w:hAnsi="Verdana" w:cs="Arial"/>
          <w:b/>
          <w:bCs/>
          <w:lang w:val="es-ES_tradnl" w:eastAsia="es-ES" w:bidi="es-ES"/>
        </w:rPr>
      </w:pPr>
      <w:r w:rsidRPr="00C34E7A">
        <w:rPr>
          <w:rFonts w:ascii="Verdana" w:hAnsi="Verdana" w:cs="Arial"/>
          <w:b/>
          <w:bCs/>
          <w:lang w:val="es-ES_tradnl" w:eastAsia="es-ES" w:bidi="es-ES"/>
        </w:rPr>
        <w:t xml:space="preserve">PRINCIPIO DE PUBLICIDAD – SECOP – Documentos del proceso – Deber de publicación </w:t>
      </w:r>
    </w:p>
    <w:p w14:paraId="7B71DAE3" w14:textId="77777777" w:rsidR="00214287" w:rsidRPr="00C34E7A" w:rsidRDefault="00214287" w:rsidP="00214287">
      <w:pPr>
        <w:spacing w:after="0"/>
        <w:jc w:val="both"/>
        <w:rPr>
          <w:rFonts w:ascii="Verdana" w:hAnsi="Verdana"/>
          <w:b/>
        </w:rPr>
      </w:pPr>
    </w:p>
    <w:p w14:paraId="59E73325" w14:textId="77777777" w:rsidR="00214287" w:rsidRPr="00C34E7A" w:rsidRDefault="00214287" w:rsidP="00214287">
      <w:pPr>
        <w:spacing w:after="0" w:line="240" w:lineRule="auto"/>
        <w:jc w:val="both"/>
        <w:rPr>
          <w:rFonts w:ascii="Verdana" w:eastAsia="Times New Roman" w:hAnsi="Verdana" w:cs="Arial"/>
          <w:sz w:val="20"/>
          <w:szCs w:val="20"/>
          <w:lang w:val="es-ES_tradnl" w:eastAsia="es-ES_tradnl"/>
          <w14:ligatures w14:val="standardContextual"/>
        </w:rPr>
      </w:pPr>
      <w:r w:rsidRPr="00C34E7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5A1F5E0"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p>
    <w:p w14:paraId="01624747"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r w:rsidRPr="00C34E7A">
        <w:rPr>
          <w:rFonts w:ascii="Verdana" w:hAnsi="Verdana" w:cs="Arial"/>
          <w:sz w:val="20"/>
          <w:szCs w:val="20"/>
          <w:shd w:val="clear" w:color="auto" w:fill="FFFFFF"/>
        </w:rPr>
        <w:lastRenderedPageBreak/>
        <w:t xml:space="preserve">La expresión </w:t>
      </w:r>
      <w:r w:rsidRPr="00C34E7A">
        <w:rPr>
          <w:rFonts w:ascii="Verdana" w:hAnsi="Verdana" w:cs="Arial"/>
          <w:i/>
          <w:iCs/>
          <w:sz w:val="20"/>
          <w:szCs w:val="20"/>
          <w:shd w:val="clear" w:color="auto" w:fill="FFFFFF"/>
        </w:rPr>
        <w:t xml:space="preserve">Documentos del Proceso </w:t>
      </w:r>
      <w:r w:rsidRPr="00C34E7A">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C34E7A">
        <w:rPr>
          <w:rFonts w:ascii="Verdana" w:hAnsi="Verdana" w:cs="Arial"/>
          <w:i/>
          <w:iCs/>
          <w:sz w:val="20"/>
          <w:szCs w:val="20"/>
          <w:shd w:val="clear" w:color="auto" w:fill="FFFFFF"/>
        </w:rPr>
        <w:t>y cualquier otro documento expedido por la Entidad Estatal durante el Proceso de Contratación</w:t>
      </w:r>
      <w:r w:rsidRPr="00C34E7A">
        <w:rPr>
          <w:rFonts w:ascii="Verdana" w:hAnsi="Verdana" w:cs="Arial"/>
          <w:sz w:val="20"/>
          <w:szCs w:val="20"/>
          <w:shd w:val="clear" w:color="auto" w:fill="FFFFFF"/>
        </w:rPr>
        <w:t>”. [Énfasis fuera de texto]</w:t>
      </w:r>
    </w:p>
    <w:p w14:paraId="32552B69"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p>
    <w:p w14:paraId="086F32F7"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r w:rsidRPr="00C34E7A">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C34E7A">
        <w:rPr>
          <w:rFonts w:ascii="Verdana" w:hAnsi="Verdana" w:cs="Arial"/>
          <w:i/>
          <w:iCs/>
          <w:sz w:val="20"/>
          <w:szCs w:val="20"/>
          <w:shd w:val="clear" w:color="auto" w:fill="FFFFFF"/>
        </w:rPr>
        <w:t>Ibidem</w:t>
      </w:r>
      <w:r w:rsidRPr="00C34E7A">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2D02E837"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p>
    <w:p w14:paraId="639343D5" w14:textId="77777777" w:rsidR="00214287" w:rsidRPr="00C34E7A" w:rsidRDefault="00214287" w:rsidP="00214287">
      <w:pPr>
        <w:tabs>
          <w:tab w:val="left" w:pos="709"/>
        </w:tabs>
        <w:spacing w:after="0" w:line="240" w:lineRule="auto"/>
        <w:jc w:val="both"/>
        <w:rPr>
          <w:rFonts w:ascii="Verdana" w:hAnsi="Verdana" w:cs="Arial"/>
          <w:sz w:val="20"/>
          <w:szCs w:val="20"/>
          <w:shd w:val="clear" w:color="auto" w:fill="FFFFFF"/>
        </w:rPr>
      </w:pPr>
      <w:r w:rsidRPr="00C34E7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39E2D44" w14:textId="77777777" w:rsidR="00214287" w:rsidRPr="00C34E7A" w:rsidRDefault="00214287" w:rsidP="00214287">
      <w:pPr>
        <w:spacing w:after="0"/>
        <w:jc w:val="both"/>
        <w:rPr>
          <w:rFonts w:ascii="Verdana" w:hAnsi="Verdana"/>
          <w:b/>
        </w:rPr>
      </w:pPr>
    </w:p>
    <w:p w14:paraId="063B54A3" w14:textId="77777777" w:rsidR="00214287" w:rsidRPr="00C34E7A" w:rsidRDefault="00214287" w:rsidP="00214287">
      <w:pPr>
        <w:spacing w:after="0"/>
        <w:jc w:val="both"/>
        <w:rPr>
          <w:rFonts w:ascii="Verdana" w:hAnsi="Verdana" w:cs="Arial"/>
          <w:b/>
          <w:bCs/>
          <w:lang w:eastAsia="es-ES" w:bidi="es-ES"/>
        </w:rPr>
      </w:pPr>
      <w:r w:rsidRPr="00C34E7A">
        <w:rPr>
          <w:rFonts w:ascii="Verdana" w:hAnsi="Verdana" w:cs="Arial"/>
          <w:b/>
          <w:bCs/>
          <w:lang w:eastAsia="es-ES" w:bidi="es-ES"/>
        </w:rPr>
        <w:t xml:space="preserve">ENTIDADES CON RÉGIMEN ESPECIAL – Deber de publicar en SECOP – Artículo 53 Ley 2195 de 2022 </w:t>
      </w:r>
    </w:p>
    <w:p w14:paraId="2D2A96E8" w14:textId="77777777" w:rsidR="00214287" w:rsidRPr="00C34E7A" w:rsidRDefault="00214287" w:rsidP="00214287">
      <w:pPr>
        <w:spacing w:after="0"/>
        <w:jc w:val="both"/>
        <w:rPr>
          <w:rFonts w:ascii="Verdana" w:hAnsi="Verdana" w:cs="Arial"/>
          <w:b/>
          <w:bCs/>
          <w:sz w:val="20"/>
          <w:szCs w:val="20"/>
          <w:lang w:eastAsia="es-ES" w:bidi="es-ES"/>
        </w:rPr>
      </w:pPr>
    </w:p>
    <w:p w14:paraId="55EC03C4" w14:textId="77777777" w:rsidR="00214287" w:rsidRPr="00C34E7A" w:rsidRDefault="00214287" w:rsidP="00214287">
      <w:pPr>
        <w:tabs>
          <w:tab w:val="left" w:pos="709"/>
        </w:tabs>
        <w:spacing w:after="0" w:line="240" w:lineRule="auto"/>
        <w:jc w:val="both"/>
        <w:rPr>
          <w:rFonts w:ascii="Verdana" w:eastAsia="Calibri" w:hAnsi="Verdana" w:cs="Arial"/>
          <w:color w:val="000000"/>
          <w:sz w:val="20"/>
          <w:szCs w:val="20"/>
        </w:rPr>
      </w:pPr>
      <w:r w:rsidRPr="00C34E7A">
        <w:rPr>
          <w:rFonts w:ascii="Verdana" w:hAnsi="Verdana" w:cs="Arial"/>
          <w:sz w:val="20"/>
          <w:szCs w:val="20"/>
          <w:shd w:val="clear" w:color="auto" w:fill="FFFFFF"/>
        </w:rPr>
        <w:t xml:space="preserve">[…] </w:t>
      </w:r>
      <w:r w:rsidRPr="00C34E7A">
        <w:rPr>
          <w:rFonts w:ascii="Verdana" w:eastAsia="Calibri" w:hAnsi="Verdana" w:cs="Arial"/>
          <w:color w:val="000000"/>
          <w:sz w:val="20"/>
          <w:szCs w:val="2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C34E7A">
        <w:rPr>
          <w:rFonts w:ascii="Verdana" w:eastAsia="Calibri" w:hAnsi="Verdana" w:cs="Arial"/>
          <w:color w:val="000000"/>
          <w:sz w:val="20"/>
          <w:szCs w:val="20"/>
        </w:rPr>
        <w:t>post-contractual</w:t>
      </w:r>
      <w:proofErr w:type="spellEnd"/>
      <w:r w:rsidRPr="00C34E7A">
        <w:rPr>
          <w:rFonts w:ascii="Verdana" w:eastAsia="Calibri" w:hAnsi="Verdana" w:cs="Arial"/>
          <w:color w:val="000000"/>
          <w:sz w:val="20"/>
          <w:szCs w:val="20"/>
        </w:rPr>
        <w:t>”.</w:t>
      </w:r>
    </w:p>
    <w:p w14:paraId="5A596CF7" w14:textId="77777777" w:rsidR="00214287" w:rsidRPr="00C34E7A" w:rsidRDefault="00214287" w:rsidP="00214287">
      <w:pPr>
        <w:tabs>
          <w:tab w:val="left" w:pos="709"/>
        </w:tabs>
        <w:spacing w:after="0" w:line="240" w:lineRule="auto"/>
        <w:jc w:val="both"/>
        <w:rPr>
          <w:rFonts w:ascii="Verdana" w:eastAsia="Calibri" w:hAnsi="Verdana" w:cs="Arial"/>
          <w:color w:val="000000"/>
          <w:sz w:val="20"/>
          <w:szCs w:val="20"/>
        </w:rPr>
      </w:pPr>
    </w:p>
    <w:p w14:paraId="33B615C0" w14:textId="77777777" w:rsidR="00214287" w:rsidRPr="00C34E7A" w:rsidRDefault="00214287" w:rsidP="00214287">
      <w:pPr>
        <w:spacing w:after="0" w:line="240" w:lineRule="auto"/>
        <w:jc w:val="both"/>
        <w:rPr>
          <w:rFonts w:ascii="Verdana" w:eastAsia="Calibri" w:hAnsi="Verdana" w:cs="Arial"/>
          <w:color w:val="000000"/>
          <w:sz w:val="20"/>
          <w:szCs w:val="20"/>
        </w:rPr>
      </w:pPr>
      <w:r w:rsidRPr="00C34E7A">
        <w:rPr>
          <w:rFonts w:ascii="Verdana" w:eastAsia="Calibri" w:hAnsi="Verdana" w:cs="Arial"/>
          <w:color w:val="000000"/>
          <w:sz w:val="20"/>
          <w:szCs w:val="20"/>
        </w:rPr>
        <w:t xml:space="preserve">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w:t>
      </w:r>
      <w:r w:rsidRPr="00C34E7A">
        <w:rPr>
          <w:rFonts w:ascii="Verdana" w:eastAsia="Calibri" w:hAnsi="Verdana" w:cs="Arial"/>
          <w:color w:val="000000"/>
          <w:sz w:val="20"/>
          <w:szCs w:val="20"/>
        </w:rPr>
        <w:lastRenderedPageBreak/>
        <w:t>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7D3EBF23" w14:textId="77777777" w:rsidR="006426F5" w:rsidRPr="00C34E7A" w:rsidRDefault="006426F5" w:rsidP="00E73CAE">
      <w:pPr>
        <w:spacing w:after="0" w:line="240" w:lineRule="auto"/>
        <w:jc w:val="both"/>
        <w:rPr>
          <w:rFonts w:ascii="Verdana" w:hAnsi="Verdana" w:cs="Arial"/>
          <w:bCs/>
          <w:sz w:val="20"/>
          <w:lang w:val="es-ES_tradnl" w:eastAsia="es-ES" w:bidi="es-ES"/>
        </w:rPr>
      </w:pPr>
    </w:p>
    <w:p w14:paraId="39AE1C6F" w14:textId="12C2B2FE" w:rsidR="00214287" w:rsidRPr="00C34E7A" w:rsidRDefault="00070863" w:rsidP="007E4D33">
      <w:pPr>
        <w:spacing w:after="240"/>
        <w:rPr>
          <w:rFonts w:ascii="Verdana" w:eastAsia="Verdana" w:hAnsi="Verdana" w:cs="Verdana"/>
        </w:rPr>
      </w:pPr>
      <w:r w:rsidRPr="00C34E7A">
        <w:rPr>
          <w:rFonts w:ascii="Verdana" w:eastAsia="Arial" w:hAnsi="Verdana" w:cs="Arial"/>
          <w:b/>
          <w:lang w:val="es-ES"/>
        </w:rPr>
        <w:t>SECOP II – Ley de Garantías Electorales – Suscripción contratos</w:t>
      </w:r>
    </w:p>
    <w:p w14:paraId="16C85E21" w14:textId="77777777" w:rsidR="007E4D33" w:rsidRPr="00C34E7A" w:rsidRDefault="007E4D33" w:rsidP="007E4D33">
      <w:pPr>
        <w:spacing w:after="0" w:line="240" w:lineRule="auto"/>
        <w:jc w:val="both"/>
        <w:rPr>
          <w:rFonts w:ascii="Verdana" w:eastAsia="Times New Roman" w:hAnsi="Verdana" w:cs="Arial"/>
          <w:sz w:val="20"/>
          <w:szCs w:val="20"/>
          <w:lang w:eastAsia="x-none"/>
        </w:rPr>
      </w:pPr>
      <w:r w:rsidRPr="00C34E7A">
        <w:rPr>
          <w:rFonts w:ascii="Verdana" w:eastAsia="Times New Roman" w:hAnsi="Verdana" w:cs="Arial"/>
          <w:sz w:val="20"/>
          <w:szCs w:val="20"/>
          <w:lang w:eastAsia="x-none"/>
        </w:rPr>
        <w:t xml:space="preserve">Así las cosas, tratándose de procesos gestionados en SECOP II, las actuaciones necesarias para que el contrato adquiera el estado de “firmado” deben realizarse antes de la </w:t>
      </w:r>
      <w:proofErr w:type="gramStart"/>
      <w:r w:rsidRPr="00C34E7A">
        <w:rPr>
          <w:rFonts w:ascii="Verdana" w:eastAsia="Times New Roman" w:hAnsi="Verdana" w:cs="Arial"/>
          <w:sz w:val="20"/>
          <w:szCs w:val="20"/>
          <w:lang w:eastAsia="x-none"/>
        </w:rPr>
        <w:t>entrada en vigencia</w:t>
      </w:r>
      <w:proofErr w:type="gramEnd"/>
      <w:r w:rsidRPr="00C34E7A">
        <w:rPr>
          <w:rFonts w:ascii="Verdana" w:eastAsia="Times New Roman" w:hAnsi="Verdana" w:cs="Arial"/>
          <w:sz w:val="20"/>
          <w:szCs w:val="20"/>
          <w:lang w:eastAsia="x-none"/>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1FCFD548" w14:textId="77777777" w:rsidR="007E4D33" w:rsidRPr="00C34E7A" w:rsidRDefault="007E4D33" w:rsidP="007E4D33">
      <w:pPr>
        <w:spacing w:after="0" w:line="240" w:lineRule="auto"/>
        <w:rPr>
          <w:rFonts w:ascii="Verdana" w:hAnsi="Verdana"/>
        </w:rPr>
      </w:pPr>
    </w:p>
    <w:p w14:paraId="0335F4F7" w14:textId="77777777" w:rsidR="007E4D33" w:rsidRPr="00C34E7A" w:rsidRDefault="007E4D33" w:rsidP="007E4D33">
      <w:pPr>
        <w:spacing w:after="0" w:line="240" w:lineRule="auto"/>
        <w:jc w:val="both"/>
        <w:rPr>
          <w:rFonts w:ascii="Verdana" w:eastAsia="Times New Roman" w:hAnsi="Verdana" w:cs="Arial"/>
          <w:bCs/>
          <w:sz w:val="20"/>
          <w:szCs w:val="20"/>
          <w:lang w:eastAsia="x-none"/>
        </w:rPr>
      </w:pPr>
      <w:r w:rsidRPr="00C34E7A">
        <w:rPr>
          <w:rFonts w:ascii="Verdana" w:eastAsia="Arial" w:hAnsi="Verdana" w:cs="Arial"/>
          <w:sz w:val="20"/>
          <w:szCs w:val="20"/>
          <w:lang w:val="es-MX" w:eastAsia="es-ES" w:bidi="es-ES"/>
        </w:rPr>
        <w:t>[…]</w:t>
      </w:r>
    </w:p>
    <w:p w14:paraId="480357FC" w14:textId="77777777" w:rsidR="007E4D33" w:rsidRPr="00C34E7A" w:rsidRDefault="007E4D33" w:rsidP="007E4D33">
      <w:pPr>
        <w:spacing w:after="0" w:line="240" w:lineRule="auto"/>
        <w:rPr>
          <w:rFonts w:ascii="Verdana" w:hAnsi="Verdana"/>
        </w:rPr>
      </w:pPr>
    </w:p>
    <w:p w14:paraId="4353377D" w14:textId="77777777" w:rsidR="007E4D33" w:rsidRPr="00C34E7A" w:rsidRDefault="007E4D33" w:rsidP="007E4D33">
      <w:pPr>
        <w:spacing w:after="0" w:line="240" w:lineRule="auto"/>
        <w:jc w:val="both"/>
        <w:rPr>
          <w:rFonts w:ascii="Verdana" w:eastAsia="Times New Roman" w:hAnsi="Verdana" w:cs="Arial"/>
          <w:sz w:val="20"/>
          <w:szCs w:val="20"/>
          <w:lang w:eastAsia="x-none"/>
        </w:rPr>
      </w:pPr>
      <w:r w:rsidRPr="00C34E7A">
        <w:rPr>
          <w:rFonts w:ascii="Verdana" w:eastAsia="Times New Roman" w:hAnsi="Verdana" w:cs="Arial"/>
          <w:sz w:val="20"/>
          <w:szCs w:val="20"/>
          <w:lang w:eastAsia="x-none"/>
        </w:rPr>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0A554A2E" w14:textId="77777777" w:rsidR="00214287" w:rsidRPr="00C34E7A" w:rsidRDefault="00214287" w:rsidP="30821638">
      <w:pPr>
        <w:spacing w:after="0"/>
        <w:rPr>
          <w:rFonts w:ascii="Verdana" w:eastAsia="Verdana" w:hAnsi="Verdana" w:cs="Verdana"/>
        </w:rPr>
      </w:pPr>
    </w:p>
    <w:p w14:paraId="23EE1A07" w14:textId="77777777" w:rsidR="00214287" w:rsidRPr="00C34E7A" w:rsidRDefault="00214287" w:rsidP="30821638">
      <w:pPr>
        <w:spacing w:after="0"/>
        <w:rPr>
          <w:rFonts w:ascii="Verdana" w:eastAsia="Verdana" w:hAnsi="Verdana" w:cs="Verdana"/>
        </w:rPr>
      </w:pPr>
    </w:p>
    <w:p w14:paraId="5D42C60B" w14:textId="77777777" w:rsidR="006426F5" w:rsidRPr="00C34E7A" w:rsidRDefault="006426F5" w:rsidP="30821638">
      <w:pPr>
        <w:spacing w:after="0"/>
        <w:rPr>
          <w:rFonts w:ascii="Verdana" w:eastAsia="Verdana" w:hAnsi="Verdana" w:cs="Verdana"/>
        </w:rPr>
      </w:pPr>
    </w:p>
    <w:p w14:paraId="4848AE30" w14:textId="77777777" w:rsidR="00C34E7A" w:rsidRDefault="00C34E7A" w:rsidP="30821638">
      <w:pPr>
        <w:spacing w:after="0"/>
        <w:rPr>
          <w:rFonts w:ascii="Verdana" w:eastAsia="Verdana" w:hAnsi="Verdana" w:cs="Verdana"/>
        </w:rPr>
      </w:pPr>
    </w:p>
    <w:p w14:paraId="2554804E" w14:textId="77777777" w:rsidR="00C34E7A" w:rsidRDefault="00C34E7A" w:rsidP="30821638">
      <w:pPr>
        <w:spacing w:after="0"/>
        <w:rPr>
          <w:rFonts w:ascii="Verdana" w:eastAsia="Verdana" w:hAnsi="Verdana" w:cs="Verdana"/>
        </w:rPr>
      </w:pPr>
    </w:p>
    <w:p w14:paraId="4658744A" w14:textId="77777777" w:rsidR="00C34E7A" w:rsidRDefault="00C34E7A" w:rsidP="30821638">
      <w:pPr>
        <w:spacing w:after="0"/>
        <w:rPr>
          <w:rFonts w:ascii="Verdana" w:eastAsia="Verdana" w:hAnsi="Verdana" w:cs="Verdana"/>
        </w:rPr>
      </w:pPr>
    </w:p>
    <w:p w14:paraId="182F90C0" w14:textId="77777777" w:rsidR="00C34E7A" w:rsidRDefault="00C34E7A" w:rsidP="30821638">
      <w:pPr>
        <w:spacing w:after="0"/>
        <w:rPr>
          <w:rFonts w:ascii="Verdana" w:eastAsia="Verdana" w:hAnsi="Verdana" w:cs="Verdana"/>
        </w:rPr>
      </w:pPr>
    </w:p>
    <w:p w14:paraId="2B882A76" w14:textId="77777777" w:rsidR="00C34E7A" w:rsidRDefault="00C34E7A" w:rsidP="30821638">
      <w:pPr>
        <w:spacing w:after="0"/>
        <w:rPr>
          <w:rFonts w:ascii="Verdana" w:eastAsia="Verdana" w:hAnsi="Verdana" w:cs="Verdana"/>
        </w:rPr>
      </w:pPr>
    </w:p>
    <w:p w14:paraId="00DB75C2" w14:textId="77777777" w:rsidR="0051646C" w:rsidRDefault="0051646C" w:rsidP="30821638">
      <w:pPr>
        <w:spacing w:after="0"/>
        <w:rPr>
          <w:rFonts w:ascii="Verdana" w:eastAsia="Verdana" w:hAnsi="Verdana" w:cs="Verdana"/>
        </w:rPr>
      </w:pPr>
    </w:p>
    <w:p w14:paraId="0404C559" w14:textId="77777777" w:rsidR="00C34E7A" w:rsidRDefault="00C34E7A" w:rsidP="30821638">
      <w:pPr>
        <w:spacing w:after="0"/>
        <w:rPr>
          <w:rFonts w:ascii="Verdana" w:eastAsia="Verdana" w:hAnsi="Verdana" w:cs="Verdana"/>
        </w:rPr>
      </w:pPr>
    </w:p>
    <w:p w14:paraId="7BC1AADD" w14:textId="77777777" w:rsidR="00C34E7A" w:rsidRDefault="00C34E7A" w:rsidP="30821638">
      <w:pPr>
        <w:spacing w:after="0"/>
        <w:rPr>
          <w:rFonts w:ascii="Verdana" w:eastAsia="Verdana" w:hAnsi="Verdana" w:cs="Verdana"/>
        </w:rPr>
      </w:pPr>
    </w:p>
    <w:p w14:paraId="4F46A8C2" w14:textId="77777777" w:rsidR="00C34E7A" w:rsidRDefault="00C34E7A" w:rsidP="30821638">
      <w:pPr>
        <w:spacing w:after="0"/>
        <w:rPr>
          <w:rFonts w:ascii="Verdana" w:eastAsia="Verdana" w:hAnsi="Verdana" w:cs="Verdana"/>
        </w:rPr>
      </w:pPr>
    </w:p>
    <w:p w14:paraId="75D756D3" w14:textId="77777777" w:rsidR="00C34E7A" w:rsidRDefault="00C34E7A" w:rsidP="30821638">
      <w:pPr>
        <w:spacing w:after="0"/>
        <w:rPr>
          <w:rFonts w:ascii="Verdana" w:eastAsia="Verdana" w:hAnsi="Verdana" w:cs="Verdana"/>
        </w:rPr>
      </w:pPr>
    </w:p>
    <w:p w14:paraId="1296C35E" w14:textId="77777777" w:rsidR="0051646C" w:rsidRDefault="00C15139" w:rsidP="30821638">
      <w:pPr>
        <w:spacing w:after="0"/>
        <w:rPr>
          <w:rFonts w:ascii="Verdana" w:hAnsi="Verdana"/>
        </w:rPr>
      </w:pPr>
      <w:r w:rsidRPr="00C34E7A">
        <w:rPr>
          <w:rFonts w:ascii="Verdana" w:eastAsia="Verdana" w:hAnsi="Verdana" w:cs="Verdana"/>
        </w:rPr>
        <w:lastRenderedPageBreak/>
        <w:t xml:space="preserve">Bogotá D.C., </w:t>
      </w:r>
      <w:r w:rsidR="0084140A">
        <w:rPr>
          <w:rFonts w:ascii="Verdana" w:eastAsia="Verdana" w:hAnsi="Verdana" w:cs="Verdana"/>
        </w:rPr>
        <w:t>23 de marzo del 2026</w:t>
      </w:r>
    </w:p>
    <w:p w14:paraId="1468C46D" w14:textId="29752012" w:rsidR="00C15139" w:rsidRPr="00C34E7A" w:rsidRDefault="0051646C" w:rsidP="0051646C">
      <w:pPr>
        <w:spacing w:after="0"/>
        <w:jc w:val="right"/>
        <w:rPr>
          <w:rFonts w:ascii="Verdana" w:eastAsia="Verdana" w:hAnsi="Verdana" w:cs="Verdana"/>
        </w:rPr>
      </w:pPr>
      <w:r w:rsidRPr="0051646C">
        <w:rPr>
          <w:rFonts w:ascii="Verdana" w:hAnsi="Verdana"/>
        </w:rPr>
        <w:drawing>
          <wp:inline distT="0" distB="0" distL="0" distR="0" wp14:anchorId="0D5C2DF4" wp14:editId="712E49CD">
            <wp:extent cx="2686050" cy="857250"/>
            <wp:effectExtent l="0" t="0" r="0" b="0"/>
            <wp:docPr id="5498037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803711" name=""/>
                    <pic:cNvPicPr/>
                  </pic:nvPicPr>
                  <pic:blipFill>
                    <a:blip r:embed="rId11"/>
                    <a:stretch>
                      <a:fillRect/>
                    </a:stretch>
                  </pic:blipFill>
                  <pic:spPr>
                    <a:xfrm>
                      <a:off x="0" y="0"/>
                      <a:ext cx="2686448" cy="857377"/>
                    </a:xfrm>
                    <a:prstGeom prst="rect">
                      <a:avLst/>
                    </a:prstGeom>
                  </pic:spPr>
                </pic:pic>
              </a:graphicData>
            </a:graphic>
          </wp:inline>
        </w:drawing>
      </w:r>
      <w:r w:rsidR="00C15139" w:rsidRPr="00C34E7A">
        <w:rPr>
          <w:rFonts w:ascii="Verdana" w:hAnsi="Verdana"/>
        </w:rPr>
        <w:tab/>
      </w:r>
    </w:p>
    <w:p w14:paraId="5F2CD078" w14:textId="3DB897E7" w:rsidR="00C15139" w:rsidRPr="00C34E7A" w:rsidRDefault="00180FDE" w:rsidP="30821638">
      <w:pPr>
        <w:spacing w:after="0"/>
        <w:rPr>
          <w:rFonts w:ascii="Verdana" w:eastAsia="Verdana" w:hAnsi="Verdana" w:cs="Verdana"/>
          <w:lang w:val="it-IT"/>
        </w:rPr>
      </w:pPr>
      <w:r w:rsidRPr="00C34E7A">
        <w:rPr>
          <w:rFonts w:ascii="Verdana" w:eastAsia="Verdana" w:hAnsi="Verdana" w:cs="Verdana"/>
          <w:lang w:val="it-IT"/>
        </w:rPr>
        <w:t>Doctora:</w:t>
      </w:r>
    </w:p>
    <w:p w14:paraId="5546752B" w14:textId="04DF2CA1" w:rsidR="00C15139" w:rsidRPr="00C34E7A" w:rsidRDefault="00180FDE" w:rsidP="30821638">
      <w:pPr>
        <w:spacing w:after="0"/>
        <w:rPr>
          <w:rFonts w:ascii="Verdana" w:eastAsia="Verdana" w:hAnsi="Verdana" w:cs="Verdana"/>
          <w:b/>
          <w:lang w:val="it-IT"/>
        </w:rPr>
      </w:pPr>
      <w:r w:rsidRPr="00C34E7A">
        <w:rPr>
          <w:rFonts w:ascii="Verdana" w:eastAsia="Verdana" w:hAnsi="Verdana" w:cs="Verdana"/>
          <w:b/>
          <w:lang w:val="it-IT"/>
        </w:rPr>
        <w:t>Grimanesa Restrepo Zapata</w:t>
      </w:r>
    </w:p>
    <w:p w14:paraId="0B09C9D7" w14:textId="64EA7BDD" w:rsidR="00C15139" w:rsidRPr="00C34E7A" w:rsidRDefault="00180FDE" w:rsidP="30821638">
      <w:pPr>
        <w:spacing w:after="0"/>
        <w:rPr>
          <w:rFonts w:ascii="Verdana" w:eastAsia="Verdana" w:hAnsi="Verdana" w:cs="Verdana"/>
          <w:lang w:val="it-IT"/>
        </w:rPr>
      </w:pPr>
      <w:r w:rsidRPr="00C34E7A">
        <w:rPr>
          <w:rFonts w:ascii="Verdana" w:eastAsia="Verdana" w:hAnsi="Verdana" w:cs="Verdana"/>
          <w:lang w:val="it-IT"/>
        </w:rPr>
        <w:t>Gerente ESP La Virginia Risaralda</w:t>
      </w:r>
    </w:p>
    <w:p w14:paraId="6A296A3C" w14:textId="614972A4" w:rsidR="001567BF" w:rsidRPr="00C34E7A" w:rsidRDefault="001567BF" w:rsidP="30821638">
      <w:pPr>
        <w:spacing w:after="0"/>
        <w:rPr>
          <w:rFonts w:ascii="Verdana" w:eastAsia="Verdana" w:hAnsi="Verdana" w:cs="Verdana"/>
        </w:rPr>
      </w:pPr>
      <w:r w:rsidRPr="00C34E7A">
        <w:rPr>
          <w:rFonts w:ascii="Verdana" w:eastAsia="Verdana" w:hAnsi="Verdana" w:cs="Verdana"/>
        </w:rPr>
        <w:t>Empresa de Servicios públicos de La Virginia</w:t>
      </w:r>
    </w:p>
    <w:p w14:paraId="28D0EEB6" w14:textId="16211924" w:rsidR="001567BF" w:rsidRPr="00C34E7A" w:rsidRDefault="001567BF" w:rsidP="30821638">
      <w:pPr>
        <w:spacing w:after="0"/>
        <w:rPr>
          <w:rFonts w:ascii="Verdana" w:eastAsia="Verdana" w:hAnsi="Verdana" w:cs="Verdana"/>
        </w:rPr>
      </w:pPr>
      <w:hyperlink r:id="rId12" w:history="1">
        <w:r w:rsidRPr="00C34E7A">
          <w:rPr>
            <w:rStyle w:val="Hipervnculo"/>
            <w:rFonts w:ascii="Verdana" w:eastAsia="Verdana" w:hAnsi="Verdana" w:cs="Verdana"/>
          </w:rPr>
          <w:t>ventanillaunica@esp-lavirginia-risaralda.gov.co</w:t>
        </w:r>
      </w:hyperlink>
      <w:r w:rsidRPr="00C34E7A">
        <w:rPr>
          <w:rFonts w:ascii="Verdana" w:eastAsia="Verdana" w:hAnsi="Verdana" w:cs="Verdana"/>
        </w:rPr>
        <w:t xml:space="preserve"> </w:t>
      </w:r>
    </w:p>
    <w:p w14:paraId="4F8E677D" w14:textId="30B8631C" w:rsidR="001A305E" w:rsidRPr="00C34E7A" w:rsidRDefault="001A305E" w:rsidP="30821638">
      <w:pPr>
        <w:spacing w:after="0"/>
        <w:rPr>
          <w:rFonts w:ascii="Verdana" w:eastAsia="Verdana" w:hAnsi="Verdana" w:cs="Verdana"/>
          <w:lang w:val="it-IT"/>
        </w:rPr>
      </w:pPr>
      <w:r w:rsidRPr="00C34E7A">
        <w:rPr>
          <w:rFonts w:ascii="Verdana" w:eastAsia="Verdana" w:hAnsi="Verdana" w:cs="Verdana"/>
          <w:lang w:val="it-IT"/>
        </w:rPr>
        <w:t>La Virginia, Risaralda</w:t>
      </w:r>
    </w:p>
    <w:p w14:paraId="48064D5F" w14:textId="77777777" w:rsidR="001567BF" w:rsidRPr="00C34E7A" w:rsidRDefault="001567BF" w:rsidP="30821638">
      <w:pPr>
        <w:spacing w:after="0"/>
        <w:rPr>
          <w:rFonts w:ascii="Verdana" w:eastAsia="Verdana" w:hAnsi="Verdana" w:cs="Verdana"/>
          <w:lang w:val="it-IT"/>
        </w:rPr>
      </w:pPr>
    </w:p>
    <w:p w14:paraId="2BC05D21" w14:textId="77777777" w:rsidR="007D300D" w:rsidRPr="00C34E7A" w:rsidRDefault="007D300D" w:rsidP="007D300D">
      <w:pPr>
        <w:spacing w:after="0" w:line="240" w:lineRule="auto"/>
        <w:rPr>
          <w:rFonts w:ascii="Verdana" w:eastAsia="Calibri" w:hAnsi="Verdana" w:cs="Arial"/>
          <w:b/>
          <w:color w:val="000000" w:themeColor="text1"/>
          <w:highlight w:val="cyan"/>
          <w:lang w:val="it-IT" w:eastAsia="es-ES_tradnl"/>
        </w:rPr>
      </w:pPr>
    </w:p>
    <w:p w14:paraId="0DC17E5A" w14:textId="6C13BFC9" w:rsidR="007D300D" w:rsidRPr="00C34E7A" w:rsidRDefault="007D300D" w:rsidP="007D300D">
      <w:pPr>
        <w:spacing w:after="0" w:line="240" w:lineRule="auto"/>
        <w:rPr>
          <w:rFonts w:ascii="Verdana" w:eastAsia="Calibri" w:hAnsi="Verdana" w:cs="Arial"/>
          <w:b/>
          <w:color w:val="000000" w:themeColor="text1"/>
          <w:lang w:val="it-IT" w:eastAsia="es-ES_tradnl"/>
        </w:rPr>
      </w:pPr>
      <w:r w:rsidRPr="00C34E7A">
        <w:rPr>
          <w:rFonts w:ascii="Verdana" w:eastAsia="Calibri" w:hAnsi="Verdana" w:cs="Arial"/>
          <w:b/>
          <w:color w:val="000000" w:themeColor="text1"/>
          <w:lang w:val="it-IT" w:eastAsia="es-ES_tradnl"/>
        </w:rPr>
        <w:t xml:space="preserve">                                   Concepto C-208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D300D" w:rsidRPr="00C34E7A" w14:paraId="1488C6EA" w14:textId="77777777" w:rsidTr="0028651F">
        <w:trPr>
          <w:gridAfter w:val="1"/>
          <w:wAfter w:w="6100" w:type="dxa"/>
          <w:trHeight w:val="133"/>
        </w:trPr>
        <w:tc>
          <w:tcPr>
            <w:tcW w:w="2689" w:type="dxa"/>
          </w:tcPr>
          <w:p w14:paraId="5319017C" w14:textId="77777777" w:rsidR="007D300D" w:rsidRPr="00C34E7A" w:rsidRDefault="007D300D" w:rsidP="0028651F">
            <w:pPr>
              <w:jc w:val="both"/>
              <w:rPr>
                <w:rFonts w:ascii="Verdana" w:eastAsia="Calibri" w:hAnsi="Verdana" w:cs="Arial"/>
                <w:b/>
                <w:color w:val="000000" w:themeColor="text1"/>
                <w:highlight w:val="cyan"/>
                <w:lang w:val="it-IT" w:eastAsia="es-ES_tradnl"/>
              </w:rPr>
            </w:pPr>
          </w:p>
          <w:p w14:paraId="015AD422" w14:textId="77777777" w:rsidR="007D300D" w:rsidRPr="00C34E7A" w:rsidRDefault="007D300D" w:rsidP="0028651F">
            <w:pPr>
              <w:jc w:val="both"/>
              <w:rPr>
                <w:rFonts w:ascii="Verdana" w:eastAsia="Calibri" w:hAnsi="Verdana" w:cs="Arial"/>
                <w:b/>
                <w:color w:val="000000" w:themeColor="text1"/>
                <w:highlight w:val="cyan"/>
                <w:lang w:val="it-IT" w:eastAsia="es-ES_tradnl"/>
              </w:rPr>
            </w:pPr>
          </w:p>
        </w:tc>
      </w:tr>
      <w:tr w:rsidR="007D300D" w:rsidRPr="00C34E7A" w14:paraId="3E973826" w14:textId="77777777" w:rsidTr="0028651F">
        <w:trPr>
          <w:trHeight w:val="884"/>
        </w:trPr>
        <w:tc>
          <w:tcPr>
            <w:tcW w:w="2689" w:type="dxa"/>
          </w:tcPr>
          <w:p w14:paraId="5E43B914" w14:textId="77777777" w:rsidR="007D300D" w:rsidRPr="00C34E7A" w:rsidRDefault="007D300D" w:rsidP="0028651F">
            <w:pPr>
              <w:jc w:val="both"/>
              <w:rPr>
                <w:rFonts w:ascii="Verdana" w:eastAsia="Calibri" w:hAnsi="Verdana" w:cs="Arial"/>
                <w:color w:val="000000" w:themeColor="text1"/>
                <w:highlight w:val="cyan"/>
                <w:lang w:val="es-ES_tradnl" w:eastAsia="es-ES_tradnl"/>
              </w:rPr>
            </w:pPr>
            <w:r w:rsidRPr="00C34E7A">
              <w:rPr>
                <w:rFonts w:ascii="Verdana" w:eastAsia="Calibri" w:hAnsi="Verdana" w:cs="Arial"/>
                <w:b/>
                <w:color w:val="000000" w:themeColor="text1"/>
                <w:lang w:val="es-ES_tradnl" w:eastAsia="es-ES_tradnl"/>
              </w:rPr>
              <w:t>Temas:</w:t>
            </w:r>
            <w:r w:rsidRPr="00C34E7A">
              <w:rPr>
                <w:rFonts w:ascii="Verdana" w:eastAsia="Calibri" w:hAnsi="Verdana" w:cs="Arial"/>
                <w:color w:val="000000" w:themeColor="text1"/>
                <w:lang w:val="es-ES_tradnl" w:eastAsia="es-ES_tradnl"/>
              </w:rPr>
              <w:t xml:space="preserve">                   </w:t>
            </w:r>
          </w:p>
        </w:tc>
        <w:tc>
          <w:tcPr>
            <w:tcW w:w="6100" w:type="dxa"/>
          </w:tcPr>
          <w:p w14:paraId="292A3E8D" w14:textId="3E255B0A" w:rsidR="006426F5" w:rsidRPr="00C34E7A" w:rsidRDefault="008C5662" w:rsidP="006426F5">
            <w:pPr>
              <w:contextualSpacing/>
              <w:jc w:val="both"/>
              <w:rPr>
                <w:rFonts w:ascii="Verdana" w:eastAsia="Arial" w:hAnsi="Verdana" w:cs="Arial"/>
                <w:lang w:val="es-ES"/>
              </w:rPr>
            </w:pPr>
            <w:r w:rsidRPr="00C34E7A">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Contratación directa / LEY DE GARANTÍAS ELECTORALES ‒ Artículo 33 ‒ Ámbito subjetivo – Empresas de Servicios Públicos Domiciliarios / LEY DE GARANTÍAS ELECTORALES ─ Contratación Directa – Excepciones / LEY DE GARANTÍAS ELECTORALES ─ Contratación Directa – Excepciones / </w:t>
            </w:r>
            <w:r w:rsidR="00022791" w:rsidRPr="00C34E7A">
              <w:rPr>
                <w:rFonts w:ascii="Verdana" w:eastAsia="Arial" w:hAnsi="Verdana" w:cs="Arial"/>
                <w:lang w:val="es-ES"/>
              </w:rPr>
              <w:t>PRINCIPIO DE PUBLICIDAD – Concepto – Fundamento axiológico – Fundamento constitucional</w:t>
            </w:r>
            <w:r w:rsidR="00022791" w:rsidRPr="00C34E7A">
              <w:rPr>
                <w:rFonts w:ascii="Verdana" w:hAnsi="Verdana" w:cs="Arial"/>
                <w:lang w:val="es-ES_tradnl" w:eastAsia="es-ES" w:bidi="es-ES"/>
              </w:rPr>
              <w:t xml:space="preserve"> / PRINCIPIO DE PUBLICIDAD – SECOP – Documentos del proceso – Deber de publicación / </w:t>
            </w:r>
            <w:r w:rsidR="00022791" w:rsidRPr="00C34E7A">
              <w:rPr>
                <w:rFonts w:ascii="Verdana" w:hAnsi="Verdana" w:cs="Arial"/>
                <w:lang w:eastAsia="es-ES" w:bidi="es-ES"/>
              </w:rPr>
              <w:t xml:space="preserve">ENTIDADES CON RÉGIMEN ESPECIAL – Deber de publicar en SECOP – Artículo 53 Ley 2195 de 2022 </w:t>
            </w:r>
            <w:r w:rsidR="00967367" w:rsidRPr="00C34E7A">
              <w:rPr>
                <w:rFonts w:ascii="Verdana" w:hAnsi="Verdana" w:cs="Arial"/>
                <w:lang w:eastAsia="es-ES" w:bidi="es-ES"/>
              </w:rPr>
              <w:t xml:space="preserve">/ </w:t>
            </w:r>
            <w:r w:rsidRPr="00C34E7A">
              <w:rPr>
                <w:rFonts w:ascii="Verdana" w:hAnsi="Verdana" w:cs="Arial"/>
                <w:lang w:eastAsia="es-ES" w:bidi="es-ES"/>
              </w:rPr>
              <w:t>SECOP II – Ley de Garantías Electorales – Suscripción contratos</w:t>
            </w:r>
          </w:p>
          <w:p w14:paraId="5432DEB9" w14:textId="64EFFC21" w:rsidR="00022791" w:rsidRPr="00C34E7A" w:rsidRDefault="00022791" w:rsidP="0028651F">
            <w:pPr>
              <w:spacing w:line="276" w:lineRule="auto"/>
              <w:jc w:val="both"/>
              <w:rPr>
                <w:rFonts w:ascii="Verdana" w:hAnsi="Verdana" w:cs="Arial"/>
                <w:bCs/>
                <w:color w:val="000000" w:themeColor="text1"/>
                <w:highlight w:val="cyan"/>
                <w:lang w:val="es-MX"/>
              </w:rPr>
            </w:pPr>
          </w:p>
        </w:tc>
      </w:tr>
      <w:tr w:rsidR="007D300D" w:rsidRPr="00C34E7A" w14:paraId="4A9D723D" w14:textId="77777777" w:rsidTr="0028651F">
        <w:tc>
          <w:tcPr>
            <w:tcW w:w="2689" w:type="dxa"/>
          </w:tcPr>
          <w:p w14:paraId="4A51D495" w14:textId="77777777" w:rsidR="007D300D" w:rsidRPr="00C34E7A" w:rsidRDefault="007D300D" w:rsidP="0028651F">
            <w:pPr>
              <w:jc w:val="both"/>
              <w:rPr>
                <w:rFonts w:ascii="Verdana" w:eastAsia="Calibri" w:hAnsi="Verdana" w:cs="Arial"/>
                <w:b/>
                <w:color w:val="000000" w:themeColor="text1"/>
                <w:lang w:val="es-ES_tradnl" w:eastAsia="es-ES_tradnl"/>
              </w:rPr>
            </w:pPr>
            <w:r w:rsidRPr="00C34E7A">
              <w:rPr>
                <w:rFonts w:ascii="Verdana" w:eastAsia="Calibri" w:hAnsi="Verdana" w:cs="Arial"/>
                <w:b/>
                <w:color w:val="000000" w:themeColor="text1"/>
                <w:lang w:val="es-ES_tradnl" w:eastAsia="es-ES_tradnl"/>
              </w:rPr>
              <w:t>Radicación:</w:t>
            </w:r>
            <w:r w:rsidRPr="00C34E7A">
              <w:rPr>
                <w:rFonts w:ascii="Verdana" w:eastAsia="Calibri" w:hAnsi="Verdana" w:cs="Arial"/>
                <w:color w:val="000000" w:themeColor="text1"/>
                <w:lang w:val="es-ES_tradnl" w:eastAsia="es-ES_tradnl"/>
              </w:rPr>
              <w:t xml:space="preserve">               </w:t>
            </w:r>
          </w:p>
        </w:tc>
        <w:tc>
          <w:tcPr>
            <w:tcW w:w="6100" w:type="dxa"/>
          </w:tcPr>
          <w:p w14:paraId="40553C9C" w14:textId="6A97C9C8" w:rsidR="007D300D" w:rsidRPr="00C34E7A" w:rsidRDefault="007D300D" w:rsidP="0028651F">
            <w:pPr>
              <w:jc w:val="both"/>
              <w:rPr>
                <w:rFonts w:ascii="Verdana" w:eastAsia="Calibri" w:hAnsi="Verdana" w:cs="Arial"/>
                <w:color w:val="000000" w:themeColor="text1"/>
                <w:lang w:eastAsia="es-ES_tradnl"/>
              </w:rPr>
            </w:pPr>
            <w:r w:rsidRPr="00C34E7A">
              <w:rPr>
                <w:rFonts w:ascii="Verdana" w:eastAsia="Calibri" w:hAnsi="Verdana" w:cs="Arial"/>
                <w:color w:val="000000" w:themeColor="text1"/>
                <w:lang w:val="es-ES_tradnl" w:eastAsia="es-ES_tradnl"/>
              </w:rPr>
              <w:t>Respuesta a consulta con radicado No.</w:t>
            </w:r>
            <w:r w:rsidRPr="00C34E7A">
              <w:rPr>
                <w:rFonts w:ascii="Verdana" w:hAnsi="Verdana"/>
              </w:rPr>
              <w:t xml:space="preserve"> </w:t>
            </w:r>
            <w:r w:rsidR="002B1275" w:rsidRPr="00C34E7A">
              <w:rPr>
                <w:rFonts w:ascii="Verdana" w:eastAsia="Calibri" w:hAnsi="Verdana" w:cs="Arial"/>
                <w:color w:val="000000" w:themeColor="text1"/>
                <w:lang w:eastAsia="es-ES_tradnl"/>
              </w:rPr>
              <w:t>1_2026_02_13_001859</w:t>
            </w:r>
          </w:p>
          <w:p w14:paraId="2102F667" w14:textId="77777777" w:rsidR="007D300D" w:rsidRPr="00C34E7A" w:rsidRDefault="007D300D" w:rsidP="0028651F">
            <w:pPr>
              <w:jc w:val="both"/>
              <w:rPr>
                <w:rFonts w:ascii="Verdana" w:hAnsi="Verdana" w:cs="Arial"/>
              </w:rPr>
            </w:pPr>
          </w:p>
          <w:p w14:paraId="09B39D12" w14:textId="77777777" w:rsidR="007D300D" w:rsidRPr="00C34E7A" w:rsidRDefault="007D300D" w:rsidP="0028651F">
            <w:pPr>
              <w:jc w:val="both"/>
              <w:rPr>
                <w:rFonts w:ascii="Verdana" w:hAnsi="Verdana"/>
                <w:color w:val="000000"/>
              </w:rPr>
            </w:pPr>
          </w:p>
        </w:tc>
      </w:tr>
    </w:tbl>
    <w:p w14:paraId="15345891" w14:textId="7DEDA834" w:rsidR="007D300D" w:rsidRPr="00C34E7A" w:rsidRDefault="007D300D" w:rsidP="007D300D">
      <w:pPr>
        <w:spacing w:after="0" w:line="276" w:lineRule="auto"/>
        <w:jc w:val="both"/>
        <w:rPr>
          <w:rFonts w:ascii="Verdana" w:eastAsia="Calibri" w:hAnsi="Verdana" w:cs="Arial"/>
          <w:color w:val="000000" w:themeColor="text1"/>
          <w:lang w:val="es-ES" w:eastAsia="es-ES"/>
        </w:rPr>
      </w:pPr>
      <w:r w:rsidRPr="00C34E7A">
        <w:rPr>
          <w:rFonts w:ascii="Verdana" w:eastAsia="Calibri" w:hAnsi="Verdana" w:cs="Arial"/>
          <w:color w:val="000000" w:themeColor="text1"/>
          <w:lang w:val="es-ES" w:eastAsia="es-ES"/>
        </w:rPr>
        <w:t>Estimad</w:t>
      </w:r>
      <w:r w:rsidR="00495649" w:rsidRPr="00C34E7A">
        <w:rPr>
          <w:rFonts w:ascii="Verdana" w:eastAsia="Calibri" w:hAnsi="Verdana" w:cs="Arial"/>
          <w:color w:val="000000" w:themeColor="text1"/>
          <w:lang w:val="es-ES" w:eastAsia="es-ES"/>
        </w:rPr>
        <w:t>a</w:t>
      </w:r>
      <w:r w:rsidRPr="00C34E7A">
        <w:rPr>
          <w:rFonts w:ascii="Verdana" w:eastAsia="Calibri" w:hAnsi="Verdana" w:cs="Arial"/>
          <w:color w:val="000000" w:themeColor="text1"/>
          <w:lang w:val="es-ES" w:eastAsia="es-ES"/>
        </w:rPr>
        <w:t xml:space="preserve"> </w:t>
      </w:r>
      <w:r w:rsidR="00495649" w:rsidRPr="00C34E7A">
        <w:rPr>
          <w:rFonts w:ascii="Verdana" w:eastAsia="Calibri" w:hAnsi="Verdana" w:cs="Arial"/>
          <w:color w:val="000000" w:themeColor="text1"/>
          <w:lang w:val="es-ES" w:eastAsia="es-ES"/>
        </w:rPr>
        <w:t>Doctora</w:t>
      </w:r>
      <w:r w:rsidRPr="00C34E7A">
        <w:rPr>
          <w:rFonts w:ascii="Verdana" w:eastAsia="Calibri" w:hAnsi="Verdana" w:cs="Arial"/>
          <w:color w:val="000000" w:themeColor="text1"/>
          <w:lang w:val="es-ES" w:eastAsia="es-ES"/>
        </w:rPr>
        <w:t xml:space="preserve"> </w:t>
      </w:r>
      <w:r w:rsidR="00495649" w:rsidRPr="00C34E7A">
        <w:rPr>
          <w:rFonts w:ascii="Verdana" w:eastAsia="Calibri" w:hAnsi="Verdana" w:cs="Arial"/>
          <w:color w:val="000000" w:themeColor="text1"/>
          <w:lang w:val="es-ES" w:eastAsia="es-ES"/>
        </w:rPr>
        <w:t>Restrepo</w:t>
      </w:r>
      <w:r w:rsidRPr="00C34E7A">
        <w:rPr>
          <w:rFonts w:ascii="Verdana" w:eastAsia="Calibri" w:hAnsi="Verdana" w:cs="Arial"/>
          <w:color w:val="000000" w:themeColor="text1"/>
          <w:lang w:val="es-ES" w:eastAsia="es-ES"/>
        </w:rPr>
        <w:t xml:space="preserve">: </w:t>
      </w:r>
    </w:p>
    <w:p w14:paraId="14367451" w14:textId="77777777" w:rsidR="007D300D" w:rsidRPr="00C34E7A" w:rsidRDefault="007D300D" w:rsidP="007D300D">
      <w:pPr>
        <w:spacing w:after="0"/>
        <w:rPr>
          <w:rFonts w:ascii="Verdana" w:eastAsia="Times New Roman" w:hAnsi="Verdana" w:cs="Segoe UI"/>
          <w:highlight w:val="cyan"/>
          <w:lang w:eastAsia="es-CO"/>
        </w:rPr>
      </w:pPr>
    </w:p>
    <w:p w14:paraId="0818FF67" w14:textId="4601BC96" w:rsidR="007D300D" w:rsidRPr="00C34E7A" w:rsidRDefault="007D300D" w:rsidP="007D300D">
      <w:pPr>
        <w:spacing w:after="0" w:line="276" w:lineRule="auto"/>
        <w:jc w:val="both"/>
        <w:rPr>
          <w:rFonts w:ascii="Verdana" w:eastAsia="Calibri" w:hAnsi="Verdana" w:cs="Arial"/>
          <w:lang w:val="es-ES" w:eastAsia="es-ES"/>
        </w:rPr>
      </w:pPr>
      <w:r w:rsidRPr="00C34E7A">
        <w:rPr>
          <w:rFonts w:ascii="Verdana" w:eastAsia="Calibri" w:hAnsi="Verdana" w:cs="Arial"/>
          <w:lang w:val="es-ES" w:eastAsia="es-ES"/>
        </w:rPr>
        <w:lastRenderedPageBreak/>
        <w:t>En ejercicio de la competencia otorgada por los artículos 3, numeral 5º, y 11, numeral 8º, del Decreto Ley 4170 de 2011,</w:t>
      </w:r>
      <w:r w:rsidRPr="00C34E7A">
        <w:rPr>
          <w:rFonts w:ascii="Verdana" w:eastAsia="Arial MT" w:hAnsi="Verdana" w:cs="Arial"/>
          <w:lang w:val="es-ES" w:eastAsia="es-ES"/>
        </w:rPr>
        <w:t xml:space="preserve"> </w:t>
      </w:r>
      <w:r w:rsidRPr="00C34E7A">
        <w:rPr>
          <w:rFonts w:ascii="Verdana" w:hAnsi="Verdana" w:cs="Arial"/>
        </w:rPr>
        <w:t xml:space="preserve">así como lo establecido en el artículo 4 de la Resolución 1707 de 2018 expedida por esta Entidad, </w:t>
      </w:r>
      <w:r w:rsidRPr="00C34E7A">
        <w:rPr>
          <w:rFonts w:ascii="Verdana" w:eastAsia="Calibri" w:hAnsi="Verdana" w:cs="Arial"/>
          <w:lang w:val="es-ES" w:eastAsia="es-ES"/>
        </w:rPr>
        <w:t xml:space="preserve">la Agencia Nacional de Contratación Pública – Colombia Compra Eficiente– responde su solicitud del </w:t>
      </w:r>
      <w:r w:rsidR="005416D0" w:rsidRPr="00C34E7A">
        <w:rPr>
          <w:rFonts w:ascii="Verdana" w:eastAsia="Calibri" w:hAnsi="Verdana" w:cs="Arial"/>
          <w:lang w:val="es-ES" w:eastAsia="es-ES"/>
        </w:rPr>
        <w:t>06 de febrero del 2026</w:t>
      </w:r>
      <w:r w:rsidRPr="00C34E7A">
        <w:rPr>
          <w:rFonts w:ascii="Verdana" w:eastAsia="Calibri" w:hAnsi="Verdana" w:cs="Arial"/>
          <w:lang w:val="es-ES" w:eastAsia="es-ES"/>
        </w:rPr>
        <w:t xml:space="preserve">, trasladada por el Departamento </w:t>
      </w:r>
      <w:r w:rsidR="005416D0" w:rsidRPr="00C34E7A">
        <w:rPr>
          <w:rFonts w:ascii="Verdana" w:eastAsia="Calibri" w:hAnsi="Verdana" w:cs="Arial"/>
          <w:lang w:val="es-ES" w:eastAsia="es-ES"/>
        </w:rPr>
        <w:t>Administrativo de la Función Pública,</w:t>
      </w:r>
      <w:r w:rsidRPr="00C34E7A">
        <w:rPr>
          <w:rFonts w:ascii="Verdana" w:eastAsia="Calibri" w:hAnsi="Verdana" w:cs="Arial"/>
          <w:lang w:val="es-ES" w:eastAsia="es-ES"/>
        </w:rPr>
        <w:t xml:space="preserve"> el </w:t>
      </w:r>
      <w:r w:rsidR="00EB665D" w:rsidRPr="00C34E7A">
        <w:rPr>
          <w:rFonts w:ascii="Verdana" w:eastAsia="Calibri" w:hAnsi="Verdana" w:cs="Arial"/>
          <w:lang w:val="es-ES" w:eastAsia="es-ES"/>
        </w:rPr>
        <w:t>11 de febrero del 2026</w:t>
      </w:r>
      <w:r w:rsidRPr="00C34E7A">
        <w:rPr>
          <w:rFonts w:ascii="Verdana" w:eastAsia="Calibri" w:hAnsi="Verdana" w:cs="Arial"/>
          <w:lang w:val="es-ES" w:eastAsia="es-ES"/>
        </w:rPr>
        <w:t xml:space="preserve">, en la cual manifiesta lo siguiente: </w:t>
      </w:r>
    </w:p>
    <w:p w14:paraId="420AB9D5" w14:textId="77777777" w:rsidR="007D300D" w:rsidRPr="00C34E7A" w:rsidRDefault="007D300D" w:rsidP="007D300D">
      <w:pPr>
        <w:spacing w:after="0" w:line="276" w:lineRule="auto"/>
        <w:jc w:val="both"/>
        <w:rPr>
          <w:rFonts w:ascii="Verdana" w:eastAsia="Calibri" w:hAnsi="Verdana" w:cs="Arial"/>
          <w:lang w:val="es-ES" w:eastAsia="es-ES"/>
        </w:rPr>
      </w:pPr>
    </w:p>
    <w:p w14:paraId="5CB78F3F" w14:textId="4D33CAE4" w:rsidR="007D300D" w:rsidRPr="00C34E7A" w:rsidRDefault="007D300D" w:rsidP="007B2FD9">
      <w:pPr>
        <w:spacing w:after="0" w:line="240" w:lineRule="auto"/>
        <w:ind w:left="709" w:right="709"/>
        <w:jc w:val="both"/>
        <w:rPr>
          <w:rFonts w:ascii="Verdana" w:eastAsia="Century Gothic" w:hAnsi="Verdana" w:cs="Arial"/>
          <w:sz w:val="20"/>
          <w:szCs w:val="20"/>
        </w:rPr>
      </w:pPr>
      <w:r w:rsidRPr="00C34E7A">
        <w:rPr>
          <w:rFonts w:ascii="Verdana" w:eastAsia="Century Gothic" w:hAnsi="Verdana" w:cs="Arial"/>
          <w:sz w:val="20"/>
          <w:szCs w:val="20"/>
          <w:lang w:val="es-ES"/>
        </w:rPr>
        <w:t xml:space="preserve">“[…] </w:t>
      </w:r>
      <w:r w:rsidR="007B2FD9" w:rsidRPr="00C34E7A">
        <w:rPr>
          <w:rFonts w:ascii="Verdana" w:eastAsia="Century Gothic" w:hAnsi="Verdana" w:cs="Arial"/>
          <w:sz w:val="20"/>
          <w:szCs w:val="20"/>
        </w:rPr>
        <w:t>Teniendo en cuenta que los contratos C-068-2026 COMPRAVENTA DE MEDIDORES, C-069-2026 DOTAC</w:t>
      </w:r>
      <w:r w:rsidR="00640C65" w:rsidRPr="00C34E7A">
        <w:rPr>
          <w:rFonts w:ascii="Verdana" w:eastAsia="Century Gothic" w:hAnsi="Verdana" w:cs="Arial"/>
          <w:sz w:val="20"/>
          <w:szCs w:val="20"/>
        </w:rPr>
        <w:t>IÓ</w:t>
      </w:r>
      <w:r w:rsidR="007B2FD9" w:rsidRPr="00C34E7A">
        <w:rPr>
          <w:rFonts w:ascii="Verdana" w:eastAsia="Century Gothic" w:hAnsi="Verdana" w:cs="Arial"/>
          <w:sz w:val="20"/>
          <w:szCs w:val="20"/>
        </w:rPr>
        <w:t>N, C-039-2026 CPS FUMIGACION, C-024</w:t>
      </w:r>
      <w:r w:rsidR="00640C65" w:rsidRPr="00C34E7A">
        <w:rPr>
          <w:rFonts w:ascii="Verdana" w:eastAsia="Century Gothic" w:hAnsi="Verdana" w:cs="Arial"/>
          <w:sz w:val="20"/>
          <w:szCs w:val="20"/>
        </w:rPr>
        <w:t>-</w:t>
      </w:r>
      <w:r w:rsidR="007B2FD9" w:rsidRPr="00C34E7A">
        <w:rPr>
          <w:rFonts w:ascii="Verdana" w:eastAsia="Century Gothic" w:hAnsi="Verdana" w:cs="Arial"/>
          <w:sz w:val="20"/>
          <w:szCs w:val="20"/>
        </w:rPr>
        <w:t>2026 CPS ALMACENAMIENTO Y CONSERVACION DEL ARCHIVO, todos bajo la modalidad de contrataci</w:t>
      </w:r>
      <w:r w:rsidR="00193C34" w:rsidRPr="00C34E7A">
        <w:rPr>
          <w:rFonts w:ascii="Verdana" w:eastAsia="Century Gothic" w:hAnsi="Verdana" w:cs="Arial"/>
          <w:sz w:val="20"/>
          <w:szCs w:val="20"/>
        </w:rPr>
        <w:t>ó</w:t>
      </w:r>
      <w:r w:rsidR="007B2FD9" w:rsidRPr="00C34E7A">
        <w:rPr>
          <w:rFonts w:ascii="Verdana" w:eastAsia="Century Gothic" w:hAnsi="Verdana" w:cs="Arial"/>
          <w:sz w:val="20"/>
          <w:szCs w:val="20"/>
        </w:rPr>
        <w:t>n directa, no se lograron culminar el proceso de suscripci</w:t>
      </w:r>
      <w:r w:rsidR="004B1D25" w:rsidRPr="00C34E7A">
        <w:rPr>
          <w:rFonts w:ascii="Verdana" w:eastAsia="Century Gothic" w:hAnsi="Verdana" w:cs="Arial"/>
          <w:sz w:val="20"/>
          <w:szCs w:val="20"/>
        </w:rPr>
        <w:t>ó</w:t>
      </w:r>
      <w:r w:rsidR="007B2FD9" w:rsidRPr="00C34E7A">
        <w:rPr>
          <w:rFonts w:ascii="Verdana" w:eastAsia="Century Gothic" w:hAnsi="Verdana" w:cs="Arial"/>
          <w:sz w:val="20"/>
          <w:szCs w:val="20"/>
        </w:rPr>
        <w:t>n y legalizaci</w:t>
      </w:r>
      <w:r w:rsidR="004B1D25" w:rsidRPr="00C34E7A">
        <w:rPr>
          <w:rFonts w:ascii="Verdana" w:eastAsia="Century Gothic" w:hAnsi="Verdana" w:cs="Arial"/>
          <w:sz w:val="20"/>
          <w:szCs w:val="20"/>
        </w:rPr>
        <w:t>ó</w:t>
      </w:r>
      <w:r w:rsidR="007B2FD9" w:rsidRPr="00C34E7A">
        <w:rPr>
          <w:rFonts w:ascii="Verdana" w:eastAsia="Century Gothic" w:hAnsi="Verdana" w:cs="Arial"/>
          <w:sz w:val="20"/>
          <w:szCs w:val="20"/>
        </w:rPr>
        <w:t xml:space="preserve">n ante la plataforma del SECOP </w:t>
      </w:r>
      <w:r w:rsidR="004B1D25" w:rsidRPr="00C34E7A">
        <w:rPr>
          <w:rFonts w:ascii="Verdana" w:eastAsia="Century Gothic" w:hAnsi="Verdana" w:cs="Arial"/>
          <w:sz w:val="20"/>
          <w:szCs w:val="20"/>
        </w:rPr>
        <w:t>II</w:t>
      </w:r>
      <w:r w:rsidR="007B2FD9" w:rsidRPr="00C34E7A">
        <w:rPr>
          <w:rFonts w:ascii="Verdana" w:eastAsia="Century Gothic" w:hAnsi="Verdana" w:cs="Arial"/>
          <w:sz w:val="20"/>
          <w:szCs w:val="20"/>
        </w:rPr>
        <w:t>; que todos son considerados que cumplen con una funci</w:t>
      </w:r>
      <w:r w:rsidR="00193C34" w:rsidRPr="00C34E7A">
        <w:rPr>
          <w:rFonts w:ascii="Verdana" w:eastAsia="Century Gothic" w:hAnsi="Verdana" w:cs="Arial"/>
          <w:sz w:val="20"/>
          <w:szCs w:val="20"/>
        </w:rPr>
        <w:t>ó</w:t>
      </w:r>
      <w:r w:rsidR="007B2FD9" w:rsidRPr="00C34E7A">
        <w:rPr>
          <w:rFonts w:ascii="Verdana" w:eastAsia="Century Gothic" w:hAnsi="Verdana" w:cs="Arial"/>
          <w:sz w:val="20"/>
          <w:szCs w:val="20"/>
        </w:rPr>
        <w:t xml:space="preserve">n misional dentro de la Empresa y que nos encontramos en vigencia de la ley 996 de 2005, "ley de garantías'', es posible culminar los procesos de contrataci6n antes mencionados ante la plataforma SECOP </w:t>
      </w:r>
      <w:r w:rsidR="004B1D25" w:rsidRPr="00C34E7A">
        <w:rPr>
          <w:rFonts w:ascii="Verdana" w:eastAsia="Century Gothic" w:hAnsi="Verdana" w:cs="Arial"/>
          <w:sz w:val="20"/>
          <w:szCs w:val="20"/>
        </w:rPr>
        <w:t>II</w:t>
      </w:r>
      <w:r w:rsidR="007B2FD9" w:rsidRPr="00C34E7A">
        <w:rPr>
          <w:rFonts w:ascii="Verdana" w:eastAsia="Century Gothic" w:hAnsi="Verdana" w:cs="Arial"/>
          <w:sz w:val="20"/>
          <w:szCs w:val="20"/>
        </w:rPr>
        <w:t>?.</w:t>
      </w:r>
    </w:p>
    <w:p w14:paraId="534EF957" w14:textId="77777777" w:rsidR="007B2FD9" w:rsidRPr="00C34E7A" w:rsidRDefault="007B2FD9" w:rsidP="007B2FD9">
      <w:pPr>
        <w:spacing w:after="0" w:line="240" w:lineRule="auto"/>
        <w:ind w:left="709" w:right="709"/>
        <w:jc w:val="both"/>
        <w:rPr>
          <w:rFonts w:ascii="Verdana" w:eastAsia="Century Gothic" w:hAnsi="Verdana" w:cs="Arial"/>
          <w:sz w:val="20"/>
          <w:szCs w:val="20"/>
        </w:rPr>
      </w:pPr>
    </w:p>
    <w:p w14:paraId="08FF4213" w14:textId="7285EE08" w:rsidR="007D300D" w:rsidRPr="00C34E7A" w:rsidRDefault="007B2FD9" w:rsidP="007D300D">
      <w:pPr>
        <w:spacing w:after="0" w:line="240" w:lineRule="auto"/>
        <w:ind w:left="709" w:right="709"/>
        <w:jc w:val="both"/>
        <w:rPr>
          <w:rFonts w:ascii="Verdana" w:hAnsi="Verdana" w:cs="Arial"/>
          <w:sz w:val="20"/>
          <w:szCs w:val="20"/>
        </w:rPr>
      </w:pPr>
      <w:r w:rsidRPr="00C34E7A">
        <w:rPr>
          <w:rFonts w:ascii="Verdana" w:eastAsia="Century Gothic" w:hAnsi="Verdana" w:cs="Arial"/>
          <w:sz w:val="20"/>
          <w:szCs w:val="20"/>
        </w:rPr>
        <w:t xml:space="preserve">Por tratarse de una empresa de Servicios públicos reglada por la ley 142 de 1994, siendo aplicable el articulo 31 y 32 de esta normativa, </w:t>
      </w:r>
      <w:r w:rsidR="001531EF" w:rsidRPr="00C34E7A">
        <w:rPr>
          <w:rFonts w:ascii="Verdana" w:eastAsia="Century Gothic" w:hAnsi="Verdana" w:cs="Arial"/>
          <w:sz w:val="20"/>
          <w:szCs w:val="20"/>
        </w:rPr>
        <w:t>¿</w:t>
      </w:r>
      <w:r w:rsidRPr="00C34E7A">
        <w:rPr>
          <w:rFonts w:ascii="Verdana" w:eastAsia="Century Gothic" w:hAnsi="Verdana" w:cs="Arial"/>
          <w:sz w:val="20"/>
          <w:szCs w:val="20"/>
        </w:rPr>
        <w:t xml:space="preserve">La E.S.P. de La Virginia está obligada a publicar los actos contractuales en la plataforma del SECOP </w:t>
      </w:r>
      <w:r w:rsidR="001531EF" w:rsidRPr="00C34E7A">
        <w:rPr>
          <w:rFonts w:ascii="Verdana" w:eastAsia="Century Gothic" w:hAnsi="Verdana" w:cs="Arial"/>
          <w:sz w:val="20"/>
          <w:szCs w:val="20"/>
        </w:rPr>
        <w:t>II</w:t>
      </w:r>
      <w:r w:rsidRPr="00C34E7A">
        <w:rPr>
          <w:rFonts w:ascii="Verdana" w:eastAsia="Century Gothic" w:hAnsi="Verdana" w:cs="Arial"/>
          <w:sz w:val="20"/>
          <w:szCs w:val="20"/>
        </w:rPr>
        <w:t xml:space="preserve"> de carácter transaccional, es decir, utilizarla como una herramienta donde todo se puede observar en tiempo real?</w:t>
      </w:r>
      <w:r w:rsidRPr="00C34E7A">
        <w:rPr>
          <w:rFonts w:ascii="Verdana" w:eastAsia="Century Gothic" w:hAnsi="Verdana" w:cs="Arial"/>
          <w:sz w:val="20"/>
          <w:szCs w:val="20"/>
          <w:lang w:val="es-ES"/>
        </w:rPr>
        <w:t xml:space="preserve"> </w:t>
      </w:r>
      <w:r w:rsidR="007D300D" w:rsidRPr="00C34E7A">
        <w:rPr>
          <w:rFonts w:ascii="Verdana" w:eastAsia="Century Gothic" w:hAnsi="Verdana" w:cs="Arial"/>
          <w:sz w:val="20"/>
          <w:szCs w:val="20"/>
          <w:lang w:val="es-ES"/>
        </w:rPr>
        <w:t>[…]”</w:t>
      </w:r>
    </w:p>
    <w:p w14:paraId="439692BE" w14:textId="77777777" w:rsidR="007D300D" w:rsidRPr="00C34E7A" w:rsidRDefault="007D300D" w:rsidP="007D300D">
      <w:pPr>
        <w:spacing w:after="0"/>
        <w:jc w:val="both"/>
        <w:rPr>
          <w:rFonts w:ascii="Verdana" w:hAnsi="Verdana" w:cs="Arial"/>
          <w:lang w:val="es-ES"/>
        </w:rPr>
      </w:pPr>
    </w:p>
    <w:p w14:paraId="02885393" w14:textId="77777777" w:rsidR="007D300D" w:rsidRPr="00C34E7A" w:rsidRDefault="007D300D" w:rsidP="007D300D">
      <w:pPr>
        <w:spacing w:after="120" w:line="276" w:lineRule="auto"/>
        <w:ind w:firstLine="709"/>
        <w:jc w:val="both"/>
        <w:rPr>
          <w:rFonts w:ascii="Verdana" w:eastAsia="Calibri" w:hAnsi="Verdana" w:cs="Arial"/>
          <w:color w:val="000000"/>
          <w:lang w:val="es-ES_tradnl" w:eastAsia="es-ES_tradnl"/>
        </w:rPr>
      </w:pPr>
      <w:r w:rsidRPr="00C34E7A">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2FAEBFE" w14:textId="0FAEF8BE" w:rsidR="007D300D" w:rsidRPr="00C34E7A" w:rsidRDefault="007D300D" w:rsidP="007D300D">
      <w:pPr>
        <w:spacing w:after="0" w:line="276" w:lineRule="auto"/>
        <w:ind w:firstLine="709"/>
        <w:jc w:val="both"/>
        <w:rPr>
          <w:rFonts w:ascii="Verdana" w:eastAsia="Calibri" w:hAnsi="Verdana" w:cs="Arial"/>
          <w:color w:val="000000"/>
          <w:lang w:val="es-ES" w:eastAsia="es-ES"/>
        </w:rPr>
      </w:pPr>
      <w:r w:rsidRPr="00C34E7A">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C34E7A">
        <w:rPr>
          <w:rFonts w:ascii="Verdana" w:eastAsia="Calibri" w:hAnsi="Verdana" w:cs="Arial"/>
          <w:color w:val="000000"/>
          <w:lang w:val="es-ES" w:eastAsia="es-ES"/>
        </w:rPr>
        <w:lastRenderedPageBreak/>
        <w:t xml:space="preserve">concretas mencionadas en su petición, pero haciendo unas consideraciones sobre las normas generales relacionadas con </w:t>
      </w:r>
      <w:r w:rsidR="00D13D2F" w:rsidRPr="00C34E7A">
        <w:rPr>
          <w:rFonts w:ascii="Verdana" w:eastAsia="Calibri" w:hAnsi="Verdana" w:cs="Arial"/>
          <w:color w:val="000000"/>
          <w:lang w:val="es-ES" w:eastAsia="es-ES"/>
        </w:rPr>
        <w:t>el</w:t>
      </w:r>
      <w:r w:rsidRPr="00C34E7A">
        <w:rPr>
          <w:rFonts w:ascii="Verdana" w:eastAsia="Calibri" w:hAnsi="Verdana" w:cs="Arial"/>
          <w:color w:val="000000"/>
          <w:lang w:val="es-ES" w:eastAsia="es-ES"/>
        </w:rPr>
        <w:t xml:space="preserve"> problema </w:t>
      </w:r>
      <w:r w:rsidR="00D13D2F" w:rsidRPr="00C34E7A">
        <w:rPr>
          <w:rFonts w:ascii="Verdana" w:eastAsia="Calibri" w:hAnsi="Verdana" w:cs="Arial"/>
          <w:color w:val="000000"/>
          <w:lang w:val="es-ES" w:eastAsia="es-ES"/>
        </w:rPr>
        <w:t>jurídico</w:t>
      </w:r>
      <w:r w:rsidRPr="00C34E7A">
        <w:rPr>
          <w:rFonts w:ascii="Verdana" w:eastAsia="Calibri" w:hAnsi="Verdana" w:cs="Arial"/>
          <w:color w:val="000000"/>
          <w:lang w:val="es-ES" w:eastAsia="es-ES"/>
        </w:rPr>
        <w:t xml:space="preserve"> de su consulta.  </w:t>
      </w:r>
    </w:p>
    <w:p w14:paraId="2F3C54F4" w14:textId="77777777" w:rsidR="007D300D" w:rsidRPr="00C34E7A" w:rsidRDefault="007D300D" w:rsidP="007D300D">
      <w:pPr>
        <w:spacing w:after="0"/>
        <w:jc w:val="both"/>
        <w:rPr>
          <w:rStyle w:val="Hipervnculo"/>
          <w:rFonts w:ascii="Verdana" w:hAnsi="Verdana"/>
          <w:highlight w:val="cyan"/>
          <w:lang w:val="es-ES"/>
        </w:rPr>
      </w:pPr>
    </w:p>
    <w:p w14:paraId="3893F1C7" w14:textId="77777777" w:rsidR="007D300D" w:rsidRPr="00C34E7A" w:rsidRDefault="007D300D" w:rsidP="007D300D">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C34E7A">
        <w:rPr>
          <w:rFonts w:ascii="Verdana" w:eastAsia="Century Gothic" w:hAnsi="Verdana" w:cs="Arial"/>
          <w:b/>
          <w:bCs/>
        </w:rPr>
        <w:t>Problema planteado:</w:t>
      </w:r>
    </w:p>
    <w:p w14:paraId="1EAF30AB" w14:textId="77777777" w:rsidR="007D300D" w:rsidRPr="00C34E7A" w:rsidRDefault="007D300D" w:rsidP="007D300D">
      <w:pPr>
        <w:spacing w:after="0"/>
        <w:jc w:val="both"/>
        <w:rPr>
          <w:rStyle w:val="Hipervnculo"/>
          <w:rFonts w:ascii="Verdana" w:hAnsi="Verdana" w:cs="Arial"/>
          <w:highlight w:val="cyan"/>
        </w:rPr>
      </w:pPr>
    </w:p>
    <w:p w14:paraId="2B5F1819" w14:textId="49FB8BB0" w:rsidR="006D5AFE" w:rsidRPr="00C34E7A" w:rsidRDefault="007D300D" w:rsidP="007D300D">
      <w:pPr>
        <w:spacing w:after="0" w:line="276" w:lineRule="auto"/>
        <w:jc w:val="both"/>
        <w:rPr>
          <w:rFonts w:ascii="Verdana" w:eastAsia="Century Gothic" w:hAnsi="Verdana" w:cs="Century Gothic"/>
          <w:color w:val="000000" w:themeColor="text1"/>
        </w:rPr>
      </w:pPr>
      <w:r w:rsidRPr="00C34E7A">
        <w:rPr>
          <w:rFonts w:ascii="Verdana" w:eastAsia="Century Gothic" w:hAnsi="Verdana" w:cs="Arial"/>
        </w:rPr>
        <w:t xml:space="preserve">De acuerdo con el contenido de su solicitud, esta Agencia resolverá </w:t>
      </w:r>
      <w:r w:rsidR="00D13D2F" w:rsidRPr="00C34E7A">
        <w:rPr>
          <w:rFonts w:ascii="Verdana" w:eastAsia="Century Gothic" w:hAnsi="Verdana" w:cs="Arial"/>
        </w:rPr>
        <w:t>el</w:t>
      </w:r>
      <w:r w:rsidRPr="00C34E7A">
        <w:rPr>
          <w:rFonts w:ascii="Verdana" w:eastAsia="Century Gothic" w:hAnsi="Verdana" w:cs="Arial"/>
        </w:rPr>
        <w:t xml:space="preserve"> siguiente problema jurídico:</w:t>
      </w:r>
      <w:r w:rsidR="00ED7B5D" w:rsidRPr="00C34E7A">
        <w:rPr>
          <w:rFonts w:ascii="Verdana" w:eastAsia="Century Gothic" w:hAnsi="Verdana" w:cs="Arial"/>
        </w:rPr>
        <w:t xml:space="preserve"> </w:t>
      </w:r>
      <w:r w:rsidR="00D13D2F" w:rsidRPr="00C34E7A">
        <w:rPr>
          <w:rFonts w:ascii="Verdana" w:eastAsia="Century Gothic" w:hAnsi="Verdana" w:cs="Century Gothic"/>
          <w:color w:val="000000" w:themeColor="text1"/>
        </w:rPr>
        <w:t>¿</w:t>
      </w:r>
      <w:r w:rsidR="006D5AFE" w:rsidRPr="00C34E7A">
        <w:rPr>
          <w:rFonts w:ascii="Verdana" w:eastAsia="Century Gothic" w:hAnsi="Verdana" w:cs="Century Gothic"/>
          <w:color w:val="000000" w:themeColor="text1"/>
        </w:rPr>
        <w:t xml:space="preserve">La publicación en SECOP II de un contrato estatal suscrito por una Empresa de Servicios Domiciliarios antes de la </w:t>
      </w:r>
      <w:proofErr w:type="gramStart"/>
      <w:r w:rsidR="006D5AFE" w:rsidRPr="00C34E7A">
        <w:rPr>
          <w:rFonts w:ascii="Verdana" w:eastAsia="Century Gothic" w:hAnsi="Verdana" w:cs="Century Gothic"/>
          <w:color w:val="000000" w:themeColor="text1"/>
        </w:rPr>
        <w:t>entrada en vigencia</w:t>
      </w:r>
      <w:proofErr w:type="gramEnd"/>
      <w:r w:rsidR="006D5AFE" w:rsidRPr="00C34E7A">
        <w:rPr>
          <w:rFonts w:ascii="Verdana" w:eastAsia="Century Gothic" w:hAnsi="Verdana" w:cs="Century Gothic"/>
          <w:color w:val="000000" w:themeColor="text1"/>
        </w:rPr>
        <w:t xml:space="preserve"> de la Ley de Garantías Electorales modifica o afecta la determinación de su momento de perfeccionamiento?</w:t>
      </w:r>
    </w:p>
    <w:p w14:paraId="67DFC4EC" w14:textId="77777777" w:rsidR="007D300D" w:rsidRPr="00C34E7A" w:rsidRDefault="007D300D" w:rsidP="007D300D">
      <w:pPr>
        <w:spacing w:after="0" w:line="276" w:lineRule="auto"/>
        <w:jc w:val="both"/>
        <w:rPr>
          <w:rStyle w:val="Hipervnculo"/>
          <w:rFonts w:ascii="Verdana" w:hAnsi="Verdana" w:cs="Arial"/>
          <w:lang w:val="es-ES"/>
        </w:rPr>
      </w:pPr>
    </w:p>
    <w:p w14:paraId="0E92825B" w14:textId="77777777" w:rsidR="007D300D" w:rsidRPr="00C34E7A" w:rsidRDefault="007D300D" w:rsidP="007D300D">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C34E7A">
        <w:rPr>
          <w:rFonts w:ascii="Verdana" w:eastAsia="Arial" w:hAnsi="Verdana" w:cs="Arial"/>
          <w:b/>
          <w:bCs/>
        </w:rPr>
        <w:t>Respuesta:</w:t>
      </w:r>
    </w:p>
    <w:p w14:paraId="259F90C3" w14:textId="77777777" w:rsidR="007D300D" w:rsidRPr="00C34E7A" w:rsidRDefault="007D300D" w:rsidP="007D300D">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300D" w:rsidRPr="00C34E7A" w14:paraId="4526B307" w14:textId="77777777" w:rsidTr="0028651F">
        <w:tc>
          <w:tcPr>
            <w:tcW w:w="8828" w:type="dxa"/>
          </w:tcPr>
          <w:p w14:paraId="21D13311" w14:textId="1D2BF9EF" w:rsidR="00133019" w:rsidRPr="00C34E7A" w:rsidRDefault="00133019" w:rsidP="00133019">
            <w:pPr>
              <w:spacing w:after="120" w:line="276" w:lineRule="auto"/>
              <w:jc w:val="both"/>
              <w:rPr>
                <w:rFonts w:ascii="Verdana" w:eastAsia="Times New Roman" w:hAnsi="Verdana" w:cs="Arial"/>
                <w:bCs/>
                <w:lang w:eastAsia="es-CO"/>
              </w:rPr>
            </w:pPr>
            <w:bookmarkStart w:id="1" w:name="_Hlk171067516"/>
            <w:r w:rsidRPr="00C34E7A">
              <w:rPr>
                <w:rFonts w:ascii="Verdana" w:eastAsia="Times New Roman" w:hAnsi="Verdana" w:cs="Arial"/>
                <w:bCs/>
                <w:lang w:eastAsia="es-CO"/>
              </w:rPr>
              <w:t xml:space="preserve">Respecto al momento de aplicación de las restricciones con ocasión de la Ley de Garantías Electorales, resulta necesario precisar el alcance del término </w:t>
            </w:r>
            <w:r w:rsidRPr="00C34E7A">
              <w:rPr>
                <w:rFonts w:ascii="Verdana" w:eastAsia="Times New Roman" w:hAnsi="Verdana" w:cs="Arial"/>
                <w:bCs/>
                <w:i/>
                <w:iCs/>
                <w:lang w:eastAsia="es-CO"/>
              </w:rPr>
              <w:t>“celebrar”</w:t>
            </w:r>
            <w:r w:rsidRPr="00C34E7A">
              <w:rPr>
                <w:rFonts w:ascii="Verdana" w:eastAsia="Times New Roman" w:hAnsi="Verdana" w:cs="Arial"/>
                <w:bCs/>
                <w:lang w:eastAsia="es-CO"/>
              </w:rPr>
              <w:t>. El Diccionario Panhispánico del Español Jurídico lo define como: “1. General: otorgar o firmar un contrato. 2. Procesal: realizar los actos procesales propios de un juicio o vista”. Para efectos de la Ley de Garantías</w:t>
            </w:r>
            <w:r w:rsidR="00E574CF" w:rsidRPr="00C34E7A">
              <w:rPr>
                <w:rFonts w:ascii="Verdana" w:eastAsia="Times New Roman" w:hAnsi="Verdana" w:cs="Arial"/>
                <w:bCs/>
                <w:lang w:eastAsia="es-CO"/>
              </w:rPr>
              <w:t xml:space="preserve"> Electorales</w:t>
            </w:r>
            <w:r w:rsidRPr="00C34E7A">
              <w:rPr>
                <w:rFonts w:ascii="Verdana" w:eastAsia="Times New Roman" w:hAnsi="Verdana" w:cs="Arial"/>
                <w:bCs/>
                <w:lang w:eastAsia="es-CO"/>
              </w:rPr>
              <w:t>, la acepción pertinente es la primera, ya que alude directamente al perfeccionamiento del contrato. Por lo tanto, “celebrar” debe entenderse como el momento en que el contrato adquiere existencia jurídica y no a los requisitos de ejecución, tales como la aprobación de garantías, el registro presupuestal o, en algunos casos, la suscripción del acta de inicio.</w:t>
            </w:r>
          </w:p>
          <w:p w14:paraId="71A0DC27" w14:textId="77777777" w:rsidR="00133019" w:rsidRPr="00C34E7A" w:rsidRDefault="00133019" w:rsidP="00133019">
            <w:pPr>
              <w:spacing w:after="120" w:line="276" w:lineRule="auto"/>
              <w:ind w:firstLine="709"/>
              <w:jc w:val="both"/>
              <w:rPr>
                <w:rFonts w:ascii="Verdana" w:eastAsia="Times New Roman" w:hAnsi="Verdana" w:cs="Arial"/>
                <w:bCs/>
                <w:lang w:eastAsia="es-CO"/>
              </w:rPr>
            </w:pPr>
            <w:r w:rsidRPr="00C34E7A">
              <w:rPr>
                <w:rFonts w:ascii="Verdana" w:eastAsia="Times New Roman" w:hAnsi="Verdana" w:cs="Arial"/>
                <w:bCs/>
                <w:lang w:eastAsia="es-CO"/>
              </w:rPr>
              <w:t xml:space="preserve">Con la implementación del SECOP II como plataforma transaccional para la actividad contractual del Estado, los contratos se firman electrónicamente, y el proceso de firma, así como su aprobación o rechazo, se realiza íntegramente a través de la plataforma. Una vez adjudicado el proceso, la Entidad Estatal cambia el estado a “adjudicado”, generándose el contrato electrónico en estado “en edición”. Conforme a la </w:t>
            </w:r>
            <w:r w:rsidRPr="00C34E7A">
              <w:rPr>
                <w:rFonts w:ascii="Verdana" w:eastAsia="Times New Roman" w:hAnsi="Verdana" w:cs="Arial"/>
                <w:bCs/>
                <w:i/>
                <w:iCs/>
                <w:lang w:eastAsia="es-CO"/>
              </w:rPr>
              <w:t>Guía SECOP II – Gestión Contractual para Entidades Estatales</w:t>
            </w:r>
            <w:r w:rsidRPr="00C34E7A">
              <w:rPr>
                <w:rFonts w:ascii="Verdana" w:eastAsia="Times New Roman" w:hAnsi="Verdana" w:cs="Arial"/>
                <w:bCs/>
                <w:lang w:eastAsia="es-CO"/>
              </w:rPr>
              <w:t xml:space="preserve">, es indispensable que previamente el usuario administrador haya configurado los flujos de aprobación correspondientes, de manera que el contrato electrónico sea remitido al ordenador del gasto o representante legal para su aprobación final. Una vez este emite su aprobación, el estado del contrato cambia a “Firmado” y queda público para consulta, considerándose perfeccionado. Todas las actuaciones previas, como la elaboración del documento contractual, la adjudicación del </w:t>
            </w:r>
            <w:r w:rsidRPr="00C34E7A">
              <w:rPr>
                <w:rFonts w:ascii="Verdana" w:eastAsia="Times New Roman" w:hAnsi="Verdana" w:cs="Arial"/>
                <w:bCs/>
                <w:lang w:eastAsia="es-CO"/>
              </w:rPr>
              <w:lastRenderedPageBreak/>
              <w:t>proceso o la suscripción manuscrita, no son suficientes para entender perfeccionado el contrato cuando se gestiona a través de SECOP II.</w:t>
            </w:r>
          </w:p>
          <w:p w14:paraId="432AC139" w14:textId="77777777" w:rsidR="00133019" w:rsidRPr="00C34E7A" w:rsidRDefault="00133019" w:rsidP="00133019">
            <w:pPr>
              <w:spacing w:after="120" w:line="276" w:lineRule="auto"/>
              <w:ind w:firstLine="709"/>
              <w:jc w:val="both"/>
              <w:rPr>
                <w:rFonts w:ascii="Verdana" w:eastAsia="Times New Roman" w:hAnsi="Verdana" w:cs="Arial"/>
                <w:bCs/>
                <w:lang w:eastAsia="es-CO"/>
              </w:rPr>
            </w:pPr>
            <w:r w:rsidRPr="00C34E7A">
              <w:rPr>
                <w:rFonts w:ascii="Verdana" w:eastAsia="Times New Roman" w:hAnsi="Verdana" w:cs="Arial"/>
                <w:bCs/>
                <w:lang w:eastAsia="es-CO"/>
              </w:rPr>
              <w:t>Dado que el concepto “celebrar” se asocia al perfeccionamiento del contrato estatal, resulta determinante identificar este hito en los procesos gestionados a través de SECOP II. En tanto sistema transaccional, el contrato se entiende celebrado únicamente cuando se surte la aprobación final y se registra el estado “Firmado”. Dentro del flujo de aprobación configurado por la entidad, el momento en que el ordenador del gasto emite su aprobación final constituye el hito en que se consolida la concurrencia de voluntades y el acuerdo contractual, ya que previamente el proveedor ha manifestado su aceptación integral del contrato. Por tanto, si el perfeccionamiento —es decir, la aprobación final y registro como estado “Firmado”— ocurre durante la vigencia de las restricciones de la Ley de Garantías Electorales, se entenderá que el contrato fue celebrado en infracción de la norma, sin que resulte suficiente que etapas previas del proceso se hubieren adelantado con anterioridad.</w:t>
            </w:r>
          </w:p>
          <w:p w14:paraId="5A4387B0" w14:textId="38CD7F06" w:rsidR="00133019" w:rsidRPr="00C34E7A" w:rsidRDefault="00133019" w:rsidP="00133019">
            <w:pPr>
              <w:pStyle w:val="NormalWeb"/>
              <w:spacing w:before="0" w:beforeAutospacing="0" w:after="120" w:afterAutospacing="0" w:line="276" w:lineRule="auto"/>
              <w:ind w:firstLine="709"/>
              <w:jc w:val="both"/>
              <w:rPr>
                <w:rFonts w:ascii="Verdana" w:hAnsi="Verdana" w:cs="Arial"/>
                <w:bCs/>
                <w:sz w:val="22"/>
                <w:szCs w:val="22"/>
              </w:rPr>
            </w:pPr>
            <w:r w:rsidRPr="00C34E7A">
              <w:rPr>
                <w:rFonts w:ascii="Verdana" w:hAnsi="Verdana" w:cs="Segoe UI"/>
                <w:sz w:val="22"/>
                <w:szCs w:val="22"/>
              </w:rPr>
              <w:t xml:space="preserve">Ahora bien, respecto a la consulta, es necesario señalar que, la Ley 2195 de 2022 impuso a las entidades con régimen contractual excepcional la obligación de publicar en SECOP II todos los documentos asociados a su actividad contractual, incluyendo información generada en las etapas precontractual, contractual y </w:t>
            </w:r>
            <w:proofErr w:type="spellStart"/>
            <w:r w:rsidRPr="00C34E7A">
              <w:rPr>
                <w:rFonts w:ascii="Verdana" w:hAnsi="Verdana" w:cs="Segoe UI"/>
                <w:sz w:val="22"/>
                <w:szCs w:val="22"/>
              </w:rPr>
              <w:t>postcontractual</w:t>
            </w:r>
            <w:proofErr w:type="spellEnd"/>
            <w:r w:rsidRPr="00C34E7A">
              <w:rPr>
                <w:rFonts w:ascii="Verdana" w:hAnsi="Verdana" w:cs="Segoe UI"/>
                <w:sz w:val="22"/>
                <w:szCs w:val="22"/>
              </w:rPr>
              <w:t xml:space="preserve">. Para facilitar el cumplimiento de este deber de publicidad, la Agencia Nacional de Contratación Pública - Colombia Compra Eficiente dispuso dos módulos en SECOP II para estas entidades: </w:t>
            </w:r>
            <w:r w:rsidR="00E574CF" w:rsidRPr="00C34E7A">
              <w:rPr>
                <w:rFonts w:ascii="Verdana" w:hAnsi="Verdana" w:cs="Segoe UI"/>
                <w:sz w:val="22"/>
                <w:szCs w:val="22"/>
              </w:rPr>
              <w:t xml:space="preserve">1) </w:t>
            </w:r>
            <w:r w:rsidRPr="00C34E7A">
              <w:rPr>
                <w:rFonts w:ascii="Verdana" w:hAnsi="Verdana" w:cs="Arial"/>
                <w:bCs/>
                <w:sz w:val="22"/>
                <w:szCs w:val="22"/>
              </w:rPr>
              <w:t xml:space="preserve">Contratación Régimen Especial (con ofertas), el cual permite a las entidades gestionar sus procesos competitivos de contratación de manera transaccional, es decir, que a través de este módulo las entidades estatales pueden estructurar el proceso de contratación, recibir ofertas de los proveedores, generar el contrato de electrónico y realizar la gestión contractual y; </w:t>
            </w:r>
            <w:r w:rsidR="00E574CF" w:rsidRPr="00C34E7A">
              <w:rPr>
                <w:rFonts w:ascii="Verdana" w:hAnsi="Verdana" w:cs="Arial"/>
                <w:bCs/>
                <w:sz w:val="22"/>
                <w:szCs w:val="22"/>
              </w:rPr>
              <w:t xml:space="preserve">2) </w:t>
            </w:r>
            <w:r w:rsidRPr="00C34E7A">
              <w:rPr>
                <w:rFonts w:ascii="Verdana" w:hAnsi="Verdana" w:cs="Arial"/>
                <w:bCs/>
                <w:sz w:val="22"/>
                <w:szCs w:val="22"/>
              </w:rPr>
              <w:t xml:space="preserve">Contratación Régimen Especial (sin ofertas) el cual permite a las entidades gestionar sus procesos de selección directos y estructurar los procesos de contratación, publicar documentos generados por fuera de la plataforma y realizar la gestión contractual en línea. </w:t>
            </w:r>
          </w:p>
          <w:p w14:paraId="6BB95EED" w14:textId="0BDF8296" w:rsidR="00133019" w:rsidRPr="00C34E7A" w:rsidRDefault="00133019" w:rsidP="00140DFF">
            <w:pPr>
              <w:pStyle w:val="NormalWeb"/>
              <w:spacing w:before="0" w:beforeAutospacing="0" w:after="120" w:afterAutospacing="0" w:line="276" w:lineRule="auto"/>
              <w:ind w:firstLine="709"/>
              <w:jc w:val="both"/>
              <w:rPr>
                <w:rFonts w:ascii="Verdana" w:hAnsi="Verdana" w:cs="Arial"/>
                <w:bCs/>
                <w:sz w:val="22"/>
                <w:szCs w:val="22"/>
              </w:rPr>
            </w:pPr>
            <w:r w:rsidRPr="00C34E7A">
              <w:rPr>
                <w:rFonts w:ascii="Verdana" w:hAnsi="Verdana" w:cs="Arial"/>
                <w:bCs/>
                <w:sz w:val="22"/>
                <w:szCs w:val="22"/>
              </w:rPr>
              <w:t xml:space="preserve">Así las cosas, las entidades exceptuadas, para cumplir con el deber de publicidad que les asiste podrán elegir cualquiera de las siguientes opciones: 1. Firmar el contrato electrónicamente, es decir, realizar un uso transaccional </w:t>
            </w:r>
            <w:r w:rsidRPr="00C34E7A">
              <w:rPr>
                <w:rFonts w:ascii="Verdana" w:hAnsi="Verdana" w:cs="Arial"/>
                <w:bCs/>
                <w:sz w:val="22"/>
                <w:szCs w:val="22"/>
              </w:rPr>
              <w:lastRenderedPageBreak/>
              <w:t>de la plataforma. 2. Firmar el contrato en físico y publicar los documentos de ejecución en la etapa precontractual del SECOP II, es decir, realizar un uso publicitario de la plataforma.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anterior</w:t>
            </w:r>
            <w:r w:rsidR="00140DFF" w:rsidRPr="00C34E7A">
              <w:rPr>
                <w:rFonts w:ascii="Verdana" w:hAnsi="Verdana" w:cs="Arial"/>
                <w:bCs/>
                <w:sz w:val="22"/>
                <w:szCs w:val="22"/>
              </w:rPr>
              <w:t>mente</w:t>
            </w:r>
            <w:r w:rsidRPr="00C34E7A">
              <w:rPr>
                <w:rFonts w:ascii="Verdana" w:hAnsi="Verdana" w:cs="Arial"/>
                <w:bCs/>
                <w:sz w:val="22"/>
                <w:szCs w:val="22"/>
              </w:rPr>
              <w:t xml:space="preserve">. </w:t>
            </w:r>
          </w:p>
          <w:p w14:paraId="417B8AD5" w14:textId="77777777" w:rsidR="00133019" w:rsidRPr="00C34E7A" w:rsidRDefault="00133019" w:rsidP="00D30AA0">
            <w:pPr>
              <w:pStyle w:val="NormalWeb"/>
              <w:spacing w:before="0" w:beforeAutospacing="0" w:after="120" w:afterAutospacing="0" w:line="276" w:lineRule="auto"/>
              <w:ind w:firstLine="709"/>
              <w:jc w:val="both"/>
              <w:rPr>
                <w:rFonts w:ascii="Verdana" w:hAnsi="Verdana" w:cs="Arial"/>
                <w:bCs/>
                <w:sz w:val="22"/>
                <w:szCs w:val="22"/>
              </w:rPr>
            </w:pPr>
            <w:r w:rsidRPr="00C34E7A">
              <w:rPr>
                <w:rFonts w:ascii="Verdana" w:hAnsi="Verdana" w:cs="Arial"/>
                <w:bCs/>
                <w:sz w:val="22"/>
                <w:szCs w:val="22"/>
              </w:rPr>
              <w:t xml:space="preserve">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 </w:t>
            </w:r>
          </w:p>
          <w:p w14:paraId="3B89D409" w14:textId="77777777" w:rsidR="00133019" w:rsidRPr="00C34E7A" w:rsidRDefault="00133019">
            <w:pPr>
              <w:pStyle w:val="NormalWeb"/>
              <w:spacing w:before="0" w:beforeAutospacing="0" w:after="120" w:afterAutospacing="0" w:line="276" w:lineRule="auto"/>
              <w:ind w:firstLine="709"/>
              <w:jc w:val="both"/>
              <w:rPr>
                <w:rFonts w:ascii="Verdana" w:hAnsi="Verdana" w:cs="Arial"/>
                <w:bCs/>
                <w:sz w:val="22"/>
                <w:szCs w:val="22"/>
              </w:rPr>
            </w:pPr>
            <w:r w:rsidRPr="00C34E7A">
              <w:rPr>
                <w:rFonts w:ascii="Verdana" w:hAnsi="Verdana" w:cs="Arial"/>
                <w:bCs/>
                <w:sz w:val="22"/>
                <w:szCs w:val="22"/>
              </w:rPr>
              <w:t xml:space="preserve">En este segundo evento si es posible que se firme el contrato de forma manuscrita y, posteriormente, se cargue a la plataforma para realizar la debida publicidad </w:t>
            </w:r>
            <w:proofErr w:type="gramStart"/>
            <w:r w:rsidRPr="00C34E7A">
              <w:rPr>
                <w:rFonts w:ascii="Verdana" w:hAnsi="Verdana" w:cs="Arial"/>
                <w:bCs/>
                <w:sz w:val="22"/>
                <w:szCs w:val="22"/>
              </w:rPr>
              <w:t>del mismo</w:t>
            </w:r>
            <w:proofErr w:type="gramEnd"/>
            <w:r w:rsidRPr="00C34E7A">
              <w:rPr>
                <w:rFonts w:ascii="Verdana" w:hAnsi="Verdana" w:cs="Arial"/>
                <w:bCs/>
                <w:sz w:val="22"/>
                <w:szCs w:val="22"/>
              </w:rPr>
              <w:t xml:space="preserve">. La fecha de perfeccionamiento del contrato será aquella en la cual el contrato fue suscrito por ambas partes. Así las cosas, frente a las restricciones de la Ley de Garantías Electorales, el contrato celebrado de forma directa será válido siempre que hay sido firmado de forma manuscrita por las dos partes antes de la </w:t>
            </w:r>
            <w:proofErr w:type="gramStart"/>
            <w:r w:rsidRPr="00C34E7A">
              <w:rPr>
                <w:rFonts w:ascii="Verdana" w:hAnsi="Verdana" w:cs="Arial"/>
                <w:bCs/>
                <w:sz w:val="22"/>
                <w:szCs w:val="22"/>
              </w:rPr>
              <w:t>entrada en vigencia</w:t>
            </w:r>
            <w:proofErr w:type="gramEnd"/>
            <w:r w:rsidRPr="00C34E7A">
              <w:rPr>
                <w:rFonts w:ascii="Verdana" w:hAnsi="Verdana" w:cs="Arial"/>
                <w:bCs/>
                <w:sz w:val="22"/>
                <w:szCs w:val="22"/>
              </w:rPr>
              <w:t xml:space="preserve"> de la prohibición. </w:t>
            </w:r>
          </w:p>
          <w:p w14:paraId="31984220" w14:textId="77777777" w:rsidR="00133019" w:rsidRPr="00C34E7A" w:rsidRDefault="00133019">
            <w:pPr>
              <w:pStyle w:val="NormalWeb"/>
              <w:spacing w:before="0" w:beforeAutospacing="0" w:after="120" w:afterAutospacing="0" w:line="276" w:lineRule="auto"/>
              <w:ind w:firstLine="709"/>
              <w:jc w:val="both"/>
              <w:rPr>
                <w:rFonts w:ascii="Verdana" w:hAnsi="Verdana" w:cs="Arial"/>
                <w:bCs/>
                <w:sz w:val="22"/>
                <w:szCs w:val="22"/>
              </w:rPr>
            </w:pPr>
            <w:r w:rsidRPr="00C34E7A">
              <w:rPr>
                <w:rFonts w:ascii="Verdana" w:hAnsi="Verdana" w:cs="Arial"/>
                <w:bCs/>
                <w:sz w:val="22"/>
                <w:szCs w:val="22"/>
              </w:rPr>
              <w:t xml:space="preserve">No obstante, es importante resaltar que el uso de la plataforma SECOP II para fines netamente publicitarios, solo es una opción para aquellas entidades exceptuadas del Estatuto General de Contratación de la Administración Pública, mediante el módulo “Contratación Régimen Especial (sin ofertas)”. Lo cual excluye la posibilidad de que las entidades sometidas al </w:t>
            </w:r>
            <w:r w:rsidRPr="00C34E7A">
              <w:rPr>
                <w:rFonts w:ascii="Verdana" w:hAnsi="Verdana" w:cs="Arial"/>
                <w:bCs/>
                <w:sz w:val="22"/>
                <w:szCs w:val="22"/>
              </w:rPr>
              <w:lastRenderedPageBreak/>
              <w:t>Estatuto General de Contratación utilicen el SECOP II con fines netamente publicitarios, sino que están obligadas a tranzar por dicha plataforma.</w:t>
            </w:r>
          </w:p>
          <w:p w14:paraId="45E94A38" w14:textId="734B287E" w:rsidR="00133019" w:rsidRPr="00C34E7A" w:rsidRDefault="00133019" w:rsidP="007E0F7A">
            <w:pPr>
              <w:spacing w:after="120" w:line="276" w:lineRule="auto"/>
              <w:ind w:firstLine="709"/>
              <w:jc w:val="both"/>
              <w:rPr>
                <w:rFonts w:ascii="Verdana" w:hAnsi="Verdana" w:cs="Arial"/>
                <w:color w:val="000000" w:themeColor="text1"/>
              </w:rPr>
            </w:pPr>
            <w:r w:rsidRPr="00C34E7A">
              <w:rPr>
                <w:rFonts w:ascii="Verdana" w:eastAsia="Times New Roman" w:hAnsi="Verdana" w:cs="Arial"/>
                <w:bCs/>
                <w:sz w:val="24"/>
                <w:szCs w:val="24"/>
                <w:lang w:eastAsia="es-CO"/>
              </w:rPr>
              <w:t xml:space="preserve">Conforme a lo expuesto, </w:t>
            </w:r>
            <w:r w:rsidRPr="00C34E7A">
              <w:rPr>
                <w:rFonts w:ascii="Verdana" w:hAnsi="Verdana" w:cs="Arial"/>
              </w:rPr>
              <w:t xml:space="preserve">cuando el perfeccionamiento del contrato ocurre cerca al inicio de la vigencia de las restricciones de la Ley de Garantías Electorales, la entidad debe revisar la validez del contrato y analizar la posible nulidad absoluta conforme a los artículos 44 y 45 de la Ley 80 de 1993, sin perjuicio de las responsabilidades disciplinarias, fiscales o penales que puedan derivarse. En este sentido, los contratos cuyo perfeccionamiento en SECOP II haya ocurrido con posterioridad a la </w:t>
            </w:r>
            <w:proofErr w:type="gramStart"/>
            <w:r w:rsidRPr="00C34E7A">
              <w:rPr>
                <w:rFonts w:ascii="Verdana" w:hAnsi="Verdana" w:cs="Arial"/>
              </w:rPr>
              <w:t>entrada en vigencia</w:t>
            </w:r>
            <w:proofErr w:type="gramEnd"/>
            <w:r w:rsidRPr="00C34E7A">
              <w:rPr>
                <w:rFonts w:ascii="Verdana" w:hAnsi="Verdana" w:cs="Arial"/>
              </w:rPr>
              <w:t xml:space="preserve"> de las restricciones se consideran celebrados en infracción de la Ley de Garantías Electorales. </w:t>
            </w:r>
          </w:p>
          <w:p w14:paraId="1B49CD81" w14:textId="0CB08C5D" w:rsidR="00484380" w:rsidRPr="00C34E7A" w:rsidRDefault="00484380" w:rsidP="007E0F7A">
            <w:pPr>
              <w:spacing w:after="120" w:line="276" w:lineRule="auto"/>
              <w:ind w:firstLine="709"/>
              <w:jc w:val="both"/>
              <w:rPr>
                <w:rFonts w:ascii="Verdana" w:eastAsia="Calibri" w:hAnsi="Verdana" w:cs="Arial"/>
                <w:lang w:eastAsia="es-ES_tradnl"/>
              </w:rPr>
            </w:pPr>
            <w:r w:rsidRPr="00C34E7A">
              <w:rPr>
                <w:rFonts w:ascii="Verdana" w:eastAsia="Times New Roman" w:hAnsi="Verdana" w:cs="Arial"/>
                <w:color w:val="000000" w:themeColor="text1"/>
                <w:lang w:eastAsia="es-ES_tradnl"/>
              </w:rPr>
              <w:t xml:space="preserve">Respeto del interrogante relacionado con los contratos C-068-2026, C-069-2026, C-039-2026 y C-024-2026, se indica que la Subdirección de Información y Desarrollo Tecnológico emitió la respuesta correspondiente, la cual se anexa al presente concepto. Para su adecuada visualización, se recomienda utilizar un aplicativo de lectura de archivos PDF, como Adobe Reader, que permite la descarga y apertura de los documentos adjuntos. En caso de presentar inconvenientes con la visualización de los anexos, se ha dispuesto un enlace adicional que facilita el acceso a la información. </w:t>
            </w:r>
            <w:hyperlink r:id="rId13">
              <w:r w:rsidRPr="00C34E7A">
                <w:rPr>
                  <w:rStyle w:val="Hipervnculo"/>
                  <w:rFonts w:ascii="Verdana" w:eastAsia="Verdana" w:hAnsi="Verdana" w:cs="Verdana"/>
                  <w:b/>
                  <w:bCs/>
                </w:rPr>
                <w:t>instructivo</w:t>
              </w:r>
            </w:hyperlink>
            <w:r w:rsidR="00133019" w:rsidRPr="00C34E7A">
              <w:rPr>
                <w:rStyle w:val="Hipervnculo"/>
                <w:rFonts w:ascii="Verdana" w:eastAsia="Verdana" w:hAnsi="Verdana" w:cs="Verdana"/>
                <w:b/>
                <w:bCs/>
              </w:rPr>
              <w:t>.</w:t>
            </w:r>
          </w:p>
          <w:p w14:paraId="724E6933" w14:textId="6F4FA7ED" w:rsidR="007D300D" w:rsidRPr="00C34E7A" w:rsidRDefault="007D300D" w:rsidP="007E0F7A">
            <w:pPr>
              <w:spacing w:after="120" w:line="276" w:lineRule="auto"/>
              <w:ind w:firstLine="709"/>
              <w:jc w:val="both"/>
              <w:rPr>
                <w:rFonts w:ascii="Verdana" w:eastAsia="Calibri" w:hAnsi="Verdana" w:cs="Arial"/>
                <w:lang w:val="es-ES_tradnl"/>
              </w:rPr>
            </w:pPr>
            <w:r w:rsidRPr="00C34E7A">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78AEE3CA" w14:textId="77777777" w:rsidR="007D300D" w:rsidRPr="00C34E7A" w:rsidRDefault="007D300D" w:rsidP="007D300D">
      <w:pPr>
        <w:widowControl w:val="0"/>
        <w:autoSpaceDE w:val="0"/>
        <w:autoSpaceDN w:val="0"/>
        <w:spacing w:before="1" w:after="0" w:line="240" w:lineRule="auto"/>
        <w:ind w:left="360" w:hanging="360"/>
        <w:outlineLvl w:val="0"/>
        <w:rPr>
          <w:rFonts w:ascii="Verdana" w:eastAsia="Arial" w:hAnsi="Verdana" w:cs="Arial"/>
          <w:b/>
          <w:bCs/>
          <w:lang w:val="es-ES"/>
        </w:rPr>
      </w:pPr>
    </w:p>
    <w:p w14:paraId="6865AAD3" w14:textId="77777777" w:rsidR="007D300D" w:rsidRPr="00C34E7A" w:rsidRDefault="007D300D" w:rsidP="007D300D">
      <w:pPr>
        <w:widowControl w:val="0"/>
        <w:autoSpaceDE w:val="0"/>
        <w:autoSpaceDN w:val="0"/>
        <w:spacing w:before="1" w:after="0" w:line="240" w:lineRule="auto"/>
        <w:ind w:left="360" w:hanging="360"/>
        <w:outlineLvl w:val="0"/>
        <w:rPr>
          <w:rFonts w:ascii="Verdana" w:eastAsia="Arial" w:hAnsi="Verdana" w:cs="Arial"/>
          <w:b/>
          <w:bCs/>
          <w:lang w:val="es-ES"/>
        </w:rPr>
      </w:pPr>
      <w:r w:rsidRPr="00C34E7A">
        <w:rPr>
          <w:rFonts w:ascii="Verdana" w:eastAsia="Arial" w:hAnsi="Verdana" w:cs="Arial"/>
          <w:b/>
          <w:bCs/>
          <w:lang w:val="es-ES"/>
        </w:rPr>
        <w:t>3. Razones de la respuesta:</w:t>
      </w:r>
    </w:p>
    <w:p w14:paraId="1F5756F7" w14:textId="77777777" w:rsidR="007D300D" w:rsidRPr="00C34E7A" w:rsidRDefault="007D300D" w:rsidP="007D300D">
      <w:pPr>
        <w:spacing w:after="0" w:line="276" w:lineRule="auto"/>
        <w:jc w:val="both"/>
        <w:rPr>
          <w:rFonts w:ascii="Verdana" w:eastAsia="Calibri" w:hAnsi="Verdana" w:cs="Arial"/>
          <w:lang w:val="es-ES"/>
        </w:rPr>
      </w:pPr>
    </w:p>
    <w:p w14:paraId="74B0144C" w14:textId="77777777" w:rsidR="007D300D" w:rsidRPr="00C34E7A" w:rsidRDefault="007D300D" w:rsidP="007D300D">
      <w:pPr>
        <w:spacing w:after="0" w:line="276" w:lineRule="auto"/>
        <w:jc w:val="both"/>
        <w:rPr>
          <w:rFonts w:ascii="Verdana" w:eastAsia="Calibri" w:hAnsi="Verdana" w:cs="Arial"/>
          <w:lang w:val="es-ES"/>
        </w:rPr>
      </w:pPr>
      <w:r w:rsidRPr="00C34E7A">
        <w:rPr>
          <w:rFonts w:ascii="Verdana" w:eastAsia="Calibri" w:hAnsi="Verdana" w:cs="Arial"/>
          <w:lang w:val="es-ES"/>
        </w:rPr>
        <w:t xml:space="preserve">La respuesta anterior se sustenta en las siguientes consideraciones: </w:t>
      </w:r>
    </w:p>
    <w:p w14:paraId="2207AE42" w14:textId="50BA95E7" w:rsidR="007D300D" w:rsidRPr="00C34E7A" w:rsidRDefault="007D300D" w:rsidP="007D300D">
      <w:pPr>
        <w:spacing w:after="0"/>
        <w:rPr>
          <w:rFonts w:ascii="Verdana" w:eastAsia="Times New Roman" w:hAnsi="Verdana" w:cs="Segoe UI"/>
          <w:lang w:val="es-ES" w:eastAsia="es-CO"/>
        </w:rPr>
      </w:pPr>
    </w:p>
    <w:p w14:paraId="573B5D7F" w14:textId="77777777" w:rsidR="00C47036" w:rsidRPr="00C34E7A" w:rsidRDefault="00397A36" w:rsidP="00C47036">
      <w:pPr>
        <w:tabs>
          <w:tab w:val="left" w:pos="426"/>
        </w:tabs>
        <w:spacing w:after="120" w:line="276" w:lineRule="auto"/>
        <w:jc w:val="both"/>
        <w:rPr>
          <w:rFonts w:ascii="Verdana" w:eastAsia="Times New Roman" w:hAnsi="Verdana" w:cs="Arial"/>
          <w:lang w:val="es-ES" w:eastAsia="es-CO"/>
        </w:rPr>
      </w:pPr>
      <w:r w:rsidRPr="00C34E7A">
        <w:rPr>
          <w:rFonts w:ascii="Verdana" w:eastAsia="Calibri" w:hAnsi="Verdana" w:cs="Arial"/>
          <w:color w:val="000000" w:themeColor="text1"/>
          <w:lang w:val="es-ES"/>
        </w:rPr>
        <w:t>i</w:t>
      </w:r>
      <w:r w:rsidR="00C47036" w:rsidRPr="00C34E7A">
        <w:rPr>
          <w:rFonts w:ascii="Verdana" w:eastAsia="Calibri" w:hAnsi="Verdana" w:cs="Arial"/>
          <w:color w:val="000000" w:themeColor="text1"/>
          <w:lang w:val="es-ES"/>
        </w:rPr>
        <w:t>)</w:t>
      </w:r>
      <w:r w:rsidR="00C47036" w:rsidRPr="00C34E7A">
        <w:rPr>
          <w:rFonts w:ascii="Verdana" w:eastAsia="Verdana" w:hAnsi="Verdana" w:cs="Verdana"/>
          <w:lang w:val="es-ES"/>
        </w:rPr>
        <w:t xml:space="preserve"> </w:t>
      </w:r>
      <w:r w:rsidR="00C47036" w:rsidRPr="00C34E7A">
        <w:rPr>
          <w:rFonts w:ascii="Verdana" w:eastAsia="Calibri" w:hAnsi="Verdana" w:cs="Arial"/>
          <w:lang w:val="es-ES"/>
        </w:rPr>
        <w:t xml:space="preserve">El ordenamiento jurídico colombiano contempla diversas medidas orientadas a evitar la obtención de beneficios personales en asuntos propios de la </w:t>
      </w:r>
      <w:r w:rsidR="00C47036" w:rsidRPr="00C34E7A">
        <w:rPr>
          <w:rFonts w:ascii="Verdana" w:eastAsia="Calibri" w:hAnsi="Verdana" w:cs="Arial"/>
          <w:lang w:val="es-ES"/>
        </w:rPr>
        <w:lastRenderedPageBreak/>
        <w:t>administración pública</w:t>
      </w:r>
      <w:r w:rsidR="00C47036" w:rsidRPr="00C34E7A">
        <w:rPr>
          <w:rFonts w:ascii="Verdana" w:eastAsia="Calibri" w:hAnsi="Verdana" w:cs="Arial"/>
          <w:i/>
          <w:lang w:val="es-ES"/>
        </w:rPr>
        <w:t xml:space="preserve">. </w:t>
      </w:r>
      <w:r w:rsidR="00C47036" w:rsidRPr="00C34E7A">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00C47036" w:rsidRPr="00C34E7A">
        <w:rPr>
          <w:rFonts w:ascii="Verdana" w:hAnsi="Verdana"/>
          <w:vertAlign w:val="superscript"/>
          <w:lang w:val="es-ES"/>
        </w:rPr>
        <w:footnoteReference w:id="1"/>
      </w:r>
      <w:r w:rsidR="00C47036" w:rsidRPr="00C34E7A">
        <w:rPr>
          <w:rFonts w:ascii="Verdana" w:eastAsia="Calibri" w:hAnsi="Verdana" w:cs="Arial"/>
          <w:lang w:val="es-ES"/>
        </w:rPr>
        <w:t xml:space="preserve">, con el fin de preservar la imparcialidad y la integridad. </w:t>
      </w:r>
    </w:p>
    <w:p w14:paraId="1B7EBF49" w14:textId="77777777" w:rsidR="00C47036" w:rsidRPr="00C34E7A" w:rsidRDefault="00C47036" w:rsidP="00C47036">
      <w:pPr>
        <w:tabs>
          <w:tab w:val="left" w:pos="426"/>
        </w:tabs>
        <w:spacing w:after="120" w:line="276" w:lineRule="auto"/>
        <w:ind w:firstLine="709"/>
        <w:jc w:val="both"/>
        <w:rPr>
          <w:rFonts w:ascii="Verdana" w:eastAsia="Calibri" w:hAnsi="Verdana" w:cs="Arial"/>
          <w:lang w:val="es-ES"/>
        </w:rPr>
      </w:pPr>
      <w:r w:rsidRPr="00C34E7A">
        <w:rPr>
          <w:rFonts w:ascii="Verdana" w:eastAsia="Times New Roman" w:hAnsi="Verdana" w:cs="Arial"/>
          <w:lang w:val="es-ES" w:eastAsia="es-CO"/>
        </w:rPr>
        <w:t>En concordancia con tales disposiciones constitucionales,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de falta de garantías en la elección presidencial</w:t>
      </w:r>
      <w:r w:rsidRPr="00C34E7A">
        <w:rPr>
          <w:rFonts w:ascii="Verdana" w:eastAsia="Times New Roman" w:hAnsi="Verdana" w:cs="Arial"/>
          <w:vertAlign w:val="superscript"/>
          <w:lang w:val="es-ES" w:eastAsia="es-CO"/>
        </w:rPr>
        <w:footnoteReference w:id="2"/>
      </w:r>
      <w:r w:rsidRPr="00C34E7A">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34E7A">
        <w:rPr>
          <w:rFonts w:ascii="Verdana" w:eastAsia="Calibri" w:hAnsi="Verdana" w:cs="Arial"/>
          <w:lang w:val="es-ES"/>
        </w:rPr>
        <w:t xml:space="preserve"> </w:t>
      </w:r>
    </w:p>
    <w:p w14:paraId="687D0771" w14:textId="77777777" w:rsidR="00C47036" w:rsidRPr="00C34E7A" w:rsidRDefault="00C47036" w:rsidP="00C47036">
      <w:pPr>
        <w:tabs>
          <w:tab w:val="left" w:pos="426"/>
        </w:tabs>
        <w:spacing w:after="0" w:line="276" w:lineRule="auto"/>
        <w:ind w:firstLine="709"/>
        <w:jc w:val="both"/>
        <w:rPr>
          <w:rFonts w:ascii="Verdana" w:eastAsia="Calibri" w:hAnsi="Verdana" w:cs="Arial"/>
          <w:lang w:val="es-ES"/>
        </w:rPr>
      </w:pPr>
      <w:r w:rsidRPr="00C34E7A">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F937589" w14:textId="77777777" w:rsidR="00C47036" w:rsidRPr="00C34E7A" w:rsidRDefault="00C47036" w:rsidP="00C47036">
      <w:pPr>
        <w:spacing w:after="0" w:line="276" w:lineRule="auto"/>
        <w:ind w:right="709"/>
        <w:jc w:val="both"/>
        <w:rPr>
          <w:rFonts w:ascii="Verdana" w:eastAsia="Times New Roman" w:hAnsi="Verdana" w:cs="Arial"/>
          <w:lang w:val="es-ES" w:eastAsia="es-CO"/>
        </w:rPr>
      </w:pPr>
    </w:p>
    <w:p w14:paraId="7710C96E" w14:textId="77777777" w:rsidR="00C47036" w:rsidRPr="00C34E7A" w:rsidRDefault="00C47036" w:rsidP="00C47036">
      <w:pPr>
        <w:spacing w:after="0" w:line="240" w:lineRule="auto"/>
        <w:ind w:left="709" w:right="709"/>
        <w:contextualSpacing/>
        <w:jc w:val="both"/>
        <w:rPr>
          <w:rFonts w:ascii="Verdana" w:eastAsia="Times New Roman" w:hAnsi="Verdana" w:cs="Arial"/>
          <w:sz w:val="20"/>
          <w:szCs w:val="20"/>
          <w:lang w:val="es-ES" w:eastAsia="es-CO"/>
        </w:rPr>
      </w:pPr>
      <w:r w:rsidRPr="00C34E7A">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A0C77CC" w14:textId="77777777" w:rsidR="00C47036" w:rsidRPr="00C34E7A" w:rsidRDefault="00C47036" w:rsidP="00C47036">
      <w:pPr>
        <w:spacing w:after="0" w:line="240" w:lineRule="auto"/>
        <w:ind w:left="709" w:right="709"/>
        <w:contextualSpacing/>
        <w:jc w:val="both"/>
        <w:rPr>
          <w:rFonts w:ascii="Verdana" w:eastAsia="Times New Roman" w:hAnsi="Verdana" w:cs="Arial"/>
          <w:sz w:val="20"/>
          <w:szCs w:val="20"/>
          <w:lang w:val="es-ES" w:eastAsia="es-CO"/>
        </w:rPr>
      </w:pPr>
      <w:r w:rsidRPr="00C34E7A">
        <w:rPr>
          <w:rFonts w:ascii="Verdana" w:eastAsia="Times New Roman" w:hAnsi="Verdana" w:cs="Arial"/>
          <w:sz w:val="20"/>
          <w:szCs w:val="20"/>
          <w:lang w:val="es-ES" w:eastAsia="es-CO"/>
        </w:rPr>
        <w:t xml:space="preserve">[…] </w:t>
      </w:r>
    </w:p>
    <w:p w14:paraId="2B5CAA3F" w14:textId="77777777" w:rsidR="00C47036" w:rsidRPr="00C34E7A" w:rsidRDefault="00C47036" w:rsidP="00C47036">
      <w:pPr>
        <w:spacing w:after="0" w:line="240" w:lineRule="auto"/>
        <w:ind w:left="709" w:right="709"/>
        <w:contextualSpacing/>
        <w:jc w:val="both"/>
        <w:rPr>
          <w:rFonts w:ascii="Verdana" w:eastAsia="Times New Roman" w:hAnsi="Verdana" w:cs="Arial"/>
          <w:sz w:val="20"/>
          <w:szCs w:val="20"/>
          <w:lang w:val="es-ES" w:eastAsia="es-CO"/>
        </w:rPr>
      </w:pPr>
      <w:r w:rsidRPr="00C34E7A">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34E7A">
        <w:rPr>
          <w:rFonts w:ascii="Verdana" w:eastAsia="Calibri" w:hAnsi="Verdana" w:cs="Arial"/>
          <w:sz w:val="20"/>
          <w:szCs w:val="20"/>
          <w:vertAlign w:val="superscript"/>
          <w:lang w:val="es-ES"/>
        </w:rPr>
        <w:footnoteReference w:id="3"/>
      </w:r>
    </w:p>
    <w:p w14:paraId="1CFC0443" w14:textId="77777777" w:rsidR="00C47036" w:rsidRPr="00C34E7A" w:rsidRDefault="00C47036" w:rsidP="00C47036">
      <w:pPr>
        <w:spacing w:after="0" w:line="276" w:lineRule="auto"/>
        <w:ind w:firstLine="709"/>
        <w:jc w:val="both"/>
        <w:rPr>
          <w:rFonts w:ascii="Verdana" w:eastAsia="Times New Roman" w:hAnsi="Verdana" w:cs="Arial"/>
          <w:lang w:val="es-ES" w:eastAsia="es-CO"/>
        </w:rPr>
      </w:pPr>
    </w:p>
    <w:p w14:paraId="0B3C3BDC" w14:textId="77777777" w:rsidR="00C47036" w:rsidRPr="00C34E7A" w:rsidRDefault="00C47036" w:rsidP="00C47036">
      <w:pPr>
        <w:spacing w:after="120" w:line="276" w:lineRule="auto"/>
        <w:ind w:firstLine="709"/>
        <w:jc w:val="both"/>
        <w:rPr>
          <w:rFonts w:ascii="Verdana" w:eastAsia="Times New Roman" w:hAnsi="Verdana" w:cs="Arial"/>
          <w:lang w:val="es-ES" w:eastAsia="es-CO"/>
        </w:rPr>
      </w:pPr>
      <w:r w:rsidRPr="00C34E7A">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con el fin de evitar interferencias indebidas en la contienda electoral, así como la posible desviación o utilización irregular de recursos públicos en aspiraciones electorales. </w:t>
      </w:r>
    </w:p>
    <w:p w14:paraId="20D11F45" w14:textId="77777777" w:rsidR="00C47036" w:rsidRPr="00C34E7A" w:rsidRDefault="00C47036" w:rsidP="00C47036">
      <w:pPr>
        <w:spacing w:after="0" w:line="276" w:lineRule="auto"/>
        <w:ind w:firstLine="709"/>
        <w:jc w:val="both"/>
        <w:rPr>
          <w:rFonts w:ascii="Verdana" w:eastAsia="Times New Roman" w:hAnsi="Verdana" w:cs="Arial"/>
          <w:lang w:val="es-ES" w:eastAsia="es-CO"/>
        </w:rPr>
      </w:pPr>
      <w:r w:rsidRPr="00C34E7A">
        <w:rPr>
          <w:rFonts w:ascii="Verdana" w:eastAsia="Times New Roman" w:hAnsi="Verdana" w:cs="Arial"/>
          <w:lang w:val="es-ES" w:eastAsia="es-CO"/>
        </w:rPr>
        <w:t>Precisamente, dado que varias disposiciones de la Ley 996 de 2005 contiene normas prohibitivas, deben interpretarse restrictivamente. En efecto, la Sala de Consulta y Servicio Civil del Consejo de Estado, precisó:</w:t>
      </w:r>
    </w:p>
    <w:p w14:paraId="11A96453" w14:textId="77777777" w:rsidR="00C47036" w:rsidRPr="00C34E7A" w:rsidRDefault="00C47036" w:rsidP="00C47036">
      <w:pPr>
        <w:spacing w:after="0" w:line="276" w:lineRule="auto"/>
        <w:ind w:firstLine="709"/>
        <w:jc w:val="both"/>
        <w:rPr>
          <w:rFonts w:ascii="Verdana" w:eastAsia="Times New Roman" w:hAnsi="Verdana" w:cs="Arial"/>
          <w:lang w:val="es-ES" w:eastAsia="es-CO"/>
        </w:rPr>
      </w:pPr>
    </w:p>
    <w:p w14:paraId="2A7A77DB" w14:textId="77777777" w:rsidR="00C47036" w:rsidRPr="00C34E7A" w:rsidRDefault="00C47036" w:rsidP="00C47036">
      <w:pPr>
        <w:spacing w:after="0" w:line="240" w:lineRule="auto"/>
        <w:ind w:left="709" w:right="709"/>
        <w:jc w:val="both"/>
        <w:rPr>
          <w:rFonts w:ascii="Verdana" w:eastAsia="Times New Roman" w:hAnsi="Verdana" w:cs="Arial"/>
          <w:sz w:val="20"/>
          <w:szCs w:val="20"/>
          <w:lang w:val="es-ES" w:eastAsia="es-CO"/>
        </w:rPr>
      </w:pPr>
      <w:r w:rsidRPr="00C34E7A">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34E7A">
        <w:rPr>
          <w:rFonts w:ascii="Verdana" w:eastAsia="Times New Roman" w:hAnsi="Verdana" w:cs="Arial"/>
          <w:sz w:val="20"/>
          <w:szCs w:val="20"/>
          <w:lang w:val="es-ES" w:eastAsia="es-CO"/>
        </w:rPr>
        <w:t>legis</w:t>
      </w:r>
      <w:proofErr w:type="spellEnd"/>
      <w:r w:rsidRPr="00C34E7A">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754CCC6" w14:textId="77777777" w:rsidR="00C47036" w:rsidRPr="00C34E7A" w:rsidRDefault="00C47036" w:rsidP="00C47036">
      <w:pPr>
        <w:spacing w:after="0" w:line="240" w:lineRule="auto"/>
        <w:ind w:right="709"/>
        <w:jc w:val="both"/>
        <w:rPr>
          <w:rFonts w:ascii="Verdana" w:eastAsia="Times New Roman" w:hAnsi="Verdana" w:cs="Arial"/>
          <w:lang w:val="es-ES" w:eastAsia="es-CO"/>
        </w:rPr>
      </w:pPr>
    </w:p>
    <w:p w14:paraId="4B4094F5" w14:textId="77777777" w:rsidR="00C47036" w:rsidRPr="00C34E7A" w:rsidRDefault="00C47036" w:rsidP="00C47036">
      <w:pPr>
        <w:spacing w:after="0" w:line="240" w:lineRule="auto"/>
        <w:ind w:left="709" w:right="709"/>
        <w:jc w:val="both"/>
        <w:rPr>
          <w:rFonts w:ascii="Verdana" w:eastAsia="Times New Roman" w:hAnsi="Verdana" w:cs="Arial"/>
          <w:sz w:val="20"/>
          <w:szCs w:val="20"/>
          <w:lang w:val="es-ES" w:eastAsia="es-CO"/>
        </w:rPr>
      </w:pPr>
      <w:r w:rsidRPr="00C34E7A">
        <w:rPr>
          <w:rFonts w:ascii="Verdana" w:eastAsia="Times New Roman" w:hAnsi="Verdana" w:cs="Arial"/>
          <w:sz w:val="20"/>
          <w:szCs w:val="20"/>
          <w:lang w:val="es-ES" w:eastAsia="es-CO"/>
        </w:rPr>
        <w:t>La jurisprudencia de la Corte Constitucional</w:t>
      </w:r>
      <w:r w:rsidRPr="00C34E7A">
        <w:rPr>
          <w:rFonts w:ascii="Verdana" w:eastAsia="Times New Roman" w:hAnsi="Verdana" w:cs="Arial"/>
          <w:sz w:val="20"/>
          <w:szCs w:val="20"/>
          <w:vertAlign w:val="superscript"/>
          <w:lang w:val="es-ES" w:eastAsia="es-CO"/>
        </w:rPr>
        <w:footnoteReference w:id="4"/>
      </w:r>
      <w:r w:rsidRPr="00C34E7A">
        <w:rPr>
          <w:rFonts w:ascii="Verdana" w:eastAsia="Times New Roman" w:hAnsi="Verdana" w:cs="Arial"/>
          <w:sz w:val="20"/>
          <w:szCs w:val="20"/>
          <w:lang w:val="es-ES" w:eastAsia="es-CO"/>
        </w:rPr>
        <w:t> y del Consejo de Estado</w:t>
      </w:r>
      <w:r w:rsidRPr="00C34E7A">
        <w:rPr>
          <w:rFonts w:ascii="Verdana" w:eastAsia="Times New Roman" w:hAnsi="Verdana" w:cs="Arial"/>
          <w:sz w:val="20"/>
          <w:szCs w:val="20"/>
          <w:vertAlign w:val="superscript"/>
          <w:lang w:val="es-ES" w:eastAsia="es-CO"/>
        </w:rPr>
        <w:footnoteReference w:id="5"/>
      </w:r>
      <w:r w:rsidRPr="00C34E7A">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34E7A">
        <w:rPr>
          <w:rFonts w:ascii="Verdana" w:eastAsia="Times New Roman" w:hAnsi="Verdana" w:cs="Arial"/>
          <w:sz w:val="20"/>
          <w:szCs w:val="20"/>
          <w:vertAlign w:val="superscript"/>
          <w:lang w:val="es-ES" w:eastAsia="es-CO"/>
        </w:rPr>
        <w:footnoteReference w:id="6"/>
      </w:r>
      <w:r w:rsidRPr="00C34E7A">
        <w:rPr>
          <w:rFonts w:ascii="Verdana" w:eastAsia="Times New Roman" w:hAnsi="Verdana" w:cs="Arial"/>
          <w:sz w:val="20"/>
          <w:szCs w:val="20"/>
          <w:lang w:val="es-ES" w:eastAsia="es-CO"/>
        </w:rPr>
        <w:t>.</w:t>
      </w:r>
    </w:p>
    <w:p w14:paraId="079F4A5B" w14:textId="77777777" w:rsidR="00C47036" w:rsidRPr="00C34E7A" w:rsidRDefault="00C47036" w:rsidP="00C47036">
      <w:pPr>
        <w:spacing w:after="0" w:line="276" w:lineRule="auto"/>
        <w:jc w:val="both"/>
        <w:rPr>
          <w:rFonts w:ascii="Verdana" w:eastAsia="Calibri" w:hAnsi="Verdana" w:cs="Arial"/>
          <w:bCs/>
          <w:lang w:val="es-ES"/>
        </w:rPr>
      </w:pPr>
    </w:p>
    <w:p w14:paraId="04F44640" w14:textId="77777777" w:rsidR="00C47036" w:rsidRPr="00C34E7A" w:rsidRDefault="00C47036" w:rsidP="00C47036">
      <w:pPr>
        <w:spacing w:after="0" w:line="276" w:lineRule="auto"/>
        <w:ind w:firstLine="709"/>
        <w:jc w:val="both"/>
        <w:rPr>
          <w:rFonts w:ascii="Verdana" w:eastAsia="Arial" w:hAnsi="Verdana" w:cs="Arial"/>
          <w:lang w:val="es-ES" w:eastAsia="es-ES" w:bidi="es-ES"/>
        </w:rPr>
      </w:pPr>
      <w:r w:rsidRPr="00C34E7A">
        <w:rPr>
          <w:rFonts w:ascii="Verdana" w:eastAsia="Times New Roman" w:hAnsi="Verdana" w:cs="Arial"/>
          <w:lang w:val="es-ES" w:eastAsia="es-CO"/>
        </w:rPr>
        <w:lastRenderedPageBreak/>
        <w:t>De</w:t>
      </w:r>
      <w:r w:rsidRPr="00C34E7A">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entre las que se destacan las restricciones aplicables en materia de contratación pública.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Teniendo en cuenta el contenido de la consulta y de conformidad con las competencias que le asisten a esta Agencia, a continuación, se realizará el análisis de las prohibiciones dirigidas a la contratación estatal.  </w:t>
      </w:r>
    </w:p>
    <w:p w14:paraId="2A37B9C7" w14:textId="77777777" w:rsidR="00C47036" w:rsidRPr="00C34E7A" w:rsidRDefault="00C47036" w:rsidP="00C47036">
      <w:pPr>
        <w:spacing w:after="0" w:line="276" w:lineRule="auto"/>
        <w:ind w:firstLine="709"/>
        <w:jc w:val="both"/>
        <w:rPr>
          <w:rFonts w:ascii="Verdana" w:eastAsia="Arial" w:hAnsi="Verdana" w:cs="Arial"/>
          <w:lang w:val="es-ES" w:eastAsia="es-ES" w:bidi="es-ES"/>
        </w:rPr>
      </w:pPr>
    </w:p>
    <w:p w14:paraId="36DEC76F" w14:textId="77777777" w:rsidR="00C47036" w:rsidRPr="00C34E7A" w:rsidRDefault="00C47036" w:rsidP="00C47036">
      <w:pPr>
        <w:spacing w:after="120" w:line="276" w:lineRule="auto"/>
        <w:jc w:val="both"/>
        <w:rPr>
          <w:rFonts w:ascii="Verdana" w:eastAsia="Arial" w:hAnsi="Verdana" w:cs="Arial"/>
          <w:lang w:val="es-ES" w:eastAsia="es-ES" w:bidi="es-ES"/>
        </w:rPr>
      </w:pPr>
      <w:proofErr w:type="spellStart"/>
      <w:r w:rsidRPr="00C34E7A">
        <w:rPr>
          <w:rFonts w:ascii="Verdana" w:eastAsia="Arial" w:hAnsi="Verdana" w:cs="Arial"/>
          <w:lang w:val="es-ES" w:eastAsia="es-ES" w:bidi="es-ES"/>
        </w:rPr>
        <w:t>ii</w:t>
      </w:r>
      <w:proofErr w:type="spellEnd"/>
      <w:r w:rsidRPr="00C34E7A">
        <w:rPr>
          <w:rFonts w:ascii="Verdana" w:eastAsia="Arial" w:hAnsi="Verdana" w:cs="Arial"/>
          <w:lang w:val="es-ES" w:eastAsia="es-ES" w:bidi="es-ES"/>
        </w:rPr>
        <w:t>) Las restricciones consagradas en la Ley de Garantías Electorales en materia de contratación pública se dirigen a dos (2) tipos de campañas electorales diferenciadas: las presidenciales y las que se adelanten para la elección de los demás cargos de elección popular, tanto a nivel nacional como territorial.</w:t>
      </w:r>
    </w:p>
    <w:p w14:paraId="1B95B362" w14:textId="77777777" w:rsidR="00C47036" w:rsidRPr="00C34E7A" w:rsidRDefault="00C47036" w:rsidP="00C47036">
      <w:pPr>
        <w:spacing w:after="120" w:line="276" w:lineRule="auto"/>
        <w:ind w:firstLine="708"/>
        <w:jc w:val="both"/>
        <w:rPr>
          <w:rFonts w:ascii="Verdana" w:eastAsia="Calibri" w:hAnsi="Verdana" w:cs="Arial"/>
          <w:lang w:val="es-ES"/>
        </w:rPr>
      </w:pPr>
      <w:r w:rsidRPr="00C34E7A">
        <w:rPr>
          <w:rFonts w:ascii="Verdana" w:eastAsia="Calibri" w:hAnsi="Verdana" w:cs="Arial"/>
          <w:lang w:val="es-ES"/>
        </w:rPr>
        <w:t xml:space="preserve">Por un lado, el </w:t>
      </w:r>
      <w:r w:rsidRPr="00C34E7A">
        <w:rPr>
          <w:rFonts w:ascii="Verdana" w:eastAsia="Calibri" w:hAnsi="Verdana" w:cs="Arial"/>
          <w:i/>
          <w:iCs/>
          <w:lang w:val="es-ES"/>
        </w:rPr>
        <w:t xml:space="preserve">artículo 33 </w:t>
      </w:r>
      <w:r w:rsidRPr="00C34E7A">
        <w:rPr>
          <w:rFonts w:ascii="Verdana" w:eastAsia="Calibri" w:hAnsi="Verdana" w:cs="Arial"/>
          <w:lang w:val="es-ES"/>
        </w:rPr>
        <w:t xml:space="preserve">de la Ley 996 de 2005 prohíbe “[…] la contratación directa por parte de </w:t>
      </w:r>
      <w:r w:rsidRPr="00C34E7A">
        <w:rPr>
          <w:rFonts w:ascii="Verdana" w:eastAsia="Calibri" w:hAnsi="Verdana" w:cs="Arial"/>
          <w:i/>
          <w:iCs/>
          <w:lang w:val="es-ES"/>
        </w:rPr>
        <w:t>todos los entes del Estado</w:t>
      </w:r>
      <w:r w:rsidRPr="00C34E7A">
        <w:rPr>
          <w:rFonts w:ascii="Verdana" w:eastAsia="Calibri" w:hAnsi="Verdana" w:cs="Arial"/>
          <w:lang w:val="es-ES"/>
        </w:rPr>
        <w:t xml:space="preserve">” durante los cuatro (4) meses anteriores a las </w:t>
      </w:r>
      <w:r w:rsidRPr="00C34E7A">
        <w:rPr>
          <w:rFonts w:ascii="Verdana" w:eastAsia="Calibri" w:hAnsi="Verdana" w:cs="Arial"/>
          <w:i/>
          <w:iCs/>
          <w:lang w:val="es-ES"/>
        </w:rPr>
        <w:t>elecciones presidenciales</w:t>
      </w:r>
      <w:r w:rsidRPr="00C34E7A">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34E7A">
        <w:rPr>
          <w:rFonts w:ascii="Verdana" w:eastAsia="Calibri" w:hAnsi="Verdana" w:cs="Arial"/>
          <w:vertAlign w:val="superscript"/>
          <w:lang w:val="es-ES"/>
        </w:rPr>
        <w:footnoteReference w:id="7"/>
      </w:r>
      <w:r w:rsidRPr="00C34E7A">
        <w:rPr>
          <w:rFonts w:ascii="Verdana" w:eastAsia="Calibri" w:hAnsi="Verdana" w:cs="Arial"/>
          <w:lang w:val="es-ES"/>
        </w:rPr>
        <w:t>.</w:t>
      </w:r>
    </w:p>
    <w:p w14:paraId="590F8A12" w14:textId="77777777" w:rsidR="00C47036" w:rsidRPr="00C34E7A" w:rsidRDefault="00C47036" w:rsidP="00C47036">
      <w:pPr>
        <w:widowControl w:val="0"/>
        <w:autoSpaceDE w:val="0"/>
        <w:autoSpaceDN w:val="0"/>
        <w:spacing w:after="120" w:line="276" w:lineRule="auto"/>
        <w:ind w:firstLine="709"/>
        <w:jc w:val="both"/>
        <w:rPr>
          <w:rFonts w:ascii="Verdana" w:eastAsia="Arial" w:hAnsi="Verdana" w:cs="Arial"/>
          <w:lang w:val="es-ES" w:eastAsia="es-ES" w:bidi="es-ES"/>
        </w:rPr>
      </w:pPr>
      <w:r w:rsidRPr="00C34E7A">
        <w:rPr>
          <w:rFonts w:ascii="Verdana" w:eastAsia="Calibri" w:hAnsi="Verdana" w:cs="Arial"/>
          <w:lang w:val="es-ES"/>
        </w:rPr>
        <w:t xml:space="preserve">Por otro lado, </w:t>
      </w:r>
      <w:r w:rsidRPr="00C34E7A">
        <w:rPr>
          <w:rFonts w:ascii="Verdana" w:eastAsia="Calibri" w:hAnsi="Verdana" w:cs="Arial"/>
          <w:i/>
          <w:iCs/>
          <w:lang w:val="es-ES"/>
        </w:rPr>
        <w:t xml:space="preserve">el parágrafo del artículo 38 </w:t>
      </w:r>
      <w:r w:rsidRPr="00C34E7A">
        <w:rPr>
          <w:rFonts w:ascii="Verdana" w:eastAsia="Calibri" w:hAnsi="Verdana" w:cs="Arial"/>
          <w:lang w:val="es-ES"/>
        </w:rPr>
        <w:t xml:space="preserve">de la Ley 996 de 2005 prevé una restricción, aplicable respecto de </w:t>
      </w:r>
      <w:r w:rsidRPr="00C34E7A">
        <w:rPr>
          <w:rFonts w:ascii="Verdana" w:eastAsia="Calibri" w:hAnsi="Verdana" w:cs="Arial"/>
          <w:i/>
          <w:iCs/>
          <w:lang w:val="es-ES"/>
        </w:rPr>
        <w:t>cualquier tipo de contienda electoral</w:t>
      </w:r>
      <w:r w:rsidRPr="00C34E7A">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C34E7A">
        <w:rPr>
          <w:rFonts w:ascii="Verdana" w:eastAsia="Calibri" w:hAnsi="Verdana" w:cs="Arial"/>
          <w:i/>
          <w:iCs/>
          <w:lang w:val="es-ES"/>
        </w:rPr>
        <w:t>convenios interadministrativos</w:t>
      </w:r>
      <w:r w:rsidRPr="00C34E7A">
        <w:rPr>
          <w:rFonts w:ascii="Verdana" w:eastAsia="Calibri" w:hAnsi="Verdana" w:cs="Arial"/>
          <w:lang w:val="es-ES"/>
        </w:rPr>
        <w:t xml:space="preserve"> para la ejecución de recursos públicos, ni participar, promover y destinar recursos públicos de las entidades a su cargo, como tampoco de las que participen como </w:t>
      </w:r>
      <w:r w:rsidRPr="00C34E7A">
        <w:rPr>
          <w:rFonts w:ascii="Verdana" w:eastAsia="Calibri" w:hAnsi="Verdana" w:cs="Arial"/>
          <w:lang w:val="es-ES"/>
        </w:rPr>
        <w:lastRenderedPageBreak/>
        <w:t>miembros de sus juntas directivas, en o para reuniones de carácter proselitista”</w:t>
      </w:r>
      <w:r w:rsidRPr="00C34E7A">
        <w:rPr>
          <w:rFonts w:ascii="Verdana" w:eastAsia="Calibri" w:hAnsi="Verdana" w:cs="Arial"/>
          <w:vertAlign w:val="superscript"/>
          <w:lang w:val="es-ES"/>
        </w:rPr>
        <w:footnoteReference w:id="8"/>
      </w:r>
      <w:r w:rsidRPr="00C34E7A">
        <w:rPr>
          <w:rFonts w:ascii="Verdana" w:eastAsia="Calibri" w:hAnsi="Verdana" w:cs="Arial"/>
          <w:lang w:val="es-ES"/>
        </w:rPr>
        <w:t>.</w:t>
      </w:r>
      <w:r w:rsidRPr="00C34E7A">
        <w:rPr>
          <w:rFonts w:ascii="Verdana" w:eastAsia="Arial" w:hAnsi="Verdana" w:cs="Arial"/>
          <w:lang w:val="es-ES" w:eastAsia="es-ES" w:bidi="es-ES"/>
        </w:rPr>
        <w:t xml:space="preserve"> </w:t>
      </w:r>
    </w:p>
    <w:p w14:paraId="4430BBB7" w14:textId="77777777" w:rsidR="00C47036" w:rsidRPr="00C34E7A" w:rsidRDefault="00C47036" w:rsidP="00C4703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34E7A">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ha señalado:</w:t>
      </w:r>
    </w:p>
    <w:p w14:paraId="1C9E39E5" w14:textId="77777777" w:rsidR="00C47036" w:rsidRPr="00C34E7A" w:rsidRDefault="00C47036" w:rsidP="00C4703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D1FB492" w14:textId="77777777" w:rsidR="00C47036" w:rsidRPr="00C34E7A" w:rsidRDefault="00C47036" w:rsidP="00C4703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34E7A">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34E7A">
        <w:rPr>
          <w:rFonts w:ascii="Verdana" w:eastAsia="Arial" w:hAnsi="Verdana" w:cs="Arial"/>
          <w:sz w:val="20"/>
          <w:szCs w:val="20"/>
          <w:vertAlign w:val="superscript"/>
          <w:lang w:val="es-ES" w:eastAsia="es-ES" w:bidi="es-ES"/>
        </w:rPr>
        <w:footnoteReference w:id="9"/>
      </w:r>
    </w:p>
    <w:p w14:paraId="445F2F96" w14:textId="77777777" w:rsidR="00C47036" w:rsidRPr="00C34E7A" w:rsidRDefault="00C47036" w:rsidP="00C47036">
      <w:pPr>
        <w:widowControl w:val="0"/>
        <w:autoSpaceDE w:val="0"/>
        <w:autoSpaceDN w:val="0"/>
        <w:spacing w:after="0" w:line="276" w:lineRule="auto"/>
        <w:contextualSpacing/>
        <w:rPr>
          <w:rFonts w:ascii="Verdana" w:eastAsia="Arial" w:hAnsi="Verdana" w:cs="Arial"/>
          <w:lang w:val="es-ES" w:eastAsia="es-ES" w:bidi="es-ES"/>
        </w:rPr>
      </w:pPr>
    </w:p>
    <w:p w14:paraId="12B172B9" w14:textId="77777777" w:rsidR="00C47036" w:rsidRPr="00C34E7A" w:rsidRDefault="00C47036" w:rsidP="00C47036">
      <w:pPr>
        <w:spacing w:after="120" w:line="276" w:lineRule="auto"/>
        <w:ind w:firstLine="709"/>
        <w:jc w:val="both"/>
        <w:rPr>
          <w:rFonts w:ascii="Verdana" w:eastAsia="Arial" w:hAnsi="Verdana" w:cs="Arial"/>
          <w:lang w:val="es-ES" w:eastAsia="es-ES" w:bidi="es-ES"/>
        </w:rPr>
      </w:pPr>
      <w:r w:rsidRPr="00C34E7A">
        <w:rPr>
          <w:rFonts w:ascii="Verdana" w:eastAsia="Arial" w:hAnsi="Verdana" w:cs="Arial"/>
          <w:lang w:val="es-ES" w:eastAsia="es-ES" w:bidi="es-ES"/>
        </w:rPr>
        <w:t xml:space="preserve">De conformidad con lo anterior, la Ley 996 de 2005 establece dos (2) tipos de restricciones en materia de contratación, las cuales, aunque distintas, coinciden parcialmente. </w:t>
      </w:r>
      <w:r w:rsidRPr="00C34E7A">
        <w:rPr>
          <w:rFonts w:ascii="Verdana" w:eastAsia="Arial" w:hAnsi="Verdana" w:cs="Arial"/>
          <w:i/>
          <w:lang w:val="es-ES" w:eastAsia="es-ES" w:bidi="es-ES"/>
        </w:rPr>
        <w:t>En primer lugar</w:t>
      </w:r>
      <w:r w:rsidRPr="00C34E7A">
        <w:rPr>
          <w:rFonts w:ascii="Verdana" w:eastAsia="Arial" w:hAnsi="Verdana" w:cs="Arial"/>
          <w:lang w:val="es-ES" w:eastAsia="es-ES" w:bidi="es-ES"/>
        </w:rPr>
        <w:t xml:space="preserve">, la del artículo 33 que aplica solo respecto de las elecciones presidenciales, en virtud de la cual queda proscrita la </w:t>
      </w:r>
      <w:r w:rsidRPr="00C34E7A">
        <w:rPr>
          <w:rFonts w:ascii="Verdana" w:eastAsia="Arial" w:hAnsi="Verdana" w:cs="Arial"/>
          <w:i/>
          <w:iCs/>
          <w:lang w:val="es-ES" w:eastAsia="es-ES" w:bidi="es-ES"/>
        </w:rPr>
        <w:t>contratación directa</w:t>
      </w:r>
      <w:r w:rsidRPr="00C34E7A">
        <w:rPr>
          <w:rFonts w:ascii="Verdana" w:eastAsia="Arial" w:hAnsi="Verdana" w:cs="Arial"/>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3C8AE5E5" w14:textId="77777777" w:rsidR="00C47036" w:rsidRPr="00C34E7A" w:rsidRDefault="00C47036" w:rsidP="00C47036">
      <w:pPr>
        <w:spacing w:after="120" w:line="276" w:lineRule="auto"/>
        <w:ind w:firstLine="709"/>
        <w:jc w:val="both"/>
        <w:rPr>
          <w:rFonts w:ascii="Verdana" w:eastAsia="Arial" w:hAnsi="Verdana" w:cs="Arial"/>
          <w:lang w:val="es-ES" w:eastAsia="es-ES" w:bidi="es-ES"/>
        </w:rPr>
      </w:pPr>
      <w:r w:rsidRPr="00C34E7A">
        <w:rPr>
          <w:rFonts w:ascii="Verdana" w:eastAsia="Arial" w:hAnsi="Verdana" w:cs="Arial"/>
          <w:i/>
          <w:lang w:val="es-ES" w:eastAsia="es-ES" w:bidi="es-ES"/>
        </w:rPr>
        <w:lastRenderedPageBreak/>
        <w:t>En segundo lugar</w:t>
      </w:r>
      <w:r w:rsidRPr="00C34E7A">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C34E7A">
        <w:rPr>
          <w:rFonts w:ascii="Verdana" w:eastAsia="Arial" w:hAnsi="Verdana" w:cs="Arial"/>
          <w:i/>
          <w:iCs/>
          <w:lang w:val="es-ES" w:eastAsia="es-ES" w:bidi="es-ES"/>
        </w:rPr>
        <w:t>convenios interadministrativos</w:t>
      </w:r>
      <w:r w:rsidRPr="00C34E7A">
        <w:rPr>
          <w:rFonts w:ascii="Verdana" w:eastAsia="Arial" w:hAnsi="Verdana" w:cs="Arial"/>
          <w:lang w:val="es-ES" w:eastAsia="es-ES" w:bidi="es-ES"/>
        </w:rPr>
        <w:t xml:space="preserve"> que impliquen la ejecución de recursos públicos dentro de los cuatro (4) meses anteriores a la respectiva jornada de votaciones.</w:t>
      </w:r>
    </w:p>
    <w:p w14:paraId="37A24EFE" w14:textId="77777777" w:rsidR="00C47036" w:rsidRPr="00C34E7A" w:rsidRDefault="00C47036" w:rsidP="00C47036">
      <w:pPr>
        <w:spacing w:after="0" w:line="276" w:lineRule="auto"/>
        <w:ind w:firstLine="709"/>
        <w:jc w:val="both"/>
        <w:rPr>
          <w:rFonts w:ascii="Verdana" w:eastAsia="Arial" w:hAnsi="Verdana" w:cs="Arial"/>
          <w:lang w:val="es-ES" w:eastAsia="es-ES" w:bidi="es-ES"/>
        </w:rPr>
      </w:pPr>
      <w:r w:rsidRPr="00C34E7A">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esto es </w:t>
      </w:r>
      <w:r w:rsidRPr="00C34E7A">
        <w:rPr>
          <w:rFonts w:ascii="Verdana" w:eastAsia="Calibri" w:hAnsi="Verdana" w:cs="Arial"/>
          <w:lang w:val="es-ES"/>
        </w:rPr>
        <w:t>gobernadores, alcaldes municipales o distritales, secretarios, gerentes y directores de entidades descentralizadas del orden municipal, departamental o distrital</w:t>
      </w:r>
      <w:r w:rsidRPr="00C34E7A">
        <w:rPr>
          <w:rFonts w:ascii="Verdana" w:eastAsia="Arial" w:hAnsi="Verdana" w:cs="Arial"/>
          <w:lang w:val="es-ES" w:eastAsia="es-ES" w:bidi="es-ES"/>
        </w:rPr>
        <w:t>, sólo deben aplicar las restricciones contenidas en el parágrafo del artículo 38.</w:t>
      </w:r>
    </w:p>
    <w:p w14:paraId="2115AA84" w14:textId="796372FF" w:rsidR="00C47036" w:rsidRPr="00C34E7A" w:rsidRDefault="00C47036" w:rsidP="007D300D">
      <w:pPr>
        <w:spacing w:after="0"/>
        <w:rPr>
          <w:rFonts w:ascii="Verdana" w:eastAsia="Times New Roman" w:hAnsi="Verdana" w:cs="Segoe UI"/>
          <w:lang w:val="es-ES" w:eastAsia="es-CO"/>
        </w:rPr>
      </w:pPr>
    </w:p>
    <w:p w14:paraId="5B21D6DB" w14:textId="24C50EC1" w:rsidR="00326556" w:rsidRPr="00C34E7A" w:rsidRDefault="00326556" w:rsidP="00326556">
      <w:pPr>
        <w:spacing w:after="0" w:line="276" w:lineRule="auto"/>
        <w:jc w:val="both"/>
        <w:rPr>
          <w:rFonts w:ascii="Verdana" w:eastAsia="Times New Roman" w:hAnsi="Verdana" w:cs="Arial"/>
          <w:lang w:val="es-ES" w:eastAsia="es-CO"/>
        </w:rPr>
      </w:pPr>
      <w:proofErr w:type="spellStart"/>
      <w:r w:rsidRPr="00C34E7A">
        <w:rPr>
          <w:rFonts w:ascii="Verdana" w:eastAsia="Calibri" w:hAnsi="Verdana" w:cs="Arial"/>
          <w:lang w:val="es-ES"/>
        </w:rPr>
        <w:t>iii</w:t>
      </w:r>
      <w:proofErr w:type="spellEnd"/>
      <w:r w:rsidRPr="00C34E7A">
        <w:rPr>
          <w:rFonts w:ascii="Verdana" w:eastAsia="Calibri" w:hAnsi="Verdana" w:cs="Arial"/>
          <w:lang w:val="es-ES"/>
        </w:rPr>
        <w:t xml:space="preserve">) </w:t>
      </w:r>
      <w:r w:rsidRPr="00C34E7A">
        <w:rPr>
          <w:rFonts w:ascii="Verdana" w:eastAsia="Calibri" w:hAnsi="Verdana" w:cs="Arial"/>
          <w:lang w:val="es-ES" w:eastAsia="es-ES" w:bidi="es-ES"/>
        </w:rPr>
        <w:t>Para responder al problema jurídico planteado</w:t>
      </w:r>
      <w:r w:rsidR="00B01C66" w:rsidRPr="00C34E7A">
        <w:rPr>
          <w:rFonts w:ascii="Verdana" w:eastAsia="Calibri" w:hAnsi="Verdana" w:cs="Arial"/>
          <w:lang w:val="es-ES" w:eastAsia="es-ES" w:bidi="es-ES"/>
        </w:rPr>
        <w:t>,</w:t>
      </w:r>
      <w:r w:rsidRPr="00C34E7A">
        <w:rPr>
          <w:rFonts w:ascii="Verdana" w:eastAsia="Calibri" w:hAnsi="Verdana" w:cs="Arial"/>
          <w:lang w:val="es-ES" w:eastAsia="es-ES" w:bidi="es-ES"/>
        </w:rPr>
        <w:t xml:space="preserve"> es necesario precisar el alcance de la prohibición </w:t>
      </w:r>
      <w:r w:rsidRPr="00C34E7A">
        <w:rPr>
          <w:rFonts w:ascii="Verdana" w:eastAsia="Arial" w:hAnsi="Verdana" w:cs="Arial"/>
          <w:lang w:val="es-ES" w:eastAsia="es-ES" w:bidi="es-ES"/>
        </w:rPr>
        <w:t>establecida en e</w:t>
      </w:r>
      <w:r w:rsidRPr="00C34E7A">
        <w:rPr>
          <w:rFonts w:ascii="Verdana" w:eastAsia="Calibri" w:hAnsi="Verdana" w:cs="Arial"/>
          <w:lang w:val="es-ES"/>
        </w:rPr>
        <w:t xml:space="preserve">l </w:t>
      </w:r>
      <w:r w:rsidRPr="00C34E7A">
        <w:rPr>
          <w:rFonts w:ascii="Verdana" w:eastAsia="Times New Roman" w:hAnsi="Verdana" w:cs="Arial"/>
          <w:lang w:val="es-ES"/>
        </w:rPr>
        <w:t xml:space="preserve">artículo 33 de la Ley 996 de 2005. El </w:t>
      </w:r>
      <w:r w:rsidRPr="00C34E7A">
        <w:rPr>
          <w:rFonts w:ascii="Verdana" w:eastAsia="Times New Roman" w:hAnsi="Verdana" w:cs="Arial"/>
          <w:i/>
          <w:iCs/>
          <w:lang w:val="es-ES"/>
        </w:rPr>
        <w:t>ámbito material</w:t>
      </w:r>
      <w:r w:rsidRPr="00C34E7A">
        <w:rPr>
          <w:rFonts w:ascii="Verdana" w:eastAsia="Times New Roman" w:hAnsi="Verdana" w:cs="Arial"/>
          <w:lang w:val="es-ES"/>
        </w:rPr>
        <w:t xml:space="preserve"> de esta prohibición está delimitado por la expresión </w:t>
      </w:r>
      <w:r w:rsidRPr="00C34E7A">
        <w:rPr>
          <w:rFonts w:ascii="Verdana" w:eastAsia="Calibri" w:hAnsi="Verdana" w:cs="Arial"/>
          <w:bCs/>
          <w:lang w:val="es-ES"/>
        </w:rPr>
        <w:t>“</w:t>
      </w:r>
      <w:r w:rsidRPr="00C34E7A">
        <w:rPr>
          <w:rFonts w:ascii="Verdana" w:eastAsia="Times New Roman" w:hAnsi="Verdana" w:cs="Arial"/>
          <w:lang w:val="es-ES"/>
        </w:rPr>
        <w:t>queda prohibida la contratación directa</w:t>
      </w:r>
      <w:r w:rsidRPr="00C34E7A">
        <w:rPr>
          <w:rFonts w:ascii="Verdana" w:eastAsia="Calibri" w:hAnsi="Verdana" w:cs="Arial"/>
          <w:lang w:val="es-ES"/>
        </w:rPr>
        <w:t>”, lo que exige determinar qué debe entenderse por contratación directa para efectos de la Ley de Garantías Electorales</w:t>
      </w:r>
      <w:r w:rsidRPr="00C34E7A">
        <w:rPr>
          <w:rFonts w:ascii="Verdana" w:eastAsia="Times New Roman" w:hAnsi="Verdana" w:cs="Arial"/>
          <w:lang w:val="es-ES"/>
        </w:rPr>
        <w:t xml:space="preserve">. </w:t>
      </w:r>
      <w:r w:rsidRPr="00C34E7A">
        <w:rPr>
          <w:rFonts w:ascii="Verdana" w:eastAsia="Times New Roman" w:hAnsi="Verdana" w:cs="Arial"/>
          <w:lang w:val="es-ES" w:eastAsia="es-CO"/>
        </w:rPr>
        <w:t>Sobre este punto, la Sala de Consulta y Servicio Civil del Consejo de Estado ha considerado que:</w:t>
      </w:r>
    </w:p>
    <w:p w14:paraId="3C3C7EAE" w14:textId="77777777" w:rsidR="00326556" w:rsidRPr="00C34E7A" w:rsidRDefault="00326556" w:rsidP="00326556">
      <w:pPr>
        <w:spacing w:after="0" w:line="276" w:lineRule="auto"/>
        <w:jc w:val="both"/>
        <w:rPr>
          <w:rFonts w:ascii="Verdana" w:eastAsia="Times New Roman" w:hAnsi="Verdana" w:cs="Arial"/>
          <w:bCs/>
          <w:lang w:val="es-ES" w:eastAsia="es-CO"/>
        </w:rPr>
      </w:pPr>
    </w:p>
    <w:p w14:paraId="77D49AFF" w14:textId="77777777" w:rsidR="00326556" w:rsidRPr="00C34E7A" w:rsidRDefault="00326556" w:rsidP="00326556">
      <w:pPr>
        <w:spacing w:after="0" w:line="240" w:lineRule="auto"/>
        <w:ind w:left="709" w:right="709"/>
        <w:jc w:val="both"/>
        <w:rPr>
          <w:rFonts w:ascii="Verdana" w:eastAsia="Calibri" w:hAnsi="Verdana" w:cs="Arial"/>
          <w:sz w:val="20"/>
          <w:szCs w:val="20"/>
          <w:lang w:val="es-ES"/>
        </w:rPr>
      </w:pPr>
      <w:r w:rsidRPr="00C34E7A">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34E7A">
        <w:rPr>
          <w:rFonts w:ascii="Verdana" w:eastAsia="Times New Roman" w:hAnsi="Verdana" w:cs="Arial"/>
          <w:sz w:val="20"/>
          <w:szCs w:val="20"/>
          <w:vertAlign w:val="superscript"/>
          <w:lang w:val="es-ES"/>
        </w:rPr>
        <w:footnoteReference w:id="10"/>
      </w:r>
      <w:r w:rsidRPr="00C34E7A">
        <w:rPr>
          <w:rFonts w:ascii="Verdana" w:eastAsia="Times New Roman" w:hAnsi="Verdana" w:cs="Arial"/>
          <w:sz w:val="20"/>
          <w:szCs w:val="20"/>
          <w:vertAlign w:val="superscript"/>
          <w:lang w:val="es-ES"/>
        </w:rPr>
        <w:t>.</w:t>
      </w:r>
      <w:r w:rsidRPr="00C34E7A">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34E7A">
        <w:rPr>
          <w:rFonts w:ascii="Verdana" w:eastAsia="Times New Roman" w:hAnsi="Verdana" w:cs="Arial"/>
          <w:sz w:val="20"/>
          <w:szCs w:val="20"/>
          <w:vertAlign w:val="superscript"/>
          <w:lang w:val="es-ES" w:eastAsia="es-CO"/>
        </w:rPr>
        <w:footnoteReference w:id="11"/>
      </w:r>
      <w:r w:rsidRPr="00C34E7A">
        <w:rPr>
          <w:rFonts w:ascii="Verdana" w:eastAsia="Calibri" w:hAnsi="Verdana" w:cs="Arial"/>
          <w:sz w:val="20"/>
          <w:szCs w:val="20"/>
          <w:lang w:val="es-ES"/>
        </w:rPr>
        <w:t xml:space="preserve"> .</w:t>
      </w:r>
    </w:p>
    <w:p w14:paraId="324B14E9" w14:textId="77777777" w:rsidR="00326556" w:rsidRPr="00C34E7A" w:rsidRDefault="00326556" w:rsidP="00326556">
      <w:pPr>
        <w:shd w:val="clear" w:color="auto" w:fill="FFFFFF" w:themeFill="background1"/>
        <w:spacing w:after="0" w:line="276" w:lineRule="auto"/>
        <w:ind w:firstLine="709"/>
        <w:jc w:val="both"/>
        <w:rPr>
          <w:rFonts w:ascii="Verdana" w:eastAsia="Times New Roman" w:hAnsi="Verdana" w:cs="Arial"/>
          <w:lang w:val="es-ES" w:eastAsia="x-none"/>
        </w:rPr>
      </w:pPr>
    </w:p>
    <w:p w14:paraId="056DF442" w14:textId="356DC92B" w:rsidR="00326556" w:rsidRPr="00C34E7A" w:rsidRDefault="00326556" w:rsidP="00326556">
      <w:pPr>
        <w:spacing w:after="120" w:line="276" w:lineRule="auto"/>
        <w:ind w:firstLine="708"/>
        <w:jc w:val="both"/>
        <w:rPr>
          <w:rFonts w:ascii="Verdana" w:eastAsia="Times New Roman" w:hAnsi="Verdana" w:cs="Arial"/>
          <w:bCs/>
          <w:lang w:val="es-ES" w:eastAsia="x-none"/>
        </w:rPr>
      </w:pPr>
      <w:r w:rsidRPr="00C34E7A">
        <w:rPr>
          <w:rFonts w:ascii="Verdana" w:eastAsia="Times New Roman" w:hAnsi="Verdana" w:cs="Arial"/>
          <w:lang w:val="es-ES" w:eastAsia="x-none"/>
        </w:rPr>
        <w:lastRenderedPageBreak/>
        <w:t xml:space="preserve">De acuerdo con este concepto, la prohibición del artículo 33 de la Ley de Garantías Electorales se refiere a </w:t>
      </w:r>
      <w:r w:rsidRPr="00C34E7A">
        <w:rPr>
          <w:rFonts w:ascii="Verdana" w:eastAsia="Times New Roman" w:hAnsi="Verdana" w:cs="Arial"/>
          <w:sz w:val="19"/>
          <w:szCs w:val="19"/>
          <w:lang w:val="es-ES" w:eastAsia="en-GB"/>
        </w:rPr>
        <w:t>“</w:t>
      </w:r>
      <w:r w:rsidRPr="00C34E7A">
        <w:rPr>
          <w:rFonts w:ascii="Verdana" w:eastAsia="Times New Roman" w:hAnsi="Verdana" w:cs="Arial"/>
          <w:i/>
          <w:iCs/>
          <w:lang w:val="es-ES" w:eastAsia="x-none"/>
        </w:rPr>
        <w:t>cualquier sistema</w:t>
      </w:r>
      <w:r w:rsidRPr="00C34E7A">
        <w:rPr>
          <w:rFonts w:ascii="Verdana" w:eastAsia="Times New Roman" w:hAnsi="Verdana" w:cs="Arial"/>
          <w:lang w:val="es-ES" w:eastAsia="x-none"/>
        </w:rPr>
        <w:t xml:space="preserve"> que no implique convocatoria pública y posibilidad de pluralidad de oferentes</w:t>
      </w:r>
      <w:r w:rsidRPr="00C34E7A">
        <w:rPr>
          <w:rFonts w:ascii="Verdana" w:eastAsia="Times New Roman" w:hAnsi="Verdana" w:cs="Arial"/>
          <w:lang w:val="es-ES" w:eastAsia="en-GB"/>
        </w:rPr>
        <w:t>”</w:t>
      </w:r>
      <w:r w:rsidRPr="00C34E7A">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C34E7A">
        <w:rPr>
          <w:rFonts w:ascii="Verdana" w:eastAsia="Times New Roman" w:hAnsi="Verdana" w:cs="Arial"/>
          <w:lang w:val="es-ES"/>
        </w:rPr>
        <w:t>y la mínima cuantía, así como otros procesos competitivos</w:t>
      </w:r>
      <w:r w:rsidRPr="00C34E7A" w:rsidDel="00A85D9F">
        <w:rPr>
          <w:rFonts w:ascii="Verdana" w:eastAsia="Times New Roman" w:hAnsi="Verdana" w:cs="Arial"/>
          <w:lang w:val="es-ES" w:eastAsia="x-none"/>
        </w:rPr>
        <w:t xml:space="preserve"> </w:t>
      </w:r>
      <w:r w:rsidRPr="00C34E7A">
        <w:rPr>
          <w:rFonts w:ascii="Verdana" w:eastAsia="Times New Roman" w:hAnsi="Verdana" w:cs="Arial"/>
          <w:lang w:val="es-ES"/>
        </w:rPr>
        <w:t xml:space="preserve">previstos en normas especiales. </w:t>
      </w:r>
      <w:r w:rsidRPr="00C34E7A">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C34E7A">
        <w:rPr>
          <w:rFonts w:ascii="Verdana" w:eastAsia="Times New Roman" w:hAnsi="Verdana" w:cs="Arial"/>
          <w:vertAlign w:val="superscript"/>
          <w:lang w:val="es-ES" w:eastAsia="x-none"/>
        </w:rPr>
        <w:footnoteReference w:id="12"/>
      </w:r>
      <w:r w:rsidRPr="00C34E7A">
        <w:rPr>
          <w:rFonts w:ascii="Verdana" w:eastAsia="Times New Roman" w:hAnsi="Verdana" w:cs="Arial"/>
          <w:lang w:val="es-ES" w:eastAsia="x-none"/>
        </w:rPr>
        <w:t xml:space="preserve"> y sistematizó las causales de contratación directa</w:t>
      </w:r>
      <w:r w:rsidRPr="00C34E7A">
        <w:rPr>
          <w:rFonts w:ascii="Verdana" w:eastAsia="Times New Roman" w:hAnsi="Verdana" w:cs="Arial"/>
          <w:vertAlign w:val="superscript"/>
          <w:lang w:val="es-ES" w:eastAsia="x-none"/>
        </w:rPr>
        <w:footnoteReference w:id="13"/>
      </w:r>
      <w:r w:rsidRPr="00C34E7A">
        <w:rPr>
          <w:rFonts w:ascii="Verdana" w:eastAsia="Times New Roman" w:hAnsi="Verdana" w:cs="Arial"/>
          <w:lang w:val="es-ES" w:eastAsia="x-none"/>
        </w:rPr>
        <w:t xml:space="preserve">. </w:t>
      </w:r>
      <w:r w:rsidR="00555273" w:rsidRPr="00C34E7A">
        <w:rPr>
          <w:rFonts w:ascii="Verdana" w:eastAsia="Calibri" w:hAnsi="Verdana" w:cs="Arial"/>
          <w:lang w:val="es-ES" w:eastAsia="x-none"/>
        </w:rPr>
        <w:t>Además,</w:t>
      </w:r>
      <w:r w:rsidRPr="00C34E7A">
        <w:rPr>
          <w:rFonts w:ascii="Verdana" w:eastAsia="Calibri" w:hAnsi="Verdana" w:cs="Arial"/>
          <w:lang w:val="es-ES" w:eastAsia="x-none"/>
        </w:rPr>
        <w:t xml:space="preserve"> lo es con la posterior creación de la modalidad de mínima cuantía establecida actualmente en el numeral 5 del artículo 2 de la Ley 1150 de 2007, de acuerdo con las modificaciones realizadas por leyes posteriores.</w:t>
      </w:r>
    </w:p>
    <w:p w14:paraId="664031A2" w14:textId="77777777" w:rsidR="00326556" w:rsidRPr="00C34E7A" w:rsidRDefault="00326556" w:rsidP="00326556">
      <w:pPr>
        <w:spacing w:after="120" w:line="276" w:lineRule="auto"/>
        <w:ind w:firstLine="708"/>
        <w:jc w:val="both"/>
        <w:rPr>
          <w:rFonts w:ascii="Verdana" w:eastAsia="Times New Roman" w:hAnsi="Verdana" w:cs="Arial"/>
          <w:bCs/>
          <w:lang w:val="es-ES" w:eastAsia="es-CO"/>
        </w:rPr>
      </w:pPr>
      <w:r w:rsidRPr="00C34E7A">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C34E7A">
        <w:rPr>
          <w:rFonts w:ascii="Verdana" w:eastAsia="Times New Roman" w:hAnsi="Verdana" w:cs="Arial"/>
          <w:bCs/>
          <w:i/>
          <w:iCs/>
          <w:lang w:val="es-ES" w:eastAsia="es-CO"/>
        </w:rPr>
        <w:t>, sino también frente a las entidades que tengan un régimen especial de contratación</w:t>
      </w:r>
      <w:r w:rsidRPr="00C34E7A">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C34E7A">
        <w:rPr>
          <w:rFonts w:ascii="Verdana" w:eastAsia="Times New Roman" w:hAnsi="Verdana" w:cs="Arial"/>
          <w:lang w:val="es-ES"/>
        </w:rPr>
        <w:t xml:space="preserve">Así, para efectos de la prohibición o restricción temporal contenida en su artículo 33, “contratación directa” es </w:t>
      </w:r>
      <w:r w:rsidRPr="00C34E7A">
        <w:rPr>
          <w:rFonts w:ascii="Verdana" w:eastAsia="Times New Roman" w:hAnsi="Verdana" w:cs="Arial"/>
          <w:i/>
          <w:iCs/>
          <w:lang w:val="es-ES"/>
        </w:rPr>
        <w:t>cualquier</w:t>
      </w:r>
      <w:r w:rsidRPr="00C34E7A">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C34E7A">
        <w:rPr>
          <w:rFonts w:ascii="Verdana" w:eastAsia="Times New Roman" w:hAnsi="Verdana" w:cs="Arial"/>
          <w:vertAlign w:val="superscript"/>
          <w:lang w:val="es-ES" w:eastAsia="x-none"/>
        </w:rPr>
        <w:footnoteReference w:id="14"/>
      </w:r>
      <w:r w:rsidRPr="00C34E7A">
        <w:rPr>
          <w:rFonts w:ascii="Verdana" w:eastAsia="Times New Roman" w:hAnsi="Verdana" w:cs="Arial"/>
          <w:lang w:val="es-ES"/>
        </w:rPr>
        <w:t>.</w:t>
      </w:r>
      <w:r w:rsidRPr="00C34E7A">
        <w:rPr>
          <w:rFonts w:ascii="Verdana" w:eastAsia="Times New Roman" w:hAnsi="Verdana" w:cs="Arial"/>
          <w:vertAlign w:val="superscript"/>
          <w:lang w:val="es-ES" w:eastAsia="x-none"/>
        </w:rPr>
        <w:t xml:space="preserve"> </w:t>
      </w:r>
    </w:p>
    <w:p w14:paraId="47BD13C1" w14:textId="77777777" w:rsidR="00326556" w:rsidRPr="00C34E7A" w:rsidRDefault="00326556" w:rsidP="00326556">
      <w:pPr>
        <w:spacing w:after="0" w:line="276" w:lineRule="auto"/>
        <w:ind w:firstLine="708"/>
        <w:jc w:val="both"/>
        <w:rPr>
          <w:rFonts w:ascii="Verdana" w:eastAsia="Times New Roman" w:hAnsi="Verdana" w:cs="Arial"/>
          <w:lang w:val="es-ES"/>
        </w:rPr>
      </w:pPr>
      <w:r w:rsidRPr="00C34E7A">
        <w:rPr>
          <w:rFonts w:ascii="Verdana" w:eastAsia="Times New Roman" w:hAnsi="Verdana" w:cs="Arial"/>
          <w:lang w:val="es-ES"/>
        </w:rPr>
        <w:t xml:space="preserve">De lo anterior se desprende que la restricción aplica, sin perjuicio de las excepciones establecidas en la misma ley, para celebrar </w:t>
      </w:r>
      <w:r w:rsidRPr="00C34E7A">
        <w:rPr>
          <w:rFonts w:ascii="Verdana" w:eastAsia="Times New Roman" w:hAnsi="Verdana" w:cs="Arial"/>
          <w:i/>
          <w:iCs/>
          <w:lang w:val="es-ES"/>
        </w:rPr>
        <w:t>cualquier contrato o convenio de forma directa</w:t>
      </w:r>
      <w:r w:rsidRPr="00C34E7A">
        <w:rPr>
          <w:rFonts w:ascii="Verdana" w:eastAsia="Times New Roman" w:hAnsi="Verdana" w:cs="Arial"/>
          <w:lang w:val="es-ES"/>
        </w:rPr>
        <w:t xml:space="preserve">,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cual en ese </w:t>
      </w:r>
      <w:r w:rsidRPr="00C34E7A">
        <w:rPr>
          <w:rFonts w:ascii="Verdana" w:eastAsia="Times New Roman" w:hAnsi="Verdana" w:cs="Arial"/>
          <w:lang w:val="es-ES"/>
        </w:rPr>
        <w:lastRenderedPageBreak/>
        <w:t>período preelectoral de que trata la disposición las entidades públicas pueden seguir contratando bajo estos sistemas.</w:t>
      </w:r>
    </w:p>
    <w:p w14:paraId="3BABAF47" w14:textId="77777777" w:rsidR="00326556" w:rsidRPr="00C34E7A" w:rsidRDefault="00326556" w:rsidP="00326556">
      <w:pPr>
        <w:spacing w:before="120" w:after="0" w:line="276" w:lineRule="auto"/>
        <w:ind w:firstLine="708"/>
        <w:jc w:val="both"/>
        <w:rPr>
          <w:rFonts w:ascii="Verdana" w:eastAsia="Times New Roman" w:hAnsi="Verdana" w:cs="Arial"/>
          <w:bCs/>
          <w:lang w:val="es-ES" w:eastAsia="es-CO"/>
        </w:rPr>
      </w:pPr>
      <w:r w:rsidRPr="00C34E7A">
        <w:rPr>
          <w:rFonts w:ascii="Verdana" w:eastAsia="Times New Roman" w:hAnsi="Verdana" w:cs="Arial"/>
          <w:bCs/>
          <w:lang w:val="es-ES" w:eastAsia="es-CO"/>
        </w:rPr>
        <w:t xml:space="preserve">Como en otras oportunidades lo ha manifestado esta Agencia, las prórrogas, modificaciones o adiciones de los contratos suscritos antes de la </w:t>
      </w:r>
      <w:proofErr w:type="gramStart"/>
      <w:r w:rsidRPr="00C34E7A">
        <w:rPr>
          <w:rFonts w:ascii="Verdana" w:eastAsia="Times New Roman" w:hAnsi="Verdana" w:cs="Arial"/>
          <w:bCs/>
          <w:lang w:val="es-ES" w:eastAsia="es-CO"/>
        </w:rPr>
        <w:t>entrada en vigencia</w:t>
      </w:r>
      <w:proofErr w:type="gramEnd"/>
      <w:r w:rsidRPr="00C34E7A">
        <w:rPr>
          <w:rFonts w:ascii="Verdana" w:eastAsia="Times New Roman" w:hAnsi="Verdana" w:cs="Arial"/>
          <w:bCs/>
          <w:lang w:val="es-ES" w:eastAsia="es-CO"/>
        </w:rPr>
        <w:t xml:space="preserve"> de las prohibiciones anotadas, así como la cesión de </w:t>
      </w:r>
      <w:proofErr w:type="gramStart"/>
      <w:r w:rsidRPr="00C34E7A">
        <w:rPr>
          <w:rFonts w:ascii="Verdana" w:eastAsia="Times New Roman" w:hAnsi="Verdana" w:cs="Arial"/>
          <w:bCs/>
          <w:lang w:val="es-ES" w:eastAsia="es-CO"/>
        </w:rPr>
        <w:t>los mismos</w:t>
      </w:r>
      <w:proofErr w:type="gramEnd"/>
      <w:r w:rsidRPr="00C34E7A">
        <w:rPr>
          <w:rFonts w:ascii="Verdana" w:eastAsia="Times New Roman" w:hAnsi="Verdana" w:cs="Arial"/>
          <w:bCs/>
          <w:lang w:val="es-ES" w:eastAsia="es-CO"/>
        </w:rPr>
        <w:t>, pueden tener lugar en el período de aplicación de la Ley de Garantías Electorales, sin que ello haga nugatoria la restricción de la contratación directa y siempre que cumplan los principios de planeación, transparencia y responsabilidad</w:t>
      </w:r>
      <w:r w:rsidRPr="00C34E7A">
        <w:rPr>
          <w:rFonts w:ascii="Verdana" w:eastAsia="Times New Roman" w:hAnsi="Verdana" w:cs="Arial"/>
          <w:bCs/>
          <w:vertAlign w:val="superscript"/>
          <w:lang w:val="es-ES" w:eastAsia="es-CO"/>
        </w:rPr>
        <w:footnoteReference w:id="15"/>
      </w:r>
      <w:r w:rsidRPr="00C34E7A">
        <w:rPr>
          <w:rFonts w:ascii="Verdana" w:eastAsia="Times New Roman" w:hAnsi="Verdana" w:cs="Arial"/>
          <w:bCs/>
          <w:lang w:val="es-ES" w:eastAsia="es-CO"/>
        </w:rPr>
        <w:t xml:space="preserve">. Además, también es posible que contratos celebrados previamente se continúen ejecutando con normalidad. </w:t>
      </w:r>
    </w:p>
    <w:p w14:paraId="446FFA4E" w14:textId="77777777" w:rsidR="00326556" w:rsidRPr="00C34E7A" w:rsidRDefault="00326556" w:rsidP="00326556">
      <w:pPr>
        <w:spacing w:after="0" w:line="276" w:lineRule="auto"/>
        <w:ind w:firstLine="708"/>
        <w:jc w:val="both"/>
        <w:rPr>
          <w:rFonts w:ascii="Verdana" w:eastAsia="Times New Roman" w:hAnsi="Verdana" w:cs="Arial"/>
          <w:bCs/>
          <w:lang w:val="es-ES" w:eastAsia="es-CO"/>
        </w:rPr>
      </w:pPr>
    </w:p>
    <w:p w14:paraId="16E24F11" w14:textId="77777777" w:rsidR="00326556" w:rsidRPr="00C34E7A" w:rsidRDefault="00326556" w:rsidP="00326556">
      <w:pPr>
        <w:spacing w:after="0" w:line="276" w:lineRule="auto"/>
        <w:jc w:val="both"/>
        <w:rPr>
          <w:rFonts w:ascii="Verdana" w:eastAsia="Times New Roman" w:hAnsi="Verdana" w:cs="Arial"/>
          <w:lang w:val="es-ES"/>
        </w:rPr>
      </w:pPr>
      <w:proofErr w:type="spellStart"/>
      <w:r w:rsidRPr="00C34E7A">
        <w:rPr>
          <w:rFonts w:ascii="Verdana" w:eastAsia="Times New Roman" w:hAnsi="Verdana" w:cs="Arial"/>
          <w:bCs/>
          <w:lang w:val="es-ES" w:eastAsia="es-CO"/>
        </w:rPr>
        <w:t>iv</w:t>
      </w:r>
      <w:proofErr w:type="spellEnd"/>
      <w:r w:rsidRPr="00C34E7A">
        <w:rPr>
          <w:rFonts w:ascii="Verdana" w:eastAsia="Times New Roman" w:hAnsi="Verdana" w:cs="Arial"/>
          <w:bCs/>
          <w:lang w:val="es-ES" w:eastAsia="es-CO"/>
        </w:rPr>
        <w:t xml:space="preserve">) Respecto a los </w:t>
      </w:r>
      <w:r w:rsidRPr="00C34E7A">
        <w:rPr>
          <w:rFonts w:ascii="Verdana" w:eastAsia="Times New Roman" w:hAnsi="Verdana" w:cs="Arial"/>
          <w:bCs/>
          <w:i/>
          <w:iCs/>
          <w:lang w:val="es-ES" w:eastAsia="es-CO"/>
        </w:rPr>
        <w:t>sujetos</w:t>
      </w:r>
      <w:r w:rsidRPr="00C34E7A">
        <w:rPr>
          <w:rFonts w:ascii="Verdana" w:eastAsia="Times New Roman" w:hAnsi="Verdana" w:cs="Arial"/>
          <w:bCs/>
          <w:lang w:val="es-ES" w:eastAsia="es-CO"/>
        </w:rPr>
        <w:t xml:space="preserve"> que se encuentran comprendidos en la prohibición del artículo 33, </w:t>
      </w:r>
      <w:r w:rsidRPr="00C34E7A">
        <w:rPr>
          <w:rFonts w:ascii="Verdana" w:eastAsia="Times New Roman" w:hAnsi="Verdana" w:cs="Arial"/>
          <w:lang w:val="es-ES"/>
        </w:rPr>
        <w:t>la Ley 996 de 2005 señala expresamente que son “</w:t>
      </w:r>
      <w:r w:rsidRPr="00C34E7A">
        <w:rPr>
          <w:rFonts w:ascii="Verdana" w:eastAsia="Times New Roman" w:hAnsi="Verdana" w:cs="Arial"/>
          <w:i/>
          <w:iCs/>
          <w:u w:val="single"/>
          <w:lang w:val="es-ES"/>
        </w:rPr>
        <w:t>todos</w:t>
      </w:r>
      <w:r w:rsidRPr="00C34E7A">
        <w:rPr>
          <w:rFonts w:ascii="Verdana" w:eastAsia="Times New Roman" w:hAnsi="Verdana" w:cs="Arial"/>
          <w:i/>
          <w:iCs/>
          <w:lang w:val="es-ES"/>
        </w:rPr>
        <w:t xml:space="preserve"> los entes del Estado</w:t>
      </w:r>
      <w:r w:rsidRPr="00C34E7A">
        <w:rPr>
          <w:rFonts w:ascii="Verdana" w:eastAsia="Times New Roman" w:hAnsi="Verdana" w:cs="Arial"/>
          <w:lang w:val="es-ES"/>
        </w:rPr>
        <w:t>” [énfasis propio]. Al respecto, la Sala de Consulta y Servicio Civil del Consejo de Estado señaló lo siguiente:</w:t>
      </w:r>
    </w:p>
    <w:p w14:paraId="02FFF2A8" w14:textId="77777777" w:rsidR="00326556" w:rsidRPr="00C34E7A" w:rsidRDefault="00326556" w:rsidP="00326556">
      <w:pPr>
        <w:spacing w:after="0" w:line="276" w:lineRule="auto"/>
        <w:ind w:firstLine="708"/>
        <w:jc w:val="both"/>
        <w:rPr>
          <w:rFonts w:ascii="Verdana" w:eastAsia="Times New Roman" w:hAnsi="Verdana" w:cs="Arial"/>
          <w:lang w:val="es-ES"/>
        </w:rPr>
      </w:pPr>
    </w:p>
    <w:p w14:paraId="300CC257" w14:textId="77777777" w:rsidR="00326556" w:rsidRPr="00C34E7A" w:rsidRDefault="00326556" w:rsidP="00326556">
      <w:pPr>
        <w:spacing w:after="0" w:line="240" w:lineRule="auto"/>
        <w:ind w:left="709" w:right="709"/>
        <w:jc w:val="both"/>
        <w:rPr>
          <w:rFonts w:ascii="Verdana" w:eastAsia="Times New Roman" w:hAnsi="Verdana" w:cs="Arial"/>
          <w:bCs/>
          <w:sz w:val="20"/>
          <w:szCs w:val="20"/>
          <w:lang w:val="es-ES" w:eastAsia="es-CO"/>
        </w:rPr>
      </w:pPr>
      <w:r w:rsidRPr="00C34E7A">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C34E7A">
        <w:rPr>
          <w:rStyle w:val="Refdenotaalpie"/>
          <w:rFonts w:ascii="Verdana" w:eastAsia="Times New Roman" w:hAnsi="Verdana" w:cs="Arial"/>
          <w:bCs/>
          <w:sz w:val="20"/>
          <w:szCs w:val="20"/>
          <w:lang w:val="es-ES" w:eastAsia="es-CO"/>
        </w:rPr>
        <w:footnoteReference w:id="16"/>
      </w:r>
      <w:r w:rsidRPr="00C34E7A">
        <w:rPr>
          <w:rFonts w:ascii="Verdana" w:eastAsia="Times New Roman" w:hAnsi="Verdana" w:cs="Arial"/>
          <w:bCs/>
          <w:sz w:val="20"/>
          <w:szCs w:val="20"/>
          <w:lang w:val="es-ES" w:eastAsia="es-CO"/>
        </w:rPr>
        <w:t>.</w:t>
      </w:r>
    </w:p>
    <w:p w14:paraId="74885CFF" w14:textId="77777777" w:rsidR="00326556" w:rsidRPr="00C34E7A" w:rsidRDefault="00326556" w:rsidP="00326556">
      <w:pPr>
        <w:spacing w:after="0" w:line="276" w:lineRule="auto"/>
        <w:ind w:left="709" w:right="709"/>
        <w:jc w:val="both"/>
        <w:rPr>
          <w:rFonts w:ascii="Verdana" w:eastAsia="Times New Roman" w:hAnsi="Verdana" w:cs="Arial"/>
          <w:bCs/>
          <w:lang w:val="es-ES" w:eastAsia="es-CO"/>
        </w:rPr>
      </w:pPr>
    </w:p>
    <w:p w14:paraId="2E6487DE" w14:textId="77777777" w:rsidR="00326556" w:rsidRPr="00C34E7A" w:rsidRDefault="00326556" w:rsidP="00326556">
      <w:pPr>
        <w:spacing w:after="0" w:line="276" w:lineRule="auto"/>
        <w:ind w:firstLine="708"/>
        <w:jc w:val="both"/>
        <w:rPr>
          <w:rFonts w:ascii="Verdana" w:eastAsia="Times New Roman" w:hAnsi="Verdana" w:cs="Arial"/>
          <w:bCs/>
          <w:lang w:val="es-ES" w:eastAsia="x-none"/>
        </w:rPr>
      </w:pPr>
      <w:r w:rsidRPr="00C34E7A">
        <w:rPr>
          <w:rFonts w:ascii="Verdana" w:eastAsia="Times New Roman" w:hAnsi="Verdana" w:cs="Arial"/>
          <w:bCs/>
          <w:lang w:val="es-ES" w:eastAsia="x-none"/>
        </w:rPr>
        <w:t xml:space="preserve">Igualmente, la Sala de Consulta y Servicio Civil del Consejo de Estado, en Concepto 1727 de fecha 20 de febrero de 2006, consideró que: </w:t>
      </w:r>
    </w:p>
    <w:p w14:paraId="61BD1268" w14:textId="77777777" w:rsidR="00326556" w:rsidRPr="00C34E7A" w:rsidRDefault="00326556" w:rsidP="00326556">
      <w:pPr>
        <w:spacing w:after="0" w:line="276" w:lineRule="auto"/>
        <w:jc w:val="both"/>
        <w:rPr>
          <w:rFonts w:ascii="Verdana" w:eastAsia="Times New Roman" w:hAnsi="Verdana" w:cs="Arial"/>
          <w:bCs/>
          <w:lang w:val="es-ES" w:eastAsia="x-none"/>
        </w:rPr>
      </w:pPr>
    </w:p>
    <w:p w14:paraId="10CD7D64" w14:textId="3A30942B" w:rsidR="00326556" w:rsidRPr="00C34E7A" w:rsidRDefault="00326556" w:rsidP="00326556">
      <w:pPr>
        <w:spacing w:after="0" w:line="240" w:lineRule="auto"/>
        <w:ind w:left="709" w:right="709"/>
        <w:jc w:val="both"/>
        <w:rPr>
          <w:rFonts w:ascii="Verdana" w:eastAsia="Times New Roman" w:hAnsi="Verdana" w:cs="Arial"/>
          <w:bCs/>
          <w:sz w:val="20"/>
          <w:szCs w:val="20"/>
          <w:lang w:val="es-ES" w:eastAsia="es-CO"/>
        </w:rPr>
      </w:pPr>
      <w:r w:rsidRPr="00C34E7A">
        <w:rPr>
          <w:rFonts w:ascii="Verdana" w:eastAsia="Times New Roman" w:hAnsi="Verdana" w:cs="Arial"/>
          <w:bCs/>
          <w:sz w:val="20"/>
          <w:szCs w:val="20"/>
          <w:lang w:val="es-ES"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w:t>
      </w:r>
      <w:r w:rsidRPr="00C34E7A">
        <w:rPr>
          <w:rFonts w:ascii="Verdana" w:eastAsia="Times New Roman" w:hAnsi="Verdana" w:cs="Arial"/>
          <w:bCs/>
          <w:i/>
          <w:iCs/>
          <w:sz w:val="20"/>
          <w:szCs w:val="20"/>
          <w:lang w:val="es-ES" w:eastAsia="x-none"/>
        </w:rPr>
        <w:t>como por ejemplo los prestadores de servicios públicos domiciliarios (empresas de servicios públicos oficiales</w:t>
      </w:r>
      <w:r w:rsidRPr="00C34E7A">
        <w:rPr>
          <w:rFonts w:ascii="Verdana" w:eastAsia="Times New Roman" w:hAnsi="Verdana" w:cs="Arial"/>
          <w:bCs/>
          <w:sz w:val="20"/>
          <w:szCs w:val="20"/>
          <w:lang w:val="es-ES" w:eastAsia="x-none"/>
        </w:rPr>
        <w:t xml:space="preserve"> y empresas industriales y comerciales del Estado) y a los municipios </w:t>
      </w:r>
      <w:r w:rsidRPr="00C34E7A">
        <w:rPr>
          <w:rFonts w:ascii="Verdana" w:eastAsia="Times New Roman" w:hAnsi="Verdana" w:cs="Arial"/>
          <w:bCs/>
          <w:sz w:val="20"/>
          <w:szCs w:val="20"/>
          <w:lang w:val="es-ES" w:eastAsia="x-none"/>
        </w:rPr>
        <w:lastRenderedPageBreak/>
        <w:t>prestadores directos, incluyendo las excepciones contenidas en el segundo inciso de esta norma”</w:t>
      </w:r>
      <w:r w:rsidRPr="00C34E7A">
        <w:rPr>
          <w:rFonts w:ascii="Verdana" w:eastAsia="Times New Roman" w:hAnsi="Verdana" w:cs="Arial"/>
          <w:bCs/>
          <w:sz w:val="20"/>
          <w:szCs w:val="20"/>
          <w:vertAlign w:val="superscript"/>
          <w:lang w:val="es-ES" w:eastAsia="x-none"/>
        </w:rPr>
        <w:footnoteReference w:id="17"/>
      </w:r>
      <w:r w:rsidRPr="00C34E7A">
        <w:rPr>
          <w:rFonts w:ascii="Verdana" w:eastAsia="Times New Roman" w:hAnsi="Verdana" w:cs="Arial"/>
          <w:bCs/>
          <w:sz w:val="20"/>
          <w:szCs w:val="20"/>
          <w:lang w:val="es-ES" w:eastAsia="x-none"/>
        </w:rPr>
        <w:t>.</w:t>
      </w:r>
      <w:r w:rsidRPr="00C34E7A">
        <w:rPr>
          <w:rFonts w:ascii="Verdana" w:eastAsia="Times New Roman" w:hAnsi="Verdana" w:cs="Arial"/>
          <w:bCs/>
          <w:sz w:val="20"/>
          <w:szCs w:val="20"/>
          <w:lang w:val="es-ES" w:eastAsia="es-CO"/>
        </w:rPr>
        <w:t xml:space="preserve"> </w:t>
      </w:r>
    </w:p>
    <w:p w14:paraId="738702B1" w14:textId="77777777" w:rsidR="00326556" w:rsidRPr="00C34E7A" w:rsidRDefault="00326556" w:rsidP="00326556">
      <w:pPr>
        <w:spacing w:after="0" w:line="276" w:lineRule="auto"/>
        <w:ind w:firstLine="708"/>
        <w:jc w:val="both"/>
        <w:rPr>
          <w:rFonts w:ascii="Verdana" w:eastAsia="Times New Roman" w:hAnsi="Verdana" w:cs="Arial"/>
          <w:bCs/>
          <w:lang w:val="es-ES" w:eastAsia="es-CO"/>
        </w:rPr>
      </w:pPr>
    </w:p>
    <w:p w14:paraId="7913EF37" w14:textId="77777777" w:rsidR="00555273" w:rsidRPr="00C34E7A" w:rsidRDefault="00326556" w:rsidP="007E0F7A">
      <w:pPr>
        <w:spacing w:after="120" w:line="276" w:lineRule="auto"/>
        <w:ind w:firstLine="709"/>
        <w:jc w:val="both"/>
        <w:rPr>
          <w:rFonts w:ascii="Verdana" w:eastAsia="Calibri" w:hAnsi="Verdana" w:cs="Arial"/>
          <w:lang w:val="es-ES"/>
        </w:rPr>
      </w:pPr>
      <w:r w:rsidRPr="00C34E7A">
        <w:rPr>
          <w:rFonts w:ascii="Verdana" w:eastAsia="Times New Roman" w:hAnsi="Verdana" w:cs="Arial"/>
          <w:bCs/>
          <w:lang w:val="es-ES"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34E7A">
        <w:rPr>
          <w:rFonts w:ascii="Verdana" w:eastAsia="Calibri" w:hAnsi="Verdana" w:cs="Arial"/>
          <w:vertAlign w:val="superscript"/>
          <w:lang w:val="es-ES"/>
        </w:rPr>
        <w:footnoteReference w:id="18"/>
      </w:r>
      <w:r w:rsidRPr="00C34E7A">
        <w:rPr>
          <w:rFonts w:ascii="Verdana" w:eastAsia="Times New Roman" w:hAnsi="Verdana" w:cs="Arial"/>
          <w:bCs/>
          <w:lang w:val="es-ES" w:eastAsia="x-none"/>
        </w:rPr>
        <w:t>.</w:t>
      </w:r>
      <w:r w:rsidRPr="00C34E7A">
        <w:rPr>
          <w:rFonts w:ascii="Verdana" w:eastAsia="Calibri" w:hAnsi="Verdana" w:cs="Arial"/>
          <w:lang w:val="es-ES"/>
        </w:rPr>
        <w:t xml:space="preserve"> </w:t>
      </w:r>
    </w:p>
    <w:p w14:paraId="1D7F3498" w14:textId="6835F564" w:rsidR="00326556" w:rsidRPr="00C34E7A" w:rsidRDefault="00326556" w:rsidP="00326556">
      <w:pPr>
        <w:spacing w:after="0" w:line="276" w:lineRule="auto"/>
        <w:ind w:firstLine="708"/>
        <w:jc w:val="both"/>
        <w:rPr>
          <w:rFonts w:ascii="Verdana" w:eastAsia="Calibri" w:hAnsi="Verdana" w:cs="Arial"/>
          <w:lang w:val="es-ES"/>
        </w:rPr>
      </w:pPr>
      <w:r w:rsidRPr="00C34E7A">
        <w:rPr>
          <w:rFonts w:ascii="Verdana" w:eastAsia="Calibri" w:hAnsi="Verdana" w:cs="Arial"/>
          <w:lang w:val="es-ES"/>
        </w:rPr>
        <w:t>Además, la Sala de Consulta y Servicio Civil del Consejo de Estado realizó la siguiente distinción, retomando el pronunciamiento de la misma sala del 20 de febrero de 2006, citado anteriormente:</w:t>
      </w:r>
    </w:p>
    <w:p w14:paraId="34115B19" w14:textId="77777777" w:rsidR="00326556" w:rsidRPr="00C34E7A" w:rsidRDefault="00326556" w:rsidP="00326556">
      <w:pPr>
        <w:spacing w:after="0" w:line="276" w:lineRule="auto"/>
        <w:jc w:val="both"/>
        <w:rPr>
          <w:rFonts w:ascii="Verdana" w:eastAsia="Calibri" w:hAnsi="Verdana" w:cs="Arial"/>
          <w:lang w:val="es-ES"/>
        </w:rPr>
      </w:pPr>
    </w:p>
    <w:p w14:paraId="18E0AA8C" w14:textId="77777777" w:rsidR="00326556" w:rsidRPr="00C34E7A" w:rsidRDefault="00326556" w:rsidP="00326556">
      <w:pPr>
        <w:spacing w:after="0" w:line="240" w:lineRule="auto"/>
        <w:ind w:left="709" w:right="709"/>
        <w:jc w:val="both"/>
        <w:rPr>
          <w:rFonts w:ascii="Verdana" w:eastAsia="Calibri" w:hAnsi="Verdana" w:cs="Arial"/>
          <w:sz w:val="20"/>
          <w:szCs w:val="20"/>
          <w:lang w:val="es-ES"/>
        </w:rPr>
      </w:pPr>
      <w:r w:rsidRPr="00C34E7A">
        <w:rPr>
          <w:rFonts w:ascii="Verdana" w:eastAsia="Calibri" w:hAnsi="Verdana" w:cs="Arial"/>
          <w:sz w:val="20"/>
          <w:szCs w:val="20"/>
          <w:lang w:val="es-ES"/>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DFB75E0" w14:textId="77777777" w:rsidR="00326556" w:rsidRPr="00C34E7A" w:rsidRDefault="00326556" w:rsidP="00326556">
      <w:pPr>
        <w:spacing w:after="0" w:line="240" w:lineRule="auto"/>
        <w:ind w:left="709" w:right="709"/>
        <w:jc w:val="both"/>
        <w:rPr>
          <w:rFonts w:ascii="Verdana" w:eastAsia="Calibri" w:hAnsi="Verdana" w:cs="Arial"/>
          <w:sz w:val="20"/>
          <w:szCs w:val="20"/>
          <w:lang w:val="es-ES"/>
        </w:rPr>
      </w:pPr>
    </w:p>
    <w:p w14:paraId="32E61B58" w14:textId="77777777" w:rsidR="00326556" w:rsidRPr="00C34E7A" w:rsidRDefault="00326556" w:rsidP="00326556">
      <w:pPr>
        <w:spacing w:after="0" w:line="240" w:lineRule="auto"/>
        <w:ind w:left="709" w:right="709"/>
        <w:jc w:val="both"/>
        <w:rPr>
          <w:rFonts w:ascii="Verdana" w:eastAsia="Calibri" w:hAnsi="Verdana" w:cs="Arial"/>
          <w:sz w:val="20"/>
          <w:szCs w:val="20"/>
          <w:lang w:val="es-ES"/>
        </w:rPr>
      </w:pPr>
      <w:r w:rsidRPr="00C34E7A">
        <w:rPr>
          <w:rFonts w:ascii="Verdana" w:eastAsia="Times New Roman" w:hAnsi="Verdana" w:cs="Arial"/>
          <w:bCs/>
          <w:sz w:val="20"/>
          <w:szCs w:val="20"/>
          <w:lang w:val="es-ES" w:eastAsia="x-none"/>
        </w:rPr>
        <w:t xml:space="preserve">Aplicando este razonamiento a los establecimientos de crédito, a las sociedades de servicios financieros y a las entidades aseguradoras, encontramos que no pueden adquirir los suministros de bienes y servicios </w:t>
      </w:r>
      <w:r w:rsidRPr="00C34E7A">
        <w:rPr>
          <w:rFonts w:ascii="Verdana" w:eastAsia="Times New Roman" w:hAnsi="Verdana" w:cs="Arial"/>
          <w:bCs/>
          <w:sz w:val="20"/>
          <w:szCs w:val="20"/>
          <w:lang w:val="es-ES" w:eastAsia="x-none"/>
        </w:rPr>
        <w:lastRenderedPageBreak/>
        <w:t>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C34E7A">
        <w:rPr>
          <w:rFonts w:ascii="Verdana" w:eastAsia="Calibri" w:hAnsi="Verdana" w:cs="Arial"/>
          <w:sz w:val="20"/>
          <w:szCs w:val="20"/>
          <w:vertAlign w:val="superscript"/>
          <w:lang w:val="es-ES"/>
        </w:rPr>
        <w:footnoteReference w:id="19"/>
      </w:r>
      <w:r w:rsidRPr="00C34E7A">
        <w:rPr>
          <w:rFonts w:ascii="Verdana" w:eastAsia="Times New Roman" w:hAnsi="Verdana" w:cs="Arial"/>
          <w:bCs/>
          <w:sz w:val="20"/>
          <w:szCs w:val="20"/>
          <w:lang w:val="es-ES" w:eastAsia="x-none"/>
        </w:rPr>
        <w:t>.</w:t>
      </w:r>
    </w:p>
    <w:p w14:paraId="40B3DA4E" w14:textId="77777777" w:rsidR="00326556" w:rsidRPr="00C34E7A" w:rsidRDefault="00326556" w:rsidP="00326556">
      <w:pPr>
        <w:spacing w:after="0" w:line="276" w:lineRule="auto"/>
        <w:ind w:left="709" w:right="709"/>
        <w:jc w:val="both"/>
        <w:rPr>
          <w:rFonts w:ascii="Verdana" w:eastAsia="Times New Roman" w:hAnsi="Verdana" w:cs="Arial"/>
          <w:bCs/>
          <w:lang w:val="es-ES" w:eastAsia="es-CO"/>
        </w:rPr>
      </w:pPr>
    </w:p>
    <w:p w14:paraId="74688253" w14:textId="77777777" w:rsidR="00B01C66" w:rsidRPr="00C34E7A" w:rsidRDefault="00326556" w:rsidP="00326556">
      <w:pPr>
        <w:spacing w:after="120" w:line="276" w:lineRule="auto"/>
        <w:ind w:firstLine="709"/>
        <w:jc w:val="both"/>
        <w:rPr>
          <w:rFonts w:ascii="Verdana" w:eastAsia="Calibri" w:hAnsi="Verdana" w:cs="Arial"/>
          <w:lang w:val="es-ES"/>
        </w:rPr>
      </w:pPr>
      <w:r w:rsidRPr="00C34E7A">
        <w:rPr>
          <w:rFonts w:ascii="Verdana" w:eastAsia="Calibri" w:hAnsi="Verdana" w:cs="Arial"/>
          <w:lang w:val="es-ES"/>
        </w:rPr>
        <w:t>De acuerdo con estos pronunciamientos de la Sala de Consulta y Servicio Civil del Consejo de Estado, la prohibición de la contratación directa también aplica frente a las entidades exceptuadas de la aplicación del E</w:t>
      </w:r>
      <w:r w:rsidR="00555273" w:rsidRPr="00C34E7A">
        <w:rPr>
          <w:rFonts w:ascii="Verdana" w:eastAsia="Calibri" w:hAnsi="Verdana" w:cs="Arial"/>
          <w:lang w:val="es-ES"/>
        </w:rPr>
        <w:t xml:space="preserve">statuto </w:t>
      </w:r>
      <w:r w:rsidRPr="00C34E7A">
        <w:rPr>
          <w:rFonts w:ascii="Verdana" w:eastAsia="Calibri" w:hAnsi="Verdana" w:cs="Arial"/>
          <w:lang w:val="es-ES"/>
        </w:rPr>
        <w:t>G</w:t>
      </w:r>
      <w:r w:rsidR="00555273" w:rsidRPr="00C34E7A">
        <w:rPr>
          <w:rFonts w:ascii="Verdana" w:eastAsia="Calibri" w:hAnsi="Verdana" w:cs="Arial"/>
          <w:lang w:val="es-ES"/>
        </w:rPr>
        <w:t xml:space="preserve">eneral de </w:t>
      </w:r>
      <w:r w:rsidRPr="00C34E7A">
        <w:rPr>
          <w:rFonts w:ascii="Verdana" w:eastAsia="Calibri" w:hAnsi="Verdana" w:cs="Arial"/>
          <w:lang w:val="es-ES"/>
        </w:rPr>
        <w:t>C</w:t>
      </w:r>
      <w:r w:rsidR="00555273" w:rsidRPr="00C34E7A">
        <w:rPr>
          <w:rFonts w:ascii="Verdana" w:eastAsia="Calibri" w:hAnsi="Verdana" w:cs="Arial"/>
          <w:lang w:val="es-ES"/>
        </w:rPr>
        <w:t xml:space="preserve">ontratación de la </w:t>
      </w:r>
      <w:r w:rsidRPr="00C34E7A">
        <w:rPr>
          <w:rFonts w:ascii="Verdana" w:eastAsia="Calibri" w:hAnsi="Verdana" w:cs="Arial"/>
          <w:lang w:val="es-ES"/>
        </w:rPr>
        <w:t>A</w:t>
      </w:r>
      <w:r w:rsidR="00555273" w:rsidRPr="00C34E7A">
        <w:rPr>
          <w:rFonts w:ascii="Verdana" w:eastAsia="Calibri" w:hAnsi="Verdana" w:cs="Arial"/>
          <w:lang w:val="es-ES"/>
        </w:rPr>
        <w:t xml:space="preserve">dministración </w:t>
      </w:r>
      <w:r w:rsidRPr="00C34E7A">
        <w:rPr>
          <w:rFonts w:ascii="Verdana" w:eastAsia="Calibri" w:hAnsi="Verdana" w:cs="Arial"/>
          <w:lang w:val="es-ES"/>
        </w:rPr>
        <w:t>P</w:t>
      </w:r>
      <w:r w:rsidR="00555273" w:rsidRPr="00C34E7A">
        <w:rPr>
          <w:rFonts w:ascii="Verdana" w:eastAsia="Calibri" w:hAnsi="Verdana" w:cs="Arial"/>
          <w:lang w:val="es-ES"/>
        </w:rPr>
        <w:t>ública, entre ellas las Empresas de Servicios Públicos, y</w:t>
      </w:r>
      <w:r w:rsidRPr="00C34E7A">
        <w:rPr>
          <w:rFonts w:ascii="Verdana" w:eastAsia="Calibri" w:hAnsi="Verdana" w:cs="Arial"/>
          <w:lang w:val="es-ES"/>
        </w:rPr>
        <w:t xml:space="preserve"> que se rigen en materia contractual por el derecho privado. </w:t>
      </w:r>
    </w:p>
    <w:p w14:paraId="4ECACC49" w14:textId="36D3BF8E" w:rsidR="00326556" w:rsidRPr="00C34E7A" w:rsidRDefault="00326556" w:rsidP="00326556">
      <w:pPr>
        <w:spacing w:after="120" w:line="276" w:lineRule="auto"/>
        <w:ind w:firstLine="709"/>
        <w:jc w:val="both"/>
        <w:rPr>
          <w:rFonts w:ascii="Verdana" w:eastAsia="Times New Roman" w:hAnsi="Verdana" w:cs="Arial"/>
          <w:lang w:val="es-ES" w:eastAsia="es-CO"/>
        </w:rPr>
      </w:pPr>
      <w:r w:rsidRPr="00C34E7A">
        <w:rPr>
          <w:rFonts w:ascii="Verdana" w:eastAsia="Calibri" w:hAnsi="Verdana" w:cs="Arial"/>
          <w:lang w:val="es-ES"/>
        </w:rPr>
        <w:t xml:space="preserve">Sin embargo, señaló que algunas de estas entidades, como sucede con las </w:t>
      </w:r>
      <w:r w:rsidR="00555273" w:rsidRPr="00C34E7A">
        <w:rPr>
          <w:rFonts w:ascii="Verdana" w:eastAsia="Calibri" w:hAnsi="Verdana" w:cs="Arial"/>
          <w:lang w:val="es-ES"/>
        </w:rPr>
        <w:t>E</w:t>
      </w:r>
      <w:r w:rsidRPr="00C34E7A">
        <w:rPr>
          <w:rFonts w:ascii="Verdana" w:eastAsia="Calibri" w:hAnsi="Verdana" w:cs="Arial"/>
          <w:lang w:val="es-ES"/>
        </w:rPr>
        <w:t xml:space="preserve">mpresas de </w:t>
      </w:r>
      <w:r w:rsidR="00555273" w:rsidRPr="00C34E7A">
        <w:rPr>
          <w:rFonts w:ascii="Verdana" w:eastAsia="Calibri" w:hAnsi="Verdana" w:cs="Arial"/>
          <w:lang w:val="es-ES"/>
        </w:rPr>
        <w:t>S</w:t>
      </w:r>
      <w:r w:rsidRPr="00C34E7A">
        <w:rPr>
          <w:rFonts w:ascii="Verdana" w:eastAsia="Calibri" w:hAnsi="Verdana" w:cs="Arial"/>
          <w:lang w:val="es-ES"/>
        </w:rPr>
        <w:t xml:space="preserve">ervicios </w:t>
      </w:r>
      <w:r w:rsidR="00555273" w:rsidRPr="00C34E7A">
        <w:rPr>
          <w:rFonts w:ascii="Verdana" w:eastAsia="Calibri" w:hAnsi="Verdana" w:cs="Arial"/>
          <w:lang w:val="es-ES"/>
        </w:rPr>
        <w:t>P</w:t>
      </w:r>
      <w:r w:rsidRPr="00C34E7A">
        <w:rPr>
          <w:rFonts w:ascii="Verdana" w:eastAsia="Calibri" w:hAnsi="Verdana" w:cs="Arial"/>
          <w:lang w:val="es-ES"/>
        </w:rPr>
        <w:t xml:space="preserve">úblicos </w:t>
      </w:r>
      <w:r w:rsidR="00555273" w:rsidRPr="00C34E7A">
        <w:rPr>
          <w:rFonts w:ascii="Verdana" w:eastAsia="Calibri" w:hAnsi="Verdana" w:cs="Arial"/>
          <w:lang w:val="es-ES"/>
        </w:rPr>
        <w:t>D</w:t>
      </w:r>
      <w:r w:rsidRPr="00C34E7A">
        <w:rPr>
          <w:rFonts w:ascii="Verdana" w:eastAsia="Calibri" w:hAnsi="Verdana" w:cs="Arial"/>
          <w:lang w:val="es-ES"/>
        </w:rPr>
        <w:t>omiciliarios</w:t>
      </w:r>
      <w:r w:rsidR="00555273" w:rsidRPr="00C34E7A">
        <w:rPr>
          <w:rFonts w:ascii="Verdana" w:eastAsia="Calibri" w:hAnsi="Verdana" w:cs="Arial"/>
          <w:lang w:val="es-ES"/>
        </w:rPr>
        <w:t xml:space="preserve"> – a los que se refiere en su consulta-</w:t>
      </w:r>
      <w:r w:rsidRPr="00C34E7A">
        <w:rPr>
          <w:rFonts w:ascii="Verdana" w:eastAsia="Calibri" w:hAnsi="Verdana" w:cs="Arial"/>
          <w:lang w:val="es-ES"/>
        </w:rPr>
        <w:t xml:space="preserve">, los </w:t>
      </w:r>
      <w:r w:rsidRPr="00C34E7A">
        <w:rPr>
          <w:rFonts w:ascii="Verdana" w:eastAsia="Times New Roman" w:hAnsi="Verdana" w:cs="Arial"/>
          <w:bCs/>
          <w:lang w:val="es-ES" w:eastAsia="x-none"/>
        </w:rPr>
        <w:t>establecimientos de crédito, las sociedades de servicios financieros y las entidades aseguradoras</w:t>
      </w:r>
      <w:r w:rsidRPr="00C34E7A">
        <w:rPr>
          <w:rFonts w:ascii="Verdana" w:eastAsia="Calibri" w:hAnsi="Verdana" w:cs="Arial"/>
          <w:lang w:val="es-ES"/>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C34E7A">
        <w:rPr>
          <w:rFonts w:ascii="Verdana" w:eastAsia="Calibri" w:hAnsi="Verdana" w:cs="Arial"/>
          <w:vertAlign w:val="superscript"/>
          <w:lang w:val="es-ES"/>
        </w:rPr>
        <w:footnoteReference w:id="20"/>
      </w:r>
      <w:r w:rsidRPr="00C34E7A">
        <w:rPr>
          <w:rFonts w:ascii="Verdana" w:eastAsia="Calibri" w:hAnsi="Verdana" w:cs="Arial"/>
          <w:lang w:val="es-ES"/>
        </w:rPr>
        <w:t>.</w:t>
      </w:r>
      <w:r w:rsidRPr="00C34E7A">
        <w:rPr>
          <w:rFonts w:ascii="Verdana" w:eastAsia="Times New Roman" w:hAnsi="Verdana" w:cs="Arial"/>
          <w:lang w:val="es-ES" w:eastAsia="es-CO"/>
        </w:rPr>
        <w:t xml:space="preserve"> </w:t>
      </w:r>
    </w:p>
    <w:p w14:paraId="550BE037" w14:textId="77777777" w:rsidR="00326556" w:rsidRPr="00C34E7A" w:rsidRDefault="00326556" w:rsidP="00326556">
      <w:pPr>
        <w:spacing w:after="120" w:line="276" w:lineRule="auto"/>
        <w:ind w:firstLine="708"/>
        <w:jc w:val="both"/>
        <w:rPr>
          <w:rFonts w:ascii="Verdana" w:hAnsi="Verdana" w:cs="Arial"/>
          <w:bCs/>
          <w:sz w:val="20"/>
          <w:szCs w:val="20"/>
          <w:lang w:val="es-ES" w:eastAsia="es-CO"/>
        </w:rPr>
      </w:pPr>
      <w:r w:rsidRPr="00C34E7A">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C34E7A">
        <w:rPr>
          <w:rFonts w:ascii="Verdana" w:hAnsi="Verdana"/>
          <w:lang w:val="es-ES"/>
        </w:rPr>
        <w:t xml:space="preserve"> </w:t>
      </w:r>
      <w:r w:rsidRPr="00C34E7A">
        <w:rPr>
          <w:rFonts w:ascii="Verdana" w:hAnsi="Verdana" w:cs="Arial"/>
          <w:bCs/>
          <w:lang w:val="es-ES" w:eastAsia="x-none"/>
        </w:rPr>
        <w:t>En efecto, tal como lo ha sostenido el Consejo de Estado, el vocablo “todos” utilizado por el legislador comprende</w:t>
      </w:r>
      <w:r w:rsidRPr="00C34E7A">
        <w:rPr>
          <w:rFonts w:ascii="Verdana" w:hAnsi="Verdana"/>
          <w:lang w:val="es-ES"/>
        </w:rPr>
        <w:t xml:space="preserve"> </w:t>
      </w:r>
      <w:r w:rsidRPr="00C34E7A">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C34E7A">
        <w:rPr>
          <w:rFonts w:ascii="Verdana" w:hAnsi="Verdana" w:cs="Arial"/>
          <w:bCs/>
          <w:lang w:val="es-ES" w:eastAsia="x-none"/>
        </w:rPr>
        <w:lastRenderedPageBreak/>
        <w:t>régimen especial de contratación y están exceptuadas del ámbito de aplicación del Estatuto General de Contratación de la Administración Pública</w:t>
      </w:r>
      <w:r w:rsidRPr="00C34E7A">
        <w:rPr>
          <w:rStyle w:val="Refdenotaalpie"/>
          <w:rFonts w:ascii="Verdana" w:hAnsi="Verdana" w:cs="Arial"/>
          <w:bCs/>
          <w:sz w:val="20"/>
          <w:szCs w:val="20"/>
          <w:lang w:val="es-ES" w:eastAsia="x-none"/>
        </w:rPr>
        <w:footnoteReference w:id="21"/>
      </w:r>
      <w:r w:rsidRPr="00C34E7A">
        <w:rPr>
          <w:rFonts w:ascii="Verdana" w:hAnsi="Verdana" w:cs="Arial"/>
          <w:bCs/>
          <w:sz w:val="20"/>
          <w:szCs w:val="20"/>
          <w:lang w:val="es-ES" w:eastAsia="x-none"/>
        </w:rPr>
        <w:t>.</w:t>
      </w:r>
    </w:p>
    <w:p w14:paraId="43A573B3" w14:textId="77777777" w:rsidR="00326556" w:rsidRPr="00C34E7A" w:rsidRDefault="00326556" w:rsidP="007E0F7A">
      <w:pPr>
        <w:spacing w:after="0" w:line="276" w:lineRule="auto"/>
        <w:ind w:firstLine="709"/>
        <w:jc w:val="both"/>
        <w:rPr>
          <w:rFonts w:ascii="Verdana" w:eastAsia="Arial" w:hAnsi="Verdana" w:cs="Arial"/>
          <w:bCs/>
          <w:color w:val="000000" w:themeColor="text1"/>
          <w:lang w:val="es-ES"/>
        </w:rPr>
      </w:pPr>
      <w:r w:rsidRPr="00C34E7A">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mediante la contratación directa, pueda romper el equilibrio entre los partidos y los candidatos en las elecciones presidenciales. En ese sentido, esta prohibición no contempla un supuesto de exoneración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320848A" w14:textId="77777777" w:rsidR="00555273" w:rsidRPr="00C34E7A" w:rsidRDefault="00555273" w:rsidP="007E0F7A">
      <w:pPr>
        <w:spacing w:after="0" w:line="276" w:lineRule="auto"/>
        <w:jc w:val="both"/>
        <w:rPr>
          <w:rFonts w:ascii="Verdana" w:eastAsia="Arial" w:hAnsi="Verdana" w:cs="Arial"/>
          <w:bCs/>
          <w:color w:val="000000" w:themeColor="text1"/>
          <w:lang w:val="es-ES"/>
        </w:rPr>
      </w:pPr>
    </w:p>
    <w:p w14:paraId="3D546C13" w14:textId="685C9EE3" w:rsidR="00326556" w:rsidRPr="00C34E7A" w:rsidRDefault="00555273" w:rsidP="007E0F7A">
      <w:pPr>
        <w:spacing w:after="120" w:line="276" w:lineRule="auto"/>
        <w:jc w:val="both"/>
        <w:rPr>
          <w:rFonts w:ascii="Verdana" w:hAnsi="Verdana" w:cs="Arial"/>
          <w:bCs/>
          <w:color w:val="000000" w:themeColor="text1"/>
          <w:lang w:val="es-ES"/>
        </w:rPr>
      </w:pPr>
      <w:r w:rsidRPr="00C34E7A">
        <w:rPr>
          <w:rFonts w:ascii="Verdana" w:eastAsia="Arial" w:hAnsi="Verdana" w:cs="Arial"/>
          <w:bCs/>
          <w:color w:val="000000" w:themeColor="text1"/>
          <w:lang w:val="es-ES"/>
        </w:rPr>
        <w:t xml:space="preserve">v) </w:t>
      </w:r>
      <w:r w:rsidR="00326556" w:rsidRPr="00C34E7A">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00326556" w:rsidRPr="00C34E7A">
        <w:rPr>
          <w:rFonts w:ascii="Verdana" w:hAnsi="Verdana" w:cs="Arial"/>
          <w:bCs/>
          <w:color w:val="000000" w:themeColor="text1"/>
          <w:lang w:val="es-ES"/>
        </w:rPr>
        <w:t xml:space="preserve">el segundo inciso de la misma disposición consagró las </w:t>
      </w:r>
      <w:r w:rsidR="00326556" w:rsidRPr="00C34E7A">
        <w:rPr>
          <w:rFonts w:ascii="Verdana" w:hAnsi="Verdana" w:cs="Arial"/>
          <w:bCs/>
          <w:i/>
          <w:iCs/>
          <w:color w:val="000000" w:themeColor="text1"/>
          <w:lang w:val="es-ES"/>
        </w:rPr>
        <w:t>excepciones</w:t>
      </w:r>
      <w:r w:rsidR="00326556" w:rsidRPr="00C34E7A">
        <w:rPr>
          <w:rFonts w:ascii="Verdana" w:hAnsi="Verdana" w:cs="Arial"/>
          <w:bCs/>
          <w:color w:val="000000" w:themeColor="text1"/>
          <w:lang w:val="es-ES"/>
        </w:rPr>
        <w:t xml:space="preserve"> aplicables a la prohibición de contratación directa establecida en el mismo artículo. Como se indicó, las excepciones a la prohibición del artículo 33 de la norma mencionada son las siguientes:</w:t>
      </w:r>
    </w:p>
    <w:p w14:paraId="6AC2EAC5" w14:textId="77777777" w:rsidR="00326556" w:rsidRPr="00C34E7A" w:rsidRDefault="00326556" w:rsidP="00326556">
      <w:pPr>
        <w:tabs>
          <w:tab w:val="left" w:pos="709"/>
        </w:tabs>
        <w:spacing w:after="120" w:line="276" w:lineRule="auto"/>
        <w:jc w:val="both"/>
        <w:rPr>
          <w:rFonts w:ascii="Verdana" w:hAnsi="Verdana" w:cs="Arial"/>
          <w:bCs/>
          <w:color w:val="000000" w:themeColor="text1"/>
          <w:lang w:val="es-ES"/>
        </w:rPr>
      </w:pPr>
      <w:r w:rsidRPr="00C34E7A">
        <w:rPr>
          <w:rFonts w:ascii="Verdana" w:hAnsi="Verdana" w:cs="Arial"/>
          <w:bCs/>
          <w:color w:val="000000" w:themeColor="text1"/>
          <w:lang w:val="es-ES"/>
        </w:rPr>
        <w:tab/>
        <w:t>1) La contratación referente a la defensa y seguridad del Estado;</w:t>
      </w:r>
    </w:p>
    <w:p w14:paraId="52B5678C" w14:textId="77777777" w:rsidR="00326556" w:rsidRPr="00C34E7A" w:rsidRDefault="00326556" w:rsidP="00326556">
      <w:pPr>
        <w:tabs>
          <w:tab w:val="left" w:pos="709"/>
        </w:tabs>
        <w:spacing w:after="120" w:line="276" w:lineRule="auto"/>
        <w:jc w:val="both"/>
        <w:rPr>
          <w:rFonts w:ascii="Verdana" w:hAnsi="Verdana" w:cs="Arial"/>
          <w:bCs/>
          <w:color w:val="000000" w:themeColor="text1"/>
          <w:lang w:val="es-ES"/>
        </w:rPr>
      </w:pPr>
      <w:r w:rsidRPr="00C34E7A">
        <w:rPr>
          <w:rFonts w:ascii="Verdana" w:hAnsi="Verdana" w:cs="Arial"/>
          <w:bCs/>
          <w:color w:val="000000" w:themeColor="text1"/>
          <w:lang w:val="es-ES"/>
        </w:rPr>
        <w:tab/>
        <w:t>2) Los contratos de crédito público;</w:t>
      </w:r>
    </w:p>
    <w:p w14:paraId="145259DA" w14:textId="77777777" w:rsidR="00326556" w:rsidRPr="00C34E7A" w:rsidRDefault="00326556" w:rsidP="00326556">
      <w:pPr>
        <w:tabs>
          <w:tab w:val="left" w:pos="709"/>
        </w:tabs>
        <w:spacing w:after="120" w:line="276" w:lineRule="auto"/>
        <w:jc w:val="both"/>
        <w:rPr>
          <w:rFonts w:ascii="Verdana" w:hAnsi="Verdana" w:cs="Arial"/>
          <w:bCs/>
          <w:color w:val="000000" w:themeColor="text1"/>
          <w:lang w:val="es-ES"/>
        </w:rPr>
      </w:pPr>
      <w:r w:rsidRPr="00C34E7A">
        <w:rPr>
          <w:rFonts w:ascii="Verdana" w:hAnsi="Verdana" w:cs="Arial"/>
          <w:bCs/>
          <w:color w:val="000000" w:themeColor="text1"/>
          <w:lang w:val="es-ES"/>
        </w:rPr>
        <w:tab/>
        <w:t xml:space="preserve">3) Los contratos requeridos para cubrir las </w:t>
      </w:r>
      <w:r w:rsidRPr="00C34E7A">
        <w:rPr>
          <w:rFonts w:ascii="Verdana" w:hAnsi="Verdana" w:cs="Arial"/>
          <w:bCs/>
          <w:i/>
          <w:iCs/>
          <w:color w:val="000000" w:themeColor="text1"/>
          <w:lang w:val="es-ES"/>
        </w:rPr>
        <w:t>emergencias</w:t>
      </w:r>
      <w:r w:rsidRPr="00C34E7A">
        <w:rPr>
          <w:rFonts w:ascii="Verdana" w:hAnsi="Verdana" w:cs="Arial"/>
          <w:bCs/>
          <w:color w:val="000000" w:themeColor="text1"/>
          <w:lang w:val="es-ES"/>
        </w:rPr>
        <w:t xml:space="preserve"> educativas, sanitarias y desastres; </w:t>
      </w:r>
    </w:p>
    <w:p w14:paraId="364DBA91" w14:textId="77777777" w:rsidR="00326556" w:rsidRPr="00C34E7A" w:rsidRDefault="00326556" w:rsidP="00326556">
      <w:pPr>
        <w:tabs>
          <w:tab w:val="left" w:pos="709"/>
        </w:tabs>
        <w:spacing w:after="120" w:line="276" w:lineRule="auto"/>
        <w:jc w:val="both"/>
        <w:rPr>
          <w:rFonts w:ascii="Verdana" w:hAnsi="Verdana" w:cs="Arial"/>
          <w:bCs/>
          <w:color w:val="000000" w:themeColor="text1"/>
          <w:lang w:val="es-ES"/>
        </w:rPr>
      </w:pPr>
      <w:r w:rsidRPr="00C34E7A">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5EFB1342" w14:textId="77777777" w:rsidR="00326556" w:rsidRPr="00C34E7A" w:rsidRDefault="00326556" w:rsidP="00326556">
      <w:pPr>
        <w:tabs>
          <w:tab w:val="left" w:pos="709"/>
        </w:tabs>
        <w:spacing w:after="120" w:line="276" w:lineRule="auto"/>
        <w:jc w:val="both"/>
        <w:rPr>
          <w:rFonts w:ascii="Verdana" w:hAnsi="Verdana" w:cs="Arial"/>
          <w:bCs/>
          <w:color w:val="000000" w:themeColor="text1"/>
          <w:lang w:val="es-ES"/>
        </w:rPr>
      </w:pPr>
      <w:r w:rsidRPr="00C34E7A">
        <w:rPr>
          <w:rFonts w:ascii="Verdana" w:hAnsi="Verdana" w:cs="Arial"/>
          <w:bCs/>
          <w:color w:val="000000" w:themeColor="text1"/>
          <w:lang w:val="es-ES"/>
        </w:rPr>
        <w:lastRenderedPageBreak/>
        <w:tab/>
        <w:t xml:space="preserve">5) La contratación que deban realizar las entidades sanitarias y hospitalarias. </w:t>
      </w:r>
    </w:p>
    <w:p w14:paraId="611EA8DC" w14:textId="77777777" w:rsidR="00326556" w:rsidRPr="00C34E7A" w:rsidRDefault="00326556" w:rsidP="00326556">
      <w:pPr>
        <w:spacing w:after="120" w:line="276" w:lineRule="auto"/>
        <w:ind w:firstLine="708"/>
        <w:jc w:val="both"/>
        <w:rPr>
          <w:rFonts w:ascii="Verdana" w:hAnsi="Verdana" w:cs="Arial"/>
          <w:lang w:val="es-ES" w:eastAsia="x-none"/>
        </w:rPr>
      </w:pPr>
      <w:r w:rsidRPr="00C34E7A">
        <w:rPr>
          <w:rFonts w:ascii="Verdana" w:hAnsi="Verdana" w:cs="Arial"/>
          <w:bCs/>
          <w:color w:val="000000" w:themeColor="text1"/>
          <w:lang w:val="es-ES"/>
        </w:rPr>
        <w:t xml:space="preserve">De esta forma, </w:t>
      </w:r>
      <w:r w:rsidRPr="00C34E7A">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C34E7A">
        <w:rPr>
          <w:rFonts w:ascii="Verdana" w:hAnsi="Verdana" w:cs="Arial"/>
          <w:color w:val="000000" w:themeColor="text1"/>
          <w:vertAlign w:val="superscript"/>
          <w:lang w:val="es-ES" w:eastAsia="es-CO"/>
        </w:rPr>
        <w:t xml:space="preserve"> </w:t>
      </w:r>
      <w:r w:rsidRPr="00C34E7A">
        <w:rPr>
          <w:rFonts w:ascii="Verdana" w:hAnsi="Verdana" w:cs="Arial"/>
          <w:color w:val="000000" w:themeColor="text1"/>
          <w:vertAlign w:val="superscript"/>
          <w:lang w:val="es-ES" w:eastAsia="es-CO"/>
        </w:rPr>
        <w:footnoteReference w:id="22"/>
      </w:r>
      <w:r w:rsidRPr="00C34E7A">
        <w:rPr>
          <w:rFonts w:ascii="Verdana" w:hAnsi="Verdana" w:cs="Arial"/>
          <w:lang w:val="es-ES" w:eastAsia="x-none"/>
        </w:rPr>
        <w:t xml:space="preserve">. De ahí que la Corte haya hecho particular énfasis en que las excepciones a la restricción protegen diversos tipos de </w:t>
      </w:r>
      <w:r w:rsidRPr="00C34E7A">
        <w:rPr>
          <w:rFonts w:ascii="Verdana" w:hAnsi="Verdana" w:cs="Arial"/>
          <w:i/>
          <w:iCs/>
          <w:lang w:val="es-ES" w:eastAsia="x-none"/>
        </w:rPr>
        <w:t>urgencias</w:t>
      </w:r>
      <w:r w:rsidRPr="00C34E7A">
        <w:rPr>
          <w:rFonts w:ascii="Verdana" w:hAnsi="Verdana" w:cs="Arial"/>
          <w:lang w:val="es-ES" w:eastAsia="x-none"/>
        </w:rPr>
        <w:t xml:space="preserve">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040F09D" w14:textId="77777777" w:rsidR="00326556" w:rsidRPr="00C34E7A" w:rsidRDefault="00326556" w:rsidP="00326556">
      <w:pPr>
        <w:tabs>
          <w:tab w:val="left" w:pos="426"/>
        </w:tabs>
        <w:spacing w:before="120" w:after="0" w:line="276" w:lineRule="auto"/>
        <w:ind w:firstLine="709"/>
        <w:jc w:val="both"/>
        <w:rPr>
          <w:rFonts w:ascii="Verdana" w:hAnsi="Verdana" w:cs="Arial"/>
          <w:bCs/>
          <w:color w:val="000000" w:themeColor="text1"/>
          <w:lang w:val="es-ES"/>
        </w:rPr>
      </w:pPr>
      <w:r w:rsidRPr="00C34E7A">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65B9812" w14:textId="77777777" w:rsidR="00326556" w:rsidRPr="00C34E7A" w:rsidRDefault="00326556" w:rsidP="00326556">
      <w:pPr>
        <w:tabs>
          <w:tab w:val="left" w:pos="426"/>
        </w:tabs>
        <w:spacing w:after="0" w:line="276" w:lineRule="auto"/>
        <w:ind w:firstLine="709"/>
        <w:jc w:val="both"/>
        <w:rPr>
          <w:rFonts w:ascii="Verdana" w:hAnsi="Verdana" w:cs="Arial"/>
          <w:bCs/>
          <w:color w:val="000000" w:themeColor="text1"/>
          <w:lang w:val="es-ES"/>
        </w:rPr>
      </w:pPr>
    </w:p>
    <w:p w14:paraId="02E5A6B6" w14:textId="77777777" w:rsidR="00326556" w:rsidRPr="00C34E7A" w:rsidRDefault="00326556" w:rsidP="00326556">
      <w:pPr>
        <w:shd w:val="clear" w:color="auto" w:fill="FFFFFF"/>
        <w:spacing w:after="0"/>
        <w:ind w:left="709" w:right="709"/>
        <w:jc w:val="both"/>
        <w:rPr>
          <w:rFonts w:ascii="Verdana" w:hAnsi="Verdana" w:cs="Arial"/>
          <w:color w:val="000000" w:themeColor="text1"/>
          <w:sz w:val="20"/>
          <w:szCs w:val="20"/>
          <w:lang w:val="es-ES" w:eastAsia="es-CO"/>
        </w:rPr>
      </w:pPr>
      <w:r w:rsidRPr="00C34E7A">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C34E7A">
        <w:rPr>
          <w:rFonts w:ascii="Verdana" w:hAnsi="Verdana" w:cs="Arial"/>
          <w:color w:val="000000" w:themeColor="text1"/>
          <w:sz w:val="20"/>
          <w:szCs w:val="20"/>
          <w:vertAlign w:val="superscript"/>
          <w:lang w:val="es-ES" w:eastAsia="es-CO"/>
        </w:rPr>
        <w:footnoteReference w:id="23"/>
      </w:r>
      <w:r w:rsidRPr="00C34E7A">
        <w:rPr>
          <w:rFonts w:ascii="Verdana" w:hAnsi="Verdana" w:cs="Arial"/>
          <w:color w:val="000000" w:themeColor="text1"/>
          <w:sz w:val="20"/>
          <w:szCs w:val="20"/>
          <w:lang w:val="es-ES" w:eastAsia="es-CO"/>
        </w:rPr>
        <w:t xml:space="preserve">”. </w:t>
      </w:r>
    </w:p>
    <w:p w14:paraId="3F394220" w14:textId="77777777" w:rsidR="00326556" w:rsidRPr="00C34E7A" w:rsidRDefault="00326556" w:rsidP="00326556">
      <w:pPr>
        <w:shd w:val="clear" w:color="auto" w:fill="FFFFFF"/>
        <w:spacing w:after="0" w:line="276" w:lineRule="auto"/>
        <w:ind w:left="709" w:right="709"/>
        <w:jc w:val="both"/>
        <w:rPr>
          <w:rFonts w:ascii="Verdana" w:hAnsi="Verdana" w:cs="Arial"/>
          <w:color w:val="000000" w:themeColor="text1"/>
          <w:lang w:val="es-ES" w:eastAsia="es-CO"/>
        </w:rPr>
      </w:pPr>
    </w:p>
    <w:p w14:paraId="12AA8D56" w14:textId="77777777" w:rsidR="00326556" w:rsidRPr="00C34E7A" w:rsidRDefault="00326556" w:rsidP="00326556">
      <w:pPr>
        <w:tabs>
          <w:tab w:val="left" w:pos="426"/>
        </w:tabs>
        <w:spacing w:after="120" w:line="276" w:lineRule="auto"/>
        <w:ind w:firstLine="709"/>
        <w:jc w:val="both"/>
        <w:rPr>
          <w:rFonts w:ascii="Verdana" w:hAnsi="Verdana" w:cs="Arial"/>
          <w:color w:val="000000" w:themeColor="text1"/>
          <w:shd w:val="clear" w:color="auto" w:fill="FFFFFF"/>
          <w:lang w:val="es-ES"/>
        </w:rPr>
      </w:pPr>
      <w:r w:rsidRPr="00C34E7A">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C34E7A">
        <w:rPr>
          <w:rFonts w:ascii="Verdana" w:hAnsi="Verdana" w:cs="Arial"/>
          <w:color w:val="000000" w:themeColor="text1"/>
          <w:lang w:val="es-ES"/>
        </w:rPr>
        <w:t>, mencionó las excepciones a la prohibición del artículo 33 de la Ley de Garantías Electorales, resaltando su carácter taxativo, y señalando la independencia de los supuestos, así: “[…]</w:t>
      </w:r>
      <w:r w:rsidRPr="00C34E7A">
        <w:rPr>
          <w:rFonts w:ascii="Verdana" w:hAnsi="Verdana" w:cs="Arial"/>
          <w:i/>
          <w:color w:val="000000" w:themeColor="text1"/>
          <w:lang w:val="es-ES"/>
        </w:rPr>
        <w:t xml:space="preserve"> </w:t>
      </w:r>
      <w:r w:rsidRPr="00C34E7A">
        <w:rPr>
          <w:rFonts w:ascii="Verdana" w:hAnsi="Verdana" w:cs="Arial"/>
          <w:color w:val="000000" w:themeColor="text1"/>
          <w:shd w:val="clear" w:color="auto" w:fill="FFFFFF"/>
          <w:lang w:val="es-ES"/>
        </w:rPr>
        <w:t xml:space="preserve">Ahora bien, </w:t>
      </w:r>
      <w:r w:rsidRPr="00C34E7A">
        <w:rPr>
          <w:rFonts w:ascii="Verdana" w:hAnsi="Verdana" w:cs="Arial"/>
          <w:color w:val="000000" w:themeColor="text1"/>
          <w:u w:val="single"/>
          <w:shd w:val="clear" w:color="auto" w:fill="FFFFFF"/>
          <w:lang w:val="es-ES"/>
        </w:rPr>
        <w:t>las únicas</w:t>
      </w:r>
      <w:r w:rsidRPr="00C34E7A">
        <w:rPr>
          <w:rFonts w:ascii="Verdana" w:hAnsi="Verdana" w:cs="Arial"/>
          <w:color w:val="000000" w:themeColor="text1"/>
          <w:shd w:val="clear" w:color="auto" w:fill="FFFFFF"/>
          <w:lang w:val="es-ES"/>
        </w:rPr>
        <w:t xml:space="preserve"> excepciones a las disposiciones previstas en la Ley de Garantías se </w:t>
      </w:r>
      <w:r w:rsidRPr="00C34E7A">
        <w:rPr>
          <w:rFonts w:ascii="Verdana" w:hAnsi="Verdana" w:cs="Arial"/>
          <w:color w:val="000000" w:themeColor="text1"/>
          <w:shd w:val="clear" w:color="auto" w:fill="FFFFFF"/>
          <w:lang w:val="es-ES"/>
        </w:rPr>
        <w:lastRenderedPageBreak/>
        <w:t>encuentran numeradas taxativamente en el último inciso del artículo 33 de la ley 996 de 2005 […]”</w:t>
      </w:r>
      <w:r w:rsidRPr="00C34E7A">
        <w:rPr>
          <w:rFonts w:ascii="Verdana" w:hAnsi="Verdana" w:cs="Arial"/>
          <w:color w:val="000000" w:themeColor="text1"/>
          <w:shd w:val="clear" w:color="auto" w:fill="FFFFFF"/>
          <w:vertAlign w:val="superscript"/>
          <w:lang w:val="es-ES"/>
        </w:rPr>
        <w:footnoteReference w:id="24"/>
      </w:r>
      <w:r w:rsidRPr="00C34E7A">
        <w:rPr>
          <w:rFonts w:ascii="Verdana" w:hAnsi="Verdana" w:cs="Arial"/>
          <w:color w:val="000000" w:themeColor="text1"/>
          <w:shd w:val="clear" w:color="auto" w:fill="FFFFFF"/>
          <w:lang w:val="es-ES"/>
        </w:rPr>
        <w:t xml:space="preserve"> [Énfasis propio].</w:t>
      </w:r>
    </w:p>
    <w:p w14:paraId="33FCE034" w14:textId="77777777" w:rsidR="00326556" w:rsidRPr="00C34E7A" w:rsidRDefault="00326556" w:rsidP="00326556">
      <w:pPr>
        <w:tabs>
          <w:tab w:val="left" w:pos="426"/>
        </w:tabs>
        <w:spacing w:after="0" w:line="276" w:lineRule="auto"/>
        <w:ind w:firstLine="709"/>
        <w:jc w:val="both"/>
        <w:rPr>
          <w:rFonts w:ascii="Verdana" w:hAnsi="Verdana" w:cs="Arial"/>
          <w:bCs/>
          <w:color w:val="000000" w:themeColor="text1"/>
          <w:lang w:val="es-ES"/>
        </w:rPr>
      </w:pPr>
      <w:r w:rsidRPr="00C34E7A">
        <w:rPr>
          <w:rFonts w:ascii="Verdana" w:hAnsi="Verdana" w:cs="Arial"/>
          <w:bCs/>
          <w:color w:val="000000" w:themeColor="text1"/>
          <w:lang w:val="es-ES"/>
        </w:rPr>
        <w:t xml:space="preserve">Lo anterior implica que las excepciones al artículo 33 en comento deben interpretarse y aplicarse de manera </w:t>
      </w:r>
      <w:r w:rsidRPr="00C34E7A">
        <w:rPr>
          <w:rFonts w:ascii="Verdana" w:hAnsi="Verdana" w:cs="Arial"/>
          <w:bCs/>
          <w:i/>
          <w:iCs/>
          <w:color w:val="000000" w:themeColor="text1"/>
          <w:lang w:val="es-ES"/>
        </w:rPr>
        <w:t>estricta</w:t>
      </w:r>
      <w:r w:rsidRPr="00C34E7A">
        <w:rPr>
          <w:rFonts w:ascii="Verdana" w:hAnsi="Verdana" w:cs="Arial"/>
          <w:bCs/>
          <w:color w:val="000000" w:themeColor="text1"/>
          <w:lang w:val="es-ES"/>
        </w:rPr>
        <w:t>. En otras palabras, no es factible hacer interpretaciones extensivas</w:t>
      </w:r>
      <w:r w:rsidRPr="00C34E7A">
        <w:rPr>
          <w:rFonts w:ascii="Verdana" w:hAnsi="Verdana" w:cs="Arial"/>
          <w:bCs/>
          <w:i/>
          <w:iCs/>
          <w:color w:val="000000" w:themeColor="text1"/>
          <w:lang w:val="es-ES"/>
        </w:rPr>
        <w:t xml:space="preserve"> </w:t>
      </w:r>
      <w:r w:rsidRPr="00C34E7A">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B5E6E4E" w14:textId="77777777" w:rsidR="00C47036" w:rsidRPr="00C34E7A" w:rsidRDefault="00C47036" w:rsidP="007E0F7A">
      <w:pPr>
        <w:spacing w:after="0" w:line="276" w:lineRule="auto"/>
        <w:jc w:val="both"/>
        <w:rPr>
          <w:rFonts w:ascii="Verdana" w:eastAsia="Times New Roman" w:hAnsi="Verdana" w:cs="Arial"/>
          <w:lang w:val="es-ES" w:eastAsia="es-ES"/>
          <w14:ligatures w14:val="standardContextual"/>
        </w:rPr>
      </w:pPr>
    </w:p>
    <w:p w14:paraId="6ACB8963" w14:textId="405F2129" w:rsidR="00397A36" w:rsidRPr="00C34E7A" w:rsidRDefault="00B01C66" w:rsidP="00397A36">
      <w:pPr>
        <w:spacing w:after="120" w:line="276" w:lineRule="auto"/>
        <w:jc w:val="both"/>
        <w:rPr>
          <w:rFonts w:ascii="Verdana" w:eastAsia="Times New Roman" w:hAnsi="Verdana" w:cs="Arial"/>
          <w:lang w:val="es-ES" w:eastAsia="es-ES"/>
          <w14:ligatures w14:val="standardContextual"/>
        </w:rPr>
      </w:pPr>
      <w:r w:rsidRPr="00C34E7A">
        <w:rPr>
          <w:rFonts w:ascii="Verdana" w:eastAsia="Times New Roman" w:hAnsi="Verdana" w:cs="Arial"/>
          <w:lang w:val="es-ES" w:eastAsia="es-ES"/>
          <w14:ligatures w14:val="standardContextual"/>
        </w:rPr>
        <w:t>v</w:t>
      </w:r>
      <w:r w:rsidR="00397A36" w:rsidRPr="00C34E7A">
        <w:rPr>
          <w:rFonts w:ascii="Verdana" w:eastAsia="Times New Roman" w:hAnsi="Verdana" w:cs="Arial"/>
          <w:lang w:val="es-ES" w:eastAsia="es-ES"/>
          <w14:ligatures w14:val="standardContextual"/>
        </w:rPr>
        <w:t>i</w:t>
      </w:r>
      <w:r w:rsidRPr="00C34E7A">
        <w:rPr>
          <w:rFonts w:ascii="Verdana" w:eastAsia="Times New Roman" w:hAnsi="Verdana" w:cs="Arial"/>
          <w:lang w:val="es-ES" w:eastAsia="es-ES"/>
          <w14:ligatures w14:val="standardContextual"/>
        </w:rPr>
        <w:t>)</w:t>
      </w:r>
      <w:r w:rsidR="00397A36" w:rsidRPr="00C34E7A">
        <w:rPr>
          <w:rFonts w:ascii="Verdana" w:eastAsia="Times New Roman" w:hAnsi="Verdana" w:cs="Arial"/>
          <w:lang w:val="es-ES" w:eastAsia="es-ES"/>
          <w14:ligatures w14:val="standardContextual"/>
        </w:rPr>
        <w:t xml:space="preserve"> Uno de los postulados más importantes de un Estado social y democrático de derecho es el principio de </w:t>
      </w:r>
      <w:r w:rsidR="00397A36" w:rsidRPr="00C34E7A">
        <w:rPr>
          <w:rFonts w:ascii="Verdana" w:eastAsia="Times New Roman" w:hAnsi="Verdana" w:cs="Arial"/>
          <w:i/>
          <w:iCs/>
          <w:lang w:val="es-ES" w:eastAsia="es-ES"/>
          <w14:ligatures w14:val="standardContextual"/>
        </w:rPr>
        <w:t>publicidad</w:t>
      </w:r>
      <w:r w:rsidR="00397A36" w:rsidRPr="00C34E7A">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00397A36" w:rsidRPr="00C34E7A">
        <w:rPr>
          <w:rFonts w:ascii="Verdana" w:eastAsia="Times New Roman" w:hAnsi="Verdana" w:cs="Arial"/>
          <w:vertAlign w:val="superscript"/>
          <w:lang w:val="es-ES" w:eastAsia="es-ES"/>
          <w14:ligatures w14:val="standardContextual"/>
        </w:rPr>
        <w:footnoteReference w:id="25"/>
      </w:r>
      <w:r w:rsidR="00397A36" w:rsidRPr="00C34E7A">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3DD556AF" w14:textId="77777777" w:rsidR="008B048D" w:rsidRPr="00C34E7A" w:rsidRDefault="008B048D" w:rsidP="008B048D">
      <w:pPr>
        <w:spacing w:before="120" w:after="120" w:line="276" w:lineRule="auto"/>
        <w:ind w:firstLine="708"/>
        <w:jc w:val="both"/>
        <w:rPr>
          <w:rFonts w:ascii="Verdana" w:eastAsia="Times New Roman" w:hAnsi="Verdana" w:cs="Arial"/>
          <w:lang w:val="es-ES" w:eastAsia="es-ES"/>
          <w14:ligatures w14:val="standardContextual"/>
        </w:rPr>
      </w:pPr>
      <w:r w:rsidRPr="00C34E7A">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032885AD" w14:textId="77777777" w:rsidR="005232E4" w:rsidRPr="00C34E7A" w:rsidRDefault="005232E4" w:rsidP="005232E4">
      <w:pPr>
        <w:spacing w:before="120" w:after="120" w:line="276" w:lineRule="auto"/>
        <w:ind w:firstLine="709"/>
        <w:jc w:val="both"/>
        <w:rPr>
          <w:rFonts w:ascii="Verdana" w:eastAsia="Times New Roman" w:hAnsi="Verdana" w:cs="Arial"/>
          <w:lang w:val="es-ES_tradnl" w:eastAsia="es-ES_tradnl"/>
          <w14:ligatures w14:val="standardContextual"/>
        </w:rPr>
      </w:pPr>
      <w:r w:rsidRPr="00C34E7A">
        <w:rPr>
          <w:rFonts w:ascii="Verdana" w:eastAsia="Times New Roman" w:hAnsi="Verdana" w:cs="Arial"/>
          <w:lang w:val="es-ES_tradnl" w:eastAsia="es-ES_tradnl"/>
          <w14:ligatures w14:val="standardContextual"/>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w:t>
      </w:r>
      <w:r w:rsidRPr="00C34E7A">
        <w:rPr>
          <w:rFonts w:ascii="Verdana" w:eastAsia="Times New Roman" w:hAnsi="Verdana" w:cs="Arial"/>
          <w:lang w:val="es-ES_tradnl" w:eastAsia="es-ES_tradnl"/>
          <w14:ligatures w14:val="standardContextual"/>
        </w:rPr>
        <w:lastRenderedPageBreak/>
        <w:t>la información oficial de la contratación realizada con dineros públicos, para lo cual establecerá los patrones a que haya lugar y se encargará de su difusión a través de canales electrónicos”</w:t>
      </w:r>
      <w:r w:rsidRPr="00C34E7A">
        <w:rPr>
          <w:rFonts w:ascii="Verdana" w:eastAsia="Times New Roman" w:hAnsi="Verdana" w:cs="Arial"/>
          <w:vertAlign w:val="superscript"/>
          <w:lang w:val="es-ES_tradnl" w:eastAsia="es-ES_tradnl"/>
          <w14:ligatures w14:val="standardContextual"/>
        </w:rPr>
        <w:footnoteReference w:id="26"/>
      </w:r>
      <w:r w:rsidRPr="00C34E7A">
        <w:rPr>
          <w:rFonts w:ascii="Verdana" w:eastAsia="Times New Roman" w:hAnsi="Verdana" w:cs="Arial"/>
          <w:lang w:val="es-ES_tradnl" w:eastAsia="es-ES_tradnl"/>
          <w14:ligatures w14:val="standardContextual"/>
        </w:rPr>
        <w:t>.</w:t>
      </w:r>
    </w:p>
    <w:p w14:paraId="2625A139" w14:textId="77777777" w:rsidR="0065766B" w:rsidRPr="00C34E7A" w:rsidRDefault="0065766B" w:rsidP="0065766B">
      <w:pPr>
        <w:spacing w:before="120" w:after="120" w:line="276" w:lineRule="auto"/>
        <w:ind w:firstLine="709"/>
        <w:jc w:val="both"/>
        <w:rPr>
          <w:rFonts w:ascii="Verdana" w:eastAsia="Times New Roman" w:hAnsi="Verdana" w:cs="Arial"/>
          <w:lang w:val="es-ES" w:eastAsia="es-ES"/>
          <w14:ligatures w14:val="standardContextual"/>
        </w:rPr>
      </w:pPr>
      <w:r w:rsidRPr="00C34E7A">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C34E7A">
        <w:rPr>
          <w:rFonts w:ascii="Verdana" w:eastAsia="Times New Roman" w:hAnsi="Verdana" w:cs="Arial"/>
          <w:vertAlign w:val="superscript"/>
          <w:lang w:val="es-ES" w:eastAsia="es-ES"/>
          <w14:ligatures w14:val="standardContextual"/>
        </w:rPr>
        <w:footnoteReference w:id="27"/>
      </w:r>
      <w:r w:rsidRPr="00C34E7A">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33C141FA" w14:textId="2FBF7850" w:rsidR="0014071A" w:rsidRPr="00C34E7A" w:rsidRDefault="0014071A" w:rsidP="0014071A">
      <w:pPr>
        <w:spacing w:before="120" w:after="120" w:line="276" w:lineRule="auto"/>
        <w:ind w:firstLine="709"/>
        <w:jc w:val="both"/>
        <w:rPr>
          <w:rFonts w:ascii="Verdana" w:eastAsia="Times New Roman" w:hAnsi="Verdana" w:cs="Arial"/>
          <w:lang w:val="es-ES_tradnl" w:eastAsia="es-ES_tradnl"/>
          <w14:ligatures w14:val="standardContextual"/>
        </w:rPr>
      </w:pPr>
      <w:r w:rsidRPr="00C34E7A">
        <w:rPr>
          <w:rFonts w:ascii="Verdana" w:eastAsia="Times New Roman" w:hAnsi="Verdana" w:cs="Arial"/>
          <w:lang w:val="es-ES_tradnl" w:eastAsia="es-ES_tradnl"/>
          <w14:ligatures w14:val="standardContextual"/>
        </w:rPr>
        <w:t>La Ley Estatutaria citada establece, en el literal e) del artículo 9, que los sujetos obligados, que son todas las entidades públicas</w:t>
      </w:r>
      <w:r w:rsidRPr="00C34E7A">
        <w:rPr>
          <w:rFonts w:ascii="Verdana" w:eastAsia="Times New Roman" w:hAnsi="Verdana" w:cs="Arial"/>
          <w:vertAlign w:val="superscript"/>
          <w:lang w:val="es-ES_tradnl" w:eastAsia="es-ES_tradnl"/>
          <w14:ligatures w14:val="standardContextual"/>
        </w:rPr>
        <w:footnoteReference w:id="28"/>
      </w:r>
      <w:r w:rsidRPr="00C34E7A">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w:t>
      </w:r>
      <w:r w:rsidR="009C6AA5" w:rsidRPr="00C34E7A">
        <w:rPr>
          <w:rFonts w:ascii="Verdana" w:eastAsia="Times New Roman" w:hAnsi="Verdana" w:cs="Arial"/>
          <w:lang w:val="es-ES_tradnl" w:eastAsia="es-ES_tradnl"/>
          <w14:ligatures w14:val="standardContextual"/>
        </w:rPr>
        <w:t>1</w:t>
      </w:r>
      <w:r w:rsidRPr="00C34E7A">
        <w:rPr>
          <w:rFonts w:ascii="Verdana" w:eastAsia="Times New Roman" w:hAnsi="Verdana" w:cs="Arial"/>
          <w:lang w:val="es-ES_tradnl" w:eastAsia="es-ES_tradnl"/>
          <w14:ligatures w14:val="standardContextual"/>
        </w:rPr>
        <w:t xml:space="preserve"> de 2015</w:t>
      </w:r>
      <w:r w:rsidRPr="00C34E7A">
        <w:rPr>
          <w:rFonts w:ascii="Verdana" w:eastAsia="Times New Roman" w:hAnsi="Verdana" w:cs="Arial"/>
          <w:vertAlign w:val="superscript"/>
          <w:lang w:val="es-ES_tradnl" w:eastAsia="es-ES_tradnl"/>
          <w14:ligatures w14:val="standardContextual"/>
        </w:rPr>
        <w:footnoteReference w:id="29"/>
      </w:r>
      <w:r w:rsidRPr="00C34E7A">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6CBC74C9" w14:textId="77777777" w:rsidR="00BA7276" w:rsidRPr="00C34E7A" w:rsidRDefault="00BA7276" w:rsidP="00BA7276">
      <w:pPr>
        <w:spacing w:before="120" w:after="120" w:line="276" w:lineRule="auto"/>
        <w:ind w:firstLine="709"/>
        <w:jc w:val="both"/>
        <w:rPr>
          <w:rFonts w:ascii="Verdana" w:eastAsia="Times New Roman" w:hAnsi="Verdana" w:cs="Arial"/>
          <w:lang w:val="es-ES_tradnl" w:eastAsia="es-ES_tradnl"/>
          <w14:ligatures w14:val="standardContextual"/>
        </w:rPr>
      </w:pPr>
      <w:r w:rsidRPr="00C34E7A">
        <w:rPr>
          <w:rFonts w:ascii="Verdana" w:eastAsia="Times New Roman" w:hAnsi="Verdana" w:cs="Arial"/>
          <w:lang w:val="es-ES_tradnl" w:eastAsia="es-ES_tradnl"/>
          <w14:ligatures w14:val="standardContextual"/>
        </w:rPr>
        <w:lastRenderedPageBreak/>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B219EF7" w14:textId="77777777" w:rsidR="00282853" w:rsidRPr="00C34E7A" w:rsidRDefault="00282853" w:rsidP="00282853">
      <w:pPr>
        <w:spacing w:before="120" w:after="120" w:line="276" w:lineRule="auto"/>
        <w:ind w:firstLine="709"/>
        <w:jc w:val="both"/>
        <w:rPr>
          <w:rFonts w:ascii="Verdana" w:eastAsia="Times New Roman" w:hAnsi="Verdana" w:cs="Arial"/>
          <w:lang w:val="es-ES_tradnl" w:eastAsia="es-ES_tradnl"/>
          <w14:ligatures w14:val="standardContextual"/>
        </w:rPr>
      </w:pPr>
      <w:r w:rsidRPr="00C34E7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C34E7A">
        <w:rPr>
          <w:rFonts w:ascii="Verdana" w:eastAsia="Times New Roman" w:hAnsi="Verdana" w:cs="Arial"/>
          <w:vertAlign w:val="superscript"/>
          <w:lang w:val="es-ES_tradnl" w:eastAsia="es-ES_tradnl"/>
          <w14:ligatures w14:val="standardContextual"/>
        </w:rPr>
        <w:footnoteReference w:id="30"/>
      </w:r>
      <w:r w:rsidRPr="00C34E7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4F20D48A" w14:textId="77777777" w:rsidR="003773F8" w:rsidRPr="00C34E7A" w:rsidRDefault="003773F8" w:rsidP="003773F8">
      <w:pPr>
        <w:tabs>
          <w:tab w:val="left" w:pos="709"/>
        </w:tabs>
        <w:spacing w:before="120" w:after="0" w:line="276" w:lineRule="auto"/>
        <w:ind w:firstLine="709"/>
        <w:jc w:val="both"/>
        <w:rPr>
          <w:rFonts w:ascii="Verdana" w:hAnsi="Verdana" w:cs="Arial"/>
          <w:shd w:val="clear" w:color="auto" w:fill="FFFFFF"/>
        </w:rPr>
      </w:pPr>
      <w:r w:rsidRPr="00C34E7A">
        <w:rPr>
          <w:rFonts w:ascii="Verdana" w:hAnsi="Verdana" w:cs="Arial"/>
          <w:shd w:val="clear" w:color="auto" w:fill="FFFFFF"/>
        </w:rPr>
        <w:t xml:space="preserve">La expresión </w:t>
      </w:r>
      <w:r w:rsidRPr="00C34E7A">
        <w:rPr>
          <w:rFonts w:ascii="Verdana" w:hAnsi="Verdana" w:cs="Arial"/>
          <w:i/>
          <w:iCs/>
          <w:shd w:val="clear" w:color="auto" w:fill="FFFFFF"/>
        </w:rPr>
        <w:t xml:space="preserve">Documentos del Proceso </w:t>
      </w:r>
      <w:r w:rsidRPr="00C34E7A">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C34E7A">
        <w:rPr>
          <w:rFonts w:ascii="Verdana" w:hAnsi="Verdana" w:cs="Arial"/>
          <w:i/>
          <w:iCs/>
          <w:shd w:val="clear" w:color="auto" w:fill="FFFFFF"/>
        </w:rPr>
        <w:t>y cualquier otro documento expedido por la Entidad Estatal durante el Proceso de Contratación</w:t>
      </w:r>
      <w:r w:rsidRPr="00C34E7A">
        <w:rPr>
          <w:rFonts w:ascii="Verdana" w:hAnsi="Verdana" w:cs="Arial"/>
          <w:shd w:val="clear" w:color="auto" w:fill="FFFFFF"/>
        </w:rPr>
        <w:t>”. [Énfasis fuera de texto]</w:t>
      </w:r>
    </w:p>
    <w:p w14:paraId="5907D046" w14:textId="77777777" w:rsidR="00C54456" w:rsidRPr="00C34E7A" w:rsidRDefault="00C54456" w:rsidP="00C54456">
      <w:pPr>
        <w:tabs>
          <w:tab w:val="left" w:pos="709"/>
        </w:tabs>
        <w:spacing w:before="120" w:after="0" w:line="276" w:lineRule="auto"/>
        <w:ind w:firstLine="709"/>
        <w:jc w:val="both"/>
        <w:rPr>
          <w:rFonts w:ascii="Verdana" w:hAnsi="Verdana" w:cs="Arial"/>
          <w:shd w:val="clear" w:color="auto" w:fill="FFFFFF"/>
        </w:rPr>
      </w:pPr>
      <w:r w:rsidRPr="00C34E7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C34E7A">
        <w:rPr>
          <w:rFonts w:ascii="Verdana" w:hAnsi="Verdana" w:cs="Arial"/>
          <w:i/>
          <w:iCs/>
          <w:shd w:val="clear" w:color="auto" w:fill="FFFFFF"/>
        </w:rPr>
        <w:t>Ibidem</w:t>
      </w:r>
      <w:r w:rsidRPr="00C34E7A">
        <w:rPr>
          <w:rFonts w:ascii="Verdana" w:hAnsi="Verdana" w:cs="Arial"/>
          <w:shd w:val="clear" w:color="auto" w:fill="FFFFFF"/>
        </w:rPr>
        <w:t xml:space="preserve"> recoge en la noción de Documentos del Proceso “cualquier otro documento expedido por la Entidad Estatal durante el Proceso de Contratación”. </w:t>
      </w:r>
    </w:p>
    <w:p w14:paraId="680BDC80" w14:textId="77777777" w:rsidR="002E0200" w:rsidRPr="00C34E7A" w:rsidRDefault="002E0200" w:rsidP="002E0200">
      <w:pPr>
        <w:tabs>
          <w:tab w:val="left" w:pos="709"/>
        </w:tabs>
        <w:spacing w:before="120" w:after="0" w:line="276" w:lineRule="auto"/>
        <w:ind w:firstLine="709"/>
        <w:jc w:val="both"/>
        <w:rPr>
          <w:rFonts w:ascii="Verdana" w:hAnsi="Verdana" w:cs="Arial"/>
          <w:shd w:val="clear" w:color="auto" w:fill="FFFFFF"/>
        </w:rPr>
      </w:pPr>
      <w:r w:rsidRPr="00C34E7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w:t>
      </w:r>
      <w:r w:rsidRPr="00C34E7A">
        <w:rPr>
          <w:rFonts w:ascii="Verdana" w:hAnsi="Verdana" w:cs="Arial"/>
          <w:shd w:val="clear" w:color="auto" w:fill="FFFFFF"/>
        </w:rPr>
        <w:lastRenderedPageBreak/>
        <w:t>por la entidad estatal” durante el proceso de contratación, excluyendo de la noción de Documentos del Proceso los expedidos por un sujeto distinto a la entidad, salvo la oferta, la cual se incluye expresamente en el referido artículo 2.2.1.1.1.3.</w:t>
      </w:r>
    </w:p>
    <w:p w14:paraId="7990F0FE" w14:textId="77777777" w:rsidR="006E5F47" w:rsidRPr="00C34E7A" w:rsidRDefault="006E5F47" w:rsidP="006E5F47">
      <w:pPr>
        <w:tabs>
          <w:tab w:val="left" w:pos="709"/>
        </w:tabs>
        <w:spacing w:before="120" w:after="120" w:line="276" w:lineRule="auto"/>
        <w:ind w:firstLine="709"/>
        <w:jc w:val="both"/>
        <w:rPr>
          <w:rFonts w:ascii="Verdana" w:hAnsi="Verdana" w:cs="Arial"/>
          <w:shd w:val="clear" w:color="auto" w:fill="FFFFFF"/>
        </w:rPr>
      </w:pPr>
      <w:r w:rsidRPr="00C34E7A">
        <w:rPr>
          <w:rFonts w:ascii="Verdana" w:hAnsi="Verdana" w:cs="Arial"/>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C34E7A">
        <w:rPr>
          <w:rFonts w:ascii="Verdana" w:hAnsi="Verdana" w:cs="Arial"/>
          <w:shd w:val="clear" w:color="auto" w:fill="FFFFFF"/>
        </w:rPr>
        <w:t>postcontractual</w:t>
      </w:r>
      <w:proofErr w:type="spellEnd"/>
      <w:r w:rsidRPr="00C34E7A">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6EB62973" w14:textId="77777777" w:rsidR="00127C1B" w:rsidRPr="00C34E7A" w:rsidRDefault="00127C1B" w:rsidP="00127C1B">
      <w:pPr>
        <w:tabs>
          <w:tab w:val="left" w:pos="709"/>
        </w:tabs>
        <w:spacing w:before="120" w:after="120" w:line="276" w:lineRule="auto"/>
        <w:ind w:firstLine="709"/>
        <w:jc w:val="both"/>
        <w:rPr>
          <w:rFonts w:ascii="Verdana" w:hAnsi="Verdana" w:cs="Arial"/>
          <w:shd w:val="clear" w:color="auto" w:fill="FFFFFF"/>
        </w:rPr>
      </w:pPr>
      <w:r w:rsidRPr="00C34E7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C34E7A">
        <w:rPr>
          <w:rFonts w:ascii="Verdana" w:hAnsi="Verdana" w:cs="Arial"/>
          <w:shd w:val="clear" w:color="auto" w:fill="FFFFFF"/>
          <w:vertAlign w:val="superscript"/>
        </w:rPr>
        <w:footnoteReference w:id="31"/>
      </w:r>
      <w:r w:rsidRPr="00C34E7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3056814D" w14:textId="77777777" w:rsidR="00E04834" w:rsidRPr="00C34E7A" w:rsidRDefault="00E04834" w:rsidP="00E04834">
      <w:pPr>
        <w:tabs>
          <w:tab w:val="left" w:pos="709"/>
        </w:tabs>
        <w:spacing w:before="120" w:after="120" w:line="276" w:lineRule="auto"/>
        <w:ind w:firstLine="709"/>
        <w:jc w:val="both"/>
        <w:rPr>
          <w:rFonts w:ascii="Verdana" w:hAnsi="Verdana" w:cs="Arial"/>
          <w:shd w:val="clear" w:color="auto" w:fill="FFFFFF"/>
        </w:rPr>
      </w:pPr>
      <w:r w:rsidRPr="00C34E7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18D9454A" w14:textId="77777777" w:rsidR="00800875" w:rsidRPr="00C34E7A" w:rsidRDefault="00800875" w:rsidP="00800875">
      <w:pPr>
        <w:spacing w:after="120" w:line="276" w:lineRule="auto"/>
        <w:ind w:firstLine="709"/>
        <w:jc w:val="both"/>
        <w:rPr>
          <w:rFonts w:ascii="Verdana" w:eastAsia="Calibri" w:hAnsi="Verdana" w:cs="Arial"/>
          <w:lang w:val="es-ES"/>
        </w:rPr>
      </w:pPr>
      <w:r w:rsidRPr="00C34E7A">
        <w:rPr>
          <w:rFonts w:ascii="Verdana" w:eastAsia="Calibri" w:hAnsi="Verdana" w:cs="Arial"/>
          <w:lang w:val="es-ES"/>
        </w:rPr>
        <w:lastRenderedPageBreak/>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054BB270" w14:textId="77777777" w:rsidR="00B01C66" w:rsidRPr="00C34E7A" w:rsidRDefault="007D7606" w:rsidP="007D7606">
      <w:pPr>
        <w:tabs>
          <w:tab w:val="left" w:pos="709"/>
        </w:tabs>
        <w:spacing w:before="120" w:after="120" w:line="276" w:lineRule="auto"/>
        <w:ind w:firstLine="709"/>
        <w:jc w:val="both"/>
        <w:rPr>
          <w:rFonts w:ascii="Verdana" w:eastAsia="Calibri" w:hAnsi="Verdana" w:cs="Arial"/>
          <w:color w:val="000000"/>
        </w:rPr>
      </w:pPr>
      <w:r w:rsidRPr="00C34E7A">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C34E7A">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w:t>
      </w:r>
    </w:p>
    <w:p w14:paraId="0F5257DF" w14:textId="5DE2AA8F" w:rsidR="00B01C66" w:rsidRPr="00C34E7A" w:rsidRDefault="007D7606" w:rsidP="007E0F7A">
      <w:pPr>
        <w:tabs>
          <w:tab w:val="left" w:pos="709"/>
        </w:tabs>
        <w:spacing w:before="120" w:after="0" w:line="276" w:lineRule="auto"/>
        <w:ind w:firstLine="709"/>
        <w:jc w:val="both"/>
        <w:rPr>
          <w:rFonts w:ascii="Verdana" w:eastAsia="Calibri" w:hAnsi="Verdana" w:cs="Arial"/>
          <w:color w:val="000000"/>
        </w:rPr>
      </w:pPr>
      <w:r w:rsidRPr="00C34E7A">
        <w:rPr>
          <w:rFonts w:ascii="Verdana" w:eastAsia="Calibri" w:hAnsi="Verdana" w:cs="Arial"/>
          <w:color w:val="000000"/>
        </w:rPr>
        <w:t xml:space="preserve">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C34E7A">
        <w:rPr>
          <w:rFonts w:ascii="Verdana" w:eastAsia="Calibri" w:hAnsi="Verdana" w:cs="Arial"/>
          <w:color w:val="000000"/>
        </w:rPr>
        <w:t>post-contractual</w:t>
      </w:r>
      <w:proofErr w:type="spellEnd"/>
      <w:r w:rsidRPr="00C34E7A">
        <w:rPr>
          <w:rFonts w:ascii="Verdana" w:eastAsia="Calibri" w:hAnsi="Verdana" w:cs="Arial"/>
          <w:color w:val="000000"/>
        </w:rPr>
        <w:t>”.</w:t>
      </w:r>
    </w:p>
    <w:p w14:paraId="4C4BABE2" w14:textId="77777777" w:rsidR="00555273" w:rsidRPr="00C34E7A" w:rsidRDefault="00555273" w:rsidP="007E0F7A">
      <w:pPr>
        <w:spacing w:after="0" w:line="276" w:lineRule="auto"/>
        <w:jc w:val="both"/>
        <w:rPr>
          <w:rFonts w:ascii="Verdana" w:eastAsia="Calibri" w:hAnsi="Verdana" w:cs="Arial"/>
          <w:color w:val="000000"/>
        </w:rPr>
      </w:pPr>
    </w:p>
    <w:p w14:paraId="4C9E84BE" w14:textId="1EA719F1" w:rsidR="00555273" w:rsidRPr="00C34E7A" w:rsidRDefault="00B01C66" w:rsidP="00555273">
      <w:pPr>
        <w:spacing w:after="120" w:line="276" w:lineRule="auto"/>
        <w:jc w:val="both"/>
        <w:rPr>
          <w:rFonts w:ascii="Verdana" w:eastAsia="Times New Roman" w:hAnsi="Verdana" w:cs="Arial"/>
          <w:bCs/>
          <w:lang w:val="es-MX" w:eastAsia="x-none"/>
        </w:rPr>
      </w:pPr>
      <w:proofErr w:type="spellStart"/>
      <w:r w:rsidRPr="00C34E7A">
        <w:rPr>
          <w:rFonts w:ascii="Verdana" w:eastAsia="Times New Roman" w:hAnsi="Verdana" w:cs="Arial"/>
          <w:bCs/>
          <w:lang w:val="es-MX" w:eastAsia="x-none"/>
        </w:rPr>
        <w:t>vii</w:t>
      </w:r>
      <w:proofErr w:type="spellEnd"/>
      <w:r w:rsidRPr="00C34E7A">
        <w:rPr>
          <w:rFonts w:ascii="Verdana" w:eastAsia="Times New Roman" w:hAnsi="Verdana" w:cs="Arial"/>
          <w:bCs/>
          <w:lang w:val="es-MX" w:eastAsia="x-none"/>
        </w:rPr>
        <w:t xml:space="preserve">) </w:t>
      </w:r>
      <w:r w:rsidR="00555273" w:rsidRPr="00C34E7A">
        <w:rPr>
          <w:rFonts w:ascii="Verdana" w:eastAsia="Times New Roman" w:hAnsi="Verdana" w:cs="Arial"/>
          <w:bCs/>
          <w:lang w:val="es-MX" w:eastAsia="x-none"/>
        </w:rPr>
        <w:t xml:space="preserve">Ahora bien, para efectos de dar respuesta concreta al problema jurídico planteado, es pertinente precisar el momento en el cual se realiza el perfeccionamiento del contrato en el SECOP II. </w:t>
      </w:r>
    </w:p>
    <w:p w14:paraId="78573B05" w14:textId="53CF48C6" w:rsidR="00555273" w:rsidRPr="00C34E7A" w:rsidRDefault="00B01C66" w:rsidP="00555273">
      <w:pPr>
        <w:spacing w:after="120" w:line="276" w:lineRule="auto"/>
        <w:ind w:firstLine="567"/>
        <w:jc w:val="both"/>
        <w:rPr>
          <w:rFonts w:ascii="Verdana" w:eastAsia="Times New Roman" w:hAnsi="Verdana" w:cs="Arial"/>
          <w:bCs/>
          <w:lang w:val="es-MX" w:eastAsia="x-none"/>
        </w:rPr>
      </w:pPr>
      <w:r w:rsidRPr="00C34E7A">
        <w:rPr>
          <w:rFonts w:ascii="Verdana" w:eastAsia="Times New Roman" w:hAnsi="Verdana" w:cs="Arial"/>
          <w:bCs/>
          <w:lang w:val="es-MX" w:eastAsia="x-none"/>
        </w:rPr>
        <w:t xml:space="preserve">Como se mencionó en el numeral anterior, </w:t>
      </w:r>
      <w:r w:rsidR="00555273" w:rsidRPr="00C34E7A">
        <w:rPr>
          <w:rFonts w:ascii="Verdana" w:eastAsia="Times New Roman" w:hAnsi="Verdana" w:cs="Arial"/>
          <w:bCs/>
          <w:lang w:val="es-MX" w:eastAsia="x-none"/>
        </w:rPr>
        <w:t xml:space="preserve">El </w:t>
      </w:r>
      <w:r w:rsidR="00555273" w:rsidRPr="00C34E7A">
        <w:rPr>
          <w:rFonts w:ascii="Verdana" w:eastAsia="Calibri" w:hAnsi="Verdana" w:cs="Arial"/>
          <w:color w:val="000000" w:themeColor="text1"/>
        </w:rPr>
        <w:t xml:space="preserve">SECOP II es una plataforma transaccional, que permite gestionar en línea todos los procedimientos de contratación, </w:t>
      </w:r>
      <w:r w:rsidR="00555273" w:rsidRPr="00C34E7A">
        <w:rPr>
          <w:rFonts w:ascii="Verdana" w:eastAsia="Calibri" w:hAnsi="Verdana" w:cs="Arial"/>
          <w:lang w:val="es-ES"/>
        </w:rPr>
        <w:t xml:space="preserve">con cuentas y usuarios asociados a estas, para las entidades y los </w:t>
      </w:r>
      <w:r w:rsidR="00555273" w:rsidRPr="00C34E7A">
        <w:rPr>
          <w:rFonts w:ascii="Verdana" w:eastAsia="Calibri" w:hAnsi="Verdana" w:cs="Arial"/>
          <w:lang w:val="es-ES"/>
        </w:rPr>
        <w:lastRenderedPageBreak/>
        <w:t>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45803264"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rPr>
        <w:t xml:space="preserve">Al tratarse de un sistema totalmente transaccional, el trámite se realiza en línea y la publicidad de las actuaciones es concomitante con el avance de cada etapa, lo que descarta la necesidad de cargar documentación física, salvo excepciones específicas. </w:t>
      </w:r>
      <w:r w:rsidRPr="00C34E7A">
        <w:rPr>
          <w:rFonts w:ascii="Verdana" w:eastAsia="Calibri" w:hAnsi="Verdana" w:cs="Arial"/>
          <w:lang w:val="es-ES"/>
        </w:rPr>
        <w:t xml:space="preserve">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6219FEAB"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A4BC5E2"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lang w:val="es-ES"/>
        </w:rPr>
        <w:t>El documento “Procesos de Contratación: Gestión Contractual en el SECOP II” expedido por esta entidad, detallas los pasos para aprobación del contrato en el SECOP II</w:t>
      </w:r>
      <w:r w:rsidRPr="00C34E7A">
        <w:rPr>
          <w:rFonts w:ascii="Verdana" w:hAnsi="Verdana"/>
          <w:vertAlign w:val="superscript"/>
          <w:lang w:val="es-ES"/>
        </w:rPr>
        <w:footnoteReference w:id="32"/>
      </w:r>
      <w:r w:rsidRPr="00C34E7A">
        <w:rPr>
          <w:rFonts w:ascii="Verdana" w:eastAsia="Calibri" w:hAnsi="Verdana" w:cs="Arial"/>
          <w:lang w:val="es-ES"/>
        </w:rPr>
        <w:t xml:space="preserve">. Específicamente, el literal III establece el procedimiento a seguir para aprobar o rechazar el contrato, según el cual el proveedor, </w:t>
      </w:r>
      <w:r w:rsidRPr="00C34E7A">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C34E7A">
        <w:rPr>
          <w:rFonts w:ascii="Verdana" w:eastAsia="Calibri" w:hAnsi="Verdana" w:cs="Arial"/>
          <w:lang w:val="es-ES"/>
        </w:rPr>
        <w:t xml:space="preserve"> Una vez la Entidad Estatal reciba el contrato electrónico aprobado por </w:t>
      </w:r>
      <w:r w:rsidRPr="00C34E7A">
        <w:rPr>
          <w:rFonts w:ascii="Verdana" w:eastAsia="Calibri" w:hAnsi="Verdana" w:cs="Arial"/>
          <w:lang w:val="es-ES"/>
        </w:rPr>
        <w:lastRenderedPageBreak/>
        <w:t xml:space="preserve">el proveedor debe publicarlo y a “partir de este momento el contrato queda para conocimiento del público en general, su estado cambia a “Firmado” para que se cumplan con los requisitos para iniciar la ejecución del contrato”. </w:t>
      </w:r>
    </w:p>
    <w:p w14:paraId="67F327D2"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lang w:val="es-ES"/>
        </w:rPr>
        <w:t xml:space="preserve"> Conforme lo señala “Guía SECOP II – Gestión Contractual Para Entidades Estatales</w:t>
      </w:r>
      <w:r w:rsidRPr="00C34E7A">
        <w:rPr>
          <w:rStyle w:val="Refdenotaalpie"/>
          <w:rFonts w:ascii="Verdana" w:eastAsia="Calibri" w:hAnsi="Verdana" w:cs="Arial"/>
          <w:lang w:val="es-ES"/>
        </w:rPr>
        <w:footnoteReference w:id="33"/>
      </w:r>
      <w:r w:rsidRPr="00C34E7A">
        <w:rPr>
          <w:rFonts w:ascii="Verdana" w:eastAsia="Calibri" w:hAnsi="Verdana" w:cs="Arial"/>
          <w:lang w:val="es-ES"/>
        </w:rPr>
        <w:t xml:space="preserve">” </w:t>
      </w:r>
      <w:r w:rsidRPr="00C34E7A">
        <w:rPr>
          <w:rFonts w:ascii="Verdana" w:eastAsia="Calibri" w:hAnsi="Verdana" w:cs="Arial"/>
        </w:rPr>
        <w:t>es importante que previamente el usuario administrador de la Entidad Estatal haya configurado flujos de aprobación</w:t>
      </w:r>
      <w:r w:rsidRPr="00C34E7A">
        <w:rPr>
          <w:rStyle w:val="Refdenotaalpie"/>
          <w:rFonts w:ascii="Verdana" w:eastAsia="Calibri" w:hAnsi="Verdana" w:cs="Arial"/>
        </w:rPr>
        <w:footnoteReference w:id="34"/>
      </w:r>
      <w:r w:rsidRPr="00C34E7A">
        <w:rPr>
          <w:rFonts w:ascii="Verdana" w:eastAsia="Calibri" w:hAnsi="Verdana" w:cs="Arial"/>
        </w:rPr>
        <w:t xml:space="preserve"> en este hito del proceso con el fin de que el contrato electrónico sea enviado al ordenador del gasto representante legal de la entidad para su aprobación final.</w:t>
      </w:r>
      <w:r w:rsidRPr="00C34E7A">
        <w:rPr>
          <w:rFonts w:ascii="Verdana" w:eastAsia="Calibri" w:hAnsi="Verdana" w:cs="Arial"/>
          <w:lang w:val="es-ES"/>
        </w:rPr>
        <w:t xml:space="preserve"> </w:t>
      </w:r>
      <w:r w:rsidRPr="00C34E7A">
        <w:rPr>
          <w:rFonts w:ascii="Verdana" w:eastAsia="Calibri" w:hAnsi="Verdana" w:cs="Arial"/>
        </w:rPr>
        <w:t>Una vez el ordenador del gasto de la entidad realice la aprobación el estado del contrato cambia a “Firmado” y quedará público para consulta de cualquier interesado.</w:t>
      </w:r>
    </w:p>
    <w:p w14:paraId="764B9062"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4BEEEB6C" w14:textId="77777777" w:rsidR="00555273" w:rsidRPr="00C34E7A" w:rsidRDefault="00555273" w:rsidP="00555273">
      <w:pPr>
        <w:spacing w:after="120" w:line="276" w:lineRule="auto"/>
        <w:ind w:firstLine="709"/>
        <w:jc w:val="both"/>
        <w:rPr>
          <w:rFonts w:ascii="Verdana" w:eastAsia="Calibri" w:hAnsi="Verdana" w:cs="Arial"/>
          <w:lang w:val="es-ES"/>
        </w:rPr>
      </w:pPr>
      <w:r w:rsidRPr="00C34E7A">
        <w:rPr>
          <w:rFonts w:ascii="Verdana" w:eastAsia="Calibri" w:hAnsi="Verdana" w:cs="Arial"/>
          <w:lang w:val="es-ES"/>
        </w:rPr>
        <w:t xml:space="preserve">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 </w:t>
      </w:r>
    </w:p>
    <w:p w14:paraId="27CA76C3"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lang w:val="es-ES"/>
        </w:rPr>
        <w:t xml:space="preserve">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w:t>
      </w:r>
      <w:r w:rsidRPr="00C34E7A">
        <w:rPr>
          <w:rFonts w:ascii="Verdana" w:eastAsia="Calibri" w:hAnsi="Verdana" w:cs="Arial"/>
          <w:lang w:val="es-ES"/>
        </w:rPr>
        <w:lastRenderedPageBreak/>
        <w:t>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1D3AD93B" w14:textId="77777777" w:rsidR="00555273" w:rsidRPr="00C34E7A" w:rsidRDefault="00555273" w:rsidP="00555273">
      <w:pPr>
        <w:spacing w:after="120" w:line="276" w:lineRule="auto"/>
        <w:ind w:firstLine="567"/>
        <w:jc w:val="both"/>
        <w:rPr>
          <w:rFonts w:ascii="Verdana" w:eastAsia="Calibri" w:hAnsi="Verdana" w:cs="Arial"/>
        </w:rPr>
      </w:pPr>
      <w:r w:rsidRPr="00C34E7A">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75AC5D5C" w14:textId="77777777" w:rsidR="00555273" w:rsidRPr="00C34E7A" w:rsidRDefault="00555273" w:rsidP="00555273">
      <w:pPr>
        <w:spacing w:after="120" w:line="276" w:lineRule="auto"/>
        <w:ind w:firstLine="567"/>
        <w:jc w:val="both"/>
        <w:rPr>
          <w:rFonts w:ascii="Verdana" w:eastAsia="Calibri" w:hAnsi="Verdana" w:cs="Arial"/>
        </w:rPr>
      </w:pPr>
      <w:r w:rsidRPr="00C34E7A">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708683B6"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lang w:val="es-ES"/>
        </w:rPr>
        <w:t xml:space="preserve">En consecuencia, tratándose de procesos gestionados en SECOP II, las actuaciones necesarias para que el contrato adquiera el estado de “firmado” deben realizarse antes de la </w:t>
      </w:r>
      <w:proofErr w:type="gramStart"/>
      <w:r w:rsidRPr="00C34E7A">
        <w:rPr>
          <w:rFonts w:ascii="Verdana" w:eastAsia="Calibri" w:hAnsi="Verdana" w:cs="Arial"/>
          <w:lang w:val="es-ES"/>
        </w:rPr>
        <w:t>entrada en vigencia</w:t>
      </w:r>
      <w:proofErr w:type="gramEnd"/>
      <w:r w:rsidRPr="00C34E7A">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7377CF88" w14:textId="77777777" w:rsidR="00555273" w:rsidRPr="00C34E7A" w:rsidRDefault="00555273" w:rsidP="00555273">
      <w:pPr>
        <w:spacing w:after="120" w:line="276" w:lineRule="auto"/>
        <w:ind w:firstLine="567"/>
        <w:jc w:val="both"/>
        <w:rPr>
          <w:rFonts w:ascii="Verdana" w:eastAsia="Calibri" w:hAnsi="Verdana" w:cs="Arial"/>
        </w:rPr>
      </w:pPr>
      <w:r w:rsidRPr="00C34E7A">
        <w:rPr>
          <w:rFonts w:ascii="Verdana" w:eastAsia="Times New Roman" w:hAnsi="Verdana" w:cs="Arial"/>
          <w:bCs/>
          <w:lang w:val="es-ES" w:eastAsia="es-CO"/>
        </w:rPr>
        <w:t xml:space="preserve">En este último evento, la entidad deberá revisar la validez del contrato y analizar una posible configuración de nulidad a la luz de lo dispuesto en el </w:t>
      </w:r>
      <w:r w:rsidRPr="00C34E7A">
        <w:rPr>
          <w:rFonts w:ascii="Verdana" w:eastAsia="Times New Roman" w:hAnsi="Verdana" w:cs="Arial"/>
          <w:bCs/>
          <w:lang w:val="es-ES" w:eastAsia="es-CO"/>
        </w:rPr>
        <w:lastRenderedPageBreak/>
        <w:t xml:space="preserve">artículo 44 de la Ley 80 de 1993. Sobre el régimen de nulidad, la norma en cita </w:t>
      </w:r>
      <w:r w:rsidRPr="00C34E7A">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C34E7A">
        <w:rPr>
          <w:rFonts w:ascii="Verdana" w:eastAsia="Arial" w:hAnsi="Verdana" w:cs="Arial"/>
          <w:vertAlign w:val="superscript"/>
          <w:lang w:val="es-ES"/>
        </w:rPr>
        <w:footnoteReference w:id="35"/>
      </w:r>
      <w:r w:rsidRPr="00C34E7A">
        <w:rPr>
          <w:rFonts w:ascii="Verdana" w:eastAsia="Calibri" w:hAnsi="Verdana" w:cs="Arial"/>
        </w:rPr>
        <w:t>.</w:t>
      </w:r>
    </w:p>
    <w:p w14:paraId="56617C55" w14:textId="77777777" w:rsidR="00555273" w:rsidRPr="00C34E7A" w:rsidRDefault="00555273" w:rsidP="00555273">
      <w:pPr>
        <w:spacing w:after="0" w:line="276" w:lineRule="auto"/>
        <w:ind w:firstLine="709"/>
        <w:jc w:val="both"/>
        <w:rPr>
          <w:rFonts w:ascii="Verdana" w:eastAsia="Calibri" w:hAnsi="Verdana" w:cs="Times New Roman"/>
          <w:bCs/>
        </w:rPr>
      </w:pPr>
      <w:r w:rsidRPr="00C34E7A">
        <w:rPr>
          <w:rFonts w:ascii="Verdana" w:eastAsia="Calibri" w:hAnsi="Verdana" w:cs="Times New Roman"/>
          <w:bCs/>
        </w:rPr>
        <w:t>En concordancia con lo anterior, el artículo 45 de la Ley 80 de 1993 prescribe:</w:t>
      </w:r>
    </w:p>
    <w:p w14:paraId="74EBA051" w14:textId="77777777" w:rsidR="00555273" w:rsidRPr="00C34E7A" w:rsidRDefault="00555273" w:rsidP="00555273">
      <w:pPr>
        <w:spacing w:after="0" w:line="276" w:lineRule="auto"/>
        <w:ind w:firstLine="709"/>
        <w:jc w:val="both"/>
        <w:rPr>
          <w:rFonts w:ascii="Verdana" w:eastAsia="Calibri" w:hAnsi="Verdana" w:cs="Times New Roman"/>
          <w:bCs/>
        </w:rPr>
      </w:pPr>
    </w:p>
    <w:p w14:paraId="0E7242A8" w14:textId="77777777" w:rsidR="00555273" w:rsidRPr="00C34E7A" w:rsidRDefault="00555273" w:rsidP="00555273">
      <w:pPr>
        <w:spacing w:after="0" w:line="240" w:lineRule="auto"/>
        <w:ind w:left="709" w:right="709"/>
        <w:jc w:val="both"/>
        <w:rPr>
          <w:rFonts w:ascii="Verdana" w:eastAsia="Calibri" w:hAnsi="Verdana" w:cs="Times New Roman"/>
          <w:sz w:val="20"/>
          <w:szCs w:val="20"/>
        </w:rPr>
      </w:pPr>
      <w:r w:rsidRPr="00C34E7A">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5073EAFE" w14:textId="77777777" w:rsidR="00555273" w:rsidRPr="00C34E7A" w:rsidRDefault="00555273" w:rsidP="00555273">
      <w:pPr>
        <w:spacing w:after="0" w:line="240" w:lineRule="auto"/>
        <w:ind w:left="709" w:right="709"/>
        <w:jc w:val="both"/>
        <w:rPr>
          <w:rFonts w:ascii="Verdana" w:eastAsia="Calibri" w:hAnsi="Verdana" w:cs="Times New Roman"/>
          <w:sz w:val="20"/>
          <w:szCs w:val="20"/>
        </w:rPr>
      </w:pPr>
    </w:p>
    <w:p w14:paraId="0A0AE273" w14:textId="77777777" w:rsidR="00555273" w:rsidRPr="00C34E7A" w:rsidRDefault="00555273" w:rsidP="00555273">
      <w:pPr>
        <w:spacing w:after="0" w:line="240" w:lineRule="auto"/>
        <w:ind w:left="709" w:right="709"/>
        <w:jc w:val="both"/>
        <w:rPr>
          <w:rFonts w:ascii="Verdana" w:eastAsia="Calibri" w:hAnsi="Verdana" w:cs="Times New Roman"/>
          <w:sz w:val="20"/>
          <w:szCs w:val="20"/>
        </w:rPr>
      </w:pPr>
      <w:r w:rsidRPr="00C34E7A">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5E9E16E3" w14:textId="77777777" w:rsidR="00555273" w:rsidRPr="00C34E7A" w:rsidRDefault="00555273" w:rsidP="00555273">
      <w:pPr>
        <w:spacing w:after="120" w:line="276" w:lineRule="auto"/>
        <w:jc w:val="both"/>
        <w:rPr>
          <w:rFonts w:ascii="Verdana" w:eastAsia="Calibri" w:hAnsi="Verdana" w:cs="Times New Roman"/>
          <w:bCs/>
        </w:rPr>
      </w:pPr>
    </w:p>
    <w:p w14:paraId="71E0FCBF" w14:textId="77777777" w:rsidR="00555273" w:rsidRPr="00C34E7A" w:rsidRDefault="00555273" w:rsidP="00555273">
      <w:pPr>
        <w:spacing w:after="120" w:line="276" w:lineRule="auto"/>
        <w:jc w:val="both"/>
        <w:rPr>
          <w:rFonts w:ascii="Verdana" w:eastAsia="Calibri" w:hAnsi="Verdana" w:cs="Arial"/>
        </w:rPr>
      </w:pPr>
      <w:r w:rsidRPr="00C34E7A">
        <w:rPr>
          <w:rFonts w:ascii="Verdana" w:eastAsia="Calibri" w:hAnsi="Verdana" w:cs="Times New Roman"/>
          <w:bCs/>
        </w:rPr>
        <w:tab/>
        <w:t>A partir de la norma precitada, se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C34E7A">
        <w:rPr>
          <w:rFonts w:ascii="Verdana" w:eastAsia="Calibri" w:hAnsi="Verdana" w:cs="Arial"/>
        </w:rPr>
        <w:t xml:space="preserve"> el contrato se celebre con personas incursas en causales de inhabilidad o incompatibilidad previstas en la Constitución y la ley, </w:t>
      </w:r>
      <w:r w:rsidRPr="00C34E7A">
        <w:rPr>
          <w:rFonts w:ascii="Verdana" w:eastAsia="Calibri" w:hAnsi="Verdana" w:cs="Arial"/>
        </w:rPr>
        <w:lastRenderedPageBreak/>
        <w:t xml:space="preserve">que se celebre contra expresa prohibición constitucional o legal, o que se declaren nulos los actos administrativos en que se fundamenten. </w:t>
      </w:r>
    </w:p>
    <w:p w14:paraId="5F4D1602" w14:textId="77777777" w:rsidR="00555273" w:rsidRPr="00C34E7A" w:rsidRDefault="00555273" w:rsidP="00555273">
      <w:pPr>
        <w:spacing w:after="120" w:line="276" w:lineRule="auto"/>
        <w:ind w:firstLine="743"/>
        <w:jc w:val="both"/>
        <w:rPr>
          <w:rFonts w:ascii="Verdana" w:eastAsia="Calibri" w:hAnsi="Verdana" w:cs="Arial"/>
        </w:rPr>
      </w:pPr>
      <w:r w:rsidRPr="00C34E7A">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absoluta del contrato por la causal de celebración contra expresa prohibición constitucional o legal, por vulnerar las restricciones establecidas en los artículos 33 y 38 de la Ley de Garantías Electorales. </w:t>
      </w:r>
    </w:p>
    <w:p w14:paraId="2B5236DA" w14:textId="77777777" w:rsidR="00555273" w:rsidRPr="00C34E7A" w:rsidRDefault="00555273" w:rsidP="00555273">
      <w:pPr>
        <w:spacing w:after="120" w:line="276" w:lineRule="auto"/>
        <w:ind w:firstLine="567"/>
        <w:jc w:val="both"/>
        <w:rPr>
          <w:rFonts w:ascii="Verdana" w:eastAsia="Calibri" w:hAnsi="Verdana" w:cs="Arial"/>
          <w:lang w:val="es-ES"/>
        </w:rPr>
      </w:pPr>
      <w:r w:rsidRPr="00C34E7A">
        <w:rPr>
          <w:rFonts w:ascii="Verdana" w:eastAsia="Calibri" w:hAnsi="Verdana" w:cs="Arial"/>
        </w:rPr>
        <w:t>Sobre el alcance de la causal de nulidad contenida en el numeral 2 del artículo 44 de la Ley 80 de 1993, el Consejo de Estado ha señalado que “</w:t>
      </w:r>
      <w:r w:rsidRPr="00C34E7A">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sidRPr="00C34E7A">
        <w:rPr>
          <w:rStyle w:val="Refdenotaalpie"/>
          <w:rFonts w:ascii="Verdana" w:eastAsia="Calibri" w:hAnsi="Verdana" w:cs="Arial"/>
          <w:bCs/>
          <w:iCs/>
        </w:rPr>
        <w:footnoteReference w:id="36"/>
      </w:r>
      <w:r w:rsidRPr="00C34E7A">
        <w:rPr>
          <w:rFonts w:ascii="Verdana" w:eastAsia="Calibri" w:hAnsi="Verdana" w:cs="Arial"/>
          <w:bCs/>
          <w:iCs/>
        </w:rPr>
        <w:t xml:space="preserve">”. Tal es el caso de los </w:t>
      </w:r>
      <w:r w:rsidRPr="00C34E7A">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0C0F00CC" w14:textId="77777777" w:rsidR="00555273" w:rsidRPr="00C34E7A" w:rsidRDefault="00555273" w:rsidP="00555273">
      <w:pPr>
        <w:spacing w:after="120" w:line="276" w:lineRule="auto"/>
        <w:ind w:firstLine="567"/>
        <w:jc w:val="both"/>
        <w:rPr>
          <w:rFonts w:ascii="Verdana" w:eastAsia="Times New Roman" w:hAnsi="Verdana" w:cs="Arial"/>
          <w:bCs/>
          <w:lang w:val="es-ES" w:eastAsia="es-CO"/>
        </w:rPr>
      </w:pPr>
      <w:r w:rsidRPr="00C34E7A">
        <w:rPr>
          <w:rFonts w:ascii="Verdana" w:eastAsia="Times New Roman" w:hAnsi="Verdana" w:cs="Arial"/>
          <w:bCs/>
          <w:lang w:val="es-ES" w:eastAsia="es-CO"/>
        </w:rPr>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w:t>
      </w:r>
      <w:r w:rsidRPr="00C34E7A">
        <w:rPr>
          <w:rFonts w:ascii="Verdana" w:eastAsia="Times New Roman" w:hAnsi="Verdana" w:cs="Arial"/>
          <w:bCs/>
          <w:i/>
          <w:iCs/>
          <w:lang w:val="es-ES" w:eastAsia="es-CO"/>
        </w:rPr>
        <w:t>ibidem,</w:t>
      </w:r>
      <w:r w:rsidRPr="00C34E7A">
        <w:rPr>
          <w:rFonts w:ascii="Verdana" w:eastAsia="Times New Roman" w:hAnsi="Verdana" w:cs="Arial"/>
          <w:bCs/>
          <w:lang w:val="es-ES" w:eastAsia="es-CO"/>
        </w:rPr>
        <w:t xml:space="preserve"> en la medida en que el hito jurídico de perfeccionamiento ocurrió dentro del período de restricción.</w:t>
      </w:r>
    </w:p>
    <w:p w14:paraId="369E3D0B" w14:textId="77777777" w:rsidR="00555273" w:rsidRPr="00C34E7A" w:rsidRDefault="00555273" w:rsidP="00555273">
      <w:pPr>
        <w:spacing w:after="0" w:line="276" w:lineRule="auto"/>
        <w:ind w:firstLine="567"/>
        <w:jc w:val="both"/>
        <w:rPr>
          <w:rFonts w:ascii="Verdana" w:eastAsia="Times New Roman" w:hAnsi="Verdana" w:cs="Arial"/>
          <w:bCs/>
          <w:lang w:val="es-ES" w:eastAsia="es-CO"/>
        </w:rPr>
      </w:pPr>
      <w:r w:rsidRPr="00C34E7A">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los artículos 44 y 45 de la Ley 80 de 1993. Lo anterior, sin perjuicio de las responsabilidades de tipo disciplinario, fiscal y penal que puedan generarse. </w:t>
      </w:r>
    </w:p>
    <w:p w14:paraId="6F98ABE8" w14:textId="77777777" w:rsidR="00555273" w:rsidRPr="00C34E7A" w:rsidRDefault="00555273" w:rsidP="00555273">
      <w:pPr>
        <w:spacing w:after="0" w:line="276" w:lineRule="auto"/>
        <w:ind w:firstLine="567"/>
        <w:jc w:val="both"/>
        <w:rPr>
          <w:rFonts w:ascii="Verdana" w:eastAsia="Times New Roman" w:hAnsi="Verdana" w:cs="Arial"/>
          <w:bCs/>
          <w:lang w:eastAsia="x-none"/>
        </w:rPr>
      </w:pPr>
    </w:p>
    <w:p w14:paraId="3871A773" w14:textId="413F6B7F" w:rsidR="00555273" w:rsidRPr="00C34E7A" w:rsidRDefault="00555273" w:rsidP="007E0F7A">
      <w:pPr>
        <w:spacing w:after="120" w:line="276" w:lineRule="auto"/>
        <w:jc w:val="both"/>
        <w:rPr>
          <w:rFonts w:ascii="Verdana" w:eastAsia="Calibri" w:hAnsi="Verdana" w:cs="Arial"/>
          <w:lang w:val="es-ES_tradnl"/>
        </w:rPr>
      </w:pPr>
      <w:proofErr w:type="spellStart"/>
      <w:r w:rsidRPr="00C34E7A">
        <w:rPr>
          <w:rFonts w:ascii="Verdana" w:hAnsi="Verdana" w:cs="Arial"/>
          <w:bCs/>
          <w:color w:val="000000" w:themeColor="text1"/>
        </w:rPr>
        <w:t>vi</w:t>
      </w:r>
      <w:r w:rsidR="00231192" w:rsidRPr="00C34E7A">
        <w:rPr>
          <w:rFonts w:ascii="Verdana" w:hAnsi="Verdana" w:cs="Arial"/>
          <w:bCs/>
          <w:color w:val="000000" w:themeColor="text1"/>
        </w:rPr>
        <w:t>ii</w:t>
      </w:r>
      <w:proofErr w:type="spellEnd"/>
      <w:r w:rsidR="00231192" w:rsidRPr="00C34E7A">
        <w:rPr>
          <w:rFonts w:ascii="Verdana" w:hAnsi="Verdana" w:cs="Arial"/>
          <w:bCs/>
          <w:color w:val="000000" w:themeColor="text1"/>
        </w:rPr>
        <w:t>)</w:t>
      </w:r>
      <w:r w:rsidRPr="00C34E7A">
        <w:rPr>
          <w:rFonts w:ascii="Verdana" w:eastAsia="Times New Roman" w:hAnsi="Verdana" w:cs="Times New Roman"/>
          <w:b/>
          <w:bCs/>
          <w:sz w:val="24"/>
          <w:szCs w:val="24"/>
          <w:lang w:eastAsia="es-CO"/>
        </w:rPr>
        <w:t xml:space="preserve"> </w:t>
      </w:r>
      <w:r w:rsidR="00231192" w:rsidRPr="00C34E7A">
        <w:rPr>
          <w:rFonts w:ascii="Verdana" w:eastAsia="Times New Roman" w:hAnsi="Verdana" w:cs="Arial"/>
          <w:bCs/>
          <w:lang w:eastAsia="x-none"/>
        </w:rPr>
        <w:t>En este punto</w:t>
      </w:r>
      <w:r w:rsidRPr="00C34E7A">
        <w:rPr>
          <w:rFonts w:ascii="Verdana" w:eastAsia="Times New Roman" w:hAnsi="Verdana" w:cs="Arial"/>
          <w:bCs/>
          <w:lang w:eastAsia="x-none"/>
        </w:rPr>
        <w:t xml:space="preserve">, teniendo en cuenta el contenido de la consulta, </w:t>
      </w:r>
      <w:r w:rsidR="00231192" w:rsidRPr="00C34E7A">
        <w:rPr>
          <w:rFonts w:ascii="Verdana" w:eastAsia="Times New Roman" w:hAnsi="Verdana" w:cs="Arial"/>
          <w:bCs/>
          <w:lang w:eastAsia="x-none"/>
        </w:rPr>
        <w:t xml:space="preserve">resulta </w:t>
      </w:r>
      <w:r w:rsidRPr="00C34E7A">
        <w:rPr>
          <w:rFonts w:ascii="Verdana" w:eastAsia="Times New Roman" w:hAnsi="Verdana" w:cs="Arial"/>
          <w:bCs/>
          <w:lang w:eastAsia="x-none"/>
        </w:rPr>
        <w:t>relevante considerar las particularidades del Sistema Electrónico para la Contratación Pública –SECOP II–</w:t>
      </w:r>
      <w:r w:rsidRPr="00C34E7A">
        <w:rPr>
          <w:rFonts w:ascii="Verdana" w:eastAsia="Calibri" w:hAnsi="Verdana" w:cs="Arial"/>
          <w:lang w:val="es-ES_tradnl"/>
        </w:rPr>
        <w:t xml:space="preserve">, </w:t>
      </w:r>
      <w:r w:rsidR="00231192" w:rsidRPr="00C34E7A">
        <w:rPr>
          <w:rFonts w:ascii="Verdana" w:eastAsia="Calibri" w:hAnsi="Verdana" w:cs="Arial"/>
          <w:lang w:val="es-ES_tradnl"/>
        </w:rPr>
        <w:t xml:space="preserve">el cual </w:t>
      </w:r>
      <w:r w:rsidRPr="00C34E7A">
        <w:rPr>
          <w:rFonts w:ascii="Verdana" w:eastAsia="Calibri" w:hAnsi="Verdana" w:cs="Arial"/>
          <w:lang w:val="es-ES_tradnl"/>
        </w:rPr>
        <w:t>tiene dispuesto dos módulos para las entidades estatales con régimen especial, los cuales son:</w:t>
      </w:r>
    </w:p>
    <w:p w14:paraId="7B31A663" w14:textId="77777777" w:rsidR="00555273" w:rsidRPr="00C34E7A" w:rsidRDefault="00555273" w:rsidP="00555273">
      <w:pPr>
        <w:numPr>
          <w:ilvl w:val="0"/>
          <w:numId w:val="21"/>
        </w:numPr>
        <w:spacing w:line="276" w:lineRule="auto"/>
        <w:jc w:val="both"/>
        <w:rPr>
          <w:rFonts w:ascii="Verdana" w:eastAsia="Calibri" w:hAnsi="Verdana" w:cs="Arial"/>
          <w:u w:val="single"/>
          <w:lang w:val="es-MX"/>
        </w:rPr>
      </w:pPr>
      <w:r w:rsidRPr="00C34E7A">
        <w:rPr>
          <w:rFonts w:ascii="Verdana" w:eastAsia="Calibri" w:hAnsi="Verdana" w:cs="Arial"/>
          <w:b/>
          <w:bCs/>
          <w:lang w:val="es-MX"/>
        </w:rPr>
        <w:t>Contratación Régimen Especial (con ofertas)</w:t>
      </w:r>
      <w:r w:rsidRPr="00C34E7A">
        <w:rPr>
          <w:rFonts w:ascii="Verdana" w:eastAsia="Calibri" w:hAnsi="Verdana" w:cs="Arial"/>
          <w:iCs/>
          <w:vertAlign w:val="superscript"/>
          <w:lang w:val="es-ES"/>
        </w:rPr>
        <w:footnoteReference w:id="37"/>
      </w:r>
      <w:r w:rsidRPr="00C34E7A">
        <w:rPr>
          <w:rFonts w:ascii="Verdana" w:eastAsia="Calibri" w:hAnsi="Verdana" w:cs="Arial"/>
          <w:b/>
          <w:bCs/>
          <w:lang w:val="es-MX"/>
        </w:rPr>
        <w:t>:</w:t>
      </w:r>
      <w:r w:rsidRPr="00C34E7A">
        <w:rPr>
          <w:rFonts w:ascii="Verdana" w:eastAsia="Calibri" w:hAnsi="Verdana" w:cs="Arial"/>
          <w:lang w:val="es-MX"/>
        </w:rPr>
        <w:t xml:space="preserve"> Permite a las entidades gestionar sus procesos competitivos de contratación. Mediante este módulo las entidades pueden adelantar el proceso de contratación de manera transaccional, es decir, que a través de este módulo las entidades estatales pueden estructurar el proceso de contratación, recibir ofertas de los proveedores, generar el contrato de electrónico y realizar la gestión contractual. </w:t>
      </w:r>
    </w:p>
    <w:p w14:paraId="3AC92C56" w14:textId="77777777" w:rsidR="00555273" w:rsidRPr="00C34E7A" w:rsidRDefault="00555273" w:rsidP="00555273">
      <w:pPr>
        <w:numPr>
          <w:ilvl w:val="0"/>
          <w:numId w:val="21"/>
        </w:numPr>
        <w:spacing w:line="276" w:lineRule="auto"/>
        <w:jc w:val="both"/>
        <w:rPr>
          <w:rFonts w:ascii="Verdana" w:eastAsia="Calibri" w:hAnsi="Verdana" w:cs="Arial"/>
          <w:u w:val="single"/>
          <w:lang w:val="es-MX"/>
        </w:rPr>
      </w:pPr>
      <w:r w:rsidRPr="00C34E7A">
        <w:rPr>
          <w:rFonts w:ascii="Verdana" w:eastAsia="Calibri" w:hAnsi="Verdana" w:cs="Arial"/>
          <w:b/>
          <w:bCs/>
          <w:lang w:val="es-MX"/>
        </w:rPr>
        <w:t>Contratación Régimen Especial (sin ofertas)</w:t>
      </w:r>
      <w:r w:rsidRPr="00C34E7A">
        <w:rPr>
          <w:rFonts w:ascii="Verdana" w:eastAsia="Calibri" w:hAnsi="Verdana" w:cs="Arial"/>
          <w:iCs/>
          <w:vertAlign w:val="superscript"/>
          <w:lang w:val="es-ES"/>
        </w:rPr>
        <w:footnoteReference w:id="38"/>
      </w:r>
      <w:r w:rsidRPr="00C34E7A">
        <w:rPr>
          <w:rFonts w:ascii="Verdana" w:eastAsia="Calibri" w:hAnsi="Verdana" w:cs="Arial"/>
          <w:b/>
          <w:bCs/>
          <w:lang w:val="es-MX"/>
        </w:rPr>
        <w:t>:</w:t>
      </w:r>
      <w:r w:rsidRPr="00C34E7A">
        <w:rPr>
          <w:rFonts w:ascii="Verdana" w:eastAsia="Calibri" w:hAnsi="Verdana" w:cs="Arial"/>
          <w:lang w:val="es-MX"/>
        </w:rPr>
        <w:t xml:space="preserve"> Este módulo permite a las entidades gestionar sus procesos de selección directos. Asimismo, este módulo permite estructurar los procesos de contratación, publicar documentos generados por fuera de la plataforma y realizar la gestión contractual en línea. </w:t>
      </w:r>
    </w:p>
    <w:p w14:paraId="52B6A932" w14:textId="77777777" w:rsidR="00555273" w:rsidRPr="00C34E7A" w:rsidRDefault="00555273" w:rsidP="00555273">
      <w:pPr>
        <w:spacing w:line="276" w:lineRule="auto"/>
        <w:ind w:firstLine="567"/>
        <w:jc w:val="both"/>
        <w:rPr>
          <w:rFonts w:ascii="Verdana" w:eastAsia="Calibri" w:hAnsi="Verdana" w:cs="Arial"/>
          <w:iCs/>
          <w:lang w:val="es-ES"/>
        </w:rPr>
      </w:pPr>
      <w:r w:rsidRPr="00C34E7A">
        <w:rPr>
          <w:rFonts w:ascii="Verdana" w:eastAsia="Calibri" w:hAnsi="Verdana" w:cs="Arial"/>
          <w:iCs/>
          <w:lang w:val="es-ES"/>
        </w:rPr>
        <w:t xml:space="preserve">Ahora bien, </w:t>
      </w:r>
      <w:bookmarkStart w:id="2" w:name="_Hlk109112150"/>
      <w:r w:rsidRPr="00C34E7A">
        <w:rPr>
          <w:rFonts w:ascii="Verdana" w:eastAsia="Calibri" w:hAnsi="Verdana" w:cs="Arial"/>
          <w:iCs/>
          <w:lang w:val="es-ES"/>
        </w:rPr>
        <w:t>dado que el artículo 53 de la Ley 2195 de 2022 no cambió la forma en que se perfeccionan los contratos suscritos por estas entidades exceptuadas, para cumplir con el deber de publicidad que les asiste, estas podrán elegir cualquiera de las siguientes opciones:</w:t>
      </w:r>
    </w:p>
    <w:p w14:paraId="4485C7B8" w14:textId="77777777" w:rsidR="00555273" w:rsidRPr="00C34E7A" w:rsidRDefault="00555273" w:rsidP="00555273">
      <w:pPr>
        <w:numPr>
          <w:ilvl w:val="0"/>
          <w:numId w:val="20"/>
        </w:numPr>
        <w:spacing w:line="276" w:lineRule="auto"/>
        <w:jc w:val="both"/>
        <w:rPr>
          <w:rFonts w:ascii="Verdana" w:eastAsia="Calibri" w:hAnsi="Verdana" w:cs="Arial"/>
          <w:iCs/>
          <w:lang w:val="es-ES"/>
        </w:rPr>
      </w:pPr>
      <w:r w:rsidRPr="00C34E7A">
        <w:rPr>
          <w:rFonts w:ascii="Verdana" w:eastAsia="Calibri" w:hAnsi="Verdana" w:cs="Arial"/>
          <w:lang w:val="es-ES"/>
        </w:rPr>
        <w:t>Firmar</w:t>
      </w:r>
      <w:r w:rsidRPr="00C34E7A">
        <w:rPr>
          <w:rFonts w:ascii="Verdana" w:eastAsia="Calibri" w:hAnsi="Verdana" w:cs="Arial"/>
          <w:lang w:val="es-MX"/>
        </w:rPr>
        <w:t xml:space="preserve"> el contrato electrónicamente, es decir, realizar un uso transaccional de la plataforma.</w:t>
      </w:r>
    </w:p>
    <w:p w14:paraId="5B4BAE8A" w14:textId="77777777" w:rsidR="00555273" w:rsidRPr="00C34E7A" w:rsidRDefault="00555273" w:rsidP="00555273">
      <w:pPr>
        <w:numPr>
          <w:ilvl w:val="0"/>
          <w:numId w:val="20"/>
        </w:numPr>
        <w:spacing w:line="276" w:lineRule="auto"/>
        <w:jc w:val="both"/>
        <w:rPr>
          <w:rFonts w:ascii="Verdana" w:eastAsia="Calibri" w:hAnsi="Verdana" w:cs="Arial"/>
          <w:lang w:val="es-MX"/>
        </w:rPr>
      </w:pPr>
      <w:r w:rsidRPr="00C34E7A">
        <w:rPr>
          <w:rFonts w:ascii="Verdana" w:eastAsia="Calibri" w:hAnsi="Verdana" w:cs="Arial"/>
          <w:lang w:val="es-MX"/>
        </w:rPr>
        <w:t>Firmar el contrato en físico y publicar los documentos de ejecución en la etapa precontractual del SECOP II, es decir, realizar un uso publicitario de la plataforma.</w:t>
      </w:r>
    </w:p>
    <w:p w14:paraId="0173D607" w14:textId="77777777" w:rsidR="00555273" w:rsidRPr="00C34E7A" w:rsidRDefault="00555273" w:rsidP="00555273">
      <w:pPr>
        <w:spacing w:line="276" w:lineRule="auto"/>
        <w:ind w:firstLine="567"/>
        <w:jc w:val="both"/>
        <w:rPr>
          <w:rFonts w:ascii="Verdana" w:eastAsia="Calibri" w:hAnsi="Verdana" w:cs="Arial"/>
        </w:rPr>
      </w:pPr>
      <w:r w:rsidRPr="00C34E7A">
        <w:rPr>
          <w:rFonts w:ascii="Verdana" w:eastAsia="Calibri" w:hAnsi="Verdana" w:cs="Arial"/>
        </w:rPr>
        <w:t xml:space="preserve">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w:t>
      </w:r>
      <w:r w:rsidRPr="00C34E7A">
        <w:rPr>
          <w:rFonts w:ascii="Verdana" w:eastAsia="Calibri" w:hAnsi="Verdana" w:cs="Arial"/>
        </w:rPr>
        <w:lastRenderedPageBreak/>
        <w:t xml:space="preserve">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en el numeral anterior. </w:t>
      </w:r>
    </w:p>
    <w:p w14:paraId="53E6819D" w14:textId="77777777" w:rsidR="00555273" w:rsidRPr="00C34E7A" w:rsidRDefault="00555273" w:rsidP="00555273">
      <w:pPr>
        <w:spacing w:line="276" w:lineRule="auto"/>
        <w:ind w:firstLine="567"/>
        <w:jc w:val="both"/>
        <w:rPr>
          <w:rFonts w:ascii="Verdana" w:eastAsia="Calibri" w:hAnsi="Verdana" w:cs="Arial"/>
        </w:rPr>
      </w:pPr>
      <w:r w:rsidRPr="00C34E7A">
        <w:rPr>
          <w:rFonts w:ascii="Verdana" w:eastAsia="Calibri" w:hAnsi="Verdana" w:cs="Arial"/>
        </w:rPr>
        <w:t>En el segundo caso, si decide utilizar el SECOP II como herramienta de publicidad, deberá crear el proceso de contratación en el SECOP II mediante el módulo “</w:t>
      </w:r>
      <w:r w:rsidRPr="00C34E7A">
        <w:rPr>
          <w:rFonts w:ascii="Verdana" w:eastAsia="Calibri" w:hAnsi="Verdana" w:cs="Arial"/>
          <w:i/>
          <w:iCs/>
        </w:rPr>
        <w:t>Contratación Régimen Especial (sin ofertas)”</w:t>
      </w:r>
      <w:r w:rsidRPr="00C34E7A">
        <w:rPr>
          <w:rFonts w:ascii="Verdana" w:eastAsia="Calibri" w:hAnsi="Verdana" w:cs="Arial"/>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C34E7A">
        <w:rPr>
          <w:rFonts w:ascii="Verdana" w:eastAsia="Calibri" w:hAnsi="Verdana" w:cs="Arial"/>
          <w:i/>
          <w:iCs/>
        </w:rPr>
        <w:t>Finalizar</w:t>
      </w:r>
      <w:r w:rsidRPr="00C34E7A">
        <w:rPr>
          <w:rFonts w:ascii="Verdana" w:eastAsia="Calibri" w:hAnsi="Verdana" w:cs="Arial"/>
        </w:rPr>
        <w:t xml:space="preserve">” después de publicar el proceso, en tanto que la plataforma cierra el expediente y no permite la publicación posterior de ningún otro documento. </w:t>
      </w:r>
    </w:p>
    <w:p w14:paraId="4D075148" w14:textId="77777777" w:rsidR="00555273" w:rsidRPr="00C34E7A" w:rsidRDefault="00555273" w:rsidP="00555273">
      <w:pPr>
        <w:spacing w:line="276" w:lineRule="auto"/>
        <w:ind w:firstLine="567"/>
        <w:jc w:val="both"/>
        <w:rPr>
          <w:rFonts w:ascii="Verdana" w:eastAsia="Calibri" w:hAnsi="Verdana" w:cs="Arial"/>
        </w:rPr>
      </w:pPr>
      <w:r w:rsidRPr="00C34E7A">
        <w:rPr>
          <w:rFonts w:ascii="Verdana" w:eastAsia="Calibri" w:hAnsi="Verdana" w:cs="Arial"/>
        </w:rPr>
        <w:t xml:space="preserve">En este segundo evento si es posible que se firme el contrato de forma manuscrita y, posteriormente, se cargue a la plataforma para realizar la debida publicidad </w:t>
      </w:r>
      <w:proofErr w:type="gramStart"/>
      <w:r w:rsidRPr="00C34E7A">
        <w:rPr>
          <w:rFonts w:ascii="Verdana" w:eastAsia="Calibri" w:hAnsi="Verdana" w:cs="Arial"/>
        </w:rPr>
        <w:t>del mismo</w:t>
      </w:r>
      <w:proofErr w:type="gramEnd"/>
      <w:r w:rsidRPr="00C34E7A">
        <w:rPr>
          <w:rFonts w:ascii="Verdana" w:eastAsia="Calibri" w:hAnsi="Verdana" w:cs="Arial"/>
        </w:rPr>
        <w:t xml:space="preserve">. La fecha de perfeccionamiento del contrato será aquella en la cual el contrato fue suscrito por ambas partes. Así las cosas, frente a las restricciones de la Ley de Garantías Electorales, el contrato celebrado de forma directa será válido siempre que hay sido firmado de forma manuscrita por las dos partes antes de la </w:t>
      </w:r>
      <w:proofErr w:type="gramStart"/>
      <w:r w:rsidRPr="00C34E7A">
        <w:rPr>
          <w:rFonts w:ascii="Verdana" w:eastAsia="Calibri" w:hAnsi="Verdana" w:cs="Arial"/>
        </w:rPr>
        <w:t>entrada en vigencia</w:t>
      </w:r>
      <w:proofErr w:type="gramEnd"/>
      <w:r w:rsidRPr="00C34E7A">
        <w:rPr>
          <w:rFonts w:ascii="Verdana" w:eastAsia="Calibri" w:hAnsi="Verdana" w:cs="Arial"/>
        </w:rPr>
        <w:t xml:space="preserve"> de la prohibición. </w:t>
      </w:r>
    </w:p>
    <w:bookmarkEnd w:id="2"/>
    <w:p w14:paraId="46476FA5" w14:textId="2ABCBC37" w:rsidR="00555273" w:rsidRPr="00C34E7A" w:rsidRDefault="00555273" w:rsidP="00231192">
      <w:pPr>
        <w:spacing w:after="0" w:line="276" w:lineRule="auto"/>
        <w:ind w:firstLine="567"/>
        <w:jc w:val="both"/>
        <w:rPr>
          <w:rFonts w:ascii="Verdana" w:eastAsia="Calibri" w:hAnsi="Verdana" w:cs="Arial"/>
          <w:lang w:val="es-ES"/>
        </w:rPr>
      </w:pPr>
      <w:r w:rsidRPr="00C34E7A">
        <w:rPr>
          <w:rFonts w:ascii="Verdana" w:eastAsia="Calibri" w:hAnsi="Verdana" w:cs="Arial"/>
        </w:rPr>
        <w:t>No obstante, es importante resaltar que el uso de la plataforma SECOP II para fines netamente publicitarios, solo es una opción para aquellas entidades exceptuadas del Estatuto General de Contratación de la Administración Pública, mediante el módulo “Contratación Régimen Especial (sin ofertas)”. Lo cual excluye la posibilidad de que las entidades sometidas al Estatuto General de Contratación utilicen el SECOP II con fines netamente publicitarios, sino que están obligadas a tranzar por dicha plataforma.</w:t>
      </w:r>
      <w:r w:rsidRPr="00C34E7A">
        <w:rPr>
          <w:rFonts w:ascii="Verdana" w:eastAsia="Times New Roman" w:hAnsi="Verdana" w:cs="Arial"/>
          <w:bCs/>
          <w:lang w:eastAsia="x-none"/>
        </w:rPr>
        <w:t xml:space="preserve"> </w:t>
      </w:r>
    </w:p>
    <w:p w14:paraId="398F1FBE" w14:textId="77777777" w:rsidR="00231192" w:rsidRPr="00C34E7A" w:rsidRDefault="00231192" w:rsidP="007E0F7A">
      <w:pPr>
        <w:spacing w:after="0" w:line="276" w:lineRule="auto"/>
        <w:jc w:val="both"/>
        <w:rPr>
          <w:rFonts w:ascii="Verdana" w:eastAsia="Calibri" w:hAnsi="Verdana" w:cs="Arial"/>
          <w:color w:val="000000"/>
          <w:lang w:val="es-ES_tradnl" w:eastAsia="es-ES_tradnl"/>
        </w:rPr>
      </w:pPr>
    </w:p>
    <w:p w14:paraId="65469342" w14:textId="6B76F808" w:rsidR="00CA1822" w:rsidRPr="00C34E7A" w:rsidRDefault="00231192" w:rsidP="007E0F7A">
      <w:pPr>
        <w:spacing w:after="0" w:line="276" w:lineRule="auto"/>
        <w:jc w:val="both"/>
        <w:rPr>
          <w:rStyle w:val="Hipervnculo"/>
          <w:rFonts w:ascii="Verdana" w:eastAsia="Times New Roman" w:hAnsi="Verdana" w:cs="Arial"/>
          <w:color w:val="000000" w:themeColor="text1"/>
          <w:u w:val="none"/>
          <w:lang w:eastAsia="es-ES_tradnl"/>
        </w:rPr>
      </w:pPr>
      <w:proofErr w:type="spellStart"/>
      <w:r w:rsidRPr="00C34E7A">
        <w:rPr>
          <w:rFonts w:ascii="Verdana" w:eastAsia="Calibri" w:hAnsi="Verdana" w:cs="Arial"/>
          <w:color w:val="000000" w:themeColor="text1"/>
          <w:lang w:val="es-ES" w:eastAsia="es-ES"/>
        </w:rPr>
        <w:t>ix</w:t>
      </w:r>
      <w:proofErr w:type="spellEnd"/>
      <w:r w:rsidRPr="00C34E7A">
        <w:rPr>
          <w:rFonts w:ascii="Verdana" w:eastAsia="Calibri" w:hAnsi="Verdana" w:cs="Arial"/>
          <w:color w:val="000000" w:themeColor="text1"/>
          <w:lang w:val="es-ES" w:eastAsia="es-ES"/>
        </w:rPr>
        <w:t xml:space="preserve">) </w:t>
      </w:r>
      <w:r w:rsidR="00CA1822" w:rsidRPr="00C34E7A">
        <w:rPr>
          <w:rFonts w:ascii="Verdana" w:eastAsia="Times New Roman" w:hAnsi="Verdana" w:cs="Arial"/>
          <w:color w:val="000000" w:themeColor="text1"/>
          <w:lang w:eastAsia="es-ES_tradnl"/>
        </w:rPr>
        <w:t>Finalmente</w:t>
      </w:r>
      <w:r w:rsidR="00754898" w:rsidRPr="00C34E7A">
        <w:rPr>
          <w:rFonts w:ascii="Verdana" w:eastAsia="Times New Roman" w:hAnsi="Verdana" w:cs="Arial"/>
          <w:color w:val="000000" w:themeColor="text1"/>
          <w:lang w:eastAsia="es-ES_tradnl"/>
        </w:rPr>
        <w:t xml:space="preserve">, respecto del interrogante relacionado con los contratos C-068-2026, C-069-2026, C-039-2026 y C-024-2026, se indica que la Subdirección de Información y Desarrollo Tecnológico emitió la respuesta correspondiente, la cual se anexa al presente concepto. Para su adecuada visualización, se recomienda utilizar un aplicativo de lectura de archivos PDF, como Adobe </w:t>
      </w:r>
      <w:r w:rsidR="00754898" w:rsidRPr="00C34E7A">
        <w:rPr>
          <w:rFonts w:ascii="Verdana" w:eastAsia="Times New Roman" w:hAnsi="Verdana" w:cs="Arial"/>
          <w:color w:val="000000" w:themeColor="text1"/>
          <w:lang w:eastAsia="es-ES_tradnl"/>
        </w:rPr>
        <w:lastRenderedPageBreak/>
        <w:t xml:space="preserve">Reader, que permite la descarga y apertura de los documentos adjuntos. En caso de presentar inconvenientes con la visualización de los anexos, se ha dispuesto un enlace adicional que facilita el acceso a la información. </w:t>
      </w:r>
      <w:hyperlink r:id="rId14">
        <w:r w:rsidR="00400959" w:rsidRPr="00C34E7A">
          <w:rPr>
            <w:rStyle w:val="Hipervnculo"/>
            <w:rFonts w:ascii="Verdana" w:eastAsia="Verdana" w:hAnsi="Verdana" w:cs="Verdana"/>
            <w:b/>
            <w:bCs/>
          </w:rPr>
          <w:t>instructivo</w:t>
        </w:r>
      </w:hyperlink>
    </w:p>
    <w:p w14:paraId="2955A6E9" w14:textId="77777777" w:rsidR="00CA1822" w:rsidRPr="00C34E7A" w:rsidRDefault="00CA1822" w:rsidP="00CA1822">
      <w:pPr>
        <w:spacing w:before="120" w:after="0" w:line="276" w:lineRule="auto"/>
        <w:ind w:firstLine="709"/>
        <w:jc w:val="both"/>
        <w:rPr>
          <w:rFonts w:ascii="Verdana" w:eastAsia="Times New Roman" w:hAnsi="Verdana" w:cs="Arial"/>
          <w:color w:val="000000" w:themeColor="text1"/>
          <w:lang w:eastAsia="es-ES_tradnl"/>
        </w:rPr>
      </w:pPr>
      <w:r w:rsidRPr="00C34E7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FAEF11D" w14:textId="5C97A254" w:rsidR="00CA1822" w:rsidRPr="00C34E7A" w:rsidRDefault="00CA1822" w:rsidP="00D30AA0">
      <w:pPr>
        <w:spacing w:before="120" w:after="0" w:line="276" w:lineRule="auto"/>
        <w:ind w:firstLine="709"/>
        <w:jc w:val="both"/>
        <w:rPr>
          <w:rFonts w:ascii="Verdana" w:hAnsi="Verdana" w:cs="Arial"/>
          <w:color w:val="000000" w:themeColor="text1"/>
        </w:rPr>
      </w:pPr>
      <w:r w:rsidRPr="00C34E7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03B64BB" w14:textId="77777777" w:rsidR="00D30AA0" w:rsidRPr="00C34E7A" w:rsidRDefault="00D30AA0" w:rsidP="007E0F7A">
      <w:pPr>
        <w:spacing w:after="0" w:line="276" w:lineRule="auto"/>
        <w:ind w:firstLine="709"/>
        <w:jc w:val="both"/>
        <w:rPr>
          <w:rFonts w:ascii="Verdana" w:eastAsia="Times New Roman" w:hAnsi="Verdana" w:cs="Arial"/>
          <w:color w:val="000000" w:themeColor="text1"/>
          <w:lang w:eastAsia="es-ES_tradnl"/>
        </w:rPr>
      </w:pPr>
    </w:p>
    <w:p w14:paraId="43D28D31" w14:textId="77777777" w:rsidR="00694C26" w:rsidRPr="00C34E7A" w:rsidRDefault="00694C26" w:rsidP="00694C26">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C34E7A">
        <w:rPr>
          <w:rFonts w:ascii="Verdana" w:eastAsia="Century Gothic" w:hAnsi="Verdana" w:cs="Century Gothic"/>
          <w:b/>
          <w:bCs/>
        </w:rPr>
        <w:t>Referencias normativas, jurisprudenciales y otras fuentes:</w:t>
      </w:r>
    </w:p>
    <w:p w14:paraId="7F7F57AE" w14:textId="77777777" w:rsidR="00694C26" w:rsidRPr="00C34E7A" w:rsidRDefault="00694C26" w:rsidP="00694C2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4C26" w:rsidRPr="00C34E7A" w14:paraId="754BD430" w14:textId="77777777" w:rsidTr="0028651F">
        <w:trPr>
          <w:trHeight w:val="870"/>
        </w:trPr>
        <w:tc>
          <w:tcPr>
            <w:tcW w:w="8647" w:type="dxa"/>
          </w:tcPr>
          <w:p w14:paraId="34C6B070"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lang w:val="es-ES" w:eastAsia="es-ES" w:bidi="es-ES"/>
              </w:rPr>
              <w:t>Constitución Política, artículos 127, 329, 356.</w:t>
            </w:r>
          </w:p>
          <w:p w14:paraId="456B9453"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lang w:val="es-ES" w:eastAsia="es-ES" w:bidi="es-ES"/>
              </w:rPr>
              <w:t>Decreto 1088 de 1993.</w:t>
            </w:r>
          </w:p>
          <w:p w14:paraId="4B26139C"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lang w:val="es-ES" w:eastAsia="es-ES" w:bidi="es-ES"/>
              </w:rPr>
              <w:t>Decreto 1953 de 2014.</w:t>
            </w:r>
          </w:p>
          <w:p w14:paraId="0ECB3140"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lang w:val="es-ES" w:eastAsia="es-ES" w:bidi="es-ES"/>
              </w:rPr>
              <w:t>Ley 80 de 1993, artículo 2.</w:t>
            </w:r>
          </w:p>
          <w:p w14:paraId="242D151B"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lang w:val="es-ES" w:eastAsia="es-ES" w:bidi="es-ES"/>
              </w:rPr>
              <w:t>Ley 715 de 2001.</w:t>
            </w:r>
          </w:p>
          <w:p w14:paraId="708F70C4"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eastAsia="Arial MT" w:hAnsi="Verdana" w:cs="Arial"/>
                <w:bCs/>
                <w:lang w:val="es-ES" w:eastAsia="es-ES" w:bidi="es-ES"/>
              </w:rPr>
              <w:t>Ley 996 de 2005, artículos 33 y 38.</w:t>
            </w:r>
          </w:p>
          <w:p w14:paraId="49E605BD" w14:textId="77777777" w:rsidR="00D30AA0"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hAnsi="Verdana" w:cs="Arial"/>
                <w:bCs/>
                <w:color w:val="000000" w:themeColor="text1"/>
                <w:lang w:val="es-ES"/>
              </w:rPr>
              <w:t>Decreto 1068 de 2015, artículo 2.2.1.1.1.</w:t>
            </w:r>
          </w:p>
          <w:p w14:paraId="18770B4A" w14:textId="77777777" w:rsidR="00D30AA0" w:rsidRPr="00C34E7A" w:rsidRDefault="00D30AA0" w:rsidP="00642DC5">
            <w:pPr>
              <w:widowControl w:val="0"/>
              <w:numPr>
                <w:ilvl w:val="0"/>
                <w:numId w:val="17"/>
              </w:numPr>
              <w:autoSpaceDE w:val="0"/>
              <w:autoSpaceDN w:val="0"/>
              <w:spacing w:after="120" w:line="276" w:lineRule="auto"/>
              <w:jc w:val="both"/>
              <w:rPr>
                <w:rFonts w:ascii="Verdana" w:hAnsi="Verdana" w:cs="Arial"/>
                <w:lang w:val="es-ES"/>
              </w:rPr>
            </w:pPr>
            <w:r w:rsidRPr="00C34E7A">
              <w:rPr>
                <w:rFonts w:ascii="Verdana" w:hAnsi="Verdana" w:cs="Arial"/>
                <w:lang w:val="pt-BR"/>
              </w:rPr>
              <w:t xml:space="preserve">Corte Constitucional. Sentencia C-671 de 2015. M.P. Alberto Rojas </w:t>
            </w:r>
            <w:r w:rsidRPr="00C34E7A">
              <w:rPr>
                <w:rFonts w:ascii="Verdana" w:hAnsi="Verdana" w:cs="Arial"/>
                <w:lang w:val="pt-BR"/>
              </w:rPr>
              <w:lastRenderedPageBreak/>
              <w:t>Ríos.</w:t>
            </w:r>
          </w:p>
          <w:p w14:paraId="29F8D161" w14:textId="77777777" w:rsidR="00D30AA0" w:rsidRPr="00C34E7A" w:rsidRDefault="00D30AA0" w:rsidP="00642DC5">
            <w:pPr>
              <w:widowControl w:val="0"/>
              <w:numPr>
                <w:ilvl w:val="0"/>
                <w:numId w:val="17"/>
              </w:numPr>
              <w:autoSpaceDE w:val="0"/>
              <w:autoSpaceDN w:val="0"/>
              <w:spacing w:after="120" w:line="276" w:lineRule="auto"/>
              <w:jc w:val="both"/>
              <w:rPr>
                <w:rFonts w:ascii="Verdana" w:hAnsi="Verdana" w:cs="Arial"/>
                <w:lang w:val="es-ES"/>
              </w:rPr>
            </w:pPr>
            <w:r w:rsidRPr="00C34E7A">
              <w:rPr>
                <w:rFonts w:ascii="Verdana" w:hAnsi="Verdana" w:cs="Arial"/>
                <w:lang w:val="es-ES"/>
              </w:rPr>
              <w:t xml:space="preserve">Consejo de Estado, Sección Primera. Sentencia de 3 de marzo de 2005, </w:t>
            </w:r>
            <w:proofErr w:type="spellStart"/>
            <w:r w:rsidRPr="00C34E7A">
              <w:rPr>
                <w:rFonts w:ascii="Verdana" w:hAnsi="Verdana" w:cs="Arial"/>
                <w:lang w:val="es-ES"/>
              </w:rPr>
              <w:t>Exp</w:t>
            </w:r>
            <w:proofErr w:type="spellEnd"/>
            <w:r w:rsidRPr="00C34E7A">
              <w:rPr>
                <w:rFonts w:ascii="Verdana" w:hAnsi="Verdana" w:cs="Arial"/>
                <w:lang w:val="es-ES"/>
              </w:rPr>
              <w:t xml:space="preserve">. 2004-00823-01(PI). </w:t>
            </w:r>
          </w:p>
          <w:p w14:paraId="49853241" w14:textId="77777777" w:rsidR="00D30AA0" w:rsidRPr="00C34E7A" w:rsidRDefault="00D30AA0" w:rsidP="00642DC5">
            <w:pPr>
              <w:numPr>
                <w:ilvl w:val="0"/>
                <w:numId w:val="17"/>
              </w:numPr>
              <w:spacing w:after="120" w:line="276" w:lineRule="auto"/>
              <w:jc w:val="both"/>
              <w:rPr>
                <w:rFonts w:ascii="Verdana" w:hAnsi="Verdana" w:cs="Arial"/>
                <w:lang w:val="es-ES"/>
              </w:rPr>
            </w:pPr>
            <w:r w:rsidRPr="00C34E7A">
              <w:rPr>
                <w:rFonts w:ascii="Verdana" w:hAnsi="Verdana" w:cs="Arial"/>
              </w:rPr>
              <w:t>Consejo de Estado. Sala de Consulta y Servicio Civil. Concepto del 15 de noviembre de 2007. Expediente número 1863. Consejero Ponente: Luis Fernando Álvarez Jaramillo</w:t>
            </w:r>
          </w:p>
          <w:p w14:paraId="15E5D469" w14:textId="77777777" w:rsidR="00D30AA0" w:rsidRPr="00C34E7A" w:rsidRDefault="00D30AA0" w:rsidP="00642DC5">
            <w:pPr>
              <w:widowControl w:val="0"/>
              <w:numPr>
                <w:ilvl w:val="0"/>
                <w:numId w:val="17"/>
              </w:numPr>
              <w:autoSpaceDE w:val="0"/>
              <w:autoSpaceDN w:val="0"/>
              <w:spacing w:after="120" w:line="276" w:lineRule="auto"/>
              <w:jc w:val="both"/>
              <w:rPr>
                <w:rFonts w:ascii="Verdana" w:hAnsi="Verdana" w:cs="Arial"/>
                <w:lang w:val="es-ES"/>
              </w:rPr>
            </w:pPr>
            <w:r w:rsidRPr="00C34E7A">
              <w:rPr>
                <w:rFonts w:ascii="Verdana" w:hAnsi="Verdana" w:cs="Arial"/>
                <w:lang w:val="es-ES"/>
              </w:rPr>
              <w:t xml:space="preserve">Consejo de Estado, Sala de Consulta y Servicio Civil, Concepto de fecha 24 de julio de 2013, Rad. 2166, C. P. Álvaro Namén Vargas. </w:t>
            </w:r>
          </w:p>
          <w:p w14:paraId="2D129018" w14:textId="77777777" w:rsidR="00D30AA0" w:rsidRPr="00C34E7A" w:rsidRDefault="00D30AA0" w:rsidP="00642DC5">
            <w:pPr>
              <w:numPr>
                <w:ilvl w:val="0"/>
                <w:numId w:val="17"/>
              </w:numPr>
              <w:spacing w:after="120" w:line="276" w:lineRule="auto"/>
              <w:jc w:val="both"/>
              <w:rPr>
                <w:rFonts w:ascii="Verdana" w:hAnsi="Verdana" w:cs="Arial"/>
                <w:lang w:val="es-ES"/>
              </w:rPr>
            </w:pPr>
            <w:r w:rsidRPr="00C34E7A">
              <w:rPr>
                <w:rFonts w:ascii="Verdana" w:hAnsi="Verdana" w:cs="Arial"/>
              </w:rPr>
              <w:t>Consejo de Estado. Sala de Consulta y Servicio Civil. Concepto del 2 de septiembre de 2013 Radicado No: 2168. CP: Alvaro Namén Vargas.</w:t>
            </w:r>
          </w:p>
          <w:p w14:paraId="3C2EBB4A" w14:textId="77777777" w:rsidR="00D30AA0" w:rsidRPr="00C34E7A" w:rsidRDefault="00D30AA0" w:rsidP="00642DC5">
            <w:pPr>
              <w:numPr>
                <w:ilvl w:val="0"/>
                <w:numId w:val="17"/>
              </w:numPr>
              <w:spacing w:after="120" w:line="276" w:lineRule="auto"/>
              <w:jc w:val="both"/>
              <w:rPr>
                <w:rFonts w:ascii="Verdana" w:hAnsi="Verdana" w:cs="Arial"/>
                <w:lang w:val="es-ES"/>
              </w:rPr>
            </w:pPr>
            <w:r w:rsidRPr="00C34E7A">
              <w:rPr>
                <w:rFonts w:ascii="Verdana" w:hAnsi="Verdana" w:cs="Arial"/>
                <w:lang w:val="es-ES"/>
              </w:rPr>
              <w:t>Consejo de Estado. Sala de Consulta y Servicio Civil. Concepto del 17 de febrero de 2015. C.P. William Zambrano Cetina. Radicación No. 11001-03-06-000-2015-00164-00(2269).</w:t>
            </w:r>
          </w:p>
          <w:p w14:paraId="67D3E62A" w14:textId="77777777" w:rsidR="00D30AA0" w:rsidRPr="00C34E7A" w:rsidRDefault="00D30AA0" w:rsidP="00642DC5">
            <w:pPr>
              <w:numPr>
                <w:ilvl w:val="0"/>
                <w:numId w:val="17"/>
              </w:numPr>
              <w:spacing w:after="120" w:line="276" w:lineRule="auto"/>
              <w:jc w:val="both"/>
              <w:rPr>
                <w:rFonts w:ascii="Verdana" w:hAnsi="Verdana" w:cs="Arial"/>
                <w:lang w:val="es-ES"/>
              </w:rPr>
            </w:pPr>
            <w:r w:rsidRPr="00C34E7A">
              <w:rPr>
                <w:rFonts w:ascii="Verdana" w:hAnsi="Verdana" w:cs="Arial"/>
                <w:lang w:val="es-ES"/>
              </w:rPr>
              <w:t>Consejo de Estado, Sala de Consulta y Servicio Civil, Concepto de fecha 8 de mayo de 2018, No. 2382. C. P. Álvaro Namén Vargas.</w:t>
            </w:r>
          </w:p>
          <w:p w14:paraId="5CFD1CEF" w14:textId="0D362C62" w:rsidR="00694C26" w:rsidRPr="00C34E7A" w:rsidRDefault="00D30AA0" w:rsidP="00642DC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34E7A">
              <w:rPr>
                <w:rFonts w:ascii="Verdana" w:hAnsi="Verdana" w:cs="Arial"/>
                <w:lang w:val="es-ES"/>
              </w:rPr>
              <w:t>Consejo de Estado, Sala de lo Contencioso Administrativo, Sección Tercera, Subsección A.  Primera. Sentencia de 11 de junio de 2014, expediente número 34649. C.P: Hernán Andrade Rincon.</w:t>
            </w:r>
          </w:p>
        </w:tc>
      </w:tr>
    </w:tbl>
    <w:p w14:paraId="79182DB2" w14:textId="77777777" w:rsidR="00694C26" w:rsidRPr="00C34E7A" w:rsidRDefault="00694C26" w:rsidP="00694C26">
      <w:pPr>
        <w:widowControl w:val="0"/>
        <w:autoSpaceDE w:val="0"/>
        <w:autoSpaceDN w:val="0"/>
        <w:spacing w:after="0" w:line="276" w:lineRule="auto"/>
        <w:jc w:val="both"/>
        <w:rPr>
          <w:rFonts w:ascii="Verdana" w:hAnsi="Verdana" w:cs="Arial"/>
        </w:rPr>
      </w:pPr>
    </w:p>
    <w:p w14:paraId="2F9DF409" w14:textId="77777777" w:rsidR="00694C26" w:rsidRPr="00C34E7A" w:rsidRDefault="00694C26" w:rsidP="00694C26">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34E7A">
        <w:rPr>
          <w:rFonts w:ascii="Verdana" w:eastAsia="Century Gothic" w:hAnsi="Verdana" w:cs="Century Gothic"/>
          <w:b/>
          <w:bCs/>
        </w:rPr>
        <w:t>Doctrina de la Agencia Nacional de Contratación Pública:</w:t>
      </w:r>
    </w:p>
    <w:p w14:paraId="59A7C62C" w14:textId="77777777" w:rsidR="00694C26" w:rsidRPr="00C34E7A" w:rsidRDefault="00694C26" w:rsidP="00694C26">
      <w:pPr>
        <w:widowControl w:val="0"/>
        <w:autoSpaceDE w:val="0"/>
        <w:autoSpaceDN w:val="0"/>
        <w:spacing w:after="0" w:line="276" w:lineRule="auto"/>
        <w:jc w:val="both"/>
        <w:rPr>
          <w:rFonts w:ascii="Verdana" w:hAnsi="Verdana" w:cs="Arial"/>
        </w:rPr>
      </w:pPr>
    </w:p>
    <w:p w14:paraId="38047097" w14:textId="77777777" w:rsidR="00555273" w:rsidRPr="00C34E7A" w:rsidRDefault="00555273">
      <w:pPr>
        <w:shd w:val="clear" w:color="auto" w:fill="FFFFFF"/>
        <w:spacing w:after="0" w:line="276" w:lineRule="auto"/>
        <w:jc w:val="both"/>
        <w:rPr>
          <w:rFonts w:ascii="Verdana" w:hAnsi="Verdana" w:cs="Arial"/>
          <w:shd w:val="clear" w:color="auto" w:fill="FFFFFF"/>
        </w:rPr>
      </w:pPr>
      <w:r w:rsidRPr="00C34E7A">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w:t>
      </w:r>
      <w:r w:rsidRPr="00C34E7A">
        <w:rPr>
          <w:rFonts w:ascii="Verdana" w:hAnsi="Verdana" w:cs="Arial"/>
          <w:shd w:val="clear" w:color="auto" w:fill="FFFFFF"/>
        </w:rPr>
        <w:lastRenderedPageBreak/>
        <w:t>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 C-144 del 12 de marzo de 2026, entre otros.</w:t>
      </w:r>
    </w:p>
    <w:p w14:paraId="1D601771" w14:textId="77777777" w:rsidR="00555273" w:rsidRPr="00C34E7A" w:rsidRDefault="00555273">
      <w:pPr>
        <w:shd w:val="clear" w:color="auto" w:fill="FFFFFF"/>
        <w:spacing w:after="0" w:line="276" w:lineRule="auto"/>
        <w:jc w:val="both"/>
        <w:rPr>
          <w:rFonts w:ascii="Verdana" w:hAnsi="Verdana" w:cs="Arial"/>
          <w:shd w:val="clear" w:color="auto" w:fill="FFFFFF"/>
        </w:rPr>
      </w:pPr>
    </w:p>
    <w:p w14:paraId="0A700194" w14:textId="1CC5E632" w:rsidR="00555273" w:rsidRPr="00C34E7A" w:rsidRDefault="00555273">
      <w:pPr>
        <w:shd w:val="clear" w:color="auto" w:fill="FFFFFF"/>
        <w:spacing w:after="0" w:line="276" w:lineRule="auto"/>
        <w:jc w:val="both"/>
        <w:rPr>
          <w:rFonts w:ascii="Verdana" w:hAnsi="Verdana" w:cs="Arial"/>
          <w:shd w:val="clear" w:color="auto" w:fill="FFFFFF"/>
        </w:rPr>
      </w:pPr>
      <w:r w:rsidRPr="00C34E7A">
        <w:rPr>
          <w:rFonts w:ascii="Verdana" w:hAnsi="Verdana" w:cs="Arial"/>
          <w:shd w:val="clear" w:color="auto" w:fill="FFFFFF"/>
          <w:lang w:val="es-ES_tradnl"/>
        </w:rPr>
        <w:t>En relación con</w:t>
      </w:r>
      <w:r w:rsidRPr="00C34E7A">
        <w:rPr>
          <w:rFonts w:ascii="Verdana" w:hAnsi="Verdana" w:cs="Arial"/>
          <w:shd w:val="clear" w:color="auto" w:fill="FFFFFF"/>
        </w:rPr>
        <w:t xml:space="preserve"> los principios de publicidad y de acceso a la información pública en la contratación estatal, y sobre </w:t>
      </w:r>
      <w:r w:rsidRPr="00C34E7A">
        <w:rPr>
          <w:rFonts w:ascii="Verdana" w:hAnsi="Verdana" w:cs="Arial"/>
          <w:shd w:val="clear" w:color="auto" w:fill="FFFFFF"/>
          <w:lang w:val="es-ES"/>
        </w:rPr>
        <w:t xml:space="preserve">los fundamentos normativos del deber de publicar la documentación contractual en las plataformas SECOP I y SECOP II, en conceptos como el </w:t>
      </w:r>
      <w:r w:rsidRPr="00C34E7A">
        <w:rPr>
          <w:rFonts w:ascii="Verdana" w:hAnsi="Verdana" w:cs="Arial"/>
          <w:shd w:val="clear" w:color="auto" w:fill="FFFFFF"/>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y C-379 del 22 de junio de 2022</w:t>
      </w:r>
      <w:r w:rsidRPr="00C34E7A">
        <w:rPr>
          <w:rFonts w:ascii="Verdana" w:hAnsi="Verdana" w:cs="Arial"/>
          <w:shd w:val="clear" w:color="auto" w:fill="FFFFFF"/>
          <w:lang w:val="es-ES_tradnl"/>
        </w:rPr>
        <w:t>. De igual manera, recientemente se pronunció sobre la interpretación del artículo 53 de la Ley 2195 de 2022,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y C-510 del 8 de agosto de 2022, C-508 del 30 de agosto de 2022. Las ideas expuestas en dichas oportunidades se reiteran a continuación y se complementan en lo pertinente</w:t>
      </w:r>
      <w:r w:rsidRPr="00C34E7A">
        <w:rPr>
          <w:rFonts w:ascii="Verdana" w:hAnsi="Verdana" w:cs="Arial"/>
          <w:shd w:val="clear" w:color="auto" w:fill="FFFFFF"/>
        </w:rPr>
        <w:t xml:space="preserve">. </w:t>
      </w:r>
    </w:p>
    <w:p w14:paraId="6F1CBE70" w14:textId="77777777" w:rsidR="00555273" w:rsidRPr="00C34E7A" w:rsidRDefault="00555273">
      <w:pPr>
        <w:shd w:val="clear" w:color="auto" w:fill="FFFFFF"/>
        <w:spacing w:after="0" w:line="276" w:lineRule="auto"/>
        <w:jc w:val="both"/>
        <w:rPr>
          <w:rFonts w:ascii="Verdana" w:hAnsi="Verdana" w:cs="Arial"/>
          <w:shd w:val="clear" w:color="auto" w:fill="FFFFFF"/>
        </w:rPr>
      </w:pPr>
    </w:p>
    <w:p w14:paraId="393B9793" w14:textId="77777777" w:rsidR="002D071B" w:rsidRPr="00C34E7A" w:rsidRDefault="002D071B" w:rsidP="007E0F7A">
      <w:pPr>
        <w:spacing w:after="0" w:line="276" w:lineRule="auto"/>
        <w:jc w:val="both"/>
        <w:rPr>
          <w:rFonts w:ascii="Verdana" w:hAnsi="Verdana"/>
        </w:rPr>
      </w:pPr>
      <w:r w:rsidRPr="00C34E7A">
        <w:rPr>
          <w:rFonts w:ascii="Verdana" w:hAnsi="Verdana"/>
        </w:rPr>
        <w:lastRenderedPageBreak/>
        <w:t xml:space="preserve">La sostenibilidad no es una opción, es una obligación. Por ello, la Agencia Nacional de Contratación Pública –Colombia Compra Eficiente– te invita a realizar el </w:t>
      </w:r>
      <w:r w:rsidRPr="00C34E7A">
        <w:rPr>
          <w:rFonts w:ascii="Verdana" w:hAnsi="Verdana"/>
          <w:b/>
          <w:bCs/>
        </w:rPr>
        <w:t>Curso de Contratación Pública Sostenible y Socialmente Responsable</w:t>
      </w:r>
      <w:r w:rsidRPr="00C34E7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34E7A">
        <w:rPr>
          <w:rFonts w:ascii="Verdana" w:hAnsi="Verdana"/>
        </w:rPr>
        <w:br/>
      </w:r>
      <w:hyperlink r:id="rId15" w:tgtFrame="_new" w:history="1">
        <w:r w:rsidRPr="00C34E7A">
          <w:rPr>
            <w:rStyle w:val="Hipervnculo"/>
            <w:rFonts w:ascii="Verdana" w:hAnsi="Verdana"/>
          </w:rPr>
          <w:t>https://formacionvirtual.colombiacompra.gov.co/mod/page/view.php?id=3718</w:t>
        </w:r>
      </w:hyperlink>
    </w:p>
    <w:p w14:paraId="6BFDB6D6" w14:textId="77777777" w:rsidR="00D30AA0" w:rsidRPr="00C34E7A" w:rsidRDefault="00D30AA0" w:rsidP="00D30AA0">
      <w:pPr>
        <w:spacing w:after="0" w:line="276" w:lineRule="auto"/>
        <w:jc w:val="both"/>
        <w:rPr>
          <w:rFonts w:ascii="Verdana" w:hAnsi="Verdana"/>
        </w:rPr>
      </w:pPr>
    </w:p>
    <w:p w14:paraId="3AEBA056" w14:textId="41942935" w:rsidR="00624B80" w:rsidRPr="00C34E7A" w:rsidRDefault="00624B80" w:rsidP="007E0F7A">
      <w:pPr>
        <w:spacing w:after="0" w:line="276" w:lineRule="auto"/>
        <w:jc w:val="both"/>
        <w:rPr>
          <w:rFonts w:ascii="Verdana" w:hAnsi="Verdana"/>
        </w:rPr>
      </w:pPr>
      <w:r w:rsidRPr="00C34E7A">
        <w:rPr>
          <w:rFonts w:ascii="Verdana" w:hAnsi="Verdana"/>
        </w:rPr>
        <w:t xml:space="preserve">De otro lado, te contamos que esta Agencia ha da un paso decisivo en la estandarización y modernización del </w:t>
      </w:r>
      <w:r w:rsidRPr="00C34E7A">
        <w:rPr>
          <w:rFonts w:ascii="Verdana" w:hAnsi="Verdana"/>
          <w:b/>
          <w:bCs/>
        </w:rPr>
        <w:t>sector  social</w:t>
      </w:r>
      <w:r w:rsidRPr="00C34E7A">
        <w:rPr>
          <w:rFonts w:ascii="Verdana" w:hAnsi="Verdana"/>
        </w:rPr>
        <w:t xml:space="preserve"> con la expedición de las </w:t>
      </w:r>
      <w:r w:rsidRPr="00C34E7A">
        <w:rPr>
          <w:rFonts w:ascii="Verdana" w:hAnsi="Verdana"/>
          <w:b/>
          <w:bCs/>
        </w:rPr>
        <w:t>Resoluciones 539, 540, 541, 952 y 953 de 2025</w:t>
      </w:r>
      <w:r w:rsidRPr="00C34E7A">
        <w:rPr>
          <w:rFonts w:ascii="Verdana" w:hAnsi="Verdana"/>
        </w:rPr>
        <w:t xml:space="preserve">, </w:t>
      </w:r>
      <w:r w:rsidRPr="00C34E7A">
        <w:rPr>
          <w:rFonts w:ascii="Verdana" w:hAnsi="Verdana"/>
          <w:b/>
          <w:bCs/>
        </w:rPr>
        <w:t>mediante las cuales adoptó Documentos Tipo</w:t>
      </w:r>
      <w:r w:rsidRPr="00C34E7A">
        <w:rPr>
          <w:rFonts w:ascii="Verdana" w:hAnsi="Verdana"/>
        </w:rPr>
        <w:t xml:space="preserve"> para las modalidades de selección de</w:t>
      </w:r>
      <w:r w:rsidRPr="00C34E7A">
        <w:rPr>
          <w:rFonts w:ascii="Verdana" w:hAnsi="Verdana"/>
          <w:b/>
          <w:bCs/>
        </w:rPr>
        <w:t xml:space="preserve"> licitación pública (versión 2), selección abreviada de menor cuantía, mínima cuantía, consultoría e interventoría</w:t>
      </w:r>
      <w:r w:rsidRPr="00C34E7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C34E7A">
          <w:rPr>
            <w:rStyle w:val="Hipervnculo"/>
            <w:rFonts w:ascii="Verdana" w:hAnsi="Verdana"/>
          </w:rPr>
          <w:t>https://www.colombiacompra.gov.co/normativa-y-relatoria/documentos-tipo</w:t>
        </w:r>
      </w:hyperlink>
    </w:p>
    <w:p w14:paraId="09AEC1E2" w14:textId="77777777" w:rsidR="00D30AA0" w:rsidRPr="00C34E7A" w:rsidRDefault="00D30AA0" w:rsidP="00D30AA0">
      <w:pPr>
        <w:spacing w:after="0" w:line="276" w:lineRule="auto"/>
        <w:jc w:val="both"/>
        <w:rPr>
          <w:rFonts w:ascii="Verdana" w:hAnsi="Verdana"/>
        </w:rPr>
      </w:pPr>
    </w:p>
    <w:p w14:paraId="0FDE9365" w14:textId="7F5C0EBF" w:rsidR="006C7B6B" w:rsidRPr="00C34E7A" w:rsidRDefault="006C7B6B" w:rsidP="007E0F7A">
      <w:pPr>
        <w:spacing w:after="0" w:line="276" w:lineRule="auto"/>
        <w:jc w:val="both"/>
        <w:rPr>
          <w:rFonts w:ascii="Verdana" w:hAnsi="Verdana"/>
        </w:rPr>
      </w:pPr>
      <w:r w:rsidRPr="00C34E7A">
        <w:rPr>
          <w:rFonts w:ascii="Verdana" w:hAnsi="Verdana"/>
        </w:rPr>
        <w:t xml:space="preserve">Si quieres conocer más sobre la aplicación de Documentos Tipo puedes consultar la última versión de la </w:t>
      </w:r>
      <w:r w:rsidRPr="00C34E7A">
        <w:rPr>
          <w:rFonts w:ascii="Verdana" w:hAnsi="Verdana"/>
          <w:b/>
          <w:bCs/>
        </w:rPr>
        <w:t>Guía para la comprensión e implementación de los Documentos Tipo de obra pública de infraestructura de transporte</w:t>
      </w:r>
      <w:r w:rsidRPr="00C34E7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34E7A">
        <w:rPr>
          <w:rFonts w:ascii="Verdana" w:hAnsi="Verdana"/>
        </w:rPr>
        <w:br/>
      </w:r>
      <w:hyperlink r:id="rId17" w:tgtFrame="_new" w:history="1">
        <w:r w:rsidRPr="00C34E7A">
          <w:rPr>
            <w:rStyle w:val="Hipervnculo"/>
            <w:rFonts w:ascii="Verdana" w:hAnsi="Verdana"/>
          </w:rPr>
          <w:t>Guía para la comprensión e implementación de los Documentos Tipo de obra pública de infraestructura de transporte</w:t>
        </w:r>
      </w:hyperlink>
    </w:p>
    <w:p w14:paraId="7FD9515E" w14:textId="77777777" w:rsidR="00D30AA0" w:rsidRPr="00C34E7A" w:rsidRDefault="00D30AA0" w:rsidP="00D30AA0">
      <w:pPr>
        <w:spacing w:after="0" w:line="276" w:lineRule="auto"/>
        <w:jc w:val="both"/>
        <w:rPr>
          <w:rFonts w:ascii="Verdana" w:hAnsi="Verdana"/>
        </w:rPr>
      </w:pPr>
    </w:p>
    <w:p w14:paraId="11690F2B" w14:textId="10509E65" w:rsidR="00694C26" w:rsidRPr="00C34E7A" w:rsidRDefault="00694C26" w:rsidP="00694C26">
      <w:pPr>
        <w:spacing w:after="0" w:line="276" w:lineRule="auto"/>
        <w:jc w:val="both"/>
        <w:rPr>
          <w:rFonts w:ascii="Verdana" w:hAnsi="Verdana"/>
        </w:rPr>
      </w:pPr>
      <w:r w:rsidRPr="00C34E7A">
        <w:rPr>
          <w:rFonts w:ascii="Verdana" w:hAnsi="Verdana"/>
        </w:rPr>
        <w:t xml:space="preserve">Por último, lo invitamos a seguirnos en las redes sociales en las cuales se difunde información institucional: </w:t>
      </w:r>
    </w:p>
    <w:p w14:paraId="06779913" w14:textId="77777777" w:rsidR="00694C26" w:rsidRPr="00C34E7A" w:rsidRDefault="00694C26" w:rsidP="00694C26">
      <w:pPr>
        <w:spacing w:after="0" w:line="276" w:lineRule="auto"/>
        <w:jc w:val="both"/>
        <w:rPr>
          <w:rFonts w:ascii="Verdana" w:hAnsi="Verdana"/>
        </w:rPr>
      </w:pPr>
    </w:p>
    <w:p w14:paraId="35382713" w14:textId="77777777" w:rsidR="00694C26" w:rsidRPr="00C34E7A" w:rsidRDefault="00694C26" w:rsidP="00694C26">
      <w:pPr>
        <w:spacing w:after="0" w:line="276" w:lineRule="auto"/>
        <w:jc w:val="both"/>
        <w:rPr>
          <w:rFonts w:ascii="Verdana" w:hAnsi="Verdana"/>
        </w:rPr>
      </w:pPr>
      <w:r w:rsidRPr="00C34E7A">
        <w:rPr>
          <w:rFonts w:ascii="Verdana" w:hAnsi="Verdana"/>
        </w:rPr>
        <w:t xml:space="preserve">Twitter: </w:t>
      </w:r>
      <w:r w:rsidRPr="00C34E7A">
        <w:rPr>
          <w:rStyle w:val="Hipervnculo"/>
          <w:rFonts w:ascii="Verdana" w:hAnsi="Verdana"/>
          <w:color w:val="4472C4" w:themeColor="accent1"/>
        </w:rPr>
        <w:t>@colombiacompra</w:t>
      </w:r>
      <w:r w:rsidRPr="00C34E7A">
        <w:rPr>
          <w:rFonts w:ascii="Verdana" w:hAnsi="Verdana"/>
          <w:color w:val="4472C4" w:themeColor="accent1"/>
        </w:rPr>
        <w:t xml:space="preserve"> </w:t>
      </w:r>
    </w:p>
    <w:p w14:paraId="463FCE15" w14:textId="77777777" w:rsidR="00694C26" w:rsidRPr="00C34E7A" w:rsidRDefault="00694C26" w:rsidP="00694C26">
      <w:pPr>
        <w:spacing w:after="0" w:line="276" w:lineRule="auto"/>
        <w:jc w:val="both"/>
        <w:rPr>
          <w:rFonts w:ascii="Verdana" w:hAnsi="Verdana"/>
        </w:rPr>
      </w:pPr>
      <w:r w:rsidRPr="00C34E7A">
        <w:rPr>
          <w:rFonts w:ascii="Verdana" w:hAnsi="Verdana"/>
        </w:rPr>
        <w:lastRenderedPageBreak/>
        <w:t xml:space="preserve">Facebook: </w:t>
      </w:r>
      <w:proofErr w:type="spellStart"/>
      <w:r w:rsidRPr="00C34E7A">
        <w:rPr>
          <w:rStyle w:val="Hipervnculo"/>
          <w:rFonts w:ascii="Verdana" w:hAnsi="Verdana"/>
          <w:color w:val="4472C4" w:themeColor="accent1"/>
        </w:rPr>
        <w:t>ColombiaCompraEficiente</w:t>
      </w:r>
      <w:proofErr w:type="spellEnd"/>
    </w:p>
    <w:p w14:paraId="18D1CEBA" w14:textId="77777777" w:rsidR="00694C26" w:rsidRPr="00C34E7A" w:rsidRDefault="00694C26" w:rsidP="00694C26">
      <w:pPr>
        <w:spacing w:after="0" w:line="276" w:lineRule="auto"/>
        <w:jc w:val="both"/>
        <w:rPr>
          <w:rStyle w:val="Hipervnculo"/>
          <w:rFonts w:ascii="Verdana" w:hAnsi="Verdana"/>
          <w:color w:val="4472C4" w:themeColor="accent1"/>
        </w:rPr>
      </w:pPr>
      <w:r w:rsidRPr="00C34E7A">
        <w:rPr>
          <w:rFonts w:ascii="Verdana" w:hAnsi="Verdana"/>
        </w:rPr>
        <w:t xml:space="preserve">LinkedIn: </w:t>
      </w:r>
      <w:r w:rsidRPr="00C34E7A">
        <w:rPr>
          <w:rStyle w:val="Hipervnculo"/>
          <w:rFonts w:ascii="Verdana" w:hAnsi="Verdana"/>
          <w:color w:val="4472C4" w:themeColor="accent1"/>
        </w:rPr>
        <w:t>Agencia Nacional de Contratación Pública - Colombia Compra Eficiente</w:t>
      </w:r>
      <w:r w:rsidRPr="00C34E7A">
        <w:rPr>
          <w:rFonts w:ascii="Verdana" w:hAnsi="Verdana"/>
          <w:color w:val="4472C4" w:themeColor="accent1"/>
        </w:rPr>
        <w:t xml:space="preserve"> </w:t>
      </w:r>
      <w:r w:rsidRPr="00C34E7A">
        <w:rPr>
          <w:rFonts w:ascii="Verdana" w:hAnsi="Verdana"/>
        </w:rPr>
        <w:t xml:space="preserve">Instagram: </w:t>
      </w:r>
      <w:r w:rsidRPr="00C34E7A">
        <w:rPr>
          <w:rStyle w:val="Hipervnculo"/>
          <w:rFonts w:ascii="Verdana" w:hAnsi="Verdana"/>
          <w:color w:val="4472C4" w:themeColor="accent1"/>
        </w:rPr>
        <w:t>@colombiacompraeficiente_cce</w:t>
      </w:r>
    </w:p>
    <w:p w14:paraId="43F479E8" w14:textId="77777777" w:rsidR="00694C26" w:rsidRPr="00C34E7A" w:rsidRDefault="00694C26" w:rsidP="00694C26">
      <w:pPr>
        <w:spacing w:after="0" w:line="276" w:lineRule="auto"/>
        <w:jc w:val="both"/>
        <w:rPr>
          <w:rStyle w:val="Hipervnculo"/>
          <w:rFonts w:ascii="Verdana" w:hAnsi="Verdana"/>
          <w:color w:val="4472C4" w:themeColor="accent1"/>
        </w:rPr>
      </w:pPr>
    </w:p>
    <w:p w14:paraId="14F585F0" w14:textId="77777777" w:rsidR="00694C26" w:rsidRPr="00C34E7A" w:rsidRDefault="00694C26" w:rsidP="00694C26">
      <w:pPr>
        <w:widowControl w:val="0"/>
        <w:autoSpaceDE w:val="0"/>
        <w:autoSpaceDN w:val="0"/>
        <w:spacing w:after="0" w:line="276" w:lineRule="auto"/>
        <w:jc w:val="both"/>
        <w:rPr>
          <w:rFonts w:ascii="Verdana" w:hAnsi="Verdana" w:cs="Arial"/>
          <w:lang w:val="es-ES_tradnl"/>
        </w:rPr>
      </w:pPr>
      <w:r w:rsidRPr="00C34E7A">
        <w:rPr>
          <w:rFonts w:ascii="Verdana" w:hAnsi="Verdana" w:cs="Arial"/>
        </w:rPr>
        <w:t xml:space="preserve">Este concepto tiene el alcance previsto en el artículo 28 del Código de Procedimiento Administrativo y de lo Contencioso Administrativo </w:t>
      </w:r>
      <w:r w:rsidRPr="00C34E7A">
        <w:rPr>
          <w:rFonts w:ascii="Verdana" w:hAnsi="Verdana" w:cs="Arial"/>
          <w:lang w:val="es-ES_tradnl"/>
        </w:rPr>
        <w:t>y las expresiones aquí utilizadas con mayúscula inicial deben ser entendidas con el significado que les otorga el artículo 2.2.1.1.1.3.1. del Decreto 1082 de 2015.</w:t>
      </w:r>
    </w:p>
    <w:p w14:paraId="2A1FF4B2" w14:textId="77777777" w:rsidR="00694C26" w:rsidRPr="00C34E7A" w:rsidRDefault="00694C26" w:rsidP="00694C26">
      <w:pPr>
        <w:widowControl w:val="0"/>
        <w:autoSpaceDE w:val="0"/>
        <w:autoSpaceDN w:val="0"/>
        <w:spacing w:after="0" w:line="276" w:lineRule="auto"/>
        <w:jc w:val="both"/>
        <w:rPr>
          <w:rFonts w:ascii="Verdana" w:hAnsi="Verdana" w:cs="Arial"/>
        </w:rPr>
      </w:pPr>
    </w:p>
    <w:p w14:paraId="26FB2675" w14:textId="77777777" w:rsidR="00694C26" w:rsidRPr="00C34E7A" w:rsidRDefault="00694C26" w:rsidP="00694C26">
      <w:pPr>
        <w:spacing w:after="0" w:line="276" w:lineRule="auto"/>
        <w:rPr>
          <w:rFonts w:ascii="Verdana" w:hAnsi="Verdana" w:cs="Arial"/>
          <w:lang w:eastAsia="es-CO"/>
        </w:rPr>
      </w:pPr>
      <w:r w:rsidRPr="00C34E7A">
        <w:rPr>
          <w:rFonts w:ascii="Verdana" w:eastAsia="Times New Roman" w:hAnsi="Verdana" w:cs="Arial"/>
          <w:lang w:eastAsia="es-CO"/>
        </w:rPr>
        <w:t>Atentamente,</w:t>
      </w:r>
      <w:r w:rsidRPr="00C34E7A">
        <w:rPr>
          <w:rFonts w:ascii="Verdana" w:hAnsi="Verdana" w:cs="Arial"/>
          <w:lang w:eastAsia="es-CO"/>
        </w:rPr>
        <w:t xml:space="preserve"> </w:t>
      </w:r>
    </w:p>
    <w:p w14:paraId="0BFF2F86" w14:textId="1CB6DAD8" w:rsidR="00694C26" w:rsidRPr="00C34E7A" w:rsidRDefault="00FB0D98" w:rsidP="00694C26">
      <w:pPr>
        <w:spacing w:line="276" w:lineRule="auto"/>
        <w:jc w:val="center"/>
        <w:rPr>
          <w:rFonts w:ascii="Verdana" w:hAnsi="Verdana" w:cs="Arial"/>
          <w:color w:val="000000"/>
          <w:sz w:val="16"/>
          <w:szCs w:val="16"/>
          <w:lang w:val="es-ES_tradnl" w:eastAsia="es-CO"/>
        </w:rPr>
      </w:pPr>
      <w:r w:rsidRPr="00C34E7A">
        <w:rPr>
          <w:rFonts w:ascii="Verdana" w:hAnsi="Verdana"/>
          <w:noProof/>
        </w:rPr>
        <w:drawing>
          <wp:inline distT="0" distB="0" distL="0" distR="0" wp14:anchorId="2DF64059" wp14:editId="5B0F72C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4C26" w:rsidRPr="00C34E7A" w14:paraId="4634ED7C" w14:textId="77777777" w:rsidTr="0028651F">
        <w:trPr>
          <w:trHeight w:val="315"/>
        </w:trPr>
        <w:tc>
          <w:tcPr>
            <w:tcW w:w="893" w:type="dxa"/>
            <w:vAlign w:val="center"/>
            <w:hideMark/>
          </w:tcPr>
          <w:p w14:paraId="57CED310" w14:textId="77777777" w:rsidR="00694C26" w:rsidRPr="00C34E7A" w:rsidRDefault="00694C26" w:rsidP="0028651F">
            <w:pPr>
              <w:contextualSpacing/>
              <w:rPr>
                <w:rFonts w:ascii="Verdana" w:hAnsi="Verdana" w:cs="Arial"/>
                <w:sz w:val="16"/>
                <w:szCs w:val="16"/>
                <w:lang w:val="es-ES" w:eastAsia="es-ES"/>
              </w:rPr>
            </w:pPr>
            <w:r w:rsidRPr="00C34E7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83ED2C" w14:textId="77777777" w:rsidR="00694C26" w:rsidRPr="00C34E7A" w:rsidRDefault="00694C26" w:rsidP="0028651F">
            <w:pPr>
              <w:contextualSpacing/>
              <w:rPr>
                <w:rFonts w:ascii="Verdana" w:eastAsia="Arial" w:hAnsi="Verdana" w:cs="Arial"/>
                <w:sz w:val="16"/>
                <w:szCs w:val="16"/>
              </w:rPr>
            </w:pPr>
            <w:r w:rsidRPr="00C34E7A">
              <w:rPr>
                <w:rFonts w:ascii="Verdana" w:eastAsia="Arial" w:hAnsi="Verdana" w:cs="Arial"/>
                <w:sz w:val="16"/>
                <w:szCs w:val="16"/>
              </w:rPr>
              <w:t>Ana María Ortiz Ballesteros</w:t>
            </w:r>
          </w:p>
          <w:p w14:paraId="442E7B17" w14:textId="77777777" w:rsidR="00694C26" w:rsidRPr="00C34E7A" w:rsidRDefault="00694C26" w:rsidP="0028651F">
            <w:pPr>
              <w:contextualSpacing/>
              <w:rPr>
                <w:rFonts w:ascii="Verdana" w:eastAsia="Arial" w:hAnsi="Verdana" w:cs="Arial"/>
                <w:sz w:val="16"/>
                <w:szCs w:val="16"/>
              </w:rPr>
            </w:pPr>
            <w:r w:rsidRPr="00C34E7A">
              <w:rPr>
                <w:rStyle w:val="normaltextrun"/>
                <w:rFonts w:ascii="Verdana" w:eastAsia="Arial" w:hAnsi="Verdana" w:cs="Arial"/>
                <w:sz w:val="16"/>
                <w:szCs w:val="16"/>
              </w:rPr>
              <w:t>C</w:t>
            </w:r>
            <w:r w:rsidRPr="00C34E7A">
              <w:rPr>
                <w:rStyle w:val="normaltextrun"/>
                <w:rFonts w:ascii="Verdana" w:hAnsi="Verdana"/>
                <w:sz w:val="16"/>
                <w:szCs w:val="16"/>
              </w:rPr>
              <w:t>ontratista</w:t>
            </w:r>
            <w:r w:rsidRPr="00C34E7A">
              <w:rPr>
                <w:rStyle w:val="normaltextrun"/>
                <w:rFonts w:ascii="Verdana" w:eastAsia="Arial" w:hAnsi="Verdana" w:cs="Arial"/>
                <w:sz w:val="16"/>
                <w:szCs w:val="16"/>
              </w:rPr>
              <w:t xml:space="preserve"> de la Subdirección de Gestión Contractual</w:t>
            </w:r>
          </w:p>
        </w:tc>
      </w:tr>
      <w:tr w:rsidR="00694C26" w:rsidRPr="00C34E7A" w14:paraId="34F24BBC" w14:textId="77777777" w:rsidTr="0028651F">
        <w:trPr>
          <w:trHeight w:val="330"/>
        </w:trPr>
        <w:tc>
          <w:tcPr>
            <w:tcW w:w="893" w:type="dxa"/>
            <w:vAlign w:val="center"/>
            <w:hideMark/>
          </w:tcPr>
          <w:p w14:paraId="77877680" w14:textId="77777777" w:rsidR="00694C26" w:rsidRPr="00C34E7A" w:rsidRDefault="00694C26" w:rsidP="0028651F">
            <w:pPr>
              <w:contextualSpacing/>
              <w:rPr>
                <w:rFonts w:ascii="Verdana" w:hAnsi="Verdana" w:cs="Arial"/>
                <w:sz w:val="16"/>
                <w:szCs w:val="16"/>
                <w:lang w:val="es-ES" w:eastAsia="es-ES"/>
              </w:rPr>
            </w:pPr>
            <w:r w:rsidRPr="00C34E7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D9FF24" w14:textId="1DAB02CD" w:rsidR="00694C26" w:rsidRPr="00C34E7A" w:rsidRDefault="007D055F" w:rsidP="0028651F">
            <w:pPr>
              <w:pStyle w:val="paragraph"/>
              <w:spacing w:before="0" w:beforeAutospacing="0" w:after="0" w:afterAutospacing="0"/>
              <w:contextualSpacing/>
              <w:textAlignment w:val="baseline"/>
              <w:rPr>
                <w:rFonts w:ascii="Verdana" w:hAnsi="Verdana" w:cs="Arial"/>
                <w:sz w:val="16"/>
                <w:szCs w:val="16"/>
              </w:rPr>
            </w:pPr>
            <w:r w:rsidRPr="00C34E7A">
              <w:rPr>
                <w:rFonts w:ascii="Verdana" w:hAnsi="Verdana" w:cs="Arial"/>
                <w:sz w:val="16"/>
                <w:szCs w:val="16"/>
              </w:rPr>
              <w:t>Diana Lucia Saavedra Castañeda</w:t>
            </w:r>
          </w:p>
          <w:p w14:paraId="201DDE9F" w14:textId="0F31B897" w:rsidR="00694C26" w:rsidRPr="00C34E7A" w:rsidRDefault="007D055F" w:rsidP="0028651F">
            <w:pPr>
              <w:pStyle w:val="paragraph"/>
              <w:spacing w:before="0" w:beforeAutospacing="0" w:after="0" w:afterAutospacing="0"/>
              <w:contextualSpacing/>
              <w:textAlignment w:val="baseline"/>
              <w:rPr>
                <w:rFonts w:ascii="Verdana" w:hAnsi="Verdana" w:cs="Arial"/>
                <w:sz w:val="16"/>
                <w:szCs w:val="16"/>
              </w:rPr>
            </w:pPr>
            <w:r w:rsidRPr="00C34E7A">
              <w:rPr>
                <w:rStyle w:val="normaltextrun"/>
                <w:rFonts w:ascii="Verdana" w:eastAsia="Arial" w:hAnsi="Verdana" w:cs="Arial"/>
                <w:sz w:val="16"/>
                <w:szCs w:val="16"/>
              </w:rPr>
              <w:t>C</w:t>
            </w:r>
            <w:r w:rsidRPr="00C34E7A">
              <w:rPr>
                <w:rStyle w:val="normaltextrun"/>
                <w:rFonts w:ascii="Verdana" w:hAnsi="Verdana"/>
                <w:sz w:val="16"/>
                <w:szCs w:val="16"/>
              </w:rPr>
              <w:t>ontratista</w:t>
            </w:r>
            <w:r w:rsidRPr="00C34E7A">
              <w:rPr>
                <w:rStyle w:val="normaltextrun"/>
                <w:rFonts w:ascii="Verdana" w:eastAsia="Arial" w:hAnsi="Verdana" w:cs="Arial"/>
                <w:sz w:val="16"/>
                <w:szCs w:val="16"/>
              </w:rPr>
              <w:t xml:space="preserve"> de la Subdirección de Gestión Contractual</w:t>
            </w:r>
          </w:p>
        </w:tc>
      </w:tr>
      <w:tr w:rsidR="00694C26" w:rsidRPr="00C34E7A" w14:paraId="52152FC1" w14:textId="77777777" w:rsidTr="0028651F">
        <w:trPr>
          <w:trHeight w:val="300"/>
        </w:trPr>
        <w:tc>
          <w:tcPr>
            <w:tcW w:w="893" w:type="dxa"/>
            <w:vAlign w:val="center"/>
          </w:tcPr>
          <w:p w14:paraId="4E503A32" w14:textId="77777777" w:rsidR="00694C26" w:rsidRPr="00C34E7A" w:rsidRDefault="00694C26" w:rsidP="0028651F">
            <w:pPr>
              <w:contextualSpacing/>
              <w:rPr>
                <w:rFonts w:ascii="Verdana" w:hAnsi="Verdana" w:cs="Arial"/>
                <w:sz w:val="16"/>
                <w:szCs w:val="16"/>
                <w:lang w:val="es-ES" w:eastAsia="es-ES"/>
              </w:rPr>
            </w:pPr>
            <w:r w:rsidRPr="00C34E7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D57444" w14:textId="77777777" w:rsidR="00694C26" w:rsidRPr="00C34E7A" w:rsidRDefault="00694C26" w:rsidP="0028651F">
            <w:pPr>
              <w:contextualSpacing/>
              <w:rPr>
                <w:rFonts w:ascii="Verdana" w:eastAsia="Calibri" w:hAnsi="Verdana" w:cs="Arial"/>
                <w:sz w:val="16"/>
                <w:szCs w:val="16"/>
                <w:lang w:val="pt-BR" w:eastAsia="es-ES"/>
              </w:rPr>
            </w:pPr>
            <w:r w:rsidRPr="00C34E7A">
              <w:rPr>
                <w:rFonts w:ascii="Verdana" w:eastAsia="Calibri" w:hAnsi="Verdana" w:cs="Arial"/>
                <w:sz w:val="16"/>
                <w:szCs w:val="16"/>
                <w:lang w:val="pt-BR" w:eastAsia="es-ES"/>
              </w:rPr>
              <w:t xml:space="preserve">Carolina Quintero </w:t>
            </w:r>
            <w:proofErr w:type="spellStart"/>
            <w:r w:rsidRPr="00C34E7A">
              <w:rPr>
                <w:rFonts w:ascii="Verdana" w:eastAsia="Calibri" w:hAnsi="Verdana" w:cs="Arial"/>
                <w:sz w:val="16"/>
                <w:szCs w:val="16"/>
                <w:lang w:val="pt-BR" w:eastAsia="es-ES"/>
              </w:rPr>
              <w:t>Gacharná</w:t>
            </w:r>
            <w:proofErr w:type="spellEnd"/>
          </w:p>
          <w:p w14:paraId="75DA4851" w14:textId="77777777" w:rsidR="00694C26" w:rsidRPr="00C34E7A" w:rsidRDefault="00694C26" w:rsidP="0028651F">
            <w:pPr>
              <w:contextualSpacing/>
              <w:rPr>
                <w:rFonts w:ascii="Verdana" w:eastAsia="Calibri" w:hAnsi="Verdana" w:cs="Arial"/>
                <w:sz w:val="16"/>
                <w:szCs w:val="16"/>
                <w:lang w:val="pt-BR" w:eastAsia="es-ES"/>
              </w:rPr>
            </w:pPr>
            <w:r w:rsidRPr="00C34E7A">
              <w:rPr>
                <w:rFonts w:ascii="Verdana" w:eastAsia="Calibri" w:hAnsi="Verdana" w:cs="Arial"/>
                <w:sz w:val="16"/>
                <w:szCs w:val="16"/>
                <w:lang w:eastAsia="es-ES"/>
              </w:rPr>
              <w:t>Subdirectora</w:t>
            </w:r>
            <w:r w:rsidRPr="00C34E7A">
              <w:rPr>
                <w:rFonts w:ascii="Verdana" w:eastAsia="Calibri" w:hAnsi="Verdana" w:cs="Arial"/>
                <w:sz w:val="16"/>
                <w:szCs w:val="16"/>
                <w:lang w:val="pt-BR" w:eastAsia="es-ES"/>
              </w:rPr>
              <w:t xml:space="preserve"> de Gestión Contractual ANCP – CCE</w:t>
            </w:r>
          </w:p>
        </w:tc>
      </w:tr>
      <w:tr w:rsidR="006871D1" w:rsidRPr="00C34E7A" w14:paraId="422B2639" w14:textId="77777777" w:rsidTr="0028651F">
        <w:trPr>
          <w:trHeight w:val="300"/>
        </w:trPr>
        <w:tc>
          <w:tcPr>
            <w:tcW w:w="893" w:type="dxa"/>
            <w:vAlign w:val="center"/>
          </w:tcPr>
          <w:p w14:paraId="5ED67289" w14:textId="333E8405" w:rsidR="006871D1" w:rsidRPr="00C34E7A" w:rsidRDefault="006871D1" w:rsidP="0028651F">
            <w:pPr>
              <w:contextualSpacing/>
              <w:rPr>
                <w:rFonts w:ascii="Verdana" w:hAnsi="Verdana" w:cs="Arial"/>
                <w:sz w:val="16"/>
                <w:szCs w:val="16"/>
                <w:lang w:val="es-ES" w:eastAsia="es-ES"/>
              </w:rPr>
            </w:pPr>
            <w:r w:rsidRPr="00C34E7A">
              <w:rPr>
                <w:rFonts w:ascii="Verdana" w:hAnsi="Verdana" w:cs="Arial"/>
                <w:sz w:val="16"/>
                <w:szCs w:val="16"/>
                <w:lang w:val="es-ES" w:eastAsia="es-ES"/>
              </w:rPr>
              <w:t>Anexó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F4D20D" w14:textId="24E8D96A" w:rsidR="006871D1" w:rsidRPr="00C34E7A" w:rsidRDefault="006871D1" w:rsidP="00071B0B">
            <w:pPr>
              <w:contextualSpacing/>
              <w:jc w:val="both"/>
              <w:rPr>
                <w:rFonts w:ascii="Verdana" w:eastAsia="Calibri" w:hAnsi="Verdana" w:cs="Arial"/>
                <w:sz w:val="16"/>
                <w:szCs w:val="16"/>
                <w:lang w:eastAsia="es-ES"/>
              </w:rPr>
            </w:pPr>
            <w:r w:rsidRPr="00C34E7A">
              <w:rPr>
                <w:rFonts w:ascii="Verdana" w:eastAsia="Calibri" w:hAnsi="Verdana" w:cs="Arial"/>
                <w:sz w:val="16"/>
                <w:szCs w:val="16"/>
                <w:lang w:eastAsia="es-ES"/>
              </w:rPr>
              <w:t xml:space="preserve">Respuesta </w:t>
            </w:r>
            <w:r w:rsidR="00071B0B" w:rsidRPr="00C34E7A">
              <w:rPr>
                <w:rFonts w:ascii="Verdana" w:eastAsia="Calibri" w:hAnsi="Verdana" w:cs="Arial"/>
                <w:sz w:val="16"/>
                <w:szCs w:val="16"/>
                <w:lang w:eastAsia="es-ES"/>
              </w:rPr>
              <w:t>Subdirección de Información y Desarrollo Tecnológico</w:t>
            </w:r>
          </w:p>
        </w:tc>
      </w:tr>
    </w:tbl>
    <w:p w14:paraId="69BC4D14" w14:textId="6EE6E394" w:rsidR="00C15139" w:rsidRPr="00C34E7A" w:rsidRDefault="00C15139" w:rsidP="30821638">
      <w:pPr>
        <w:spacing w:after="0" w:line="240" w:lineRule="auto"/>
        <w:textAlignment w:val="baseline"/>
        <w:rPr>
          <w:rFonts w:ascii="Verdana" w:eastAsia="Verdana" w:hAnsi="Verdana" w:cs="Verdana"/>
          <w:lang w:eastAsia="es-CO"/>
        </w:rPr>
      </w:pPr>
      <w:r w:rsidRPr="00C34E7A">
        <w:rPr>
          <w:rFonts w:ascii="Verdana" w:eastAsia="Verdana" w:hAnsi="Verdana" w:cs="Verdana"/>
          <w:lang w:eastAsia="es-CO"/>
        </w:rPr>
        <w:t> </w:t>
      </w:r>
      <w:bookmarkEnd w:id="0"/>
    </w:p>
    <w:sectPr w:rsidR="00C15139" w:rsidRPr="00C34E7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EF1B4" w14:textId="77777777" w:rsidR="00723862" w:rsidRDefault="00723862" w:rsidP="004A1847">
      <w:pPr>
        <w:spacing w:after="0" w:line="240" w:lineRule="auto"/>
      </w:pPr>
      <w:r>
        <w:separator/>
      </w:r>
    </w:p>
  </w:endnote>
  <w:endnote w:type="continuationSeparator" w:id="0">
    <w:p w14:paraId="22FB1935" w14:textId="77777777" w:rsidR="00723862" w:rsidRDefault="0072386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04044" w14:textId="77777777" w:rsidR="00723862" w:rsidRDefault="00723862" w:rsidP="004A1847">
      <w:pPr>
        <w:spacing w:after="0" w:line="240" w:lineRule="auto"/>
      </w:pPr>
      <w:r>
        <w:separator/>
      </w:r>
    </w:p>
  </w:footnote>
  <w:footnote w:type="continuationSeparator" w:id="0">
    <w:p w14:paraId="339C0392" w14:textId="77777777" w:rsidR="00723862" w:rsidRDefault="00723862" w:rsidP="004A1847">
      <w:pPr>
        <w:spacing w:after="0" w:line="240" w:lineRule="auto"/>
      </w:pPr>
      <w:r>
        <w:continuationSeparator/>
      </w:r>
    </w:p>
  </w:footnote>
  <w:footnote w:id="1">
    <w:p w14:paraId="68BD4714" w14:textId="77777777" w:rsidR="00C47036" w:rsidRPr="007E0F7A" w:rsidRDefault="00C47036" w:rsidP="00D30AA0">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05CBE2E" w14:textId="77777777" w:rsidR="00C47036" w:rsidRPr="007E0F7A" w:rsidRDefault="00C47036">
      <w:pPr>
        <w:pStyle w:val="Textonotapie"/>
        <w:ind w:firstLine="709"/>
        <w:jc w:val="both"/>
        <w:rPr>
          <w:rFonts w:ascii="Verdana" w:hAnsi="Verdana" w:cs="Arial"/>
          <w:sz w:val="14"/>
          <w:szCs w:val="14"/>
        </w:rPr>
      </w:pPr>
      <w:r w:rsidRPr="007E0F7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0F8C47A" w14:textId="77777777" w:rsidR="00C47036" w:rsidRPr="007E0F7A" w:rsidRDefault="00C47036">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Gaceta del Congreso de la República No. 71 del 2005.</w:t>
      </w:r>
    </w:p>
  </w:footnote>
  <w:footnote w:id="3">
    <w:p w14:paraId="22964707" w14:textId="77777777" w:rsidR="00C47036" w:rsidRPr="007E0F7A" w:rsidRDefault="00C47036">
      <w:pPr>
        <w:pStyle w:val="Textonotapie"/>
        <w:ind w:firstLine="709"/>
        <w:jc w:val="both"/>
        <w:rPr>
          <w:rFonts w:ascii="Verdana" w:hAnsi="Verdana" w:cs="Arial"/>
          <w:sz w:val="14"/>
          <w:szCs w:val="14"/>
          <w:lang w:val="pt-BR"/>
        </w:rPr>
      </w:pPr>
      <w:r w:rsidRPr="007E0F7A">
        <w:rPr>
          <w:rStyle w:val="Refdenotaalpie"/>
          <w:rFonts w:ascii="Verdana" w:hAnsi="Verdana" w:cs="Arial"/>
          <w:sz w:val="14"/>
          <w:szCs w:val="14"/>
        </w:rPr>
        <w:footnoteRef/>
      </w:r>
      <w:r w:rsidRPr="007E0F7A">
        <w:rPr>
          <w:rFonts w:ascii="Verdana" w:hAnsi="Verdana" w:cs="Arial"/>
          <w:sz w:val="14"/>
          <w:szCs w:val="14"/>
          <w:lang w:val="pt-BR"/>
        </w:rPr>
        <w:t xml:space="preserve"> Corte Constitucional. Sentencia C- 1153 de 2005, M.P. Marco Gerardo Monroy Cabra.</w:t>
      </w:r>
    </w:p>
  </w:footnote>
  <w:footnote w:id="4">
    <w:p w14:paraId="7A2F8EB0" w14:textId="77777777" w:rsidR="00C47036" w:rsidRPr="007E0F7A" w:rsidRDefault="00C47036">
      <w:pPr>
        <w:pStyle w:val="Textonotapie"/>
        <w:ind w:firstLine="709"/>
        <w:jc w:val="both"/>
        <w:rPr>
          <w:rFonts w:ascii="Verdana" w:hAnsi="Verdana" w:cs="Arial"/>
          <w:sz w:val="14"/>
          <w:szCs w:val="14"/>
          <w:lang w:val="pt-BR"/>
        </w:rPr>
      </w:pPr>
      <w:r w:rsidRPr="007E0F7A">
        <w:rPr>
          <w:rStyle w:val="Refdenotaalpie"/>
          <w:rFonts w:ascii="Verdana" w:hAnsi="Verdana" w:cs="Arial"/>
          <w:sz w:val="14"/>
          <w:szCs w:val="14"/>
        </w:rPr>
        <w:footnoteRef/>
      </w:r>
      <w:r w:rsidRPr="007E0F7A">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0D81EA28" w14:textId="77777777" w:rsidR="00C47036" w:rsidRPr="007E0F7A" w:rsidRDefault="00C47036">
      <w:pPr>
        <w:pStyle w:val="Textonotapie"/>
        <w:ind w:firstLine="709"/>
        <w:jc w:val="both"/>
        <w:rPr>
          <w:rFonts w:ascii="Verdana" w:hAnsi="Verdana" w:cs="Arial"/>
          <w:sz w:val="14"/>
          <w:szCs w:val="14"/>
          <w:lang w:val="es-CO"/>
        </w:rPr>
      </w:pPr>
      <w:r w:rsidRPr="007E0F7A">
        <w:rPr>
          <w:rStyle w:val="Refdenotaalpie"/>
          <w:rFonts w:ascii="Verdana" w:hAnsi="Verdana" w:cs="Arial"/>
          <w:sz w:val="14"/>
          <w:szCs w:val="14"/>
        </w:rPr>
        <w:footnoteRef/>
      </w:r>
      <w:r w:rsidRPr="007E0F7A">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C00A984" w14:textId="77777777" w:rsidR="00C47036" w:rsidRPr="007E0F7A" w:rsidRDefault="00C47036">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de fecha 24 de julio de 2013, Rad. 2166, C. P. Álvaro Namén Vargas.  </w:t>
      </w:r>
    </w:p>
  </w:footnote>
  <w:footnote w:id="7">
    <w:p w14:paraId="50741481" w14:textId="77777777" w:rsidR="00C47036" w:rsidRPr="007E0F7A" w:rsidRDefault="00C47036">
      <w:pPr>
        <w:spacing w:after="0" w:line="240" w:lineRule="auto"/>
        <w:ind w:firstLine="709"/>
        <w:jc w:val="both"/>
        <w:rPr>
          <w:rFonts w:ascii="Verdana" w:eastAsia="Times New Roman"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eastAsia="Calibri" w:hAnsi="Verdana" w:cs="Arial"/>
          <w:color w:val="000000"/>
          <w:sz w:val="14"/>
          <w:szCs w:val="14"/>
        </w:rPr>
        <w:t>“</w:t>
      </w:r>
      <w:r w:rsidRPr="007E0F7A">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04373C1" w14:textId="77777777" w:rsidR="00C47036" w:rsidRPr="007E0F7A" w:rsidRDefault="00C47036">
      <w:pPr>
        <w:spacing w:after="0" w:line="240" w:lineRule="auto"/>
        <w:ind w:firstLine="709"/>
        <w:jc w:val="both"/>
        <w:rPr>
          <w:rFonts w:ascii="Verdana" w:eastAsia="Times New Roman" w:hAnsi="Verdana" w:cs="Arial"/>
          <w:sz w:val="14"/>
          <w:szCs w:val="14"/>
        </w:rPr>
      </w:pPr>
      <w:r w:rsidRPr="007E0F7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E0F7A">
        <w:rPr>
          <w:rFonts w:ascii="Verdana" w:eastAsia="Calibri" w:hAnsi="Verdana" w:cs="Arial"/>
          <w:color w:val="000000"/>
          <w:sz w:val="14"/>
          <w:szCs w:val="14"/>
        </w:rPr>
        <w:t>”</w:t>
      </w:r>
      <w:r w:rsidRPr="007E0F7A">
        <w:rPr>
          <w:rFonts w:ascii="Verdana" w:eastAsia="Times New Roman" w:hAnsi="Verdana" w:cs="Arial"/>
          <w:sz w:val="14"/>
          <w:szCs w:val="14"/>
        </w:rPr>
        <w:t>.</w:t>
      </w:r>
    </w:p>
  </w:footnote>
  <w:footnote w:id="8">
    <w:p w14:paraId="06BC7341" w14:textId="77777777" w:rsidR="00C47036" w:rsidRPr="007E0F7A" w:rsidRDefault="00C47036">
      <w:pPr>
        <w:pStyle w:val="NormalWeb"/>
        <w:spacing w:before="0" w:beforeAutospacing="0" w:after="0" w:afterAutospacing="0"/>
        <w:ind w:firstLine="709"/>
        <w:jc w:val="both"/>
        <w:rPr>
          <w:rFonts w:ascii="Verdana" w:hAnsi="Verdana" w:cs="Arial"/>
          <w:sz w:val="14"/>
          <w:szCs w:val="14"/>
          <w:lang w:val="es-MX"/>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eastAsia="Calibri" w:hAnsi="Verdana" w:cs="Arial"/>
          <w:color w:val="000000"/>
          <w:sz w:val="14"/>
          <w:szCs w:val="14"/>
        </w:rPr>
        <w:t>“</w:t>
      </w:r>
      <w:r w:rsidRPr="007E0F7A">
        <w:rPr>
          <w:rFonts w:ascii="Verdana" w:hAnsi="Verdana" w:cs="Arial"/>
          <w:sz w:val="14"/>
          <w:szCs w:val="14"/>
          <w:lang w:val="es-MX"/>
        </w:rPr>
        <w:t>Artículo 38. Prohibiciones para los servidores públicos. A los empleados del Estado les está prohibido: […]</w:t>
      </w:r>
    </w:p>
    <w:p w14:paraId="069E4AAD" w14:textId="77777777" w:rsidR="00C47036" w:rsidRPr="007E0F7A" w:rsidRDefault="00C47036">
      <w:pPr>
        <w:pStyle w:val="NormalWeb"/>
        <w:spacing w:before="0" w:beforeAutospacing="0" w:after="0" w:afterAutospacing="0"/>
        <w:ind w:firstLine="709"/>
        <w:jc w:val="both"/>
        <w:rPr>
          <w:rFonts w:ascii="Verdana" w:hAnsi="Verdana" w:cs="Arial"/>
          <w:sz w:val="14"/>
          <w:szCs w:val="14"/>
          <w:lang w:val="es-MX"/>
        </w:rPr>
      </w:pPr>
      <w:r w:rsidRPr="007E0F7A">
        <w:rPr>
          <w:rStyle w:val="baj"/>
          <w:rFonts w:ascii="Verdana" w:hAnsi="Verdana" w:cs="Arial"/>
          <w:sz w:val="14"/>
          <w:szCs w:val="14"/>
          <w:lang w:val="es-MX"/>
        </w:rPr>
        <w:t>Parágrafo.</w:t>
      </w:r>
      <w:r w:rsidRPr="007E0F7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E0F7A">
        <w:rPr>
          <w:rFonts w:ascii="Verdana" w:eastAsia="Calibri" w:hAnsi="Verdana" w:cs="Arial"/>
          <w:color w:val="000000"/>
          <w:sz w:val="14"/>
          <w:szCs w:val="14"/>
        </w:rPr>
        <w:t>”</w:t>
      </w:r>
      <w:r w:rsidRPr="007E0F7A">
        <w:rPr>
          <w:rFonts w:ascii="Verdana" w:hAnsi="Verdana" w:cs="Arial"/>
          <w:sz w:val="14"/>
          <w:szCs w:val="14"/>
          <w:lang w:val="es-MX"/>
        </w:rPr>
        <w:t>.</w:t>
      </w:r>
    </w:p>
  </w:footnote>
  <w:footnote w:id="9">
    <w:p w14:paraId="01A37BF5" w14:textId="77777777" w:rsidR="00C47036" w:rsidRPr="007E0F7A" w:rsidRDefault="00C47036">
      <w:pPr>
        <w:spacing w:after="0" w:line="240" w:lineRule="auto"/>
        <w:ind w:left="100" w:right="244" w:firstLine="709"/>
        <w:jc w:val="both"/>
        <w:rPr>
          <w:rFonts w:ascii="Verdana" w:hAnsi="Verdana" w:cs="Arial"/>
          <w:sz w:val="14"/>
          <w:szCs w:val="14"/>
          <w:lang w:val="es-ES"/>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0731FB11" w14:textId="77777777" w:rsidR="00326556" w:rsidRPr="007E0F7A" w:rsidRDefault="00326556">
      <w:pPr>
        <w:pStyle w:val="Textonotapie"/>
        <w:ind w:right="51"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hAnsi="Verdana" w:cs="Arial"/>
          <w:sz w:val="14"/>
          <w:szCs w:val="14"/>
          <w:lang w:val="es-ES"/>
        </w:rPr>
        <w:t xml:space="preserve">[26] </w:t>
      </w:r>
      <w:r w:rsidRPr="007E0F7A">
        <w:rPr>
          <w:rFonts w:ascii="Verdana" w:hAnsi="Verdana" w:cs="Arial"/>
          <w:sz w:val="14"/>
          <w:szCs w:val="14"/>
        </w:rPr>
        <w:t>Al respecto ver el concepto 1712 de 2 de febrero de 2006. Consejo de Estado Sala de Consulta y Servicio Civil”.</w:t>
      </w:r>
    </w:p>
  </w:footnote>
  <w:footnote w:id="11">
    <w:p w14:paraId="23797C4A" w14:textId="77777777" w:rsidR="00326556" w:rsidRPr="007E0F7A" w:rsidRDefault="00326556">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2">
    <w:p w14:paraId="06A1F6CE" w14:textId="77777777" w:rsidR="00326556" w:rsidRPr="007E0F7A" w:rsidRDefault="00326556">
      <w:pPr>
        <w:pStyle w:val="Textonotapie"/>
        <w:ind w:firstLine="709"/>
        <w:jc w:val="both"/>
        <w:rPr>
          <w:rFonts w:ascii="Verdana" w:hAnsi="Verdana" w:cs="Arial"/>
          <w:sz w:val="14"/>
          <w:szCs w:val="14"/>
          <w:lang w:val="es-ES"/>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hAnsi="Verdana" w:cs="Arial"/>
          <w:sz w:val="14"/>
          <w:szCs w:val="14"/>
          <w:lang w:val="es-ES"/>
        </w:rPr>
        <w:t xml:space="preserve">Artículo 2. </w:t>
      </w:r>
    </w:p>
  </w:footnote>
  <w:footnote w:id="13">
    <w:p w14:paraId="0E860119" w14:textId="77777777" w:rsidR="00326556" w:rsidRPr="007E0F7A" w:rsidRDefault="00326556">
      <w:pPr>
        <w:pStyle w:val="Textonotapie"/>
        <w:ind w:firstLine="709"/>
        <w:jc w:val="both"/>
        <w:rPr>
          <w:rFonts w:ascii="Verdana" w:hAnsi="Verdana" w:cs="Arial"/>
          <w:sz w:val="14"/>
          <w:szCs w:val="14"/>
          <w:lang w:val="es-ES"/>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hAnsi="Verdana" w:cs="Arial"/>
          <w:i/>
          <w:sz w:val="14"/>
          <w:szCs w:val="14"/>
          <w:lang w:val="es-ES"/>
        </w:rPr>
        <w:t>Ídem</w:t>
      </w:r>
      <w:r w:rsidRPr="007E0F7A">
        <w:rPr>
          <w:rFonts w:ascii="Verdana" w:hAnsi="Verdana" w:cs="Arial"/>
          <w:sz w:val="14"/>
          <w:szCs w:val="14"/>
          <w:lang w:val="es-ES"/>
        </w:rPr>
        <w:t>.</w:t>
      </w:r>
    </w:p>
  </w:footnote>
  <w:footnote w:id="14">
    <w:p w14:paraId="45E4E1C4" w14:textId="77777777" w:rsidR="00326556" w:rsidRPr="007E0F7A" w:rsidRDefault="00326556">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del 08 de mayo de 2018. Exp. 2.382. C.P. Álvaro Namén Vargas.</w:t>
      </w:r>
    </w:p>
  </w:footnote>
  <w:footnote w:id="15">
    <w:p w14:paraId="78B5F331" w14:textId="77777777" w:rsidR="00326556" w:rsidRPr="007E0F7A" w:rsidRDefault="00326556" w:rsidP="007E0F7A">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16">
    <w:p w14:paraId="773F9A94" w14:textId="77777777" w:rsidR="00326556" w:rsidRPr="007E0F7A" w:rsidRDefault="00326556" w:rsidP="007E0F7A">
      <w:pPr>
        <w:pStyle w:val="Textonotapie"/>
        <w:ind w:firstLine="709"/>
        <w:jc w:val="both"/>
        <w:rPr>
          <w:rFonts w:ascii="Verdana" w:hAnsi="Verdana"/>
          <w:sz w:val="14"/>
          <w:szCs w:val="14"/>
          <w:lang w:val="es-ES"/>
        </w:rPr>
      </w:pPr>
      <w:r w:rsidRPr="007E0F7A">
        <w:rPr>
          <w:rStyle w:val="Refdenotaalpie"/>
          <w:rFonts w:ascii="Verdana" w:hAnsi="Verdana"/>
          <w:sz w:val="14"/>
          <w:szCs w:val="14"/>
        </w:rPr>
        <w:footnoteRef/>
      </w:r>
      <w:r w:rsidRPr="007E0F7A">
        <w:rPr>
          <w:rFonts w:ascii="Verdana" w:hAnsi="Verdana"/>
          <w:sz w:val="14"/>
          <w:szCs w:val="14"/>
        </w:rPr>
        <w:t xml:space="preserve"> </w:t>
      </w:r>
      <w:r w:rsidRPr="007E0F7A">
        <w:rPr>
          <w:rFonts w:ascii="Verdana" w:eastAsia="Calibri" w:hAnsi="Verdana" w:cs="Arial"/>
          <w:sz w:val="14"/>
          <w:szCs w:val="14"/>
          <w:lang w:val="es-ES"/>
        </w:rPr>
        <w:t xml:space="preserve">Consejo de Estado, Sala de Consulta y Servicio Civil, Concepto de fecha 8 de mayo de 2018, No. </w:t>
      </w:r>
      <w:r w:rsidRPr="007E0F7A">
        <w:rPr>
          <w:rFonts w:ascii="Verdana" w:hAnsi="Verdana"/>
          <w:sz w:val="14"/>
          <w:szCs w:val="14"/>
          <w:lang w:val="es-CO"/>
        </w:rPr>
        <w:t>2382.</w:t>
      </w:r>
      <w:r w:rsidRPr="007E0F7A">
        <w:rPr>
          <w:rFonts w:ascii="Verdana" w:hAnsi="Verdana"/>
          <w:sz w:val="14"/>
          <w:szCs w:val="14"/>
        </w:rPr>
        <w:t xml:space="preserve"> </w:t>
      </w:r>
      <w:r w:rsidRPr="007E0F7A">
        <w:rPr>
          <w:rFonts w:ascii="Verdana" w:hAnsi="Verdana"/>
          <w:sz w:val="14"/>
          <w:szCs w:val="14"/>
          <w:lang w:val="es-CO"/>
        </w:rPr>
        <w:t>C. P. Álvaro Namén Vargas.</w:t>
      </w:r>
    </w:p>
  </w:footnote>
  <w:footnote w:id="17">
    <w:p w14:paraId="5E1A22AA" w14:textId="77777777" w:rsidR="00326556" w:rsidRPr="007E0F7A" w:rsidRDefault="00326556" w:rsidP="00F613F0">
      <w:pPr>
        <w:spacing w:after="0" w:line="240" w:lineRule="auto"/>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2BB0BA30" w14:textId="77777777" w:rsidR="00326556" w:rsidRPr="007E0F7A" w:rsidRDefault="00326556" w:rsidP="00F613F0">
      <w:pPr>
        <w:pStyle w:val="Textonotapie"/>
        <w:ind w:right="51" w:firstLine="709"/>
        <w:jc w:val="both"/>
        <w:rPr>
          <w:rFonts w:ascii="Verdana" w:eastAsia="Times New Roman" w:hAnsi="Verdana" w:cs="Arial"/>
          <w:bCs/>
          <w:sz w:val="14"/>
          <w:szCs w:val="14"/>
          <w:lang w:eastAsia="x-none"/>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 6 de abril de 2006.C.P. Enrique José Arboleda Perdomo. </w:t>
      </w:r>
      <w:r w:rsidRPr="007E0F7A">
        <w:rPr>
          <w:rFonts w:ascii="Verdana" w:hAnsi="Verdana" w:cs="Arial"/>
          <w:sz w:val="14"/>
          <w:szCs w:val="14"/>
          <w:lang w:val="es-CO"/>
        </w:rPr>
        <w:t>Rad. 1738</w:t>
      </w:r>
      <w:r w:rsidRPr="007E0F7A">
        <w:rPr>
          <w:rFonts w:ascii="Verdana" w:eastAsia="Times New Roman" w:hAnsi="Verdana" w:cs="Arial"/>
          <w:bCs/>
          <w:sz w:val="14"/>
          <w:szCs w:val="14"/>
          <w:lang w:eastAsia="x-none"/>
        </w:rPr>
        <w:t xml:space="preserve"> “</w:t>
      </w:r>
      <w:r w:rsidRPr="007E0F7A">
        <w:rPr>
          <w:rFonts w:ascii="Verdana" w:hAnsi="Verdana" w:cs="Arial"/>
          <w:sz w:val="14"/>
          <w:szCs w:val="14"/>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E0F7A">
        <w:rPr>
          <w:rFonts w:ascii="Verdana" w:eastAsia="Times New Roman" w:hAnsi="Verdana" w:cs="Arial"/>
          <w:bCs/>
          <w:sz w:val="14"/>
          <w:szCs w:val="14"/>
          <w:lang w:eastAsia="x-none"/>
        </w:rPr>
        <w:t>”.</w:t>
      </w:r>
    </w:p>
  </w:footnote>
  <w:footnote w:id="19">
    <w:p w14:paraId="35E38287" w14:textId="77777777" w:rsidR="00326556" w:rsidRPr="007E0F7A" w:rsidRDefault="00326556" w:rsidP="007E0F7A">
      <w:pPr>
        <w:spacing w:after="0" w:line="240" w:lineRule="auto"/>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Concepto de 6 de abril de 2006. C.P. Enrique José Arboleda Perdomo. Rad. 1738. </w:t>
      </w:r>
    </w:p>
  </w:footnote>
  <w:footnote w:id="20">
    <w:p w14:paraId="74134CA2" w14:textId="77777777" w:rsidR="00326556" w:rsidRPr="007E0F7A" w:rsidRDefault="00326556" w:rsidP="00D30AA0">
      <w:pPr>
        <w:pStyle w:val="Textonotapie"/>
        <w:ind w:right="51"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Consejo de Estado. Sala de Consulta y Servicio Civil, ídem.</w:t>
      </w:r>
    </w:p>
  </w:footnote>
  <w:footnote w:id="21">
    <w:p w14:paraId="236FC9A8" w14:textId="77777777" w:rsidR="00326556" w:rsidRPr="007E0F7A" w:rsidRDefault="00326556" w:rsidP="00F613F0">
      <w:pPr>
        <w:spacing w:after="0" w:line="240" w:lineRule="auto"/>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1297ED9A" w14:textId="77777777" w:rsidR="00326556" w:rsidRPr="007E0F7A" w:rsidRDefault="00326556" w:rsidP="007E0F7A">
      <w:pPr>
        <w:pStyle w:val="Textonotapie"/>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Corte Constitucional. Sentencia C-1153 de 2005 M.P. Marco Gerardo Monroy Cabra. </w:t>
      </w:r>
    </w:p>
  </w:footnote>
  <w:footnote w:id="23">
    <w:p w14:paraId="6982EFEE" w14:textId="77777777" w:rsidR="00326556" w:rsidRPr="007E0F7A" w:rsidRDefault="00326556" w:rsidP="007E0F7A">
      <w:pPr>
        <w:pStyle w:val="Textonotapie"/>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footnote>
  <w:footnote w:id="24">
    <w:p w14:paraId="5F3B6622" w14:textId="77777777" w:rsidR="00326556" w:rsidRPr="007E0F7A" w:rsidRDefault="00326556" w:rsidP="007E0F7A">
      <w:pPr>
        <w:pStyle w:val="Textonotapie"/>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 w:id="25">
    <w:p w14:paraId="1D6289DC" w14:textId="77777777" w:rsidR="00397A36" w:rsidRPr="007E0F7A" w:rsidRDefault="00397A36" w:rsidP="00397A36">
      <w:pPr>
        <w:pStyle w:val="Textonotapie"/>
        <w:ind w:firstLine="709"/>
        <w:jc w:val="both"/>
        <w:rPr>
          <w:rFonts w:ascii="Verdana" w:hAnsi="Verdana" w:cs="Arial"/>
          <w:sz w:val="14"/>
          <w:szCs w:val="14"/>
          <w:lang w:val="es-ES"/>
        </w:rPr>
      </w:pPr>
      <w:r w:rsidRPr="007E0F7A">
        <w:rPr>
          <w:rStyle w:val="Refdenotaalpie"/>
          <w:rFonts w:ascii="Verdana" w:hAnsi="Verdana" w:cs="Arial"/>
          <w:sz w:val="14"/>
          <w:szCs w:val="14"/>
        </w:rPr>
        <w:footnoteRef/>
      </w:r>
      <w:r w:rsidRPr="007E0F7A">
        <w:rPr>
          <w:rFonts w:ascii="Verdana" w:hAnsi="Verdana" w:cs="Arial"/>
          <w:sz w:val="14"/>
          <w:szCs w:val="14"/>
        </w:rPr>
        <w:t xml:space="preserve"> </w:t>
      </w:r>
      <w:r w:rsidRPr="007E0F7A">
        <w:rPr>
          <w:rFonts w:ascii="Verdana" w:hAnsi="Verdana" w:cs="Arial"/>
          <w:sz w:val="14"/>
          <w:szCs w:val="14"/>
          <w:lang w:val="es-ES"/>
        </w:rPr>
        <w:t>BOBBIO, Norberto. Democracia y secreto. México: Fondo de Cultura Económica, 2013. p. 27.</w:t>
      </w:r>
    </w:p>
  </w:footnote>
  <w:footnote w:id="26">
    <w:p w14:paraId="66E6D644" w14:textId="77777777" w:rsidR="005232E4" w:rsidRPr="007E0F7A" w:rsidRDefault="005232E4" w:rsidP="005232E4">
      <w:pPr>
        <w:pStyle w:val="Textonotapie"/>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533376B7" w14:textId="77777777" w:rsidR="005232E4" w:rsidRPr="007E0F7A" w:rsidRDefault="005232E4" w:rsidP="005232E4">
      <w:pPr>
        <w:pStyle w:val="Textonotapie"/>
        <w:ind w:firstLine="709"/>
        <w:jc w:val="both"/>
        <w:rPr>
          <w:rFonts w:ascii="Verdana" w:hAnsi="Verdana" w:cs="Arial"/>
          <w:color w:val="000000" w:themeColor="text1"/>
          <w:sz w:val="14"/>
          <w:szCs w:val="14"/>
        </w:rPr>
      </w:pPr>
      <w:r w:rsidRPr="007E0F7A">
        <w:rPr>
          <w:rFonts w:ascii="Verdana" w:hAnsi="Verdana" w:cs="Arial"/>
          <w:color w:val="000000" w:themeColor="text1"/>
          <w:sz w:val="14"/>
          <w:szCs w:val="14"/>
        </w:rPr>
        <w:t>Lo anterior, sin perjuicio de las publicaciones previstas en el numeral 3 del artículo 30 de la Ley 80 de 1993.</w:t>
      </w:r>
    </w:p>
    <w:p w14:paraId="785E29B6" w14:textId="77777777" w:rsidR="005232E4" w:rsidRPr="007E0F7A" w:rsidRDefault="005232E4" w:rsidP="005232E4">
      <w:pPr>
        <w:pStyle w:val="Textonotapie"/>
        <w:ind w:firstLine="709"/>
        <w:jc w:val="both"/>
        <w:rPr>
          <w:rFonts w:ascii="Verdana" w:hAnsi="Verdana" w:cs="Arial"/>
          <w:color w:val="000000" w:themeColor="text1"/>
          <w:sz w:val="14"/>
          <w:szCs w:val="14"/>
        </w:rPr>
      </w:pPr>
      <w:r w:rsidRPr="007E0F7A">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4F732626" w14:textId="77777777" w:rsidR="005232E4" w:rsidRPr="007E0F7A" w:rsidRDefault="005232E4" w:rsidP="005232E4">
      <w:pPr>
        <w:pStyle w:val="Textonotapie"/>
        <w:ind w:firstLine="709"/>
        <w:jc w:val="both"/>
        <w:rPr>
          <w:rFonts w:ascii="Verdana" w:hAnsi="Verdana" w:cs="Arial"/>
          <w:color w:val="000000" w:themeColor="text1"/>
          <w:sz w:val="14"/>
          <w:szCs w:val="14"/>
        </w:rPr>
      </w:pPr>
      <w:r w:rsidRPr="007E0F7A">
        <w:rPr>
          <w:rFonts w:ascii="Verdana" w:hAnsi="Verdana" w:cs="Arial"/>
          <w:color w:val="000000" w:themeColor="text1"/>
          <w:sz w:val="14"/>
          <w:szCs w:val="14"/>
        </w:rPr>
        <w:t>[…]</w:t>
      </w:r>
    </w:p>
    <w:p w14:paraId="71764F8A" w14:textId="7DC2810F" w:rsidR="005232E4" w:rsidRPr="007E0F7A" w:rsidRDefault="005232E4" w:rsidP="00361D1D">
      <w:pPr>
        <w:pStyle w:val="Textonotapie"/>
        <w:ind w:firstLine="709"/>
        <w:jc w:val="both"/>
        <w:rPr>
          <w:rFonts w:ascii="Verdana" w:hAnsi="Verdana" w:cs="Arial"/>
          <w:color w:val="000000" w:themeColor="text1"/>
          <w:sz w:val="14"/>
          <w:szCs w:val="14"/>
        </w:rPr>
      </w:pPr>
      <w:r w:rsidRPr="007E0F7A">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footnote>
  <w:footnote w:id="27">
    <w:p w14:paraId="78CB8DAB" w14:textId="121D4883" w:rsidR="0065766B" w:rsidRPr="007E0F7A" w:rsidRDefault="0065766B" w:rsidP="0065766B">
      <w:pPr>
        <w:pStyle w:val="Textonotapie"/>
        <w:ind w:firstLine="709"/>
        <w:jc w:val="both"/>
        <w:rPr>
          <w:rFonts w:ascii="Verdana" w:hAnsi="Verdana" w:cs="Arial"/>
          <w:color w:val="000000" w:themeColor="text1"/>
          <w:sz w:val="14"/>
          <w:szCs w:val="14"/>
          <w:lang w:val="es-CO"/>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28">
    <w:p w14:paraId="180CEF76" w14:textId="77777777" w:rsidR="0014071A" w:rsidRPr="007E0F7A" w:rsidRDefault="0014071A" w:rsidP="0014071A">
      <w:pPr>
        <w:pStyle w:val="Textonotapie"/>
        <w:ind w:firstLine="709"/>
        <w:jc w:val="both"/>
        <w:rPr>
          <w:rFonts w:ascii="Verdana" w:hAnsi="Verdana" w:cs="Arial"/>
          <w:color w:val="000000" w:themeColor="text1"/>
          <w:sz w:val="14"/>
          <w:szCs w:val="14"/>
        </w:rPr>
      </w:pPr>
      <w:r w:rsidRPr="007E0F7A">
        <w:rPr>
          <w:rStyle w:val="Refdenotaalpie"/>
          <w:rFonts w:ascii="Verdana" w:hAnsi="Verdana" w:cs="Arial"/>
          <w:color w:val="000000" w:themeColor="text1"/>
          <w:sz w:val="14"/>
          <w:szCs w:val="14"/>
        </w:rPr>
        <w:footnoteRef/>
      </w:r>
      <w:r w:rsidRPr="007E0F7A">
        <w:rPr>
          <w:rFonts w:ascii="Verdana" w:hAnsi="Verdana" w:cs="Arial"/>
          <w:color w:val="000000" w:themeColor="text1"/>
          <w:sz w:val="14"/>
          <w:szCs w:val="14"/>
        </w:rPr>
        <w:t xml:space="preserve"> Ley 1712 de 2014: “Artículo 5. Ámbito de aplicación. Las disposiciones de esta ley serán aplicables a las siguientes personas en calidad de sujetos obligados: </w:t>
      </w:r>
    </w:p>
    <w:p w14:paraId="434B3AF6" w14:textId="77777777" w:rsidR="0014071A" w:rsidRPr="007E0F7A" w:rsidRDefault="0014071A" w:rsidP="0014071A">
      <w:pPr>
        <w:pStyle w:val="Textonotapie"/>
        <w:ind w:firstLine="709"/>
        <w:jc w:val="both"/>
        <w:rPr>
          <w:rFonts w:ascii="Verdana" w:hAnsi="Verdana" w:cs="Arial"/>
          <w:color w:val="000000" w:themeColor="text1"/>
          <w:sz w:val="14"/>
          <w:szCs w:val="14"/>
        </w:rPr>
      </w:pPr>
      <w:r w:rsidRPr="007E0F7A">
        <w:rPr>
          <w:rFonts w:ascii="Verdana" w:hAnsi="Verdana" w:cs="Arial"/>
          <w:color w:val="000000" w:themeColor="text1"/>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821D8F1" w14:textId="77777777" w:rsidR="0014071A" w:rsidRPr="007E0F7A" w:rsidRDefault="0014071A" w:rsidP="0014071A">
      <w:pPr>
        <w:pStyle w:val="Textonotapie"/>
        <w:ind w:firstLine="709"/>
        <w:jc w:val="both"/>
        <w:rPr>
          <w:rFonts w:ascii="Verdana" w:hAnsi="Verdana" w:cs="Arial"/>
          <w:color w:val="000000" w:themeColor="text1"/>
          <w:sz w:val="14"/>
          <w:szCs w:val="14"/>
          <w:lang w:val="es-CO"/>
        </w:rPr>
      </w:pPr>
    </w:p>
  </w:footnote>
  <w:footnote w:id="29">
    <w:p w14:paraId="058C6CC5" w14:textId="77777777" w:rsidR="0014071A" w:rsidRPr="007E0F7A" w:rsidRDefault="0014071A" w:rsidP="0014071A">
      <w:pPr>
        <w:pStyle w:val="Textonotapie"/>
        <w:ind w:firstLine="709"/>
        <w:jc w:val="both"/>
        <w:rPr>
          <w:rFonts w:ascii="Verdana" w:hAnsi="Verdana" w:cs="Arial"/>
          <w:color w:val="000000" w:themeColor="text1"/>
          <w:sz w:val="14"/>
          <w:szCs w:val="14"/>
        </w:rPr>
      </w:pPr>
      <w:r w:rsidRPr="007E0F7A">
        <w:rPr>
          <w:rFonts w:ascii="Verdana" w:eastAsia="Times New Roman" w:hAnsi="Verdana" w:cs="Arial"/>
          <w:color w:val="000000" w:themeColor="text1"/>
          <w:sz w:val="14"/>
          <w:szCs w:val="14"/>
          <w:vertAlign w:val="superscript"/>
          <w:lang w:val="es-ES" w:eastAsia="es-ES"/>
        </w:rPr>
        <w:footnoteRef/>
      </w:r>
      <w:r w:rsidRPr="007E0F7A">
        <w:rPr>
          <w:rFonts w:ascii="Verdana" w:eastAsia="Times New Roman" w:hAnsi="Verdana" w:cs="Arial"/>
          <w:color w:val="000000" w:themeColor="text1"/>
          <w:sz w:val="14"/>
          <w:szCs w:val="14"/>
          <w:vertAlign w:val="superscript"/>
          <w:lang w:val="es-ES" w:eastAsia="es-ES"/>
        </w:rPr>
        <w:t xml:space="preserve"> </w:t>
      </w:r>
      <w:r w:rsidRPr="007E0F7A">
        <w:rPr>
          <w:rFonts w:ascii="Verdana" w:hAnsi="Verdana" w:cs="Arial"/>
          <w:color w:val="000000" w:themeColor="text1"/>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7358586" w14:textId="77777777" w:rsidR="0014071A" w:rsidRPr="007E0F7A" w:rsidRDefault="0014071A" w:rsidP="0014071A">
      <w:pPr>
        <w:pStyle w:val="Textonotapie"/>
        <w:ind w:firstLine="709"/>
        <w:jc w:val="both"/>
        <w:rPr>
          <w:rFonts w:ascii="Verdana" w:eastAsia="Times New Roman" w:hAnsi="Verdana" w:cs="Arial"/>
          <w:color w:val="000000" w:themeColor="text1"/>
          <w:sz w:val="14"/>
          <w:szCs w:val="14"/>
          <w:lang w:val="es-ES" w:eastAsia="es-ES"/>
        </w:rPr>
      </w:pPr>
      <w:r w:rsidRPr="007E0F7A">
        <w:rPr>
          <w:rFonts w:ascii="Verdana" w:hAnsi="Verdana" w:cs="Arial"/>
          <w:color w:val="000000" w:themeColor="text1"/>
          <w:sz w:val="14"/>
          <w:szCs w:val="14"/>
        </w:rPr>
        <w:t>[…].</w:t>
      </w:r>
    </w:p>
    <w:p w14:paraId="34EE919B" w14:textId="316B8D68" w:rsidR="0014071A" w:rsidRPr="007E0F7A" w:rsidRDefault="0014071A" w:rsidP="0014071A">
      <w:pPr>
        <w:pStyle w:val="Textonotapie"/>
        <w:ind w:firstLine="709"/>
        <w:jc w:val="both"/>
        <w:rPr>
          <w:rFonts w:ascii="Verdana" w:eastAsia="Times New Roman" w:hAnsi="Verdana" w:cs="Arial"/>
          <w:color w:val="000000" w:themeColor="text1"/>
          <w:sz w:val="14"/>
          <w:szCs w:val="14"/>
          <w:lang w:val="es-ES" w:eastAsia="es-ES"/>
        </w:rPr>
      </w:pPr>
      <w:r w:rsidRPr="007E0F7A">
        <w:rPr>
          <w:rFonts w:ascii="Verdana" w:eastAsia="Times New Roman" w:hAnsi="Verdana" w:cs="Arial"/>
          <w:color w:val="000000" w:themeColor="text1"/>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30">
    <w:p w14:paraId="044147E8" w14:textId="50506BB7" w:rsidR="00282853" w:rsidRPr="007E0F7A" w:rsidRDefault="00282853" w:rsidP="00361D1D">
      <w:pPr>
        <w:pStyle w:val="Textonotapie"/>
        <w:ind w:firstLine="709"/>
        <w:jc w:val="both"/>
        <w:rPr>
          <w:rFonts w:ascii="Verdana" w:hAnsi="Verdana" w:cs="Arial"/>
          <w:color w:val="000000"/>
          <w:sz w:val="14"/>
          <w:szCs w:val="14"/>
        </w:rPr>
      </w:pPr>
      <w:r w:rsidRPr="007E0F7A">
        <w:rPr>
          <w:rStyle w:val="Refdenotaalpie"/>
          <w:rFonts w:ascii="Verdana" w:hAnsi="Verdana" w:cs="Arial"/>
          <w:color w:val="000000"/>
          <w:sz w:val="14"/>
          <w:szCs w:val="14"/>
        </w:rPr>
        <w:footnoteRef/>
      </w:r>
      <w:r w:rsidRPr="007E0F7A">
        <w:rPr>
          <w:rFonts w:ascii="Verdana" w:hAnsi="Verdana" w:cs="Arial"/>
          <w:color w:val="000000"/>
          <w:sz w:val="14"/>
          <w:szCs w:val="14"/>
        </w:rPr>
        <w:t xml:space="preserve"> C</w:t>
      </w:r>
      <w:r w:rsidRPr="007E0F7A">
        <w:rPr>
          <w:rFonts w:ascii="Verdana" w:eastAsia="Times New Roman" w:hAnsi="Verdana" w:cs="Arial"/>
          <w:color w:val="000000"/>
          <w:sz w:val="14"/>
          <w:szCs w:val="14"/>
          <w:lang w:val="es-ES" w:eastAsia="es-ES"/>
        </w:rPr>
        <w:t>orte Constitucional. Sentencia C‒274 de 9 de mayo de 2013. M.P. Mar</w:t>
      </w:r>
      <w:r w:rsidRPr="007E0F7A">
        <w:rPr>
          <w:rFonts w:ascii="Verdana" w:eastAsia="Times New Roman" w:hAnsi="Verdana" w:cs="Century Gothic"/>
          <w:color w:val="000000"/>
          <w:sz w:val="14"/>
          <w:szCs w:val="14"/>
          <w:lang w:val="es-ES" w:eastAsia="es-ES"/>
        </w:rPr>
        <w:t>í</w:t>
      </w:r>
      <w:r w:rsidRPr="007E0F7A">
        <w:rPr>
          <w:rFonts w:ascii="Verdana" w:eastAsia="Times New Roman" w:hAnsi="Verdana" w:cs="Arial"/>
          <w:color w:val="000000"/>
          <w:sz w:val="14"/>
          <w:szCs w:val="14"/>
          <w:lang w:val="es-ES" w:eastAsia="es-ES"/>
        </w:rPr>
        <w:t xml:space="preserve">a Victoria Calle Correa. </w:t>
      </w:r>
    </w:p>
  </w:footnote>
  <w:footnote w:id="31">
    <w:p w14:paraId="5D61021C" w14:textId="77777777" w:rsidR="00127C1B" w:rsidRPr="007E0F7A" w:rsidRDefault="00127C1B" w:rsidP="007E0F7A">
      <w:pPr>
        <w:pStyle w:val="Textonotapie"/>
        <w:ind w:firstLine="709"/>
        <w:jc w:val="both"/>
        <w:rPr>
          <w:rFonts w:ascii="Verdana" w:hAnsi="Verdana" w:cs="Arial"/>
          <w:color w:val="000000"/>
          <w:sz w:val="14"/>
          <w:szCs w:val="14"/>
        </w:rPr>
      </w:pPr>
      <w:r w:rsidRPr="007E0F7A">
        <w:rPr>
          <w:rStyle w:val="Refdenotaalpie"/>
          <w:rFonts w:ascii="Verdana" w:hAnsi="Verdana" w:cs="Arial"/>
          <w:color w:val="000000"/>
          <w:sz w:val="14"/>
          <w:szCs w:val="14"/>
        </w:rPr>
        <w:footnoteRef/>
      </w:r>
      <w:r w:rsidRPr="007E0F7A">
        <w:rPr>
          <w:rFonts w:ascii="Verdana" w:hAnsi="Verdana" w:cs="Arial"/>
          <w:color w:val="000000"/>
          <w:sz w:val="14"/>
          <w:szCs w:val="14"/>
        </w:rPr>
        <w:t xml:space="preserve"> Decreto 4170 de 2011: “Artículo 3. Funciones: La Agencia Nacional de Contratación Pública –Colombia Compra Eficiente– ejercerá las siguientes funciones: [...]</w:t>
      </w:r>
    </w:p>
    <w:p w14:paraId="6D9AC436" w14:textId="77777777" w:rsidR="00127C1B" w:rsidRPr="007E0F7A" w:rsidRDefault="00127C1B" w:rsidP="007E0F7A">
      <w:pPr>
        <w:pStyle w:val="Textonotapie"/>
        <w:ind w:firstLine="709"/>
        <w:jc w:val="both"/>
        <w:rPr>
          <w:rFonts w:ascii="Verdana" w:hAnsi="Verdana" w:cs="Arial"/>
          <w:color w:val="000000"/>
          <w:sz w:val="14"/>
          <w:szCs w:val="14"/>
        </w:rPr>
      </w:pPr>
      <w:r w:rsidRPr="007E0F7A">
        <w:rPr>
          <w:rFonts w:ascii="Verdana" w:hAnsi="Verdana" w:cs="Arial"/>
          <w:color w:val="000000"/>
          <w:sz w:val="14"/>
          <w:szCs w:val="14"/>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32">
    <w:p w14:paraId="3D92DEC3" w14:textId="77777777" w:rsidR="00555273" w:rsidRPr="007E0F7A" w:rsidRDefault="00555273">
      <w:pPr>
        <w:pStyle w:val="Textonotapie"/>
        <w:ind w:firstLine="709"/>
        <w:rPr>
          <w:rFonts w:ascii="Verdana" w:hAnsi="Verdana"/>
          <w:sz w:val="14"/>
          <w:szCs w:val="14"/>
          <w:lang w:val="es-CO"/>
        </w:rPr>
      </w:pPr>
      <w:r w:rsidRPr="007E0F7A">
        <w:rPr>
          <w:rStyle w:val="Refdenotaalpie"/>
          <w:rFonts w:ascii="Verdana" w:hAnsi="Verdana"/>
          <w:sz w:val="14"/>
          <w:szCs w:val="14"/>
        </w:rPr>
        <w:footnoteRef/>
      </w:r>
      <w:r w:rsidRPr="007E0F7A">
        <w:rPr>
          <w:rFonts w:ascii="Verdana" w:hAnsi="Verdana"/>
          <w:sz w:val="14"/>
          <w:szCs w:val="14"/>
        </w:rPr>
        <w:t xml:space="preserve"> </w:t>
      </w:r>
      <w:r w:rsidRPr="00D30AA0">
        <w:rPr>
          <w:rFonts w:ascii="Verdana" w:hAnsi="Verdana"/>
          <w:sz w:val="14"/>
          <w:szCs w:val="14"/>
          <w:lang w:val="es-CO"/>
        </w:rPr>
        <w:t xml:space="preserve">Disponible en: </w:t>
      </w:r>
      <w:hyperlink r:id="rId1" w:history="1">
        <w:r w:rsidRPr="00D30AA0">
          <w:rPr>
            <w:rStyle w:val="Hipervnculo"/>
            <w:rFonts w:ascii="Verdana" w:hAnsi="Verdana"/>
            <w:sz w:val="14"/>
            <w:szCs w:val="14"/>
            <w:lang w:val="es-CO"/>
          </w:rPr>
          <w:t>https://www.colombiacompra.gov.co/node/23710</w:t>
        </w:r>
      </w:hyperlink>
      <w:r w:rsidRPr="007E0F7A">
        <w:rPr>
          <w:rFonts w:ascii="Verdana" w:hAnsi="Verdana"/>
          <w:sz w:val="14"/>
          <w:szCs w:val="14"/>
          <w:lang w:val="es-CO"/>
        </w:rPr>
        <w:t xml:space="preserve"> </w:t>
      </w:r>
    </w:p>
  </w:footnote>
  <w:footnote w:id="33">
    <w:p w14:paraId="4678C62A" w14:textId="77777777" w:rsidR="00555273" w:rsidRPr="007E0F7A" w:rsidRDefault="00555273">
      <w:pPr>
        <w:pStyle w:val="Textonotapie"/>
        <w:ind w:firstLine="709"/>
        <w:jc w:val="both"/>
        <w:rPr>
          <w:rFonts w:ascii="Verdana" w:hAnsi="Verdana"/>
          <w:sz w:val="14"/>
          <w:szCs w:val="14"/>
          <w:lang w:val="es-CO"/>
        </w:rPr>
      </w:pPr>
      <w:r w:rsidRPr="007E0F7A">
        <w:rPr>
          <w:rStyle w:val="Refdenotaalpie"/>
          <w:rFonts w:ascii="Verdana" w:hAnsi="Verdana"/>
          <w:sz w:val="14"/>
          <w:szCs w:val="14"/>
        </w:rPr>
        <w:footnoteRef/>
      </w:r>
      <w:r w:rsidRPr="007E0F7A">
        <w:rPr>
          <w:rFonts w:ascii="Verdana" w:hAnsi="Verdana"/>
          <w:sz w:val="14"/>
          <w:szCs w:val="14"/>
        </w:rPr>
        <w:t xml:space="preserve"> Disponible en: </w:t>
      </w:r>
      <w:hyperlink r:id="rId2" w:history="1">
        <w:r w:rsidRPr="007E0F7A">
          <w:rPr>
            <w:rStyle w:val="Hipervnculo"/>
            <w:rFonts w:ascii="Verdana" w:hAnsi="Verdana"/>
            <w:sz w:val="14"/>
            <w:szCs w:val="14"/>
          </w:rPr>
          <w:t>https://www.colombiacompra.gov.co/base-conocimiento/gestion-contractual-envio-del-contrato-secop-ii</w:t>
        </w:r>
      </w:hyperlink>
      <w:r w:rsidRPr="007E0F7A">
        <w:rPr>
          <w:rFonts w:ascii="Verdana" w:hAnsi="Verdana"/>
          <w:sz w:val="14"/>
          <w:szCs w:val="14"/>
        </w:rPr>
        <w:t xml:space="preserve"> </w:t>
      </w:r>
    </w:p>
  </w:footnote>
  <w:footnote w:id="34">
    <w:p w14:paraId="2257259B" w14:textId="77777777" w:rsidR="00555273" w:rsidRPr="007E0F7A" w:rsidRDefault="00555273">
      <w:pPr>
        <w:pStyle w:val="Textonotapie"/>
        <w:ind w:firstLine="709"/>
        <w:jc w:val="both"/>
        <w:rPr>
          <w:rFonts w:ascii="Verdana" w:hAnsi="Verdana"/>
          <w:sz w:val="14"/>
          <w:szCs w:val="14"/>
          <w:lang w:val="es-CO"/>
        </w:rPr>
      </w:pPr>
      <w:r w:rsidRPr="007E0F7A">
        <w:rPr>
          <w:rStyle w:val="Refdenotaalpie"/>
          <w:rFonts w:ascii="Verdana" w:hAnsi="Verdana"/>
          <w:sz w:val="14"/>
          <w:szCs w:val="14"/>
        </w:rPr>
        <w:footnoteRef/>
      </w:r>
      <w:r w:rsidRPr="007E0F7A">
        <w:rPr>
          <w:rFonts w:ascii="Verdana" w:hAnsi="Verdana"/>
          <w:sz w:val="14"/>
          <w:szCs w:val="14"/>
        </w:rPr>
        <w:t xml:space="preserve"> </w:t>
      </w:r>
      <w:r w:rsidRPr="007E0F7A">
        <w:rPr>
          <w:rFonts w:ascii="Verdana" w:hAnsi="Verdana"/>
          <w:sz w:val="14"/>
          <w:szCs w:val="14"/>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7E0F7A">
        <w:rPr>
          <w:rFonts w:ascii="Verdana" w:hAnsi="Verdana"/>
          <w:sz w:val="14"/>
          <w:szCs w:val="14"/>
        </w:rPr>
        <w:t xml:space="preserve"> </w:t>
      </w:r>
      <w:hyperlink r:id="rId3" w:history="1">
        <w:r w:rsidRPr="007E0F7A">
          <w:rPr>
            <w:rStyle w:val="Hipervnculo"/>
            <w:rFonts w:ascii="Verdana" w:hAnsi="Verdana"/>
            <w:sz w:val="14"/>
            <w:szCs w:val="14"/>
            <w:lang w:val="es-CO"/>
          </w:rPr>
          <w:t>https://www.colombiacompra.gov.co/base-conocimiento/configuracion-de-cuentas-secop-ii</w:t>
        </w:r>
      </w:hyperlink>
      <w:r w:rsidRPr="007E0F7A">
        <w:rPr>
          <w:rFonts w:ascii="Verdana" w:hAnsi="Verdana"/>
          <w:sz w:val="14"/>
          <w:szCs w:val="14"/>
          <w:lang w:val="es-CO"/>
        </w:rPr>
        <w:t xml:space="preserve"> </w:t>
      </w:r>
    </w:p>
  </w:footnote>
  <w:footnote w:id="35">
    <w:p w14:paraId="044A77D0" w14:textId="77777777" w:rsidR="00555273" w:rsidRPr="007E0F7A" w:rsidRDefault="00555273" w:rsidP="007E0F7A">
      <w:pPr>
        <w:spacing w:after="0" w:line="240" w:lineRule="auto"/>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“Artículo 44. Los contratos del Estado son absolutamente nulos en los casos previstos en el derecho común y además cuando:</w:t>
      </w:r>
    </w:p>
    <w:p w14:paraId="37E32B7F" w14:textId="77777777" w:rsidR="00555273" w:rsidRPr="007E0F7A" w:rsidRDefault="00555273" w:rsidP="007E0F7A">
      <w:pPr>
        <w:spacing w:after="0" w:line="240" w:lineRule="auto"/>
        <w:ind w:firstLine="709"/>
        <w:jc w:val="both"/>
        <w:rPr>
          <w:rFonts w:ascii="Verdana" w:hAnsi="Verdana" w:cs="Arial"/>
          <w:sz w:val="14"/>
          <w:szCs w:val="14"/>
        </w:rPr>
      </w:pPr>
      <w:r w:rsidRPr="007E0F7A">
        <w:rPr>
          <w:rFonts w:ascii="Verdana" w:hAnsi="Verdana" w:cs="Arial"/>
          <w:sz w:val="14"/>
          <w:szCs w:val="14"/>
        </w:rPr>
        <w:t>1o. Se celebren con personas incursas en causales de inhabilidad o incompatibilidad previstas en la Constitución y la ley;</w:t>
      </w:r>
    </w:p>
    <w:p w14:paraId="2108852D" w14:textId="77777777" w:rsidR="00555273" w:rsidRPr="007E0F7A" w:rsidRDefault="00555273" w:rsidP="007E0F7A">
      <w:pPr>
        <w:spacing w:after="0" w:line="240" w:lineRule="auto"/>
        <w:ind w:firstLine="709"/>
        <w:jc w:val="both"/>
        <w:rPr>
          <w:rFonts w:ascii="Verdana" w:hAnsi="Verdana" w:cs="Arial"/>
          <w:sz w:val="14"/>
          <w:szCs w:val="14"/>
        </w:rPr>
      </w:pPr>
      <w:r w:rsidRPr="007E0F7A">
        <w:rPr>
          <w:rFonts w:ascii="Verdana" w:hAnsi="Verdana" w:cs="Arial"/>
          <w:sz w:val="14"/>
          <w:szCs w:val="14"/>
        </w:rPr>
        <w:t xml:space="preserve">2o. Se celebren contra expresa prohibición constitucional o legal; </w:t>
      </w:r>
    </w:p>
    <w:p w14:paraId="5EE9C140" w14:textId="77777777" w:rsidR="00555273" w:rsidRPr="007E0F7A" w:rsidRDefault="00555273" w:rsidP="007E0F7A">
      <w:pPr>
        <w:spacing w:after="0" w:line="240" w:lineRule="auto"/>
        <w:ind w:firstLine="709"/>
        <w:jc w:val="both"/>
        <w:rPr>
          <w:rFonts w:ascii="Verdana" w:hAnsi="Verdana" w:cs="Arial"/>
          <w:sz w:val="14"/>
          <w:szCs w:val="14"/>
        </w:rPr>
      </w:pPr>
      <w:r w:rsidRPr="007E0F7A">
        <w:rPr>
          <w:rFonts w:ascii="Verdana" w:hAnsi="Verdana" w:cs="Arial"/>
          <w:sz w:val="14"/>
          <w:szCs w:val="14"/>
        </w:rPr>
        <w:t>3o. Se celebren con abuso o desviación de poder;</w:t>
      </w:r>
    </w:p>
    <w:p w14:paraId="48A78D0A" w14:textId="77777777" w:rsidR="00555273" w:rsidRPr="007E0F7A" w:rsidRDefault="00555273" w:rsidP="007E0F7A">
      <w:pPr>
        <w:spacing w:after="0" w:line="240" w:lineRule="auto"/>
        <w:ind w:firstLine="709"/>
        <w:jc w:val="both"/>
        <w:rPr>
          <w:rFonts w:ascii="Verdana" w:hAnsi="Verdana" w:cs="Arial"/>
          <w:sz w:val="14"/>
          <w:szCs w:val="14"/>
        </w:rPr>
      </w:pPr>
      <w:r w:rsidRPr="007E0F7A">
        <w:rPr>
          <w:rFonts w:ascii="Verdana" w:hAnsi="Verdana" w:cs="Arial"/>
          <w:sz w:val="14"/>
          <w:szCs w:val="14"/>
        </w:rPr>
        <w:t>4o. Se declaren nulos los actos administrativos en que se fundamenten; y</w:t>
      </w:r>
    </w:p>
    <w:p w14:paraId="5EDA9BD6" w14:textId="77777777" w:rsidR="00555273" w:rsidRPr="007E0F7A" w:rsidRDefault="00555273" w:rsidP="007E0F7A">
      <w:pPr>
        <w:spacing w:after="0" w:line="240" w:lineRule="auto"/>
        <w:ind w:firstLine="709"/>
        <w:jc w:val="both"/>
        <w:rPr>
          <w:rFonts w:ascii="Verdana" w:hAnsi="Verdana" w:cs="Arial"/>
          <w:sz w:val="14"/>
          <w:szCs w:val="14"/>
        </w:rPr>
      </w:pPr>
      <w:r w:rsidRPr="007E0F7A">
        <w:rPr>
          <w:rFonts w:ascii="Verdana" w:hAnsi="Verdana" w:cs="Arial"/>
          <w:sz w:val="14"/>
          <w:szCs w:val="14"/>
        </w:rPr>
        <w:t>5o. Se hubieren celebrado con desconocimiento de los criterios previstos en el artículo 21 sobre tratamiento de ofertas nacionales y extranjeras o con violación de la reciprocidad de que trata esta ley”.</w:t>
      </w:r>
    </w:p>
  </w:footnote>
  <w:footnote w:id="36">
    <w:p w14:paraId="03994D78" w14:textId="77777777" w:rsidR="00555273" w:rsidRPr="007E0F7A" w:rsidRDefault="00555273" w:rsidP="00D30AA0">
      <w:pPr>
        <w:pStyle w:val="Textonotapie"/>
        <w:ind w:firstLine="709"/>
        <w:rPr>
          <w:rFonts w:ascii="Verdana" w:hAnsi="Verdana"/>
          <w:sz w:val="14"/>
          <w:szCs w:val="14"/>
          <w:lang w:val="es-CO"/>
        </w:rPr>
      </w:pPr>
      <w:r w:rsidRPr="007E0F7A">
        <w:rPr>
          <w:rStyle w:val="Refdenotaalpie"/>
          <w:rFonts w:ascii="Verdana" w:hAnsi="Verdana"/>
          <w:sz w:val="14"/>
          <w:szCs w:val="14"/>
        </w:rPr>
        <w:footnoteRef/>
      </w:r>
      <w:r w:rsidRPr="007E0F7A">
        <w:rPr>
          <w:rFonts w:ascii="Verdana" w:hAnsi="Verdana"/>
          <w:sz w:val="14"/>
          <w:szCs w:val="14"/>
        </w:rPr>
        <w:t xml:space="preserve"> </w:t>
      </w:r>
      <w:r w:rsidRPr="007E0F7A">
        <w:rPr>
          <w:rFonts w:ascii="Verdana" w:hAnsi="Verdana" w:cs="Arial"/>
          <w:sz w:val="14"/>
          <w:szCs w:val="14"/>
          <w:lang w:val="es-CO"/>
        </w:rPr>
        <w:t xml:space="preserve">Consejo de Estado, Sala de lo Contencioso Administrativo, Sección Tercera, Subsección A.  Primera. Sentencia de 11 de junio de 2014, expediente número 34649. C.P: Hernán Andrade Rincon. </w:t>
      </w:r>
    </w:p>
  </w:footnote>
  <w:footnote w:id="37">
    <w:p w14:paraId="5938F7B8" w14:textId="5E25F1B0" w:rsidR="00555273" w:rsidRPr="007E0F7A" w:rsidRDefault="00555273" w:rsidP="007E0F7A">
      <w:pPr>
        <w:pStyle w:val="Textonotapie"/>
        <w:ind w:firstLine="709"/>
        <w:jc w:val="both"/>
        <w:rPr>
          <w:rFonts w:ascii="Verdana" w:hAnsi="Verdana" w:cs="Arial"/>
          <w:color w:val="0000FF"/>
          <w:sz w:val="14"/>
          <w:szCs w:val="14"/>
          <w:u w:val="single"/>
        </w:rPr>
      </w:pPr>
      <w:r w:rsidRPr="007E0F7A">
        <w:rPr>
          <w:rStyle w:val="Refdenotaalpie"/>
          <w:rFonts w:ascii="Verdana" w:hAnsi="Verdana" w:cs="Arial"/>
          <w:sz w:val="14"/>
          <w:szCs w:val="14"/>
        </w:rPr>
        <w:footnoteRef/>
      </w:r>
      <w:r w:rsidRPr="007E0F7A">
        <w:rPr>
          <w:rFonts w:ascii="Verdana" w:hAnsi="Verdana" w:cs="Arial"/>
          <w:sz w:val="14"/>
          <w:szCs w:val="14"/>
        </w:rPr>
        <w:t xml:space="preserve"> En el siguiente link se puede consultar la Guía para gestionar o publicar los procesos de Régimen Especial con oferta en el SECOP II:  </w:t>
      </w:r>
      <w:hyperlink r:id="rId4" w:history="1">
        <w:r w:rsidRPr="007E0F7A">
          <w:rPr>
            <w:rStyle w:val="Hipervnculo"/>
            <w:rFonts w:ascii="Verdana" w:hAnsi="Verdana" w:cs="Arial"/>
            <w:sz w:val="14"/>
            <w:szCs w:val="14"/>
          </w:rPr>
          <w:t>https://www.colombiacompra.gov.co/node/23628</w:t>
        </w:r>
      </w:hyperlink>
    </w:p>
  </w:footnote>
  <w:footnote w:id="38">
    <w:p w14:paraId="79842F3F" w14:textId="77777777" w:rsidR="00555273" w:rsidRPr="007E0F7A" w:rsidRDefault="00555273" w:rsidP="007E0F7A">
      <w:pPr>
        <w:pStyle w:val="Textonotapie"/>
        <w:ind w:firstLine="709"/>
        <w:jc w:val="both"/>
        <w:rPr>
          <w:rFonts w:ascii="Verdana" w:hAnsi="Verdana" w:cs="Arial"/>
          <w:sz w:val="14"/>
          <w:szCs w:val="14"/>
        </w:rPr>
      </w:pPr>
      <w:r w:rsidRPr="007E0F7A">
        <w:rPr>
          <w:rStyle w:val="Refdenotaalpie"/>
          <w:rFonts w:ascii="Verdana" w:hAnsi="Verdana" w:cs="Arial"/>
          <w:sz w:val="14"/>
          <w:szCs w:val="14"/>
        </w:rPr>
        <w:footnoteRef/>
      </w:r>
      <w:r w:rsidRPr="007E0F7A">
        <w:rPr>
          <w:rFonts w:ascii="Verdana" w:hAnsi="Verdana" w:cs="Arial"/>
          <w:sz w:val="14"/>
          <w:szCs w:val="14"/>
        </w:rPr>
        <w:t xml:space="preserve"> En el siguiente link se puede consultar la Guía para gestionar o publicar los procesos de Régimen Especial sin oferta en el SECOP II:   </w:t>
      </w:r>
      <w:hyperlink r:id="rId5" w:history="1">
        <w:r w:rsidRPr="007E0F7A">
          <w:rPr>
            <w:rStyle w:val="Hipervnculo"/>
            <w:rFonts w:ascii="Verdana" w:hAnsi="Verdana" w:cs="Arial"/>
            <w:sz w:val="14"/>
            <w:szCs w:val="14"/>
          </w:rPr>
          <w:t>https://www.colombiacompra.gov.co/node/30741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0380C6B"/>
    <w:multiLevelType w:val="hybridMultilevel"/>
    <w:tmpl w:val="1A6861CA"/>
    <w:lvl w:ilvl="0" w:tplc="11D4731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2" w15:restartNumberingAfterBreak="0">
    <w:nsid w:val="01E4309D"/>
    <w:multiLevelType w:val="hybridMultilevel"/>
    <w:tmpl w:val="B0E2594A"/>
    <w:lvl w:ilvl="0" w:tplc="008E945A">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0F82114"/>
    <w:multiLevelType w:val="hybridMultilevel"/>
    <w:tmpl w:val="B6C06020"/>
    <w:lvl w:ilvl="0" w:tplc="2F4CFC7C">
      <w:start w:val="1"/>
      <w:numFmt w:val="decimal"/>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4"/>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4"/>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3"/>
  </w:num>
  <w:num w:numId="13" w16cid:durableId="1512908409">
    <w:abstractNumId w:val="5"/>
  </w:num>
  <w:num w:numId="14" w16cid:durableId="895897244">
    <w:abstractNumId w:val="18"/>
  </w:num>
  <w:num w:numId="15" w16cid:durableId="390349800">
    <w:abstractNumId w:val="14"/>
  </w:num>
  <w:num w:numId="16" w16cid:durableId="341274352">
    <w:abstractNumId w:val="1"/>
  </w:num>
  <w:num w:numId="17" w16cid:durableId="679089576">
    <w:abstractNumId w:val="11"/>
  </w:num>
  <w:num w:numId="18" w16cid:durableId="410540319">
    <w:abstractNumId w:val="13"/>
  </w:num>
  <w:num w:numId="19" w16cid:durableId="72942094">
    <w:abstractNumId w:val="0"/>
  </w:num>
  <w:num w:numId="20" w16cid:durableId="2088308480">
    <w:abstractNumId w:val="12"/>
  </w:num>
  <w:num w:numId="21" w16cid:durableId="16301589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791"/>
    <w:rsid w:val="000441F2"/>
    <w:rsid w:val="00046945"/>
    <w:rsid w:val="000535FD"/>
    <w:rsid w:val="00061B2A"/>
    <w:rsid w:val="00064A56"/>
    <w:rsid w:val="00070863"/>
    <w:rsid w:val="00071B0B"/>
    <w:rsid w:val="00082362"/>
    <w:rsid w:val="00095461"/>
    <w:rsid w:val="000A683E"/>
    <w:rsid w:val="000B19B9"/>
    <w:rsid w:val="000B1EEE"/>
    <w:rsid w:val="000B70C0"/>
    <w:rsid w:val="000C3917"/>
    <w:rsid w:val="000D0334"/>
    <w:rsid w:val="000D5DA7"/>
    <w:rsid w:val="000F1A02"/>
    <w:rsid w:val="000F6486"/>
    <w:rsid w:val="00116940"/>
    <w:rsid w:val="00125105"/>
    <w:rsid w:val="00127233"/>
    <w:rsid w:val="00127C1B"/>
    <w:rsid w:val="00133019"/>
    <w:rsid w:val="0014071A"/>
    <w:rsid w:val="00140DFF"/>
    <w:rsid w:val="001531EF"/>
    <w:rsid w:val="001567BF"/>
    <w:rsid w:val="0015699B"/>
    <w:rsid w:val="00156D87"/>
    <w:rsid w:val="00156EE6"/>
    <w:rsid w:val="001677DF"/>
    <w:rsid w:val="00180FDE"/>
    <w:rsid w:val="00193C34"/>
    <w:rsid w:val="00196A53"/>
    <w:rsid w:val="001A305E"/>
    <w:rsid w:val="001A33BF"/>
    <w:rsid w:val="001C56E8"/>
    <w:rsid w:val="001D77F6"/>
    <w:rsid w:val="001E3431"/>
    <w:rsid w:val="001E4177"/>
    <w:rsid w:val="001E623B"/>
    <w:rsid w:val="001F0B24"/>
    <w:rsid w:val="001F7DC6"/>
    <w:rsid w:val="00214287"/>
    <w:rsid w:val="002227B5"/>
    <w:rsid w:val="0022400B"/>
    <w:rsid w:val="00224593"/>
    <w:rsid w:val="00231192"/>
    <w:rsid w:val="002421BB"/>
    <w:rsid w:val="0025796E"/>
    <w:rsid w:val="002707A2"/>
    <w:rsid w:val="00282853"/>
    <w:rsid w:val="002951A0"/>
    <w:rsid w:val="002962BC"/>
    <w:rsid w:val="00296D83"/>
    <w:rsid w:val="002A093D"/>
    <w:rsid w:val="002A0DD0"/>
    <w:rsid w:val="002A49AC"/>
    <w:rsid w:val="002A64FD"/>
    <w:rsid w:val="002B1275"/>
    <w:rsid w:val="002C7A84"/>
    <w:rsid w:val="002D071B"/>
    <w:rsid w:val="002E0200"/>
    <w:rsid w:val="002E2BF8"/>
    <w:rsid w:val="002E4FD9"/>
    <w:rsid w:val="0030657A"/>
    <w:rsid w:val="00306F93"/>
    <w:rsid w:val="00313CDF"/>
    <w:rsid w:val="00322A85"/>
    <w:rsid w:val="00324168"/>
    <w:rsid w:val="00325D28"/>
    <w:rsid w:val="00326556"/>
    <w:rsid w:val="00330834"/>
    <w:rsid w:val="003448F4"/>
    <w:rsid w:val="00345373"/>
    <w:rsid w:val="003607E4"/>
    <w:rsid w:val="00361D1D"/>
    <w:rsid w:val="00374F5E"/>
    <w:rsid w:val="003773F8"/>
    <w:rsid w:val="00377E3E"/>
    <w:rsid w:val="00397A36"/>
    <w:rsid w:val="003A779E"/>
    <w:rsid w:val="003B1217"/>
    <w:rsid w:val="003D0F4D"/>
    <w:rsid w:val="003D5B0D"/>
    <w:rsid w:val="003E0499"/>
    <w:rsid w:val="003E4F80"/>
    <w:rsid w:val="003E6439"/>
    <w:rsid w:val="003F3941"/>
    <w:rsid w:val="00400959"/>
    <w:rsid w:val="00406575"/>
    <w:rsid w:val="00414103"/>
    <w:rsid w:val="00414C74"/>
    <w:rsid w:val="0042722E"/>
    <w:rsid w:val="0044528D"/>
    <w:rsid w:val="00466E39"/>
    <w:rsid w:val="00475184"/>
    <w:rsid w:val="00484380"/>
    <w:rsid w:val="0048519E"/>
    <w:rsid w:val="0049302E"/>
    <w:rsid w:val="00495649"/>
    <w:rsid w:val="0049572E"/>
    <w:rsid w:val="004A1847"/>
    <w:rsid w:val="004A305D"/>
    <w:rsid w:val="004B1D25"/>
    <w:rsid w:val="004B5E55"/>
    <w:rsid w:val="004B794A"/>
    <w:rsid w:val="004D152B"/>
    <w:rsid w:val="004D1972"/>
    <w:rsid w:val="004E4625"/>
    <w:rsid w:val="004F21C4"/>
    <w:rsid w:val="004F2D3A"/>
    <w:rsid w:val="004F685F"/>
    <w:rsid w:val="004F7CFB"/>
    <w:rsid w:val="005163E0"/>
    <w:rsid w:val="0051646C"/>
    <w:rsid w:val="005232E4"/>
    <w:rsid w:val="005416D0"/>
    <w:rsid w:val="00555273"/>
    <w:rsid w:val="005566E8"/>
    <w:rsid w:val="005668D3"/>
    <w:rsid w:val="005725BF"/>
    <w:rsid w:val="00574867"/>
    <w:rsid w:val="00591460"/>
    <w:rsid w:val="005A30CA"/>
    <w:rsid w:val="005A5778"/>
    <w:rsid w:val="005A65E0"/>
    <w:rsid w:val="005C3777"/>
    <w:rsid w:val="005C5CDC"/>
    <w:rsid w:val="005D476C"/>
    <w:rsid w:val="00604C43"/>
    <w:rsid w:val="006200BF"/>
    <w:rsid w:val="006219F8"/>
    <w:rsid w:val="00624B80"/>
    <w:rsid w:val="006302F7"/>
    <w:rsid w:val="00640C65"/>
    <w:rsid w:val="006426F5"/>
    <w:rsid w:val="00642DC5"/>
    <w:rsid w:val="00646B9F"/>
    <w:rsid w:val="00653B72"/>
    <w:rsid w:val="0065766B"/>
    <w:rsid w:val="00665D70"/>
    <w:rsid w:val="006871D1"/>
    <w:rsid w:val="006900D9"/>
    <w:rsid w:val="00694C26"/>
    <w:rsid w:val="006C7B6B"/>
    <w:rsid w:val="006D07C8"/>
    <w:rsid w:val="006D335A"/>
    <w:rsid w:val="006D5AFE"/>
    <w:rsid w:val="006E5F47"/>
    <w:rsid w:val="006F2B3E"/>
    <w:rsid w:val="006F40DD"/>
    <w:rsid w:val="00702986"/>
    <w:rsid w:val="00706C16"/>
    <w:rsid w:val="00712C01"/>
    <w:rsid w:val="007202DF"/>
    <w:rsid w:val="00723862"/>
    <w:rsid w:val="00724D0D"/>
    <w:rsid w:val="007340C3"/>
    <w:rsid w:val="00742D8E"/>
    <w:rsid w:val="0075235A"/>
    <w:rsid w:val="00754898"/>
    <w:rsid w:val="00755377"/>
    <w:rsid w:val="00756841"/>
    <w:rsid w:val="007649AB"/>
    <w:rsid w:val="00766EEE"/>
    <w:rsid w:val="00771D0C"/>
    <w:rsid w:val="00774CC8"/>
    <w:rsid w:val="007833AC"/>
    <w:rsid w:val="00797E33"/>
    <w:rsid w:val="007B268C"/>
    <w:rsid w:val="007B2FD9"/>
    <w:rsid w:val="007B5F38"/>
    <w:rsid w:val="007B7171"/>
    <w:rsid w:val="007C0C0F"/>
    <w:rsid w:val="007C3DC2"/>
    <w:rsid w:val="007D055F"/>
    <w:rsid w:val="007D300D"/>
    <w:rsid w:val="007D7606"/>
    <w:rsid w:val="007E0F7A"/>
    <w:rsid w:val="007E4D33"/>
    <w:rsid w:val="007E5497"/>
    <w:rsid w:val="00800875"/>
    <w:rsid w:val="00803656"/>
    <w:rsid w:val="00806F5F"/>
    <w:rsid w:val="00820278"/>
    <w:rsid w:val="008258C9"/>
    <w:rsid w:val="0084140A"/>
    <w:rsid w:val="00844AE9"/>
    <w:rsid w:val="00867F95"/>
    <w:rsid w:val="008843B6"/>
    <w:rsid w:val="00891928"/>
    <w:rsid w:val="0089399E"/>
    <w:rsid w:val="00897910"/>
    <w:rsid w:val="008A1CB4"/>
    <w:rsid w:val="008A446D"/>
    <w:rsid w:val="008B048D"/>
    <w:rsid w:val="008B25F1"/>
    <w:rsid w:val="008C5662"/>
    <w:rsid w:val="008D180B"/>
    <w:rsid w:val="008E7D4C"/>
    <w:rsid w:val="008F0EA7"/>
    <w:rsid w:val="008F4DC4"/>
    <w:rsid w:val="008F57DB"/>
    <w:rsid w:val="00900561"/>
    <w:rsid w:val="00923EEF"/>
    <w:rsid w:val="00927125"/>
    <w:rsid w:val="00930ACE"/>
    <w:rsid w:val="009419F9"/>
    <w:rsid w:val="0095685E"/>
    <w:rsid w:val="00956990"/>
    <w:rsid w:val="00961B09"/>
    <w:rsid w:val="00965334"/>
    <w:rsid w:val="00967367"/>
    <w:rsid w:val="0097093E"/>
    <w:rsid w:val="00970FBE"/>
    <w:rsid w:val="00986EE4"/>
    <w:rsid w:val="00994C37"/>
    <w:rsid w:val="009A0DFA"/>
    <w:rsid w:val="009A1C6F"/>
    <w:rsid w:val="009B2D26"/>
    <w:rsid w:val="009B722B"/>
    <w:rsid w:val="009C6AA5"/>
    <w:rsid w:val="009C71FA"/>
    <w:rsid w:val="009C72E7"/>
    <w:rsid w:val="009C7F7E"/>
    <w:rsid w:val="009D3058"/>
    <w:rsid w:val="009D33E7"/>
    <w:rsid w:val="009D62FD"/>
    <w:rsid w:val="009E35C1"/>
    <w:rsid w:val="009F3A13"/>
    <w:rsid w:val="00A03042"/>
    <w:rsid w:val="00A122D3"/>
    <w:rsid w:val="00A14468"/>
    <w:rsid w:val="00A17846"/>
    <w:rsid w:val="00A17F13"/>
    <w:rsid w:val="00A20739"/>
    <w:rsid w:val="00A23AF9"/>
    <w:rsid w:val="00A33C78"/>
    <w:rsid w:val="00A46C2A"/>
    <w:rsid w:val="00A50230"/>
    <w:rsid w:val="00A52460"/>
    <w:rsid w:val="00A66689"/>
    <w:rsid w:val="00A95B89"/>
    <w:rsid w:val="00AA34B6"/>
    <w:rsid w:val="00AA54BD"/>
    <w:rsid w:val="00AB0ADB"/>
    <w:rsid w:val="00AE345F"/>
    <w:rsid w:val="00B00C0E"/>
    <w:rsid w:val="00B01B1A"/>
    <w:rsid w:val="00B01C66"/>
    <w:rsid w:val="00B0381D"/>
    <w:rsid w:val="00B207A8"/>
    <w:rsid w:val="00B233D8"/>
    <w:rsid w:val="00B241CB"/>
    <w:rsid w:val="00B44A47"/>
    <w:rsid w:val="00B6350E"/>
    <w:rsid w:val="00B72CD3"/>
    <w:rsid w:val="00B72FFF"/>
    <w:rsid w:val="00B9292F"/>
    <w:rsid w:val="00BA7276"/>
    <w:rsid w:val="00BB7718"/>
    <w:rsid w:val="00BC3D36"/>
    <w:rsid w:val="00BD3B1D"/>
    <w:rsid w:val="00BD50A8"/>
    <w:rsid w:val="00BD54A6"/>
    <w:rsid w:val="00BD5851"/>
    <w:rsid w:val="00BD7F72"/>
    <w:rsid w:val="00BE483F"/>
    <w:rsid w:val="00BF7425"/>
    <w:rsid w:val="00C04FB3"/>
    <w:rsid w:val="00C11D8B"/>
    <w:rsid w:val="00C15139"/>
    <w:rsid w:val="00C330EB"/>
    <w:rsid w:val="00C34E7A"/>
    <w:rsid w:val="00C47036"/>
    <w:rsid w:val="00C50280"/>
    <w:rsid w:val="00C50D69"/>
    <w:rsid w:val="00C5365C"/>
    <w:rsid w:val="00C54456"/>
    <w:rsid w:val="00C60F41"/>
    <w:rsid w:val="00C67C85"/>
    <w:rsid w:val="00C754BE"/>
    <w:rsid w:val="00C76B1C"/>
    <w:rsid w:val="00C80CD3"/>
    <w:rsid w:val="00C925AC"/>
    <w:rsid w:val="00CA1822"/>
    <w:rsid w:val="00CA268E"/>
    <w:rsid w:val="00CA531A"/>
    <w:rsid w:val="00CB6357"/>
    <w:rsid w:val="00CC1B26"/>
    <w:rsid w:val="00CC397A"/>
    <w:rsid w:val="00CE597E"/>
    <w:rsid w:val="00D13D2F"/>
    <w:rsid w:val="00D30AA0"/>
    <w:rsid w:val="00D35532"/>
    <w:rsid w:val="00D361FD"/>
    <w:rsid w:val="00D423A2"/>
    <w:rsid w:val="00D44E26"/>
    <w:rsid w:val="00D520D8"/>
    <w:rsid w:val="00D63AC2"/>
    <w:rsid w:val="00D65AAA"/>
    <w:rsid w:val="00D65DE9"/>
    <w:rsid w:val="00D70CD5"/>
    <w:rsid w:val="00D73099"/>
    <w:rsid w:val="00D7383B"/>
    <w:rsid w:val="00D7788A"/>
    <w:rsid w:val="00D83199"/>
    <w:rsid w:val="00D853F3"/>
    <w:rsid w:val="00DA231B"/>
    <w:rsid w:val="00DC39FC"/>
    <w:rsid w:val="00DD3715"/>
    <w:rsid w:val="00DF5254"/>
    <w:rsid w:val="00DF7305"/>
    <w:rsid w:val="00E02524"/>
    <w:rsid w:val="00E04834"/>
    <w:rsid w:val="00E1563C"/>
    <w:rsid w:val="00E16408"/>
    <w:rsid w:val="00E20894"/>
    <w:rsid w:val="00E245AB"/>
    <w:rsid w:val="00E2764C"/>
    <w:rsid w:val="00E27F2E"/>
    <w:rsid w:val="00E40619"/>
    <w:rsid w:val="00E50AFE"/>
    <w:rsid w:val="00E563FE"/>
    <w:rsid w:val="00E574CF"/>
    <w:rsid w:val="00E57A54"/>
    <w:rsid w:val="00E73CAE"/>
    <w:rsid w:val="00E75C92"/>
    <w:rsid w:val="00E771DC"/>
    <w:rsid w:val="00E8772A"/>
    <w:rsid w:val="00E90F6B"/>
    <w:rsid w:val="00E92C27"/>
    <w:rsid w:val="00E947F5"/>
    <w:rsid w:val="00EA0E3D"/>
    <w:rsid w:val="00EA34D4"/>
    <w:rsid w:val="00EB665D"/>
    <w:rsid w:val="00EC38A7"/>
    <w:rsid w:val="00ED7B5D"/>
    <w:rsid w:val="00EE1AA8"/>
    <w:rsid w:val="00EF2F6B"/>
    <w:rsid w:val="00F23FEA"/>
    <w:rsid w:val="00F31EDC"/>
    <w:rsid w:val="00F340E9"/>
    <w:rsid w:val="00F42FD9"/>
    <w:rsid w:val="00F4437D"/>
    <w:rsid w:val="00F462B3"/>
    <w:rsid w:val="00F5664F"/>
    <w:rsid w:val="00F613F0"/>
    <w:rsid w:val="00F666C4"/>
    <w:rsid w:val="00F70F5A"/>
    <w:rsid w:val="00F76AFC"/>
    <w:rsid w:val="00F83236"/>
    <w:rsid w:val="00FA47C0"/>
    <w:rsid w:val="00FB0D98"/>
    <w:rsid w:val="00FB5DD1"/>
    <w:rsid w:val="00FB6C34"/>
    <w:rsid w:val="00FC2B5D"/>
    <w:rsid w:val="00FC30EA"/>
    <w:rsid w:val="00FD22E2"/>
    <w:rsid w:val="00FD587F"/>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A291E6E"/>
    <w:rsid w:val="3C591AFD"/>
    <w:rsid w:val="42183F0A"/>
    <w:rsid w:val="4FFD0B13"/>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300D"/>
    <w:rPr>
      <w:rFonts w:ascii="Geomanist Light" w:hAnsi="Geomanist Light"/>
      <w:lang w:val="es-ES"/>
    </w:rPr>
  </w:style>
  <w:style w:type="character" w:customStyle="1" w:styleId="s15">
    <w:name w:val="s15"/>
    <w:basedOn w:val="Fuentedeprrafopredeter"/>
    <w:rsid w:val="007D300D"/>
  </w:style>
  <w:style w:type="paragraph" w:customStyle="1" w:styleId="Appelnotedebasde">
    <w:name w:val="Appel note de bas de..."/>
    <w:basedOn w:val="Normal"/>
    <w:link w:val="Refdenotaalpie"/>
    <w:uiPriority w:val="99"/>
    <w:rsid w:val="00397A36"/>
    <w:pPr>
      <w:spacing w:line="240" w:lineRule="exact"/>
    </w:pPr>
    <w:rPr>
      <w:vertAlign w:val="superscript"/>
    </w:rPr>
  </w:style>
  <w:style w:type="character" w:styleId="Fuerte">
    <w:name w:val="Strong"/>
    <w:basedOn w:val="Fuentedeprrafopredeter"/>
    <w:uiPriority w:val="22"/>
    <w:qFormat/>
    <w:rsid w:val="00AE345F"/>
    <w:rPr>
      <w:b/>
      <w:bCs/>
    </w:rPr>
  </w:style>
  <w:style w:type="character" w:customStyle="1" w:styleId="baj">
    <w:name w:val="b_aj"/>
    <w:basedOn w:val="Fuentedeprrafopredeter"/>
    <w:rsid w:val="001E3431"/>
  </w:style>
  <w:style w:type="character" w:customStyle="1" w:styleId="NormalWebCar">
    <w:name w:val="Normal (Web) Car"/>
    <w:link w:val="NormalWeb"/>
    <w:uiPriority w:val="99"/>
    <w:locked/>
    <w:rsid w:val="001E343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465498">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45251432">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15194113">
      <w:marLeft w:val="0"/>
      <w:marRight w:val="0"/>
      <w:marTop w:val="0"/>
      <w:marBottom w:val="0"/>
      <w:divBdr>
        <w:top w:val="none" w:sz="0" w:space="0" w:color="auto"/>
        <w:left w:val="none" w:sz="0" w:space="0" w:color="auto"/>
        <w:bottom w:val="none" w:sz="0" w:space="0" w:color="auto"/>
        <w:right w:val="none" w:sz="0" w:space="0" w:color="auto"/>
      </w:divBdr>
    </w:div>
    <w:div w:id="179274597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ventanillaunica@esp-lavirginia-risaralda.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configuracion-de-cuentas-secop-ii" TargetMode="External"/><Relationship Id="rId2" Type="http://schemas.openxmlformats.org/officeDocument/2006/relationships/hyperlink" Target="https://www.colombiacompra.gov.co/base-conocimiento/gestion-contractual-envio-del-contrato-secop-ii" TargetMode="External"/><Relationship Id="rId1" Type="http://schemas.openxmlformats.org/officeDocument/2006/relationships/hyperlink" Target="https://www.colombiacompra.gov.co/node/23710" TargetMode="External"/><Relationship Id="rId5" Type="http://schemas.openxmlformats.org/officeDocument/2006/relationships/hyperlink" Target="https://www.colombiacompra.gov.co/node/30741" TargetMode="External"/><Relationship Id="rId4" Type="http://schemas.openxmlformats.org/officeDocument/2006/relationships/hyperlink" Target="https://www.colombiacompra.gov.co/node/2362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9CC55-0AAA-4457-9AF6-060A8198B1A7}"/>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D54A2E3-1A47-44FA-8EE7-B67631D521A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39</Pages>
  <Words>13681</Words>
  <Characters>75250</Characters>
  <Application>Microsoft Office Word</Application>
  <DocSecurity>0</DocSecurity>
  <Lines>627</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88754</CharactersWithSpaces>
  <SharedDoc>false</SharedDoc>
  <HLinks>
    <vt:vector size="66"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7405618</vt:i4>
      </vt:variant>
      <vt:variant>
        <vt:i4>6</vt:i4>
      </vt:variant>
      <vt:variant>
        <vt:i4>0</vt:i4>
      </vt:variant>
      <vt:variant>
        <vt:i4>5</vt:i4>
      </vt:variant>
      <vt:variant>
        <vt:lpwstr>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vt:lpwstr>
      </vt:variant>
      <vt:variant>
        <vt:lpwstr/>
      </vt:variant>
      <vt:variant>
        <vt:i4>7405618</vt:i4>
      </vt:variant>
      <vt:variant>
        <vt:i4>3</vt:i4>
      </vt:variant>
      <vt:variant>
        <vt:i4>0</vt:i4>
      </vt:variant>
      <vt:variant>
        <vt:i4>5</vt:i4>
      </vt:variant>
      <vt:variant>
        <vt:lpwstr>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vt:lpwstr>
      </vt:variant>
      <vt:variant>
        <vt:lpwstr/>
      </vt:variant>
      <vt:variant>
        <vt:i4>4063303</vt:i4>
      </vt:variant>
      <vt:variant>
        <vt:i4>0</vt:i4>
      </vt:variant>
      <vt:variant>
        <vt:i4>0</vt:i4>
      </vt:variant>
      <vt:variant>
        <vt:i4>5</vt:i4>
      </vt:variant>
      <vt:variant>
        <vt:lpwstr>mailto:ventanillaunica@esp-lavirginia-risaralda.gov.co</vt:lpwstr>
      </vt:variant>
      <vt:variant>
        <vt:lpwstr/>
      </vt:variant>
      <vt:variant>
        <vt:i4>5701654</vt:i4>
      </vt:variant>
      <vt:variant>
        <vt:i4>12</vt:i4>
      </vt:variant>
      <vt:variant>
        <vt:i4>0</vt:i4>
      </vt:variant>
      <vt:variant>
        <vt:i4>5</vt:i4>
      </vt:variant>
      <vt:variant>
        <vt:lpwstr>https://www.colombiacompra.gov.co/node/30741</vt:lpwstr>
      </vt:variant>
      <vt:variant>
        <vt:lpwstr/>
      </vt:variant>
      <vt:variant>
        <vt:i4>6160403</vt:i4>
      </vt:variant>
      <vt:variant>
        <vt:i4>9</vt:i4>
      </vt:variant>
      <vt:variant>
        <vt:i4>0</vt:i4>
      </vt:variant>
      <vt:variant>
        <vt:i4>5</vt:i4>
      </vt:variant>
      <vt:variant>
        <vt:lpwstr>https://www.colombiacompra.gov.co/node/23628</vt:lpwstr>
      </vt:variant>
      <vt:variant>
        <vt:lpwstr/>
      </vt:variant>
      <vt:variant>
        <vt:i4>65604</vt:i4>
      </vt:variant>
      <vt:variant>
        <vt:i4>6</vt:i4>
      </vt:variant>
      <vt:variant>
        <vt:i4>0</vt:i4>
      </vt:variant>
      <vt:variant>
        <vt:i4>5</vt:i4>
      </vt:variant>
      <vt:variant>
        <vt:lpwstr>https://www.colombiacompra.gov.co/base-conocimiento/configuracion-de-cuentas-secop-ii</vt:lpwstr>
      </vt:variant>
      <vt:variant>
        <vt:lpwstr/>
      </vt:variant>
      <vt:variant>
        <vt:i4>4063337</vt:i4>
      </vt:variant>
      <vt:variant>
        <vt:i4>3</vt:i4>
      </vt:variant>
      <vt:variant>
        <vt:i4>0</vt:i4>
      </vt:variant>
      <vt:variant>
        <vt:i4>5</vt:i4>
      </vt:variant>
      <vt:variant>
        <vt:lpwstr>https://www.colombiacompra.gov.co/base-conocimiento/gestion-contractual-envio-del-contrato-secop-ii</vt:lpwstr>
      </vt:variant>
      <vt:variant>
        <vt:lpwstr/>
      </vt:variant>
      <vt:variant>
        <vt:i4>5701648</vt:i4>
      </vt:variant>
      <vt:variant>
        <vt:i4>0</vt:i4>
      </vt:variant>
      <vt:variant>
        <vt:i4>0</vt:i4>
      </vt:variant>
      <vt:variant>
        <vt:i4>5</vt:i4>
      </vt:variant>
      <vt:variant>
        <vt:lpwstr>https://www.colombiacompra.gov.co/node/23710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Subdirección de Gestión Contractual</cp:lastModifiedBy>
  <cp:revision>33</cp:revision>
  <cp:lastPrinted>2023-01-10T21:18:00Z</cp:lastPrinted>
  <dcterms:created xsi:type="dcterms:W3CDTF">2026-03-23T19:35:00Z</dcterms:created>
  <dcterms:modified xsi:type="dcterms:W3CDTF">2026-03-23T23:53:00Z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