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E9683" w14:textId="77777777" w:rsidR="0065736B" w:rsidRPr="00BC1D7D" w:rsidRDefault="0065736B" w:rsidP="0065736B">
      <w:pPr>
        <w:snapToGrid w:val="0"/>
        <w:spacing w:after="0" w:line="240" w:lineRule="auto"/>
        <w:contextualSpacing/>
        <w:jc w:val="both"/>
        <w:rPr>
          <w:rFonts w:ascii="Verdana" w:eastAsia="Calibri" w:hAnsi="Verdana" w:cs="Arial"/>
          <w:b/>
          <w:bCs/>
          <w:kern w:val="2"/>
          <w:lang w:val="es-ES" w:eastAsia="es-ES"/>
          <w14:ligatures w14:val="standardContextual"/>
        </w:rPr>
      </w:pPr>
      <w:r w:rsidRPr="00BC1D7D">
        <w:rPr>
          <w:rFonts w:ascii="Verdana" w:eastAsia="Calibri" w:hAnsi="Verdana" w:cs="Arial"/>
          <w:b/>
          <w:bCs/>
          <w:kern w:val="2"/>
          <w:lang w:val="es-ES" w:eastAsia="es-ES"/>
          <w14:ligatures w14:val="standardContextual"/>
        </w:rPr>
        <w:t>EMPRESAS DE SERVICIOS PÚBLICOS DOMICILIARIOS– Régimen jurídico</w:t>
      </w:r>
    </w:p>
    <w:p w14:paraId="2770DA1C" w14:textId="77777777" w:rsidR="0065736B" w:rsidRPr="0065736B" w:rsidRDefault="0065736B" w:rsidP="0065736B">
      <w:pPr>
        <w:snapToGrid w:val="0"/>
        <w:spacing w:after="0" w:line="240" w:lineRule="auto"/>
        <w:contextualSpacing/>
        <w:rPr>
          <w:rFonts w:ascii="Verdana" w:eastAsia="Geomanist Light" w:hAnsi="Verdana" w:cs="Arial"/>
          <w:b/>
          <w:bCs/>
          <w:kern w:val="2"/>
          <w:sz w:val="20"/>
          <w:szCs w:val="20"/>
          <w:lang w:val="es-ES"/>
          <w14:ligatures w14:val="standardContextual"/>
        </w:rPr>
      </w:pPr>
    </w:p>
    <w:p w14:paraId="2F6C38B1" w14:textId="77777777" w:rsidR="0065736B" w:rsidRPr="0065736B" w:rsidRDefault="0065736B" w:rsidP="0065736B">
      <w:pPr>
        <w:snapToGrid w:val="0"/>
        <w:spacing w:after="0" w:line="240" w:lineRule="auto"/>
        <w:contextualSpacing/>
        <w:jc w:val="both"/>
        <w:rPr>
          <w:rFonts w:ascii="Verdana" w:eastAsia="Calibri" w:hAnsi="Verdana" w:cs="Arial"/>
          <w:kern w:val="2"/>
          <w:sz w:val="20"/>
          <w:szCs w:val="20"/>
          <w:lang w:val="es-ES_tradnl" w:eastAsia="es-ES_tradnl"/>
          <w14:ligatures w14:val="standardContextual"/>
        </w:rPr>
      </w:pPr>
      <w:r w:rsidRPr="0065736B">
        <w:rPr>
          <w:rFonts w:ascii="Verdana" w:eastAsia="Arial" w:hAnsi="Verdana" w:cs="Arial"/>
          <w:kern w:val="2"/>
          <w:sz w:val="20"/>
          <w:szCs w:val="20"/>
          <w:lang w:eastAsia="es-CO"/>
          <w14:ligatures w14:val="standardContextual"/>
        </w:rPr>
        <w:t xml:space="preserve">En relación con el régimen de contratación de las empresas de servicios públicos, </w:t>
      </w:r>
      <w:r w:rsidRPr="0065736B">
        <w:rPr>
          <w:rFonts w:ascii="Verdana" w:eastAsia="Calibri" w:hAnsi="Verdana" w:cs="Arial"/>
          <w:kern w:val="2"/>
          <w:sz w:val="20"/>
          <w:szCs w:val="20"/>
          <w:lang w:val="es-ES_tradnl" w:eastAsia="es-ES_tradnl"/>
          <w14:ligatures w14:val="standardContextual"/>
        </w:rPr>
        <w:t>el artículo 31 de la Ley 142 de 1994, modificado por el artículo 3 de la Ley 689 de 2001, dispone que</w:t>
      </w:r>
      <w:r w:rsidRPr="0065736B">
        <w:rPr>
          <w:rFonts w:ascii="Verdana" w:eastAsia="Aptos" w:hAnsi="Verdana" w:cs="Arial"/>
          <w:kern w:val="2"/>
          <w:sz w:val="20"/>
          <w:szCs w:val="20"/>
          <w:bdr w:val="none" w:sz="0" w:space="0" w:color="auto" w:frame="1"/>
          <w14:ligatures w14:val="standardContextual"/>
        </w:rPr>
        <w:t xml:space="preserve"> los contratos que celebren las entidades estatales que prestan los servicios públicos domiciliarios </w:t>
      </w:r>
      <w:r w:rsidRPr="0065736B">
        <w:rPr>
          <w:rFonts w:ascii="Verdana" w:eastAsia="Aptos" w:hAnsi="Verdana" w:cs="Arial"/>
          <w:i/>
          <w:kern w:val="2"/>
          <w:sz w:val="20"/>
          <w:szCs w:val="20"/>
          <w:bdr w:val="none" w:sz="0" w:space="0" w:color="auto" w:frame="1"/>
          <w14:ligatures w14:val="standardContextual"/>
        </w:rPr>
        <w:t>“no estarán sujetos a las disposiciones del Estatuto General de Contratación de la Administración Pública, salvo en lo que la presente ley disponga otra cosa”</w:t>
      </w:r>
      <w:r w:rsidRPr="0065736B">
        <w:rPr>
          <w:rFonts w:ascii="Verdana" w:eastAsia="Calibri" w:hAnsi="Verdana" w:cs="Arial"/>
          <w:kern w:val="2"/>
          <w:sz w:val="20"/>
          <w:szCs w:val="20"/>
          <w:lang w:val="es-ES_tradnl" w:eastAsia="es-ES_tradnl"/>
          <w14:ligatures w14:val="standardContextual"/>
        </w:rPr>
        <w:t>. Por su parte, el artículo 32 de la Ley 142 consagra el régimen de derecho privado para las empresas de servicios públicos domiciliarios, indicando que sus actos se rigen por los principios y reglas aplicables a los particulares.</w:t>
      </w:r>
    </w:p>
    <w:p w14:paraId="65C7B3F1" w14:textId="77777777" w:rsidR="0065736B" w:rsidRPr="0065736B" w:rsidRDefault="0065736B" w:rsidP="0065736B">
      <w:pPr>
        <w:snapToGrid w:val="0"/>
        <w:spacing w:after="0" w:line="240" w:lineRule="auto"/>
        <w:contextualSpacing/>
        <w:jc w:val="both"/>
        <w:rPr>
          <w:rFonts w:ascii="Verdana" w:eastAsia="Calibri" w:hAnsi="Verdana" w:cs="Arial"/>
          <w:kern w:val="2"/>
          <w:sz w:val="20"/>
          <w:szCs w:val="20"/>
          <w:lang w:val="es-ES"/>
          <w14:ligatures w14:val="standardContextual"/>
        </w:rPr>
      </w:pPr>
    </w:p>
    <w:p w14:paraId="394F15FE" w14:textId="77777777" w:rsidR="0065736B" w:rsidRPr="0065736B" w:rsidRDefault="0065736B" w:rsidP="0065736B">
      <w:pPr>
        <w:snapToGrid w:val="0"/>
        <w:spacing w:after="0" w:line="240" w:lineRule="auto"/>
        <w:contextualSpacing/>
        <w:jc w:val="both"/>
        <w:rPr>
          <w:rFonts w:ascii="Verdana" w:eastAsia="Calibri" w:hAnsi="Verdana" w:cs="Arial"/>
          <w:kern w:val="2"/>
          <w:sz w:val="20"/>
          <w:szCs w:val="20"/>
          <w:lang w:val="es-ES" w:eastAsia="es-ES"/>
          <w14:ligatures w14:val="standardContextual"/>
        </w:rPr>
      </w:pPr>
      <w:r w:rsidRPr="0065736B">
        <w:rPr>
          <w:rFonts w:ascii="Verdana" w:eastAsia="Times New Roman" w:hAnsi="Verdana" w:cs="Arial"/>
          <w:kern w:val="2"/>
          <w:sz w:val="20"/>
          <w:szCs w:val="20"/>
          <w:lang w:val="es-ES_tradnl" w:eastAsia="es-ES_tradnl"/>
          <w14:ligatures w14:val="standardContextual"/>
        </w:rPr>
        <w:t xml:space="preserve">Así, en la actividad contractual las empresas de servicios públicos se sujetan a las disposiciones del derecho privado, salvo en aquellos casos en que la normativa (Constitución Política, Ley 142 de 1994 u otras normas especiales) someta dicha actuación al </w:t>
      </w:r>
      <w:r w:rsidRPr="0065736B">
        <w:rPr>
          <w:rFonts w:ascii="Verdana" w:eastAsia="Calibri" w:hAnsi="Verdana" w:cs="Arial"/>
          <w:kern w:val="2"/>
          <w:sz w:val="20"/>
          <w:szCs w:val="20"/>
          <w:lang w:val="es-ES" w:eastAsia="es-ES"/>
          <w14:ligatures w14:val="standardContextual"/>
        </w:rPr>
        <w:t>al Estatuto General de Contratación de la Administración Pública.</w:t>
      </w:r>
    </w:p>
    <w:p w14:paraId="34EFC81B" w14:textId="77777777" w:rsidR="0065736B" w:rsidRPr="0065736B" w:rsidRDefault="0065736B" w:rsidP="0065736B">
      <w:pPr>
        <w:snapToGrid w:val="0"/>
        <w:spacing w:after="0" w:line="240" w:lineRule="auto"/>
        <w:contextualSpacing/>
        <w:jc w:val="both"/>
        <w:rPr>
          <w:rFonts w:ascii="Verdana" w:eastAsia="Calibri" w:hAnsi="Verdana" w:cs="Arial"/>
          <w:sz w:val="20"/>
          <w:szCs w:val="20"/>
        </w:rPr>
      </w:pPr>
    </w:p>
    <w:p w14:paraId="6DDC7C56" w14:textId="77777777" w:rsidR="0065736B" w:rsidRPr="00BC1D7D" w:rsidRDefault="0065736B" w:rsidP="0065736B">
      <w:pPr>
        <w:snapToGrid w:val="0"/>
        <w:spacing w:after="0" w:line="240" w:lineRule="auto"/>
        <w:contextualSpacing/>
        <w:rPr>
          <w:rFonts w:ascii="Verdana" w:hAnsi="Verdana"/>
          <w:b/>
        </w:rPr>
      </w:pPr>
      <w:r w:rsidRPr="00BC1D7D">
        <w:rPr>
          <w:rFonts w:ascii="Verdana" w:hAnsi="Verdana"/>
          <w:b/>
        </w:rPr>
        <w:t xml:space="preserve">EMPRESAS DE SERVICIOS PÚBLICOS – Naturaleza – régimen especial </w:t>
      </w:r>
    </w:p>
    <w:p w14:paraId="3E9AE8DA" w14:textId="77777777" w:rsidR="0065736B" w:rsidRPr="0065736B" w:rsidRDefault="0065736B" w:rsidP="0065736B">
      <w:pPr>
        <w:snapToGrid w:val="0"/>
        <w:spacing w:after="0" w:line="240" w:lineRule="auto"/>
        <w:contextualSpacing/>
        <w:rPr>
          <w:rFonts w:ascii="Verdana" w:hAnsi="Verdana"/>
          <w:sz w:val="20"/>
          <w:szCs w:val="20"/>
        </w:rPr>
      </w:pPr>
    </w:p>
    <w:p w14:paraId="57E3C58A" w14:textId="77777777" w:rsidR="0065736B" w:rsidRPr="0065736B" w:rsidRDefault="0065736B" w:rsidP="0065736B">
      <w:pPr>
        <w:snapToGrid w:val="0"/>
        <w:spacing w:after="0" w:line="240" w:lineRule="auto"/>
        <w:contextualSpacing/>
        <w:jc w:val="both"/>
        <w:rPr>
          <w:rFonts w:ascii="Verdana" w:hAnsi="Verdana"/>
          <w:sz w:val="20"/>
          <w:szCs w:val="20"/>
        </w:rPr>
      </w:pPr>
      <w:r w:rsidRPr="0065736B">
        <w:rPr>
          <w:rFonts w:ascii="Verdana" w:hAnsi="Verdana"/>
          <w:sz w:val="20"/>
          <w:szCs w:val="20"/>
        </w:rPr>
        <w:t>Las Empresas Prestadoras de Servicios Públicos tienen la naturaleza jurídica de empresas que pertenecen a la rama ejecutiva del poder público. El literal d) del artículo 38 de la Ley 489 de 1998 señala que las Empresas Sociales del Estado y las Empresas Oficiales de Servicios Públicos Domiciliarios pertenecen a las entidades de la Rama Ejecutiva del sector descentralizado por servicios. Además de confirmar que las Empresas de Servicios Públicos pertenecen a la rama ejecutiva, la Corte Constitucional sostuvo que tienen el carácter de entidades descentralizadas por servicios.</w:t>
      </w:r>
    </w:p>
    <w:p w14:paraId="48DA5429" w14:textId="77777777" w:rsidR="0065736B" w:rsidRPr="0065736B" w:rsidRDefault="0065736B" w:rsidP="0065736B">
      <w:pPr>
        <w:snapToGrid w:val="0"/>
        <w:spacing w:after="0" w:line="240" w:lineRule="auto"/>
        <w:contextualSpacing/>
        <w:rPr>
          <w:rFonts w:ascii="Verdana" w:hAnsi="Verdana" w:cs="Arial"/>
          <w:b/>
          <w:bCs/>
          <w:sz w:val="20"/>
          <w:szCs w:val="20"/>
          <w:lang w:val="es-ES" w:eastAsia="es-ES"/>
        </w:rPr>
      </w:pPr>
    </w:p>
    <w:p w14:paraId="0DACF1C6" w14:textId="17B9AACE" w:rsidR="0065736B" w:rsidRPr="00BC1D7D" w:rsidRDefault="0065736B" w:rsidP="00BC1D7D">
      <w:pPr>
        <w:snapToGrid w:val="0"/>
        <w:spacing w:after="0" w:line="240" w:lineRule="auto"/>
        <w:contextualSpacing/>
        <w:jc w:val="both"/>
        <w:rPr>
          <w:rFonts w:ascii="Verdana" w:hAnsi="Verdana"/>
          <w:b/>
          <w:bCs/>
        </w:rPr>
      </w:pPr>
      <w:r w:rsidRPr="00BC1D7D">
        <w:rPr>
          <w:rFonts w:ascii="Verdana" w:hAnsi="Verdana" w:cs="Arial"/>
          <w:b/>
          <w:bCs/>
          <w:lang w:val="es-ES" w:eastAsia="es-ES"/>
        </w:rPr>
        <w:t>SISTEMA GENERAL DE PARTICIPACIONES – Ley 715 de 2001 – Agua potable y saneamiento básico – Régimen de contratación</w:t>
      </w:r>
    </w:p>
    <w:p w14:paraId="3EC3F480" w14:textId="77777777" w:rsidR="0065736B" w:rsidRPr="0065736B" w:rsidRDefault="0065736B" w:rsidP="0065736B">
      <w:pPr>
        <w:snapToGrid w:val="0"/>
        <w:spacing w:after="0" w:line="240" w:lineRule="auto"/>
        <w:contextualSpacing/>
        <w:jc w:val="both"/>
        <w:rPr>
          <w:rFonts w:ascii="Verdana" w:hAnsi="Verdana"/>
          <w:sz w:val="20"/>
          <w:szCs w:val="20"/>
        </w:rPr>
      </w:pPr>
    </w:p>
    <w:p w14:paraId="7E87957B" w14:textId="77777777" w:rsidR="0065736B" w:rsidRPr="0065736B" w:rsidRDefault="0065736B" w:rsidP="0065736B">
      <w:pPr>
        <w:tabs>
          <w:tab w:val="left" w:pos="426"/>
        </w:tabs>
        <w:snapToGrid w:val="0"/>
        <w:spacing w:after="0" w:line="240" w:lineRule="auto"/>
        <w:contextualSpacing/>
        <w:jc w:val="both"/>
        <w:rPr>
          <w:rFonts w:ascii="Verdana" w:hAnsi="Verdana" w:cs="Arial"/>
          <w:sz w:val="20"/>
          <w:szCs w:val="20"/>
          <w:bdr w:val="none" w:sz="0" w:space="0" w:color="auto" w:frame="1"/>
        </w:rPr>
      </w:pPr>
      <w:r w:rsidRPr="0065736B">
        <w:rPr>
          <w:rFonts w:ascii="Verdana" w:hAnsi="Verdana" w:cs="Arial"/>
          <w:noProof/>
          <w:sz w:val="20"/>
          <w:szCs w:val="20"/>
          <w:lang w:val="es-ES_tradnl"/>
        </w:rPr>
        <w:t xml:space="preserve">Con fundamento en los artículos 356 y 357 de la Constitución Política, se expidió la Ley 715 de 2001, </w:t>
      </w:r>
      <w:r w:rsidRPr="0065736B">
        <w:rPr>
          <w:rFonts w:ascii="Verdana" w:hAnsi="Verdana" w:cs="Arial"/>
          <w:bCs/>
          <w:color w:val="000000" w:themeColor="text1"/>
          <w:sz w:val="20"/>
          <w:szCs w:val="20"/>
          <w:lang w:val="es-ES_tradnl"/>
        </w:rPr>
        <w:t>“</w:t>
      </w:r>
      <w:r w:rsidRPr="0065736B">
        <w:rPr>
          <w:rFonts w:ascii="Verdana" w:hAnsi="Verdana" w:cs="Arial"/>
          <w:bCs/>
          <w:color w:val="000000" w:themeColor="text1"/>
          <w:sz w:val="20"/>
          <w:szCs w:val="20"/>
        </w:rPr>
        <w:t>Por la cual se dictan normas orgánicas en materia de recursos y competencias de conformidad con los artículos 151, 288, 356 y 357 (Acto Legislativo 01 de 2001) de la Constitución Política y se dictan otras disposiciones para organizar la prestación de los servicios de educación y salud, entre otros."</w:t>
      </w:r>
      <w:r w:rsidRPr="0065736B">
        <w:rPr>
          <w:rFonts w:ascii="Verdana" w:eastAsia="Calibri" w:hAnsi="Verdana" w:cs="Arial"/>
          <w:color w:val="000000" w:themeColor="text1"/>
          <w:sz w:val="20"/>
          <w:szCs w:val="20"/>
        </w:rPr>
        <w:t xml:space="preserve"> Esta norma </w:t>
      </w:r>
      <w:r w:rsidRPr="0065736B">
        <w:rPr>
          <w:rFonts w:ascii="Verdana" w:hAnsi="Verdana" w:cs="Arial"/>
          <w:sz w:val="20"/>
          <w:szCs w:val="20"/>
          <w:bdr w:val="none" w:sz="0" w:space="0" w:color="auto" w:frame="1"/>
        </w:rPr>
        <w:t xml:space="preserve">se refiere al Sistema General de Participaciones, correspondiente a los recursos que la Nación transfiere a las entidades territoriales para la financiación de ciertos servicios a su cargo. </w:t>
      </w:r>
    </w:p>
    <w:p w14:paraId="327E9EB9" w14:textId="77777777" w:rsidR="0065736B" w:rsidRPr="0065736B" w:rsidRDefault="0065736B" w:rsidP="0065736B">
      <w:pPr>
        <w:tabs>
          <w:tab w:val="left" w:pos="426"/>
        </w:tabs>
        <w:snapToGrid w:val="0"/>
        <w:spacing w:after="0" w:line="240" w:lineRule="auto"/>
        <w:contextualSpacing/>
        <w:jc w:val="both"/>
        <w:rPr>
          <w:rFonts w:ascii="Verdana" w:hAnsi="Verdana" w:cs="Arial"/>
          <w:sz w:val="20"/>
          <w:szCs w:val="20"/>
          <w:bdr w:val="none" w:sz="0" w:space="0" w:color="auto" w:frame="1"/>
        </w:rPr>
      </w:pPr>
    </w:p>
    <w:p w14:paraId="3E9BEF9B" w14:textId="77777777" w:rsidR="0065736B" w:rsidRPr="0065736B" w:rsidRDefault="0065736B" w:rsidP="0065736B">
      <w:pPr>
        <w:tabs>
          <w:tab w:val="left" w:pos="426"/>
        </w:tabs>
        <w:snapToGrid w:val="0"/>
        <w:spacing w:after="0" w:line="240" w:lineRule="auto"/>
        <w:contextualSpacing/>
        <w:jc w:val="both"/>
        <w:rPr>
          <w:rFonts w:ascii="Verdana" w:hAnsi="Verdana" w:cs="Open Sans"/>
          <w:color w:val="000000" w:themeColor="text1"/>
          <w:sz w:val="20"/>
          <w:szCs w:val="20"/>
        </w:rPr>
      </w:pPr>
      <w:r w:rsidRPr="0065736B">
        <w:rPr>
          <w:rFonts w:ascii="Verdana" w:hAnsi="Verdana" w:cs="Arial"/>
          <w:sz w:val="20"/>
          <w:szCs w:val="20"/>
          <w:bdr w:val="none" w:sz="0" w:space="0" w:color="auto" w:frame="1"/>
        </w:rPr>
        <w:t>En concordancia con lo anterior, la Ley 1176 del 2007 incorporó aspectos específicos sobre los recursos del Sistema General de Participaciones para agua potable y saneamiento básico. En particular, dicha ley se refiere a la competencia de los departamentos relacionadas con la prestación de los servicios públicos de agua potable y saneamiento básico -artículo 3-; la evaluación al uso y ejecución a los recursos del Sistema General de Participaciones para agua potable y saneamiento básico - artículo 4-; los planes de gestión de agua potable y saneamiento básico -artículo 4A-;</w:t>
      </w:r>
      <w:r w:rsidRPr="0065736B">
        <w:rPr>
          <w:rFonts w:ascii="Verdana" w:hAnsi="Verdana" w:cs="Arial"/>
          <w:color w:val="000000" w:themeColor="text1"/>
          <w:sz w:val="20"/>
          <w:szCs w:val="20"/>
          <w:bdr w:val="none" w:sz="0" w:space="0" w:color="auto" w:frame="1"/>
        </w:rPr>
        <w:t xml:space="preserve"> la </w:t>
      </w:r>
      <w:r w:rsidRPr="0065736B">
        <w:rPr>
          <w:rFonts w:ascii="Verdana" w:hAnsi="Verdana" w:cs="Arial"/>
          <w:color w:val="000000" w:themeColor="text1"/>
          <w:sz w:val="20"/>
          <w:szCs w:val="20"/>
          <w:bdr w:val="none" w:sz="0" w:space="0" w:color="auto" w:frame="1"/>
        </w:rPr>
        <w:lastRenderedPageBreak/>
        <w:t xml:space="preserve">distribución territorial de los recursos -artículo 6-; los criterios de distribución de los recursos para los distritos y municipios -artículo 7-; los </w:t>
      </w:r>
      <w:r w:rsidRPr="0065736B">
        <w:rPr>
          <w:rFonts w:ascii="Verdana" w:hAnsi="Verdana" w:cs="Open Sans"/>
          <w:color w:val="000000" w:themeColor="text1"/>
          <w:sz w:val="20"/>
          <w:szCs w:val="20"/>
        </w:rPr>
        <w:t xml:space="preserve">criterios de distribución de los recursos para los departamentos – artículo 8; el régimen de transición – artículo 9-;  la destinación de los recursos para los departamentos.- art. 10-; la destinación de los recursos de la participación de agua potable y saneamiento básico en los distritos y municipios – artículo 11-; la constitución de patrimonios autónomos – artículo 12-; el giro de los recursos de la participación para agua potable y saneamiento básico – artículo 13. </w:t>
      </w:r>
    </w:p>
    <w:p w14:paraId="7F43E353" w14:textId="77777777" w:rsidR="0065736B" w:rsidRPr="0065736B" w:rsidRDefault="0065736B" w:rsidP="0065736B">
      <w:pPr>
        <w:snapToGrid w:val="0"/>
        <w:spacing w:after="0" w:line="240" w:lineRule="auto"/>
        <w:contextualSpacing/>
        <w:jc w:val="both"/>
        <w:rPr>
          <w:rFonts w:ascii="Verdana" w:hAnsi="Verdana" w:cs="Arial"/>
          <w:noProof/>
          <w:sz w:val="20"/>
          <w:szCs w:val="20"/>
        </w:rPr>
      </w:pPr>
    </w:p>
    <w:p w14:paraId="6A74D512" w14:textId="77777777" w:rsidR="0065736B" w:rsidRPr="0065736B" w:rsidRDefault="0065736B" w:rsidP="0065736B">
      <w:pPr>
        <w:snapToGrid w:val="0"/>
        <w:spacing w:after="0" w:line="240" w:lineRule="auto"/>
        <w:contextualSpacing/>
        <w:jc w:val="both"/>
        <w:rPr>
          <w:rFonts w:ascii="Verdana" w:hAnsi="Verdana" w:cs="Arial"/>
          <w:sz w:val="20"/>
          <w:szCs w:val="20"/>
          <w:bdr w:val="none" w:sz="0" w:space="0" w:color="auto" w:frame="1"/>
        </w:rPr>
      </w:pPr>
      <w:r w:rsidRPr="0065736B">
        <w:rPr>
          <w:rFonts w:ascii="Verdana" w:hAnsi="Verdana" w:cs="Arial"/>
          <w:noProof/>
          <w:sz w:val="20"/>
          <w:szCs w:val="20"/>
        </w:rPr>
        <w:t xml:space="preserve">A partir del analisis de estas normas, es posible concluir que </w:t>
      </w:r>
      <w:r w:rsidRPr="0065736B">
        <w:rPr>
          <w:rFonts w:ascii="Verdana" w:hAnsi="Verdana" w:cs="Arial"/>
          <w:sz w:val="20"/>
          <w:szCs w:val="20"/>
          <w:bdr w:val="none" w:sz="0" w:space="0" w:color="auto" w:frame="1"/>
        </w:rPr>
        <w:t xml:space="preserve">no se identifica una disposición específica que establezca de manera expresa una sujeción a la Ley 80 de 1993 en relación con contratos para la ejecución de proyectos de agua potable y saneamiento básico financiados con recursos del Sistema General de Participaciones. En efecto, dentro de la Ley 715 de 2001 las únicas referencias expresas al régimen previsto en la Ley 80 de 1993 se encuentran en el artículo 13, relativo al procedimiento de contratación de los Fondos de Servicios Educativos, y en el artículo 112, en lo concerniente a los topes o límites de contratación. </w:t>
      </w:r>
    </w:p>
    <w:p w14:paraId="18126858" w14:textId="77777777" w:rsidR="0065736B" w:rsidRDefault="0065736B" w:rsidP="003C312E">
      <w:pPr>
        <w:spacing w:after="0"/>
        <w:rPr>
          <w:rFonts w:ascii="Verdana" w:hAnsi="Verdana"/>
          <w:lang w:val="es-ES"/>
        </w:rPr>
      </w:pPr>
    </w:p>
    <w:p w14:paraId="183DD17B" w14:textId="77777777" w:rsidR="0065736B" w:rsidRDefault="0065736B" w:rsidP="003C312E">
      <w:pPr>
        <w:spacing w:after="0"/>
        <w:rPr>
          <w:rFonts w:ascii="Verdana" w:hAnsi="Verdana"/>
          <w:lang w:val="es-ES"/>
        </w:rPr>
      </w:pPr>
    </w:p>
    <w:p w14:paraId="32AE4241" w14:textId="77777777" w:rsidR="0065736B" w:rsidRDefault="0065736B" w:rsidP="003C312E">
      <w:pPr>
        <w:spacing w:after="0"/>
        <w:rPr>
          <w:rFonts w:ascii="Verdana" w:hAnsi="Verdana"/>
          <w:lang w:val="es-ES"/>
        </w:rPr>
      </w:pPr>
    </w:p>
    <w:p w14:paraId="7871CD0A" w14:textId="77777777" w:rsidR="0065736B" w:rsidRDefault="0065736B" w:rsidP="003C312E">
      <w:pPr>
        <w:spacing w:after="0"/>
        <w:rPr>
          <w:rFonts w:ascii="Verdana" w:hAnsi="Verdana"/>
          <w:lang w:val="es-ES"/>
        </w:rPr>
      </w:pPr>
    </w:p>
    <w:p w14:paraId="1D6B8D99" w14:textId="77777777" w:rsidR="0065736B" w:rsidRDefault="0065736B" w:rsidP="003C312E">
      <w:pPr>
        <w:spacing w:after="0"/>
        <w:rPr>
          <w:rFonts w:ascii="Verdana" w:hAnsi="Verdana"/>
          <w:lang w:val="es-ES"/>
        </w:rPr>
      </w:pPr>
    </w:p>
    <w:p w14:paraId="75A4D548" w14:textId="77777777" w:rsidR="0065736B" w:rsidRDefault="0065736B" w:rsidP="003C312E">
      <w:pPr>
        <w:spacing w:after="0"/>
        <w:rPr>
          <w:rFonts w:ascii="Verdana" w:hAnsi="Verdana"/>
          <w:lang w:val="es-ES"/>
        </w:rPr>
      </w:pPr>
    </w:p>
    <w:p w14:paraId="727EBB96" w14:textId="77777777" w:rsidR="0065736B" w:rsidRDefault="0065736B" w:rsidP="003C312E">
      <w:pPr>
        <w:spacing w:after="0"/>
        <w:rPr>
          <w:rFonts w:ascii="Verdana" w:hAnsi="Verdana"/>
          <w:lang w:val="es-ES"/>
        </w:rPr>
      </w:pPr>
    </w:p>
    <w:p w14:paraId="349FD008" w14:textId="77777777" w:rsidR="0065736B" w:rsidRDefault="0065736B" w:rsidP="003C312E">
      <w:pPr>
        <w:spacing w:after="0"/>
        <w:rPr>
          <w:rFonts w:ascii="Verdana" w:hAnsi="Verdana"/>
          <w:lang w:val="es-ES"/>
        </w:rPr>
      </w:pPr>
    </w:p>
    <w:p w14:paraId="01C5E332" w14:textId="77777777" w:rsidR="0065736B" w:rsidRDefault="0065736B" w:rsidP="003C312E">
      <w:pPr>
        <w:spacing w:after="0"/>
        <w:rPr>
          <w:rFonts w:ascii="Verdana" w:hAnsi="Verdana"/>
          <w:lang w:val="es-ES"/>
        </w:rPr>
      </w:pPr>
    </w:p>
    <w:p w14:paraId="4C8ED80B" w14:textId="77777777" w:rsidR="0065736B" w:rsidRDefault="0065736B" w:rsidP="003C312E">
      <w:pPr>
        <w:spacing w:after="0"/>
        <w:rPr>
          <w:rFonts w:ascii="Verdana" w:hAnsi="Verdana"/>
          <w:lang w:val="es-ES"/>
        </w:rPr>
      </w:pPr>
    </w:p>
    <w:p w14:paraId="4FBF805A" w14:textId="77777777" w:rsidR="0065736B" w:rsidRDefault="0065736B" w:rsidP="003C312E">
      <w:pPr>
        <w:spacing w:after="0"/>
        <w:rPr>
          <w:rFonts w:ascii="Verdana" w:hAnsi="Verdana"/>
          <w:lang w:val="es-ES"/>
        </w:rPr>
      </w:pPr>
    </w:p>
    <w:p w14:paraId="5EC48FBD" w14:textId="77777777" w:rsidR="0065736B" w:rsidRDefault="0065736B" w:rsidP="003C312E">
      <w:pPr>
        <w:spacing w:after="0"/>
        <w:rPr>
          <w:rFonts w:ascii="Verdana" w:hAnsi="Verdana"/>
          <w:lang w:val="es-ES"/>
        </w:rPr>
      </w:pPr>
    </w:p>
    <w:p w14:paraId="4C92ADFD" w14:textId="77777777" w:rsidR="0065736B" w:rsidRDefault="0065736B" w:rsidP="003C312E">
      <w:pPr>
        <w:spacing w:after="0"/>
        <w:rPr>
          <w:rFonts w:ascii="Verdana" w:hAnsi="Verdana"/>
          <w:lang w:val="es-ES"/>
        </w:rPr>
      </w:pPr>
    </w:p>
    <w:p w14:paraId="02D3B364" w14:textId="77777777" w:rsidR="0065736B" w:rsidRDefault="0065736B" w:rsidP="003C312E">
      <w:pPr>
        <w:spacing w:after="0"/>
        <w:rPr>
          <w:rFonts w:ascii="Verdana" w:hAnsi="Verdana"/>
          <w:lang w:val="es-ES"/>
        </w:rPr>
      </w:pPr>
    </w:p>
    <w:p w14:paraId="1EAA247F" w14:textId="77777777" w:rsidR="0065736B" w:rsidRDefault="0065736B" w:rsidP="003C312E">
      <w:pPr>
        <w:spacing w:after="0"/>
        <w:rPr>
          <w:rFonts w:ascii="Verdana" w:hAnsi="Verdana"/>
          <w:lang w:val="es-ES"/>
        </w:rPr>
      </w:pPr>
    </w:p>
    <w:p w14:paraId="3C79F373" w14:textId="77777777" w:rsidR="0065736B" w:rsidRDefault="0065736B" w:rsidP="003C312E">
      <w:pPr>
        <w:spacing w:after="0"/>
        <w:rPr>
          <w:rFonts w:ascii="Verdana" w:hAnsi="Verdana"/>
          <w:lang w:val="es-ES"/>
        </w:rPr>
      </w:pPr>
    </w:p>
    <w:p w14:paraId="3ED54842" w14:textId="77777777" w:rsidR="0065736B" w:rsidRDefault="0065736B" w:rsidP="003C312E">
      <w:pPr>
        <w:spacing w:after="0"/>
        <w:rPr>
          <w:rFonts w:ascii="Verdana" w:hAnsi="Verdana"/>
          <w:lang w:val="es-ES"/>
        </w:rPr>
      </w:pPr>
    </w:p>
    <w:p w14:paraId="53AA90A9" w14:textId="77777777" w:rsidR="0065736B" w:rsidRDefault="0065736B" w:rsidP="003C312E">
      <w:pPr>
        <w:spacing w:after="0"/>
        <w:rPr>
          <w:rFonts w:ascii="Verdana" w:hAnsi="Verdana"/>
          <w:lang w:val="es-ES"/>
        </w:rPr>
      </w:pPr>
    </w:p>
    <w:p w14:paraId="319504AF" w14:textId="77777777" w:rsidR="0065736B" w:rsidRDefault="0065736B" w:rsidP="003C312E">
      <w:pPr>
        <w:spacing w:after="0"/>
        <w:rPr>
          <w:rFonts w:ascii="Verdana" w:hAnsi="Verdana"/>
          <w:lang w:val="es-ES"/>
        </w:rPr>
      </w:pPr>
    </w:p>
    <w:p w14:paraId="30827CCC" w14:textId="77777777" w:rsidR="0065736B" w:rsidRDefault="0065736B" w:rsidP="003C312E">
      <w:pPr>
        <w:spacing w:after="0"/>
        <w:rPr>
          <w:rFonts w:ascii="Verdana" w:hAnsi="Verdana"/>
          <w:lang w:val="es-ES"/>
        </w:rPr>
      </w:pPr>
    </w:p>
    <w:p w14:paraId="5979F23C" w14:textId="77777777" w:rsidR="0065736B" w:rsidRDefault="0065736B" w:rsidP="003C312E">
      <w:pPr>
        <w:spacing w:after="0"/>
        <w:rPr>
          <w:rFonts w:ascii="Verdana" w:hAnsi="Verdana"/>
          <w:lang w:val="es-ES"/>
        </w:rPr>
      </w:pPr>
    </w:p>
    <w:p w14:paraId="0A2A5091" w14:textId="77777777" w:rsidR="0065736B" w:rsidRDefault="0065736B" w:rsidP="003C312E">
      <w:pPr>
        <w:spacing w:after="0"/>
        <w:rPr>
          <w:rFonts w:ascii="Verdana" w:hAnsi="Verdana"/>
          <w:lang w:val="es-ES"/>
        </w:rPr>
      </w:pPr>
    </w:p>
    <w:p w14:paraId="7B344FB5" w14:textId="77777777" w:rsidR="0065736B" w:rsidRDefault="0065736B" w:rsidP="003C312E">
      <w:pPr>
        <w:spacing w:after="0"/>
        <w:rPr>
          <w:rFonts w:ascii="Verdana" w:hAnsi="Verdana"/>
          <w:lang w:val="es-ES"/>
        </w:rPr>
      </w:pPr>
    </w:p>
    <w:p w14:paraId="596C9702" w14:textId="77777777" w:rsidR="00BC1D7D" w:rsidRDefault="00BC1D7D" w:rsidP="003C312E">
      <w:pPr>
        <w:spacing w:after="0"/>
        <w:rPr>
          <w:rFonts w:ascii="Verdana" w:hAnsi="Verdana"/>
          <w:lang w:val="es-ES"/>
        </w:rPr>
      </w:pPr>
    </w:p>
    <w:p w14:paraId="31209451" w14:textId="32C562D0" w:rsidR="003C312E" w:rsidRPr="00FC6F34" w:rsidRDefault="003C312E" w:rsidP="003C312E">
      <w:pPr>
        <w:spacing w:after="0"/>
        <w:rPr>
          <w:rFonts w:ascii="Verdana" w:hAnsi="Verdana"/>
          <w:lang w:val="es-ES"/>
        </w:rPr>
      </w:pPr>
      <w:r w:rsidRPr="00FC6F34">
        <w:rPr>
          <w:rFonts w:ascii="Verdana" w:hAnsi="Verdana"/>
          <w:lang w:val="es-ES"/>
        </w:rPr>
        <w:lastRenderedPageBreak/>
        <w:t xml:space="preserve">Bogotá D.C., </w:t>
      </w:r>
      <w:r w:rsidR="00706F65">
        <w:rPr>
          <w:rFonts w:ascii="Verdana" w:hAnsi="Verdana"/>
          <w:lang w:val="es-ES"/>
        </w:rPr>
        <w:t>16 de marzo de 2026</w:t>
      </w:r>
    </w:p>
    <w:p w14:paraId="49E6A58B" w14:textId="246419C6" w:rsidR="003C312E" w:rsidRPr="00FC6F34" w:rsidRDefault="003C312E" w:rsidP="003C312E">
      <w:pPr>
        <w:spacing w:after="0"/>
        <w:rPr>
          <w:rFonts w:ascii="Verdana" w:hAnsi="Verdana"/>
          <w:lang w:val="es-ES"/>
        </w:rPr>
      </w:pPr>
    </w:p>
    <w:p w14:paraId="30698F3A" w14:textId="47CFE8F7" w:rsidR="003C312E" w:rsidRPr="00FC6F34" w:rsidRDefault="00706F65" w:rsidP="003C312E">
      <w:pPr>
        <w:spacing w:after="0" w:line="240" w:lineRule="auto"/>
        <w:rPr>
          <w:rFonts w:ascii="Verdana" w:hAnsi="Verdana"/>
          <w:lang w:val="es-ES"/>
        </w:rPr>
      </w:pPr>
      <w:bookmarkStart w:id="0" w:name="_Hlk143780582"/>
      <w:r>
        <w:rPr>
          <w:rFonts w:ascii="Verdana" w:eastAsia="Calibri" w:hAnsi="Verdana" w:cs="Arial"/>
          <w:b/>
          <w:noProof/>
          <w:color w:val="000000" w:themeColor="text1"/>
          <w:lang w:eastAsia="es-ES"/>
        </w:rPr>
        <w:drawing>
          <wp:anchor distT="0" distB="0" distL="114300" distR="114300" simplePos="0" relativeHeight="251659264" behindDoc="0" locked="0" layoutInCell="1" allowOverlap="1" wp14:anchorId="345A8059" wp14:editId="0BB6E3F3">
            <wp:simplePos x="0" y="0"/>
            <wp:positionH relativeFrom="column">
              <wp:posOffset>3446780</wp:posOffset>
            </wp:positionH>
            <wp:positionV relativeFrom="paragraph">
              <wp:posOffset>6985</wp:posOffset>
            </wp:positionV>
            <wp:extent cx="2396490" cy="697230"/>
            <wp:effectExtent l="0" t="0" r="3810" b="1270"/>
            <wp:wrapSquare wrapText="bothSides"/>
            <wp:docPr id="1747797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97120" name="Picture 1747797120"/>
                    <pic:cNvPicPr/>
                  </pic:nvPicPr>
                  <pic:blipFill>
                    <a:blip r:embed="rId10">
                      <a:extLst>
                        <a:ext uri="{28A0092B-C50C-407E-A947-70E740481C1C}">
                          <a14:useLocalDpi xmlns:a14="http://schemas.microsoft.com/office/drawing/2010/main" val="0"/>
                        </a:ext>
                      </a:extLst>
                    </a:blip>
                    <a:stretch>
                      <a:fillRect/>
                    </a:stretch>
                  </pic:blipFill>
                  <pic:spPr>
                    <a:xfrm>
                      <a:off x="0" y="0"/>
                      <a:ext cx="2396490" cy="697230"/>
                    </a:xfrm>
                    <a:prstGeom prst="rect">
                      <a:avLst/>
                    </a:prstGeom>
                  </pic:spPr>
                </pic:pic>
              </a:graphicData>
            </a:graphic>
            <wp14:sizeRelH relativeFrom="page">
              <wp14:pctWidth>0</wp14:pctWidth>
            </wp14:sizeRelH>
            <wp14:sizeRelV relativeFrom="page">
              <wp14:pctHeight>0</wp14:pctHeight>
            </wp14:sizeRelV>
          </wp:anchor>
        </w:drawing>
      </w:r>
      <w:r w:rsidR="003C312E" w:rsidRPr="00FC6F34">
        <w:rPr>
          <w:rFonts w:ascii="Verdana" w:eastAsia="Calibri" w:hAnsi="Verdana" w:cs="Arial"/>
          <w:color w:val="000000" w:themeColor="text1"/>
          <w:lang w:val="es-ES" w:eastAsia="es-ES"/>
        </w:rPr>
        <w:t>Señor</w:t>
      </w:r>
      <w:r w:rsidR="003C312E">
        <w:rPr>
          <w:rFonts w:ascii="Verdana" w:eastAsia="Calibri" w:hAnsi="Verdana" w:cs="Arial"/>
          <w:color w:val="000000" w:themeColor="text1"/>
          <w:lang w:val="es-ES" w:eastAsia="es-ES"/>
        </w:rPr>
        <w:t>a</w:t>
      </w:r>
    </w:p>
    <w:p w14:paraId="5CA873B8" w14:textId="05F29F24" w:rsidR="003C312E" w:rsidRPr="00851E42" w:rsidRDefault="003C312E" w:rsidP="003C312E">
      <w:pPr>
        <w:spacing w:after="0"/>
        <w:rPr>
          <w:rFonts w:ascii="Verdana" w:eastAsia="Calibri" w:hAnsi="Verdana" w:cs="Arial"/>
          <w:b/>
          <w:color w:val="000000" w:themeColor="text1"/>
          <w:lang w:eastAsia="es-ES"/>
        </w:rPr>
      </w:pPr>
      <w:r w:rsidRPr="000901BC">
        <w:rPr>
          <w:rFonts w:ascii="Verdana" w:eastAsia="Calibri" w:hAnsi="Verdana" w:cs="Arial"/>
          <w:b/>
          <w:bCs/>
          <w:color w:val="000000" w:themeColor="text1"/>
          <w:lang w:eastAsia="es-ES"/>
        </w:rPr>
        <w:t>Angie Marcela Aguilera Peña</w:t>
      </w:r>
    </w:p>
    <w:p w14:paraId="456C36E8" w14:textId="77777777" w:rsidR="003C312E" w:rsidRPr="000901BC" w:rsidRDefault="003C312E" w:rsidP="003C312E">
      <w:pPr>
        <w:spacing w:after="0" w:line="240" w:lineRule="auto"/>
        <w:rPr>
          <w:rFonts w:ascii="Verdana" w:eastAsia="Calibri" w:hAnsi="Verdana" w:cs="Arial"/>
          <w:color w:val="000000" w:themeColor="text1"/>
          <w:lang w:eastAsia="es-ES"/>
        </w:rPr>
      </w:pPr>
      <w:hyperlink r:id="rId11" w:history="1">
        <w:r w:rsidRPr="000901BC">
          <w:rPr>
            <w:rStyle w:val="Hipervnculo"/>
            <w:rFonts w:ascii="Verdana" w:eastAsia="Calibri" w:hAnsi="Verdana" w:cs="Arial"/>
            <w:lang w:eastAsia="es-ES"/>
          </w:rPr>
          <w:t>angag1998@gmail.com</w:t>
        </w:r>
      </w:hyperlink>
    </w:p>
    <w:p w14:paraId="63832CAF" w14:textId="77777777" w:rsidR="003C312E" w:rsidRPr="000901BC" w:rsidRDefault="003C312E" w:rsidP="003C312E">
      <w:pPr>
        <w:spacing w:after="0" w:line="240" w:lineRule="auto"/>
        <w:rPr>
          <w:rFonts w:ascii="Verdana" w:eastAsia="Calibri" w:hAnsi="Verdana" w:cs="Arial"/>
          <w:color w:val="000000" w:themeColor="text1"/>
          <w:lang w:val="es-ES" w:eastAsia="es-ES"/>
        </w:rPr>
      </w:pPr>
      <w:r w:rsidRPr="000901BC">
        <w:rPr>
          <w:rFonts w:ascii="Verdana" w:eastAsia="Calibri" w:hAnsi="Verdana" w:cs="Arial"/>
          <w:color w:val="000000" w:themeColor="text1"/>
          <w:lang w:eastAsia="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3C312E" w:rsidRPr="00FC6F34" w14:paraId="57C98AFA" w14:textId="77777777" w:rsidTr="00B4119A">
        <w:trPr>
          <w:trHeight w:val="300"/>
        </w:trPr>
        <w:tc>
          <w:tcPr>
            <w:tcW w:w="2410" w:type="dxa"/>
          </w:tcPr>
          <w:p w14:paraId="3A561D93" w14:textId="77777777" w:rsidR="003C312E" w:rsidRPr="00FC6F34" w:rsidRDefault="003C312E" w:rsidP="00B4119A">
            <w:pPr>
              <w:ind w:left="-142"/>
              <w:jc w:val="both"/>
              <w:rPr>
                <w:rFonts w:ascii="Verdana" w:eastAsia="Calibri" w:hAnsi="Verdana" w:cs="Arial"/>
                <w:b/>
                <w:bCs/>
                <w:color w:val="000000" w:themeColor="text1"/>
                <w:lang w:val="es-ES" w:eastAsia="es-ES_tradnl"/>
              </w:rPr>
            </w:pPr>
          </w:p>
        </w:tc>
        <w:tc>
          <w:tcPr>
            <w:tcW w:w="6100" w:type="dxa"/>
          </w:tcPr>
          <w:p w14:paraId="14B96EBD" w14:textId="77777777" w:rsidR="003C312E" w:rsidRDefault="003C312E" w:rsidP="00B4119A">
            <w:pPr>
              <w:ind w:left="3"/>
              <w:jc w:val="both"/>
              <w:rPr>
                <w:rFonts w:ascii="Verdana" w:eastAsia="Calibri" w:hAnsi="Verdana" w:cs="Arial"/>
                <w:b/>
                <w:bCs/>
                <w:color w:val="000000" w:themeColor="text1"/>
                <w:lang w:val="es-ES" w:eastAsia="es-ES"/>
              </w:rPr>
            </w:pPr>
          </w:p>
          <w:p w14:paraId="28DA1670" w14:textId="77777777" w:rsidR="003C312E" w:rsidRPr="00FC6F34" w:rsidRDefault="003C312E" w:rsidP="00B4119A">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209</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519B8EFE" w14:textId="77777777" w:rsidR="003C312E" w:rsidRPr="00FC6F34" w:rsidRDefault="003C312E" w:rsidP="00B4119A">
            <w:pPr>
              <w:ind w:left="3"/>
              <w:jc w:val="both"/>
              <w:rPr>
                <w:rFonts w:ascii="Verdana" w:eastAsia="Calibri" w:hAnsi="Verdana" w:cs="Arial"/>
                <w:b/>
                <w:bCs/>
                <w:color w:val="000000" w:themeColor="text1"/>
                <w:lang w:val="es-ES" w:eastAsia="es-ES"/>
              </w:rPr>
            </w:pPr>
          </w:p>
        </w:tc>
      </w:tr>
      <w:tr w:rsidR="003C312E" w:rsidRPr="00FC6F34" w14:paraId="699B8DE0" w14:textId="77777777" w:rsidTr="00B4119A">
        <w:trPr>
          <w:trHeight w:val="300"/>
        </w:trPr>
        <w:tc>
          <w:tcPr>
            <w:tcW w:w="2410" w:type="dxa"/>
          </w:tcPr>
          <w:p w14:paraId="69E57774" w14:textId="77777777" w:rsidR="003C312E" w:rsidRPr="00FC6F34" w:rsidRDefault="003C312E" w:rsidP="00B4119A">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232486CB" w14:textId="77777777" w:rsidR="003C312E" w:rsidRPr="00AB04CA" w:rsidRDefault="003C312E" w:rsidP="00B4119A">
            <w:pPr>
              <w:spacing w:line="276" w:lineRule="auto"/>
              <w:jc w:val="both"/>
              <w:rPr>
                <w:rFonts w:ascii="Verdana" w:hAnsi="Verdana" w:cs="Arial"/>
                <w:lang w:val="es-ES" w:eastAsia="es-ES"/>
              </w:rPr>
            </w:pPr>
            <w:r w:rsidRPr="00DA176D">
              <w:rPr>
                <w:rFonts w:ascii="Verdana" w:eastAsia="Calibri" w:hAnsi="Verdana" w:cs="Arial"/>
              </w:rPr>
              <w:t xml:space="preserve">EMPRESAS DE SERVICIOS PÚBLICOS DOMICILIARIOS– Régimen jurídico / EMPRESAS DE SERVICIOS PÚBLICOS – Naturaleza – régimen especial </w:t>
            </w:r>
            <w:r w:rsidRPr="00FF2C44">
              <w:rPr>
                <w:rFonts w:ascii="Verdana" w:hAnsi="Verdana" w:cs="Arial"/>
                <w:lang w:val="es-ES" w:eastAsia="es-ES"/>
              </w:rPr>
              <w:t xml:space="preserve">/ </w:t>
            </w:r>
            <w:r>
              <w:rPr>
                <w:rFonts w:ascii="Verdana" w:hAnsi="Verdana" w:cs="Arial"/>
                <w:lang w:val="es-ES" w:eastAsia="es-ES"/>
              </w:rPr>
              <w:t xml:space="preserve">SISTEMA GENERAL DE PARTICIPACIONES </w:t>
            </w:r>
            <w:r w:rsidRPr="00FF2C44">
              <w:rPr>
                <w:rFonts w:ascii="Verdana" w:hAnsi="Verdana" w:cs="Arial"/>
                <w:lang w:val="es-ES" w:eastAsia="es-ES"/>
              </w:rPr>
              <w:t xml:space="preserve">– </w:t>
            </w:r>
            <w:r>
              <w:rPr>
                <w:rFonts w:ascii="Verdana" w:hAnsi="Verdana" w:cs="Arial"/>
                <w:lang w:val="es-ES" w:eastAsia="es-ES"/>
              </w:rPr>
              <w:t xml:space="preserve">Ley 715 de 2001 </w:t>
            </w:r>
            <w:r w:rsidRPr="00FF2C44">
              <w:rPr>
                <w:rFonts w:ascii="Verdana" w:hAnsi="Verdana" w:cs="Arial"/>
                <w:lang w:val="es-ES" w:eastAsia="es-ES"/>
              </w:rPr>
              <w:t xml:space="preserve">– </w:t>
            </w:r>
            <w:r>
              <w:rPr>
                <w:rFonts w:ascii="Verdana" w:hAnsi="Verdana" w:cs="Arial"/>
                <w:lang w:val="es-ES" w:eastAsia="es-ES"/>
              </w:rPr>
              <w:t>Agua potable y saneamiento básico</w:t>
            </w:r>
            <w:r w:rsidRPr="00FF2C44">
              <w:rPr>
                <w:rFonts w:ascii="Verdana" w:hAnsi="Verdana" w:cs="Arial"/>
                <w:lang w:val="es-ES" w:eastAsia="es-ES"/>
              </w:rPr>
              <w:t xml:space="preserve"> – </w:t>
            </w:r>
            <w:r>
              <w:rPr>
                <w:rFonts w:ascii="Verdana" w:hAnsi="Verdana" w:cs="Arial"/>
                <w:lang w:val="es-ES" w:eastAsia="es-ES"/>
              </w:rPr>
              <w:t xml:space="preserve">Régimen de contratación </w:t>
            </w:r>
          </w:p>
          <w:p w14:paraId="4B53D191" w14:textId="77777777" w:rsidR="003C312E" w:rsidRPr="00FC6F34" w:rsidRDefault="003C312E" w:rsidP="00B4119A">
            <w:pPr>
              <w:spacing w:line="276" w:lineRule="auto"/>
              <w:jc w:val="both"/>
              <w:rPr>
                <w:rFonts w:ascii="Verdana" w:eastAsia="Calibri" w:hAnsi="Verdana" w:cs="Arial"/>
                <w:color w:val="000000" w:themeColor="text1"/>
                <w:lang w:val="es-ES" w:eastAsia="es-ES"/>
              </w:rPr>
            </w:pPr>
          </w:p>
        </w:tc>
      </w:tr>
      <w:tr w:rsidR="003C312E" w:rsidRPr="00FC6F34" w14:paraId="736194A2" w14:textId="77777777" w:rsidTr="00B4119A">
        <w:tc>
          <w:tcPr>
            <w:tcW w:w="2410" w:type="dxa"/>
          </w:tcPr>
          <w:p w14:paraId="0F9EC14A" w14:textId="77777777" w:rsidR="003C312E" w:rsidRPr="00FC6F34" w:rsidRDefault="003C312E" w:rsidP="00B4119A">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5869F179" w14:textId="77777777" w:rsidR="003C312E" w:rsidRPr="000901BC" w:rsidRDefault="003C312E" w:rsidP="00B4119A">
            <w:pPr>
              <w:ind w:left="3"/>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Respuesta a consulta con radicado No.</w:t>
            </w:r>
            <w:r w:rsidRPr="000901BC">
              <w:rPr>
                <w:rFonts w:ascii="Verdana" w:eastAsia="Calibri" w:hAnsi="Verdana" w:cs="Arial"/>
                <w:color w:val="000000" w:themeColor="text1"/>
                <w:lang w:val="es-ES" w:eastAsia="es-ES"/>
              </w:rPr>
              <w:t xml:space="preserve"> 1_2026_02_13_001884</w:t>
            </w:r>
          </w:p>
        </w:tc>
      </w:tr>
    </w:tbl>
    <w:p w14:paraId="018FF75A" w14:textId="77777777" w:rsidR="003C312E" w:rsidRPr="00FC6F34" w:rsidRDefault="003C312E" w:rsidP="003C312E">
      <w:pPr>
        <w:spacing w:after="0" w:line="276" w:lineRule="auto"/>
        <w:jc w:val="both"/>
        <w:rPr>
          <w:rFonts w:ascii="Verdana" w:eastAsia="Calibri" w:hAnsi="Verdana" w:cs="Arial"/>
          <w:color w:val="000000" w:themeColor="text1"/>
          <w:lang w:val="es-ES" w:eastAsia="es-ES"/>
        </w:rPr>
      </w:pPr>
    </w:p>
    <w:p w14:paraId="0B10EBC6" w14:textId="77777777" w:rsidR="003C312E" w:rsidRPr="00FC6F34" w:rsidRDefault="003C312E" w:rsidP="003C312E">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FC6F34">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Aguilera</w:t>
      </w:r>
      <w:r w:rsidRPr="00FC6F34">
        <w:rPr>
          <w:rFonts w:ascii="Verdana" w:eastAsia="Calibri" w:hAnsi="Verdana" w:cs="Arial"/>
          <w:color w:val="000000" w:themeColor="text1"/>
          <w:lang w:val="es-ES" w:eastAsia="es-ES"/>
        </w:rPr>
        <w:t xml:space="preserve">: </w:t>
      </w:r>
    </w:p>
    <w:p w14:paraId="2331C7A0" w14:textId="77777777" w:rsidR="003C312E" w:rsidRPr="00FC6F34" w:rsidRDefault="003C312E" w:rsidP="003C312E">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47C4090C" w14:textId="77777777" w:rsidR="003C312E" w:rsidRPr="00FC6F34" w:rsidRDefault="003C312E" w:rsidP="003C312E">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13 de febrero de </w:t>
      </w:r>
      <w:r w:rsidRPr="00FC6F34">
        <w:rPr>
          <w:rFonts w:ascii="Verdana" w:eastAsia="Calibri" w:hAnsi="Verdana" w:cs="Arial"/>
          <w:color w:val="000000" w:themeColor="text1"/>
          <w:lang w:val="es-ES" w:eastAsia="es-ES"/>
        </w:rPr>
        <w:t>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469BF13B" w14:textId="77777777" w:rsidR="003C312E" w:rsidRPr="00BF306B" w:rsidRDefault="003C312E" w:rsidP="003C312E">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67823AC0" w14:textId="77777777" w:rsidR="003C312E" w:rsidRPr="00851E42" w:rsidRDefault="003C312E" w:rsidP="003C312E">
      <w:pPr>
        <w:spacing w:after="0"/>
        <w:ind w:left="709" w:right="709"/>
        <w:jc w:val="both"/>
        <w:rPr>
          <w:rFonts w:ascii="Verdana" w:eastAsia="Century Gothic" w:hAnsi="Verdana" w:cs="Century Gothic"/>
          <w:i/>
          <w:color w:val="000000" w:themeColor="text1"/>
          <w:sz w:val="20"/>
          <w:szCs w:val="20"/>
        </w:rPr>
      </w:pPr>
      <w:r w:rsidRPr="00BF306B">
        <w:rPr>
          <w:rFonts w:ascii="Verdana" w:eastAsia="Century Gothic" w:hAnsi="Verdana" w:cs="Century Gothic"/>
          <w:i/>
          <w:color w:val="000000" w:themeColor="text1"/>
          <w:sz w:val="20"/>
          <w:szCs w:val="20"/>
          <w:lang w:val="es-ES"/>
        </w:rPr>
        <w:t>“</w:t>
      </w:r>
      <w:r w:rsidRPr="006A4A0E">
        <w:rPr>
          <w:rFonts w:ascii="Verdana" w:eastAsia="Century Gothic" w:hAnsi="Verdana" w:cs="Century Gothic"/>
          <w:i/>
          <w:color w:val="000000" w:themeColor="text1"/>
          <w:sz w:val="20"/>
          <w:szCs w:val="20"/>
        </w:rPr>
        <w:t>¿Una Empresa de Servicios Públicos de Acueducto, Alcantarillado y Aseo, al suscribir un contrato de consultoría con recursos provenientes del Sistema General de Participaciones (SGP), en calidad de prestadores de servicios públicos (NO GESTORES), podrían suscribir el contrato con su régimen de contratación privada (régimen especial, Ley 142 de 1994) o en su defecto por ser recursos del SGP debería ser obligatoriamente por la Ley 80 de 1993?</w:t>
      </w:r>
      <w:r w:rsidRPr="00BF306B">
        <w:rPr>
          <w:rFonts w:ascii="Verdana" w:hAnsi="Verdana"/>
          <w:sz w:val="20"/>
          <w:szCs w:val="20"/>
        </w:rPr>
        <w:t>”</w:t>
      </w:r>
    </w:p>
    <w:p w14:paraId="0A14BB2F" w14:textId="77777777" w:rsidR="003C312E" w:rsidRPr="00FC6F34" w:rsidRDefault="003C312E" w:rsidP="003C312E">
      <w:pPr>
        <w:spacing w:after="0" w:line="276" w:lineRule="auto"/>
        <w:ind w:right="709"/>
        <w:jc w:val="both"/>
        <w:rPr>
          <w:rFonts w:ascii="Verdana" w:eastAsia="Calibri" w:hAnsi="Verdana" w:cs="Arial"/>
          <w:lang w:val="es-ES"/>
        </w:rPr>
      </w:pPr>
    </w:p>
    <w:p w14:paraId="585DAEF9" w14:textId="77777777" w:rsidR="003C312E" w:rsidRPr="00FC6F34" w:rsidRDefault="003C312E" w:rsidP="003C312E">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FC6F34">
        <w:rPr>
          <w:rFonts w:ascii="Verdana" w:eastAsia="Calibri" w:hAnsi="Verdana" w:cs="Arial"/>
          <w:color w:val="000000" w:themeColor="text1"/>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1D0E6971" w14:textId="77777777" w:rsidR="003C312E" w:rsidRPr="00C327DE" w:rsidRDefault="003C312E" w:rsidP="003C312E">
      <w:pPr>
        <w:spacing w:after="0" w:line="276" w:lineRule="auto"/>
        <w:ind w:firstLine="709"/>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CEFC581" w14:textId="77777777" w:rsidR="003C312E" w:rsidRPr="00FC6F34" w:rsidRDefault="003C312E" w:rsidP="003C312E">
      <w:pPr>
        <w:spacing w:after="0" w:line="276" w:lineRule="auto"/>
        <w:jc w:val="both"/>
        <w:rPr>
          <w:rFonts w:ascii="Verdana" w:eastAsia="Calibri" w:hAnsi="Verdana" w:cs="Arial"/>
          <w:color w:val="000000" w:themeColor="text1"/>
          <w:lang w:val="es-ES" w:eastAsia="es-ES"/>
        </w:rPr>
      </w:pPr>
    </w:p>
    <w:p w14:paraId="2578BB35" w14:textId="77777777" w:rsidR="003C312E" w:rsidRPr="00FC6F34" w:rsidRDefault="003C312E" w:rsidP="003C312E">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23B2B5D3" w14:textId="77777777" w:rsidR="003C312E" w:rsidRPr="00FC6F34" w:rsidRDefault="003C312E" w:rsidP="003C312E">
      <w:pPr>
        <w:tabs>
          <w:tab w:val="left" w:pos="426"/>
        </w:tabs>
        <w:spacing w:after="0" w:line="276" w:lineRule="auto"/>
        <w:jc w:val="both"/>
        <w:rPr>
          <w:rFonts w:ascii="Verdana" w:eastAsia="Century Gothic" w:hAnsi="Verdana" w:cs="Century Gothic"/>
          <w:color w:val="000000" w:themeColor="text1"/>
          <w:lang w:val="es-ES"/>
        </w:rPr>
      </w:pPr>
    </w:p>
    <w:p w14:paraId="19F623C4" w14:textId="77777777" w:rsidR="003C312E" w:rsidRPr="006C4FE3" w:rsidRDefault="003C312E" w:rsidP="003C312E">
      <w:pPr>
        <w:spacing w:after="0" w:line="276" w:lineRule="auto"/>
        <w:jc w:val="both"/>
        <w:rPr>
          <w:rFonts w:ascii="Verdana" w:eastAsia="Century Gothic" w:hAnsi="Verdana" w:cs="Century Gothic"/>
        </w:rPr>
      </w:pPr>
      <w:r w:rsidRPr="00FC6F34">
        <w:rPr>
          <w:rFonts w:ascii="Verdana" w:eastAsia="Century Gothic" w:hAnsi="Verdana" w:cs="Century Gothic"/>
          <w:color w:val="000000" w:themeColor="text1"/>
          <w:lang w:val="es-ES"/>
        </w:rPr>
        <w:t xml:space="preserve">De acuerdo con el contenido de su solicitud, esta Agencia resolverá el siguiente problema jurídico: </w:t>
      </w:r>
      <w:r w:rsidRPr="00F615E3">
        <w:rPr>
          <w:rFonts w:ascii="Verdana" w:eastAsia="Century Gothic" w:hAnsi="Verdana" w:cs="Century Gothic"/>
        </w:rPr>
        <w:t>¿</w:t>
      </w:r>
      <w:r w:rsidRPr="00F615E3">
        <w:rPr>
          <w:rFonts w:ascii="Verdana" w:hAnsi="Verdana"/>
        </w:rPr>
        <w:t xml:space="preserve">Cuál es el régimen contractual aplicable en la ejecución de proyectos cuya fuente de financiación son </w:t>
      </w:r>
      <w:r w:rsidRPr="00EA72F9">
        <w:rPr>
          <w:rFonts w:ascii="Verdana" w:hAnsi="Verdana"/>
        </w:rPr>
        <w:t>los recursos del Sistema General de Participaci</w:t>
      </w:r>
      <w:r>
        <w:rPr>
          <w:rFonts w:ascii="Verdana" w:hAnsi="Verdana"/>
        </w:rPr>
        <w:t>ones</w:t>
      </w:r>
      <w:r w:rsidRPr="00EA72F9">
        <w:rPr>
          <w:rFonts w:ascii="Verdana" w:hAnsi="Verdana"/>
        </w:rPr>
        <w:t xml:space="preserve"> </w:t>
      </w:r>
      <w:r w:rsidRPr="00F615E3">
        <w:rPr>
          <w:rFonts w:ascii="Verdana" w:hAnsi="Verdana"/>
        </w:rPr>
        <w:t xml:space="preserve">cuando </w:t>
      </w:r>
      <w:r w:rsidRPr="00EA72F9">
        <w:rPr>
          <w:rFonts w:ascii="Verdana" w:hAnsi="Verdana"/>
        </w:rPr>
        <w:t xml:space="preserve">la entidad ejecutora </w:t>
      </w:r>
      <w:r w:rsidRPr="00F615E3">
        <w:rPr>
          <w:rFonts w:ascii="Verdana" w:hAnsi="Verdana"/>
        </w:rPr>
        <w:t>es una Empresa de Servicios Públicos Domiciliarios?</w:t>
      </w:r>
      <w:r w:rsidRPr="00EA72F9">
        <w:rPr>
          <w:rFonts w:ascii="Verdana" w:hAnsi="Verdana"/>
        </w:rPr>
        <w:t xml:space="preserve"> </w:t>
      </w:r>
    </w:p>
    <w:p w14:paraId="12C6CDF4" w14:textId="77777777" w:rsidR="003C312E" w:rsidRPr="00FC6F34" w:rsidRDefault="003C312E" w:rsidP="003C312E">
      <w:pPr>
        <w:spacing w:after="0" w:line="276" w:lineRule="auto"/>
        <w:jc w:val="both"/>
        <w:rPr>
          <w:rFonts w:ascii="Verdana" w:eastAsia="Calibri" w:hAnsi="Verdana" w:cs="Arial"/>
          <w:color w:val="000000" w:themeColor="text1"/>
          <w:lang w:val="es-ES"/>
        </w:rPr>
      </w:pPr>
    </w:p>
    <w:p w14:paraId="6FD7C282" w14:textId="77777777" w:rsidR="003C312E" w:rsidRPr="00FC6F34" w:rsidRDefault="003C312E" w:rsidP="003C312E">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434DF042" w14:textId="77777777" w:rsidR="003C312E" w:rsidRPr="00FC6F34" w:rsidRDefault="003C312E" w:rsidP="003C312E">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C312E" w:rsidRPr="00FC6F34" w14:paraId="779E2A2D" w14:textId="77777777" w:rsidTr="00B4119A">
        <w:tc>
          <w:tcPr>
            <w:tcW w:w="8828" w:type="dxa"/>
          </w:tcPr>
          <w:p w14:paraId="2006F7B5" w14:textId="77777777" w:rsidR="003C312E" w:rsidRDefault="003C312E" w:rsidP="00B4119A">
            <w:pPr>
              <w:tabs>
                <w:tab w:val="left" w:pos="426"/>
              </w:tabs>
              <w:spacing w:before="120" w:after="120" w:line="276" w:lineRule="auto"/>
              <w:jc w:val="both"/>
              <w:rPr>
                <w:rFonts w:ascii="Verdana" w:hAnsi="Verdana" w:cs="Arial"/>
                <w:bdr w:val="none" w:sz="0" w:space="0" w:color="auto" w:frame="1"/>
              </w:rPr>
            </w:pPr>
            <w:r w:rsidRPr="00F615E3">
              <w:rPr>
                <w:rFonts w:ascii="Verdana" w:hAnsi="Verdana" w:cs="Arial"/>
                <w:noProof/>
                <w:lang w:val="es-ES_tradnl"/>
              </w:rPr>
              <w:t>Con fundamento en los artículos 3</w:t>
            </w:r>
            <w:r>
              <w:rPr>
                <w:rFonts w:ascii="Verdana" w:hAnsi="Verdana" w:cs="Arial"/>
                <w:noProof/>
                <w:lang w:val="es-ES_tradnl"/>
              </w:rPr>
              <w:t>56</w:t>
            </w:r>
            <w:r w:rsidRPr="00F615E3">
              <w:rPr>
                <w:rFonts w:ascii="Verdana" w:hAnsi="Verdana" w:cs="Arial"/>
                <w:noProof/>
                <w:lang w:val="es-ES_tradnl"/>
              </w:rPr>
              <w:t xml:space="preserve"> y 3</w:t>
            </w:r>
            <w:r>
              <w:rPr>
                <w:rFonts w:ascii="Verdana" w:hAnsi="Verdana" w:cs="Arial"/>
                <w:noProof/>
                <w:lang w:val="es-ES_tradnl"/>
              </w:rPr>
              <w:t>57</w:t>
            </w:r>
            <w:r w:rsidRPr="00F615E3">
              <w:rPr>
                <w:rFonts w:ascii="Verdana" w:hAnsi="Verdana" w:cs="Arial"/>
                <w:noProof/>
                <w:lang w:val="es-ES_tradnl"/>
              </w:rPr>
              <w:t xml:space="preserve"> de la Constitución Política, se expidió la Ley </w:t>
            </w:r>
            <w:r>
              <w:rPr>
                <w:rFonts w:ascii="Verdana" w:hAnsi="Verdana" w:cs="Arial"/>
                <w:noProof/>
                <w:lang w:val="es-ES_tradnl"/>
              </w:rPr>
              <w:t>715</w:t>
            </w:r>
            <w:r w:rsidRPr="00F615E3">
              <w:rPr>
                <w:rFonts w:ascii="Verdana" w:hAnsi="Verdana" w:cs="Arial"/>
                <w:noProof/>
                <w:lang w:val="es-ES_tradnl"/>
              </w:rPr>
              <w:t xml:space="preserve"> de 20</w:t>
            </w:r>
            <w:r>
              <w:rPr>
                <w:rFonts w:ascii="Verdana" w:hAnsi="Verdana" w:cs="Arial"/>
                <w:noProof/>
                <w:lang w:val="es-ES_tradnl"/>
              </w:rPr>
              <w:t>01</w:t>
            </w:r>
            <w:r w:rsidRPr="00F615E3">
              <w:rPr>
                <w:rFonts w:ascii="Verdana" w:hAnsi="Verdana" w:cs="Arial"/>
                <w:noProof/>
                <w:lang w:val="es-ES_tradnl"/>
              </w:rPr>
              <w:t xml:space="preserve">, </w:t>
            </w:r>
            <w:r w:rsidRPr="00B23E92">
              <w:rPr>
                <w:rFonts w:ascii="Verdana" w:hAnsi="Verdana" w:cs="Arial"/>
                <w:bCs/>
                <w:color w:val="000000" w:themeColor="text1"/>
                <w:lang w:val="es-ES_tradnl"/>
              </w:rPr>
              <w:t>“</w:t>
            </w:r>
            <w:r w:rsidRPr="00B23E92">
              <w:rPr>
                <w:rFonts w:ascii="Verdana" w:hAnsi="Verdana" w:cs="Arial"/>
                <w:bCs/>
                <w:color w:val="000000" w:themeColor="text1"/>
              </w:rPr>
              <w:t>Por la cual se dictan normas orgánicas en materia de recursos y competencias de conformidad con los artículos 151, 288, 356 y 357 (Acto Legislativo 01 de 2001) de la Constitución Política y se dictan otras disposiciones para organizar la prestación de los servicios de educación y salud, entre otros."</w:t>
            </w:r>
            <w:r>
              <w:rPr>
                <w:rFonts w:ascii="Verdana" w:eastAsia="Calibri" w:hAnsi="Verdana" w:cs="Arial"/>
                <w:color w:val="000000" w:themeColor="text1"/>
              </w:rPr>
              <w:t xml:space="preserve"> Esta norma </w:t>
            </w:r>
            <w:r w:rsidRPr="00496806">
              <w:rPr>
                <w:rFonts w:ascii="Verdana" w:hAnsi="Verdana" w:cs="Arial"/>
                <w:bdr w:val="none" w:sz="0" w:space="0" w:color="auto" w:frame="1"/>
              </w:rPr>
              <w:t xml:space="preserve">se refiere al Sistema General de Participaciones, correspondiente a los recursos que la Nación transfiere a las entidades territoriales para la financiación de ciertos servicios a su cargo. </w:t>
            </w:r>
          </w:p>
          <w:p w14:paraId="4659AB87" w14:textId="77777777" w:rsidR="003C312E" w:rsidRDefault="003C312E" w:rsidP="00B4119A">
            <w:pPr>
              <w:tabs>
                <w:tab w:val="left" w:pos="426"/>
              </w:tabs>
              <w:spacing w:after="120" w:line="276" w:lineRule="auto"/>
              <w:ind w:firstLine="709"/>
              <w:jc w:val="both"/>
              <w:rPr>
                <w:rFonts w:ascii="Verdana" w:hAnsi="Verdana" w:cs="Arial"/>
                <w:bdr w:val="none" w:sz="0" w:space="0" w:color="auto" w:frame="1"/>
              </w:rPr>
            </w:pPr>
            <w:r w:rsidRPr="00496806">
              <w:rPr>
                <w:rFonts w:ascii="Verdana" w:hAnsi="Verdana" w:cs="Arial"/>
                <w:bdr w:val="none" w:sz="0" w:space="0" w:color="auto" w:frame="1"/>
              </w:rPr>
              <w:t xml:space="preserve">De conformidad con el artículo 3, modificado por el artículo 1 de la Ley 1176 del 2007, este sistema estará conformado así: i) una participación con destinación específica para el sector educación, que se denominará </w:t>
            </w:r>
            <w:r w:rsidRPr="00496806">
              <w:rPr>
                <w:rFonts w:ascii="Verdana" w:hAnsi="Verdana" w:cs="Arial"/>
                <w:bdr w:val="none" w:sz="0" w:space="0" w:color="auto" w:frame="1"/>
              </w:rPr>
              <w:lastRenderedPageBreak/>
              <w:t xml:space="preserve">participación para educación, </w:t>
            </w:r>
            <w:proofErr w:type="spellStart"/>
            <w:r w:rsidRPr="00496806">
              <w:rPr>
                <w:rFonts w:ascii="Verdana" w:hAnsi="Verdana" w:cs="Arial"/>
                <w:bdr w:val="none" w:sz="0" w:space="0" w:color="auto" w:frame="1"/>
              </w:rPr>
              <w:t>ii</w:t>
            </w:r>
            <w:proofErr w:type="spellEnd"/>
            <w:r w:rsidRPr="00496806">
              <w:rPr>
                <w:rFonts w:ascii="Verdana" w:hAnsi="Verdana" w:cs="Arial"/>
                <w:bdr w:val="none" w:sz="0" w:space="0" w:color="auto" w:frame="1"/>
              </w:rPr>
              <w:t xml:space="preserve">) una participación con destinación específica para el sector salud, que se denominará participación para salud, </w:t>
            </w:r>
            <w:proofErr w:type="spellStart"/>
            <w:r w:rsidRPr="00496806">
              <w:rPr>
                <w:rFonts w:ascii="Verdana" w:hAnsi="Verdana" w:cs="Arial"/>
                <w:bdr w:val="none" w:sz="0" w:space="0" w:color="auto" w:frame="1"/>
              </w:rPr>
              <w:t>iii</w:t>
            </w:r>
            <w:proofErr w:type="spellEnd"/>
            <w:r w:rsidRPr="00496806">
              <w:rPr>
                <w:rFonts w:ascii="Verdana" w:hAnsi="Verdana" w:cs="Arial"/>
                <w:bdr w:val="none" w:sz="0" w:space="0" w:color="auto" w:frame="1"/>
              </w:rPr>
              <w:t xml:space="preserve">) una participación con destinación específica para el sector agua potable y saneamiento básico, que se denominará participación para agua potable y saneamiento básico y </w:t>
            </w:r>
            <w:proofErr w:type="spellStart"/>
            <w:r w:rsidRPr="00496806">
              <w:rPr>
                <w:rFonts w:ascii="Verdana" w:hAnsi="Verdana" w:cs="Arial"/>
                <w:bdr w:val="none" w:sz="0" w:space="0" w:color="auto" w:frame="1"/>
              </w:rPr>
              <w:t>iv</w:t>
            </w:r>
            <w:proofErr w:type="spellEnd"/>
            <w:r w:rsidRPr="00496806">
              <w:rPr>
                <w:rFonts w:ascii="Verdana" w:hAnsi="Verdana" w:cs="Arial"/>
                <w:bdr w:val="none" w:sz="0" w:space="0" w:color="auto" w:frame="1"/>
              </w:rPr>
              <w:t xml:space="preserve">) una participación de propósito general. </w:t>
            </w:r>
            <w:r>
              <w:rPr>
                <w:rFonts w:ascii="Verdana" w:hAnsi="Verdana" w:cs="Arial"/>
                <w:bdr w:val="none" w:sz="0" w:space="0" w:color="auto" w:frame="1"/>
              </w:rPr>
              <w:t xml:space="preserve">El artículo 4 </w:t>
            </w:r>
            <w:r w:rsidRPr="007D4E65">
              <w:rPr>
                <w:rFonts w:ascii="Verdana" w:hAnsi="Verdana" w:cs="Arial"/>
                <w:i/>
                <w:iCs/>
                <w:bdr w:val="none" w:sz="0" w:space="0" w:color="auto" w:frame="1"/>
              </w:rPr>
              <w:t xml:space="preserve">ibidem </w:t>
            </w:r>
            <w:r>
              <w:rPr>
                <w:rFonts w:ascii="Verdana" w:hAnsi="Verdana" w:cs="Arial"/>
                <w:bdr w:val="none" w:sz="0" w:space="0" w:color="auto" w:frame="1"/>
              </w:rPr>
              <w:t xml:space="preserve">establece la distribución sectorial de recursos de la siguiente manera: </w:t>
            </w:r>
            <w:r w:rsidRPr="00142E8F">
              <w:rPr>
                <w:rFonts w:ascii="Verdana" w:hAnsi="Verdana" w:cs="Arial"/>
                <w:bdr w:val="none" w:sz="0" w:space="0" w:color="auto" w:frame="1"/>
              </w:rPr>
              <w:t>1</w:t>
            </w:r>
            <w:r>
              <w:rPr>
                <w:rFonts w:ascii="Verdana" w:hAnsi="Verdana" w:cs="Arial"/>
                <w:bdr w:val="none" w:sz="0" w:space="0" w:color="auto" w:frame="1"/>
              </w:rPr>
              <w:t>)</w:t>
            </w:r>
            <w:r w:rsidRPr="00142E8F">
              <w:rPr>
                <w:rFonts w:ascii="Verdana" w:hAnsi="Verdana" w:cs="Arial"/>
                <w:bdr w:val="none" w:sz="0" w:space="0" w:color="auto" w:frame="1"/>
              </w:rPr>
              <w:t xml:space="preserve"> </w:t>
            </w:r>
            <w:r>
              <w:rPr>
                <w:rFonts w:ascii="Verdana" w:hAnsi="Verdana" w:cs="Arial"/>
                <w:bdr w:val="none" w:sz="0" w:space="0" w:color="auto" w:frame="1"/>
              </w:rPr>
              <w:t>u</w:t>
            </w:r>
            <w:r w:rsidRPr="00142E8F">
              <w:rPr>
                <w:rFonts w:ascii="Verdana" w:hAnsi="Verdana" w:cs="Arial"/>
                <w:bdr w:val="none" w:sz="0" w:space="0" w:color="auto" w:frame="1"/>
              </w:rPr>
              <w:t>n 58.5% corresponderá a la participación para educación</w:t>
            </w:r>
            <w:r>
              <w:rPr>
                <w:rFonts w:ascii="Verdana" w:hAnsi="Verdana" w:cs="Arial"/>
                <w:bdr w:val="none" w:sz="0" w:space="0" w:color="auto" w:frame="1"/>
              </w:rPr>
              <w:t xml:space="preserve">; </w:t>
            </w:r>
            <w:r w:rsidRPr="00142E8F">
              <w:rPr>
                <w:rFonts w:ascii="Verdana" w:hAnsi="Verdana" w:cs="Arial"/>
                <w:bdr w:val="none" w:sz="0" w:space="0" w:color="auto" w:frame="1"/>
              </w:rPr>
              <w:t>2</w:t>
            </w:r>
            <w:r>
              <w:rPr>
                <w:rFonts w:ascii="Verdana" w:hAnsi="Verdana" w:cs="Arial"/>
                <w:bdr w:val="none" w:sz="0" w:space="0" w:color="auto" w:frame="1"/>
              </w:rPr>
              <w:t>)</w:t>
            </w:r>
            <w:r w:rsidRPr="00142E8F">
              <w:rPr>
                <w:rFonts w:ascii="Verdana" w:hAnsi="Verdana" w:cs="Arial"/>
                <w:bdr w:val="none" w:sz="0" w:space="0" w:color="auto" w:frame="1"/>
              </w:rPr>
              <w:t xml:space="preserve"> </w:t>
            </w:r>
            <w:r>
              <w:rPr>
                <w:rFonts w:ascii="Verdana" w:hAnsi="Verdana" w:cs="Arial"/>
                <w:bdr w:val="none" w:sz="0" w:space="0" w:color="auto" w:frame="1"/>
              </w:rPr>
              <w:t>u</w:t>
            </w:r>
            <w:r w:rsidRPr="00142E8F">
              <w:rPr>
                <w:rFonts w:ascii="Verdana" w:hAnsi="Verdana" w:cs="Arial"/>
                <w:bdr w:val="none" w:sz="0" w:space="0" w:color="auto" w:frame="1"/>
              </w:rPr>
              <w:t>n 24.5% corresponderá a la participación para salud</w:t>
            </w:r>
            <w:r>
              <w:rPr>
                <w:rFonts w:ascii="Verdana" w:hAnsi="Verdana" w:cs="Arial"/>
                <w:bdr w:val="none" w:sz="0" w:space="0" w:color="auto" w:frame="1"/>
              </w:rPr>
              <w:t xml:space="preserve">; </w:t>
            </w:r>
            <w:r w:rsidRPr="00142E8F">
              <w:rPr>
                <w:rFonts w:ascii="Verdana" w:hAnsi="Verdana" w:cs="Arial"/>
                <w:bdr w:val="none" w:sz="0" w:space="0" w:color="auto" w:frame="1"/>
              </w:rPr>
              <w:t>3</w:t>
            </w:r>
            <w:r>
              <w:rPr>
                <w:rFonts w:ascii="Verdana" w:hAnsi="Verdana" w:cs="Arial"/>
                <w:bdr w:val="none" w:sz="0" w:space="0" w:color="auto" w:frame="1"/>
              </w:rPr>
              <w:t>)</w:t>
            </w:r>
            <w:r w:rsidRPr="00142E8F">
              <w:rPr>
                <w:rFonts w:ascii="Verdana" w:hAnsi="Verdana" w:cs="Arial"/>
                <w:bdr w:val="none" w:sz="0" w:space="0" w:color="auto" w:frame="1"/>
              </w:rPr>
              <w:t xml:space="preserve"> </w:t>
            </w:r>
            <w:r>
              <w:rPr>
                <w:rFonts w:ascii="Verdana" w:hAnsi="Verdana" w:cs="Arial"/>
                <w:bdr w:val="none" w:sz="0" w:space="0" w:color="auto" w:frame="1"/>
              </w:rPr>
              <w:t>u</w:t>
            </w:r>
            <w:r w:rsidRPr="00142E8F">
              <w:rPr>
                <w:rFonts w:ascii="Verdana" w:hAnsi="Verdana" w:cs="Arial"/>
                <w:bdr w:val="none" w:sz="0" w:space="0" w:color="auto" w:frame="1"/>
              </w:rPr>
              <w:t>n 5.4% corresponderá a la participación para agua potable y saneamiento básico</w:t>
            </w:r>
            <w:r>
              <w:rPr>
                <w:rFonts w:ascii="Verdana" w:hAnsi="Verdana" w:cs="Arial"/>
                <w:bdr w:val="none" w:sz="0" w:space="0" w:color="auto" w:frame="1"/>
              </w:rPr>
              <w:t xml:space="preserve">; y </w:t>
            </w:r>
            <w:r w:rsidRPr="00142E8F">
              <w:rPr>
                <w:rFonts w:ascii="Verdana" w:hAnsi="Verdana" w:cs="Arial"/>
                <w:bdr w:val="none" w:sz="0" w:space="0" w:color="auto" w:frame="1"/>
              </w:rPr>
              <w:t>4</w:t>
            </w:r>
            <w:r>
              <w:rPr>
                <w:rFonts w:ascii="Verdana" w:hAnsi="Verdana" w:cs="Arial"/>
                <w:bdr w:val="none" w:sz="0" w:space="0" w:color="auto" w:frame="1"/>
              </w:rPr>
              <w:t>)</w:t>
            </w:r>
            <w:r w:rsidRPr="00142E8F">
              <w:rPr>
                <w:rFonts w:ascii="Verdana" w:hAnsi="Verdana" w:cs="Arial"/>
                <w:bdr w:val="none" w:sz="0" w:space="0" w:color="auto" w:frame="1"/>
              </w:rPr>
              <w:t xml:space="preserve"> </w:t>
            </w:r>
            <w:r>
              <w:rPr>
                <w:rFonts w:ascii="Verdana" w:hAnsi="Verdana" w:cs="Arial"/>
                <w:bdr w:val="none" w:sz="0" w:space="0" w:color="auto" w:frame="1"/>
              </w:rPr>
              <w:t>u</w:t>
            </w:r>
            <w:r w:rsidRPr="00142E8F">
              <w:rPr>
                <w:rFonts w:ascii="Verdana" w:hAnsi="Verdana" w:cs="Arial"/>
                <w:bdr w:val="none" w:sz="0" w:space="0" w:color="auto" w:frame="1"/>
              </w:rPr>
              <w:t>n 11.6% corresponderá a la participación de propósito general</w:t>
            </w:r>
            <w:r>
              <w:rPr>
                <w:rFonts w:ascii="Verdana" w:hAnsi="Verdana" w:cs="Arial"/>
                <w:bdr w:val="none" w:sz="0" w:space="0" w:color="auto" w:frame="1"/>
              </w:rPr>
              <w:t xml:space="preserve">. </w:t>
            </w:r>
          </w:p>
          <w:p w14:paraId="79162C89" w14:textId="77777777" w:rsidR="003C312E" w:rsidRDefault="003C312E" w:rsidP="00B4119A">
            <w:pPr>
              <w:tabs>
                <w:tab w:val="left" w:pos="426"/>
              </w:tabs>
              <w:spacing w:after="120" w:line="276" w:lineRule="auto"/>
              <w:ind w:firstLine="709"/>
              <w:jc w:val="both"/>
              <w:rPr>
                <w:rFonts w:ascii="Verdana" w:hAnsi="Verdana" w:cs="Open Sans"/>
                <w:color w:val="000000" w:themeColor="text1"/>
              </w:rPr>
            </w:pPr>
            <w:r>
              <w:rPr>
                <w:rFonts w:ascii="Verdana" w:hAnsi="Verdana" w:cs="Arial"/>
                <w:bdr w:val="none" w:sz="0" w:space="0" w:color="auto" w:frame="1"/>
              </w:rPr>
              <w:t xml:space="preserve">En concordancia con lo anterior, </w:t>
            </w:r>
            <w:r w:rsidRPr="00E90DC2">
              <w:rPr>
                <w:rFonts w:ascii="Verdana" w:hAnsi="Verdana" w:cs="Arial"/>
                <w:bdr w:val="none" w:sz="0" w:space="0" w:color="auto" w:frame="1"/>
              </w:rPr>
              <w:t>la Ley 1176 del 2007 incorpor</w:t>
            </w:r>
            <w:r>
              <w:rPr>
                <w:rFonts w:ascii="Verdana" w:hAnsi="Verdana" w:cs="Arial"/>
                <w:bdr w:val="none" w:sz="0" w:space="0" w:color="auto" w:frame="1"/>
              </w:rPr>
              <w:t>ó</w:t>
            </w:r>
            <w:r w:rsidRPr="00E90DC2">
              <w:rPr>
                <w:rFonts w:ascii="Verdana" w:hAnsi="Verdana" w:cs="Arial"/>
                <w:bdr w:val="none" w:sz="0" w:space="0" w:color="auto" w:frame="1"/>
              </w:rPr>
              <w:t xml:space="preserve"> aspectos específicos sobre </w:t>
            </w:r>
            <w:r>
              <w:rPr>
                <w:rFonts w:ascii="Verdana" w:hAnsi="Verdana" w:cs="Arial"/>
                <w:bdr w:val="none" w:sz="0" w:space="0" w:color="auto" w:frame="1"/>
              </w:rPr>
              <w:t xml:space="preserve">los </w:t>
            </w:r>
            <w:r w:rsidRPr="00E90DC2">
              <w:rPr>
                <w:rFonts w:ascii="Verdana" w:hAnsi="Verdana" w:cs="Arial"/>
                <w:bdr w:val="none" w:sz="0" w:space="0" w:color="auto" w:frame="1"/>
              </w:rPr>
              <w:t xml:space="preserve">recursos del Sistema General </w:t>
            </w:r>
            <w:r>
              <w:rPr>
                <w:rFonts w:ascii="Verdana" w:hAnsi="Verdana" w:cs="Arial"/>
                <w:bdr w:val="none" w:sz="0" w:space="0" w:color="auto" w:frame="1"/>
              </w:rPr>
              <w:t>d</w:t>
            </w:r>
            <w:r w:rsidRPr="00E90DC2">
              <w:rPr>
                <w:rFonts w:ascii="Verdana" w:hAnsi="Verdana" w:cs="Arial"/>
                <w:bdr w:val="none" w:sz="0" w:space="0" w:color="auto" w:frame="1"/>
              </w:rPr>
              <w:t>e Participaciones para agua potable y saneamiento básico</w:t>
            </w:r>
            <w:r>
              <w:rPr>
                <w:rFonts w:ascii="Verdana" w:hAnsi="Verdana" w:cs="Arial"/>
                <w:bdr w:val="none" w:sz="0" w:space="0" w:color="auto" w:frame="1"/>
              </w:rPr>
              <w:t>. En particular, dicha ley se refiere a la competencia de los departamentos r</w:t>
            </w:r>
            <w:r w:rsidRPr="00932EE9">
              <w:rPr>
                <w:rFonts w:ascii="Verdana" w:hAnsi="Verdana" w:cs="Arial"/>
                <w:bdr w:val="none" w:sz="0" w:space="0" w:color="auto" w:frame="1"/>
              </w:rPr>
              <w:t>elacionada con la prestación de los servicios públicos de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3-; la evaluación a</w:t>
            </w:r>
            <w:r w:rsidRPr="008A052D">
              <w:rPr>
                <w:rFonts w:ascii="Verdana" w:hAnsi="Verdana" w:cs="Arial"/>
                <w:bdr w:val="none" w:sz="0" w:space="0" w:color="auto" w:frame="1"/>
              </w:rPr>
              <w:t xml:space="preserve">l uso y ejecución a los recursos del </w:t>
            </w:r>
            <w:r>
              <w:rPr>
                <w:rFonts w:ascii="Verdana" w:hAnsi="Verdana" w:cs="Arial"/>
                <w:bdr w:val="none" w:sz="0" w:space="0" w:color="auto" w:frame="1"/>
              </w:rPr>
              <w:t>S</w:t>
            </w:r>
            <w:r w:rsidRPr="008A052D">
              <w:rPr>
                <w:rFonts w:ascii="Verdana" w:hAnsi="Verdana" w:cs="Arial"/>
                <w:bdr w:val="none" w:sz="0" w:space="0" w:color="auto" w:frame="1"/>
              </w:rPr>
              <w:t xml:space="preserve">istema </w:t>
            </w:r>
            <w:r>
              <w:rPr>
                <w:rFonts w:ascii="Verdana" w:hAnsi="Verdana" w:cs="Arial"/>
                <w:bdr w:val="none" w:sz="0" w:space="0" w:color="auto" w:frame="1"/>
              </w:rPr>
              <w:t>G</w:t>
            </w:r>
            <w:r w:rsidRPr="008A052D">
              <w:rPr>
                <w:rFonts w:ascii="Verdana" w:hAnsi="Verdana" w:cs="Arial"/>
                <w:bdr w:val="none" w:sz="0" w:space="0" w:color="auto" w:frame="1"/>
              </w:rPr>
              <w:t xml:space="preserve">eneral de </w:t>
            </w:r>
            <w:r>
              <w:rPr>
                <w:rFonts w:ascii="Verdana" w:hAnsi="Verdana" w:cs="Arial"/>
                <w:bdr w:val="none" w:sz="0" w:space="0" w:color="auto" w:frame="1"/>
              </w:rPr>
              <w:t>P</w:t>
            </w:r>
            <w:r w:rsidRPr="008A052D">
              <w:rPr>
                <w:rFonts w:ascii="Verdana" w:hAnsi="Verdana" w:cs="Arial"/>
                <w:bdr w:val="none" w:sz="0" w:space="0" w:color="auto" w:frame="1"/>
              </w:rPr>
              <w:t>articipaciones para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4-; los planes de gestión de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4A-;</w:t>
            </w:r>
            <w:r w:rsidRPr="00B7257A">
              <w:rPr>
                <w:rFonts w:ascii="Verdana" w:hAnsi="Verdana" w:cs="Arial"/>
                <w:color w:val="000000" w:themeColor="text1"/>
                <w:bdr w:val="none" w:sz="0" w:space="0" w:color="auto" w:frame="1"/>
              </w:rPr>
              <w:t xml:space="preserve"> la distribución territorial de los recursos -artículo 6-; </w:t>
            </w:r>
            <w:r>
              <w:rPr>
                <w:rFonts w:ascii="Verdana" w:hAnsi="Verdana" w:cs="Arial"/>
                <w:color w:val="000000" w:themeColor="text1"/>
                <w:bdr w:val="none" w:sz="0" w:space="0" w:color="auto" w:frame="1"/>
              </w:rPr>
              <w:t xml:space="preserve">los </w:t>
            </w:r>
            <w:r w:rsidRPr="00B7257A">
              <w:rPr>
                <w:rFonts w:ascii="Verdana" w:hAnsi="Verdana" w:cs="Arial"/>
                <w:color w:val="000000" w:themeColor="text1"/>
                <w:bdr w:val="none" w:sz="0" w:space="0" w:color="auto" w:frame="1"/>
              </w:rPr>
              <w:t xml:space="preserve">criterios de distribución de los recursos para los distritos y municipios -artículo 7-; </w:t>
            </w:r>
            <w:r>
              <w:rPr>
                <w:rFonts w:ascii="Verdana" w:hAnsi="Verdana" w:cs="Arial"/>
                <w:color w:val="000000" w:themeColor="text1"/>
                <w:bdr w:val="none" w:sz="0" w:space="0" w:color="auto" w:frame="1"/>
              </w:rPr>
              <w:t xml:space="preserve">los </w:t>
            </w:r>
            <w:r w:rsidRPr="00B7257A">
              <w:rPr>
                <w:rFonts w:ascii="Verdana" w:hAnsi="Verdana" w:cs="Open Sans"/>
                <w:color w:val="000000" w:themeColor="text1"/>
              </w:rPr>
              <w:t xml:space="preserve">criterios de distribución de los recursos para los departamentos  </w:t>
            </w:r>
            <w:r>
              <w:rPr>
                <w:rFonts w:ascii="Verdana" w:hAnsi="Verdana" w:cs="Open Sans"/>
                <w:color w:val="000000" w:themeColor="text1"/>
              </w:rPr>
              <w:t>-</w:t>
            </w:r>
            <w:r w:rsidRPr="00B7257A">
              <w:rPr>
                <w:rFonts w:ascii="Verdana" w:hAnsi="Verdana" w:cs="Open Sans"/>
                <w:color w:val="000000" w:themeColor="text1"/>
              </w:rPr>
              <w:t>artículo 8</w:t>
            </w:r>
            <w:r>
              <w:rPr>
                <w:rFonts w:ascii="Verdana" w:hAnsi="Verdana" w:cs="Open Sans"/>
                <w:color w:val="000000" w:themeColor="text1"/>
              </w:rPr>
              <w:t>-</w:t>
            </w:r>
            <w:r w:rsidRPr="00B7257A">
              <w:rPr>
                <w:rFonts w:ascii="Verdana" w:hAnsi="Verdana" w:cs="Open Sans"/>
                <w:color w:val="000000" w:themeColor="text1"/>
              </w:rPr>
              <w:t>;</w:t>
            </w:r>
            <w:r>
              <w:rPr>
                <w:rFonts w:ascii="Verdana" w:hAnsi="Verdana" w:cs="Open Sans"/>
                <w:color w:val="000000" w:themeColor="text1"/>
              </w:rPr>
              <w:t xml:space="preserve"> el</w:t>
            </w:r>
            <w:r w:rsidRPr="00B7257A">
              <w:rPr>
                <w:rFonts w:ascii="Verdana" w:hAnsi="Verdana" w:cs="Open Sans"/>
                <w:color w:val="000000" w:themeColor="text1"/>
              </w:rPr>
              <w:t xml:space="preserve"> régimen de transición – artículo 9-;  </w:t>
            </w:r>
            <w:r>
              <w:rPr>
                <w:rFonts w:ascii="Verdana" w:hAnsi="Verdana" w:cs="Open Sans"/>
                <w:color w:val="000000" w:themeColor="text1"/>
              </w:rPr>
              <w:t xml:space="preserve">la </w:t>
            </w:r>
            <w:r w:rsidRPr="00B7257A">
              <w:rPr>
                <w:rFonts w:ascii="Verdana" w:hAnsi="Verdana" w:cs="Open Sans"/>
                <w:color w:val="000000" w:themeColor="text1"/>
              </w:rPr>
              <w:t>destinación de los recursos para los departamentos</w:t>
            </w:r>
            <w:r>
              <w:rPr>
                <w:rFonts w:ascii="Verdana" w:hAnsi="Verdana" w:cs="Open Sans"/>
                <w:color w:val="000000" w:themeColor="text1"/>
              </w:rPr>
              <w:t xml:space="preserve"> </w:t>
            </w:r>
            <w:r w:rsidRPr="00B7257A">
              <w:rPr>
                <w:rFonts w:ascii="Verdana" w:hAnsi="Verdana" w:cs="Open Sans"/>
                <w:color w:val="000000" w:themeColor="text1"/>
              </w:rPr>
              <w:t>-art</w:t>
            </w:r>
            <w:r>
              <w:rPr>
                <w:rFonts w:ascii="Verdana" w:hAnsi="Verdana" w:cs="Open Sans"/>
                <w:color w:val="000000" w:themeColor="text1"/>
              </w:rPr>
              <w:t>ículo</w:t>
            </w:r>
            <w:r w:rsidRPr="00B7257A">
              <w:rPr>
                <w:rFonts w:ascii="Verdana" w:hAnsi="Verdana" w:cs="Open Sans"/>
                <w:color w:val="000000" w:themeColor="text1"/>
              </w:rPr>
              <w:t xml:space="preserve"> 10-; </w:t>
            </w:r>
            <w:r>
              <w:rPr>
                <w:rFonts w:ascii="Verdana" w:hAnsi="Verdana" w:cs="Open Sans"/>
                <w:color w:val="000000" w:themeColor="text1"/>
              </w:rPr>
              <w:t xml:space="preserve">la </w:t>
            </w:r>
            <w:r w:rsidRPr="00B7257A">
              <w:rPr>
                <w:rFonts w:ascii="Verdana" w:hAnsi="Verdana" w:cs="Open Sans"/>
                <w:color w:val="000000" w:themeColor="text1"/>
              </w:rPr>
              <w:t xml:space="preserve">destinación de los recursos de la participación de agua potable y saneamiento básico en los distritos y municipios </w:t>
            </w:r>
            <w:r>
              <w:rPr>
                <w:rFonts w:ascii="Verdana" w:hAnsi="Verdana" w:cs="Open Sans"/>
                <w:color w:val="000000" w:themeColor="text1"/>
              </w:rPr>
              <w:t>-</w:t>
            </w:r>
            <w:r w:rsidRPr="00B7257A">
              <w:rPr>
                <w:rFonts w:ascii="Verdana" w:hAnsi="Verdana" w:cs="Open Sans"/>
                <w:color w:val="000000" w:themeColor="text1"/>
              </w:rPr>
              <w:t xml:space="preserve">artículo 11-; </w:t>
            </w:r>
            <w:r>
              <w:rPr>
                <w:rFonts w:ascii="Verdana" w:hAnsi="Verdana" w:cs="Open Sans"/>
                <w:color w:val="000000" w:themeColor="text1"/>
              </w:rPr>
              <w:t xml:space="preserve">la </w:t>
            </w:r>
            <w:r w:rsidRPr="00B7257A">
              <w:rPr>
                <w:rFonts w:ascii="Verdana" w:hAnsi="Verdana" w:cs="Open Sans"/>
                <w:color w:val="000000" w:themeColor="text1"/>
              </w:rPr>
              <w:t xml:space="preserve">constitución de patrimonios autónomos </w:t>
            </w:r>
            <w:r>
              <w:rPr>
                <w:rFonts w:ascii="Verdana" w:hAnsi="Verdana" w:cs="Open Sans"/>
                <w:color w:val="000000" w:themeColor="text1"/>
              </w:rPr>
              <w:t>-</w:t>
            </w:r>
            <w:r w:rsidRPr="00B7257A">
              <w:rPr>
                <w:rFonts w:ascii="Verdana" w:hAnsi="Verdana" w:cs="Open Sans"/>
                <w:color w:val="000000" w:themeColor="text1"/>
              </w:rPr>
              <w:t xml:space="preserve">artículo 12-; </w:t>
            </w:r>
            <w:r>
              <w:rPr>
                <w:rFonts w:ascii="Verdana" w:hAnsi="Verdana" w:cs="Open Sans"/>
                <w:color w:val="000000" w:themeColor="text1"/>
              </w:rPr>
              <w:t xml:space="preserve">y el </w:t>
            </w:r>
            <w:r w:rsidRPr="00B7257A">
              <w:rPr>
                <w:rFonts w:ascii="Verdana" w:hAnsi="Verdana" w:cs="Open Sans"/>
                <w:color w:val="000000" w:themeColor="text1"/>
              </w:rPr>
              <w:t xml:space="preserve">giro de los recursos de la participación para agua potable y saneamiento básico </w:t>
            </w:r>
            <w:r>
              <w:rPr>
                <w:rFonts w:ascii="Verdana" w:hAnsi="Verdana" w:cs="Open Sans"/>
                <w:color w:val="000000" w:themeColor="text1"/>
              </w:rPr>
              <w:t>-</w:t>
            </w:r>
            <w:r w:rsidRPr="00B7257A">
              <w:rPr>
                <w:rFonts w:ascii="Verdana" w:hAnsi="Verdana" w:cs="Open Sans"/>
                <w:color w:val="000000" w:themeColor="text1"/>
              </w:rPr>
              <w:t>artículo 13</w:t>
            </w:r>
            <w:r>
              <w:rPr>
                <w:rFonts w:ascii="Verdana" w:hAnsi="Verdana" w:cs="Open Sans"/>
                <w:color w:val="000000" w:themeColor="text1"/>
              </w:rPr>
              <w:t>-</w:t>
            </w:r>
            <w:r w:rsidRPr="00B7257A">
              <w:rPr>
                <w:rFonts w:ascii="Verdana" w:hAnsi="Verdana" w:cs="Open Sans"/>
                <w:color w:val="000000" w:themeColor="text1"/>
              </w:rPr>
              <w:t xml:space="preserve">. </w:t>
            </w:r>
          </w:p>
          <w:p w14:paraId="62B78372" w14:textId="77777777" w:rsidR="003C312E" w:rsidRDefault="003C312E" w:rsidP="00B4119A">
            <w:pPr>
              <w:spacing w:after="120" w:line="276" w:lineRule="auto"/>
              <w:ind w:firstLine="708"/>
              <w:jc w:val="both"/>
              <w:rPr>
                <w:rFonts w:ascii="Verdana" w:hAnsi="Verdana" w:cs="Arial"/>
                <w:bdr w:val="none" w:sz="0" w:space="0" w:color="auto" w:frame="1"/>
              </w:rPr>
            </w:pPr>
            <w:r w:rsidRPr="00F615E3">
              <w:rPr>
                <w:rFonts w:ascii="Verdana" w:hAnsi="Verdana" w:cs="Arial"/>
                <w:noProof/>
              </w:rPr>
              <w:t>A partir d</w:t>
            </w:r>
            <w:r>
              <w:rPr>
                <w:rFonts w:ascii="Verdana" w:hAnsi="Verdana" w:cs="Arial"/>
                <w:noProof/>
              </w:rPr>
              <w:t>el analisis de estas normas</w:t>
            </w:r>
            <w:r w:rsidRPr="00F615E3">
              <w:rPr>
                <w:rFonts w:ascii="Verdana" w:hAnsi="Verdana" w:cs="Arial"/>
                <w:noProof/>
              </w:rPr>
              <w:t>,</w:t>
            </w:r>
            <w:r>
              <w:rPr>
                <w:rFonts w:ascii="Verdana" w:hAnsi="Verdana" w:cs="Arial"/>
                <w:noProof/>
              </w:rPr>
              <w:t xml:space="preserve"> es posible concluir que </w:t>
            </w:r>
            <w:r w:rsidRPr="00496806">
              <w:rPr>
                <w:rFonts w:ascii="Verdana" w:hAnsi="Verdana" w:cs="Arial"/>
                <w:bdr w:val="none" w:sz="0" w:space="0" w:color="auto" w:frame="1"/>
              </w:rPr>
              <w:t xml:space="preserve">no se </w:t>
            </w:r>
            <w:r>
              <w:rPr>
                <w:rFonts w:ascii="Verdana" w:hAnsi="Verdana" w:cs="Arial"/>
                <w:bdr w:val="none" w:sz="0" w:space="0" w:color="auto" w:frame="1"/>
              </w:rPr>
              <w:t>identifica</w:t>
            </w:r>
            <w:r w:rsidRPr="00496806">
              <w:rPr>
                <w:rFonts w:ascii="Verdana" w:hAnsi="Verdana" w:cs="Arial"/>
                <w:bdr w:val="none" w:sz="0" w:space="0" w:color="auto" w:frame="1"/>
              </w:rPr>
              <w:t xml:space="preserve"> una</w:t>
            </w:r>
            <w:r>
              <w:rPr>
                <w:rFonts w:ascii="Verdana" w:hAnsi="Verdana" w:cs="Arial"/>
                <w:bdr w:val="none" w:sz="0" w:space="0" w:color="auto" w:frame="1"/>
              </w:rPr>
              <w:t xml:space="preserve"> disposición específica que establezca de manera expresa </w:t>
            </w:r>
            <w:r w:rsidRPr="00496806">
              <w:rPr>
                <w:rFonts w:ascii="Verdana" w:hAnsi="Verdana" w:cs="Arial"/>
                <w:bdr w:val="none" w:sz="0" w:space="0" w:color="auto" w:frame="1"/>
              </w:rPr>
              <w:t>una sujeción a la Ley 80 de 1993 en relación con contratos para la ejecución de proyectos de agua potable y saneamiento básico</w:t>
            </w:r>
            <w:r>
              <w:rPr>
                <w:rFonts w:ascii="Verdana" w:hAnsi="Verdana" w:cs="Arial"/>
                <w:bdr w:val="none" w:sz="0" w:space="0" w:color="auto" w:frame="1"/>
              </w:rPr>
              <w:t xml:space="preserve"> financiados con recursos del Sistema General de Participaciones. </w:t>
            </w:r>
            <w:r w:rsidRPr="009361D6">
              <w:rPr>
                <w:rFonts w:ascii="Verdana" w:hAnsi="Verdana" w:cs="Arial"/>
                <w:bdr w:val="none" w:sz="0" w:space="0" w:color="auto" w:frame="1"/>
              </w:rPr>
              <w:t>En efecto, dentro de la Ley 715 de 2001 las únicas referencias expresas al régimen previsto en la Ley 80 de 1993 se encuentran</w:t>
            </w:r>
            <w:r>
              <w:rPr>
                <w:rFonts w:ascii="Verdana" w:hAnsi="Verdana" w:cs="Arial"/>
                <w:bdr w:val="none" w:sz="0" w:space="0" w:color="auto" w:frame="1"/>
              </w:rPr>
              <w:t xml:space="preserve"> </w:t>
            </w:r>
            <w:r w:rsidRPr="009361D6">
              <w:rPr>
                <w:rFonts w:ascii="Verdana" w:hAnsi="Verdana" w:cs="Arial"/>
                <w:bdr w:val="none" w:sz="0" w:space="0" w:color="auto" w:frame="1"/>
              </w:rPr>
              <w:t>en el artículo 13, relativo al procedimiento de contratación de los Fondos de Servicios Educativos, y en el artículo 112 en lo concerniente a los topes o límites de contratación</w:t>
            </w:r>
            <w:r>
              <w:rPr>
                <w:rFonts w:ascii="Verdana" w:hAnsi="Verdana" w:cs="Arial"/>
                <w:bdr w:val="none" w:sz="0" w:space="0" w:color="auto" w:frame="1"/>
              </w:rPr>
              <w:t xml:space="preserve">. </w:t>
            </w:r>
          </w:p>
          <w:p w14:paraId="353A9A09" w14:textId="77777777" w:rsidR="003C312E" w:rsidRDefault="003C312E" w:rsidP="00B4119A">
            <w:pPr>
              <w:spacing w:after="120" w:line="276" w:lineRule="auto"/>
              <w:ind w:firstLine="708"/>
              <w:jc w:val="both"/>
              <w:rPr>
                <w:rFonts w:ascii="Verdana" w:hAnsi="Verdana" w:cs="Arial"/>
                <w:bdr w:val="none" w:sz="0" w:space="0" w:color="auto" w:frame="1"/>
              </w:rPr>
            </w:pPr>
            <w:r>
              <w:rPr>
                <w:rFonts w:ascii="Verdana" w:hAnsi="Verdana" w:cs="Arial"/>
                <w:bdr w:val="none" w:sz="0" w:space="0" w:color="auto" w:frame="1"/>
              </w:rPr>
              <w:lastRenderedPageBreak/>
              <w:t xml:space="preserve"> </w:t>
            </w:r>
            <w:r w:rsidRPr="00262860">
              <w:rPr>
                <w:rFonts w:ascii="Verdana" w:hAnsi="Verdana" w:cs="Arial"/>
                <w:bdr w:val="none" w:sz="0" w:space="0" w:color="auto" w:frame="1"/>
              </w:rPr>
              <w:t xml:space="preserve">Por fuera de estas remisiones puntuales, la Ley 715 de 2001 no consagra una regla general que imponga la aplicación del </w:t>
            </w:r>
            <w:r>
              <w:rPr>
                <w:rFonts w:ascii="Verdana" w:hAnsi="Verdana" w:cs="Arial"/>
                <w:bdr w:val="none" w:sz="0" w:space="0" w:color="auto" w:frame="1"/>
              </w:rPr>
              <w:t>EGCAP</w:t>
            </w:r>
            <w:r w:rsidRPr="00262860">
              <w:rPr>
                <w:rFonts w:ascii="Verdana" w:hAnsi="Verdana" w:cs="Arial"/>
                <w:bdr w:val="none" w:sz="0" w:space="0" w:color="auto" w:frame="1"/>
              </w:rPr>
              <w:t xml:space="preserve"> para la ejecución de los recursos del Sistema General de Participaciones en materia de agua potable y saneamiento básico</w:t>
            </w:r>
            <w:r>
              <w:rPr>
                <w:rFonts w:ascii="Verdana" w:hAnsi="Verdana" w:cs="Arial"/>
                <w:bdr w:val="none" w:sz="0" w:space="0" w:color="auto" w:frame="1"/>
              </w:rPr>
              <w:t xml:space="preserve">. </w:t>
            </w:r>
            <w:r w:rsidRPr="003B1835">
              <w:rPr>
                <w:rFonts w:ascii="Verdana" w:hAnsi="Verdana" w:cs="Arial"/>
                <w:i/>
                <w:iCs/>
                <w:bdr w:val="none" w:sz="0" w:space="0" w:color="auto" w:frame="1"/>
              </w:rPr>
              <w:t>Por tanto, salvo mandato legal en contrario, las normas aplicables a los contratos financiado con estos recursos dependerán del régimen contractual al cual esté sujeto la entidad ejecutora</w:t>
            </w:r>
            <w:r>
              <w:rPr>
                <w:rFonts w:ascii="Verdana" w:hAnsi="Verdana" w:cs="Arial"/>
                <w:bdr w:val="none" w:sz="0" w:space="0" w:color="auto" w:frame="1"/>
              </w:rPr>
              <w:t xml:space="preserve">. </w:t>
            </w:r>
            <w:r w:rsidRPr="00496806">
              <w:rPr>
                <w:rFonts w:ascii="Verdana" w:hAnsi="Verdana" w:cs="Arial"/>
                <w:bdr w:val="none" w:sz="0" w:space="0" w:color="auto" w:frame="1"/>
              </w:rPr>
              <w:t xml:space="preserve"> </w:t>
            </w:r>
          </w:p>
          <w:p w14:paraId="24341B25" w14:textId="77777777" w:rsidR="003C312E" w:rsidRDefault="003C312E" w:rsidP="00B4119A">
            <w:pPr>
              <w:spacing w:after="120" w:line="276" w:lineRule="auto"/>
              <w:ind w:firstLine="708"/>
              <w:jc w:val="both"/>
              <w:rPr>
                <w:rFonts w:ascii="Verdana" w:hAnsi="Verdana" w:cs="Arial"/>
                <w:bdr w:val="none" w:sz="0" w:space="0" w:color="auto" w:frame="1"/>
              </w:rPr>
            </w:pPr>
            <w:r w:rsidRPr="00496806">
              <w:rPr>
                <w:rFonts w:ascii="Verdana" w:hAnsi="Verdana" w:cs="Arial"/>
                <w:bdr w:val="none" w:sz="0" w:space="0" w:color="auto" w:frame="1"/>
              </w:rPr>
              <w:t xml:space="preserve">Así las cosas, la entidad deberá analizar e identificar, en la etapa de planeación, las normas presupuestales que apliquen a los proyectos que se ejecutarán. De este modo, en el evento en que la entidad ejecutora esté sujeta al Estatuto General de Contratación </w:t>
            </w:r>
            <w:r>
              <w:rPr>
                <w:rFonts w:ascii="Verdana" w:hAnsi="Verdana" w:cs="Arial"/>
                <w:bdr w:val="none" w:sz="0" w:space="0" w:color="auto" w:frame="1"/>
              </w:rPr>
              <w:t xml:space="preserve">de la Administración </w:t>
            </w:r>
            <w:r w:rsidRPr="00496806">
              <w:rPr>
                <w:rFonts w:ascii="Verdana" w:hAnsi="Verdana" w:cs="Arial"/>
                <w:bdr w:val="none" w:sz="0" w:space="0" w:color="auto" w:frame="1"/>
              </w:rPr>
              <w:t xml:space="preserve">Pública, la celebración y ejecución de los contratos deberá realizarse conforme a este régimen. </w:t>
            </w:r>
          </w:p>
          <w:p w14:paraId="7E02260A" w14:textId="77777777" w:rsidR="003C312E" w:rsidRDefault="003C312E" w:rsidP="00B4119A">
            <w:pPr>
              <w:spacing w:after="120" w:line="276" w:lineRule="auto"/>
              <w:ind w:firstLine="708"/>
              <w:jc w:val="both"/>
              <w:rPr>
                <w:rFonts w:ascii="Verdana" w:hAnsi="Verdana" w:cs="Arial"/>
                <w:bdr w:val="none" w:sz="0" w:space="0" w:color="auto" w:frame="1"/>
              </w:rPr>
            </w:pPr>
            <w:r>
              <w:rPr>
                <w:rFonts w:ascii="Verdana" w:hAnsi="Verdana" w:cs="Arial"/>
                <w:color w:val="000000"/>
                <w:bdr w:val="none" w:sz="0" w:space="0" w:color="auto" w:frame="1"/>
                <w:lang w:val="es-MX"/>
              </w:rPr>
              <w:t>Particularmente, l</w:t>
            </w:r>
            <w:r w:rsidRPr="00F615E3">
              <w:rPr>
                <w:rFonts w:ascii="Verdana" w:hAnsi="Verdana"/>
              </w:rPr>
              <w:t xml:space="preserve">a regla general para los casos de una empresa prestadora de servicios públicos domiciliarios es lo enunciado en el artículo 32 de la Ley 142 de 1994, que consagra </w:t>
            </w:r>
            <w:r>
              <w:rPr>
                <w:rFonts w:ascii="Verdana" w:hAnsi="Verdana"/>
              </w:rPr>
              <w:t>el régimen de derecho privado para los actos de las empresas de servicios públicos</w:t>
            </w:r>
            <w:r w:rsidRPr="00F615E3">
              <w:rPr>
                <w:rFonts w:ascii="Verdana" w:hAnsi="Verdana"/>
              </w:rPr>
              <w:t xml:space="preserve">. </w:t>
            </w:r>
            <w:r>
              <w:rPr>
                <w:rFonts w:ascii="Verdana" w:hAnsi="Verdana"/>
              </w:rPr>
              <w:t xml:space="preserve">En tal sentido, </w:t>
            </w:r>
            <w:r w:rsidRPr="00496806">
              <w:rPr>
                <w:rFonts w:ascii="Verdana" w:hAnsi="Verdana" w:cs="Arial"/>
                <w:bdr w:val="none" w:sz="0" w:space="0" w:color="auto" w:frame="1"/>
              </w:rPr>
              <w:t>las normas aplicables a</w:t>
            </w:r>
            <w:r>
              <w:rPr>
                <w:rFonts w:ascii="Verdana" w:hAnsi="Verdana" w:cs="Arial"/>
                <w:bdr w:val="none" w:sz="0" w:space="0" w:color="auto" w:frame="1"/>
              </w:rPr>
              <w:t xml:space="preserve"> </w:t>
            </w:r>
            <w:r w:rsidRPr="00496806">
              <w:rPr>
                <w:rFonts w:ascii="Verdana" w:hAnsi="Verdana" w:cs="Arial"/>
                <w:bdr w:val="none" w:sz="0" w:space="0" w:color="auto" w:frame="1"/>
              </w:rPr>
              <w:t>l</w:t>
            </w:r>
            <w:r>
              <w:rPr>
                <w:rFonts w:ascii="Verdana" w:hAnsi="Verdana" w:cs="Arial"/>
                <w:bdr w:val="none" w:sz="0" w:space="0" w:color="auto" w:frame="1"/>
              </w:rPr>
              <w:t>os</w:t>
            </w:r>
            <w:r w:rsidRPr="00496806">
              <w:rPr>
                <w:rFonts w:ascii="Verdana" w:hAnsi="Verdana" w:cs="Arial"/>
                <w:bdr w:val="none" w:sz="0" w:space="0" w:color="auto" w:frame="1"/>
              </w:rPr>
              <w:t xml:space="preserve"> contrato</w:t>
            </w:r>
            <w:r>
              <w:rPr>
                <w:rFonts w:ascii="Verdana" w:hAnsi="Verdana" w:cs="Arial"/>
                <w:bdr w:val="none" w:sz="0" w:space="0" w:color="auto" w:frame="1"/>
              </w:rPr>
              <w:t>s</w:t>
            </w:r>
            <w:r w:rsidRPr="00496806">
              <w:rPr>
                <w:rFonts w:ascii="Verdana" w:hAnsi="Verdana" w:cs="Arial"/>
                <w:bdr w:val="none" w:sz="0" w:space="0" w:color="auto" w:frame="1"/>
              </w:rPr>
              <w:t xml:space="preserve"> </w:t>
            </w:r>
            <w:r>
              <w:rPr>
                <w:rFonts w:ascii="Verdana" w:hAnsi="Verdana" w:cs="Arial"/>
                <w:bdr w:val="none" w:sz="0" w:space="0" w:color="auto" w:frame="1"/>
              </w:rPr>
              <w:t>financiado</w:t>
            </w:r>
            <w:r w:rsidRPr="00496806">
              <w:rPr>
                <w:rFonts w:ascii="Verdana" w:hAnsi="Verdana" w:cs="Arial"/>
                <w:bdr w:val="none" w:sz="0" w:space="0" w:color="auto" w:frame="1"/>
              </w:rPr>
              <w:t xml:space="preserve"> con recursos del Sistema General de Participaciones dependerán del régimen contractual al cual esté sujeto </w:t>
            </w:r>
            <w:r>
              <w:rPr>
                <w:rFonts w:ascii="Verdana" w:hAnsi="Verdana" w:cs="Arial"/>
                <w:bdr w:val="none" w:sz="0" w:space="0" w:color="auto" w:frame="1"/>
              </w:rPr>
              <w:t xml:space="preserve">esta empresa de servicios públicos. </w:t>
            </w:r>
          </w:p>
          <w:p w14:paraId="337A5867" w14:textId="77777777" w:rsidR="003C312E" w:rsidRPr="00036A04" w:rsidRDefault="003C312E" w:rsidP="00B4119A">
            <w:pPr>
              <w:spacing w:after="120" w:line="276" w:lineRule="auto"/>
              <w:ind w:firstLine="708"/>
              <w:jc w:val="both"/>
              <w:rPr>
                <w:rFonts w:ascii="Verdana" w:eastAsia="Times New Roman" w:hAnsi="Verdana" w:cs="Arial"/>
                <w:bCs/>
                <w:lang w:val="es-ES" w:eastAsia="es-CO"/>
              </w:rPr>
            </w:pPr>
            <w:r w:rsidRPr="00B846B6">
              <w:rPr>
                <w:rFonts w:ascii="Verdana" w:hAnsi="Verdana" w:cs="Arial"/>
                <w:color w:val="000000"/>
                <w:bdr w:val="none" w:sz="0" w:space="0" w:color="auto" w:frame="1"/>
                <w:lang w:val="es-MX"/>
              </w:rPr>
              <w:t xml:space="preserve">Así, desde una interpretación sistemática y bajo el principio de legalidad, en ausencia de remisión expresa al régimen de la Ley 80 de 1993, debe concluirse que los contratos que se celebren para la ejecución de estos proyectos </w:t>
            </w:r>
            <w:r w:rsidRPr="00FB165F">
              <w:rPr>
                <w:rFonts w:ascii="Verdana" w:hAnsi="Verdana" w:cs="Arial"/>
                <w:i/>
                <w:iCs/>
                <w:color w:val="000000"/>
                <w:bdr w:val="none" w:sz="0" w:space="0" w:color="auto" w:frame="1"/>
                <w:lang w:val="es-MX"/>
              </w:rPr>
              <w:t>se sujetarán al régimen contractual propio de la entidad ejecutora</w:t>
            </w:r>
            <w:r w:rsidRPr="00B846B6">
              <w:rPr>
                <w:rFonts w:ascii="Verdana" w:hAnsi="Verdana" w:cs="Arial"/>
                <w:color w:val="000000"/>
                <w:bdr w:val="none" w:sz="0" w:space="0" w:color="auto" w:frame="1"/>
                <w:lang w:val="es-MX"/>
              </w:rPr>
              <w:t>, de acuerdo con su naturaleza jurídica y el marco normativo que le resulte aplicable.</w:t>
            </w:r>
            <w:r>
              <w:rPr>
                <w:rFonts w:ascii="Verdana" w:hAnsi="Verdana" w:cs="Arial"/>
                <w:color w:val="000000"/>
                <w:bdr w:val="none" w:sz="0" w:space="0" w:color="auto" w:frame="1"/>
                <w:lang w:val="es-MX"/>
              </w:rPr>
              <w:t xml:space="preserve"> </w:t>
            </w:r>
            <w:r w:rsidRPr="00B846B6">
              <w:rPr>
                <w:rFonts w:ascii="Verdana" w:hAnsi="Verdana" w:cs="Arial"/>
                <w:color w:val="000000"/>
                <w:bdr w:val="none" w:sz="0" w:space="0" w:color="auto" w:frame="1"/>
                <w:lang w:val="es-MX"/>
              </w:rPr>
              <w:t xml:space="preserve">Lo anterior, sin perjuicio de que, en todo caso, el manejo de recursos públicos impone la observancia de los principios </w:t>
            </w:r>
            <w:r>
              <w:rPr>
                <w:rFonts w:ascii="Verdana" w:hAnsi="Verdana" w:cs="Arial"/>
                <w:color w:val="000000"/>
                <w:bdr w:val="none" w:sz="0" w:space="0" w:color="auto" w:frame="1"/>
                <w:lang w:val="es-MX"/>
              </w:rPr>
              <w:t>de la función administrativa y la gestión fiscal.</w:t>
            </w:r>
          </w:p>
        </w:tc>
      </w:tr>
    </w:tbl>
    <w:p w14:paraId="09C4FA7C" w14:textId="77777777" w:rsidR="003C312E" w:rsidRPr="00FC6F34" w:rsidRDefault="003C312E" w:rsidP="003C312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4CA1D85" w14:textId="77777777" w:rsidR="003C312E" w:rsidRPr="00FC6F34" w:rsidRDefault="003C312E" w:rsidP="003C312E">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38DB532E" w14:textId="77777777" w:rsidR="003C312E" w:rsidRPr="00FC6F34" w:rsidRDefault="003C312E" w:rsidP="003C312E">
      <w:pPr>
        <w:spacing w:after="0" w:line="276" w:lineRule="auto"/>
        <w:jc w:val="both"/>
        <w:rPr>
          <w:rFonts w:ascii="Verdana" w:eastAsia="Calibri" w:hAnsi="Verdana" w:cs="Arial"/>
          <w:color w:val="000000" w:themeColor="text1"/>
          <w:lang w:val="es-ES"/>
        </w:rPr>
      </w:pPr>
    </w:p>
    <w:p w14:paraId="5112D9B6" w14:textId="77777777" w:rsidR="003C312E" w:rsidRPr="00DA4105" w:rsidRDefault="003C312E" w:rsidP="003C312E">
      <w:pPr>
        <w:spacing w:after="120" w:line="276" w:lineRule="auto"/>
        <w:jc w:val="both"/>
        <w:rPr>
          <w:rFonts w:ascii="Verdana" w:eastAsia="Times New Roman" w:hAnsi="Verdana" w:cs="Arial"/>
          <w:bCs/>
          <w:lang w:eastAsia="x-none"/>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DA4105">
        <w:rPr>
          <w:rFonts w:ascii="Verdana" w:eastAsia="Times New Roman" w:hAnsi="Verdana" w:cs="Arial"/>
          <w:bCs/>
          <w:lang w:eastAsia="x-none"/>
        </w:rPr>
        <w:t xml:space="preserve">El artículo 14 de la Ley 142 de 1994 contiene las definiciones para la correcta aplicación e interpretación del régimen de servicios públicos domiciliarios. Esta norma define las Empresas de Servicios Públicos Oficial, la mixta y la privada, en los siguientes términos: </w:t>
      </w:r>
    </w:p>
    <w:p w14:paraId="5B36F854" w14:textId="77777777" w:rsidR="003C312E" w:rsidRPr="007D37E5" w:rsidRDefault="003C312E" w:rsidP="003C312E">
      <w:pPr>
        <w:widowControl w:val="0"/>
        <w:tabs>
          <w:tab w:val="left" w:pos="709"/>
        </w:tabs>
        <w:spacing w:after="0" w:line="240" w:lineRule="auto"/>
        <w:ind w:left="709" w:right="709"/>
        <w:jc w:val="both"/>
        <w:rPr>
          <w:rFonts w:ascii="Verdana" w:eastAsia="Arial" w:hAnsi="Verdana" w:cs="Arial"/>
          <w:sz w:val="20"/>
          <w:szCs w:val="20"/>
          <w:lang w:eastAsia="es-CO"/>
        </w:rPr>
      </w:pPr>
      <w:r>
        <w:rPr>
          <w:rFonts w:ascii="Verdana" w:eastAsia="Arial" w:hAnsi="Verdana" w:cs="Arial"/>
          <w:sz w:val="20"/>
          <w:szCs w:val="20"/>
          <w:lang w:eastAsia="es-CO"/>
        </w:rPr>
        <w:lastRenderedPageBreak/>
        <w:t>“</w:t>
      </w:r>
      <w:r w:rsidRPr="007D37E5">
        <w:rPr>
          <w:rFonts w:ascii="Verdana" w:eastAsia="Arial" w:hAnsi="Verdana" w:cs="Arial"/>
          <w:sz w:val="20"/>
          <w:szCs w:val="20"/>
          <w:lang w:eastAsia="es-CO"/>
        </w:rPr>
        <w:t>14.5.</w:t>
      </w:r>
      <w:r w:rsidRPr="007D37E5">
        <w:rPr>
          <w:rFonts w:ascii="Verdana" w:eastAsia="Arial" w:hAnsi="Verdana" w:cs="Arial"/>
          <w:sz w:val="20"/>
          <w:szCs w:val="20"/>
          <w:lang w:eastAsia="es-CO"/>
        </w:rPr>
        <w:tab/>
        <w:t>Empresa de servicios públicos oficial. Es aquella en cuyo capital la Nación, las entidades territoriales, o las entidades descentralizadas de aquella o estas tienen el 100% de los aportes.</w:t>
      </w:r>
    </w:p>
    <w:p w14:paraId="66E186DB" w14:textId="77777777" w:rsidR="003C312E" w:rsidRPr="007D37E5" w:rsidRDefault="003C312E" w:rsidP="003C312E">
      <w:pPr>
        <w:widowControl w:val="0"/>
        <w:tabs>
          <w:tab w:val="left" w:pos="709"/>
        </w:tabs>
        <w:spacing w:after="0" w:line="240" w:lineRule="auto"/>
        <w:ind w:left="709" w:right="709"/>
        <w:jc w:val="both"/>
        <w:rPr>
          <w:rFonts w:ascii="Verdana" w:eastAsia="Arial" w:hAnsi="Verdana" w:cs="Arial"/>
          <w:sz w:val="20"/>
          <w:szCs w:val="20"/>
          <w:lang w:eastAsia="es-CO"/>
        </w:rPr>
      </w:pPr>
    </w:p>
    <w:p w14:paraId="74FF5F50" w14:textId="77777777" w:rsidR="003C312E" w:rsidRPr="007D37E5" w:rsidRDefault="003C312E" w:rsidP="003C312E">
      <w:pPr>
        <w:widowControl w:val="0"/>
        <w:tabs>
          <w:tab w:val="left" w:pos="709"/>
        </w:tabs>
        <w:spacing w:after="0" w:line="240" w:lineRule="auto"/>
        <w:ind w:left="709" w:right="709"/>
        <w:jc w:val="both"/>
        <w:rPr>
          <w:rFonts w:ascii="Verdana" w:eastAsia="Arial" w:hAnsi="Verdana" w:cs="Arial"/>
          <w:sz w:val="20"/>
          <w:szCs w:val="20"/>
          <w:lang w:eastAsia="es-CO"/>
        </w:rPr>
      </w:pPr>
      <w:r w:rsidRPr="007D37E5">
        <w:rPr>
          <w:rFonts w:ascii="Verdana" w:eastAsia="Arial" w:hAnsi="Verdana" w:cs="Arial"/>
          <w:sz w:val="20"/>
          <w:szCs w:val="20"/>
          <w:lang w:eastAsia="es-CO"/>
        </w:rPr>
        <w:t>14.6.</w:t>
      </w:r>
      <w:r w:rsidRPr="007D37E5">
        <w:rPr>
          <w:rFonts w:ascii="Verdana" w:eastAsia="Arial" w:hAnsi="Verdana" w:cs="Arial"/>
          <w:sz w:val="20"/>
          <w:szCs w:val="20"/>
          <w:lang w:eastAsia="es-CO"/>
        </w:rPr>
        <w:tab/>
        <w:t>Empresa de servicios públicos mixta. Es aquella en cuyo capital la Nación, las entidades territoriales, o las entidades descentralizadas de aquella o éstas tienen aportes iguales o superiores al 50%.</w:t>
      </w:r>
    </w:p>
    <w:p w14:paraId="03F88584" w14:textId="77777777" w:rsidR="003C312E" w:rsidRPr="007D37E5" w:rsidRDefault="003C312E" w:rsidP="003C312E">
      <w:pPr>
        <w:widowControl w:val="0"/>
        <w:tabs>
          <w:tab w:val="left" w:pos="709"/>
        </w:tabs>
        <w:spacing w:after="0" w:line="240" w:lineRule="auto"/>
        <w:ind w:left="709" w:right="709"/>
        <w:jc w:val="both"/>
        <w:rPr>
          <w:rFonts w:ascii="Verdana" w:eastAsia="Arial" w:hAnsi="Verdana" w:cs="Arial"/>
          <w:sz w:val="20"/>
          <w:szCs w:val="20"/>
          <w:lang w:eastAsia="es-CO"/>
        </w:rPr>
      </w:pPr>
    </w:p>
    <w:p w14:paraId="7026B965" w14:textId="77777777" w:rsidR="003C312E" w:rsidRDefault="003C312E" w:rsidP="003C312E">
      <w:pPr>
        <w:widowControl w:val="0"/>
        <w:tabs>
          <w:tab w:val="left" w:pos="709"/>
        </w:tabs>
        <w:spacing w:after="0" w:line="240" w:lineRule="auto"/>
        <w:ind w:left="709" w:right="709"/>
        <w:jc w:val="both"/>
        <w:rPr>
          <w:rFonts w:ascii="Verdana" w:eastAsia="Arial" w:hAnsi="Verdana" w:cs="Arial"/>
          <w:sz w:val="20"/>
          <w:szCs w:val="20"/>
          <w:lang w:eastAsia="es-CO"/>
        </w:rPr>
      </w:pPr>
      <w:r w:rsidRPr="007D37E5">
        <w:rPr>
          <w:rFonts w:ascii="Verdana" w:eastAsia="Arial" w:hAnsi="Verdana" w:cs="Arial"/>
          <w:sz w:val="20"/>
          <w:szCs w:val="20"/>
          <w:lang w:eastAsia="es-CO"/>
        </w:rPr>
        <w:t>14.7.</w:t>
      </w:r>
      <w:r w:rsidRPr="007D37E5">
        <w:rPr>
          <w:rFonts w:ascii="Verdana" w:eastAsia="Arial" w:hAnsi="Verdana" w:cs="Arial"/>
          <w:sz w:val="20"/>
          <w:szCs w:val="20"/>
          <w:lang w:eastAsia="es-CO"/>
        </w:rPr>
        <w:tab/>
        <w:t>Empresa de servicios públicos privada. Es aquella cuyo capital pertenece mayoritariamente a particulares, o a entidades surgidas de convenios internacionales que deseen someterse íntegramente para estos efectos a las reglas a las que se someten los particulares.”</w:t>
      </w:r>
    </w:p>
    <w:p w14:paraId="18A34A7C" w14:textId="77777777" w:rsidR="003C312E" w:rsidRPr="004B0EA0" w:rsidRDefault="003C312E" w:rsidP="003C312E">
      <w:pPr>
        <w:widowControl w:val="0"/>
        <w:tabs>
          <w:tab w:val="left" w:pos="709"/>
        </w:tabs>
        <w:spacing w:after="0" w:line="240" w:lineRule="auto"/>
        <w:ind w:left="709" w:right="709"/>
        <w:jc w:val="both"/>
        <w:rPr>
          <w:rFonts w:ascii="Verdana" w:eastAsia="Arial" w:hAnsi="Verdana" w:cs="Arial"/>
          <w:sz w:val="20"/>
          <w:szCs w:val="20"/>
          <w:lang w:eastAsia="es-CO"/>
        </w:rPr>
      </w:pPr>
    </w:p>
    <w:p w14:paraId="4B6D3503" w14:textId="77777777" w:rsidR="003C312E" w:rsidRDefault="003C312E" w:rsidP="003C312E">
      <w:pPr>
        <w:widowControl w:val="0"/>
        <w:spacing w:after="120" w:line="276" w:lineRule="auto"/>
        <w:ind w:firstLine="708"/>
        <w:jc w:val="both"/>
        <w:rPr>
          <w:rFonts w:ascii="Verdana" w:eastAsia="Arial" w:hAnsi="Verdana" w:cs="Arial"/>
          <w:lang w:eastAsia="es-CO"/>
        </w:rPr>
      </w:pPr>
      <w:r w:rsidRPr="004C01E1">
        <w:rPr>
          <w:rFonts w:ascii="Verdana" w:eastAsia="Arial" w:hAnsi="Verdana" w:cs="Arial"/>
          <w:lang w:eastAsia="es-CO"/>
        </w:rPr>
        <w:t xml:space="preserve">A su turno, el artículo 17 de la ley citada señala que “las empresas de servicios públicos son sociedades por acciones cuyo objeto es la prestación de los servicios públicos de que trata esta ley”. Lo cual significa que, en el evento de constituirse un prestador de estos servicios bajo la modalidad del numeral 1 del artículo 15 de la norma señalada, esta deberá conformarse bajo la forma societaria de una sociedad por acciones, respecto de las cuales en la actualidad existen tres tipos: i) sociedad anónima, </w:t>
      </w:r>
      <w:proofErr w:type="spellStart"/>
      <w:r w:rsidRPr="004C01E1">
        <w:rPr>
          <w:rFonts w:ascii="Verdana" w:eastAsia="Arial" w:hAnsi="Verdana" w:cs="Arial"/>
          <w:lang w:eastAsia="es-CO"/>
        </w:rPr>
        <w:t>ii</w:t>
      </w:r>
      <w:proofErr w:type="spellEnd"/>
      <w:r w:rsidRPr="004C01E1">
        <w:rPr>
          <w:rFonts w:ascii="Verdana" w:eastAsia="Arial" w:hAnsi="Verdana" w:cs="Arial"/>
          <w:lang w:eastAsia="es-CO"/>
        </w:rPr>
        <w:t xml:space="preserve">) sociedad en comandita por acciones, o </w:t>
      </w:r>
      <w:proofErr w:type="spellStart"/>
      <w:r w:rsidRPr="004C01E1">
        <w:rPr>
          <w:rFonts w:ascii="Verdana" w:eastAsia="Arial" w:hAnsi="Verdana" w:cs="Arial"/>
          <w:lang w:eastAsia="es-CO"/>
        </w:rPr>
        <w:t>iii</w:t>
      </w:r>
      <w:proofErr w:type="spellEnd"/>
      <w:r w:rsidRPr="004C01E1">
        <w:rPr>
          <w:rFonts w:ascii="Verdana" w:eastAsia="Arial" w:hAnsi="Verdana" w:cs="Arial"/>
          <w:lang w:eastAsia="es-CO"/>
        </w:rPr>
        <w:t xml:space="preserve">) </w:t>
      </w:r>
      <w:r>
        <w:rPr>
          <w:rFonts w:ascii="Verdana" w:eastAsia="Arial" w:hAnsi="Verdana" w:cs="Arial"/>
          <w:lang w:eastAsia="es-CO"/>
        </w:rPr>
        <w:t>s</w:t>
      </w:r>
      <w:r w:rsidRPr="004C01E1">
        <w:rPr>
          <w:rFonts w:ascii="Verdana" w:eastAsia="Arial" w:hAnsi="Verdana" w:cs="Arial"/>
          <w:lang w:eastAsia="es-CO"/>
        </w:rPr>
        <w:t xml:space="preserve">ociedad por </w:t>
      </w:r>
      <w:r>
        <w:rPr>
          <w:rFonts w:ascii="Verdana" w:eastAsia="Arial" w:hAnsi="Verdana" w:cs="Arial"/>
          <w:lang w:eastAsia="es-CO"/>
        </w:rPr>
        <w:t>a</w:t>
      </w:r>
      <w:r w:rsidRPr="004C01E1">
        <w:rPr>
          <w:rFonts w:ascii="Verdana" w:eastAsia="Arial" w:hAnsi="Verdana" w:cs="Arial"/>
          <w:lang w:eastAsia="es-CO"/>
        </w:rPr>
        <w:t xml:space="preserve">cciones </w:t>
      </w:r>
      <w:r>
        <w:rPr>
          <w:rFonts w:ascii="Verdana" w:eastAsia="Arial" w:hAnsi="Verdana" w:cs="Arial"/>
          <w:lang w:eastAsia="es-CO"/>
        </w:rPr>
        <w:t>s</w:t>
      </w:r>
      <w:r w:rsidRPr="004C01E1">
        <w:rPr>
          <w:rFonts w:ascii="Verdana" w:eastAsia="Arial" w:hAnsi="Verdana" w:cs="Arial"/>
          <w:lang w:eastAsia="es-CO"/>
        </w:rPr>
        <w:t>implificada, ya que la legislación vigente así las tipifica</w:t>
      </w:r>
      <w:r w:rsidRPr="004C01E1">
        <w:rPr>
          <w:rFonts w:ascii="Verdana" w:eastAsia="Arial" w:hAnsi="Verdana" w:cs="Arial"/>
          <w:vertAlign w:val="superscript"/>
          <w:lang w:eastAsia="es-CO"/>
        </w:rPr>
        <w:footnoteReference w:id="2"/>
      </w:r>
      <w:r w:rsidRPr="004C01E1">
        <w:rPr>
          <w:rFonts w:ascii="Verdana" w:eastAsia="Arial" w:hAnsi="Verdana" w:cs="Arial"/>
          <w:lang w:eastAsia="es-CO"/>
        </w:rPr>
        <w:t>.</w:t>
      </w:r>
    </w:p>
    <w:p w14:paraId="3797963F" w14:textId="77777777" w:rsidR="003C312E" w:rsidRDefault="003C312E" w:rsidP="003C312E">
      <w:pPr>
        <w:spacing w:after="0" w:line="276" w:lineRule="auto"/>
        <w:ind w:firstLine="709"/>
        <w:jc w:val="both"/>
        <w:rPr>
          <w:rFonts w:ascii="Verdana" w:eastAsia="Calibri" w:hAnsi="Verdana" w:cs="Arial"/>
          <w:bCs/>
          <w:lang w:val="es-ES"/>
        </w:rPr>
      </w:pPr>
      <w:r>
        <w:rPr>
          <w:rFonts w:ascii="Verdana" w:eastAsia="Calibri" w:hAnsi="Verdana" w:cs="Arial"/>
          <w:bCs/>
          <w:lang w:val="es-ES"/>
        </w:rPr>
        <w:t>L</w:t>
      </w:r>
      <w:r w:rsidRPr="0071096A">
        <w:rPr>
          <w:rFonts w:ascii="Verdana" w:eastAsia="Calibri" w:hAnsi="Verdana" w:cs="Arial"/>
          <w:bCs/>
          <w:lang w:val="es-ES"/>
        </w:rPr>
        <w:t>as Empresas Prestadoras de</w:t>
      </w:r>
      <w:r>
        <w:rPr>
          <w:rFonts w:ascii="Verdana" w:eastAsia="Calibri" w:hAnsi="Verdana" w:cs="Arial"/>
          <w:bCs/>
          <w:lang w:val="es-ES"/>
        </w:rPr>
        <w:t xml:space="preserve"> </w:t>
      </w:r>
      <w:r w:rsidRPr="0071096A">
        <w:rPr>
          <w:rFonts w:ascii="Verdana" w:eastAsia="Calibri" w:hAnsi="Verdana" w:cs="Arial"/>
          <w:bCs/>
          <w:lang w:val="es-ES"/>
        </w:rPr>
        <w:t>Servicio</w:t>
      </w:r>
      <w:r>
        <w:rPr>
          <w:rFonts w:ascii="Verdana" w:eastAsia="Calibri" w:hAnsi="Verdana" w:cs="Arial"/>
          <w:bCs/>
          <w:lang w:val="es-ES"/>
        </w:rPr>
        <w:t>s</w:t>
      </w:r>
      <w:r w:rsidRPr="0071096A">
        <w:rPr>
          <w:rFonts w:ascii="Verdana" w:eastAsia="Calibri" w:hAnsi="Verdana" w:cs="Arial"/>
          <w:bCs/>
          <w:lang w:val="es-ES"/>
        </w:rPr>
        <w:t xml:space="preserve"> Públicos</w:t>
      </w:r>
      <w:r>
        <w:rPr>
          <w:rFonts w:ascii="Verdana" w:eastAsia="Calibri" w:hAnsi="Verdana" w:cs="Arial"/>
          <w:bCs/>
          <w:lang w:val="es-ES"/>
        </w:rPr>
        <w:t xml:space="preserve"> tienen la naturaleza jurídica de</w:t>
      </w:r>
      <w:r w:rsidRPr="0071096A">
        <w:rPr>
          <w:rFonts w:ascii="Verdana" w:eastAsia="Calibri" w:hAnsi="Verdana" w:cs="Arial"/>
          <w:bCs/>
          <w:lang w:val="es-ES"/>
        </w:rPr>
        <w:t xml:space="preserve"> empresas que pertenecen a la </w:t>
      </w:r>
      <w:r w:rsidRPr="0071096A">
        <w:rPr>
          <w:rFonts w:ascii="Verdana" w:eastAsia="Calibri" w:hAnsi="Verdana" w:cs="Arial"/>
          <w:bCs/>
          <w:i/>
          <w:iCs/>
          <w:lang w:val="es-ES"/>
        </w:rPr>
        <w:t>rama ejecutiva</w:t>
      </w:r>
      <w:r w:rsidRPr="0071096A">
        <w:rPr>
          <w:rFonts w:ascii="Verdana" w:eastAsia="Calibri" w:hAnsi="Verdana" w:cs="Arial"/>
          <w:bCs/>
          <w:lang w:val="es-ES"/>
        </w:rPr>
        <w:t xml:space="preserve"> del poder público. El literal d) del artículo 38 de la Ley 489 de 1998 señala que las Empresas Sociales del Estado y las Empresas Oficiales de Servicios Públicos Domiciliarios pertenecen a las entidades de la Rama Ejecutiva del sector descentralizado por servicios.</w:t>
      </w:r>
      <w:r w:rsidRPr="008325C6">
        <w:rPr>
          <w:rFonts w:ascii="Verdana" w:eastAsia="Calibri" w:hAnsi="Verdana" w:cs="Arial"/>
          <w:bCs/>
          <w:lang w:val="es-ES"/>
        </w:rPr>
        <w:t xml:space="preserve"> </w:t>
      </w:r>
      <w:r w:rsidRPr="0071096A">
        <w:rPr>
          <w:rFonts w:ascii="Verdana" w:eastAsia="Calibri" w:hAnsi="Verdana" w:cs="Arial"/>
          <w:bCs/>
          <w:lang w:val="es-ES"/>
        </w:rPr>
        <w:t xml:space="preserve">Además de confirmar que las Empresas de Servicios Públicos pertenecen a la rama ejecutiva, la Corte Constitucional sostuvo que tienen el carácter de </w:t>
      </w:r>
      <w:r w:rsidRPr="0071096A">
        <w:rPr>
          <w:rFonts w:ascii="Verdana" w:eastAsia="Calibri" w:hAnsi="Verdana" w:cs="Arial"/>
          <w:bCs/>
          <w:i/>
          <w:iCs/>
          <w:lang w:val="es-ES"/>
        </w:rPr>
        <w:t>entidades descentralizadas por servicios</w:t>
      </w:r>
      <w:r w:rsidRPr="0071096A">
        <w:rPr>
          <w:rFonts w:ascii="Verdana" w:eastAsia="Calibri" w:hAnsi="Verdana" w:cs="Arial"/>
          <w:bCs/>
          <w:lang w:val="es-ES"/>
        </w:rPr>
        <w:t>, en los términos del artículo 68 de la Ley 489 de 1998</w:t>
      </w:r>
      <w:r>
        <w:rPr>
          <w:rFonts w:ascii="Verdana" w:eastAsia="Calibri" w:hAnsi="Verdana" w:cs="Arial"/>
          <w:bCs/>
          <w:lang w:val="es-ES"/>
        </w:rPr>
        <w:t>:</w:t>
      </w:r>
    </w:p>
    <w:p w14:paraId="4D6BC6C7" w14:textId="77777777" w:rsidR="003C312E" w:rsidRPr="0071096A" w:rsidRDefault="003C312E" w:rsidP="003C312E">
      <w:pPr>
        <w:spacing w:after="0" w:line="276" w:lineRule="auto"/>
        <w:ind w:firstLine="709"/>
        <w:jc w:val="both"/>
        <w:rPr>
          <w:rFonts w:ascii="Verdana" w:eastAsia="Calibri" w:hAnsi="Verdana" w:cs="Arial"/>
          <w:bCs/>
          <w:lang w:val="es-ES"/>
        </w:rPr>
      </w:pPr>
    </w:p>
    <w:p w14:paraId="3AB59C9B" w14:textId="77777777" w:rsidR="003C312E" w:rsidRPr="00480A3F" w:rsidRDefault="003C312E" w:rsidP="003C312E">
      <w:pPr>
        <w:spacing w:after="0" w:line="240" w:lineRule="auto"/>
        <w:ind w:left="709" w:right="709"/>
        <w:jc w:val="both"/>
        <w:rPr>
          <w:rFonts w:ascii="Verdana" w:eastAsia="Calibri" w:hAnsi="Verdana" w:cs="Arial"/>
          <w:bCs/>
          <w:sz w:val="20"/>
          <w:szCs w:val="20"/>
          <w:lang w:val="es-ES"/>
        </w:rPr>
      </w:pPr>
      <w:r w:rsidRPr="00480A3F">
        <w:rPr>
          <w:rFonts w:ascii="Verdana" w:eastAsia="Calibri" w:hAnsi="Verdana" w:cs="Arial"/>
          <w:bCs/>
          <w:sz w:val="20"/>
          <w:szCs w:val="20"/>
          <w:lang w:val="es-ES"/>
        </w:rPr>
        <w:t xml:space="preserve">“Nótese cómo una empresa de servicios públicos privada es aquella que mayoritariamente pertenece a particulares, lo cual a contrario sensu, significa que minoritariamente pertenece al Estado o a sus entidades. Y que una empresa de servicios públicos mixta es aquella en la cual el capital </w:t>
      </w:r>
      <w:r w:rsidRPr="00480A3F">
        <w:rPr>
          <w:rFonts w:ascii="Verdana" w:eastAsia="Calibri" w:hAnsi="Verdana" w:cs="Arial"/>
          <w:bCs/>
          <w:sz w:val="20"/>
          <w:szCs w:val="20"/>
          <w:lang w:val="es-ES"/>
        </w:rPr>
        <w:lastRenderedPageBreak/>
        <w:t>público es igual o superior al cincuenta por ciento (50%), lo cual significa que minoritariamente pertenece a particulares. Así las cosas, una y otra se conforman con aporte de capital público, por lo cual su exclusión de la estructura de la Rama Ejecutiva y de categoría jurídica denominada “entidades descentralizadas” resulta constitucionalmente cuestionable, toda vez que implica, a su vez, la exclusión de las consecuencias jurídicas derivadas de tal naturaleza jurídica, dispuestas expresamente por la Constitución</w:t>
      </w:r>
      <w:r>
        <w:rPr>
          <w:rFonts w:ascii="Verdana" w:eastAsia="Calibri" w:hAnsi="Verdana" w:cs="Arial"/>
          <w:bCs/>
          <w:sz w:val="20"/>
          <w:szCs w:val="20"/>
          <w:lang w:val="es-ES"/>
        </w:rPr>
        <w:t>”</w:t>
      </w:r>
      <w:r w:rsidRPr="00480A3F">
        <w:rPr>
          <w:rFonts w:ascii="Verdana" w:eastAsia="Calibri" w:hAnsi="Verdana" w:cs="Arial"/>
          <w:bCs/>
          <w:sz w:val="20"/>
          <w:szCs w:val="20"/>
          <w:lang w:val="es-ES"/>
        </w:rPr>
        <w:t>.</w:t>
      </w:r>
    </w:p>
    <w:p w14:paraId="6445B7C1" w14:textId="77777777" w:rsidR="003C312E" w:rsidRPr="00480A3F" w:rsidRDefault="003C312E" w:rsidP="003C312E">
      <w:pPr>
        <w:spacing w:after="0" w:line="276" w:lineRule="auto"/>
        <w:ind w:left="709" w:right="709"/>
        <w:contextualSpacing/>
        <w:jc w:val="both"/>
        <w:rPr>
          <w:rFonts w:ascii="Verdana" w:eastAsia="Calibri" w:hAnsi="Verdana" w:cs="Arial"/>
          <w:bCs/>
          <w:lang w:val="es-ES"/>
        </w:rPr>
      </w:pPr>
    </w:p>
    <w:p w14:paraId="61A751F6" w14:textId="77777777" w:rsidR="003C312E" w:rsidRPr="00892F67" w:rsidRDefault="003C312E" w:rsidP="003C312E">
      <w:pPr>
        <w:spacing w:after="0" w:line="276" w:lineRule="auto"/>
        <w:ind w:firstLine="709"/>
        <w:jc w:val="both"/>
        <w:rPr>
          <w:rFonts w:ascii="Verdana" w:eastAsia="Calibri" w:hAnsi="Verdana" w:cs="Arial"/>
          <w:color w:val="000000" w:themeColor="text1"/>
          <w:lang w:val="es-ES"/>
        </w:rPr>
      </w:pPr>
      <w:r w:rsidRPr="004C01E1">
        <w:rPr>
          <w:rFonts w:ascii="Verdana" w:eastAsia="Arial" w:hAnsi="Verdana" w:cs="Arial"/>
          <w:lang w:eastAsia="es-CO"/>
        </w:rPr>
        <w:t xml:space="preserve">En relación con el régimen de contratación de las empresas de servicios públicos, </w:t>
      </w:r>
      <w:r w:rsidRPr="004C01E1">
        <w:rPr>
          <w:rFonts w:ascii="Verdana" w:eastAsia="Calibri" w:hAnsi="Verdana" w:cs="Arial"/>
          <w:color w:val="000000"/>
          <w:szCs w:val="24"/>
          <w:lang w:val="es-ES_tradnl" w:eastAsia="es-ES_tradnl"/>
        </w:rPr>
        <w:t>el artículo 31 de la Ley 142 de 1994, modificado por el artículo 3 de la Ley 689 de 2001, dispone que</w:t>
      </w:r>
      <w:r w:rsidRPr="004C01E1">
        <w:rPr>
          <w:rFonts w:ascii="Verdana" w:eastAsia="Calibri" w:hAnsi="Verdana" w:cs="Arial"/>
          <w:color w:val="000000"/>
          <w:bdr w:val="none" w:sz="0" w:space="0" w:color="auto" w:frame="1"/>
        </w:rPr>
        <w:t xml:space="preserve"> los contratos que celebren las Entidades Estatales que prestan los Servicios Públicos Domiciliarios </w:t>
      </w:r>
      <w:r w:rsidRPr="004C01E1">
        <w:rPr>
          <w:rFonts w:ascii="Verdana" w:eastAsia="Calibri" w:hAnsi="Verdana" w:cs="Arial"/>
          <w:i/>
          <w:color w:val="000000"/>
          <w:bdr w:val="none" w:sz="0" w:space="0" w:color="auto" w:frame="1"/>
        </w:rPr>
        <w:t>“no estarán sujetos a las disposiciones del Estatuto General de Contratación de la Administración Pública, salvo en lo que la presente ley disponga otra cosa”</w:t>
      </w:r>
      <w:r w:rsidRPr="004C01E1">
        <w:rPr>
          <w:rFonts w:ascii="Verdana" w:eastAsia="Calibri" w:hAnsi="Verdana" w:cs="Arial"/>
          <w:color w:val="000000"/>
          <w:szCs w:val="24"/>
          <w:lang w:val="es-ES_tradnl" w:eastAsia="es-ES_tradnl"/>
        </w:rPr>
        <w:t xml:space="preserve">. </w:t>
      </w:r>
      <w:r w:rsidRPr="00892F67">
        <w:rPr>
          <w:rFonts w:ascii="Verdana" w:hAnsi="Verdana" w:cs="Arial"/>
          <w:bCs/>
          <w:lang w:val="es-MX"/>
        </w:rPr>
        <w:t xml:space="preserve">Asimismo, el inciso primero del artículo 32 </w:t>
      </w:r>
      <w:r w:rsidRPr="00892F67">
        <w:rPr>
          <w:rFonts w:ascii="Verdana" w:hAnsi="Verdana" w:cs="Arial"/>
          <w:bCs/>
          <w:i/>
          <w:iCs/>
          <w:lang w:val="es-MX"/>
        </w:rPr>
        <w:t>ibidem</w:t>
      </w:r>
      <w:r w:rsidRPr="00892F67">
        <w:rPr>
          <w:rFonts w:ascii="Verdana" w:hAnsi="Verdana" w:cs="Arial"/>
          <w:bCs/>
          <w:lang w:val="es-MX"/>
        </w:rPr>
        <w:t xml:space="preserve"> precisa lo siguiente: “Salvo en cuanto la Constitución Política o esta Ley dispongan expresamente lo contrario, la constitución, y los actos de todas las </w:t>
      </w:r>
      <w:r w:rsidRPr="00892F67">
        <w:rPr>
          <w:rFonts w:ascii="Verdana" w:hAnsi="Verdana" w:cs="Arial"/>
          <w:bCs/>
          <w:i/>
          <w:iCs/>
          <w:lang w:val="es-MX"/>
        </w:rPr>
        <w:t>empresas de servicios públicos</w:t>
      </w:r>
      <w:r w:rsidRPr="00892F67">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 (Énfasis fuera de texto).</w:t>
      </w:r>
      <w:r>
        <w:rPr>
          <w:rFonts w:ascii="Verdana" w:hAnsi="Verdana" w:cs="Arial"/>
          <w:bCs/>
          <w:lang w:val="es-MX"/>
        </w:rPr>
        <w:t xml:space="preserve"> </w:t>
      </w:r>
      <w:r w:rsidRPr="00892F67">
        <w:rPr>
          <w:rFonts w:ascii="Verdana" w:eastAsia="Calibri" w:hAnsi="Verdana" w:cs="Arial"/>
          <w:color w:val="000000" w:themeColor="text1"/>
          <w:lang w:val="es-ES"/>
        </w:rPr>
        <w:t xml:space="preserve">De esta manera, el máximo órgano de la Jurisdicción de lo Contencioso Administrativo considera que: </w:t>
      </w:r>
    </w:p>
    <w:p w14:paraId="6B0024F4" w14:textId="77777777" w:rsidR="003C312E" w:rsidRPr="00892F67" w:rsidRDefault="003C312E" w:rsidP="003C312E">
      <w:pPr>
        <w:spacing w:after="0" w:line="276" w:lineRule="auto"/>
        <w:jc w:val="both"/>
        <w:rPr>
          <w:rFonts w:ascii="Verdana" w:hAnsi="Verdana" w:cs="Arial"/>
        </w:rPr>
      </w:pPr>
    </w:p>
    <w:p w14:paraId="7F9695A1" w14:textId="77777777" w:rsidR="003C312E" w:rsidRPr="00892F67" w:rsidRDefault="003C312E" w:rsidP="003C312E">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892F67">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4EF73E65" w14:textId="77777777" w:rsidR="003C312E" w:rsidRPr="00892F67" w:rsidRDefault="003C312E" w:rsidP="003C312E">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7E217ABC" w14:textId="77777777" w:rsidR="003C312E" w:rsidRPr="00892F67" w:rsidRDefault="003C312E" w:rsidP="003C312E">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892F67">
        <w:rPr>
          <w:rFonts w:ascii="Verdana" w:eastAsia="Calibri" w:hAnsi="Verdana" w:cs="Arial"/>
          <w:color w:val="000000" w:themeColor="text1"/>
          <w:sz w:val="20"/>
          <w:szCs w:val="20"/>
          <w:lang w:val="es-ES"/>
        </w:rPr>
        <w:t xml:space="preserve">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w:t>
      </w:r>
      <w:r w:rsidRPr="00892F67">
        <w:rPr>
          <w:rFonts w:ascii="Verdana" w:eastAsia="Calibri" w:hAnsi="Verdana" w:cs="Arial"/>
          <w:color w:val="000000" w:themeColor="text1"/>
          <w:sz w:val="20"/>
          <w:szCs w:val="20"/>
          <w:lang w:val="es-ES"/>
        </w:rPr>
        <w:lastRenderedPageBreak/>
        <w:t>ampliación y liquidación de los contratos, deben aplicarse las reglas del derecho común”</w:t>
      </w:r>
      <w:r w:rsidRPr="00892F67">
        <w:rPr>
          <w:rStyle w:val="Refdenotaalpie"/>
          <w:rFonts w:ascii="Verdana" w:eastAsia="Calibri" w:hAnsi="Verdana" w:cs="Arial"/>
          <w:color w:val="000000" w:themeColor="text1"/>
          <w:sz w:val="20"/>
          <w:szCs w:val="20"/>
          <w:lang w:val="es-ES"/>
        </w:rPr>
        <w:footnoteReference w:id="3"/>
      </w:r>
      <w:r w:rsidRPr="00892F67">
        <w:rPr>
          <w:rFonts w:ascii="Verdana" w:eastAsia="Calibri" w:hAnsi="Verdana" w:cs="Arial"/>
          <w:color w:val="000000" w:themeColor="text1"/>
          <w:sz w:val="20"/>
          <w:szCs w:val="20"/>
          <w:lang w:val="es-ES"/>
        </w:rPr>
        <w:t>.</w:t>
      </w:r>
    </w:p>
    <w:p w14:paraId="656E7A87" w14:textId="77777777" w:rsidR="003C312E" w:rsidRDefault="003C312E" w:rsidP="003C312E">
      <w:pPr>
        <w:spacing w:after="120" w:line="276" w:lineRule="auto"/>
        <w:jc w:val="both"/>
        <w:rPr>
          <w:rFonts w:ascii="Verdana" w:eastAsia="Calibri" w:hAnsi="Verdana" w:cs="Arial"/>
          <w:color w:val="000000"/>
          <w:szCs w:val="24"/>
          <w:lang w:val="es-ES_tradnl" w:eastAsia="es-ES_tradnl"/>
        </w:rPr>
      </w:pPr>
    </w:p>
    <w:p w14:paraId="5A5F6D2D" w14:textId="77777777" w:rsidR="003C312E" w:rsidRDefault="003C312E" w:rsidP="003C312E">
      <w:pPr>
        <w:spacing w:after="0" w:line="276" w:lineRule="auto"/>
        <w:ind w:firstLine="709"/>
        <w:jc w:val="both"/>
        <w:rPr>
          <w:rFonts w:ascii="Verdana" w:eastAsia="Calibri" w:hAnsi="Verdana" w:cs="Arial"/>
          <w:color w:val="000000"/>
          <w:szCs w:val="24"/>
          <w:lang w:val="es-ES_tradnl" w:eastAsia="es-ES_tradnl"/>
        </w:rPr>
      </w:pPr>
      <w:r w:rsidRPr="004C01E1">
        <w:rPr>
          <w:rFonts w:ascii="Verdana" w:eastAsia="Times New Roman" w:hAnsi="Verdana" w:cs="Arial"/>
          <w:lang w:val="es-ES_tradnl" w:eastAsia="es-ES_tradnl"/>
          <w14:ligatures w14:val="standardContextual"/>
        </w:rPr>
        <w:t>Así, en la actividad contractual las Empresas de Servicios Públicos se sujetan a las disposiciones del derecho privado, salvo en aquellos casos en que la normativa (Constitución Política, Ley 142 de 1994 u otras normas especiales) someta dicha actuación a</w:t>
      </w:r>
      <w:r>
        <w:rPr>
          <w:rFonts w:ascii="Verdana" w:eastAsia="Calibri" w:hAnsi="Verdana" w:cs="Arial"/>
          <w:color w:val="000000"/>
          <w:lang w:val="es-ES" w:eastAsia="es-ES"/>
        </w:rPr>
        <w:t xml:space="preserve">l </w:t>
      </w:r>
      <w:r w:rsidRPr="004C01E1">
        <w:rPr>
          <w:rFonts w:ascii="Verdana" w:eastAsia="Calibri" w:hAnsi="Verdana" w:cs="Arial"/>
          <w:color w:val="000000"/>
          <w:lang w:val="es-ES" w:eastAsia="es-ES"/>
        </w:rPr>
        <w:t xml:space="preserve">Estatuto General de Contratación de la Administración Pública. Adicionalmente, su actuar se encuentra regido por </w:t>
      </w:r>
      <w:r w:rsidRPr="004C01E1">
        <w:rPr>
          <w:rFonts w:ascii="Verdana" w:eastAsia="Calibri" w:hAnsi="Verdana" w:cs="Arial"/>
          <w:color w:val="000000"/>
          <w:szCs w:val="24"/>
          <w:lang w:val="es-ES_tradnl" w:eastAsia="es-ES_tradnl"/>
        </w:rPr>
        <w:t>los principios de la función administrativa y de la gestión fiscal, previstos en los artículos 209 y 267 de la Constitución, toda vez que así lo dispone el artículo 13 de la Ley 1150 de 2007</w:t>
      </w:r>
      <w:r w:rsidRPr="004C01E1">
        <w:rPr>
          <w:rFonts w:ascii="Verdana" w:eastAsia="Calibri" w:hAnsi="Verdana" w:cs="Arial"/>
          <w:color w:val="000000"/>
          <w:szCs w:val="24"/>
          <w:vertAlign w:val="superscript"/>
          <w:lang w:val="es-ES_tradnl" w:eastAsia="es-ES_tradnl"/>
        </w:rPr>
        <w:footnoteReference w:id="4"/>
      </w:r>
      <w:r w:rsidRPr="004C01E1">
        <w:rPr>
          <w:rFonts w:ascii="Verdana" w:eastAsia="Calibri" w:hAnsi="Verdana" w:cs="Arial"/>
          <w:color w:val="000000"/>
          <w:szCs w:val="24"/>
          <w:lang w:val="es-ES_tradnl" w:eastAsia="es-ES_tradnl"/>
        </w:rPr>
        <w:t>.</w:t>
      </w:r>
    </w:p>
    <w:p w14:paraId="19EC32EA" w14:textId="77777777" w:rsidR="003C312E" w:rsidRDefault="003C312E" w:rsidP="003C312E">
      <w:pPr>
        <w:spacing w:after="0" w:line="276" w:lineRule="auto"/>
        <w:ind w:firstLine="709"/>
        <w:jc w:val="both"/>
        <w:rPr>
          <w:rFonts w:ascii="Verdana" w:eastAsia="Calibri" w:hAnsi="Verdana" w:cs="Arial"/>
          <w:color w:val="000000"/>
          <w:szCs w:val="24"/>
          <w:lang w:val="es-ES_tradnl" w:eastAsia="es-ES_tradnl"/>
        </w:rPr>
      </w:pPr>
    </w:p>
    <w:p w14:paraId="1569ED23" w14:textId="77777777" w:rsidR="003C312E" w:rsidRDefault="003C312E" w:rsidP="003C312E">
      <w:pPr>
        <w:tabs>
          <w:tab w:val="left" w:pos="426"/>
        </w:tabs>
        <w:spacing w:after="120" w:line="276" w:lineRule="auto"/>
        <w:jc w:val="both"/>
        <w:rPr>
          <w:rFonts w:ascii="Verdana" w:eastAsia="Calibri" w:hAnsi="Verdana" w:cs="Arial"/>
          <w:color w:val="000000" w:themeColor="text1"/>
        </w:rPr>
      </w:pPr>
      <w:proofErr w:type="spellStart"/>
      <w:r>
        <w:rPr>
          <w:rFonts w:ascii="Verdana" w:eastAsia="Calibri" w:hAnsi="Verdana" w:cs="Arial"/>
          <w:color w:val="000000"/>
          <w:szCs w:val="24"/>
          <w:lang w:val="es-ES_tradnl" w:eastAsia="es-ES_tradnl"/>
        </w:rPr>
        <w:t>ii</w:t>
      </w:r>
      <w:proofErr w:type="spellEnd"/>
      <w:r>
        <w:rPr>
          <w:rFonts w:ascii="Verdana" w:eastAsia="Calibri" w:hAnsi="Verdana" w:cs="Arial"/>
          <w:color w:val="000000"/>
          <w:szCs w:val="24"/>
          <w:lang w:val="es-ES_tradnl" w:eastAsia="es-ES_tradnl"/>
        </w:rPr>
        <w:t xml:space="preserve">) </w:t>
      </w:r>
      <w:r w:rsidRPr="00F615E3">
        <w:rPr>
          <w:rFonts w:ascii="Verdana" w:eastAsia="Calibri" w:hAnsi="Verdana" w:cs="Arial"/>
          <w:color w:val="000000" w:themeColor="text1"/>
          <w:lang w:val="es-ES_tradnl"/>
        </w:rPr>
        <w:t>El artículo 3</w:t>
      </w:r>
      <w:r>
        <w:rPr>
          <w:rFonts w:ascii="Verdana" w:eastAsia="Calibri" w:hAnsi="Verdana" w:cs="Arial"/>
          <w:color w:val="000000" w:themeColor="text1"/>
          <w:lang w:val="es-ES_tradnl"/>
        </w:rPr>
        <w:t>56</w:t>
      </w:r>
      <w:r w:rsidRPr="00F615E3">
        <w:rPr>
          <w:rFonts w:ascii="Verdana" w:eastAsia="Calibri" w:hAnsi="Verdana" w:cs="Arial"/>
          <w:color w:val="000000" w:themeColor="text1"/>
          <w:lang w:val="es-ES_tradnl"/>
        </w:rPr>
        <w:t xml:space="preserve"> de la Constitución Política, modificado por el artículo 1 del Acto Legislativo </w:t>
      </w:r>
      <w:r>
        <w:rPr>
          <w:rFonts w:ascii="Verdana" w:eastAsia="Calibri" w:hAnsi="Verdana" w:cs="Arial"/>
          <w:color w:val="000000" w:themeColor="text1"/>
          <w:lang w:val="es-ES_tradnl"/>
        </w:rPr>
        <w:t>03</w:t>
      </w:r>
      <w:r w:rsidRPr="00F615E3">
        <w:rPr>
          <w:rFonts w:ascii="Verdana" w:eastAsia="Calibri" w:hAnsi="Verdana" w:cs="Arial"/>
          <w:color w:val="000000" w:themeColor="text1"/>
          <w:lang w:val="es-ES_tradnl"/>
        </w:rPr>
        <w:t xml:space="preserve"> de 20</w:t>
      </w:r>
      <w:r>
        <w:rPr>
          <w:rFonts w:ascii="Verdana" w:eastAsia="Calibri" w:hAnsi="Verdana" w:cs="Arial"/>
          <w:color w:val="000000" w:themeColor="text1"/>
          <w:lang w:val="es-ES_tradnl"/>
        </w:rPr>
        <w:t>24</w:t>
      </w:r>
      <w:r w:rsidRPr="00F615E3">
        <w:rPr>
          <w:rFonts w:ascii="Verdana" w:eastAsia="Calibri" w:hAnsi="Verdana" w:cs="Arial"/>
          <w:color w:val="000000" w:themeColor="text1"/>
          <w:lang w:val="es-ES_tradnl"/>
        </w:rPr>
        <w:t xml:space="preserve">, </w:t>
      </w:r>
      <w:r w:rsidRPr="00166895">
        <w:rPr>
          <w:rFonts w:ascii="Verdana" w:eastAsia="Calibri" w:hAnsi="Verdana" w:cs="Arial"/>
          <w:color w:val="000000" w:themeColor="text1"/>
        </w:rPr>
        <w:t xml:space="preserve">crea el Sistema General de Participaciones </w:t>
      </w:r>
      <w:r>
        <w:rPr>
          <w:rFonts w:ascii="Verdana" w:eastAsia="Calibri" w:hAnsi="Verdana" w:cs="Arial"/>
          <w:color w:val="000000" w:themeColor="text1"/>
        </w:rPr>
        <w:t xml:space="preserve">para atender </w:t>
      </w:r>
      <w:r w:rsidRPr="00477009">
        <w:rPr>
          <w:rFonts w:ascii="Verdana" w:eastAsia="Calibri" w:hAnsi="Verdana" w:cs="Arial"/>
          <w:color w:val="000000" w:themeColor="text1"/>
        </w:rPr>
        <w:t xml:space="preserve">los servicios a cargo de </w:t>
      </w:r>
      <w:r w:rsidRPr="00624536">
        <w:rPr>
          <w:rFonts w:ascii="Verdana" w:eastAsia="Calibri" w:hAnsi="Verdana" w:cs="Arial"/>
          <w:color w:val="000000" w:themeColor="text1"/>
        </w:rPr>
        <w:t>la Nación, de los Departamentos, Distritos, municipios y entidades territoriales indígenas</w:t>
      </w:r>
      <w:r>
        <w:rPr>
          <w:rFonts w:ascii="Verdana" w:eastAsia="Calibri" w:hAnsi="Verdana" w:cs="Arial"/>
          <w:color w:val="000000" w:themeColor="text1"/>
        </w:rPr>
        <w:t xml:space="preserve"> </w:t>
      </w:r>
      <w:r w:rsidRPr="00477009">
        <w:rPr>
          <w:rFonts w:ascii="Verdana" w:eastAsia="Calibri" w:hAnsi="Verdana" w:cs="Arial"/>
          <w:color w:val="000000" w:themeColor="text1"/>
        </w:rPr>
        <w:t>y proveer los recursos para financiar adecuadamente su prestación</w:t>
      </w:r>
      <w:r w:rsidRPr="00F615E3">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El inciso segundo de esta norma señala que “</w:t>
      </w:r>
      <w:r w:rsidRPr="00BF04DC">
        <w:rPr>
          <w:rFonts w:ascii="Verdana" w:eastAsia="Calibri" w:hAnsi="Verdana" w:cs="Arial"/>
          <w:color w:val="000000" w:themeColor="text1"/>
        </w:rPr>
        <w:t>La ley establecerá la organización y el funcionamiento del Sistema General de Participaciones y la distribución de competencias entre niveles de gobierno. No se podrán descentralizar competencias sin la previa asignación de los recursos fiscales suficientes para atenderlas, y no se podrán asignar recursos a las entidades beneficiarias del Sistema General de Participaciones sin la previa descentralización de competencias</w:t>
      </w:r>
      <w:r>
        <w:rPr>
          <w:rFonts w:ascii="Verdana" w:eastAsia="Calibri" w:hAnsi="Verdana" w:cs="Arial"/>
          <w:color w:val="000000" w:themeColor="text1"/>
        </w:rPr>
        <w:t>”</w:t>
      </w:r>
      <w:r w:rsidRPr="00BF04DC">
        <w:rPr>
          <w:rFonts w:ascii="Verdana" w:eastAsia="Calibri" w:hAnsi="Verdana" w:cs="Arial"/>
          <w:color w:val="000000" w:themeColor="text1"/>
        </w:rPr>
        <w:t>.</w:t>
      </w:r>
      <w:r>
        <w:rPr>
          <w:rFonts w:ascii="Verdana" w:eastAsia="Calibri" w:hAnsi="Verdana" w:cs="Arial"/>
          <w:color w:val="000000" w:themeColor="text1"/>
        </w:rPr>
        <w:t xml:space="preserve"> Al respecto, la Corte Constitucional señalo lo siguiente: </w:t>
      </w:r>
    </w:p>
    <w:p w14:paraId="1BBB1F0D" w14:textId="77777777" w:rsidR="003C312E" w:rsidRDefault="003C312E" w:rsidP="003C312E">
      <w:pPr>
        <w:tabs>
          <w:tab w:val="left" w:pos="426"/>
        </w:tabs>
        <w:spacing w:after="0" w:line="240" w:lineRule="auto"/>
        <w:jc w:val="both"/>
        <w:rPr>
          <w:rFonts w:ascii="Verdana" w:eastAsia="Calibri" w:hAnsi="Verdana" w:cs="Arial"/>
          <w:color w:val="000000" w:themeColor="text1"/>
        </w:rPr>
      </w:pPr>
    </w:p>
    <w:p w14:paraId="74A2E633" w14:textId="77777777" w:rsidR="003C312E" w:rsidRDefault="003C312E" w:rsidP="003C312E">
      <w:pPr>
        <w:tabs>
          <w:tab w:val="left" w:pos="426"/>
        </w:tabs>
        <w:spacing w:after="0" w:line="240" w:lineRule="auto"/>
        <w:ind w:left="709" w:right="709"/>
        <w:jc w:val="both"/>
        <w:rPr>
          <w:rFonts w:ascii="Verdana" w:eastAsia="Calibri" w:hAnsi="Verdana" w:cs="Arial"/>
          <w:color w:val="000000" w:themeColor="text1"/>
          <w:sz w:val="20"/>
          <w:szCs w:val="20"/>
          <w:lang w:val="es-ES"/>
        </w:rPr>
      </w:pPr>
      <w:r>
        <w:rPr>
          <w:rFonts w:ascii="Verdana" w:eastAsia="Calibri" w:hAnsi="Verdana" w:cs="Arial"/>
          <w:color w:val="000000" w:themeColor="text1"/>
        </w:rPr>
        <w:t>“</w:t>
      </w:r>
      <w:r w:rsidRPr="00AF6BC8">
        <w:rPr>
          <w:rFonts w:ascii="Verdana" w:eastAsia="Calibri" w:hAnsi="Verdana" w:cs="Arial"/>
          <w:color w:val="000000" w:themeColor="text1"/>
          <w:sz w:val="20"/>
          <w:szCs w:val="20"/>
          <w:lang w:val="es-ES"/>
        </w:rPr>
        <w:t xml:space="preserve">El Sistema General de Participaciones se crea con el fin de proveer de recursos a los departamentos, distritos y municipios para financiar adecuadamente la prestación de los servicios a su cargo, para lo cual deberán darle prioridad al servicio de salud y los servicios de educación preescolar, primaria, secundaria y media, garantizando la prestación de </w:t>
      </w:r>
      <w:r w:rsidRPr="00AF6BC8">
        <w:rPr>
          <w:rFonts w:ascii="Verdana" w:eastAsia="Calibri" w:hAnsi="Verdana" w:cs="Arial"/>
          <w:color w:val="000000" w:themeColor="text1"/>
          <w:sz w:val="20"/>
          <w:szCs w:val="20"/>
          <w:lang w:val="es-ES"/>
        </w:rPr>
        <w:lastRenderedPageBreak/>
        <w:t>los servicios y la ampliación de cobertura (C.P., art. 356). Recursos denominados transferencias territoriales, que corresponden a un concepto que, como gasto público, forma parte del Presupuesto Nacional, por disposición de la misma Constitución.</w:t>
      </w:r>
    </w:p>
    <w:p w14:paraId="28662060" w14:textId="77777777" w:rsidR="003C312E" w:rsidRPr="00AF6BC8" w:rsidRDefault="003C312E" w:rsidP="003C312E">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70F4C170" w14:textId="77777777" w:rsidR="003C312E" w:rsidRPr="002E0985" w:rsidRDefault="003C312E" w:rsidP="003C312E">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2E0985">
        <w:rPr>
          <w:rFonts w:ascii="Verdana" w:eastAsia="Calibri" w:hAnsi="Verdana" w:cs="Arial"/>
          <w:color w:val="000000" w:themeColor="text1"/>
          <w:sz w:val="20"/>
          <w:szCs w:val="20"/>
          <w:lang w:val="es-ES"/>
        </w:rPr>
        <w:t>Gasto público que al ser parte del Presupuesto Nacional, requiere una ordenación jurídica que establezca el conjunto de autorizaciones o habilitaciones en relación con los recursos necesarios de que se dota a la Administración Pública para financiar los gastos en que incurre para la satisfacción de los requerimientos y necesidades de la sociedad; y, la regulación imperativa interna de las competencias de la Administración para el manejo y distribución de dicho gasto público, cuya ejecución no es discrecional sino reglada</w:t>
      </w:r>
      <w:r>
        <w:rPr>
          <w:rStyle w:val="Refdenotaalpie"/>
          <w:rFonts w:ascii="Verdana" w:eastAsia="Calibri" w:hAnsi="Verdana" w:cs="Arial"/>
          <w:color w:val="000000" w:themeColor="text1"/>
          <w:sz w:val="20"/>
          <w:szCs w:val="20"/>
          <w:lang w:val="es-ES"/>
        </w:rPr>
        <w:footnoteReference w:id="5"/>
      </w:r>
      <w:r>
        <w:rPr>
          <w:rFonts w:ascii="Verdana" w:eastAsia="Calibri" w:hAnsi="Verdana" w:cs="Arial"/>
          <w:color w:val="000000" w:themeColor="text1"/>
          <w:sz w:val="20"/>
          <w:szCs w:val="20"/>
          <w:lang w:val="es-ES"/>
        </w:rPr>
        <w:t>”</w:t>
      </w:r>
      <w:r w:rsidRPr="002E0985">
        <w:rPr>
          <w:rFonts w:ascii="Verdana" w:eastAsia="Calibri" w:hAnsi="Verdana" w:cs="Arial"/>
          <w:color w:val="000000" w:themeColor="text1"/>
          <w:sz w:val="20"/>
          <w:szCs w:val="20"/>
          <w:lang w:val="es-ES"/>
        </w:rPr>
        <w:t>.</w:t>
      </w:r>
    </w:p>
    <w:p w14:paraId="78ADD939" w14:textId="77777777" w:rsidR="003C312E" w:rsidRDefault="003C312E" w:rsidP="003C312E">
      <w:pPr>
        <w:tabs>
          <w:tab w:val="left" w:pos="426"/>
        </w:tabs>
        <w:spacing w:after="0" w:line="276" w:lineRule="auto"/>
        <w:ind w:firstLine="709"/>
        <w:jc w:val="both"/>
        <w:rPr>
          <w:rFonts w:ascii="Verdana" w:eastAsia="Calibri" w:hAnsi="Verdana" w:cs="Arial"/>
          <w:color w:val="000000" w:themeColor="text1"/>
        </w:rPr>
      </w:pPr>
    </w:p>
    <w:p w14:paraId="40736382" w14:textId="77777777" w:rsidR="003C312E" w:rsidRDefault="003C312E" w:rsidP="003C312E">
      <w:pPr>
        <w:tabs>
          <w:tab w:val="left" w:pos="426"/>
        </w:tabs>
        <w:spacing w:after="120" w:line="276" w:lineRule="auto"/>
        <w:ind w:firstLine="709"/>
        <w:jc w:val="both"/>
        <w:rPr>
          <w:rFonts w:ascii="Verdana" w:hAnsi="Verdana" w:cs="Open Sans"/>
          <w:color w:val="000000" w:themeColor="text1"/>
        </w:rPr>
      </w:pPr>
      <w:r w:rsidRPr="00F615E3">
        <w:rPr>
          <w:rFonts w:ascii="Verdana" w:hAnsi="Verdana" w:cs="Arial"/>
          <w:noProof/>
          <w:lang w:val="es-ES_tradnl"/>
        </w:rPr>
        <w:t xml:space="preserve">El artículo </w:t>
      </w:r>
      <w:r>
        <w:rPr>
          <w:rFonts w:ascii="Verdana" w:hAnsi="Verdana" w:cs="Arial"/>
          <w:noProof/>
          <w:lang w:val="es-ES_tradnl"/>
        </w:rPr>
        <w:t>2</w:t>
      </w:r>
      <w:r w:rsidRPr="00F615E3">
        <w:rPr>
          <w:rFonts w:ascii="Verdana" w:hAnsi="Verdana" w:cs="Arial"/>
          <w:noProof/>
          <w:lang w:val="es-ES_tradnl"/>
        </w:rPr>
        <w:t xml:space="preserve"> del Acto Legislativo 0</w:t>
      </w:r>
      <w:r>
        <w:rPr>
          <w:rFonts w:ascii="Verdana" w:hAnsi="Verdana" w:cs="Arial"/>
          <w:noProof/>
          <w:lang w:val="es-ES_tradnl"/>
        </w:rPr>
        <w:t>3</w:t>
      </w:r>
      <w:r w:rsidRPr="00F615E3">
        <w:rPr>
          <w:rFonts w:ascii="Verdana" w:hAnsi="Verdana" w:cs="Arial"/>
          <w:noProof/>
          <w:lang w:val="es-ES_tradnl"/>
        </w:rPr>
        <w:t xml:space="preserve"> de 20</w:t>
      </w:r>
      <w:r>
        <w:rPr>
          <w:rFonts w:ascii="Verdana" w:hAnsi="Verdana" w:cs="Arial"/>
          <w:noProof/>
          <w:lang w:val="es-ES_tradnl"/>
        </w:rPr>
        <w:t>24</w:t>
      </w:r>
      <w:r w:rsidRPr="00F615E3">
        <w:rPr>
          <w:rFonts w:ascii="Verdana" w:hAnsi="Verdana" w:cs="Arial"/>
          <w:noProof/>
          <w:lang w:val="es-ES_tradnl"/>
        </w:rPr>
        <w:t xml:space="preserve"> modificó el artículo 3</w:t>
      </w:r>
      <w:r>
        <w:rPr>
          <w:rFonts w:ascii="Verdana" w:hAnsi="Verdana" w:cs="Arial"/>
          <w:noProof/>
          <w:lang w:val="es-ES_tradnl"/>
        </w:rPr>
        <w:t>57</w:t>
      </w:r>
      <w:r w:rsidRPr="00F615E3">
        <w:rPr>
          <w:rFonts w:ascii="Verdana" w:hAnsi="Verdana" w:cs="Arial"/>
          <w:noProof/>
          <w:lang w:val="es-ES_tradnl"/>
        </w:rPr>
        <w:t xml:space="preserve"> de la Constitución</w:t>
      </w:r>
      <w:r>
        <w:rPr>
          <w:rFonts w:ascii="Verdana" w:hAnsi="Verdana" w:cs="Arial"/>
          <w:noProof/>
          <w:lang w:val="es-ES_tradnl"/>
        </w:rPr>
        <w:t xml:space="preserve"> y dispuso </w:t>
      </w:r>
      <w:r w:rsidRPr="00934CCB">
        <w:rPr>
          <w:rFonts w:ascii="Verdana" w:hAnsi="Verdana" w:cs="Arial"/>
          <w:noProof/>
          <w:color w:val="000000" w:themeColor="text1"/>
          <w:lang w:val="es-ES_tradnl"/>
        </w:rPr>
        <w:t>que: “</w:t>
      </w:r>
      <w:r w:rsidRPr="00934CCB">
        <w:rPr>
          <w:rFonts w:ascii="Verdana" w:hAnsi="Verdana" w:cs="Open Sans"/>
          <w:color w:val="000000" w:themeColor="text1"/>
        </w:rPr>
        <w:t>El Sistema General de Participaciones crecerá como porcentaje de los Ingresos Corrientes de la Nación hasta llegar a ser el 39,5 por ciento de estos. Para este fin, se tendrá un periodo de transición de 12 años contados a partir del año siguiente en que se expida la ley de qué trata el artículo </w:t>
      </w:r>
      <w:hyperlink r:id="rId12" w:anchor="356" w:history="1">
        <w:r w:rsidRPr="00934CCB">
          <w:rPr>
            <w:rFonts w:ascii="Verdana" w:hAnsi="Verdana" w:cs="Open Sans"/>
            <w:color w:val="000000" w:themeColor="text1"/>
          </w:rPr>
          <w:t>356</w:t>
        </w:r>
      </w:hyperlink>
      <w:r w:rsidRPr="00934CCB">
        <w:rPr>
          <w:rFonts w:ascii="Verdana" w:hAnsi="Verdana" w:cs="Open Sans"/>
          <w:color w:val="000000" w:themeColor="text1"/>
        </w:rPr>
        <w:t> constitucional, particularmente en su parágrafo 3. En todo caso, el incremento no podrá empezar a aplicarse antes del año 2027”.</w:t>
      </w:r>
    </w:p>
    <w:p w14:paraId="25BD3930" w14:textId="77777777" w:rsidR="003C312E" w:rsidRDefault="003C312E" w:rsidP="003C312E">
      <w:pPr>
        <w:tabs>
          <w:tab w:val="left" w:pos="426"/>
        </w:tabs>
        <w:spacing w:after="120" w:line="276" w:lineRule="auto"/>
        <w:ind w:firstLine="709"/>
        <w:jc w:val="both"/>
        <w:rPr>
          <w:rFonts w:ascii="Verdana" w:hAnsi="Verdana" w:cs="Arial"/>
          <w:bdr w:val="none" w:sz="0" w:space="0" w:color="auto" w:frame="1"/>
        </w:rPr>
      </w:pPr>
      <w:r w:rsidRPr="00F615E3">
        <w:rPr>
          <w:rFonts w:ascii="Verdana" w:hAnsi="Verdana" w:cs="Arial"/>
          <w:noProof/>
          <w:lang w:val="es-ES_tradnl"/>
        </w:rPr>
        <w:t xml:space="preserve">Con fundamento en los artículos </w:t>
      </w:r>
      <w:bookmarkStart w:id="3" w:name="_Hlk181026059"/>
      <w:r w:rsidRPr="00F615E3">
        <w:rPr>
          <w:rFonts w:ascii="Verdana" w:hAnsi="Verdana" w:cs="Arial"/>
          <w:noProof/>
          <w:lang w:val="es-ES_tradnl"/>
        </w:rPr>
        <w:t>3</w:t>
      </w:r>
      <w:r>
        <w:rPr>
          <w:rFonts w:ascii="Verdana" w:hAnsi="Verdana" w:cs="Arial"/>
          <w:noProof/>
          <w:lang w:val="es-ES_tradnl"/>
        </w:rPr>
        <w:t>56</w:t>
      </w:r>
      <w:r w:rsidRPr="00F615E3">
        <w:rPr>
          <w:rFonts w:ascii="Verdana" w:hAnsi="Verdana" w:cs="Arial"/>
          <w:noProof/>
          <w:lang w:val="es-ES_tradnl"/>
        </w:rPr>
        <w:t xml:space="preserve"> y 3</w:t>
      </w:r>
      <w:r>
        <w:rPr>
          <w:rFonts w:ascii="Verdana" w:hAnsi="Verdana" w:cs="Arial"/>
          <w:noProof/>
          <w:lang w:val="es-ES_tradnl"/>
        </w:rPr>
        <w:t>57</w:t>
      </w:r>
      <w:r w:rsidRPr="00F615E3">
        <w:rPr>
          <w:rFonts w:ascii="Verdana" w:hAnsi="Verdana" w:cs="Arial"/>
          <w:noProof/>
          <w:lang w:val="es-ES_tradnl"/>
        </w:rPr>
        <w:t xml:space="preserve"> de la Constitución Política</w:t>
      </w:r>
      <w:bookmarkEnd w:id="3"/>
      <w:r w:rsidRPr="00F615E3">
        <w:rPr>
          <w:rFonts w:ascii="Verdana" w:hAnsi="Verdana" w:cs="Arial"/>
          <w:noProof/>
          <w:lang w:val="es-ES_tradnl"/>
        </w:rPr>
        <w:t xml:space="preserve">, se expidió la </w:t>
      </w:r>
      <w:bookmarkStart w:id="4" w:name="_Hlk181026083"/>
      <w:r w:rsidRPr="00F615E3">
        <w:rPr>
          <w:rFonts w:ascii="Verdana" w:hAnsi="Verdana" w:cs="Arial"/>
          <w:noProof/>
          <w:lang w:val="es-ES_tradnl"/>
        </w:rPr>
        <w:t xml:space="preserve">Ley </w:t>
      </w:r>
      <w:r>
        <w:rPr>
          <w:rFonts w:ascii="Verdana" w:hAnsi="Verdana" w:cs="Arial"/>
          <w:noProof/>
          <w:lang w:val="es-ES_tradnl"/>
        </w:rPr>
        <w:t>715</w:t>
      </w:r>
      <w:r w:rsidRPr="00F615E3">
        <w:rPr>
          <w:rFonts w:ascii="Verdana" w:hAnsi="Verdana" w:cs="Arial"/>
          <w:noProof/>
          <w:lang w:val="es-ES_tradnl"/>
        </w:rPr>
        <w:t xml:space="preserve"> de 20</w:t>
      </w:r>
      <w:bookmarkEnd w:id="4"/>
      <w:r>
        <w:rPr>
          <w:rFonts w:ascii="Verdana" w:hAnsi="Verdana" w:cs="Arial"/>
          <w:noProof/>
          <w:lang w:val="es-ES_tradnl"/>
        </w:rPr>
        <w:t>01</w:t>
      </w:r>
      <w:r w:rsidRPr="00F615E3">
        <w:rPr>
          <w:rFonts w:ascii="Verdana" w:hAnsi="Verdana" w:cs="Arial"/>
          <w:noProof/>
          <w:lang w:val="es-ES_tradnl"/>
        </w:rPr>
        <w:t xml:space="preserve">, </w:t>
      </w:r>
      <w:r w:rsidRPr="00B23E92">
        <w:rPr>
          <w:rFonts w:ascii="Verdana" w:hAnsi="Verdana" w:cs="Arial"/>
          <w:bCs/>
          <w:color w:val="000000" w:themeColor="text1"/>
          <w:lang w:val="es-ES_tradnl"/>
        </w:rPr>
        <w:t>“</w:t>
      </w:r>
      <w:r w:rsidRPr="00B23E92">
        <w:rPr>
          <w:rFonts w:ascii="Verdana" w:hAnsi="Verdana" w:cs="Arial"/>
          <w:bCs/>
          <w:color w:val="000000" w:themeColor="text1"/>
        </w:rPr>
        <w:t>Por la cual se dictan normas orgánicas en materia de recursos y competencias de conformidad con los artículos 151, 288, 356 y 357 (Acto Legislativo 01 de 2001) de la Constitución Política y se dictan otras disposiciones para organizar la prestación de los servicios de educación y salud, entre otros.</w:t>
      </w:r>
      <w:bookmarkStart w:id="5" w:name="ver_133204"/>
      <w:bookmarkEnd w:id="5"/>
      <w:r w:rsidRPr="00B23E92">
        <w:rPr>
          <w:rFonts w:ascii="Verdana" w:hAnsi="Verdana" w:cs="Arial"/>
          <w:bCs/>
          <w:color w:val="000000" w:themeColor="text1"/>
        </w:rPr>
        <w:t>"</w:t>
      </w:r>
      <w:r>
        <w:rPr>
          <w:rFonts w:ascii="Verdana" w:eastAsia="Calibri" w:hAnsi="Verdana" w:cs="Arial"/>
          <w:color w:val="000000" w:themeColor="text1"/>
        </w:rPr>
        <w:t xml:space="preserve"> Esta norma </w:t>
      </w:r>
      <w:r w:rsidRPr="00496806">
        <w:rPr>
          <w:rFonts w:ascii="Verdana" w:hAnsi="Verdana" w:cs="Arial"/>
          <w:bdr w:val="none" w:sz="0" w:space="0" w:color="auto" w:frame="1"/>
        </w:rPr>
        <w:t xml:space="preserve">se refiere al Sistema General de Participaciones, correspondiente a los recursos que la Nación transfiere a las entidades territoriales para la financiación de ciertos servicios a su cargo. </w:t>
      </w:r>
    </w:p>
    <w:p w14:paraId="67479A70" w14:textId="77777777" w:rsidR="003C312E" w:rsidRDefault="003C312E" w:rsidP="003C312E">
      <w:pPr>
        <w:tabs>
          <w:tab w:val="left" w:pos="426"/>
        </w:tabs>
        <w:spacing w:after="120" w:line="276" w:lineRule="auto"/>
        <w:ind w:firstLine="709"/>
        <w:jc w:val="both"/>
        <w:rPr>
          <w:rFonts w:ascii="Verdana" w:hAnsi="Verdana" w:cs="Arial"/>
          <w:bdr w:val="none" w:sz="0" w:space="0" w:color="auto" w:frame="1"/>
        </w:rPr>
      </w:pPr>
      <w:r w:rsidRPr="00496806">
        <w:rPr>
          <w:rFonts w:ascii="Verdana" w:hAnsi="Verdana" w:cs="Arial"/>
          <w:bdr w:val="none" w:sz="0" w:space="0" w:color="auto" w:frame="1"/>
        </w:rPr>
        <w:t xml:space="preserve">De conformidad con el artículo 3, modificado por el artículo 1 de la Ley 1176 del 2007, este sistema estará conformado así: i) una participación con destinación específica para el sector educación, que se denominará participación para educación, </w:t>
      </w:r>
      <w:proofErr w:type="spellStart"/>
      <w:r w:rsidRPr="00496806">
        <w:rPr>
          <w:rFonts w:ascii="Verdana" w:hAnsi="Verdana" w:cs="Arial"/>
          <w:bdr w:val="none" w:sz="0" w:space="0" w:color="auto" w:frame="1"/>
        </w:rPr>
        <w:t>ii</w:t>
      </w:r>
      <w:proofErr w:type="spellEnd"/>
      <w:r w:rsidRPr="00496806">
        <w:rPr>
          <w:rFonts w:ascii="Verdana" w:hAnsi="Verdana" w:cs="Arial"/>
          <w:bdr w:val="none" w:sz="0" w:space="0" w:color="auto" w:frame="1"/>
        </w:rPr>
        <w:t xml:space="preserve">) una participación con destinación específica para el sector salud, que se denominará participación para salud, </w:t>
      </w:r>
      <w:proofErr w:type="spellStart"/>
      <w:r w:rsidRPr="00496806">
        <w:rPr>
          <w:rFonts w:ascii="Verdana" w:hAnsi="Verdana" w:cs="Arial"/>
          <w:bdr w:val="none" w:sz="0" w:space="0" w:color="auto" w:frame="1"/>
        </w:rPr>
        <w:t>iii</w:t>
      </w:r>
      <w:proofErr w:type="spellEnd"/>
      <w:r w:rsidRPr="00496806">
        <w:rPr>
          <w:rFonts w:ascii="Verdana" w:hAnsi="Verdana" w:cs="Arial"/>
          <w:bdr w:val="none" w:sz="0" w:space="0" w:color="auto" w:frame="1"/>
        </w:rPr>
        <w:t xml:space="preserve">) una participación con destinación específica para el sector agua potable y saneamiento básico, que se denominará participación para agua potable y saneamiento básico y </w:t>
      </w:r>
      <w:proofErr w:type="spellStart"/>
      <w:r w:rsidRPr="00496806">
        <w:rPr>
          <w:rFonts w:ascii="Verdana" w:hAnsi="Verdana" w:cs="Arial"/>
          <w:bdr w:val="none" w:sz="0" w:space="0" w:color="auto" w:frame="1"/>
        </w:rPr>
        <w:t>iv</w:t>
      </w:r>
      <w:proofErr w:type="spellEnd"/>
      <w:r w:rsidRPr="00496806">
        <w:rPr>
          <w:rFonts w:ascii="Verdana" w:hAnsi="Verdana" w:cs="Arial"/>
          <w:bdr w:val="none" w:sz="0" w:space="0" w:color="auto" w:frame="1"/>
        </w:rPr>
        <w:t xml:space="preserve">) una </w:t>
      </w:r>
      <w:r w:rsidRPr="00496806">
        <w:rPr>
          <w:rFonts w:ascii="Verdana" w:hAnsi="Verdana" w:cs="Arial"/>
          <w:bdr w:val="none" w:sz="0" w:space="0" w:color="auto" w:frame="1"/>
        </w:rPr>
        <w:lastRenderedPageBreak/>
        <w:t xml:space="preserve">participación de propósito general. </w:t>
      </w:r>
      <w:r>
        <w:rPr>
          <w:rFonts w:ascii="Verdana" w:hAnsi="Verdana" w:cs="Arial"/>
          <w:bdr w:val="none" w:sz="0" w:space="0" w:color="auto" w:frame="1"/>
        </w:rPr>
        <w:t xml:space="preserve">El artículo 4 </w:t>
      </w:r>
      <w:r w:rsidRPr="007D4E65">
        <w:rPr>
          <w:rFonts w:ascii="Verdana" w:hAnsi="Verdana" w:cs="Arial"/>
          <w:i/>
          <w:iCs/>
          <w:bdr w:val="none" w:sz="0" w:space="0" w:color="auto" w:frame="1"/>
        </w:rPr>
        <w:t xml:space="preserve">ibidem </w:t>
      </w:r>
      <w:r>
        <w:rPr>
          <w:rFonts w:ascii="Verdana" w:hAnsi="Verdana" w:cs="Arial"/>
          <w:bdr w:val="none" w:sz="0" w:space="0" w:color="auto" w:frame="1"/>
        </w:rPr>
        <w:t xml:space="preserve">establece la distribución sectorial de recursos de la siguiente manera: </w:t>
      </w:r>
      <w:r w:rsidRPr="00142E8F">
        <w:rPr>
          <w:rFonts w:ascii="Verdana" w:hAnsi="Verdana" w:cs="Arial"/>
          <w:bdr w:val="none" w:sz="0" w:space="0" w:color="auto" w:frame="1"/>
        </w:rPr>
        <w:t>1</w:t>
      </w:r>
      <w:r>
        <w:rPr>
          <w:rFonts w:ascii="Verdana" w:hAnsi="Verdana" w:cs="Arial"/>
          <w:bdr w:val="none" w:sz="0" w:space="0" w:color="auto" w:frame="1"/>
        </w:rPr>
        <w:t>)</w:t>
      </w:r>
      <w:r w:rsidRPr="00142E8F">
        <w:rPr>
          <w:rFonts w:ascii="Verdana" w:hAnsi="Verdana" w:cs="Arial"/>
          <w:bdr w:val="none" w:sz="0" w:space="0" w:color="auto" w:frame="1"/>
        </w:rPr>
        <w:t xml:space="preserve"> </w:t>
      </w:r>
      <w:r>
        <w:rPr>
          <w:rFonts w:ascii="Verdana" w:hAnsi="Verdana" w:cs="Arial"/>
          <w:bdr w:val="none" w:sz="0" w:space="0" w:color="auto" w:frame="1"/>
        </w:rPr>
        <w:t>u</w:t>
      </w:r>
      <w:r w:rsidRPr="00142E8F">
        <w:rPr>
          <w:rFonts w:ascii="Verdana" w:hAnsi="Verdana" w:cs="Arial"/>
          <w:bdr w:val="none" w:sz="0" w:space="0" w:color="auto" w:frame="1"/>
        </w:rPr>
        <w:t>n 58.5% corresponderá a la participación para educación</w:t>
      </w:r>
      <w:r>
        <w:rPr>
          <w:rFonts w:ascii="Verdana" w:hAnsi="Verdana" w:cs="Arial"/>
          <w:bdr w:val="none" w:sz="0" w:space="0" w:color="auto" w:frame="1"/>
        </w:rPr>
        <w:t xml:space="preserve">; </w:t>
      </w:r>
      <w:r w:rsidRPr="00142E8F">
        <w:rPr>
          <w:rFonts w:ascii="Verdana" w:hAnsi="Verdana" w:cs="Arial"/>
          <w:bdr w:val="none" w:sz="0" w:space="0" w:color="auto" w:frame="1"/>
        </w:rPr>
        <w:t>2</w:t>
      </w:r>
      <w:r>
        <w:rPr>
          <w:rFonts w:ascii="Verdana" w:hAnsi="Verdana" w:cs="Arial"/>
          <w:bdr w:val="none" w:sz="0" w:space="0" w:color="auto" w:frame="1"/>
        </w:rPr>
        <w:t>)</w:t>
      </w:r>
      <w:r w:rsidRPr="00142E8F">
        <w:rPr>
          <w:rFonts w:ascii="Verdana" w:hAnsi="Verdana" w:cs="Arial"/>
          <w:bdr w:val="none" w:sz="0" w:space="0" w:color="auto" w:frame="1"/>
        </w:rPr>
        <w:t xml:space="preserve"> Un 24.5% corresponderá a la participación para salud</w:t>
      </w:r>
      <w:r>
        <w:rPr>
          <w:rFonts w:ascii="Verdana" w:hAnsi="Verdana" w:cs="Arial"/>
          <w:bdr w:val="none" w:sz="0" w:space="0" w:color="auto" w:frame="1"/>
        </w:rPr>
        <w:t xml:space="preserve">; </w:t>
      </w:r>
      <w:r w:rsidRPr="00142E8F">
        <w:rPr>
          <w:rFonts w:ascii="Verdana" w:hAnsi="Verdana" w:cs="Arial"/>
          <w:bdr w:val="none" w:sz="0" w:space="0" w:color="auto" w:frame="1"/>
        </w:rPr>
        <w:t>3</w:t>
      </w:r>
      <w:r>
        <w:rPr>
          <w:rFonts w:ascii="Verdana" w:hAnsi="Verdana" w:cs="Arial"/>
          <w:bdr w:val="none" w:sz="0" w:space="0" w:color="auto" w:frame="1"/>
        </w:rPr>
        <w:t>)</w:t>
      </w:r>
      <w:r w:rsidRPr="00142E8F">
        <w:rPr>
          <w:rFonts w:ascii="Verdana" w:hAnsi="Verdana" w:cs="Arial"/>
          <w:bdr w:val="none" w:sz="0" w:space="0" w:color="auto" w:frame="1"/>
        </w:rPr>
        <w:t xml:space="preserve"> </w:t>
      </w:r>
      <w:r>
        <w:rPr>
          <w:rFonts w:ascii="Verdana" w:hAnsi="Verdana" w:cs="Arial"/>
          <w:bdr w:val="none" w:sz="0" w:space="0" w:color="auto" w:frame="1"/>
        </w:rPr>
        <w:t>u</w:t>
      </w:r>
      <w:r w:rsidRPr="00142E8F">
        <w:rPr>
          <w:rFonts w:ascii="Verdana" w:hAnsi="Verdana" w:cs="Arial"/>
          <w:bdr w:val="none" w:sz="0" w:space="0" w:color="auto" w:frame="1"/>
        </w:rPr>
        <w:t>n 5.4% corresponderá a la participación para agua potable y saneamiento básico</w:t>
      </w:r>
      <w:r>
        <w:rPr>
          <w:rFonts w:ascii="Verdana" w:hAnsi="Verdana" w:cs="Arial"/>
          <w:bdr w:val="none" w:sz="0" w:space="0" w:color="auto" w:frame="1"/>
        </w:rPr>
        <w:t xml:space="preserve">; y </w:t>
      </w:r>
      <w:r w:rsidRPr="00142E8F">
        <w:rPr>
          <w:rFonts w:ascii="Verdana" w:hAnsi="Verdana" w:cs="Arial"/>
          <w:bdr w:val="none" w:sz="0" w:space="0" w:color="auto" w:frame="1"/>
        </w:rPr>
        <w:t>4.</w:t>
      </w:r>
      <w:r>
        <w:rPr>
          <w:rFonts w:ascii="Verdana" w:hAnsi="Verdana" w:cs="Arial"/>
          <w:bdr w:val="none" w:sz="0" w:space="0" w:color="auto" w:frame="1"/>
        </w:rPr>
        <w:t>)</w:t>
      </w:r>
      <w:r w:rsidRPr="00142E8F">
        <w:rPr>
          <w:rFonts w:ascii="Verdana" w:hAnsi="Verdana" w:cs="Arial"/>
          <w:bdr w:val="none" w:sz="0" w:space="0" w:color="auto" w:frame="1"/>
        </w:rPr>
        <w:t xml:space="preserve"> </w:t>
      </w:r>
      <w:r>
        <w:rPr>
          <w:rFonts w:ascii="Verdana" w:hAnsi="Verdana" w:cs="Arial"/>
          <w:bdr w:val="none" w:sz="0" w:space="0" w:color="auto" w:frame="1"/>
        </w:rPr>
        <w:t>u</w:t>
      </w:r>
      <w:r w:rsidRPr="00142E8F">
        <w:rPr>
          <w:rFonts w:ascii="Verdana" w:hAnsi="Verdana" w:cs="Arial"/>
          <w:bdr w:val="none" w:sz="0" w:space="0" w:color="auto" w:frame="1"/>
        </w:rPr>
        <w:t>n 11.6% corresponderá a la participación de propósito general</w:t>
      </w:r>
      <w:r>
        <w:rPr>
          <w:rFonts w:ascii="Verdana" w:hAnsi="Verdana" w:cs="Arial"/>
          <w:bdr w:val="none" w:sz="0" w:space="0" w:color="auto" w:frame="1"/>
        </w:rPr>
        <w:t xml:space="preserve">. </w:t>
      </w:r>
    </w:p>
    <w:p w14:paraId="40FC96C6" w14:textId="77777777" w:rsidR="003C312E" w:rsidRDefault="003C312E" w:rsidP="003C312E">
      <w:pPr>
        <w:tabs>
          <w:tab w:val="left" w:pos="426"/>
        </w:tabs>
        <w:spacing w:after="120" w:line="276" w:lineRule="auto"/>
        <w:ind w:firstLine="709"/>
        <w:jc w:val="both"/>
        <w:rPr>
          <w:rFonts w:ascii="Verdana" w:hAnsi="Verdana" w:cs="Open Sans"/>
          <w:color w:val="000000" w:themeColor="text1"/>
        </w:rPr>
      </w:pPr>
      <w:r>
        <w:rPr>
          <w:rFonts w:ascii="Verdana" w:hAnsi="Verdana" w:cs="Arial"/>
          <w:bdr w:val="none" w:sz="0" w:space="0" w:color="auto" w:frame="1"/>
        </w:rPr>
        <w:t xml:space="preserve">En concordancia con lo anterior, </w:t>
      </w:r>
      <w:bookmarkStart w:id="6" w:name="4"/>
      <w:r w:rsidRPr="00E90DC2">
        <w:rPr>
          <w:rFonts w:ascii="Verdana" w:hAnsi="Verdana" w:cs="Arial"/>
          <w:bdr w:val="none" w:sz="0" w:space="0" w:color="auto" w:frame="1"/>
        </w:rPr>
        <w:t>la Ley 1176 del 2007 incorpor</w:t>
      </w:r>
      <w:r>
        <w:rPr>
          <w:rFonts w:ascii="Verdana" w:hAnsi="Verdana" w:cs="Arial"/>
          <w:bdr w:val="none" w:sz="0" w:space="0" w:color="auto" w:frame="1"/>
        </w:rPr>
        <w:t>ó</w:t>
      </w:r>
      <w:r w:rsidRPr="00E90DC2">
        <w:rPr>
          <w:rFonts w:ascii="Verdana" w:hAnsi="Verdana" w:cs="Arial"/>
          <w:bdr w:val="none" w:sz="0" w:space="0" w:color="auto" w:frame="1"/>
        </w:rPr>
        <w:t xml:space="preserve"> aspectos específicos sobre </w:t>
      </w:r>
      <w:r>
        <w:rPr>
          <w:rFonts w:ascii="Verdana" w:hAnsi="Verdana" w:cs="Arial"/>
          <w:bdr w:val="none" w:sz="0" w:space="0" w:color="auto" w:frame="1"/>
        </w:rPr>
        <w:t xml:space="preserve">los </w:t>
      </w:r>
      <w:r w:rsidRPr="00E90DC2">
        <w:rPr>
          <w:rFonts w:ascii="Verdana" w:hAnsi="Verdana" w:cs="Arial"/>
          <w:bdr w:val="none" w:sz="0" w:space="0" w:color="auto" w:frame="1"/>
        </w:rPr>
        <w:t xml:space="preserve">recursos del Sistema General </w:t>
      </w:r>
      <w:r>
        <w:rPr>
          <w:rFonts w:ascii="Verdana" w:hAnsi="Verdana" w:cs="Arial"/>
          <w:bdr w:val="none" w:sz="0" w:space="0" w:color="auto" w:frame="1"/>
        </w:rPr>
        <w:t>d</w:t>
      </w:r>
      <w:r w:rsidRPr="00E90DC2">
        <w:rPr>
          <w:rFonts w:ascii="Verdana" w:hAnsi="Verdana" w:cs="Arial"/>
          <w:bdr w:val="none" w:sz="0" w:space="0" w:color="auto" w:frame="1"/>
        </w:rPr>
        <w:t>e Participaciones para agua potable y saneamiento básico</w:t>
      </w:r>
      <w:bookmarkEnd w:id="6"/>
      <w:r>
        <w:rPr>
          <w:rFonts w:ascii="Verdana" w:hAnsi="Verdana" w:cs="Arial"/>
          <w:bdr w:val="none" w:sz="0" w:space="0" w:color="auto" w:frame="1"/>
        </w:rPr>
        <w:t>. En particular, dicha ley se refiere a la competencia de los departamentos r</w:t>
      </w:r>
      <w:r w:rsidRPr="00932EE9">
        <w:rPr>
          <w:rFonts w:ascii="Verdana" w:hAnsi="Verdana" w:cs="Arial"/>
          <w:bdr w:val="none" w:sz="0" w:space="0" w:color="auto" w:frame="1"/>
        </w:rPr>
        <w:t>elacionada con la prestación de los servicios públicos de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3-; la evaluación a</w:t>
      </w:r>
      <w:r w:rsidRPr="008A052D">
        <w:rPr>
          <w:rFonts w:ascii="Verdana" w:hAnsi="Verdana" w:cs="Arial"/>
          <w:bdr w:val="none" w:sz="0" w:space="0" w:color="auto" w:frame="1"/>
        </w:rPr>
        <w:t xml:space="preserve">l uso y ejecución a los recursos del </w:t>
      </w:r>
      <w:r>
        <w:rPr>
          <w:rFonts w:ascii="Verdana" w:hAnsi="Verdana" w:cs="Arial"/>
          <w:bdr w:val="none" w:sz="0" w:space="0" w:color="auto" w:frame="1"/>
        </w:rPr>
        <w:t>S</w:t>
      </w:r>
      <w:r w:rsidRPr="008A052D">
        <w:rPr>
          <w:rFonts w:ascii="Verdana" w:hAnsi="Verdana" w:cs="Arial"/>
          <w:bdr w:val="none" w:sz="0" w:space="0" w:color="auto" w:frame="1"/>
        </w:rPr>
        <w:t xml:space="preserve">istema </w:t>
      </w:r>
      <w:r>
        <w:rPr>
          <w:rFonts w:ascii="Verdana" w:hAnsi="Verdana" w:cs="Arial"/>
          <w:bdr w:val="none" w:sz="0" w:space="0" w:color="auto" w:frame="1"/>
        </w:rPr>
        <w:t>G</w:t>
      </w:r>
      <w:r w:rsidRPr="008A052D">
        <w:rPr>
          <w:rFonts w:ascii="Verdana" w:hAnsi="Verdana" w:cs="Arial"/>
          <w:bdr w:val="none" w:sz="0" w:space="0" w:color="auto" w:frame="1"/>
        </w:rPr>
        <w:t xml:space="preserve">eneral de </w:t>
      </w:r>
      <w:r>
        <w:rPr>
          <w:rFonts w:ascii="Verdana" w:hAnsi="Verdana" w:cs="Arial"/>
          <w:bdr w:val="none" w:sz="0" w:space="0" w:color="auto" w:frame="1"/>
        </w:rPr>
        <w:t>P</w:t>
      </w:r>
      <w:r w:rsidRPr="008A052D">
        <w:rPr>
          <w:rFonts w:ascii="Verdana" w:hAnsi="Verdana" w:cs="Arial"/>
          <w:bdr w:val="none" w:sz="0" w:space="0" w:color="auto" w:frame="1"/>
        </w:rPr>
        <w:t>articipaciones para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4-; los planes de gestión de agua potable y saneamiento básico</w:t>
      </w:r>
      <w:r w:rsidRPr="000642CA">
        <w:rPr>
          <w:rFonts w:ascii="Verdana" w:hAnsi="Verdana" w:cs="Arial"/>
          <w:bdr w:val="none" w:sz="0" w:space="0" w:color="auto" w:frame="1"/>
        </w:rPr>
        <w:t xml:space="preserve"> </w:t>
      </w:r>
      <w:r>
        <w:rPr>
          <w:rFonts w:ascii="Verdana" w:hAnsi="Verdana" w:cs="Arial"/>
          <w:bdr w:val="none" w:sz="0" w:space="0" w:color="auto" w:frame="1"/>
        </w:rPr>
        <w:t>-artículo 4A-;</w:t>
      </w:r>
      <w:r w:rsidRPr="00B7257A">
        <w:rPr>
          <w:rFonts w:ascii="Verdana" w:hAnsi="Verdana" w:cs="Arial"/>
          <w:color w:val="000000" w:themeColor="text1"/>
          <w:bdr w:val="none" w:sz="0" w:space="0" w:color="auto" w:frame="1"/>
        </w:rPr>
        <w:t xml:space="preserve"> la distribución territorial de los recursos -artículo 6-; </w:t>
      </w:r>
      <w:r>
        <w:rPr>
          <w:rFonts w:ascii="Verdana" w:hAnsi="Verdana" w:cs="Arial"/>
          <w:color w:val="000000" w:themeColor="text1"/>
          <w:bdr w:val="none" w:sz="0" w:space="0" w:color="auto" w:frame="1"/>
        </w:rPr>
        <w:t xml:space="preserve">los </w:t>
      </w:r>
      <w:r w:rsidRPr="00B7257A">
        <w:rPr>
          <w:rFonts w:ascii="Verdana" w:hAnsi="Verdana" w:cs="Arial"/>
          <w:color w:val="000000" w:themeColor="text1"/>
          <w:bdr w:val="none" w:sz="0" w:space="0" w:color="auto" w:frame="1"/>
        </w:rPr>
        <w:t xml:space="preserve">criterios de distribución de los recursos para los distritos y municipios -artículo 7-; </w:t>
      </w:r>
      <w:r>
        <w:rPr>
          <w:rFonts w:ascii="Verdana" w:hAnsi="Verdana" w:cs="Arial"/>
          <w:color w:val="000000" w:themeColor="text1"/>
          <w:bdr w:val="none" w:sz="0" w:space="0" w:color="auto" w:frame="1"/>
        </w:rPr>
        <w:t xml:space="preserve">los </w:t>
      </w:r>
      <w:r w:rsidRPr="00B7257A">
        <w:rPr>
          <w:rFonts w:ascii="Verdana" w:hAnsi="Verdana" w:cs="Open Sans"/>
          <w:color w:val="000000" w:themeColor="text1"/>
        </w:rPr>
        <w:t xml:space="preserve">criterios de distribución de los recursos para los departamentos  </w:t>
      </w:r>
      <w:r>
        <w:rPr>
          <w:rFonts w:ascii="Verdana" w:hAnsi="Verdana" w:cs="Open Sans"/>
          <w:color w:val="000000" w:themeColor="text1"/>
        </w:rPr>
        <w:t>-</w:t>
      </w:r>
      <w:r w:rsidRPr="00B7257A">
        <w:rPr>
          <w:rFonts w:ascii="Verdana" w:hAnsi="Verdana" w:cs="Open Sans"/>
          <w:color w:val="000000" w:themeColor="text1"/>
        </w:rPr>
        <w:t>artículo 8</w:t>
      </w:r>
      <w:r>
        <w:rPr>
          <w:rFonts w:ascii="Verdana" w:hAnsi="Verdana" w:cs="Open Sans"/>
          <w:color w:val="000000" w:themeColor="text1"/>
        </w:rPr>
        <w:t>-</w:t>
      </w:r>
      <w:r w:rsidRPr="00B7257A">
        <w:rPr>
          <w:rFonts w:ascii="Verdana" w:hAnsi="Verdana" w:cs="Open Sans"/>
          <w:color w:val="000000" w:themeColor="text1"/>
        </w:rPr>
        <w:t>;</w:t>
      </w:r>
      <w:r>
        <w:rPr>
          <w:rFonts w:ascii="Verdana" w:hAnsi="Verdana" w:cs="Open Sans"/>
          <w:color w:val="000000" w:themeColor="text1"/>
        </w:rPr>
        <w:t xml:space="preserve"> el</w:t>
      </w:r>
      <w:r w:rsidRPr="00B7257A">
        <w:rPr>
          <w:rFonts w:ascii="Verdana" w:hAnsi="Verdana" w:cs="Open Sans"/>
          <w:color w:val="000000" w:themeColor="text1"/>
        </w:rPr>
        <w:t xml:space="preserve"> régimen de transición – artículo 9-;  </w:t>
      </w:r>
      <w:r>
        <w:rPr>
          <w:rFonts w:ascii="Verdana" w:hAnsi="Verdana" w:cs="Open Sans"/>
          <w:color w:val="000000" w:themeColor="text1"/>
        </w:rPr>
        <w:t xml:space="preserve">la </w:t>
      </w:r>
      <w:r w:rsidRPr="00B7257A">
        <w:rPr>
          <w:rFonts w:ascii="Verdana" w:hAnsi="Verdana" w:cs="Open Sans"/>
          <w:color w:val="000000" w:themeColor="text1"/>
        </w:rPr>
        <w:t>destinación de los recursos para los departamentos</w:t>
      </w:r>
      <w:r>
        <w:rPr>
          <w:rFonts w:ascii="Verdana" w:hAnsi="Verdana" w:cs="Open Sans"/>
          <w:color w:val="000000" w:themeColor="text1"/>
        </w:rPr>
        <w:t xml:space="preserve"> </w:t>
      </w:r>
      <w:r w:rsidRPr="00B7257A">
        <w:rPr>
          <w:rFonts w:ascii="Verdana" w:hAnsi="Verdana" w:cs="Open Sans"/>
          <w:color w:val="000000" w:themeColor="text1"/>
        </w:rPr>
        <w:t>-art</w:t>
      </w:r>
      <w:r>
        <w:rPr>
          <w:rFonts w:ascii="Verdana" w:hAnsi="Verdana" w:cs="Open Sans"/>
          <w:color w:val="000000" w:themeColor="text1"/>
        </w:rPr>
        <w:t>ículo</w:t>
      </w:r>
      <w:r w:rsidRPr="00B7257A">
        <w:rPr>
          <w:rFonts w:ascii="Verdana" w:hAnsi="Verdana" w:cs="Open Sans"/>
          <w:color w:val="000000" w:themeColor="text1"/>
        </w:rPr>
        <w:t xml:space="preserve"> 10-; </w:t>
      </w:r>
      <w:r>
        <w:rPr>
          <w:rFonts w:ascii="Verdana" w:hAnsi="Verdana" w:cs="Open Sans"/>
          <w:color w:val="000000" w:themeColor="text1"/>
        </w:rPr>
        <w:t xml:space="preserve">la </w:t>
      </w:r>
      <w:r w:rsidRPr="00B7257A">
        <w:rPr>
          <w:rFonts w:ascii="Verdana" w:hAnsi="Verdana" w:cs="Open Sans"/>
          <w:color w:val="000000" w:themeColor="text1"/>
        </w:rPr>
        <w:t xml:space="preserve">destinación de los recursos de la participación de agua potable y saneamiento básico en los distritos y municipios </w:t>
      </w:r>
      <w:r>
        <w:rPr>
          <w:rFonts w:ascii="Verdana" w:hAnsi="Verdana" w:cs="Open Sans"/>
          <w:color w:val="000000" w:themeColor="text1"/>
        </w:rPr>
        <w:t>-</w:t>
      </w:r>
      <w:r w:rsidRPr="00B7257A">
        <w:rPr>
          <w:rFonts w:ascii="Verdana" w:hAnsi="Verdana" w:cs="Open Sans"/>
          <w:color w:val="000000" w:themeColor="text1"/>
        </w:rPr>
        <w:t xml:space="preserve">artículo 11-; </w:t>
      </w:r>
      <w:r>
        <w:rPr>
          <w:rFonts w:ascii="Verdana" w:hAnsi="Verdana" w:cs="Open Sans"/>
          <w:color w:val="000000" w:themeColor="text1"/>
        </w:rPr>
        <w:t xml:space="preserve">la </w:t>
      </w:r>
      <w:r w:rsidRPr="00B7257A">
        <w:rPr>
          <w:rFonts w:ascii="Verdana" w:hAnsi="Verdana" w:cs="Open Sans"/>
          <w:color w:val="000000" w:themeColor="text1"/>
        </w:rPr>
        <w:t xml:space="preserve">constitución de patrimonios autónomos </w:t>
      </w:r>
      <w:r>
        <w:rPr>
          <w:rFonts w:ascii="Verdana" w:hAnsi="Verdana" w:cs="Open Sans"/>
          <w:color w:val="000000" w:themeColor="text1"/>
        </w:rPr>
        <w:t>-</w:t>
      </w:r>
      <w:r w:rsidRPr="00B7257A">
        <w:rPr>
          <w:rFonts w:ascii="Verdana" w:hAnsi="Verdana" w:cs="Open Sans"/>
          <w:color w:val="000000" w:themeColor="text1"/>
        </w:rPr>
        <w:t xml:space="preserve">artículo 12-; </w:t>
      </w:r>
      <w:r>
        <w:rPr>
          <w:rFonts w:ascii="Verdana" w:hAnsi="Verdana" w:cs="Open Sans"/>
          <w:color w:val="000000" w:themeColor="text1"/>
        </w:rPr>
        <w:t xml:space="preserve">y el </w:t>
      </w:r>
      <w:r w:rsidRPr="00B7257A">
        <w:rPr>
          <w:rFonts w:ascii="Verdana" w:hAnsi="Verdana" w:cs="Open Sans"/>
          <w:color w:val="000000" w:themeColor="text1"/>
        </w:rPr>
        <w:t xml:space="preserve">giro de los recursos de la participación para agua potable y saneamiento básico </w:t>
      </w:r>
      <w:r>
        <w:rPr>
          <w:rFonts w:ascii="Verdana" w:hAnsi="Verdana" w:cs="Open Sans"/>
          <w:color w:val="000000" w:themeColor="text1"/>
        </w:rPr>
        <w:t>-</w:t>
      </w:r>
      <w:r w:rsidRPr="00B7257A">
        <w:rPr>
          <w:rFonts w:ascii="Verdana" w:hAnsi="Verdana" w:cs="Open Sans"/>
          <w:color w:val="000000" w:themeColor="text1"/>
        </w:rPr>
        <w:t>artículo 13</w:t>
      </w:r>
      <w:r>
        <w:rPr>
          <w:rFonts w:ascii="Verdana" w:hAnsi="Verdana" w:cs="Open Sans"/>
          <w:color w:val="000000" w:themeColor="text1"/>
        </w:rPr>
        <w:t>-</w:t>
      </w:r>
      <w:r w:rsidRPr="00B7257A">
        <w:rPr>
          <w:rFonts w:ascii="Verdana" w:hAnsi="Verdana" w:cs="Open Sans"/>
          <w:color w:val="000000" w:themeColor="text1"/>
        </w:rPr>
        <w:t>.</w:t>
      </w:r>
    </w:p>
    <w:p w14:paraId="35310CD6" w14:textId="77777777" w:rsidR="003C312E" w:rsidRDefault="003C312E" w:rsidP="003C312E">
      <w:pPr>
        <w:spacing w:after="120" w:line="276" w:lineRule="auto"/>
        <w:ind w:firstLine="708"/>
        <w:jc w:val="both"/>
        <w:rPr>
          <w:rFonts w:ascii="Verdana" w:hAnsi="Verdana" w:cs="Arial"/>
          <w:bdr w:val="none" w:sz="0" w:space="0" w:color="auto" w:frame="1"/>
        </w:rPr>
      </w:pPr>
      <w:r w:rsidRPr="00F615E3">
        <w:rPr>
          <w:rFonts w:ascii="Verdana" w:hAnsi="Verdana" w:cs="Arial"/>
          <w:noProof/>
        </w:rPr>
        <w:t>A partir d</w:t>
      </w:r>
      <w:r>
        <w:rPr>
          <w:rFonts w:ascii="Verdana" w:hAnsi="Verdana" w:cs="Arial"/>
          <w:noProof/>
        </w:rPr>
        <w:t>el analisis de estas normas</w:t>
      </w:r>
      <w:r w:rsidRPr="00F615E3">
        <w:rPr>
          <w:rFonts w:ascii="Verdana" w:hAnsi="Verdana" w:cs="Arial"/>
          <w:noProof/>
        </w:rPr>
        <w:t>,</w:t>
      </w:r>
      <w:r>
        <w:rPr>
          <w:rFonts w:ascii="Verdana" w:hAnsi="Verdana" w:cs="Arial"/>
          <w:noProof/>
        </w:rPr>
        <w:t xml:space="preserve"> es posible concluir que </w:t>
      </w:r>
      <w:r w:rsidRPr="00496806">
        <w:rPr>
          <w:rFonts w:ascii="Verdana" w:hAnsi="Verdana" w:cs="Arial"/>
          <w:bdr w:val="none" w:sz="0" w:space="0" w:color="auto" w:frame="1"/>
        </w:rPr>
        <w:t xml:space="preserve">no se </w:t>
      </w:r>
      <w:r>
        <w:rPr>
          <w:rFonts w:ascii="Verdana" w:hAnsi="Verdana" w:cs="Arial"/>
          <w:bdr w:val="none" w:sz="0" w:space="0" w:color="auto" w:frame="1"/>
        </w:rPr>
        <w:t>identifica</w:t>
      </w:r>
      <w:r w:rsidRPr="00496806">
        <w:rPr>
          <w:rFonts w:ascii="Verdana" w:hAnsi="Verdana" w:cs="Arial"/>
          <w:bdr w:val="none" w:sz="0" w:space="0" w:color="auto" w:frame="1"/>
        </w:rPr>
        <w:t xml:space="preserve"> una</w:t>
      </w:r>
      <w:r>
        <w:rPr>
          <w:rFonts w:ascii="Verdana" w:hAnsi="Verdana" w:cs="Arial"/>
          <w:bdr w:val="none" w:sz="0" w:space="0" w:color="auto" w:frame="1"/>
        </w:rPr>
        <w:t xml:space="preserve"> disposición específica que establezca de manera expresa </w:t>
      </w:r>
      <w:r w:rsidRPr="00496806">
        <w:rPr>
          <w:rFonts w:ascii="Verdana" w:hAnsi="Verdana" w:cs="Arial"/>
          <w:bdr w:val="none" w:sz="0" w:space="0" w:color="auto" w:frame="1"/>
        </w:rPr>
        <w:t>una sujeción a la Ley 80 de 1993 en relación con contratos para la ejecución de proyectos de agua potable y saneamiento básico</w:t>
      </w:r>
      <w:r>
        <w:rPr>
          <w:rFonts w:ascii="Verdana" w:hAnsi="Verdana" w:cs="Arial"/>
          <w:bdr w:val="none" w:sz="0" w:space="0" w:color="auto" w:frame="1"/>
        </w:rPr>
        <w:t xml:space="preserve"> financiados con recursos del Sistema General de Participaciones. </w:t>
      </w:r>
      <w:r w:rsidRPr="009361D6">
        <w:rPr>
          <w:rFonts w:ascii="Verdana" w:hAnsi="Verdana" w:cs="Arial"/>
          <w:bdr w:val="none" w:sz="0" w:space="0" w:color="auto" w:frame="1"/>
        </w:rPr>
        <w:t>En efecto, dentro de la Ley 715 de 2001 las únicas referencias expresas al régimen previsto en la Ley 80 de 1993 se encuentran</w:t>
      </w:r>
      <w:r>
        <w:rPr>
          <w:rFonts w:ascii="Verdana" w:hAnsi="Verdana" w:cs="Arial"/>
          <w:bdr w:val="none" w:sz="0" w:space="0" w:color="auto" w:frame="1"/>
        </w:rPr>
        <w:t xml:space="preserve"> </w:t>
      </w:r>
      <w:r w:rsidRPr="009361D6">
        <w:rPr>
          <w:rFonts w:ascii="Verdana" w:hAnsi="Verdana" w:cs="Arial"/>
          <w:bdr w:val="none" w:sz="0" w:space="0" w:color="auto" w:frame="1"/>
        </w:rPr>
        <w:t>en el artículo 13, relativo al procedimiento de contratación de los Fondos de Servicios Educativos, y en el artículo 112, en lo concerniente a los topes o límites de contratación</w:t>
      </w:r>
      <w:r>
        <w:rPr>
          <w:rFonts w:ascii="Verdana" w:hAnsi="Verdana" w:cs="Arial"/>
          <w:bdr w:val="none" w:sz="0" w:space="0" w:color="auto" w:frame="1"/>
        </w:rPr>
        <w:t xml:space="preserve">. </w:t>
      </w:r>
    </w:p>
    <w:p w14:paraId="35C63E97" w14:textId="77777777" w:rsidR="003C312E" w:rsidRDefault="003C312E" w:rsidP="003C312E">
      <w:pPr>
        <w:spacing w:after="120" w:line="276" w:lineRule="auto"/>
        <w:ind w:firstLine="708"/>
        <w:jc w:val="both"/>
        <w:rPr>
          <w:rFonts w:ascii="Verdana" w:hAnsi="Verdana" w:cs="Arial"/>
          <w:bdr w:val="none" w:sz="0" w:space="0" w:color="auto" w:frame="1"/>
        </w:rPr>
      </w:pPr>
      <w:r>
        <w:rPr>
          <w:rFonts w:ascii="Verdana" w:hAnsi="Verdana" w:cs="Arial"/>
          <w:bdr w:val="none" w:sz="0" w:space="0" w:color="auto" w:frame="1"/>
        </w:rPr>
        <w:t xml:space="preserve">Específicamente, el inciso segundo del artículo 13 ibidem señala expresamente que </w:t>
      </w:r>
      <w:r w:rsidRPr="001C3A3F">
        <w:rPr>
          <w:rFonts w:ascii="Verdana" w:hAnsi="Verdana" w:cs="Arial"/>
          <w:bdr w:val="none" w:sz="0" w:space="0" w:color="auto" w:frame="1"/>
        </w:rPr>
        <w:t xml:space="preserve">“Los actos y contratos de cuantía superior a veinte (20) salarios mínimos mensuales se regirán por las reglas de la </w:t>
      </w:r>
      <w:r w:rsidRPr="000056D9">
        <w:rPr>
          <w:rFonts w:ascii="Verdana" w:hAnsi="Verdana" w:cs="Arial"/>
          <w:i/>
          <w:iCs/>
          <w:bdr w:val="none" w:sz="0" w:space="0" w:color="auto" w:frame="1"/>
        </w:rPr>
        <w:t>contratación estatal</w:t>
      </w:r>
      <w:r w:rsidRPr="001C3A3F">
        <w:rPr>
          <w:rFonts w:ascii="Verdana" w:hAnsi="Verdana" w:cs="Arial"/>
          <w:bdr w:val="none" w:sz="0" w:space="0" w:color="auto" w:frame="1"/>
        </w:rPr>
        <w:t xml:space="preserve">, teniendo en cuenta su valor y naturaleza, y las circunstancias en las que se </w:t>
      </w:r>
      <w:r w:rsidRPr="001C3A3F">
        <w:rPr>
          <w:rFonts w:ascii="Verdana" w:hAnsi="Verdana" w:cs="Arial"/>
          <w:bdr w:val="none" w:sz="0" w:space="0" w:color="auto" w:frame="1"/>
        </w:rPr>
        <w:lastRenderedPageBreak/>
        <w:t>celebren. El Gobierno Nacional podrá indicar los casos en los cuales la cuantía señalada en el presente inciso será menor”.</w:t>
      </w:r>
      <w:r>
        <w:rPr>
          <w:rFonts w:ascii="Verdana" w:hAnsi="Verdana" w:cs="Arial"/>
          <w:bdr w:val="none" w:sz="0" w:space="0" w:color="auto" w:frame="1"/>
        </w:rPr>
        <w:t xml:space="preserve">  Además, el último inciso indica que “</w:t>
      </w:r>
      <w:r w:rsidRPr="00B454EF">
        <w:rPr>
          <w:rFonts w:ascii="Verdana" w:hAnsi="Verdana" w:cs="Arial"/>
          <w:color w:val="000000" w:themeColor="text1"/>
          <w:bdr w:val="none" w:sz="0" w:space="0" w:color="auto" w:frame="1"/>
        </w:rPr>
        <w:t>Ninguna otra norma de la Ley </w:t>
      </w:r>
      <w:hyperlink r:id="rId13" w:anchor="1" w:history="1">
        <w:r w:rsidRPr="00B454EF">
          <w:rPr>
            <w:rStyle w:val="Hipervnculo"/>
            <w:rFonts w:ascii="Verdana" w:hAnsi="Verdana" w:cs="Arial"/>
            <w:color w:val="000000" w:themeColor="text1"/>
            <w:u w:val="none"/>
            <w:bdr w:val="none" w:sz="0" w:space="0" w:color="auto" w:frame="1"/>
          </w:rPr>
          <w:t>80</w:t>
        </w:r>
      </w:hyperlink>
      <w:r w:rsidRPr="00B454EF">
        <w:rPr>
          <w:rFonts w:ascii="Verdana" w:hAnsi="Verdana" w:cs="Arial"/>
          <w:color w:val="000000" w:themeColor="text1"/>
          <w:bdr w:val="none" w:sz="0" w:space="0" w:color="auto" w:frame="1"/>
        </w:rPr>
        <w:t> </w:t>
      </w:r>
      <w:r w:rsidRPr="0078454B">
        <w:rPr>
          <w:rFonts w:ascii="Verdana" w:hAnsi="Verdana" w:cs="Arial"/>
          <w:bdr w:val="none" w:sz="0" w:space="0" w:color="auto" w:frame="1"/>
        </w:rPr>
        <w:t>de 1993 será aplicable a los actos y contratos de cuantía inferior a veinte (20) salarios mínimos mensuales que hayan de vincularse a las cuentas de los Fond</w:t>
      </w:r>
      <w:r>
        <w:rPr>
          <w:rFonts w:ascii="Verdana" w:hAnsi="Verdana" w:cs="Arial"/>
          <w:bdr w:val="none" w:sz="0" w:space="0" w:color="auto" w:frame="1"/>
        </w:rPr>
        <w:t>o”. Por su parte, el artículo 112 establece que “</w:t>
      </w:r>
      <w:r w:rsidRPr="00D053A6">
        <w:rPr>
          <w:rFonts w:ascii="Verdana" w:hAnsi="Verdana" w:cs="Arial"/>
          <w:bdr w:val="none" w:sz="0" w:space="0" w:color="auto" w:frame="1"/>
        </w:rPr>
        <w:t>Los concejos distritales y municipales, cuando fijen topes en materia contractual a las administraciones distritales y municipales, deberán sujetarse a los topes establecidos en la Ley 80 de 1993</w:t>
      </w:r>
      <w:r>
        <w:rPr>
          <w:rFonts w:ascii="Verdana" w:hAnsi="Verdana" w:cs="Arial"/>
          <w:bdr w:val="none" w:sz="0" w:space="0" w:color="auto" w:frame="1"/>
        </w:rPr>
        <w:t>”</w:t>
      </w:r>
      <w:r w:rsidRPr="00D053A6">
        <w:rPr>
          <w:rFonts w:ascii="Verdana" w:hAnsi="Verdana" w:cs="Arial"/>
          <w:bdr w:val="none" w:sz="0" w:space="0" w:color="auto" w:frame="1"/>
        </w:rPr>
        <w:t>.</w:t>
      </w:r>
    </w:p>
    <w:p w14:paraId="115C0053" w14:textId="77777777" w:rsidR="003C312E" w:rsidRDefault="003C312E" w:rsidP="003C312E">
      <w:pPr>
        <w:spacing w:after="120" w:line="276" w:lineRule="auto"/>
        <w:ind w:firstLine="708"/>
        <w:jc w:val="both"/>
        <w:rPr>
          <w:rFonts w:ascii="Verdana" w:hAnsi="Verdana" w:cs="Arial"/>
          <w:bdr w:val="none" w:sz="0" w:space="0" w:color="auto" w:frame="1"/>
        </w:rPr>
      </w:pPr>
      <w:r>
        <w:rPr>
          <w:rFonts w:ascii="Verdana" w:hAnsi="Verdana" w:cs="Arial"/>
          <w:bdr w:val="none" w:sz="0" w:space="0" w:color="auto" w:frame="1"/>
        </w:rPr>
        <w:t>Conforme se evidencia, las normas referidas realizan una remisión expresa a la Ley 80 de 1993, lo que implica que en los casos señalados se debe acudir a las reglas del</w:t>
      </w:r>
      <w:r w:rsidRPr="000E3772">
        <w:rPr>
          <w:rFonts w:ascii="Verdana" w:hAnsi="Verdana" w:cs="Arial"/>
          <w:bdr w:val="none" w:sz="0" w:space="0" w:color="auto" w:frame="1"/>
        </w:rPr>
        <w:t xml:space="preserve"> </w:t>
      </w:r>
      <w:r w:rsidRPr="00262860">
        <w:rPr>
          <w:rFonts w:ascii="Verdana" w:hAnsi="Verdana" w:cs="Arial"/>
          <w:bdr w:val="none" w:sz="0" w:space="0" w:color="auto" w:frame="1"/>
        </w:rPr>
        <w:t>Estatuto General de Contratación</w:t>
      </w:r>
      <w:r>
        <w:rPr>
          <w:rFonts w:ascii="Verdana" w:hAnsi="Verdana" w:cs="Arial"/>
          <w:bdr w:val="none" w:sz="0" w:space="0" w:color="auto" w:frame="1"/>
        </w:rPr>
        <w:t xml:space="preserve">. </w:t>
      </w:r>
      <w:r w:rsidRPr="00262860">
        <w:rPr>
          <w:rFonts w:ascii="Verdana" w:hAnsi="Verdana" w:cs="Arial"/>
          <w:bdr w:val="none" w:sz="0" w:space="0" w:color="auto" w:frame="1"/>
        </w:rPr>
        <w:t xml:space="preserve">Por fuera de estas remisiones puntuales, la Ley 715 de 2001 no consagra una regla general que imponga la aplicación del </w:t>
      </w:r>
      <w:r>
        <w:rPr>
          <w:rFonts w:ascii="Verdana" w:hAnsi="Verdana" w:cs="Arial"/>
          <w:bdr w:val="none" w:sz="0" w:space="0" w:color="auto" w:frame="1"/>
        </w:rPr>
        <w:t>EGCAP</w:t>
      </w:r>
      <w:r w:rsidRPr="00262860">
        <w:rPr>
          <w:rFonts w:ascii="Verdana" w:hAnsi="Verdana" w:cs="Arial"/>
          <w:bdr w:val="none" w:sz="0" w:space="0" w:color="auto" w:frame="1"/>
        </w:rPr>
        <w:t xml:space="preserve"> para la ejecución de los recursos del Sistema General de Participaciones en materia de agua potable y saneamiento básico</w:t>
      </w:r>
      <w:r>
        <w:rPr>
          <w:rFonts w:ascii="Verdana" w:hAnsi="Verdana" w:cs="Arial"/>
          <w:bdr w:val="none" w:sz="0" w:space="0" w:color="auto" w:frame="1"/>
        </w:rPr>
        <w:t xml:space="preserve">. </w:t>
      </w:r>
      <w:r w:rsidRPr="00496806">
        <w:rPr>
          <w:rFonts w:ascii="Verdana" w:hAnsi="Verdana" w:cs="Arial"/>
          <w:bdr w:val="none" w:sz="0" w:space="0" w:color="auto" w:frame="1"/>
        </w:rPr>
        <w:t xml:space="preserve">Por tanto, salvo mandato legal en contrario, </w:t>
      </w:r>
      <w:bookmarkStart w:id="7" w:name="_Hlk71740549"/>
      <w:r w:rsidRPr="00496806">
        <w:rPr>
          <w:rFonts w:ascii="Verdana" w:hAnsi="Verdana" w:cs="Arial"/>
          <w:bdr w:val="none" w:sz="0" w:space="0" w:color="auto" w:frame="1"/>
        </w:rPr>
        <w:t>las normas aplicables a</w:t>
      </w:r>
      <w:r>
        <w:rPr>
          <w:rFonts w:ascii="Verdana" w:hAnsi="Verdana" w:cs="Arial"/>
          <w:bdr w:val="none" w:sz="0" w:space="0" w:color="auto" w:frame="1"/>
        </w:rPr>
        <w:t xml:space="preserve"> </w:t>
      </w:r>
      <w:r w:rsidRPr="00496806">
        <w:rPr>
          <w:rFonts w:ascii="Verdana" w:hAnsi="Verdana" w:cs="Arial"/>
          <w:bdr w:val="none" w:sz="0" w:space="0" w:color="auto" w:frame="1"/>
        </w:rPr>
        <w:t>l</w:t>
      </w:r>
      <w:r>
        <w:rPr>
          <w:rFonts w:ascii="Verdana" w:hAnsi="Verdana" w:cs="Arial"/>
          <w:bdr w:val="none" w:sz="0" w:space="0" w:color="auto" w:frame="1"/>
        </w:rPr>
        <w:t>os</w:t>
      </w:r>
      <w:r w:rsidRPr="00496806">
        <w:rPr>
          <w:rFonts w:ascii="Verdana" w:hAnsi="Verdana" w:cs="Arial"/>
          <w:bdr w:val="none" w:sz="0" w:space="0" w:color="auto" w:frame="1"/>
        </w:rPr>
        <w:t xml:space="preserve"> contrato</w:t>
      </w:r>
      <w:r>
        <w:rPr>
          <w:rFonts w:ascii="Verdana" w:hAnsi="Verdana" w:cs="Arial"/>
          <w:bdr w:val="none" w:sz="0" w:space="0" w:color="auto" w:frame="1"/>
        </w:rPr>
        <w:t>s</w:t>
      </w:r>
      <w:r w:rsidRPr="00496806">
        <w:rPr>
          <w:rFonts w:ascii="Verdana" w:hAnsi="Verdana" w:cs="Arial"/>
          <w:bdr w:val="none" w:sz="0" w:space="0" w:color="auto" w:frame="1"/>
        </w:rPr>
        <w:t xml:space="preserve"> </w:t>
      </w:r>
      <w:r>
        <w:rPr>
          <w:rFonts w:ascii="Verdana" w:hAnsi="Verdana" w:cs="Arial"/>
          <w:bdr w:val="none" w:sz="0" w:space="0" w:color="auto" w:frame="1"/>
        </w:rPr>
        <w:t>financiado</w:t>
      </w:r>
      <w:r w:rsidRPr="00496806">
        <w:rPr>
          <w:rFonts w:ascii="Verdana" w:hAnsi="Verdana" w:cs="Arial"/>
          <w:bdr w:val="none" w:sz="0" w:space="0" w:color="auto" w:frame="1"/>
        </w:rPr>
        <w:t xml:space="preserve"> con </w:t>
      </w:r>
      <w:r>
        <w:rPr>
          <w:rFonts w:ascii="Verdana" w:hAnsi="Verdana" w:cs="Arial"/>
          <w:bdr w:val="none" w:sz="0" w:space="0" w:color="auto" w:frame="1"/>
        </w:rPr>
        <w:t xml:space="preserve">estos </w:t>
      </w:r>
      <w:r w:rsidRPr="00496806">
        <w:rPr>
          <w:rFonts w:ascii="Verdana" w:hAnsi="Verdana" w:cs="Arial"/>
          <w:bdr w:val="none" w:sz="0" w:space="0" w:color="auto" w:frame="1"/>
        </w:rPr>
        <w:t>recursos</w:t>
      </w:r>
      <w:r>
        <w:rPr>
          <w:rFonts w:ascii="Verdana" w:hAnsi="Verdana" w:cs="Arial"/>
          <w:bdr w:val="none" w:sz="0" w:space="0" w:color="auto" w:frame="1"/>
        </w:rPr>
        <w:t xml:space="preserve"> </w:t>
      </w:r>
      <w:r w:rsidRPr="00496806">
        <w:rPr>
          <w:rFonts w:ascii="Verdana" w:hAnsi="Verdana" w:cs="Arial"/>
          <w:bdr w:val="none" w:sz="0" w:space="0" w:color="auto" w:frame="1"/>
        </w:rPr>
        <w:t>dependerán del régimen contractual al cual esté sujeto la entidad ejecutora</w:t>
      </w:r>
      <w:bookmarkEnd w:id="7"/>
      <w:r>
        <w:rPr>
          <w:rFonts w:ascii="Verdana" w:hAnsi="Verdana" w:cs="Arial"/>
          <w:bdr w:val="none" w:sz="0" w:space="0" w:color="auto" w:frame="1"/>
        </w:rPr>
        <w:t xml:space="preserve">. </w:t>
      </w:r>
      <w:r w:rsidRPr="00496806">
        <w:rPr>
          <w:rFonts w:ascii="Verdana" w:hAnsi="Verdana" w:cs="Arial"/>
          <w:bdr w:val="none" w:sz="0" w:space="0" w:color="auto" w:frame="1"/>
        </w:rPr>
        <w:t xml:space="preserve"> </w:t>
      </w:r>
    </w:p>
    <w:p w14:paraId="11851EFC" w14:textId="77777777" w:rsidR="003C312E" w:rsidRDefault="003C312E" w:rsidP="003C312E">
      <w:pPr>
        <w:spacing w:after="120" w:line="276" w:lineRule="auto"/>
        <w:ind w:firstLine="708"/>
        <w:jc w:val="both"/>
        <w:rPr>
          <w:rFonts w:ascii="Verdana" w:hAnsi="Verdana" w:cs="Arial"/>
          <w:bdr w:val="none" w:sz="0" w:space="0" w:color="auto" w:frame="1"/>
        </w:rPr>
      </w:pPr>
      <w:r w:rsidRPr="00496806">
        <w:rPr>
          <w:rFonts w:ascii="Verdana" w:hAnsi="Verdana" w:cs="Arial"/>
          <w:bdr w:val="none" w:sz="0" w:space="0" w:color="auto" w:frame="1"/>
        </w:rPr>
        <w:t>Así las cosas, la entidad deberá analizar e identificar, en la etapa de planeación, las normas presupuestales que apliquen a los proyectos que se ejecutarán</w:t>
      </w:r>
      <w:bookmarkStart w:id="8" w:name="_Hlk73704076"/>
      <w:r w:rsidRPr="00496806">
        <w:rPr>
          <w:rFonts w:ascii="Verdana" w:hAnsi="Verdana" w:cs="Arial"/>
          <w:bdr w:val="none" w:sz="0" w:space="0" w:color="auto" w:frame="1"/>
        </w:rPr>
        <w:t xml:space="preserve">. </w:t>
      </w:r>
      <w:bookmarkStart w:id="9" w:name="_Hlk73704128"/>
      <w:r w:rsidRPr="00496806">
        <w:rPr>
          <w:rFonts w:ascii="Verdana" w:hAnsi="Verdana" w:cs="Arial"/>
          <w:bdr w:val="none" w:sz="0" w:space="0" w:color="auto" w:frame="1"/>
        </w:rPr>
        <w:t>De este modo, en el evento en que la entidad ejecutora esté sujeta al Estatuto General de Contratación Pública, la celebración y ejecución de los contratos deberá realizarse conforme a este régimen</w:t>
      </w:r>
      <w:bookmarkEnd w:id="9"/>
      <w:r w:rsidRPr="00496806">
        <w:rPr>
          <w:rFonts w:ascii="Verdana" w:hAnsi="Verdana" w:cs="Arial"/>
          <w:bdr w:val="none" w:sz="0" w:space="0" w:color="auto" w:frame="1"/>
        </w:rPr>
        <w:t xml:space="preserve">. </w:t>
      </w:r>
      <w:bookmarkEnd w:id="8"/>
    </w:p>
    <w:p w14:paraId="3B02712E" w14:textId="77777777" w:rsidR="003C312E" w:rsidRDefault="003C312E" w:rsidP="003C312E">
      <w:pPr>
        <w:spacing w:after="120" w:line="276" w:lineRule="auto"/>
        <w:ind w:firstLine="708"/>
        <w:jc w:val="both"/>
        <w:rPr>
          <w:rFonts w:ascii="Verdana" w:hAnsi="Verdana"/>
        </w:rPr>
      </w:pPr>
      <w:r>
        <w:rPr>
          <w:rFonts w:ascii="Verdana" w:hAnsi="Verdana" w:cs="Arial"/>
          <w:color w:val="000000"/>
          <w:bdr w:val="none" w:sz="0" w:space="0" w:color="auto" w:frame="1"/>
          <w:lang w:val="es-MX"/>
        </w:rPr>
        <w:t>Particularmente, como se explicó, l</w:t>
      </w:r>
      <w:r w:rsidRPr="00F615E3">
        <w:rPr>
          <w:rFonts w:ascii="Verdana" w:hAnsi="Verdana"/>
        </w:rPr>
        <w:t xml:space="preserve">a regla general para los casos de una empresa prestadora de servicios públicos domiciliarios es lo enunciado en el artículo 32 de la Ley 142 de 1994, que consagra </w:t>
      </w:r>
      <w:r>
        <w:rPr>
          <w:rFonts w:ascii="Verdana" w:hAnsi="Verdana"/>
        </w:rPr>
        <w:t>el régimen de derecho privado para los actos de las empresas de servicios públicos</w:t>
      </w:r>
      <w:r w:rsidRPr="00F615E3">
        <w:rPr>
          <w:rFonts w:ascii="Verdana" w:hAnsi="Verdana"/>
        </w:rPr>
        <w:t xml:space="preserve">. </w:t>
      </w:r>
      <w:r>
        <w:rPr>
          <w:rFonts w:ascii="Verdana" w:hAnsi="Verdana"/>
        </w:rPr>
        <w:t xml:space="preserve">En tal sentido, </w:t>
      </w:r>
      <w:r w:rsidRPr="00496806">
        <w:rPr>
          <w:rFonts w:ascii="Verdana" w:hAnsi="Verdana" w:cs="Arial"/>
          <w:bdr w:val="none" w:sz="0" w:space="0" w:color="auto" w:frame="1"/>
        </w:rPr>
        <w:t>las normas aplicables a</w:t>
      </w:r>
      <w:r>
        <w:rPr>
          <w:rFonts w:ascii="Verdana" w:hAnsi="Verdana" w:cs="Arial"/>
          <w:bdr w:val="none" w:sz="0" w:space="0" w:color="auto" w:frame="1"/>
        </w:rPr>
        <w:t xml:space="preserve"> </w:t>
      </w:r>
      <w:r w:rsidRPr="00496806">
        <w:rPr>
          <w:rFonts w:ascii="Verdana" w:hAnsi="Verdana" w:cs="Arial"/>
          <w:bdr w:val="none" w:sz="0" w:space="0" w:color="auto" w:frame="1"/>
        </w:rPr>
        <w:t>l</w:t>
      </w:r>
      <w:r>
        <w:rPr>
          <w:rFonts w:ascii="Verdana" w:hAnsi="Verdana" w:cs="Arial"/>
          <w:bdr w:val="none" w:sz="0" w:space="0" w:color="auto" w:frame="1"/>
        </w:rPr>
        <w:t>os</w:t>
      </w:r>
      <w:r w:rsidRPr="00496806">
        <w:rPr>
          <w:rFonts w:ascii="Verdana" w:hAnsi="Verdana" w:cs="Arial"/>
          <w:bdr w:val="none" w:sz="0" w:space="0" w:color="auto" w:frame="1"/>
        </w:rPr>
        <w:t xml:space="preserve"> contrato</w:t>
      </w:r>
      <w:r>
        <w:rPr>
          <w:rFonts w:ascii="Verdana" w:hAnsi="Verdana" w:cs="Arial"/>
          <w:bdr w:val="none" w:sz="0" w:space="0" w:color="auto" w:frame="1"/>
        </w:rPr>
        <w:t>s</w:t>
      </w:r>
      <w:r w:rsidRPr="00496806">
        <w:rPr>
          <w:rFonts w:ascii="Verdana" w:hAnsi="Verdana" w:cs="Arial"/>
          <w:bdr w:val="none" w:sz="0" w:space="0" w:color="auto" w:frame="1"/>
        </w:rPr>
        <w:t xml:space="preserve"> </w:t>
      </w:r>
      <w:r>
        <w:rPr>
          <w:rFonts w:ascii="Verdana" w:hAnsi="Verdana" w:cs="Arial"/>
          <w:bdr w:val="none" w:sz="0" w:space="0" w:color="auto" w:frame="1"/>
        </w:rPr>
        <w:t>financiado</w:t>
      </w:r>
      <w:r w:rsidRPr="00496806">
        <w:rPr>
          <w:rFonts w:ascii="Verdana" w:hAnsi="Verdana" w:cs="Arial"/>
          <w:bdr w:val="none" w:sz="0" w:space="0" w:color="auto" w:frame="1"/>
        </w:rPr>
        <w:t xml:space="preserve"> con recursos del Sistema General de Participaciones dependerán del régimen contractual al cual esté sujeto </w:t>
      </w:r>
      <w:r>
        <w:rPr>
          <w:rFonts w:ascii="Verdana" w:hAnsi="Verdana" w:cs="Arial"/>
          <w:bdr w:val="none" w:sz="0" w:space="0" w:color="auto" w:frame="1"/>
        </w:rPr>
        <w:t xml:space="preserve">esta empresa de servicios públicos. </w:t>
      </w:r>
    </w:p>
    <w:p w14:paraId="67BCBE10" w14:textId="77777777" w:rsidR="003C312E" w:rsidRDefault="003C312E" w:rsidP="003C312E">
      <w:pPr>
        <w:spacing w:after="120" w:line="276" w:lineRule="auto"/>
        <w:ind w:firstLine="709"/>
        <w:jc w:val="both"/>
        <w:rPr>
          <w:rFonts w:ascii="Verdana" w:hAnsi="Verdana" w:cs="Arial"/>
          <w:color w:val="000000"/>
          <w:bdr w:val="none" w:sz="0" w:space="0" w:color="auto" w:frame="1"/>
          <w:lang w:val="es-MX"/>
        </w:rPr>
      </w:pPr>
      <w:r>
        <w:rPr>
          <w:rFonts w:ascii="Verdana" w:hAnsi="Verdana"/>
        </w:rPr>
        <w:t xml:space="preserve">Finalmente, vale la pena mencionar que lo anterior marca una distinción en los </w:t>
      </w:r>
      <w:r w:rsidRPr="007216D7">
        <w:rPr>
          <w:rFonts w:ascii="Verdana" w:hAnsi="Verdana" w:cs="Arial"/>
          <w:color w:val="000000"/>
          <w:bdr w:val="none" w:sz="0" w:space="0" w:color="auto" w:frame="1"/>
          <w:lang w:val="es-MX"/>
        </w:rPr>
        <w:t>caso</w:t>
      </w:r>
      <w:r>
        <w:rPr>
          <w:rFonts w:ascii="Verdana" w:hAnsi="Verdana" w:cs="Arial"/>
          <w:color w:val="000000"/>
          <w:bdr w:val="none" w:sz="0" w:space="0" w:color="auto" w:frame="1"/>
          <w:lang w:val="es-MX"/>
        </w:rPr>
        <w:t>s en</w:t>
      </w:r>
      <w:r w:rsidRPr="007216D7">
        <w:rPr>
          <w:rFonts w:ascii="Verdana" w:hAnsi="Verdana" w:cs="Arial"/>
          <w:color w:val="000000"/>
          <w:bdr w:val="none" w:sz="0" w:space="0" w:color="auto" w:frame="1"/>
          <w:lang w:val="es-MX"/>
        </w:rPr>
        <w:t xml:space="preserve"> que est</w:t>
      </w:r>
      <w:r>
        <w:rPr>
          <w:rFonts w:ascii="Verdana" w:hAnsi="Verdana" w:cs="Arial"/>
          <w:color w:val="000000"/>
          <w:bdr w:val="none" w:sz="0" w:space="0" w:color="auto" w:frame="1"/>
          <w:lang w:val="es-MX"/>
        </w:rPr>
        <w:t>a</w:t>
      </w:r>
      <w:r w:rsidRPr="007216D7">
        <w:rPr>
          <w:rFonts w:ascii="Verdana" w:hAnsi="Verdana" w:cs="Arial"/>
          <w:color w:val="000000"/>
          <w:bdr w:val="none" w:sz="0" w:space="0" w:color="auto" w:frame="1"/>
          <w:lang w:val="es-MX"/>
        </w:rPr>
        <w:t>s</w:t>
      </w:r>
      <w:r>
        <w:rPr>
          <w:rFonts w:ascii="Verdana" w:hAnsi="Verdana" w:cs="Arial"/>
          <w:color w:val="000000"/>
          <w:bdr w:val="none" w:sz="0" w:space="0" w:color="auto" w:frame="1"/>
          <w:lang w:val="es-MX"/>
        </w:rPr>
        <w:t xml:space="preserve"> entidades</w:t>
      </w:r>
      <w:r w:rsidRPr="007216D7">
        <w:rPr>
          <w:rFonts w:ascii="Verdana" w:hAnsi="Verdana" w:cs="Arial"/>
          <w:color w:val="000000"/>
          <w:bdr w:val="none" w:sz="0" w:space="0" w:color="auto" w:frame="1"/>
          <w:lang w:val="es-MX"/>
        </w:rPr>
        <w:t xml:space="preserve"> funjan como ejecutoras de proyectos de inversión financiados con recursos del Sistema General de Regalías,</w:t>
      </w:r>
      <w:r>
        <w:rPr>
          <w:rFonts w:ascii="Verdana" w:hAnsi="Verdana" w:cs="Arial"/>
          <w:color w:val="000000"/>
          <w:bdr w:val="none" w:sz="0" w:space="0" w:color="auto" w:frame="1"/>
          <w:lang w:val="es-MX"/>
        </w:rPr>
        <w:t xml:space="preserve"> ya que conforme a la Ley 2056 de 2020</w:t>
      </w:r>
      <w:r w:rsidRPr="007216D7">
        <w:rPr>
          <w:rFonts w:ascii="Verdana" w:hAnsi="Verdana" w:cs="Arial"/>
          <w:color w:val="000000"/>
          <w:bdr w:val="none" w:sz="0" w:space="0" w:color="auto" w:frame="1"/>
          <w:lang w:val="es-MX"/>
        </w:rPr>
        <w:t xml:space="preserve"> deberán aplicar las normas del </w:t>
      </w:r>
      <w:r>
        <w:rPr>
          <w:rFonts w:ascii="Verdana" w:hAnsi="Verdana" w:cs="Arial"/>
          <w:color w:val="000000"/>
          <w:bdr w:val="none" w:sz="0" w:space="0" w:color="auto" w:frame="1"/>
          <w:lang w:val="es-MX"/>
        </w:rPr>
        <w:t>EGCAP</w:t>
      </w:r>
      <w:r w:rsidRPr="007216D7">
        <w:rPr>
          <w:rFonts w:ascii="Verdana" w:hAnsi="Verdana" w:cs="Arial"/>
          <w:color w:val="000000"/>
          <w:bdr w:val="none" w:sz="0" w:space="0" w:color="auto" w:frame="1"/>
          <w:lang w:val="es-MX"/>
        </w:rPr>
        <w:t xml:space="preserve"> para la ejecución de</w:t>
      </w:r>
      <w:r>
        <w:rPr>
          <w:rFonts w:ascii="Verdana" w:hAnsi="Verdana" w:cs="Arial"/>
          <w:color w:val="000000"/>
          <w:bdr w:val="none" w:sz="0" w:space="0" w:color="auto" w:frame="1"/>
          <w:lang w:val="es-MX"/>
        </w:rPr>
        <w:t xml:space="preserve"> dichos</w:t>
      </w:r>
      <w:r w:rsidRPr="007216D7">
        <w:rPr>
          <w:rFonts w:ascii="Verdana" w:hAnsi="Verdana" w:cs="Arial"/>
          <w:color w:val="000000"/>
          <w:bdr w:val="none" w:sz="0" w:space="0" w:color="auto" w:frame="1"/>
          <w:lang w:val="es-MX"/>
        </w:rPr>
        <w:t xml:space="preserve"> proyectos. </w:t>
      </w:r>
      <w:r>
        <w:rPr>
          <w:rFonts w:ascii="Verdana" w:hAnsi="Verdana" w:cs="Arial"/>
          <w:color w:val="000000"/>
          <w:bdr w:val="none" w:sz="0" w:space="0" w:color="auto" w:frame="1"/>
          <w:lang w:val="es-MX"/>
        </w:rPr>
        <w:t>S</w:t>
      </w:r>
      <w:r w:rsidRPr="007216D7">
        <w:rPr>
          <w:rFonts w:ascii="Verdana" w:hAnsi="Verdana" w:cs="Arial"/>
          <w:color w:val="000000"/>
          <w:bdr w:val="none" w:sz="0" w:space="0" w:color="auto" w:frame="1"/>
          <w:lang w:val="es-MX"/>
        </w:rPr>
        <w:t xml:space="preserve">i bien la Ley 2056 de 2020 no tiene un efecto subrogatorio o derogatorio respecto del régimen especial dispuesto en el artículo </w:t>
      </w:r>
      <w:r>
        <w:rPr>
          <w:rFonts w:ascii="Verdana" w:hAnsi="Verdana" w:cs="Arial"/>
          <w:color w:val="000000"/>
          <w:bdr w:val="none" w:sz="0" w:space="0" w:color="auto" w:frame="1"/>
          <w:lang w:val="es-MX"/>
        </w:rPr>
        <w:lastRenderedPageBreak/>
        <w:t>32 de la Ley 142 de 1994</w:t>
      </w:r>
      <w:r w:rsidRPr="007216D7">
        <w:rPr>
          <w:rFonts w:ascii="Verdana" w:hAnsi="Verdana" w:cs="Arial"/>
          <w:color w:val="000000"/>
          <w:bdr w:val="none" w:sz="0" w:space="0" w:color="auto" w:frame="1"/>
          <w:lang w:val="es-MX"/>
        </w:rPr>
        <w:t>, esta si constituye una norma especial en lo relativo a la ejecución de recursos del Sistema General de Regalías, por lo que en atención a lo dispuesto en el artículo 37 de dicha norma especial</w:t>
      </w:r>
      <w:r>
        <w:rPr>
          <w:rStyle w:val="Refdenotaalpie"/>
          <w:rFonts w:ascii="Verdana" w:hAnsi="Verdana" w:cs="Arial"/>
          <w:color w:val="000000"/>
          <w:bdr w:val="none" w:sz="0" w:space="0" w:color="auto" w:frame="1"/>
          <w:lang w:val="es-MX"/>
        </w:rPr>
        <w:footnoteReference w:id="6"/>
      </w:r>
      <w:r w:rsidRPr="007216D7">
        <w:rPr>
          <w:rFonts w:ascii="Verdana" w:hAnsi="Verdana" w:cs="Arial"/>
          <w:color w:val="000000"/>
          <w:bdr w:val="none" w:sz="0" w:space="0" w:color="auto" w:frame="1"/>
          <w:lang w:val="es-MX"/>
        </w:rPr>
        <w:t xml:space="preserve">, </w:t>
      </w:r>
      <w:r>
        <w:rPr>
          <w:rFonts w:ascii="Verdana" w:hAnsi="Verdana" w:cs="Arial"/>
          <w:color w:val="000000"/>
          <w:bdr w:val="none" w:sz="0" w:space="0" w:color="auto" w:frame="1"/>
          <w:lang w:val="es-MX"/>
        </w:rPr>
        <w:t>las empresas de servicios públicos domiciliarios</w:t>
      </w:r>
      <w:r w:rsidRPr="007216D7">
        <w:rPr>
          <w:rFonts w:ascii="Verdana" w:hAnsi="Verdana" w:cs="Arial"/>
          <w:color w:val="000000"/>
          <w:bdr w:val="none" w:sz="0" w:space="0" w:color="auto" w:frame="1"/>
          <w:lang w:val="es-MX"/>
        </w:rPr>
        <w:t xml:space="preserve"> que actúen como ejecutores de las asignaciones a las que se refieren los artículos 35 y 36 de la Ley 2056 de 2020 deberán aplicar las disposiciones de las </w:t>
      </w:r>
      <w:r>
        <w:rPr>
          <w:rFonts w:ascii="Verdana" w:hAnsi="Verdana" w:cs="Arial"/>
          <w:color w:val="000000"/>
          <w:bdr w:val="none" w:sz="0" w:space="0" w:color="auto" w:frame="1"/>
          <w:lang w:val="es-MX"/>
        </w:rPr>
        <w:t>L</w:t>
      </w:r>
      <w:r w:rsidRPr="007216D7">
        <w:rPr>
          <w:rFonts w:ascii="Verdana" w:hAnsi="Verdana" w:cs="Arial"/>
          <w:color w:val="000000"/>
          <w:bdr w:val="none" w:sz="0" w:space="0" w:color="auto" w:frame="1"/>
          <w:lang w:val="es-MX"/>
        </w:rPr>
        <w:t xml:space="preserve">eyes 80 de 1993, 1150 de 2007 y 1474 de 2011, así como el Decreto 1082 de 2015, para el desarrollo de la contratación que se requiera realizar para la ejecución de los proyectos de inversión que tienen a su cargo. </w:t>
      </w:r>
    </w:p>
    <w:p w14:paraId="4ED4492C" w14:textId="77777777" w:rsidR="003C312E" w:rsidRDefault="003C312E" w:rsidP="003C312E">
      <w:pPr>
        <w:spacing w:after="120" w:line="276" w:lineRule="auto"/>
        <w:ind w:firstLine="709"/>
        <w:jc w:val="both"/>
        <w:rPr>
          <w:rFonts w:ascii="Verdana" w:hAnsi="Verdana" w:cs="Arial"/>
          <w:color w:val="000000"/>
          <w:bdr w:val="none" w:sz="0" w:space="0" w:color="auto" w:frame="1"/>
          <w:lang w:val="es-MX"/>
        </w:rPr>
      </w:pPr>
      <w:r w:rsidRPr="00B846B6">
        <w:rPr>
          <w:rFonts w:ascii="Verdana" w:hAnsi="Verdana" w:cs="Arial"/>
          <w:color w:val="000000"/>
          <w:bdr w:val="none" w:sz="0" w:space="0" w:color="auto" w:frame="1"/>
          <w:lang w:val="es-MX"/>
        </w:rPr>
        <w:t>En este sentido, a diferencia de lo previsto en la Ley 2056 de 2020</w:t>
      </w:r>
      <w:r>
        <w:rPr>
          <w:rFonts w:ascii="Verdana" w:hAnsi="Verdana" w:cs="Arial"/>
          <w:color w:val="000000"/>
          <w:bdr w:val="none" w:sz="0" w:space="0" w:color="auto" w:frame="1"/>
          <w:lang w:val="es-MX"/>
        </w:rPr>
        <w:t xml:space="preserve">, </w:t>
      </w:r>
      <w:r w:rsidRPr="00B846B6">
        <w:rPr>
          <w:rFonts w:ascii="Verdana" w:hAnsi="Verdana" w:cs="Arial"/>
          <w:color w:val="000000"/>
          <w:bdr w:val="none" w:sz="0" w:space="0" w:color="auto" w:frame="1"/>
          <w:lang w:val="es-MX"/>
        </w:rPr>
        <w:t>que sí contiene disposiciones expresas sobre el régimen contractual aplicable a la ejecución de recursos del Sistema General de Regalías, en la Ley 715 de 2001 no se advierte, salvo en lo dispuesto en sus artículos 13 y 122, una norma específica que establezca de manera expresa la sujeción a la Ley 80 de 1993 para la celebración de actos o contratos destinados a la ejecución de proyectos de agua potable y saneamiento básico financiados con recursos del Sistema General de Participaciones.</w:t>
      </w:r>
      <w:r>
        <w:rPr>
          <w:rFonts w:ascii="Verdana" w:hAnsi="Verdana" w:cs="Arial"/>
          <w:color w:val="000000"/>
          <w:bdr w:val="none" w:sz="0" w:space="0" w:color="auto" w:frame="1"/>
          <w:lang w:val="es-MX"/>
        </w:rPr>
        <w:t xml:space="preserve"> L</w:t>
      </w:r>
      <w:r w:rsidRPr="00B846B6">
        <w:rPr>
          <w:rFonts w:ascii="Verdana" w:hAnsi="Verdana" w:cs="Arial"/>
          <w:color w:val="000000"/>
          <w:bdr w:val="none" w:sz="0" w:space="0" w:color="auto" w:frame="1"/>
          <w:lang w:val="es-MX"/>
        </w:rPr>
        <w:t xml:space="preserve">a Ley 715 de 2001 no consagra una cláusula general </w:t>
      </w:r>
      <w:r w:rsidRPr="00B846B6">
        <w:rPr>
          <w:rFonts w:ascii="Verdana" w:hAnsi="Verdana" w:cs="Arial"/>
          <w:color w:val="000000"/>
          <w:bdr w:val="none" w:sz="0" w:space="0" w:color="auto" w:frame="1"/>
          <w:lang w:val="es-MX"/>
        </w:rPr>
        <w:lastRenderedPageBreak/>
        <w:t xml:space="preserve">de remisión al </w:t>
      </w:r>
      <w:r>
        <w:rPr>
          <w:rFonts w:ascii="Verdana" w:hAnsi="Verdana" w:cs="Arial"/>
          <w:color w:val="000000"/>
          <w:bdr w:val="none" w:sz="0" w:space="0" w:color="auto" w:frame="1"/>
          <w:lang w:val="es-MX"/>
        </w:rPr>
        <w:t xml:space="preserve">EGCAP </w:t>
      </w:r>
      <w:r w:rsidRPr="00B846B6">
        <w:rPr>
          <w:rFonts w:ascii="Verdana" w:hAnsi="Verdana" w:cs="Arial"/>
          <w:color w:val="000000"/>
          <w:bdr w:val="none" w:sz="0" w:space="0" w:color="auto" w:frame="1"/>
          <w:lang w:val="es-MX"/>
        </w:rPr>
        <w:t xml:space="preserve">para todos los supuestos de ejecución contractual asociados a dichos recursos. </w:t>
      </w:r>
    </w:p>
    <w:p w14:paraId="41080343" w14:textId="77777777" w:rsidR="003C312E" w:rsidRDefault="003C312E" w:rsidP="003C312E">
      <w:pPr>
        <w:spacing w:after="0" w:line="276" w:lineRule="auto"/>
        <w:ind w:firstLine="709"/>
        <w:jc w:val="both"/>
        <w:rPr>
          <w:rFonts w:ascii="Verdana" w:hAnsi="Verdana" w:cs="Arial"/>
          <w:color w:val="000000"/>
          <w:bdr w:val="none" w:sz="0" w:space="0" w:color="auto" w:frame="1"/>
          <w:lang w:val="es-MX"/>
        </w:rPr>
      </w:pPr>
      <w:r w:rsidRPr="00B846B6">
        <w:rPr>
          <w:rFonts w:ascii="Verdana" w:hAnsi="Verdana" w:cs="Arial"/>
          <w:color w:val="000000"/>
          <w:bdr w:val="none" w:sz="0" w:space="0" w:color="auto" w:frame="1"/>
          <w:lang w:val="es-MX"/>
        </w:rPr>
        <w:t>Así, desde una interpretación sistemática y bajo el principio de legalidad, en ausencia de remisión expresa al régimen de la Ley 80 de 1993, debe concluirse que los contratos que se celebren para la ejecución de estos proyectos se sujetarán al régimen contractual propio de la entidad ejecutora, de acuerdo con su naturaleza jurídica y el marco normativo que le resulte aplicable.</w:t>
      </w:r>
      <w:r>
        <w:rPr>
          <w:rFonts w:ascii="Verdana" w:hAnsi="Verdana" w:cs="Arial"/>
          <w:color w:val="000000"/>
          <w:bdr w:val="none" w:sz="0" w:space="0" w:color="auto" w:frame="1"/>
          <w:lang w:val="es-MX"/>
        </w:rPr>
        <w:t xml:space="preserve"> </w:t>
      </w:r>
      <w:r w:rsidRPr="00B846B6">
        <w:rPr>
          <w:rFonts w:ascii="Verdana" w:hAnsi="Verdana" w:cs="Arial"/>
          <w:color w:val="000000"/>
          <w:bdr w:val="none" w:sz="0" w:space="0" w:color="auto" w:frame="1"/>
          <w:lang w:val="es-MX"/>
        </w:rPr>
        <w:t xml:space="preserve">Lo anterior, sin perjuicio de que, en todo caso, el manejo de recursos públicos impone la observancia de los principios </w:t>
      </w:r>
      <w:r>
        <w:rPr>
          <w:rFonts w:ascii="Verdana" w:hAnsi="Verdana" w:cs="Arial"/>
          <w:color w:val="000000"/>
          <w:bdr w:val="none" w:sz="0" w:space="0" w:color="auto" w:frame="1"/>
          <w:lang w:val="es-MX"/>
        </w:rPr>
        <w:t xml:space="preserve">de la función administrativa y la gestión fiscal. </w:t>
      </w:r>
    </w:p>
    <w:p w14:paraId="6B71F8DB" w14:textId="77777777" w:rsidR="003C312E" w:rsidRDefault="003C312E" w:rsidP="003C312E">
      <w:pPr>
        <w:spacing w:after="0" w:line="276" w:lineRule="auto"/>
        <w:ind w:firstLine="709"/>
        <w:jc w:val="both"/>
        <w:rPr>
          <w:rFonts w:ascii="Verdana" w:hAnsi="Verdana" w:cs="Arial"/>
          <w:color w:val="000000"/>
          <w:bdr w:val="none" w:sz="0" w:space="0" w:color="auto" w:frame="1"/>
          <w:lang w:val="es-MX"/>
        </w:rPr>
      </w:pPr>
    </w:p>
    <w:p w14:paraId="0E64C965" w14:textId="77777777" w:rsidR="003C312E" w:rsidRPr="00324A04" w:rsidRDefault="003C312E" w:rsidP="003C312E">
      <w:pPr>
        <w:spacing w:after="120" w:line="276" w:lineRule="auto"/>
        <w:jc w:val="both"/>
        <w:rPr>
          <w:rFonts w:ascii="Verdana" w:eastAsia="Times New Roman" w:hAnsi="Verdana" w:cs="Arial"/>
          <w:lang w:eastAsia="es-CO"/>
        </w:rPr>
      </w:pPr>
      <w:proofErr w:type="spellStart"/>
      <w:r>
        <w:rPr>
          <w:rFonts w:ascii="Verdana" w:hAnsi="Verdana" w:cs="Arial"/>
          <w:bCs/>
          <w:color w:val="000000" w:themeColor="text1"/>
        </w:rPr>
        <w:t>ii</w:t>
      </w:r>
      <w:r w:rsidRPr="00324A04">
        <w:rPr>
          <w:rFonts w:ascii="Verdana" w:hAnsi="Verdana" w:cs="Arial"/>
          <w:bCs/>
          <w:color w:val="000000" w:themeColor="text1"/>
        </w:rPr>
        <w:t>i</w:t>
      </w:r>
      <w:proofErr w:type="spellEnd"/>
      <w:r>
        <w:rPr>
          <w:rFonts w:ascii="Verdana" w:hAnsi="Verdana" w:cs="Arial"/>
          <w:bCs/>
          <w:color w:val="000000" w:themeColor="text1"/>
        </w:rPr>
        <w:t>)</w:t>
      </w:r>
      <w:r w:rsidRPr="00324A04">
        <w:rPr>
          <w:rFonts w:ascii="Verdana" w:hAnsi="Verdana" w:cs="Arial"/>
          <w:bCs/>
          <w:color w:val="000000" w:themeColor="text1"/>
        </w:rPr>
        <w:t xml:space="preserve">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B8EE774" w14:textId="77777777" w:rsidR="003C312E" w:rsidRPr="0078001C" w:rsidRDefault="003C312E" w:rsidP="003C312E">
      <w:pPr>
        <w:spacing w:after="0" w:line="276" w:lineRule="auto"/>
        <w:ind w:firstLine="708"/>
        <w:jc w:val="both"/>
        <w:rPr>
          <w:rFonts w:ascii="Verdana" w:hAnsi="Verdana" w:cs="Arial"/>
          <w:bCs/>
          <w:color w:val="000000" w:themeColor="text1"/>
        </w:rPr>
      </w:pPr>
      <w:r w:rsidRPr="00324A04">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4523D15" w14:textId="77777777" w:rsidR="003C312E" w:rsidRPr="00FC6F34" w:rsidRDefault="003C312E" w:rsidP="003C312E">
      <w:pPr>
        <w:spacing w:after="0" w:line="276" w:lineRule="auto"/>
        <w:ind w:firstLine="708"/>
        <w:jc w:val="both"/>
        <w:rPr>
          <w:rFonts w:ascii="Verdana" w:eastAsia="Calibri" w:hAnsi="Verdana" w:cs="Arial"/>
          <w:lang w:val="es-ES"/>
        </w:rPr>
      </w:pPr>
    </w:p>
    <w:bookmarkEnd w:id="1"/>
    <w:bookmarkEnd w:id="2"/>
    <w:p w14:paraId="21FE36B5" w14:textId="77777777" w:rsidR="003C312E" w:rsidRPr="00FC6F34" w:rsidRDefault="003C312E" w:rsidP="003C312E">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30857CB2" w14:textId="77777777" w:rsidR="003C312E" w:rsidRPr="00FC6F34" w:rsidRDefault="003C312E" w:rsidP="003C312E">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C312E" w:rsidRPr="00FC6F34" w14:paraId="72FE55C1" w14:textId="77777777" w:rsidTr="00B4119A">
        <w:trPr>
          <w:trHeight w:val="870"/>
        </w:trPr>
        <w:tc>
          <w:tcPr>
            <w:tcW w:w="8647" w:type="dxa"/>
          </w:tcPr>
          <w:p w14:paraId="0C0D8252" w14:textId="77777777" w:rsidR="003C312E" w:rsidRPr="00653A49" w:rsidRDefault="003C312E" w:rsidP="00B4119A">
            <w:pPr>
              <w:pStyle w:val="Prrafodelista"/>
              <w:numPr>
                <w:ilvl w:val="0"/>
                <w:numId w:val="16"/>
              </w:numPr>
              <w:spacing w:line="276" w:lineRule="auto"/>
              <w:contextualSpacing w:val="0"/>
              <w:jc w:val="both"/>
              <w:rPr>
                <w:rFonts w:ascii="Verdana" w:hAnsi="Verdana" w:cs="Arial"/>
                <w:lang w:val="es-CO"/>
              </w:rPr>
            </w:pPr>
            <w:r w:rsidRPr="00F615E3">
              <w:rPr>
                <w:rFonts w:ascii="Verdana" w:hAnsi="Verdana" w:cs="Arial"/>
                <w:noProof/>
                <w:lang w:val="es-ES_tradnl"/>
              </w:rPr>
              <w:lastRenderedPageBreak/>
              <w:t xml:space="preserve">Constitución Política: </w:t>
            </w:r>
            <w:r>
              <w:rPr>
                <w:rFonts w:ascii="Verdana" w:hAnsi="Verdana" w:cs="Arial"/>
                <w:noProof/>
                <w:lang w:val="es-ES_tradnl"/>
              </w:rPr>
              <w:t>Artículos 356 y 357</w:t>
            </w:r>
            <w:r w:rsidRPr="00F615E3">
              <w:rPr>
                <w:rFonts w:ascii="Verdana" w:hAnsi="Verdana" w:cs="Arial"/>
                <w:noProof/>
                <w:lang w:val="es-ES_tradnl"/>
              </w:rPr>
              <w:t xml:space="preserve"> </w:t>
            </w:r>
          </w:p>
          <w:p w14:paraId="7D4D4C77" w14:textId="77777777" w:rsidR="003C312E" w:rsidRPr="00653A49" w:rsidRDefault="003C312E" w:rsidP="00B4119A">
            <w:pPr>
              <w:pStyle w:val="Prrafodelista"/>
              <w:numPr>
                <w:ilvl w:val="0"/>
                <w:numId w:val="16"/>
              </w:numPr>
              <w:spacing w:line="276" w:lineRule="auto"/>
              <w:contextualSpacing w:val="0"/>
              <w:jc w:val="both"/>
              <w:rPr>
                <w:rFonts w:ascii="Verdana" w:hAnsi="Verdana" w:cs="Arial"/>
                <w:lang w:val="es-CO"/>
              </w:rPr>
            </w:pPr>
            <w:r w:rsidRPr="00F615E3">
              <w:rPr>
                <w:rFonts w:ascii="Verdana" w:hAnsi="Verdana"/>
              </w:rPr>
              <w:t xml:space="preserve">Ley 80 de 1993 </w:t>
            </w:r>
          </w:p>
          <w:p w14:paraId="197B78C7" w14:textId="77777777" w:rsidR="003C312E" w:rsidRPr="00653A49" w:rsidRDefault="003C312E" w:rsidP="00B4119A">
            <w:pPr>
              <w:pStyle w:val="Prrafodelista"/>
              <w:numPr>
                <w:ilvl w:val="0"/>
                <w:numId w:val="16"/>
              </w:numPr>
              <w:spacing w:line="276" w:lineRule="auto"/>
              <w:contextualSpacing w:val="0"/>
              <w:jc w:val="both"/>
              <w:rPr>
                <w:rFonts w:ascii="Verdana" w:hAnsi="Verdana" w:cs="Arial"/>
                <w:lang w:val="es-MX"/>
              </w:rPr>
            </w:pPr>
            <w:r w:rsidRPr="00F615E3">
              <w:rPr>
                <w:rFonts w:ascii="Verdana" w:hAnsi="Verdana"/>
              </w:rPr>
              <w:t xml:space="preserve">Ley 142 de 1994: Artículo 31 y 32. </w:t>
            </w:r>
          </w:p>
          <w:p w14:paraId="30D53466" w14:textId="77777777" w:rsidR="003C312E" w:rsidRPr="00653A49" w:rsidRDefault="003C312E" w:rsidP="00B4119A">
            <w:pPr>
              <w:pStyle w:val="Prrafodelista"/>
              <w:numPr>
                <w:ilvl w:val="0"/>
                <w:numId w:val="16"/>
              </w:numPr>
              <w:spacing w:line="276" w:lineRule="auto"/>
              <w:contextualSpacing w:val="0"/>
              <w:jc w:val="both"/>
              <w:rPr>
                <w:rFonts w:ascii="Verdana" w:hAnsi="Verdana" w:cs="Arial"/>
                <w:lang w:val="es-MX"/>
              </w:rPr>
            </w:pPr>
            <w:r w:rsidRPr="003B4A6B">
              <w:rPr>
                <w:rFonts w:ascii="Verdana" w:hAnsi="Verdana" w:cs="Arial"/>
                <w:bdr w:val="none" w:sz="0" w:space="0" w:color="auto" w:frame="1"/>
              </w:rPr>
              <w:t>Ley 715 de 2001</w:t>
            </w:r>
          </w:p>
          <w:p w14:paraId="7E47F92E" w14:textId="77777777" w:rsidR="003C312E" w:rsidRPr="00653A49" w:rsidRDefault="003C312E" w:rsidP="00B4119A">
            <w:pPr>
              <w:pStyle w:val="Prrafodelista"/>
              <w:numPr>
                <w:ilvl w:val="0"/>
                <w:numId w:val="16"/>
              </w:numPr>
              <w:spacing w:line="276" w:lineRule="auto"/>
              <w:contextualSpacing w:val="0"/>
              <w:jc w:val="both"/>
              <w:rPr>
                <w:rFonts w:ascii="Verdana" w:hAnsi="Verdana" w:cs="Arial"/>
                <w:lang w:val="es-MX"/>
              </w:rPr>
            </w:pPr>
            <w:r w:rsidRPr="003B4A6B">
              <w:rPr>
                <w:rFonts w:ascii="Verdana" w:hAnsi="Verdana" w:cs="Arial"/>
                <w:bdr w:val="none" w:sz="0" w:space="0" w:color="auto" w:frame="1"/>
              </w:rPr>
              <w:t>Ley 1176 de 2007</w:t>
            </w:r>
          </w:p>
          <w:p w14:paraId="2A2F4888" w14:textId="77777777" w:rsidR="003C312E" w:rsidRPr="00FC6F34" w:rsidRDefault="003C312E" w:rsidP="00B4119A">
            <w:pPr>
              <w:widowControl w:val="0"/>
              <w:numPr>
                <w:ilvl w:val="0"/>
                <w:numId w:val="16"/>
              </w:numPr>
              <w:autoSpaceDE w:val="0"/>
              <w:autoSpaceDN w:val="0"/>
              <w:spacing w:after="120"/>
              <w:jc w:val="both"/>
              <w:rPr>
                <w:rFonts w:ascii="Verdana" w:hAnsi="Verdana" w:cs="Arial"/>
              </w:rPr>
            </w:pPr>
            <w:r w:rsidRPr="003B4A6B">
              <w:rPr>
                <w:rFonts w:ascii="Verdana" w:hAnsi="Verdana" w:cs="Arial"/>
                <w:noProof/>
                <w:lang w:val="es-ES_tradnl"/>
              </w:rPr>
              <w:t xml:space="preserve">Ley 2056 de 2020: </w:t>
            </w:r>
            <w:r>
              <w:rPr>
                <w:rFonts w:ascii="Verdana" w:hAnsi="Verdana" w:cs="Arial"/>
                <w:noProof/>
                <w:lang w:val="es-ES_tradnl"/>
              </w:rPr>
              <w:t>a</w:t>
            </w:r>
            <w:r w:rsidRPr="003B4A6B">
              <w:rPr>
                <w:rFonts w:ascii="Verdana" w:hAnsi="Verdana" w:cs="Arial"/>
                <w:noProof/>
                <w:lang w:val="es-ES_tradnl"/>
              </w:rPr>
              <w:t>rtículo 37</w:t>
            </w:r>
          </w:p>
        </w:tc>
      </w:tr>
    </w:tbl>
    <w:p w14:paraId="222CD0D7" w14:textId="77777777" w:rsidR="003C312E" w:rsidRPr="00FC6F34" w:rsidRDefault="003C312E" w:rsidP="003C312E">
      <w:pPr>
        <w:widowControl w:val="0"/>
        <w:autoSpaceDE w:val="0"/>
        <w:autoSpaceDN w:val="0"/>
        <w:spacing w:after="0" w:line="276" w:lineRule="auto"/>
        <w:jc w:val="both"/>
        <w:rPr>
          <w:rFonts w:ascii="Verdana" w:hAnsi="Verdana" w:cs="Arial"/>
          <w:color w:val="000000" w:themeColor="text1"/>
          <w:lang w:val="es-ES"/>
        </w:rPr>
      </w:pPr>
    </w:p>
    <w:p w14:paraId="2C54882C" w14:textId="77777777" w:rsidR="003C312E" w:rsidRPr="00FC6F34" w:rsidRDefault="003C312E" w:rsidP="003C312E">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41F8BF13" w14:textId="77777777" w:rsidR="003C312E" w:rsidRPr="00FC6F34" w:rsidRDefault="003C312E" w:rsidP="003C312E">
      <w:pPr>
        <w:widowControl w:val="0"/>
        <w:autoSpaceDE w:val="0"/>
        <w:autoSpaceDN w:val="0"/>
        <w:spacing w:after="0" w:line="276" w:lineRule="auto"/>
        <w:jc w:val="both"/>
        <w:rPr>
          <w:rFonts w:ascii="Verdana" w:hAnsi="Verdana" w:cs="Arial"/>
          <w:color w:val="000000" w:themeColor="text1"/>
          <w:lang w:val="es-ES"/>
        </w:rPr>
      </w:pPr>
    </w:p>
    <w:p w14:paraId="7EC7137D" w14:textId="77777777" w:rsidR="003C312E" w:rsidRPr="00982071" w:rsidRDefault="003C312E" w:rsidP="003C312E">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w:t>
      </w:r>
      <w:r w:rsidRPr="006C4FE3">
        <w:rPr>
          <w:rFonts w:ascii="Verdana" w:hAnsi="Verdana" w:cs="Arial"/>
          <w:shd w:val="clear" w:color="auto" w:fill="FFFFFF"/>
        </w:rPr>
        <w:t xml:space="preserve">– Colombia Compra Eficiente se ha referido sobre las empresas de servicios públicos domiciliarios en los conceptos con radicado </w:t>
      </w:r>
      <w:r>
        <w:rPr>
          <w:rFonts w:ascii="Verdana" w:hAnsi="Verdana" w:cs="Arial"/>
          <w:shd w:val="clear" w:color="auto" w:fill="FFFFFF"/>
        </w:rPr>
        <w:t>C- 792 del 28 de noviembre de 2024, C- 429 del 13 de mayo de 2025, C-477 del 20 de mayo de 2025, C-1004 del 29 de agosto de 2025, C- 1012 del 4 de septiembre de 2025, C-1368 del 5 de noviembre de 2025, C-1519 del 19 de noviembre de 2015, C-1605 del 15 de diciembre de 2025, C-1606 del 15 de diciembre de 2025</w:t>
      </w:r>
      <w:r w:rsidRPr="006C4FE3">
        <w:rPr>
          <w:rFonts w:ascii="Verdana" w:hAnsi="Verdana" w:cs="Arial"/>
          <w:shd w:val="clear" w:color="auto" w:fill="FFFFFF"/>
        </w:rPr>
        <w:t xml:space="preserve"> y C-215 del 10 de marzo de 2026, entre otros. Estos y otros se encuentran disponibles para consulta en el Sistema</w:t>
      </w:r>
      <w:r w:rsidRPr="00FC6F34">
        <w:rPr>
          <w:rFonts w:ascii="Verdana" w:hAnsi="Verdana"/>
          <w:lang w:val="es-ES"/>
        </w:rPr>
        <w:t xml:space="preserve"> de relatoría de la Agencia, al cual se puede acceder a través del siguiente enlace:</w:t>
      </w:r>
      <w:r w:rsidRPr="00FC6F34">
        <w:rPr>
          <w:rFonts w:ascii="Verdana" w:hAnsi="Verdana" w:cs="Arial"/>
          <w:shd w:val="clear" w:color="auto" w:fill="FFFFFF"/>
          <w:lang w:val="es-ES"/>
        </w:rPr>
        <w:t xml:space="preserve"> </w:t>
      </w:r>
      <w:hyperlink r:id="rId14"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3643AF93" w14:textId="77777777" w:rsidR="003C312E" w:rsidRPr="003E2460" w:rsidRDefault="003C312E" w:rsidP="003C312E">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5DB37C55" w14:textId="77777777" w:rsidR="003C312E" w:rsidRPr="003E2460" w:rsidRDefault="003C312E" w:rsidP="003C312E">
      <w:pPr>
        <w:spacing w:after="0" w:line="276" w:lineRule="auto"/>
        <w:jc w:val="both"/>
        <w:rPr>
          <w:rFonts w:ascii="Verdana" w:hAnsi="Verdana"/>
        </w:rPr>
      </w:pPr>
    </w:p>
    <w:p w14:paraId="49B5B23A" w14:textId="77777777" w:rsidR="003C312E" w:rsidRPr="003E2460" w:rsidRDefault="003C312E" w:rsidP="003C312E">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5A8343BE" w14:textId="77777777" w:rsidR="003C312E" w:rsidRPr="003E2460" w:rsidRDefault="003C312E" w:rsidP="003C312E">
      <w:pPr>
        <w:spacing w:after="0" w:line="276"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14:paraId="78CAC6B5" w14:textId="77777777" w:rsidR="003C312E" w:rsidRPr="003E2460" w:rsidRDefault="003C312E" w:rsidP="003C312E">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A7064">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1636032B" w14:textId="77777777" w:rsidR="003C312E" w:rsidRDefault="003C312E" w:rsidP="003C312E">
      <w:pPr>
        <w:widowControl w:val="0"/>
        <w:autoSpaceDE w:val="0"/>
        <w:autoSpaceDN w:val="0"/>
        <w:spacing w:after="0" w:line="276" w:lineRule="auto"/>
        <w:jc w:val="both"/>
        <w:rPr>
          <w:rFonts w:ascii="Verdana" w:hAnsi="Verdana" w:cs="Arial"/>
          <w:lang w:val="es-ES"/>
        </w:rPr>
      </w:pPr>
    </w:p>
    <w:p w14:paraId="31245460" w14:textId="77777777" w:rsidR="003C312E" w:rsidRPr="00FC6F34" w:rsidRDefault="003C312E" w:rsidP="003C312E">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9C5B2DA" w14:textId="77777777" w:rsidR="003C312E" w:rsidRPr="00FC6F34" w:rsidRDefault="003C312E" w:rsidP="003C312E">
      <w:pPr>
        <w:widowControl w:val="0"/>
        <w:autoSpaceDE w:val="0"/>
        <w:autoSpaceDN w:val="0"/>
        <w:spacing w:after="0" w:line="276" w:lineRule="auto"/>
        <w:jc w:val="both"/>
        <w:rPr>
          <w:rFonts w:ascii="Verdana" w:hAnsi="Verdana" w:cs="Arial"/>
          <w:lang w:val="es-ES"/>
        </w:rPr>
      </w:pPr>
    </w:p>
    <w:p w14:paraId="4B29CC72" w14:textId="77777777" w:rsidR="00CF21AE" w:rsidRDefault="00CF21AE" w:rsidP="003C312E">
      <w:pPr>
        <w:spacing w:after="0" w:line="276" w:lineRule="auto"/>
        <w:rPr>
          <w:rFonts w:ascii="Verdana" w:eastAsia="Times New Roman" w:hAnsi="Verdana" w:cs="Arial"/>
          <w:color w:val="000000" w:themeColor="text1"/>
          <w:lang w:val="es-ES" w:eastAsia="es-CO"/>
        </w:rPr>
      </w:pPr>
    </w:p>
    <w:p w14:paraId="78D51A2E" w14:textId="77777777" w:rsidR="00CF21AE" w:rsidRDefault="00CF21AE" w:rsidP="003C312E">
      <w:pPr>
        <w:spacing w:after="0" w:line="276" w:lineRule="auto"/>
        <w:rPr>
          <w:rFonts w:ascii="Verdana" w:eastAsia="Times New Roman" w:hAnsi="Verdana" w:cs="Arial"/>
          <w:color w:val="000000" w:themeColor="text1"/>
          <w:lang w:val="es-ES" w:eastAsia="es-CO"/>
        </w:rPr>
      </w:pPr>
    </w:p>
    <w:p w14:paraId="7E076949" w14:textId="77777777" w:rsidR="00CF21AE" w:rsidRDefault="00CF21AE" w:rsidP="003C312E">
      <w:pPr>
        <w:spacing w:after="0" w:line="276" w:lineRule="auto"/>
        <w:rPr>
          <w:rFonts w:ascii="Verdana" w:eastAsia="Times New Roman" w:hAnsi="Verdana" w:cs="Arial"/>
          <w:color w:val="000000" w:themeColor="text1"/>
          <w:lang w:val="es-ES" w:eastAsia="es-CO"/>
        </w:rPr>
      </w:pPr>
    </w:p>
    <w:p w14:paraId="454F7AAE" w14:textId="77777777" w:rsidR="00CF21AE" w:rsidRDefault="00CF21AE" w:rsidP="003C312E">
      <w:pPr>
        <w:spacing w:after="0" w:line="276" w:lineRule="auto"/>
        <w:rPr>
          <w:rFonts w:ascii="Verdana" w:eastAsia="Times New Roman" w:hAnsi="Verdana" w:cs="Arial"/>
          <w:color w:val="000000" w:themeColor="text1"/>
          <w:lang w:val="es-ES" w:eastAsia="es-CO"/>
        </w:rPr>
      </w:pPr>
    </w:p>
    <w:p w14:paraId="106B3615" w14:textId="58FBCD19" w:rsidR="003C312E" w:rsidRPr="00FC6F34" w:rsidRDefault="00CF21AE" w:rsidP="003C312E">
      <w:pPr>
        <w:spacing w:after="0" w:line="276" w:lineRule="auto"/>
        <w:rPr>
          <w:rFonts w:ascii="Verdana" w:hAnsi="Verdana" w:cs="Arial"/>
          <w:color w:val="000000" w:themeColor="text1"/>
          <w:lang w:val="es-ES" w:eastAsia="es-CO"/>
        </w:rPr>
      </w:pPr>
      <w:r w:rsidRPr="002C3AD6">
        <w:rPr>
          <w:rFonts w:ascii="Century Gothic" w:hAnsi="Century Gothic"/>
          <w:noProof/>
        </w:rPr>
        <w:lastRenderedPageBreak/>
        <w:drawing>
          <wp:anchor distT="0" distB="0" distL="114300" distR="114300" simplePos="0" relativeHeight="251661312" behindDoc="0" locked="0" layoutInCell="1" allowOverlap="1" wp14:anchorId="33A5E375" wp14:editId="4A5AA262">
            <wp:simplePos x="0" y="0"/>
            <wp:positionH relativeFrom="column">
              <wp:posOffset>1220757</wp:posOffset>
            </wp:positionH>
            <wp:positionV relativeFrom="page">
              <wp:posOffset>1591781</wp:posOffset>
            </wp:positionV>
            <wp:extent cx="3406775" cy="1264285"/>
            <wp:effectExtent l="0" t="0" r="0" b="571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406775" cy="1264285"/>
                    </a:xfrm>
                    <a:prstGeom prst="rect">
                      <a:avLst/>
                    </a:prstGeom>
                  </pic:spPr>
                </pic:pic>
              </a:graphicData>
            </a:graphic>
            <wp14:sizeRelH relativeFrom="page">
              <wp14:pctWidth>0</wp14:pctWidth>
            </wp14:sizeRelH>
            <wp14:sizeRelV relativeFrom="page">
              <wp14:pctHeight>0</wp14:pctHeight>
            </wp14:sizeRelV>
          </wp:anchor>
        </w:drawing>
      </w:r>
      <w:r w:rsidR="003C312E" w:rsidRPr="00FC6F34">
        <w:rPr>
          <w:rFonts w:ascii="Verdana" w:eastAsia="Times New Roman" w:hAnsi="Verdana" w:cs="Arial"/>
          <w:color w:val="000000" w:themeColor="text1"/>
          <w:lang w:val="es-ES" w:eastAsia="es-CO"/>
        </w:rPr>
        <w:t>Atentamente,</w:t>
      </w:r>
      <w:r w:rsidR="003C312E" w:rsidRPr="00FC6F34">
        <w:rPr>
          <w:rFonts w:ascii="Verdana" w:hAnsi="Verdana" w:cs="Arial"/>
          <w:color w:val="000000" w:themeColor="text1"/>
          <w:lang w:val="es-ES" w:eastAsia="es-CO"/>
        </w:rPr>
        <w:t xml:space="preserve"> </w:t>
      </w:r>
    </w:p>
    <w:p w14:paraId="7C0671C8" w14:textId="77777777" w:rsidR="003C312E" w:rsidRPr="00FC6F34" w:rsidRDefault="003C312E" w:rsidP="003C312E">
      <w:pPr>
        <w:spacing w:after="0" w:line="276" w:lineRule="auto"/>
        <w:rPr>
          <w:rFonts w:ascii="Verdana" w:hAnsi="Verdana" w:cs="Arial"/>
          <w:color w:val="000000" w:themeColor="text1"/>
          <w:lang w:val="es-ES" w:eastAsia="es-CO"/>
        </w:rPr>
      </w:pPr>
    </w:p>
    <w:p w14:paraId="1E4801AA" w14:textId="0F241740" w:rsidR="003C312E" w:rsidRPr="00FC6F34" w:rsidRDefault="003C312E" w:rsidP="003C312E">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C312E" w:rsidRPr="00FC6F34" w14:paraId="2D19CED9" w14:textId="77777777" w:rsidTr="00B4119A">
        <w:trPr>
          <w:trHeight w:val="315"/>
        </w:trPr>
        <w:tc>
          <w:tcPr>
            <w:tcW w:w="893" w:type="dxa"/>
            <w:vAlign w:val="center"/>
            <w:hideMark/>
          </w:tcPr>
          <w:p w14:paraId="4B74A1E9" w14:textId="77777777" w:rsidR="003C312E" w:rsidRPr="00FC6F34" w:rsidRDefault="003C312E" w:rsidP="00B4119A">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474489A" w14:textId="55C09AB4" w:rsidR="003C312E" w:rsidRPr="00FC6F34" w:rsidRDefault="003C312E" w:rsidP="00B4119A">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0C121770" w14:textId="77777777" w:rsidR="003C312E" w:rsidRPr="00FC6F34" w:rsidRDefault="003C312E" w:rsidP="00B4119A">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3C312E" w:rsidRPr="00FC6F34" w14:paraId="62817C07" w14:textId="77777777" w:rsidTr="00B4119A">
        <w:trPr>
          <w:trHeight w:val="330"/>
        </w:trPr>
        <w:tc>
          <w:tcPr>
            <w:tcW w:w="893" w:type="dxa"/>
            <w:vAlign w:val="center"/>
            <w:hideMark/>
          </w:tcPr>
          <w:p w14:paraId="52212649" w14:textId="77777777" w:rsidR="003C312E" w:rsidRPr="00FC6F34" w:rsidRDefault="003C312E" w:rsidP="00B4119A">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CC694FC" w14:textId="77777777" w:rsidR="003C312E" w:rsidRPr="00D133FC" w:rsidRDefault="003C312E" w:rsidP="00B4119A">
            <w:pPr>
              <w:pStyle w:val="paragraph"/>
              <w:spacing w:after="0"/>
              <w:contextualSpacing/>
              <w:textAlignment w:val="baseline"/>
              <w:rPr>
                <w:rFonts w:ascii="Verdana" w:hAnsi="Verdana" w:cs="Segoe UI"/>
                <w:sz w:val="16"/>
                <w:szCs w:val="16"/>
                <w:lang w:val="es-ES"/>
              </w:rPr>
            </w:pPr>
            <w:r w:rsidRPr="00D133FC">
              <w:rPr>
                <w:rFonts w:ascii="Verdana" w:hAnsi="Verdana" w:cs="Segoe UI"/>
                <w:sz w:val="16"/>
                <w:szCs w:val="16"/>
                <w:lang w:val="es-ES"/>
              </w:rPr>
              <w:t>Alejandro Sarmiento Cantillo</w:t>
            </w:r>
          </w:p>
          <w:p w14:paraId="494E78EA" w14:textId="77777777" w:rsidR="003C312E" w:rsidRPr="00FC6F34" w:rsidRDefault="003C312E" w:rsidP="00B4119A">
            <w:pPr>
              <w:pStyle w:val="paragraph"/>
              <w:spacing w:before="0" w:beforeAutospacing="0" w:after="0" w:afterAutospacing="0"/>
              <w:contextualSpacing/>
              <w:textAlignment w:val="baseline"/>
              <w:rPr>
                <w:rFonts w:ascii="Verdana" w:hAnsi="Verdana" w:cs="Segoe UI"/>
                <w:sz w:val="16"/>
                <w:szCs w:val="16"/>
                <w:lang w:val="es-ES"/>
              </w:rPr>
            </w:pPr>
            <w:r w:rsidRPr="00D133FC">
              <w:rPr>
                <w:rFonts w:ascii="Verdana" w:hAnsi="Verdana" w:cs="Segoe UI"/>
                <w:sz w:val="16"/>
                <w:szCs w:val="16"/>
                <w:lang w:val="es-ES"/>
              </w:rPr>
              <w:t>Gestor T1 ‒ 15 de la Subdirección de Gestión Contractual</w:t>
            </w:r>
          </w:p>
        </w:tc>
      </w:tr>
      <w:tr w:rsidR="003C312E" w:rsidRPr="00FC6F34" w14:paraId="6C28E25A" w14:textId="77777777" w:rsidTr="00B4119A">
        <w:trPr>
          <w:trHeight w:val="300"/>
        </w:trPr>
        <w:tc>
          <w:tcPr>
            <w:tcW w:w="893" w:type="dxa"/>
            <w:vAlign w:val="center"/>
          </w:tcPr>
          <w:p w14:paraId="1C7FFC46" w14:textId="77777777" w:rsidR="003C312E" w:rsidRPr="00FC6F34" w:rsidRDefault="003C312E" w:rsidP="00B4119A">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4FDDA33" w14:textId="77777777" w:rsidR="003C312E" w:rsidRPr="00FC6F34" w:rsidRDefault="003C312E" w:rsidP="00B4119A">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49A8CF63" w14:textId="77777777" w:rsidR="003C312E" w:rsidRPr="00FC6F34" w:rsidRDefault="003C312E" w:rsidP="00B4119A">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77808B48" w14:textId="001A1555" w:rsidR="003C312E" w:rsidRPr="00FC6F34" w:rsidRDefault="003C312E" w:rsidP="003C312E">
      <w:pPr>
        <w:spacing w:after="0" w:line="276" w:lineRule="auto"/>
        <w:jc w:val="center"/>
        <w:rPr>
          <w:lang w:val="es-ES"/>
        </w:rPr>
      </w:pPr>
    </w:p>
    <w:bookmarkEnd w:id="0"/>
    <w:p w14:paraId="196C3B46" w14:textId="77777777" w:rsidR="003C312E" w:rsidRPr="00FC6F34" w:rsidRDefault="003C312E" w:rsidP="003C312E">
      <w:pPr>
        <w:spacing w:after="0" w:line="240" w:lineRule="auto"/>
        <w:textAlignment w:val="baseline"/>
        <w:rPr>
          <w:rFonts w:ascii="Verdana" w:eastAsia="Times New Roman" w:hAnsi="Verdana" w:cs="Segoe UI"/>
          <w:b/>
          <w:bCs/>
          <w:color w:val="46589C"/>
          <w:lang w:val="es-ES" w:eastAsia="es-CO"/>
        </w:rPr>
      </w:pPr>
    </w:p>
    <w:p w14:paraId="682AB87B" w14:textId="77777777" w:rsidR="003C312E" w:rsidRPr="00FC6F34" w:rsidRDefault="003C312E" w:rsidP="003C312E">
      <w:pPr>
        <w:rPr>
          <w:lang w:val="es-ES"/>
        </w:rPr>
      </w:pPr>
    </w:p>
    <w:p w14:paraId="49F42E89" w14:textId="77777777" w:rsidR="003C312E" w:rsidRPr="00927895" w:rsidRDefault="003C312E" w:rsidP="003C312E"/>
    <w:p w14:paraId="0F293BF4" w14:textId="604599F5" w:rsidR="00127233" w:rsidRPr="00824F71" w:rsidRDefault="00127233" w:rsidP="00824F71"/>
    <w:sectPr w:rsidR="00127233" w:rsidRPr="00824F7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7F9127" w14:textId="77777777" w:rsidR="0026526D" w:rsidRDefault="0026526D" w:rsidP="004A1847">
      <w:pPr>
        <w:spacing w:after="0" w:line="240" w:lineRule="auto"/>
      </w:pPr>
      <w:r>
        <w:separator/>
      </w:r>
    </w:p>
  </w:endnote>
  <w:endnote w:type="continuationSeparator" w:id="0">
    <w:p w14:paraId="496A9401" w14:textId="77777777" w:rsidR="0026526D" w:rsidRDefault="0026526D" w:rsidP="004A1847">
      <w:pPr>
        <w:spacing w:after="0" w:line="240" w:lineRule="auto"/>
      </w:pPr>
      <w:r>
        <w:continuationSeparator/>
      </w:r>
    </w:p>
  </w:endnote>
  <w:endnote w:type="continuationNotice" w:id="1">
    <w:p w14:paraId="1E609DD0" w14:textId="77777777" w:rsidR="0026526D" w:rsidRDefault="002652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ECCACF" w14:textId="77777777" w:rsidR="0026526D" w:rsidRDefault="0026526D" w:rsidP="004A1847">
      <w:pPr>
        <w:spacing w:after="0" w:line="240" w:lineRule="auto"/>
      </w:pPr>
      <w:r>
        <w:separator/>
      </w:r>
    </w:p>
  </w:footnote>
  <w:footnote w:type="continuationSeparator" w:id="0">
    <w:p w14:paraId="55B9E533" w14:textId="77777777" w:rsidR="0026526D" w:rsidRDefault="0026526D" w:rsidP="004A1847">
      <w:pPr>
        <w:spacing w:after="0" w:line="240" w:lineRule="auto"/>
      </w:pPr>
      <w:r>
        <w:continuationSeparator/>
      </w:r>
    </w:p>
  </w:footnote>
  <w:footnote w:type="continuationNotice" w:id="1">
    <w:p w14:paraId="64C21542" w14:textId="77777777" w:rsidR="0026526D" w:rsidRDefault="0026526D">
      <w:pPr>
        <w:spacing w:after="0" w:line="240" w:lineRule="auto"/>
      </w:pPr>
    </w:p>
  </w:footnote>
  <w:footnote w:id="2">
    <w:p w14:paraId="20075891" w14:textId="77777777" w:rsidR="003C312E" w:rsidRPr="00480A3F" w:rsidRDefault="003C312E" w:rsidP="003C312E">
      <w:pPr>
        <w:pStyle w:val="Textonotapie"/>
        <w:ind w:firstLine="707"/>
        <w:jc w:val="both"/>
        <w:rPr>
          <w:rFonts w:ascii="Verdana" w:hAnsi="Verdana"/>
          <w:sz w:val="16"/>
          <w:szCs w:val="16"/>
          <w:lang w:val="es-CO"/>
        </w:rPr>
      </w:pPr>
      <w:r w:rsidRPr="00480A3F">
        <w:rPr>
          <w:rStyle w:val="Refdenotaalpie"/>
          <w:rFonts w:ascii="Verdana" w:hAnsi="Verdana"/>
          <w:sz w:val="16"/>
          <w:szCs w:val="16"/>
        </w:rPr>
        <w:footnoteRef/>
      </w:r>
      <w:r w:rsidRPr="00480A3F">
        <w:rPr>
          <w:rFonts w:ascii="Verdana" w:hAnsi="Verdana"/>
          <w:sz w:val="16"/>
          <w:szCs w:val="16"/>
        </w:rPr>
        <w:t xml:space="preserve"> </w:t>
      </w:r>
      <w:r w:rsidRPr="00480A3F">
        <w:rPr>
          <w:rFonts w:ascii="Verdana" w:hAnsi="Verdana"/>
          <w:sz w:val="16"/>
          <w:szCs w:val="16"/>
          <w:lang w:val="es-CO"/>
        </w:rPr>
        <w:t xml:space="preserve">Superintendencia de Servicios Públicos Domiciliarios. Concepto 169 del 30 de marzo de 2023 disponible en el siguiente enlace: </w:t>
      </w:r>
      <w:hyperlink r:id="rId1" w:history="1">
        <w:r w:rsidRPr="00480A3F">
          <w:rPr>
            <w:rStyle w:val="Hipervnculo"/>
            <w:rFonts w:ascii="Verdana" w:hAnsi="Verdana"/>
            <w:sz w:val="16"/>
            <w:szCs w:val="16"/>
            <w:lang w:val="es-CO"/>
          </w:rPr>
          <w:t>https://normas.cra.gov.co/gestor/docs/concepto_superservicios_0000169_2023.htm</w:t>
        </w:r>
      </w:hyperlink>
      <w:r w:rsidRPr="00480A3F">
        <w:rPr>
          <w:rFonts w:ascii="Verdana" w:hAnsi="Verdana"/>
          <w:sz w:val="16"/>
          <w:szCs w:val="16"/>
          <w:lang w:val="es-CO"/>
        </w:rPr>
        <w:t xml:space="preserve"> </w:t>
      </w:r>
    </w:p>
    <w:p w14:paraId="54DD7DD4" w14:textId="77777777" w:rsidR="003C312E" w:rsidRPr="00480A3F" w:rsidRDefault="003C312E" w:rsidP="003C312E">
      <w:pPr>
        <w:pStyle w:val="Textonotapie"/>
        <w:ind w:firstLine="707"/>
        <w:jc w:val="both"/>
        <w:rPr>
          <w:rFonts w:ascii="Verdana" w:hAnsi="Verdana"/>
          <w:sz w:val="16"/>
          <w:szCs w:val="16"/>
          <w:lang w:val="es-CO"/>
        </w:rPr>
      </w:pPr>
    </w:p>
  </w:footnote>
  <w:footnote w:id="3">
    <w:p w14:paraId="50310EF9" w14:textId="77777777" w:rsidR="003C312E" w:rsidRPr="008F51F1" w:rsidRDefault="003C312E" w:rsidP="003C312E">
      <w:pPr>
        <w:pStyle w:val="Textonotapie"/>
        <w:ind w:firstLine="709"/>
        <w:jc w:val="both"/>
        <w:rPr>
          <w:rFonts w:ascii="Verdana" w:hAnsi="Verdana" w:cs="Arial"/>
          <w:color w:val="000000" w:themeColor="text1"/>
          <w:sz w:val="16"/>
          <w:szCs w:val="16"/>
        </w:rPr>
      </w:pPr>
      <w:r w:rsidRPr="008F51F1">
        <w:rPr>
          <w:rStyle w:val="Refdenotaalpie"/>
          <w:rFonts w:ascii="Verdana" w:hAnsi="Verdana" w:cs="Arial"/>
          <w:color w:val="000000" w:themeColor="text1"/>
          <w:sz w:val="16"/>
          <w:szCs w:val="16"/>
        </w:rPr>
        <w:footnoteRef/>
      </w:r>
      <w:r w:rsidRPr="008F51F1">
        <w:rPr>
          <w:rFonts w:ascii="Verdana" w:hAnsi="Verdana" w:cs="Arial"/>
          <w:color w:val="000000" w:themeColor="text1"/>
          <w:sz w:val="16"/>
          <w:szCs w:val="16"/>
        </w:rPr>
        <w:t xml:space="preserve"> 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4">
    <w:p w14:paraId="051841F3" w14:textId="77777777" w:rsidR="003C312E" w:rsidRDefault="003C312E" w:rsidP="003C312E">
      <w:pPr>
        <w:spacing w:after="0" w:line="240" w:lineRule="auto"/>
        <w:ind w:firstLine="709"/>
        <w:jc w:val="both"/>
        <w:rPr>
          <w:rFonts w:ascii="Verdana" w:eastAsia="Calibri" w:hAnsi="Verdana" w:cs="Arial"/>
          <w:color w:val="000000"/>
          <w:sz w:val="16"/>
          <w:szCs w:val="16"/>
          <w:lang w:val="es-ES_tradnl"/>
        </w:rPr>
      </w:pPr>
      <w:r w:rsidRPr="0013167A">
        <w:rPr>
          <w:rStyle w:val="Refdenotaalpie"/>
          <w:rFonts w:ascii="Verdana" w:hAnsi="Verdana" w:cs="Arial"/>
          <w:color w:val="000000"/>
          <w:sz w:val="16"/>
          <w:szCs w:val="16"/>
        </w:rPr>
        <w:footnoteRef/>
      </w:r>
      <w:r w:rsidRPr="0013167A">
        <w:rPr>
          <w:rFonts w:ascii="Verdana" w:hAnsi="Verdana" w:cs="Arial"/>
          <w:color w:val="000000"/>
          <w:sz w:val="16"/>
          <w:szCs w:val="16"/>
        </w:rPr>
        <w:t xml:space="preserve"> </w:t>
      </w:r>
      <w:r w:rsidRPr="0013167A">
        <w:rPr>
          <w:rFonts w:ascii="Verdana" w:hAnsi="Verdana" w:cs="Arial"/>
          <w:color w:val="000000"/>
          <w:sz w:val="16"/>
          <w:szCs w:val="16"/>
          <w:lang w:val="es-ES"/>
        </w:rPr>
        <w:t>Esta norma dispone: “</w:t>
      </w:r>
      <w:r w:rsidRPr="0013167A">
        <w:rPr>
          <w:rFonts w:ascii="Verdana" w:eastAsia="Calibri" w:hAnsi="Verdana" w:cs="Arial"/>
          <w:color w:val="000000"/>
          <w:sz w:val="16"/>
          <w:szCs w:val="16"/>
          <w:lang w:val="es-ES_tradnl"/>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0EA6B270" w14:textId="77777777" w:rsidR="003C312E" w:rsidRPr="00C645FE" w:rsidRDefault="003C312E" w:rsidP="003C312E">
      <w:pPr>
        <w:spacing w:after="0" w:line="240" w:lineRule="auto"/>
        <w:ind w:firstLine="709"/>
        <w:jc w:val="both"/>
        <w:rPr>
          <w:rFonts w:ascii="Verdana" w:eastAsia="Calibri" w:hAnsi="Verdana" w:cs="Arial"/>
          <w:color w:val="000000"/>
          <w:sz w:val="16"/>
          <w:szCs w:val="16"/>
          <w:lang w:val="es-ES_tradnl"/>
        </w:rPr>
      </w:pPr>
    </w:p>
  </w:footnote>
  <w:footnote w:id="5">
    <w:p w14:paraId="2C183E24" w14:textId="77777777" w:rsidR="003C312E" w:rsidRPr="00D601F8" w:rsidRDefault="003C312E" w:rsidP="003C312E">
      <w:pPr>
        <w:pStyle w:val="Textonotapie"/>
        <w:ind w:firstLine="708"/>
        <w:contextualSpacing/>
        <w:jc w:val="both"/>
        <w:rPr>
          <w:rFonts w:ascii="Verdana" w:hAnsi="Verdana" w:cs="Arial"/>
          <w:sz w:val="14"/>
          <w:szCs w:val="14"/>
          <w:lang w:val="es-CO"/>
        </w:rPr>
      </w:pPr>
      <w:r>
        <w:rPr>
          <w:rStyle w:val="Refdenotaalpie"/>
        </w:rPr>
        <w:footnoteRef/>
      </w:r>
      <w:r>
        <w:t xml:space="preserve"> </w:t>
      </w:r>
      <w:r w:rsidRPr="00947E57">
        <w:rPr>
          <w:rFonts w:ascii="Verdana" w:hAnsi="Verdana" w:cs="Arial"/>
          <w:sz w:val="14"/>
          <w:szCs w:val="14"/>
          <w:lang w:val="es-CO"/>
        </w:rPr>
        <w:t>Corte Constitucional. Sentencias C-</w:t>
      </w:r>
      <w:r>
        <w:rPr>
          <w:rFonts w:ascii="Verdana" w:hAnsi="Verdana" w:cs="Arial"/>
          <w:sz w:val="14"/>
          <w:szCs w:val="14"/>
          <w:lang w:val="es-CO"/>
        </w:rPr>
        <w:t>921 del 7 de noviembre de 2007</w:t>
      </w:r>
      <w:r w:rsidRPr="00947E57">
        <w:rPr>
          <w:rFonts w:ascii="Verdana" w:hAnsi="Verdana" w:cs="Arial"/>
          <w:sz w:val="14"/>
          <w:szCs w:val="14"/>
          <w:lang w:val="es-CO"/>
        </w:rPr>
        <w:t xml:space="preserve">. M.P. </w:t>
      </w:r>
      <w:r>
        <w:rPr>
          <w:rFonts w:ascii="Verdana" w:hAnsi="Verdana" w:cs="Arial"/>
          <w:sz w:val="14"/>
          <w:szCs w:val="14"/>
          <w:lang w:val="es-CO"/>
        </w:rPr>
        <w:t xml:space="preserve">Clara Inés Vargas </w:t>
      </w:r>
      <w:proofErr w:type="spellStart"/>
      <w:r>
        <w:rPr>
          <w:rFonts w:ascii="Verdana" w:hAnsi="Verdana" w:cs="Arial"/>
          <w:sz w:val="14"/>
          <w:szCs w:val="14"/>
          <w:lang w:val="es-CO"/>
        </w:rPr>
        <w:t>Hernandez</w:t>
      </w:r>
      <w:proofErr w:type="spellEnd"/>
      <w:r w:rsidRPr="00947E57">
        <w:rPr>
          <w:rFonts w:ascii="Verdana" w:hAnsi="Verdana" w:cs="Arial"/>
          <w:sz w:val="14"/>
          <w:szCs w:val="14"/>
          <w:lang w:val="es-CO"/>
        </w:rPr>
        <w:t xml:space="preserve">. </w:t>
      </w:r>
    </w:p>
  </w:footnote>
  <w:footnote w:id="6">
    <w:p w14:paraId="3914C18C" w14:textId="77777777" w:rsidR="003C312E" w:rsidRPr="00947E57" w:rsidRDefault="003C312E" w:rsidP="003C312E">
      <w:pPr>
        <w:spacing w:after="0" w:line="240" w:lineRule="auto"/>
        <w:ind w:firstLine="708"/>
        <w:contextualSpacing/>
        <w:jc w:val="both"/>
        <w:rPr>
          <w:rFonts w:ascii="Verdana" w:hAnsi="Verdana" w:cs="Arial"/>
          <w:sz w:val="14"/>
          <w:szCs w:val="14"/>
        </w:rPr>
      </w:pPr>
      <w:r>
        <w:rPr>
          <w:rStyle w:val="Refdenotaalpie"/>
        </w:rPr>
        <w:footnoteRef/>
      </w:r>
      <w:r>
        <w:t xml:space="preserve"> </w:t>
      </w:r>
      <w:bookmarkStart w:id="10" w:name="37"/>
      <w:r w:rsidRPr="00947E57">
        <w:rPr>
          <w:rFonts w:ascii="Verdana" w:hAnsi="Verdana" w:cs="Arial"/>
          <w:sz w:val="14"/>
          <w:szCs w:val="14"/>
        </w:rPr>
        <w:t>“</w:t>
      </w:r>
      <w:r w:rsidRPr="00947E57">
        <w:rPr>
          <w:rFonts w:ascii="Verdana" w:hAnsi="Verdana" w:cs="Arial"/>
          <w:bCs/>
          <w:sz w:val="14"/>
          <w:szCs w:val="14"/>
        </w:rPr>
        <w:t>Artículo 37. ejecución de proyectos de inversión.</w:t>
      </w:r>
      <w:bookmarkEnd w:id="10"/>
      <w:r w:rsidRPr="00947E57">
        <w:rPr>
          <w:rFonts w:ascii="Verdana" w:hAnsi="Verdana" w:cs="Arial"/>
          <w:sz w:val="14"/>
          <w:szCs w:val="14"/>
        </w:rPr>
        <w:t> los proyectos de inversión que se financien con cargo al sistema general de regalías serán ejecutados por quien designe las entidades u órganos de que tratan los artículos </w:t>
      </w:r>
      <w:hyperlink r:id="rId2" w:anchor="35" w:history="1">
        <w:r w:rsidRPr="00947E57">
          <w:rPr>
            <w:rFonts w:ascii="Verdana" w:hAnsi="Verdana" w:cs="Arial"/>
            <w:sz w:val="14"/>
            <w:szCs w:val="14"/>
          </w:rPr>
          <w:t>35</w:t>
        </w:r>
      </w:hyperlink>
      <w:r w:rsidRPr="00947E57">
        <w:rPr>
          <w:rFonts w:ascii="Verdana" w:hAnsi="Verdana" w:cs="Arial"/>
          <w:sz w:val="14"/>
          <w:szCs w:val="14"/>
        </w:rPr>
        <w:t> y </w:t>
      </w:r>
      <w:hyperlink r:id="rId3" w:anchor="36" w:history="1">
        <w:r w:rsidRPr="00947E57">
          <w:rPr>
            <w:rFonts w:ascii="Verdana" w:hAnsi="Verdana" w:cs="Arial"/>
            <w:sz w:val="14"/>
            <w:szCs w:val="14"/>
          </w:rPr>
          <w:t>36</w:t>
        </w:r>
      </w:hyperlink>
      <w:r w:rsidRPr="00947E57">
        <w:rPr>
          <w:rFonts w:ascii="Verdana" w:hAnsi="Verdana" w:cs="Arial"/>
          <w:sz w:val="14"/>
          <w:szCs w:val="14"/>
        </w:rPr>
        <w:t> de la presente ley. así mismo, la entidad ejecutora estará a cargo de la contratación de la interventoría, de conformidad con lo previsto en la presente ley.</w:t>
      </w:r>
    </w:p>
    <w:p w14:paraId="6C51E2DC" w14:textId="77777777" w:rsidR="003C312E" w:rsidRPr="00947E57" w:rsidRDefault="003C312E" w:rsidP="003C312E">
      <w:pPr>
        <w:spacing w:after="0" w:line="240" w:lineRule="auto"/>
        <w:ind w:firstLine="708"/>
        <w:contextualSpacing/>
        <w:jc w:val="both"/>
        <w:rPr>
          <w:rFonts w:ascii="Verdana" w:hAnsi="Verdana" w:cs="Arial"/>
          <w:sz w:val="14"/>
          <w:szCs w:val="14"/>
        </w:rPr>
      </w:pPr>
      <w:r w:rsidRPr="00947E57">
        <w:rPr>
          <w:rFonts w:ascii="Verdana" w:hAnsi="Verdana" w:cs="Arial"/>
          <w:sz w:val="14"/>
          <w:szCs w:val="14"/>
        </w:rPr>
        <w:t xml:space="preserve">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w:t>
      </w:r>
      <w:proofErr w:type="gramStart"/>
      <w:r w:rsidRPr="00947E57">
        <w:rPr>
          <w:rFonts w:ascii="Verdana" w:hAnsi="Verdana" w:cs="Arial"/>
          <w:sz w:val="14"/>
          <w:szCs w:val="14"/>
        </w:rPr>
        <w:t>los mismos</w:t>
      </w:r>
      <w:proofErr w:type="gramEnd"/>
      <w:r w:rsidRPr="00947E57">
        <w:rPr>
          <w:rFonts w:ascii="Verdana" w:hAnsi="Verdana" w:cs="Arial"/>
          <w:sz w:val="14"/>
          <w:szCs w:val="14"/>
        </w:rPr>
        <w:t>, sin perjuicio de las acciones de control a las que haya lugar.</w:t>
      </w:r>
    </w:p>
    <w:p w14:paraId="1C790B4F" w14:textId="77777777" w:rsidR="003C312E" w:rsidRPr="00947E57" w:rsidRDefault="003C312E" w:rsidP="003C312E">
      <w:pPr>
        <w:spacing w:after="0" w:line="240" w:lineRule="auto"/>
        <w:ind w:firstLine="708"/>
        <w:contextualSpacing/>
        <w:jc w:val="both"/>
        <w:rPr>
          <w:rFonts w:ascii="Verdana" w:hAnsi="Verdana" w:cs="Arial"/>
          <w:sz w:val="14"/>
          <w:szCs w:val="14"/>
        </w:rPr>
      </w:pPr>
      <w:r w:rsidRPr="00947E57">
        <w:rPr>
          <w:rFonts w:ascii="Verdana" w:hAnsi="Verdana" w:cs="Arial"/>
          <w:bCs/>
          <w:sz w:val="14"/>
          <w:szCs w:val="14"/>
        </w:rPr>
        <w:t>Parágrafo 1o.</w:t>
      </w:r>
      <w:r w:rsidRPr="00947E57">
        <w:rPr>
          <w:rFonts w:ascii="Verdana" w:hAnsi="Verdana" w:cs="Arial"/>
          <w:sz w:val="14"/>
          <w:szCs w:val="14"/>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6AB39310" w14:textId="77777777" w:rsidR="003C312E" w:rsidRPr="00947E57" w:rsidRDefault="003C312E" w:rsidP="003C312E">
      <w:pPr>
        <w:spacing w:after="0" w:line="240" w:lineRule="auto"/>
        <w:ind w:firstLine="708"/>
        <w:contextualSpacing/>
        <w:jc w:val="both"/>
        <w:rPr>
          <w:rFonts w:ascii="Verdana" w:hAnsi="Verdana" w:cs="Arial"/>
          <w:sz w:val="14"/>
          <w:szCs w:val="14"/>
        </w:rPr>
      </w:pPr>
      <w:r w:rsidRPr="00947E57">
        <w:rPr>
          <w:rFonts w:ascii="Verdana" w:hAnsi="Verdana" w:cs="Arial"/>
          <w:bCs/>
          <w:sz w:val="14"/>
          <w:szCs w:val="14"/>
        </w:rPr>
        <w:t>Parágrafo 2o.</w:t>
      </w:r>
      <w:r w:rsidRPr="00947E57">
        <w:rPr>
          <w:rFonts w:ascii="Verdana" w:hAnsi="Verdana" w:cs="Arial"/>
          <w:sz w:val="14"/>
          <w:szCs w:val="14"/>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061DC3F4" w14:textId="77777777" w:rsidR="003C312E" w:rsidRPr="00947E57" w:rsidRDefault="003C312E" w:rsidP="003C312E">
      <w:pPr>
        <w:spacing w:after="0" w:line="240" w:lineRule="auto"/>
        <w:ind w:firstLine="708"/>
        <w:contextualSpacing/>
        <w:jc w:val="both"/>
        <w:rPr>
          <w:rFonts w:ascii="Verdana" w:hAnsi="Verdana" w:cs="Arial"/>
          <w:sz w:val="14"/>
          <w:szCs w:val="14"/>
        </w:rPr>
      </w:pPr>
      <w:r w:rsidRPr="00947E57">
        <w:rPr>
          <w:rFonts w:ascii="Verdana" w:hAnsi="Verdana" w:cs="Arial"/>
          <w:bCs/>
          <w:sz w:val="14"/>
          <w:szCs w:val="14"/>
        </w:rPr>
        <w:t>Parágrafo 3o.</w:t>
      </w:r>
      <w:r w:rsidRPr="00947E57">
        <w:rPr>
          <w:rFonts w:ascii="Verdana" w:hAnsi="Verdana" w:cs="Arial"/>
          <w:sz w:val="14"/>
          <w:szCs w:val="14"/>
        </w:rPr>
        <w:t xml:space="preserve"> La entidad designada ejecutora por las entidades u órganos de que tratan los artículos </w:t>
      </w:r>
      <w:hyperlink r:id="rId4" w:anchor="35" w:history="1">
        <w:r w:rsidRPr="00947E57">
          <w:rPr>
            <w:rFonts w:ascii="Verdana" w:hAnsi="Verdana" w:cs="Arial"/>
            <w:sz w:val="14"/>
            <w:szCs w:val="14"/>
          </w:rPr>
          <w:t>35</w:t>
        </w:r>
      </w:hyperlink>
      <w:r w:rsidRPr="00947E57">
        <w:rPr>
          <w:rFonts w:ascii="Verdana" w:hAnsi="Verdana" w:cs="Arial"/>
          <w:sz w:val="14"/>
          <w:szCs w:val="14"/>
        </w:rPr>
        <w:t xml:space="preserve"> y </w:t>
      </w:r>
      <w:hyperlink r:id="rId5" w:anchor="36" w:history="1">
        <w:r w:rsidRPr="00947E57">
          <w:rPr>
            <w:rFonts w:ascii="Verdana" w:hAnsi="Verdana" w:cs="Arial"/>
            <w:sz w:val="14"/>
            <w:szCs w:val="14"/>
          </w:rPr>
          <w:t>36</w:t>
        </w:r>
      </w:hyperlink>
      <w:r w:rsidRPr="00947E57">
        <w:rPr>
          <w:rFonts w:ascii="Verdana" w:hAnsi="Verdana" w:cs="Arial"/>
          <w:sz w:val="14"/>
          <w:szCs w:val="14"/>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3EF313C6" w14:textId="77777777" w:rsidR="003C312E" w:rsidRPr="00947E57" w:rsidRDefault="003C312E" w:rsidP="003C312E">
      <w:pPr>
        <w:spacing w:after="0" w:line="240" w:lineRule="auto"/>
        <w:ind w:firstLine="708"/>
        <w:contextualSpacing/>
        <w:jc w:val="both"/>
        <w:rPr>
          <w:rFonts w:ascii="Verdana" w:hAnsi="Verdana" w:cs="Arial"/>
          <w:sz w:val="14"/>
          <w:szCs w:val="14"/>
        </w:rPr>
      </w:pPr>
      <w:r w:rsidRPr="00947E57">
        <w:rPr>
          <w:rFonts w:ascii="Verdana" w:hAnsi="Verdana" w:cs="Arial"/>
          <w:sz w:val="14"/>
          <w:szCs w:val="14"/>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0E4A6C3F" w14:textId="77777777" w:rsidR="003C312E" w:rsidRPr="00AB78D4" w:rsidRDefault="003C312E" w:rsidP="003C312E">
      <w:pPr>
        <w:spacing w:after="0" w:line="240" w:lineRule="auto"/>
        <w:ind w:firstLine="708"/>
        <w:contextualSpacing/>
        <w:jc w:val="both"/>
        <w:rPr>
          <w:rFonts w:ascii="Verdana" w:hAnsi="Verdana" w:cs="Arial"/>
          <w:sz w:val="14"/>
          <w:szCs w:val="14"/>
        </w:rPr>
      </w:pPr>
      <w:r w:rsidRPr="00947E57">
        <w:rPr>
          <w:rFonts w:ascii="Verdana" w:hAnsi="Verdana" w:cs="Arial"/>
          <w:sz w:val="14"/>
          <w:szCs w:val="14"/>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sidRPr="00947E57">
        <w:rPr>
          <w:rFonts w:ascii="Verdana" w:hAnsi="Verdana" w:cs="Arial"/>
          <w:sz w:val="14"/>
          <w:szCs w:val="14"/>
          <w:lang w:val="es-ES"/>
        </w:rPr>
        <w:t>”</w:t>
      </w:r>
      <w:r w:rsidRPr="00947E57">
        <w:rPr>
          <w:rFonts w:ascii="Verdana" w:hAnsi="Verdana" w:cs="Arial"/>
          <w:sz w:val="14"/>
          <w:szCs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528B"/>
    <w:rsid w:val="00116940"/>
    <w:rsid w:val="00125105"/>
    <w:rsid w:val="00127233"/>
    <w:rsid w:val="00151C1B"/>
    <w:rsid w:val="0015699B"/>
    <w:rsid w:val="001A33BF"/>
    <w:rsid w:val="001A4B97"/>
    <w:rsid w:val="001E4177"/>
    <w:rsid w:val="001F0B24"/>
    <w:rsid w:val="001F7DC6"/>
    <w:rsid w:val="0022400B"/>
    <w:rsid w:val="002421BB"/>
    <w:rsid w:val="0025796E"/>
    <w:rsid w:val="0026526D"/>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32D7"/>
    <w:rsid w:val="003448F4"/>
    <w:rsid w:val="00374F5E"/>
    <w:rsid w:val="00377E3E"/>
    <w:rsid w:val="003A779E"/>
    <w:rsid w:val="003C312E"/>
    <w:rsid w:val="003D0F4D"/>
    <w:rsid w:val="003D5B0D"/>
    <w:rsid w:val="003E0499"/>
    <w:rsid w:val="003E4F80"/>
    <w:rsid w:val="003E6439"/>
    <w:rsid w:val="003E76D1"/>
    <w:rsid w:val="003F3941"/>
    <w:rsid w:val="00406575"/>
    <w:rsid w:val="00414C74"/>
    <w:rsid w:val="0042722E"/>
    <w:rsid w:val="0044528D"/>
    <w:rsid w:val="00466E39"/>
    <w:rsid w:val="004A1847"/>
    <w:rsid w:val="004A305D"/>
    <w:rsid w:val="004F21C4"/>
    <w:rsid w:val="004F685F"/>
    <w:rsid w:val="005566E8"/>
    <w:rsid w:val="0056279C"/>
    <w:rsid w:val="00574867"/>
    <w:rsid w:val="00575FA5"/>
    <w:rsid w:val="00591460"/>
    <w:rsid w:val="005A65E0"/>
    <w:rsid w:val="005C3777"/>
    <w:rsid w:val="005C5CDC"/>
    <w:rsid w:val="005D476C"/>
    <w:rsid w:val="006200BF"/>
    <w:rsid w:val="006219F8"/>
    <w:rsid w:val="006302F7"/>
    <w:rsid w:val="00646B9F"/>
    <w:rsid w:val="0065736B"/>
    <w:rsid w:val="00665D70"/>
    <w:rsid w:val="006900D9"/>
    <w:rsid w:val="006E4E46"/>
    <w:rsid w:val="00706C16"/>
    <w:rsid w:val="00706F65"/>
    <w:rsid w:val="007340C3"/>
    <w:rsid w:val="0075235A"/>
    <w:rsid w:val="00756841"/>
    <w:rsid w:val="007649AB"/>
    <w:rsid w:val="00771D0C"/>
    <w:rsid w:val="007833AC"/>
    <w:rsid w:val="007B268C"/>
    <w:rsid w:val="007B7171"/>
    <w:rsid w:val="007C0C0F"/>
    <w:rsid w:val="007C3DC2"/>
    <w:rsid w:val="007E5497"/>
    <w:rsid w:val="00806F5F"/>
    <w:rsid w:val="00820278"/>
    <w:rsid w:val="00824F71"/>
    <w:rsid w:val="008258C9"/>
    <w:rsid w:val="00844AE9"/>
    <w:rsid w:val="00867F95"/>
    <w:rsid w:val="008843B6"/>
    <w:rsid w:val="00891928"/>
    <w:rsid w:val="008A446D"/>
    <w:rsid w:val="008B25F1"/>
    <w:rsid w:val="008D180B"/>
    <w:rsid w:val="008F0EA7"/>
    <w:rsid w:val="00923EEF"/>
    <w:rsid w:val="00936E30"/>
    <w:rsid w:val="009419F9"/>
    <w:rsid w:val="0095685E"/>
    <w:rsid w:val="00961B09"/>
    <w:rsid w:val="00965334"/>
    <w:rsid w:val="0097093E"/>
    <w:rsid w:val="009A0DFA"/>
    <w:rsid w:val="009A1C6F"/>
    <w:rsid w:val="009B2D26"/>
    <w:rsid w:val="009C71FA"/>
    <w:rsid w:val="009C72E7"/>
    <w:rsid w:val="009C7F7E"/>
    <w:rsid w:val="009D3058"/>
    <w:rsid w:val="009D5723"/>
    <w:rsid w:val="009E5457"/>
    <w:rsid w:val="009F3A13"/>
    <w:rsid w:val="00A122D3"/>
    <w:rsid w:val="00A14468"/>
    <w:rsid w:val="00A17F13"/>
    <w:rsid w:val="00A20739"/>
    <w:rsid w:val="00A23AF9"/>
    <w:rsid w:val="00A251BE"/>
    <w:rsid w:val="00A33C78"/>
    <w:rsid w:val="00AB0ADB"/>
    <w:rsid w:val="00AC0AB3"/>
    <w:rsid w:val="00AD45B7"/>
    <w:rsid w:val="00B00C0E"/>
    <w:rsid w:val="00B01B1A"/>
    <w:rsid w:val="00B0381D"/>
    <w:rsid w:val="00B44A47"/>
    <w:rsid w:val="00B72CD3"/>
    <w:rsid w:val="00B72FFF"/>
    <w:rsid w:val="00BC1D7D"/>
    <w:rsid w:val="00BC3D36"/>
    <w:rsid w:val="00BD54A6"/>
    <w:rsid w:val="00BD7F72"/>
    <w:rsid w:val="00BF7425"/>
    <w:rsid w:val="00C03D91"/>
    <w:rsid w:val="00C04FB3"/>
    <w:rsid w:val="00C11D8B"/>
    <w:rsid w:val="00C15139"/>
    <w:rsid w:val="00C330EB"/>
    <w:rsid w:val="00C50D69"/>
    <w:rsid w:val="00C5365C"/>
    <w:rsid w:val="00C754BE"/>
    <w:rsid w:val="00C76B1C"/>
    <w:rsid w:val="00C925AC"/>
    <w:rsid w:val="00CB6357"/>
    <w:rsid w:val="00CC1B26"/>
    <w:rsid w:val="00CF21AE"/>
    <w:rsid w:val="00D16CDD"/>
    <w:rsid w:val="00D361FD"/>
    <w:rsid w:val="00D423A2"/>
    <w:rsid w:val="00D44E26"/>
    <w:rsid w:val="00D520D8"/>
    <w:rsid w:val="00D63AC2"/>
    <w:rsid w:val="00D71035"/>
    <w:rsid w:val="00D7383B"/>
    <w:rsid w:val="00D76CD4"/>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078"/>
    <w:rsid w:val="00F666C4"/>
    <w:rsid w:val="00F76AFC"/>
    <w:rsid w:val="00FA47C0"/>
    <w:rsid w:val="00FB5DD1"/>
    <w:rsid w:val="00FC2B5D"/>
    <w:rsid w:val="00FC7E7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3C312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C312E"/>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ecretariasenado.gov.co/senado/basedoc/ley_0080_1993.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constitucion_politica_1991_pr011.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gag1998@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20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s://normas.cra.gov.co/gestor/docs/concepto_superservicios_0000169_2023.htm" TargetMode="External"/><Relationship Id="rId5" Type="http://schemas.openxmlformats.org/officeDocument/2006/relationships/hyperlink" Target="http://www.secretariasenado.gov.co/senado/basedoc/ley_2056_2020.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42B862D-80BE-4B86-9ECC-4AEBF40417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29</TotalTime>
  <Pages>16</Pages>
  <Words>5127</Words>
  <Characters>27484</Characters>
  <Application>Microsoft Office Word</Application>
  <DocSecurity>0</DocSecurity>
  <Lines>560</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32506</CharactersWithSpaces>
  <SharedDoc>false</SharedDoc>
  <HLinks>
    <vt:vector size="54" baseType="variant">
      <vt:variant>
        <vt:i4>7209021</vt:i4>
      </vt:variant>
      <vt:variant>
        <vt:i4>9</vt:i4>
      </vt:variant>
      <vt:variant>
        <vt:i4>0</vt:i4>
      </vt:variant>
      <vt:variant>
        <vt:i4>5</vt:i4>
      </vt:variant>
      <vt:variant>
        <vt:lpwstr>https://relatoria.colombiacompra.gov.co/busqueda/concept os</vt:lpwstr>
      </vt:variant>
      <vt:variant>
        <vt:lpwstr/>
      </vt:variant>
      <vt:variant>
        <vt:i4>3735575</vt:i4>
      </vt:variant>
      <vt:variant>
        <vt:i4>6</vt:i4>
      </vt:variant>
      <vt:variant>
        <vt:i4>0</vt:i4>
      </vt:variant>
      <vt:variant>
        <vt:i4>5</vt:i4>
      </vt:variant>
      <vt:variant>
        <vt:lpwstr>http://www.secretariasenado.gov.co/senado/basedoc/ley_0080_1993.html</vt:lpwstr>
      </vt:variant>
      <vt:variant>
        <vt:lpwstr>1</vt:lpwstr>
      </vt:variant>
      <vt:variant>
        <vt:i4>2555974</vt:i4>
      </vt:variant>
      <vt:variant>
        <vt:i4>3</vt:i4>
      </vt:variant>
      <vt:variant>
        <vt:i4>0</vt:i4>
      </vt:variant>
      <vt:variant>
        <vt:i4>5</vt:i4>
      </vt:variant>
      <vt:variant>
        <vt:lpwstr>http://www.secretariasenado.gov.co/senado/basedoc/constitucion_politica_1991_pr011.html</vt:lpwstr>
      </vt:variant>
      <vt:variant>
        <vt:lpwstr>356</vt:lpwstr>
      </vt:variant>
      <vt:variant>
        <vt:i4>6684744</vt:i4>
      </vt:variant>
      <vt:variant>
        <vt:i4>0</vt:i4>
      </vt:variant>
      <vt:variant>
        <vt:i4>0</vt:i4>
      </vt:variant>
      <vt:variant>
        <vt:i4>5</vt:i4>
      </vt:variant>
      <vt:variant>
        <vt:lpwstr>mailto:angag1998@gmail.com</vt:lpwstr>
      </vt:variant>
      <vt:variant>
        <vt:lpwstr/>
      </vt:variant>
      <vt:variant>
        <vt:i4>65552</vt:i4>
      </vt:variant>
      <vt:variant>
        <vt:i4>12</vt:i4>
      </vt:variant>
      <vt:variant>
        <vt:i4>0</vt:i4>
      </vt:variant>
      <vt:variant>
        <vt:i4>5</vt:i4>
      </vt:variant>
      <vt:variant>
        <vt:lpwstr>http://www.secretariasenado.gov.co/senado/basedoc/ley_2056_2020.html</vt:lpwstr>
      </vt:variant>
      <vt:variant>
        <vt:lpwstr>36</vt:lpwstr>
      </vt:variant>
      <vt:variant>
        <vt:i4>131088</vt:i4>
      </vt:variant>
      <vt:variant>
        <vt:i4>9</vt:i4>
      </vt:variant>
      <vt:variant>
        <vt:i4>0</vt:i4>
      </vt:variant>
      <vt:variant>
        <vt:i4>5</vt:i4>
      </vt:variant>
      <vt:variant>
        <vt:lpwstr>http://www.secretariasenado.gov.co/senado/basedoc/ley_2056_2020.html</vt:lpwstr>
      </vt:variant>
      <vt:variant>
        <vt:lpwstr>35</vt:lpwstr>
      </vt:variant>
      <vt:variant>
        <vt:i4>65552</vt:i4>
      </vt:variant>
      <vt:variant>
        <vt:i4>6</vt:i4>
      </vt:variant>
      <vt:variant>
        <vt:i4>0</vt:i4>
      </vt:variant>
      <vt:variant>
        <vt:i4>5</vt:i4>
      </vt:variant>
      <vt:variant>
        <vt:lpwstr>http://www.secretariasenado.gov.co/senado/basedoc/ley_2056_2020.html</vt:lpwstr>
      </vt:variant>
      <vt:variant>
        <vt:lpwstr>36</vt:lpwstr>
      </vt:variant>
      <vt:variant>
        <vt:i4>131088</vt:i4>
      </vt:variant>
      <vt:variant>
        <vt:i4>3</vt:i4>
      </vt:variant>
      <vt:variant>
        <vt:i4>0</vt:i4>
      </vt:variant>
      <vt:variant>
        <vt:i4>5</vt:i4>
      </vt:variant>
      <vt:variant>
        <vt:lpwstr>http://www.secretariasenado.gov.co/senado/basedoc/ley_2056_2020.html</vt:lpwstr>
      </vt:variant>
      <vt:variant>
        <vt:lpwstr>35</vt:lpwstr>
      </vt:variant>
      <vt:variant>
        <vt:i4>3735642</vt:i4>
      </vt:variant>
      <vt:variant>
        <vt:i4>0</vt:i4>
      </vt:variant>
      <vt:variant>
        <vt:i4>0</vt:i4>
      </vt:variant>
      <vt:variant>
        <vt:i4>5</vt:i4>
      </vt:variant>
      <vt:variant>
        <vt:lpwstr>https://normas.cra.gov.co/gestor/docs/concepto_superservicios_0000169_2023.htm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2026-03-24T17:36:00Z</dcterms:created>
  <dcterms:modified xsi:type="dcterms:W3CDTF">2026-03-27T01:30:00Z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