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DF7DF" w14:textId="77777777" w:rsidR="00561B0A" w:rsidRPr="00561B0A" w:rsidRDefault="00561B0A" w:rsidP="00561B0A">
      <w:pPr>
        <w:spacing w:after="0" w:line="240" w:lineRule="auto"/>
        <w:jc w:val="both"/>
        <w:rPr>
          <w:rFonts w:ascii="Verdana" w:eastAsia="Calibri" w:hAnsi="Verdana" w:cs="Arial"/>
          <w:b/>
          <w:lang w:val="es-ES" w:eastAsia="es-ES"/>
        </w:rPr>
      </w:pPr>
      <w:bookmarkStart w:id="0" w:name="_Hlk143780582"/>
      <w:r w:rsidRPr="00561B0A">
        <w:rPr>
          <w:rFonts w:ascii="Verdana" w:eastAsia="Calibri" w:hAnsi="Verdana" w:cs="Arial"/>
          <w:b/>
          <w:lang w:val="es-ES" w:eastAsia="es-ES"/>
        </w:rPr>
        <w:t xml:space="preserve">LEY DE GARANTÍAS ELECTORALES ‒ Finalidad </w:t>
      </w:r>
    </w:p>
    <w:p w14:paraId="43458A6B" w14:textId="2AB807D9" w:rsidR="00561B0A" w:rsidRDefault="00561B0A" w:rsidP="00561B0A">
      <w:pPr>
        <w:spacing w:after="0" w:line="240" w:lineRule="auto"/>
        <w:jc w:val="both"/>
        <w:rPr>
          <w:rFonts w:ascii="Verdana" w:eastAsia="Calibri" w:hAnsi="Verdana" w:cs="Arial"/>
          <w:b/>
          <w:lang w:val="es-ES" w:eastAsia="es-ES"/>
        </w:rPr>
      </w:pPr>
    </w:p>
    <w:p w14:paraId="7111D92F" w14:textId="71C86DD2" w:rsidR="00561B0A" w:rsidRPr="00561B0A" w:rsidRDefault="00561B0A" w:rsidP="00561B0A">
      <w:pPr>
        <w:spacing w:after="0" w:line="240" w:lineRule="auto"/>
        <w:jc w:val="both"/>
        <w:rPr>
          <w:rFonts w:ascii="Verdana" w:eastAsia="Calibri" w:hAnsi="Verdana" w:cs="Arial"/>
          <w:sz w:val="20"/>
          <w:lang w:val="es-ES" w:eastAsia="es-ES"/>
        </w:rPr>
      </w:pPr>
      <w:r w:rsidRPr="00561B0A">
        <w:rPr>
          <w:rFonts w:ascii="Verdana" w:eastAsia="Calibri" w:hAnsi="Verdana" w:cs="Arial"/>
          <w:sz w:val="20"/>
          <w:lang w:val="es-MX" w:eastAsia="es-ES"/>
        </w:rPr>
        <w:t>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581A1C6" w14:textId="77777777" w:rsidR="00561B0A" w:rsidRPr="00561B0A" w:rsidRDefault="00561B0A" w:rsidP="00561B0A">
      <w:pPr>
        <w:spacing w:after="0" w:line="240" w:lineRule="auto"/>
        <w:jc w:val="both"/>
        <w:rPr>
          <w:rFonts w:ascii="Verdana" w:eastAsia="Calibri" w:hAnsi="Verdana" w:cs="Arial"/>
          <w:b/>
          <w:lang w:val="es-ES" w:eastAsia="es-ES"/>
        </w:rPr>
      </w:pPr>
    </w:p>
    <w:p w14:paraId="4A4592A8" w14:textId="3323FCC3" w:rsidR="00561B0A" w:rsidRPr="00561B0A" w:rsidRDefault="00561B0A" w:rsidP="00561B0A">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Tipos de restricciones ‒ Ámbito temporal – </w:t>
      </w:r>
      <w:r w:rsidR="00BE3D4E">
        <w:rPr>
          <w:rFonts w:ascii="Verdana" w:eastAsia="Calibri" w:hAnsi="Verdana" w:cs="Arial"/>
          <w:b/>
          <w:lang w:val="es-ES" w:eastAsia="es-ES"/>
        </w:rPr>
        <w:t>C</w:t>
      </w:r>
      <w:r w:rsidRPr="00561B0A">
        <w:rPr>
          <w:rFonts w:ascii="Verdana" w:eastAsia="Calibri" w:hAnsi="Verdana" w:cs="Arial"/>
          <w:b/>
          <w:lang w:val="es-ES" w:eastAsia="es-ES"/>
        </w:rPr>
        <w:t>elebración</w:t>
      </w:r>
      <w:r w:rsidR="00BE3D4E">
        <w:rPr>
          <w:rFonts w:ascii="Verdana" w:eastAsia="Calibri" w:hAnsi="Verdana" w:cs="Arial"/>
          <w:b/>
          <w:lang w:val="es-ES" w:eastAsia="es-ES"/>
        </w:rPr>
        <w:t xml:space="preserve"> </w:t>
      </w:r>
      <w:r w:rsidR="00BE3D4E" w:rsidRPr="00BE3D4E">
        <w:rPr>
          <w:rFonts w:ascii="Verdana" w:eastAsia="Calibri" w:hAnsi="Verdana" w:cs="Arial"/>
          <w:b/>
          <w:bCs/>
          <w:lang w:eastAsia="es-ES"/>
        </w:rPr>
        <w:t>–</w:t>
      </w:r>
      <w:r w:rsidRPr="00561B0A">
        <w:rPr>
          <w:rFonts w:ascii="Verdana" w:eastAsia="Calibri" w:hAnsi="Verdana" w:cs="Arial"/>
          <w:b/>
          <w:lang w:val="es-ES" w:eastAsia="es-ES"/>
        </w:rPr>
        <w:t xml:space="preserve"> </w:t>
      </w:r>
      <w:r w:rsidR="00BE3D4E">
        <w:rPr>
          <w:rFonts w:ascii="Verdana" w:eastAsia="Calibri" w:hAnsi="Verdana" w:cs="Arial"/>
          <w:b/>
          <w:lang w:val="es-ES" w:eastAsia="es-ES"/>
        </w:rPr>
        <w:t>L</w:t>
      </w:r>
      <w:r w:rsidRPr="00561B0A">
        <w:rPr>
          <w:rFonts w:ascii="Verdana" w:eastAsia="Calibri" w:hAnsi="Verdana" w:cs="Arial"/>
          <w:b/>
          <w:lang w:val="es-ES" w:eastAsia="es-ES"/>
        </w:rPr>
        <w:t>ímite</w:t>
      </w:r>
    </w:p>
    <w:p w14:paraId="1F3E75B1" w14:textId="0C19E8EE" w:rsidR="00561B0A" w:rsidRDefault="00561B0A" w:rsidP="00561B0A">
      <w:pPr>
        <w:spacing w:after="0" w:line="240" w:lineRule="auto"/>
        <w:jc w:val="both"/>
        <w:rPr>
          <w:rFonts w:ascii="Verdana" w:eastAsia="Calibri" w:hAnsi="Verdana" w:cs="Arial"/>
          <w:b/>
          <w:lang w:val="es-ES" w:eastAsia="es-ES"/>
        </w:rPr>
      </w:pPr>
    </w:p>
    <w:p w14:paraId="6A6A32B7" w14:textId="0F5E8D51" w:rsidR="00561B0A" w:rsidRDefault="00561B0A" w:rsidP="00561B0A">
      <w:pPr>
        <w:spacing w:after="0" w:line="240" w:lineRule="auto"/>
        <w:jc w:val="both"/>
        <w:rPr>
          <w:rFonts w:ascii="Verdana" w:eastAsia="Calibri" w:hAnsi="Verdana" w:cs="Arial"/>
          <w:sz w:val="20"/>
          <w:lang w:eastAsia="es-ES"/>
        </w:rPr>
      </w:pPr>
      <w:r w:rsidRPr="00561B0A">
        <w:rPr>
          <w:rFonts w:ascii="Verdana" w:eastAsia="Calibri" w:hAnsi="Verdana" w:cs="Arial"/>
          <w:i/>
          <w:iCs/>
          <w:sz w:val="20"/>
          <w:lang w:eastAsia="es-ES"/>
        </w:rPr>
        <w:t>Por un lado</w:t>
      </w:r>
      <w:r w:rsidRPr="00561B0A">
        <w:rPr>
          <w:rFonts w:ascii="Verdana" w:eastAsia="Calibri" w:hAnsi="Verdana" w:cs="Arial"/>
          <w:sz w:val="20"/>
          <w:lang w:eastAsia="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96016A5" w14:textId="77777777" w:rsidR="00561B0A" w:rsidRPr="00561B0A" w:rsidRDefault="00561B0A" w:rsidP="00561B0A">
      <w:pPr>
        <w:spacing w:after="0" w:line="240" w:lineRule="auto"/>
        <w:jc w:val="both"/>
        <w:rPr>
          <w:rFonts w:ascii="Verdana" w:eastAsia="Calibri" w:hAnsi="Verdana" w:cs="Arial"/>
          <w:sz w:val="20"/>
          <w:lang w:eastAsia="es-ES"/>
        </w:rPr>
      </w:pPr>
    </w:p>
    <w:p w14:paraId="06F8F6E9" w14:textId="6A5F3162" w:rsidR="00561B0A" w:rsidRPr="00561B0A" w:rsidRDefault="00561B0A" w:rsidP="00561B0A">
      <w:pPr>
        <w:spacing w:after="0" w:line="240" w:lineRule="auto"/>
        <w:jc w:val="both"/>
        <w:rPr>
          <w:rFonts w:ascii="Verdana" w:eastAsia="Calibri" w:hAnsi="Verdana" w:cs="Arial"/>
          <w:sz w:val="20"/>
          <w:lang w:val="es-ES" w:eastAsia="es-ES" w:bidi="es-ES"/>
        </w:rPr>
      </w:pPr>
      <w:r w:rsidRPr="00561B0A">
        <w:rPr>
          <w:rFonts w:ascii="Verdana" w:eastAsia="Calibri" w:hAnsi="Verdana" w:cs="Arial"/>
          <w:i/>
          <w:iCs/>
          <w:sz w:val="20"/>
          <w:lang w:eastAsia="es-ES"/>
        </w:rPr>
        <w:t>Por otro</w:t>
      </w:r>
      <w:r w:rsidRPr="00561B0A">
        <w:rPr>
          <w:rFonts w:ascii="Verdana" w:eastAsia="Calibri" w:hAnsi="Verdana" w:cs="Arial"/>
          <w:sz w:val="20"/>
          <w:lang w:eastAsia="es-ES"/>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61B0A">
        <w:rPr>
          <w:rFonts w:ascii="Verdana" w:eastAsia="Calibri" w:hAnsi="Verdana" w:cs="Arial"/>
          <w:sz w:val="20"/>
          <w:lang w:val="es-MX" w:eastAsia="es-ES"/>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61B0A">
        <w:rPr>
          <w:rFonts w:ascii="Verdana" w:eastAsia="Calibri" w:hAnsi="Verdana" w:cs="Arial"/>
          <w:sz w:val="20"/>
          <w:lang w:eastAsia="es-ES"/>
        </w:rPr>
        <w:t>”</w:t>
      </w:r>
      <w:r w:rsidRPr="00561B0A">
        <w:rPr>
          <w:rFonts w:ascii="Verdana" w:eastAsia="Calibri" w:hAnsi="Verdana" w:cs="Arial"/>
          <w:sz w:val="20"/>
          <w:lang w:val="es-MX" w:eastAsia="es-ES"/>
        </w:rPr>
        <w:t>.</w:t>
      </w:r>
      <w:r w:rsidRPr="00561B0A">
        <w:rPr>
          <w:rFonts w:ascii="Verdana" w:eastAsia="Calibri" w:hAnsi="Verdana" w:cs="Arial"/>
          <w:sz w:val="20"/>
          <w:lang w:val="es-ES" w:eastAsia="es-ES" w:bidi="es-ES"/>
        </w:rPr>
        <w:t xml:space="preserve"> La Sala de Consulta y Servicio Civil del Consejo de Estado ha aclarado la distinción en la aplicación de las prohibiciones de la Ley 996 de 2005, dependiendo del tipo de elección que se trate. </w:t>
      </w:r>
    </w:p>
    <w:p w14:paraId="5909B705" w14:textId="77777777" w:rsidR="00561B0A" w:rsidRPr="00561B0A" w:rsidRDefault="00561B0A" w:rsidP="00561B0A">
      <w:pPr>
        <w:spacing w:after="0" w:line="240" w:lineRule="auto"/>
        <w:jc w:val="both"/>
        <w:rPr>
          <w:rFonts w:ascii="Verdana" w:eastAsia="Calibri" w:hAnsi="Verdana" w:cs="Arial"/>
          <w:b/>
          <w:lang w:val="es-ES" w:eastAsia="es-ES"/>
        </w:rPr>
      </w:pPr>
    </w:p>
    <w:p w14:paraId="3A139C38" w14:textId="054208D4" w:rsidR="00561B0A" w:rsidRPr="00561B0A" w:rsidRDefault="00561B0A" w:rsidP="00561B0A">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artículo 33 – Contratación directa – Alcance </w:t>
      </w:r>
    </w:p>
    <w:p w14:paraId="5AC8EE39" w14:textId="3398ECE5" w:rsidR="00561B0A" w:rsidRDefault="00561B0A" w:rsidP="00561B0A">
      <w:pPr>
        <w:spacing w:after="0" w:line="240" w:lineRule="auto"/>
        <w:jc w:val="both"/>
        <w:rPr>
          <w:rFonts w:ascii="Verdana" w:eastAsia="Calibri" w:hAnsi="Verdana" w:cs="Arial"/>
          <w:b/>
          <w:lang w:val="es-ES" w:eastAsia="es-ES"/>
        </w:rPr>
      </w:pPr>
    </w:p>
    <w:p w14:paraId="6BE4949A" w14:textId="4ECC221C" w:rsidR="00561B0A" w:rsidRPr="00561B0A" w:rsidRDefault="00561B0A" w:rsidP="00561B0A">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084570BB" w14:textId="77777777" w:rsidR="00561B0A" w:rsidRPr="00561B0A" w:rsidRDefault="00561B0A" w:rsidP="00561B0A">
      <w:pPr>
        <w:spacing w:after="0" w:line="240" w:lineRule="auto"/>
        <w:jc w:val="both"/>
        <w:rPr>
          <w:rFonts w:ascii="Verdana" w:eastAsia="Calibri" w:hAnsi="Verdana" w:cs="Arial"/>
          <w:bCs/>
          <w:sz w:val="20"/>
          <w:lang w:eastAsia="es-ES"/>
        </w:rPr>
      </w:pPr>
    </w:p>
    <w:p w14:paraId="0CC4E682" w14:textId="40B8DA4F" w:rsidR="00561B0A" w:rsidRPr="00561B0A" w:rsidRDefault="00561B0A" w:rsidP="00561B0A">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p>
    <w:p w14:paraId="7A547650" w14:textId="77777777" w:rsidR="00561B0A" w:rsidRPr="00561B0A" w:rsidRDefault="00561B0A" w:rsidP="00561B0A">
      <w:pPr>
        <w:spacing w:after="0" w:line="240" w:lineRule="auto"/>
        <w:jc w:val="both"/>
        <w:rPr>
          <w:rFonts w:ascii="Verdana" w:eastAsia="Calibri" w:hAnsi="Verdana" w:cs="Arial"/>
          <w:b/>
          <w:lang w:val="es-ES" w:eastAsia="es-ES"/>
        </w:rPr>
      </w:pPr>
    </w:p>
    <w:p w14:paraId="7D08C286" w14:textId="52993667" w:rsidR="00561B0A" w:rsidRPr="00561B0A" w:rsidRDefault="00561B0A" w:rsidP="00561B0A">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del artículo 33 – Destinatarios </w:t>
      </w:r>
    </w:p>
    <w:p w14:paraId="1032442A" w14:textId="493D3D2B" w:rsidR="00561B0A" w:rsidRDefault="00561B0A" w:rsidP="00561B0A">
      <w:pPr>
        <w:spacing w:after="0" w:line="240" w:lineRule="auto"/>
        <w:jc w:val="both"/>
        <w:rPr>
          <w:rFonts w:ascii="Verdana" w:eastAsia="Calibri" w:hAnsi="Verdana" w:cs="Arial"/>
          <w:b/>
          <w:lang w:val="es-ES" w:eastAsia="es-ES"/>
        </w:rPr>
      </w:pPr>
    </w:p>
    <w:p w14:paraId="4D60750F" w14:textId="14220DE0" w:rsidR="00561B0A" w:rsidRPr="00561B0A" w:rsidRDefault="00561B0A" w:rsidP="00561B0A">
      <w:pPr>
        <w:spacing w:after="0" w:line="240" w:lineRule="auto"/>
        <w:jc w:val="both"/>
        <w:rPr>
          <w:rFonts w:ascii="Verdana" w:eastAsia="Calibri" w:hAnsi="Verdana" w:cs="Arial"/>
          <w:bCs/>
          <w:sz w:val="20"/>
          <w:lang w:val="es-MX" w:eastAsia="es-ES"/>
        </w:rPr>
      </w:pPr>
      <w:r w:rsidRPr="00561B0A">
        <w:rPr>
          <w:rFonts w:ascii="Verdana" w:eastAsia="Calibri" w:hAnsi="Verdana" w:cs="Arial"/>
          <w:bCs/>
          <w:sz w:val="20"/>
          <w:lang w:val="es-MX" w:eastAsia="es-ES"/>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En efecto, tal como lo ha sostenido el Consejo de Estado, el vocablo “todos” utilizado por el legislador comprende</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797B1167" w14:textId="77777777" w:rsidR="00561B0A" w:rsidRPr="00561B0A" w:rsidRDefault="00561B0A" w:rsidP="00561B0A">
      <w:pPr>
        <w:spacing w:after="0" w:line="240" w:lineRule="auto"/>
        <w:jc w:val="both"/>
        <w:rPr>
          <w:rFonts w:ascii="Verdana" w:eastAsia="Calibri" w:hAnsi="Verdana" w:cs="Arial"/>
          <w:b/>
          <w:lang w:val="es-ES" w:eastAsia="es-ES"/>
        </w:rPr>
      </w:pPr>
    </w:p>
    <w:p w14:paraId="26AFF6DA" w14:textId="77777777" w:rsidR="00561B0A" w:rsidRPr="00561B0A" w:rsidRDefault="00561B0A" w:rsidP="00561B0A">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Condiciones de igualdad – Contratación directa </w:t>
      </w:r>
    </w:p>
    <w:p w14:paraId="436E4406" w14:textId="033B9627" w:rsidR="00561B0A" w:rsidRDefault="00561B0A" w:rsidP="00561B0A">
      <w:pPr>
        <w:spacing w:after="0" w:line="240" w:lineRule="auto"/>
        <w:jc w:val="both"/>
        <w:rPr>
          <w:rFonts w:ascii="Verdana" w:eastAsia="Calibri" w:hAnsi="Verdana" w:cs="Arial"/>
          <w:b/>
          <w:lang w:val="es-ES" w:eastAsia="es-ES"/>
        </w:rPr>
      </w:pPr>
    </w:p>
    <w:p w14:paraId="152FE5B2" w14:textId="77777777" w:rsidR="004D6761" w:rsidRPr="004D6761" w:rsidRDefault="004D6761" w:rsidP="004D6761">
      <w:pPr>
        <w:spacing w:after="0" w:line="240" w:lineRule="auto"/>
        <w:jc w:val="both"/>
        <w:rPr>
          <w:rFonts w:ascii="Verdana" w:eastAsia="Calibri" w:hAnsi="Verdana" w:cs="Arial"/>
          <w:bCs/>
          <w:sz w:val="20"/>
          <w:lang w:val="es-MX" w:eastAsia="es-ES"/>
        </w:rPr>
      </w:pPr>
      <w:r w:rsidRPr="004D6761">
        <w:rPr>
          <w:rFonts w:ascii="Verdana" w:eastAsia="Calibri" w:hAnsi="Verdana" w:cs="Arial"/>
          <w:sz w:val="20"/>
          <w:lang w:val="es-MX" w:eastAsia="es-ES"/>
        </w:rPr>
        <w:t xml:space="preserve">Por lo tanto, la restricción prevista en la Ley 996 de 2005, </w:t>
      </w:r>
      <w:r w:rsidRPr="004D6761">
        <w:rPr>
          <w:rFonts w:ascii="Verdana" w:eastAsia="Calibri" w:hAnsi="Verdana" w:cs="Arial"/>
          <w:bCs/>
          <w:sz w:val="20"/>
          <w:lang w:val="es-MX" w:eastAsia="es-ES"/>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FFC17A8" w14:textId="77777777" w:rsidR="004D6761" w:rsidRPr="004D6761" w:rsidRDefault="004D6761" w:rsidP="004D6761">
      <w:pPr>
        <w:spacing w:after="0" w:line="240" w:lineRule="auto"/>
        <w:jc w:val="both"/>
        <w:rPr>
          <w:rFonts w:ascii="Verdana" w:eastAsia="Calibri" w:hAnsi="Verdana" w:cs="Arial"/>
          <w:sz w:val="20"/>
          <w:lang w:val="es-MX" w:eastAsia="es-ES"/>
        </w:rPr>
      </w:pPr>
    </w:p>
    <w:p w14:paraId="0956202F" w14:textId="1611C990" w:rsidR="00561B0A" w:rsidRPr="00561B0A" w:rsidRDefault="00561B0A" w:rsidP="00561B0A">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LEY DE GARANTÍAS ELECTORALES – Contratación Directa – Excepciones</w:t>
      </w:r>
    </w:p>
    <w:p w14:paraId="4C72D382" w14:textId="4E0B4335" w:rsidR="00561B0A" w:rsidRDefault="00561B0A" w:rsidP="00561B0A">
      <w:pPr>
        <w:spacing w:after="0" w:line="240" w:lineRule="auto"/>
        <w:jc w:val="both"/>
        <w:rPr>
          <w:rFonts w:ascii="Verdana" w:eastAsia="Calibri" w:hAnsi="Verdana" w:cs="Arial"/>
          <w:b/>
          <w:lang w:val="es-ES" w:eastAsia="es-ES"/>
        </w:rPr>
      </w:pPr>
    </w:p>
    <w:p w14:paraId="211E15E2" w14:textId="31E0B0A0" w:rsidR="004D6761" w:rsidRDefault="004D6761" w:rsidP="004D6761">
      <w:pPr>
        <w:spacing w:after="0" w:line="240" w:lineRule="auto"/>
        <w:jc w:val="both"/>
        <w:rPr>
          <w:rFonts w:ascii="Verdana" w:eastAsia="Calibri" w:hAnsi="Verdana" w:cs="Arial"/>
          <w:iCs/>
          <w:sz w:val="20"/>
          <w:lang w:val="es-ES" w:eastAsia="es-ES"/>
        </w:rPr>
      </w:pPr>
      <w:r w:rsidRPr="004D6761">
        <w:rPr>
          <w:rFonts w:ascii="Verdana" w:eastAsia="Calibri" w:hAnsi="Verdana" w:cs="Arial"/>
          <w:iCs/>
          <w:sz w:val="20"/>
          <w:lang w:eastAsia="es-ES"/>
        </w:rPr>
        <w:t xml:space="preserve">Las excepciones están </w:t>
      </w:r>
      <w:r w:rsidRPr="004D6761">
        <w:rPr>
          <w:rFonts w:ascii="Verdana" w:eastAsia="Calibri" w:hAnsi="Verdana" w:cs="Arial"/>
          <w:bCs/>
          <w:sz w:val="20"/>
          <w:lang w:val="es-MX" w:eastAsia="es-ES"/>
        </w:rPr>
        <w:t xml:space="preserve">consagradas de forma expresa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w:t>
      </w:r>
      <w:r w:rsidRPr="004D6761">
        <w:rPr>
          <w:rFonts w:ascii="Verdana" w:eastAsia="Calibri" w:hAnsi="Verdana" w:cs="Arial"/>
          <w:bCs/>
          <w:sz w:val="20"/>
          <w:lang w:val="es-MX" w:eastAsia="es-ES"/>
        </w:rPr>
        <w:lastRenderedPageBreak/>
        <w:t xml:space="preserve">objeto de atentados, acciones terroristas, desastres naturales o casos de fuerza mayor; y, v) los que deban realizar las entidades sanitarias y hospitalarias. Así mismo, la Corte Constitucional en la Sentencia C-1153 de 2005 señaló que la expresión </w:t>
      </w:r>
      <w:r w:rsidRPr="004D6761">
        <w:rPr>
          <w:rFonts w:ascii="Verdana" w:eastAsia="Calibri" w:hAnsi="Verdana" w:cs="Arial"/>
          <w:i/>
          <w:iCs/>
          <w:sz w:val="20"/>
          <w:lang w:val="es-ES" w:eastAsia="es-ES"/>
        </w:rPr>
        <w:t xml:space="preserve">“adicionalmente se exceptúan aquellos gastos inaplazables e imprescindibles que afecten el normal funcionamiento de la administración” </w:t>
      </w:r>
      <w:r w:rsidRPr="004D6761">
        <w:rPr>
          <w:rFonts w:ascii="Verdana" w:eastAsia="Calibri" w:hAnsi="Verdana" w:cs="Arial"/>
          <w:iCs/>
          <w:sz w:val="20"/>
          <w:lang w:val="es-ES" w:eastAsia="es-ES"/>
        </w:rPr>
        <w:t>regulada como excepción en el artículo 33</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Por tanto, dicha expresión fue declarada inexequible, razón por la cual no es posible que las entidades argumenten razones como esta para exceptuar la restricción del artículo 33.</w:t>
      </w:r>
    </w:p>
    <w:p w14:paraId="13E4AF83" w14:textId="77777777" w:rsidR="004D6761" w:rsidRPr="004D6761" w:rsidRDefault="004D6761" w:rsidP="004D6761">
      <w:pPr>
        <w:spacing w:after="0" w:line="240" w:lineRule="auto"/>
        <w:jc w:val="both"/>
        <w:rPr>
          <w:rFonts w:ascii="Verdana" w:eastAsia="Calibri" w:hAnsi="Verdana" w:cs="Arial"/>
          <w:sz w:val="20"/>
          <w:lang w:val="es-ES" w:eastAsia="es-ES"/>
        </w:rPr>
      </w:pPr>
    </w:p>
    <w:p w14:paraId="4180A2A5" w14:textId="5830351F" w:rsidR="00561B0A" w:rsidRPr="00561B0A" w:rsidRDefault="00561B0A" w:rsidP="00561B0A">
      <w:pPr>
        <w:spacing w:after="0" w:line="240" w:lineRule="auto"/>
        <w:jc w:val="both"/>
        <w:rPr>
          <w:rFonts w:ascii="Verdana" w:hAnsi="Verdana" w:cs="Arial"/>
          <w:b/>
          <w:bCs/>
          <w:lang w:val="es-ES_tradnl" w:eastAsia="es-ES_tradnl"/>
        </w:rPr>
      </w:pPr>
      <w:r w:rsidRPr="00561B0A">
        <w:rPr>
          <w:rFonts w:ascii="Verdana" w:eastAsia="Calibri" w:hAnsi="Verdana" w:cs="Arial"/>
          <w:b/>
          <w:lang w:val="es-ES" w:eastAsia="es-ES"/>
        </w:rPr>
        <w:t xml:space="preserve"> </w:t>
      </w:r>
      <w:r w:rsidRPr="00561B0A">
        <w:rPr>
          <w:rFonts w:ascii="Verdana" w:hAnsi="Verdana" w:cs="Arial"/>
          <w:b/>
          <w:bCs/>
          <w:lang w:val="es-ES_tradnl" w:eastAsia="es-ES_tradnl"/>
        </w:rPr>
        <w:t xml:space="preserve">CONTRATO DE ARRENDAMIENTO – Definición – Características </w:t>
      </w:r>
    </w:p>
    <w:p w14:paraId="7D91B95F" w14:textId="293A73E7" w:rsidR="00561B0A" w:rsidRDefault="00561B0A" w:rsidP="00561B0A">
      <w:pPr>
        <w:spacing w:after="0" w:line="240" w:lineRule="auto"/>
        <w:jc w:val="both"/>
        <w:rPr>
          <w:rFonts w:ascii="Verdana" w:hAnsi="Verdana" w:cs="Arial"/>
          <w:b/>
          <w:bCs/>
          <w:lang w:val="es-ES_tradnl" w:eastAsia="es-ES_tradnl"/>
        </w:rPr>
      </w:pPr>
    </w:p>
    <w:p w14:paraId="20F930C6" w14:textId="310C5F99" w:rsidR="00155A57" w:rsidRDefault="00155A57" w:rsidP="00155A57">
      <w:pPr>
        <w:spacing w:after="0" w:line="240" w:lineRule="auto"/>
        <w:jc w:val="both"/>
        <w:rPr>
          <w:rFonts w:ascii="Verdana" w:hAnsi="Verdana" w:cs="Arial"/>
          <w:bCs/>
          <w:sz w:val="20"/>
          <w:lang w:eastAsia="es-ES_tradnl"/>
        </w:rPr>
      </w:pPr>
      <w:r w:rsidRPr="00155A57">
        <w:rPr>
          <w:rFonts w:ascii="Verdana" w:hAnsi="Verdana" w:cs="Arial"/>
          <w:bCs/>
          <w:sz w:val="20"/>
          <w:lang w:eastAsia="es-ES_tradnl"/>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42BC500A" w14:textId="77777777" w:rsidR="00155A57" w:rsidRPr="00155A57" w:rsidRDefault="00155A57" w:rsidP="00155A57">
      <w:pPr>
        <w:spacing w:after="0" w:line="240" w:lineRule="auto"/>
        <w:jc w:val="both"/>
        <w:rPr>
          <w:rFonts w:ascii="Verdana" w:hAnsi="Verdana" w:cs="Arial"/>
          <w:bCs/>
          <w:sz w:val="20"/>
          <w:lang w:eastAsia="es-ES_tradnl"/>
        </w:rPr>
      </w:pPr>
    </w:p>
    <w:p w14:paraId="427D3863" w14:textId="3E3EC613" w:rsidR="00155A57" w:rsidRPr="00155A57" w:rsidRDefault="00155A57" w:rsidP="00155A57">
      <w:pPr>
        <w:spacing w:after="0" w:line="240" w:lineRule="auto"/>
        <w:jc w:val="both"/>
        <w:rPr>
          <w:rFonts w:ascii="Verdana" w:hAnsi="Verdana" w:cs="Arial"/>
          <w:bCs/>
          <w:sz w:val="20"/>
          <w:lang w:val="es-ES" w:eastAsia="es-ES_tradnl"/>
        </w:rPr>
      </w:pPr>
      <w:r w:rsidRPr="00155A57">
        <w:rPr>
          <w:rFonts w:ascii="Verdana" w:hAnsi="Verdana" w:cs="Arial"/>
          <w:bCs/>
          <w:sz w:val="20"/>
          <w:lang w:val="es-ES" w:eastAsia="es-ES_tradnl"/>
        </w:rPr>
        <w:t>En cuanto a sus características, la doctrina ha indicado que el arrendamiento es un contrato: i) bilateral, pues ambas partes se obligan recíprocamente; ii) consensual, dado que se perfecciona con el consentimiento; iii) oneroso, ya que ambas partes obtienen utilidades –el arrendatario, el uso y goce del bien, y el arrendador la renta o canon–; iv) de ejecución sucesiva, en la medida en que se ejecuta en forma periódica; v) principal, porque existe en forma autónoma; y v) nominado, porque está tipificado y desarrollado en la ley.</w:t>
      </w:r>
    </w:p>
    <w:p w14:paraId="3C19CC9F" w14:textId="77777777" w:rsidR="00155A57" w:rsidRPr="00561B0A" w:rsidRDefault="00155A57" w:rsidP="00155A57">
      <w:pPr>
        <w:spacing w:after="0" w:line="240" w:lineRule="auto"/>
        <w:jc w:val="both"/>
        <w:rPr>
          <w:rFonts w:ascii="Verdana" w:hAnsi="Verdana" w:cs="Arial"/>
          <w:b/>
          <w:bCs/>
          <w:lang w:val="es-ES_tradnl" w:eastAsia="es-ES_tradnl"/>
        </w:rPr>
      </w:pPr>
    </w:p>
    <w:p w14:paraId="0F00672A" w14:textId="2E3D240E" w:rsidR="00561B0A" w:rsidRDefault="00561B0A" w:rsidP="00561B0A">
      <w:pPr>
        <w:spacing w:after="0" w:line="240" w:lineRule="auto"/>
        <w:jc w:val="both"/>
        <w:rPr>
          <w:rFonts w:ascii="Verdana" w:hAnsi="Verdana" w:cs="Arial"/>
          <w:b/>
          <w:bCs/>
          <w:lang w:val="es-ES_tradnl" w:eastAsia="es-ES_tradnl"/>
        </w:rPr>
      </w:pPr>
      <w:r w:rsidRPr="00561B0A">
        <w:rPr>
          <w:rFonts w:ascii="Verdana" w:hAnsi="Verdana" w:cs="Arial"/>
          <w:b/>
          <w:bCs/>
          <w:lang w:val="es-ES_tradnl" w:eastAsia="es-ES_tradnl"/>
        </w:rPr>
        <w:t>CONTRATO DE ARRENDAMIENTO –</w:t>
      </w:r>
      <w:r w:rsidR="00BE3D4E">
        <w:rPr>
          <w:rFonts w:ascii="Verdana" w:hAnsi="Verdana" w:cs="Arial"/>
          <w:b/>
          <w:bCs/>
          <w:lang w:val="es-ES_tradnl" w:eastAsia="es-ES_tradnl"/>
        </w:rPr>
        <w:t xml:space="preserve"> </w:t>
      </w:r>
      <w:r w:rsidRPr="00561B0A">
        <w:rPr>
          <w:rFonts w:ascii="Verdana" w:hAnsi="Verdana" w:cs="Arial"/>
          <w:b/>
          <w:bCs/>
          <w:lang w:val="es-ES_tradnl" w:eastAsia="es-ES_tradnl"/>
        </w:rPr>
        <w:t>Restricción – Contratación Directa – Artículo 33 – Excepciones</w:t>
      </w:r>
    </w:p>
    <w:p w14:paraId="6A58136E" w14:textId="129A01C5" w:rsidR="00561B0A" w:rsidRPr="004D6761" w:rsidRDefault="00561B0A" w:rsidP="004D6761">
      <w:pPr>
        <w:spacing w:after="0" w:line="240" w:lineRule="auto"/>
        <w:jc w:val="both"/>
        <w:rPr>
          <w:rFonts w:ascii="Verdana" w:hAnsi="Verdana" w:cs="Arial"/>
          <w:bCs/>
          <w:sz w:val="20"/>
          <w:lang w:val="es-ES_tradnl" w:eastAsia="es-ES_tradnl"/>
        </w:rPr>
      </w:pPr>
    </w:p>
    <w:p w14:paraId="11735AA9" w14:textId="3261AF1F" w:rsidR="004D6761" w:rsidRPr="00155A57" w:rsidRDefault="004D6761" w:rsidP="004D6761">
      <w:pPr>
        <w:spacing w:after="0" w:line="240" w:lineRule="auto"/>
        <w:jc w:val="both"/>
        <w:rPr>
          <w:rFonts w:ascii="Verdana" w:hAnsi="Verdana" w:cs="Arial"/>
          <w:bCs/>
          <w:sz w:val="20"/>
          <w:szCs w:val="20"/>
          <w:lang w:val="es-MX" w:eastAsia="es-ES_tradnl"/>
        </w:rPr>
      </w:pPr>
      <w:r w:rsidRPr="00155A57">
        <w:rPr>
          <w:rFonts w:ascii="Verdana" w:hAnsi="Verdana" w:cs="Arial"/>
          <w:bCs/>
          <w:sz w:val="20"/>
          <w:szCs w:val="20"/>
          <w:lang w:eastAsia="es-ES_tradnl"/>
        </w:rPr>
        <w:t xml:space="preserve">Bajo esta lógica, no es posible que la entidad estatal en calidad de arrendadora o de arrendataria de un bien inmueble pueda suscribir un contrato de arrendamiento, pues se encuentra dentro de la restricción del artículo 33 de la Ley 996 de 2005, la cual </w:t>
      </w:r>
      <w:r w:rsidRPr="00155A57">
        <w:rPr>
          <w:rFonts w:ascii="Verdana" w:hAnsi="Verdana" w:cs="Arial"/>
          <w:bCs/>
          <w:sz w:val="20"/>
          <w:szCs w:val="20"/>
          <w:lang w:val="es-MX" w:eastAsia="es-ES_tradnl"/>
        </w:rPr>
        <w:t xml:space="preserve">prohíbe adelantar cualquier forma de contratación directa, entendida como todo mecanismo no competitivo. Es decir, dicha restricción aplica en aquellos supuestos, en los que se pretenda celebrar contratos de arrendamiento de bienes inmuebles de forma directa, ya sea en calidad de arrendadora o de arrendataria, conforme a la causal de contratación directa </w:t>
      </w:r>
      <w:r w:rsidRPr="00155A57">
        <w:rPr>
          <w:rFonts w:ascii="Verdana" w:hAnsi="Verdana" w:cs="Arial"/>
          <w:bCs/>
          <w:sz w:val="20"/>
          <w:szCs w:val="20"/>
          <w:lang w:eastAsia="es-ES_tradnl"/>
        </w:rPr>
        <w:t>del artículo 2º, numeral 4° literal i) de la Ley 1150 de 2007.</w:t>
      </w:r>
      <w:r w:rsidRPr="00155A57">
        <w:rPr>
          <w:rFonts w:ascii="Verdana" w:hAnsi="Verdana" w:cs="Arial"/>
          <w:bCs/>
          <w:sz w:val="20"/>
          <w:szCs w:val="20"/>
          <w:lang w:val="es-MX" w:eastAsia="es-ES_tradnl"/>
        </w:rPr>
        <w:t xml:space="preserve"> En este sentido, todos los entes del Estado, independiente del régimen jurídico aplicable, están sujetos a la restricción del artículo 33 de la Ley 996 de 2005, es decir, no podrán adelantar sistema que implique contratación directa respecto de las elecciones </w:t>
      </w:r>
      <w:r w:rsidRPr="00155A57">
        <w:rPr>
          <w:rFonts w:ascii="Verdana" w:hAnsi="Verdana" w:cs="Arial"/>
          <w:bCs/>
          <w:sz w:val="20"/>
          <w:szCs w:val="20"/>
          <w:lang w:val="es-MX" w:eastAsia="es-ES_tradnl"/>
        </w:rPr>
        <w:lastRenderedPageBreak/>
        <w:t xml:space="preserve">presidenciales, dentro de los cuatro (4) meses anteriores a la celebración de dichos comicios. </w:t>
      </w:r>
    </w:p>
    <w:p w14:paraId="688804C3" w14:textId="77777777" w:rsidR="004D6761" w:rsidRPr="00155A57" w:rsidRDefault="004D6761" w:rsidP="004D6761">
      <w:pPr>
        <w:spacing w:after="0" w:line="240" w:lineRule="auto"/>
        <w:jc w:val="both"/>
        <w:rPr>
          <w:rFonts w:ascii="Verdana" w:hAnsi="Verdana" w:cs="Arial"/>
          <w:bCs/>
          <w:sz w:val="20"/>
          <w:szCs w:val="20"/>
          <w:lang w:val="es-MX" w:eastAsia="es-ES_tradnl"/>
        </w:rPr>
      </w:pPr>
    </w:p>
    <w:p w14:paraId="1169B427" w14:textId="77777777" w:rsidR="004D6761" w:rsidRPr="00155A57" w:rsidRDefault="004D6761" w:rsidP="004D6761">
      <w:pPr>
        <w:spacing w:after="0" w:line="240" w:lineRule="auto"/>
        <w:jc w:val="both"/>
        <w:rPr>
          <w:rFonts w:ascii="Verdana" w:hAnsi="Verdana" w:cs="Arial"/>
          <w:bCs/>
          <w:iCs/>
          <w:sz w:val="20"/>
          <w:szCs w:val="20"/>
          <w:lang w:val="es-ES" w:eastAsia="es-ES_tradnl"/>
        </w:rPr>
      </w:pPr>
      <w:r w:rsidRPr="00155A57">
        <w:rPr>
          <w:rFonts w:ascii="Verdana" w:hAnsi="Verdana" w:cs="Arial"/>
          <w:bCs/>
          <w:sz w:val="20"/>
          <w:szCs w:val="20"/>
          <w:lang w:val="es-MX" w:eastAsia="es-ES_tradnl"/>
        </w:rPr>
        <w:t>Sin embargo, la uso de la “contratación directa” no se encuentra absolutamente proscrita, en la medida en que se contemplan excepciones expresamente consagradas en el artículo 33 de la Ley 996 de 2005, las cuales constituyen un marco taxativo que habilita su procedencia en supuestos específicos. En este sentido, la Agencia ha desarrollado doctrina sobre cada una de dichas hipótesis excepcionales, entre las que se destacan: i) los contratos relacionados con la defensa y seguridad del Estado, analizados en el Concepto 322 de 2026; ii) los contratos de crédito público, abordados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109 de 2022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413 de 2022; iii) los contratos necesarios para atender emergencias educativas, sanitarias o desastres, tratados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118 de 2026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176 de 2026; iv) los contratos destinados a la reconstrucción de infraestructura vial, energética y de comunicaciones afectada por atentados, acciones terroristas, desastres naturales o fuerza mayor, igualmente estudiados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118 de 2026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176 de 2026, entre otros; y v) la contratación directa celebrada por entidades sanitarias y hospitalarias, objeto de análisis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1124 de 2026,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1406 de 2026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 xml:space="preserve">1703 de 2026. Así mismo, la Corte Constitucional en la Sentencia C-1153 de 2005 señaló que la expresión </w:t>
      </w:r>
      <w:r w:rsidRPr="00155A57">
        <w:rPr>
          <w:rFonts w:ascii="Verdana" w:hAnsi="Verdana" w:cs="Arial"/>
          <w:bCs/>
          <w:i/>
          <w:iCs/>
          <w:sz w:val="20"/>
          <w:szCs w:val="20"/>
          <w:lang w:val="es-ES" w:eastAsia="es-ES_tradnl"/>
        </w:rPr>
        <w:t xml:space="preserve">“adicionalmente se exceptúan aquellos gastos inaplazables e imprescindibles que afecten el normal funcionamiento de la administración” </w:t>
      </w:r>
      <w:r w:rsidRPr="00155A57">
        <w:rPr>
          <w:rFonts w:ascii="Verdana" w:hAnsi="Verdana" w:cs="Arial"/>
          <w:bCs/>
          <w:iCs/>
          <w:sz w:val="20"/>
          <w:szCs w:val="20"/>
          <w:lang w:val="es-ES" w:eastAsia="es-ES_tradnl"/>
        </w:rPr>
        <w:t>regulada como excepción en el artículo 33</w:t>
      </w:r>
      <w:r w:rsidRPr="00155A57">
        <w:rPr>
          <w:rFonts w:ascii="Verdana" w:hAnsi="Verdana" w:cs="Arial"/>
          <w:bCs/>
          <w:i/>
          <w:iCs/>
          <w:sz w:val="20"/>
          <w:szCs w:val="20"/>
          <w:lang w:val="es-ES" w:eastAsia="es-ES_tradnl"/>
        </w:rPr>
        <w:t xml:space="preserve"> </w:t>
      </w:r>
      <w:r w:rsidRPr="00155A57">
        <w:rPr>
          <w:rFonts w:ascii="Verdana" w:hAnsi="Verdana" w:cs="Arial"/>
          <w:bCs/>
          <w:iCs/>
          <w:sz w:val="20"/>
          <w:szCs w:val="20"/>
          <w:lang w:val="es-ES" w:eastAsia="es-ES_tradnl"/>
        </w:rPr>
        <w:t>era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155A57">
        <w:rPr>
          <w:rFonts w:ascii="Verdana" w:hAnsi="Verdana" w:cs="Arial"/>
          <w:bCs/>
          <w:i/>
          <w:iCs/>
          <w:sz w:val="20"/>
          <w:szCs w:val="20"/>
          <w:lang w:val="es-ES" w:eastAsia="es-ES_tradnl"/>
        </w:rPr>
        <w:t xml:space="preserve"> </w:t>
      </w:r>
      <w:r w:rsidRPr="00155A57">
        <w:rPr>
          <w:rFonts w:ascii="Verdana" w:hAnsi="Verdana" w:cs="Arial"/>
          <w:bCs/>
          <w:iCs/>
          <w:sz w:val="20"/>
          <w:szCs w:val="20"/>
          <w:lang w:val="es-ES" w:eastAsia="es-ES_tradnl"/>
        </w:rPr>
        <w:t>Por tanto, dicha expresión fue declarada inexequible, razón por la cual no es posible que las entidades argumenten razones como esta para exceptuar la restricción del artículo 33.</w:t>
      </w:r>
    </w:p>
    <w:p w14:paraId="394292F9" w14:textId="1A75586A" w:rsidR="00561B0A" w:rsidRPr="00155A57" w:rsidRDefault="00561B0A" w:rsidP="00561B0A">
      <w:pPr>
        <w:spacing w:after="0" w:line="240" w:lineRule="auto"/>
        <w:jc w:val="both"/>
        <w:rPr>
          <w:rFonts w:ascii="Verdana" w:hAnsi="Verdana" w:cs="Arial"/>
          <w:b/>
          <w:bCs/>
          <w:sz w:val="20"/>
          <w:szCs w:val="20"/>
          <w:lang w:val="es-ES" w:eastAsia="es-ES_tradnl"/>
        </w:rPr>
      </w:pPr>
    </w:p>
    <w:p w14:paraId="22CDA00B" w14:textId="5471278B" w:rsidR="00561B0A" w:rsidRDefault="00561B0A" w:rsidP="00561B0A">
      <w:pPr>
        <w:spacing w:after="0" w:line="276" w:lineRule="auto"/>
        <w:jc w:val="both"/>
        <w:rPr>
          <w:rFonts w:ascii="Verdana" w:hAnsi="Verdana" w:cs="Arial"/>
          <w:b/>
          <w:bCs/>
          <w:lang w:val="es-ES_tradnl" w:eastAsia="es-ES_tradnl"/>
        </w:rPr>
      </w:pPr>
    </w:p>
    <w:p w14:paraId="1406EA6C" w14:textId="240B7A8E" w:rsidR="00561B0A" w:rsidRDefault="00561B0A" w:rsidP="00561B0A">
      <w:pPr>
        <w:spacing w:after="0" w:line="276" w:lineRule="auto"/>
        <w:jc w:val="both"/>
        <w:rPr>
          <w:rFonts w:ascii="Verdana" w:eastAsia="Calibri" w:hAnsi="Verdana" w:cs="Arial"/>
          <w:b/>
          <w:lang w:val="es-ES" w:eastAsia="es-ES"/>
        </w:rPr>
      </w:pPr>
    </w:p>
    <w:p w14:paraId="676962DD" w14:textId="7F8930A0" w:rsidR="00155A57" w:rsidRDefault="00155A57" w:rsidP="00561B0A">
      <w:pPr>
        <w:spacing w:after="0" w:line="276" w:lineRule="auto"/>
        <w:jc w:val="both"/>
        <w:rPr>
          <w:rFonts w:ascii="Verdana" w:eastAsia="Calibri" w:hAnsi="Verdana" w:cs="Arial"/>
          <w:b/>
          <w:lang w:val="es-ES" w:eastAsia="es-ES"/>
        </w:rPr>
      </w:pPr>
    </w:p>
    <w:p w14:paraId="4D1B6A07" w14:textId="50FE585A" w:rsidR="00155A57" w:rsidRDefault="00155A57" w:rsidP="00561B0A">
      <w:pPr>
        <w:spacing w:after="0" w:line="276" w:lineRule="auto"/>
        <w:jc w:val="both"/>
        <w:rPr>
          <w:rFonts w:ascii="Verdana" w:eastAsia="Calibri" w:hAnsi="Verdana" w:cs="Arial"/>
          <w:b/>
          <w:lang w:val="es-ES" w:eastAsia="es-ES"/>
        </w:rPr>
      </w:pPr>
    </w:p>
    <w:p w14:paraId="48904624" w14:textId="6CBAA906" w:rsidR="00155A57" w:rsidRDefault="00155A57" w:rsidP="00561B0A">
      <w:pPr>
        <w:spacing w:after="0" w:line="276" w:lineRule="auto"/>
        <w:jc w:val="both"/>
        <w:rPr>
          <w:rFonts w:ascii="Verdana" w:eastAsia="Calibri" w:hAnsi="Verdana" w:cs="Arial"/>
          <w:b/>
          <w:lang w:val="es-ES" w:eastAsia="es-ES"/>
        </w:rPr>
      </w:pPr>
    </w:p>
    <w:p w14:paraId="4FF34696" w14:textId="7F17875B" w:rsidR="00155A57" w:rsidRDefault="00155A57" w:rsidP="00561B0A">
      <w:pPr>
        <w:spacing w:after="0" w:line="276" w:lineRule="auto"/>
        <w:jc w:val="both"/>
        <w:rPr>
          <w:rFonts w:ascii="Verdana" w:eastAsia="Calibri" w:hAnsi="Verdana" w:cs="Arial"/>
          <w:b/>
          <w:lang w:val="es-ES" w:eastAsia="es-ES"/>
        </w:rPr>
      </w:pPr>
    </w:p>
    <w:p w14:paraId="44B0A7BE" w14:textId="073F6C54" w:rsidR="00155A57" w:rsidRDefault="00155A57" w:rsidP="00561B0A">
      <w:pPr>
        <w:spacing w:after="0" w:line="276" w:lineRule="auto"/>
        <w:jc w:val="both"/>
        <w:rPr>
          <w:rFonts w:ascii="Verdana" w:eastAsia="Calibri" w:hAnsi="Verdana" w:cs="Arial"/>
          <w:b/>
          <w:lang w:val="es-ES" w:eastAsia="es-ES"/>
        </w:rPr>
      </w:pPr>
    </w:p>
    <w:p w14:paraId="272B87DE" w14:textId="6E0F7C73" w:rsidR="00155A57" w:rsidRDefault="00155A57" w:rsidP="00561B0A">
      <w:pPr>
        <w:spacing w:after="0" w:line="276" w:lineRule="auto"/>
        <w:jc w:val="both"/>
        <w:rPr>
          <w:rFonts w:ascii="Verdana" w:eastAsia="Calibri" w:hAnsi="Verdana" w:cs="Arial"/>
          <w:b/>
          <w:lang w:val="es-ES" w:eastAsia="es-ES"/>
        </w:rPr>
      </w:pPr>
    </w:p>
    <w:p w14:paraId="6326334C" w14:textId="70160958" w:rsidR="00155A57" w:rsidRDefault="00155A57" w:rsidP="00561B0A">
      <w:pPr>
        <w:spacing w:after="0" w:line="276" w:lineRule="auto"/>
        <w:jc w:val="both"/>
        <w:rPr>
          <w:rFonts w:ascii="Verdana" w:eastAsia="Calibri" w:hAnsi="Verdana" w:cs="Arial"/>
          <w:b/>
          <w:lang w:val="es-ES" w:eastAsia="es-ES"/>
        </w:rPr>
      </w:pPr>
    </w:p>
    <w:p w14:paraId="1871594D" w14:textId="666BAADD" w:rsidR="00155A57" w:rsidRDefault="00155A57" w:rsidP="00561B0A">
      <w:pPr>
        <w:spacing w:after="0" w:line="276" w:lineRule="auto"/>
        <w:jc w:val="both"/>
        <w:rPr>
          <w:rFonts w:ascii="Verdana" w:eastAsia="Calibri" w:hAnsi="Verdana" w:cs="Arial"/>
          <w:b/>
          <w:lang w:val="es-ES" w:eastAsia="es-ES"/>
        </w:rPr>
      </w:pPr>
    </w:p>
    <w:p w14:paraId="4B86C18B" w14:textId="1655BEEF" w:rsidR="00155A57" w:rsidRDefault="00155A57" w:rsidP="00561B0A">
      <w:pPr>
        <w:spacing w:after="0" w:line="276" w:lineRule="auto"/>
        <w:jc w:val="both"/>
        <w:rPr>
          <w:rFonts w:ascii="Verdana" w:eastAsia="Calibri" w:hAnsi="Verdana" w:cs="Arial"/>
          <w:b/>
          <w:lang w:val="es-ES" w:eastAsia="es-ES"/>
        </w:rPr>
      </w:pPr>
    </w:p>
    <w:p w14:paraId="728A81D5" w14:textId="66757C6B" w:rsidR="00155A57" w:rsidRDefault="00155A57" w:rsidP="00561B0A">
      <w:pPr>
        <w:spacing w:after="0" w:line="276" w:lineRule="auto"/>
        <w:jc w:val="both"/>
        <w:rPr>
          <w:rFonts w:ascii="Verdana" w:eastAsia="Calibri" w:hAnsi="Verdana" w:cs="Arial"/>
          <w:b/>
          <w:lang w:val="es-ES" w:eastAsia="es-ES"/>
        </w:rPr>
      </w:pPr>
    </w:p>
    <w:p w14:paraId="44330D81" w14:textId="63EE3729" w:rsidR="00155A57" w:rsidRDefault="00155A57" w:rsidP="00561B0A">
      <w:pPr>
        <w:spacing w:after="0" w:line="276" w:lineRule="auto"/>
        <w:jc w:val="both"/>
        <w:rPr>
          <w:rFonts w:ascii="Verdana" w:eastAsia="Calibri" w:hAnsi="Verdana" w:cs="Arial"/>
          <w:b/>
          <w:lang w:val="es-ES" w:eastAsia="es-ES"/>
        </w:rPr>
      </w:pPr>
    </w:p>
    <w:p w14:paraId="44C70EF0" w14:textId="7EE5D764" w:rsidR="00155A57" w:rsidRDefault="00155A57" w:rsidP="00561B0A">
      <w:pPr>
        <w:spacing w:after="0" w:line="276" w:lineRule="auto"/>
        <w:jc w:val="both"/>
        <w:rPr>
          <w:rFonts w:ascii="Verdana" w:eastAsia="Calibri" w:hAnsi="Verdana" w:cs="Arial"/>
          <w:b/>
          <w:lang w:val="es-ES" w:eastAsia="es-ES"/>
        </w:rPr>
      </w:pPr>
    </w:p>
    <w:p w14:paraId="5285027A" w14:textId="762E764C" w:rsidR="00155A57" w:rsidRDefault="00155A57" w:rsidP="00561B0A">
      <w:pPr>
        <w:spacing w:after="0" w:line="276" w:lineRule="auto"/>
        <w:jc w:val="both"/>
        <w:rPr>
          <w:rFonts w:ascii="Verdana" w:eastAsia="Calibri" w:hAnsi="Verdana" w:cs="Arial"/>
          <w:b/>
          <w:lang w:val="es-ES" w:eastAsia="es-ES"/>
        </w:rPr>
      </w:pPr>
    </w:p>
    <w:p w14:paraId="6F7D46E7" w14:textId="77777777" w:rsidR="00155A57" w:rsidRPr="00561B0A" w:rsidRDefault="00155A57" w:rsidP="00561B0A">
      <w:pPr>
        <w:spacing w:after="0" w:line="276" w:lineRule="auto"/>
        <w:jc w:val="both"/>
        <w:rPr>
          <w:rFonts w:ascii="Verdana" w:eastAsia="Calibri" w:hAnsi="Verdana" w:cs="Arial"/>
          <w:b/>
          <w:lang w:val="es-ES" w:eastAsia="es-ES"/>
        </w:rPr>
      </w:pPr>
    </w:p>
    <w:p w14:paraId="3A9E6A87" w14:textId="30770DF6" w:rsidR="004E0A38" w:rsidRDefault="00561B0A" w:rsidP="004E0A38">
      <w:pPr>
        <w:spacing w:after="0" w:line="240" w:lineRule="auto"/>
        <w:rPr>
          <w:rFonts w:ascii="Verdana" w:eastAsia="Calibri" w:hAnsi="Verdana" w:cs="Arial"/>
          <w:color w:val="000000"/>
          <w:lang w:val="es-ES"/>
        </w:rPr>
      </w:pPr>
      <w:r>
        <w:rPr>
          <w:rFonts w:ascii="Verdana" w:eastAsia="Verdana" w:hAnsi="Verdana" w:cs="Verdana"/>
        </w:rPr>
        <w:t>Bogotá D.C., 12 de marzo de 2026</w:t>
      </w:r>
      <w:r w:rsidR="004E0A38">
        <w:tab/>
      </w:r>
      <w:r w:rsidR="004E0A38">
        <w:br/>
      </w:r>
    </w:p>
    <w:p w14:paraId="6A6987F8" w14:textId="625F5515" w:rsidR="004E0A38" w:rsidRPr="003556FE" w:rsidRDefault="00BE3D4E" w:rsidP="004E0A38">
      <w:pPr>
        <w:spacing w:after="0" w:line="240" w:lineRule="auto"/>
        <w:jc w:val="both"/>
        <w:rPr>
          <w:rFonts w:ascii="Verdana" w:eastAsia="Calibri" w:hAnsi="Verdana" w:cs="Arial"/>
          <w:color w:val="000000"/>
          <w:lang w:val="es-ES"/>
        </w:rPr>
      </w:pPr>
      <w:r w:rsidRPr="004F488B">
        <w:rPr>
          <w:noProof/>
          <w:lang w:val="en-US"/>
        </w:rPr>
        <w:drawing>
          <wp:anchor distT="0" distB="0" distL="114300" distR="114300" simplePos="0" relativeHeight="251658240" behindDoc="0" locked="0" layoutInCell="1" allowOverlap="1" wp14:anchorId="2BC9BC85" wp14:editId="7E4FE1BD">
            <wp:simplePos x="0" y="0"/>
            <wp:positionH relativeFrom="margin">
              <wp:align>right</wp:align>
            </wp:positionH>
            <wp:positionV relativeFrom="paragraph">
              <wp:posOffset>8890</wp:posOffset>
            </wp:positionV>
            <wp:extent cx="2642870" cy="845820"/>
            <wp:effectExtent l="0" t="0" r="508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2870" cy="845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922782" w14:textId="77777777" w:rsidR="004E0A38" w:rsidRPr="003556FE" w:rsidRDefault="004E0A38" w:rsidP="004E0A38">
      <w:pPr>
        <w:spacing w:after="0" w:line="240" w:lineRule="auto"/>
        <w:jc w:val="both"/>
        <w:rPr>
          <w:rFonts w:ascii="Verdana" w:eastAsia="Calibri" w:hAnsi="Verdana" w:cs="Arial"/>
          <w:lang w:val="es-ES" w:eastAsia="es-ES"/>
        </w:rPr>
      </w:pPr>
      <w:r w:rsidRPr="003556FE">
        <w:rPr>
          <w:rFonts w:ascii="Verdana" w:eastAsia="Calibri" w:hAnsi="Verdana" w:cs="Arial"/>
          <w:lang w:val="es-ES" w:eastAsia="es-ES"/>
        </w:rPr>
        <w:t>Señora</w:t>
      </w:r>
    </w:p>
    <w:p w14:paraId="1B028E14" w14:textId="77777777" w:rsidR="004E0A38" w:rsidRPr="003556FE" w:rsidRDefault="004E0A38" w:rsidP="004E0A38">
      <w:pPr>
        <w:spacing w:after="0" w:line="240" w:lineRule="auto"/>
        <w:rPr>
          <w:rFonts w:ascii="Verdana" w:eastAsia="Calibri" w:hAnsi="Verdana" w:cs="Arial"/>
          <w:b/>
          <w:lang w:val="es-ES_tradnl" w:eastAsia="es-ES_tradnl"/>
        </w:rPr>
      </w:pPr>
      <w:bookmarkStart w:id="1" w:name="OLE_LINK1"/>
      <w:r w:rsidRPr="003556FE">
        <w:rPr>
          <w:rFonts w:ascii="Verdana" w:eastAsia="Calibri" w:hAnsi="Verdana" w:cs="Arial"/>
          <w:b/>
          <w:lang w:val="es-ES_tradnl" w:eastAsia="es-ES_tradnl"/>
        </w:rPr>
        <w:t xml:space="preserve">Saida Patricia Cabeza Torres </w:t>
      </w:r>
    </w:p>
    <w:bookmarkEnd w:id="1"/>
    <w:p w14:paraId="4C1165D0" w14:textId="77777777" w:rsidR="004E0A38" w:rsidRPr="003556FE" w:rsidRDefault="004E0A38" w:rsidP="004E0A38">
      <w:pPr>
        <w:spacing w:after="0" w:line="240" w:lineRule="auto"/>
        <w:rPr>
          <w:rFonts w:ascii="Verdana" w:hAnsi="Verdana"/>
        </w:rPr>
      </w:pPr>
      <w:r w:rsidRPr="003556FE">
        <w:rPr>
          <w:rFonts w:ascii="Verdana" w:hAnsi="Verdana"/>
        </w:rPr>
        <w:t xml:space="preserve">Distriseguridad    </w:t>
      </w:r>
    </w:p>
    <w:p w14:paraId="527BC084" w14:textId="77777777" w:rsidR="004E0A38" w:rsidRPr="003556FE" w:rsidRDefault="004E0A38" w:rsidP="004E0A38">
      <w:pPr>
        <w:spacing w:after="0" w:line="240" w:lineRule="auto"/>
        <w:rPr>
          <w:rFonts w:ascii="Verdana" w:eastAsia="Calibri" w:hAnsi="Verdana" w:cs="Arial"/>
          <w:lang w:val="es-ES" w:eastAsia="es-ES"/>
        </w:rPr>
      </w:pPr>
      <w:hyperlink r:id="rId12" w:history="1">
        <w:r w:rsidRPr="0022149E">
          <w:rPr>
            <w:rFonts w:ascii="Verdana" w:eastAsia="Calibri" w:hAnsi="Verdana" w:cs="Arial"/>
            <w:color w:val="0000FF"/>
            <w:u w:val="single"/>
            <w:lang w:val="es-ES" w:eastAsia="es-ES"/>
          </w:rPr>
          <w:t>distriseguridad@cartagena.gov.co</w:t>
        </w:r>
      </w:hyperlink>
    </w:p>
    <w:p w14:paraId="70956DA1" w14:textId="77777777" w:rsidR="004E0A38" w:rsidRDefault="004E0A38" w:rsidP="004E0A38">
      <w:pPr>
        <w:spacing w:after="0" w:line="240" w:lineRule="auto"/>
        <w:rPr>
          <w:rFonts w:ascii="Verdana" w:eastAsia="Calibri" w:hAnsi="Verdana" w:cs="Arial"/>
          <w:lang w:val="es-ES" w:eastAsia="es-ES"/>
        </w:rPr>
      </w:pPr>
      <w:r>
        <w:rPr>
          <w:rFonts w:ascii="Verdana" w:eastAsia="Calibri" w:hAnsi="Verdana" w:cs="Arial"/>
          <w:lang w:val="es-ES" w:eastAsia="es-ES"/>
        </w:rPr>
        <w:t>Cartagena, Bolívar</w:t>
      </w:r>
    </w:p>
    <w:p w14:paraId="2F9BA5FC" w14:textId="77777777" w:rsidR="004E0A38" w:rsidRPr="003556FE" w:rsidRDefault="004E0A38" w:rsidP="004E0A38">
      <w:pPr>
        <w:spacing w:after="0" w:line="240" w:lineRule="auto"/>
        <w:rPr>
          <w:rFonts w:ascii="Verdana" w:eastAsia="Calibri" w:hAnsi="Verdana" w:cs="Arial"/>
          <w:b/>
          <w:bCs/>
          <w:color w:val="000000"/>
          <w:lang w:val="es-ES_tradnl" w:eastAsia="es-ES_tradnl"/>
        </w:rPr>
      </w:pPr>
    </w:p>
    <w:p w14:paraId="013B8EFD" w14:textId="77777777" w:rsidR="004E0A38" w:rsidRPr="00A12CB6" w:rsidRDefault="004E0A38" w:rsidP="004E0A38">
      <w:pPr>
        <w:spacing w:after="0" w:line="240" w:lineRule="auto"/>
        <w:rPr>
          <w:rFonts w:ascii="Verdana" w:eastAsia="Calibri" w:hAnsi="Verdana" w:cs="Times New Roman"/>
        </w:rPr>
      </w:pPr>
    </w:p>
    <w:p w14:paraId="64E93C9A" w14:textId="77777777" w:rsidR="004E0A38" w:rsidRPr="00A12CB6" w:rsidRDefault="004E0A38" w:rsidP="004E0A38">
      <w:pPr>
        <w:spacing w:after="0" w:line="240"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C–210 de 2026 </w:t>
      </w:r>
    </w:p>
    <w:p w14:paraId="62C6BEBB" w14:textId="77777777" w:rsidR="004E0A38" w:rsidRPr="00593A5F" w:rsidRDefault="004E0A38" w:rsidP="004E0A38">
      <w:pPr>
        <w:spacing w:after="0" w:line="240" w:lineRule="auto"/>
        <w:rPr>
          <w:rFonts w:ascii="Verdana" w:eastAsia="Calibri" w:hAnsi="Verdana" w:cs="Arial"/>
          <w:b/>
          <w:bCs/>
          <w:color w:val="000000"/>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E0A38" w:rsidRPr="0022149E" w14:paraId="2FE1875F" w14:textId="77777777" w:rsidTr="00A46547">
        <w:trPr>
          <w:trHeight w:val="884"/>
        </w:trPr>
        <w:tc>
          <w:tcPr>
            <w:tcW w:w="2689" w:type="dxa"/>
          </w:tcPr>
          <w:p w14:paraId="7D8FE89E" w14:textId="77777777" w:rsidR="004E0A38" w:rsidRPr="0022149E" w:rsidRDefault="004E0A38" w:rsidP="00A46547">
            <w:pPr>
              <w:jc w:val="both"/>
              <w:rPr>
                <w:rFonts w:ascii="Verdana" w:eastAsia="Calibri" w:hAnsi="Verdana" w:cs="Arial"/>
                <w:color w:val="000000"/>
                <w:lang w:val="es-ES_tradnl" w:eastAsia="es-ES_tradnl"/>
              </w:rPr>
            </w:pPr>
            <w:r w:rsidRPr="0022149E">
              <w:rPr>
                <w:rFonts w:ascii="Verdana" w:eastAsia="Calibri" w:hAnsi="Verdana" w:cs="Arial"/>
                <w:b/>
                <w:color w:val="000000"/>
                <w:lang w:val="es-ES_tradnl" w:eastAsia="es-ES_tradnl"/>
              </w:rPr>
              <w:t>Temas:</w:t>
            </w:r>
            <w:r w:rsidRPr="0022149E">
              <w:rPr>
                <w:rFonts w:ascii="Verdana" w:eastAsia="Calibri" w:hAnsi="Verdana" w:cs="Arial"/>
                <w:color w:val="000000"/>
                <w:lang w:val="es-ES_tradnl" w:eastAsia="es-ES_tradnl"/>
              </w:rPr>
              <w:t xml:space="preserve">                   </w:t>
            </w:r>
          </w:p>
        </w:tc>
        <w:tc>
          <w:tcPr>
            <w:tcW w:w="6100" w:type="dxa"/>
          </w:tcPr>
          <w:p w14:paraId="14DBE9B1" w14:textId="59940B11" w:rsidR="004E0A38" w:rsidRPr="0022149E" w:rsidRDefault="004E0A38" w:rsidP="00A46547">
            <w:pPr>
              <w:spacing w:line="276" w:lineRule="auto"/>
              <w:jc w:val="both"/>
              <w:rPr>
                <w:rFonts w:ascii="Verdana" w:eastAsia="Calibri" w:hAnsi="Verdana" w:cs="Arial"/>
                <w:lang w:val="es-ES" w:eastAsia="es-ES"/>
              </w:rPr>
            </w:pPr>
            <w:r w:rsidRPr="0022149E">
              <w:rPr>
                <w:rFonts w:ascii="Verdana" w:eastAsia="Calibri" w:hAnsi="Verdana" w:cs="Arial"/>
                <w:lang w:val="es-ES" w:eastAsia="es-ES"/>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Prohibición del artículo 33 – Destinatarios / LEY DE GARANTÍAS ELECTORALES – Condiciones de igualdad – Contratación directa / LEY DE GARANTÍAS ELECTORALES – Contratación Directa - Excepciones / </w:t>
            </w:r>
            <w:r w:rsidRPr="0022149E">
              <w:rPr>
                <w:rFonts w:ascii="Verdana" w:hAnsi="Verdana" w:cs="Arial"/>
                <w:bCs/>
                <w:lang w:val="es-ES_tradnl" w:eastAsia="es-ES_tradnl"/>
              </w:rPr>
              <w:t xml:space="preserve">CONTRATO DE ARRENDAMIENTO – Definición – Características / CONTRATO DE ARRENDAMIENTO –Restricción – Contratación Directa – Artículo 33 </w:t>
            </w:r>
            <w:r>
              <w:rPr>
                <w:rFonts w:ascii="Verdana" w:hAnsi="Verdana" w:cs="Arial"/>
                <w:bCs/>
                <w:lang w:val="es-ES_tradnl" w:eastAsia="es-ES_tradnl"/>
              </w:rPr>
              <w:t>–</w:t>
            </w:r>
            <w:r w:rsidRPr="0022149E">
              <w:rPr>
                <w:rFonts w:ascii="Verdana" w:hAnsi="Verdana" w:cs="Arial"/>
                <w:bCs/>
                <w:lang w:val="es-ES_tradnl" w:eastAsia="es-ES_tradnl"/>
              </w:rPr>
              <w:t xml:space="preserve"> Excepciones</w:t>
            </w:r>
            <w:r>
              <w:rPr>
                <w:rFonts w:ascii="Verdana" w:hAnsi="Verdana" w:cs="Arial"/>
                <w:bCs/>
                <w:lang w:val="es-ES_tradnl" w:eastAsia="es-ES_tradnl"/>
              </w:rPr>
              <w:t xml:space="preserve"> </w:t>
            </w:r>
          </w:p>
          <w:p w14:paraId="53A0DB2E" w14:textId="77777777" w:rsidR="004E0A38" w:rsidRPr="0022149E" w:rsidRDefault="004E0A38" w:rsidP="00A46547">
            <w:pPr>
              <w:spacing w:line="276" w:lineRule="auto"/>
              <w:jc w:val="both"/>
              <w:rPr>
                <w:rFonts w:ascii="Verdana" w:eastAsia="Calibri" w:hAnsi="Verdana" w:cs="Arial"/>
                <w:lang w:val="es-ES" w:eastAsia="es-ES"/>
              </w:rPr>
            </w:pPr>
            <w:r w:rsidRPr="0022149E">
              <w:rPr>
                <w:rFonts w:ascii="Verdana" w:eastAsia="Calibri" w:hAnsi="Verdana" w:cs="Arial"/>
                <w:lang w:val="es-ES" w:eastAsia="es-ES"/>
              </w:rPr>
              <w:t xml:space="preserve">  </w:t>
            </w:r>
          </w:p>
          <w:p w14:paraId="5D05502C" w14:textId="77777777" w:rsidR="004E0A38" w:rsidRPr="0022149E" w:rsidRDefault="004E0A38" w:rsidP="00A46547">
            <w:pPr>
              <w:spacing w:line="276" w:lineRule="auto"/>
              <w:jc w:val="both"/>
              <w:rPr>
                <w:rFonts w:ascii="Verdana" w:eastAsia="Calibri" w:hAnsi="Verdana" w:cs="Arial"/>
                <w:lang w:val="es-ES" w:eastAsia="es-ES"/>
              </w:rPr>
            </w:pPr>
          </w:p>
        </w:tc>
      </w:tr>
      <w:tr w:rsidR="004E0A38" w:rsidRPr="0022149E" w14:paraId="4BF9CBCD" w14:textId="77777777" w:rsidTr="00635161">
        <w:trPr>
          <w:trHeight w:val="431"/>
        </w:trPr>
        <w:tc>
          <w:tcPr>
            <w:tcW w:w="2689" w:type="dxa"/>
          </w:tcPr>
          <w:p w14:paraId="7A1303C0" w14:textId="77777777" w:rsidR="004E0A38" w:rsidRPr="0022149E" w:rsidRDefault="004E0A38" w:rsidP="00A46547">
            <w:pPr>
              <w:jc w:val="both"/>
              <w:rPr>
                <w:rFonts w:ascii="Verdana" w:eastAsia="Calibri" w:hAnsi="Verdana" w:cs="Arial"/>
                <w:b/>
                <w:lang w:val="es-ES_tradnl" w:eastAsia="es-ES_tradnl"/>
              </w:rPr>
            </w:pPr>
            <w:r w:rsidRPr="0022149E">
              <w:rPr>
                <w:rFonts w:ascii="Verdana" w:eastAsia="Calibri" w:hAnsi="Verdana" w:cs="Arial"/>
                <w:b/>
                <w:lang w:val="es-ES_tradnl" w:eastAsia="es-ES_tradnl"/>
              </w:rPr>
              <w:t>Radicación:</w:t>
            </w:r>
            <w:r w:rsidRPr="0022149E">
              <w:rPr>
                <w:rFonts w:ascii="Verdana" w:eastAsia="Calibri" w:hAnsi="Verdana" w:cs="Arial"/>
                <w:lang w:val="es-ES_tradnl" w:eastAsia="es-ES_tradnl"/>
              </w:rPr>
              <w:t xml:space="preserve">               </w:t>
            </w:r>
          </w:p>
        </w:tc>
        <w:tc>
          <w:tcPr>
            <w:tcW w:w="6100" w:type="dxa"/>
          </w:tcPr>
          <w:p w14:paraId="4683DE73" w14:textId="77777777" w:rsidR="004E0A38" w:rsidRPr="0022149E" w:rsidRDefault="004E0A38" w:rsidP="00A46547">
            <w:pPr>
              <w:spacing w:line="276" w:lineRule="auto"/>
              <w:jc w:val="both"/>
              <w:rPr>
                <w:rFonts w:ascii="Verdana" w:eastAsia="Calibri" w:hAnsi="Verdana" w:cs="Arial"/>
                <w:lang w:val="es-ES_tradnl" w:eastAsia="es-ES_tradnl"/>
              </w:rPr>
            </w:pPr>
            <w:r w:rsidRPr="0022149E">
              <w:rPr>
                <w:rFonts w:ascii="Verdana" w:eastAsia="Calibri" w:hAnsi="Verdana" w:cs="Arial"/>
                <w:lang w:val="es-ES_tradnl" w:eastAsia="es-ES_tradnl"/>
              </w:rPr>
              <w:t xml:space="preserve">Respuesta a la consulta con radicado No. </w:t>
            </w:r>
            <w:r w:rsidRPr="0022149E">
              <w:rPr>
                <w:rFonts w:ascii="Verdana" w:eastAsia="Calibri" w:hAnsi="Verdana" w:cs="Arial"/>
                <w:lang w:eastAsia="es-ES_tradnl"/>
              </w:rPr>
              <w:t>1_2026_02_13_001889</w:t>
            </w:r>
            <w:r w:rsidRPr="0022149E">
              <w:rPr>
                <w:rFonts w:ascii="Verdana" w:eastAsia="Calibri" w:hAnsi="Verdana" w:cs="Arial"/>
                <w:lang w:val="es-ES_tradnl" w:eastAsia="es-ES_tradnl"/>
              </w:rPr>
              <w:t xml:space="preserve">                                    </w:t>
            </w:r>
          </w:p>
        </w:tc>
      </w:tr>
    </w:tbl>
    <w:p w14:paraId="490C5223" w14:textId="77777777" w:rsidR="004E0A38" w:rsidRPr="00593A5F" w:rsidRDefault="004E0A38" w:rsidP="004E0A38">
      <w:pPr>
        <w:spacing w:after="0" w:line="240" w:lineRule="auto"/>
        <w:jc w:val="both"/>
        <w:rPr>
          <w:rFonts w:ascii="Verdana" w:eastAsia="Calibri" w:hAnsi="Verdana" w:cs="Arial"/>
          <w:color w:val="000000"/>
          <w:lang w:val="es-ES_tradnl" w:eastAsia="es-ES_tradnl"/>
        </w:rPr>
      </w:pPr>
    </w:p>
    <w:p w14:paraId="78B7DA4F" w14:textId="77777777" w:rsidR="004E0A38" w:rsidRPr="00593A5F" w:rsidRDefault="004E0A38" w:rsidP="004E0A38">
      <w:pPr>
        <w:spacing w:after="0" w:line="240" w:lineRule="auto"/>
        <w:jc w:val="both"/>
        <w:rPr>
          <w:rFonts w:ascii="Verdana" w:eastAsia="Calibri" w:hAnsi="Verdana" w:cs="Arial"/>
          <w:color w:val="000000"/>
          <w:lang w:val="es-ES_tradnl" w:eastAsia="es-ES_tradnl"/>
        </w:rPr>
      </w:pPr>
    </w:p>
    <w:p w14:paraId="403F017C" w14:textId="77777777" w:rsidR="004E0A38" w:rsidRPr="008E6AD9" w:rsidRDefault="004E0A38" w:rsidP="004E0A3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Señora Saida Patricia</w:t>
      </w:r>
      <w:r w:rsidRPr="008E6AD9">
        <w:rPr>
          <w:rFonts w:ascii="Verdana" w:eastAsia="Calibri" w:hAnsi="Verdana" w:cs="Arial"/>
          <w:lang w:val="es-ES" w:eastAsia="es-ES"/>
        </w:rPr>
        <w:t xml:space="preserve">: </w:t>
      </w:r>
    </w:p>
    <w:p w14:paraId="4C28C465" w14:textId="77777777" w:rsidR="004E0A38" w:rsidRDefault="004E0A38" w:rsidP="004E0A3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3032212" w14:textId="77777777" w:rsidR="004E0A38" w:rsidRPr="008E6AD9" w:rsidRDefault="004E0A38" w:rsidP="004E0A38">
      <w:pPr>
        <w:spacing w:after="120" w:line="276" w:lineRule="auto"/>
        <w:jc w:val="both"/>
        <w:rPr>
          <w:rFonts w:ascii="Verdana" w:eastAsia="Century Gothic" w:hAnsi="Verdana" w:cs="Century Gothic"/>
          <w:b/>
          <w:bC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 xml:space="preserve">la Agencia Nacional </w:t>
      </w:r>
      <w:r w:rsidRPr="00593A5F">
        <w:rPr>
          <w:rFonts w:ascii="Verdana" w:eastAsia="Calibri" w:hAnsi="Verdana" w:cs="Arial"/>
          <w:color w:val="000000" w:themeColor="text1"/>
          <w:lang w:val="es-ES" w:eastAsia="es-ES"/>
        </w:rPr>
        <w:lastRenderedPageBreak/>
        <w:t>de Contratación Pública – Colombia Compra Eficiente responde su solicitud de</w:t>
      </w:r>
      <w:r>
        <w:rPr>
          <w:rFonts w:ascii="Verdana" w:eastAsia="Calibri" w:hAnsi="Verdana" w:cs="Arial"/>
          <w:color w:val="000000" w:themeColor="text1"/>
          <w:lang w:val="es-ES" w:eastAsia="es-ES"/>
        </w:rPr>
        <w:t xml:space="preserve"> consulta del 13</w:t>
      </w:r>
      <w:r>
        <w:rPr>
          <w:rFonts w:ascii="Verdana" w:eastAsia="Calibri" w:hAnsi="Verdana" w:cs="Arial"/>
          <w:lang w:val="es-ES" w:eastAsia="es-ES"/>
        </w:rPr>
        <w:t xml:space="preserve"> de febrero de 2026 en torno a la posibilidad de contratar de forma directa los arriendos de los bienes inmuebles para las subestaciones de Policía Nacional en los períodos electorales</w:t>
      </w:r>
      <w:r>
        <w:rPr>
          <w:rFonts w:ascii="Verdana" w:eastAsia="Calibri" w:hAnsi="Verdana" w:cs="Arial"/>
          <w:lang w:eastAsia="es-ES"/>
        </w:rPr>
        <w:t>,</w:t>
      </w:r>
      <w:r>
        <w:rPr>
          <w:rFonts w:ascii="Verdana" w:eastAsia="Calibri" w:hAnsi="Verdana" w:cs="Arial"/>
          <w:lang w:val="es-ES" w:eastAsia="es-ES"/>
        </w:rPr>
        <w:t xml:space="preserve"> por lo que solicita:</w:t>
      </w:r>
      <w:r w:rsidRPr="008E6AD9">
        <w:rPr>
          <w:rFonts w:ascii="Verdana" w:eastAsia="Calibri" w:hAnsi="Verdana" w:cs="Arial"/>
          <w:lang w:val="es-ES" w:eastAsia="es-ES"/>
        </w:rPr>
        <w:t xml:space="preserve"> </w:t>
      </w:r>
      <w:r w:rsidRPr="00641FB4">
        <w:rPr>
          <w:rFonts w:ascii="Verdana" w:eastAsia="Calibri" w:hAnsi="Verdana" w:cs="Arial"/>
          <w:lang w:val="es-ES" w:eastAsia="es-ES"/>
        </w:rPr>
        <w:t>“</w:t>
      </w:r>
      <w:r>
        <w:rPr>
          <w:rFonts w:ascii="Verdana" w:eastAsia="Calibri" w:hAnsi="Verdana" w:cs="Arial"/>
          <w:lang w:val="es-ES" w:eastAsia="es-ES"/>
        </w:rPr>
        <w:t xml:space="preserve">1. </w:t>
      </w:r>
      <w:r w:rsidRPr="00641FB4">
        <w:rPr>
          <w:rFonts w:ascii="Verdana" w:eastAsia="Calibri" w:hAnsi="Verdana" w:cs="Arial"/>
          <w:bCs/>
          <w:lang w:eastAsia="es-ES"/>
        </w:rPr>
        <w:t>Ante la</w:t>
      </w:r>
      <w:r>
        <w:rPr>
          <w:rFonts w:ascii="Verdana" w:eastAsia="Calibri" w:hAnsi="Verdana" w:cs="Arial"/>
          <w:bCs/>
          <w:lang w:eastAsia="es-ES"/>
        </w:rPr>
        <w:t xml:space="preserve"> problemática antes descrita, ¿</w:t>
      </w:r>
      <w:r w:rsidRPr="00641FB4">
        <w:rPr>
          <w:rFonts w:ascii="Verdana" w:eastAsia="Calibri" w:hAnsi="Verdana" w:cs="Arial"/>
          <w:bCs/>
          <w:lang w:eastAsia="es-ES"/>
        </w:rPr>
        <w:t>se podría adelantar algún proceso de contratación distinto a la modalidad de Contratación Directa para los arriendos en pleno periodo de ley de</w:t>
      </w:r>
      <w:r>
        <w:rPr>
          <w:rFonts w:ascii="Verdana" w:eastAsia="Calibri" w:hAnsi="Verdana" w:cs="Arial"/>
          <w:bCs/>
          <w:lang w:eastAsia="es-ES"/>
        </w:rPr>
        <w:t xml:space="preserve"> garantías? en caso positivo, ¿</w:t>
      </w:r>
      <w:r w:rsidRPr="00641FB4">
        <w:rPr>
          <w:rFonts w:ascii="Verdana" w:eastAsia="Calibri" w:hAnsi="Verdana" w:cs="Arial"/>
          <w:bCs/>
          <w:lang w:eastAsia="es-ES"/>
        </w:rPr>
        <w:t>cuál sería su sustento?”.</w:t>
      </w:r>
    </w:p>
    <w:p w14:paraId="3A3EDC0A" w14:textId="77777777" w:rsidR="004E0A38" w:rsidRPr="00A652FF" w:rsidRDefault="004E0A38" w:rsidP="004E0A3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88C3AC3" w14:textId="77777777" w:rsidR="004E0A38" w:rsidRPr="00423BE7" w:rsidRDefault="004E0A38" w:rsidP="004E0A38">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6B6F71F" w14:textId="77777777" w:rsidR="004E0A38" w:rsidRPr="00593A5F" w:rsidRDefault="004E0A38" w:rsidP="004E0A38">
      <w:pPr>
        <w:spacing w:after="0" w:line="276" w:lineRule="auto"/>
        <w:ind w:firstLine="709"/>
        <w:jc w:val="both"/>
        <w:rPr>
          <w:rFonts w:ascii="Verdana" w:eastAsia="Calibri" w:hAnsi="Verdana" w:cs="Arial"/>
          <w:color w:val="000000"/>
          <w:lang w:val="es-ES" w:eastAsia="es-ES"/>
        </w:rPr>
      </w:pPr>
    </w:p>
    <w:p w14:paraId="44334783" w14:textId="77777777" w:rsidR="004E0A38" w:rsidRPr="0022149E" w:rsidRDefault="004E0A38" w:rsidP="004E0A38">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22149E">
        <w:rPr>
          <w:rFonts w:ascii="Verdana" w:eastAsia="Century Gothic" w:hAnsi="Verdana" w:cs="Century Gothic"/>
          <w:b/>
          <w:bCs/>
          <w:lang w:val="es-ES"/>
        </w:rPr>
        <w:t>Problema planteado:</w:t>
      </w:r>
    </w:p>
    <w:p w14:paraId="7E4B51F7" w14:textId="77777777" w:rsidR="004E0A38" w:rsidRPr="00593A5F" w:rsidRDefault="004E0A38" w:rsidP="004E0A38">
      <w:pPr>
        <w:tabs>
          <w:tab w:val="left" w:pos="426"/>
        </w:tabs>
        <w:spacing w:after="0" w:line="276" w:lineRule="auto"/>
        <w:jc w:val="both"/>
        <w:rPr>
          <w:rFonts w:ascii="Verdana" w:eastAsia="Century Gothic" w:hAnsi="Verdana" w:cs="Century Gothic"/>
          <w:lang w:val="es-ES"/>
        </w:rPr>
      </w:pPr>
    </w:p>
    <w:p w14:paraId="2A9467B8" w14:textId="77777777" w:rsidR="004E0A38" w:rsidRPr="0022149E" w:rsidRDefault="004E0A38" w:rsidP="004E0A38">
      <w:pPr>
        <w:spacing w:after="0" w:line="276" w:lineRule="auto"/>
        <w:jc w:val="both"/>
        <w:rPr>
          <w:rFonts w:ascii="Verdana" w:eastAsia="Century Gothic" w:hAnsi="Verdana" w:cs="Century Gothic"/>
        </w:rPr>
      </w:pPr>
      <w:r w:rsidRPr="0022149E">
        <w:rPr>
          <w:rFonts w:ascii="Verdana" w:eastAsia="Century Gothic" w:hAnsi="Verdana" w:cs="Century Gothic"/>
        </w:rPr>
        <w:t xml:space="preserve">De acuerdo con el contenido de su solicitud, esta Agencia resolverá el siguiente problema jurídico: </w:t>
      </w:r>
      <w:r w:rsidRPr="00216390">
        <w:rPr>
          <w:rFonts w:ascii="Verdana" w:eastAsia="Century Gothic" w:hAnsi="Verdana" w:cs="Century Gothic"/>
        </w:rPr>
        <w:t>¿Qué limitaciones establece la Ley de Garantías Electorales re</w:t>
      </w:r>
      <w:r>
        <w:rPr>
          <w:rFonts w:ascii="Verdana" w:eastAsia="Century Gothic" w:hAnsi="Verdana" w:cs="Century Gothic"/>
        </w:rPr>
        <w:t>specto al contrato de arrendamiento</w:t>
      </w:r>
      <w:r w:rsidRPr="00216390">
        <w:rPr>
          <w:rFonts w:ascii="Verdana" w:eastAsia="Century Gothic" w:hAnsi="Verdana" w:cs="Century Gothic"/>
        </w:rPr>
        <w:t xml:space="preserve"> durante el periodo electoral, y bajo qué fundamentos jurídicos podrían adelantarse </w:t>
      </w:r>
      <w:r>
        <w:rPr>
          <w:rFonts w:ascii="Verdana" w:eastAsia="Century Gothic" w:hAnsi="Verdana" w:cs="Century Gothic"/>
        </w:rPr>
        <w:t>alternativas distintas a la contratación directa?</w:t>
      </w:r>
    </w:p>
    <w:p w14:paraId="1A5BC268" w14:textId="77777777" w:rsidR="004E0A38" w:rsidRPr="004B140F" w:rsidRDefault="004E0A38" w:rsidP="004E0A38">
      <w:pPr>
        <w:spacing w:after="0" w:line="276" w:lineRule="auto"/>
        <w:jc w:val="both"/>
        <w:rPr>
          <w:rFonts w:ascii="Verdana" w:eastAsia="Calibri" w:hAnsi="Verdana" w:cs="Arial"/>
          <w:color w:val="7030A0"/>
        </w:rPr>
      </w:pPr>
    </w:p>
    <w:p w14:paraId="4D3DCAF9" w14:textId="77777777" w:rsidR="004E0A38" w:rsidRPr="0022149E" w:rsidRDefault="004E0A38" w:rsidP="004E0A3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2149E">
        <w:rPr>
          <w:rFonts w:ascii="Verdana" w:eastAsia="Century Gothic" w:hAnsi="Verdana" w:cs="Century Gothic"/>
          <w:b/>
          <w:bCs/>
          <w:lang w:val="es-ES"/>
        </w:rPr>
        <w:t>Respuesta:</w:t>
      </w:r>
    </w:p>
    <w:p w14:paraId="56A09F54" w14:textId="77777777" w:rsidR="004E0A38" w:rsidRPr="00593A5F" w:rsidRDefault="004E0A38" w:rsidP="004E0A38">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E0A38" w:rsidRPr="0022149E" w14:paraId="1726BCDE" w14:textId="77777777" w:rsidTr="00A46547">
        <w:trPr>
          <w:jc w:val="center"/>
        </w:trPr>
        <w:tc>
          <w:tcPr>
            <w:tcW w:w="8828" w:type="dxa"/>
          </w:tcPr>
          <w:p w14:paraId="6B0D306E" w14:textId="77777777" w:rsidR="004E0A38" w:rsidRDefault="004E0A38" w:rsidP="00A46547">
            <w:pPr>
              <w:spacing w:after="120" w:line="276" w:lineRule="auto"/>
              <w:jc w:val="both"/>
              <w:rPr>
                <w:rFonts w:ascii="Verdana" w:eastAsiaTheme="minorEastAsia" w:hAnsi="Verdana" w:cs="Arial"/>
                <w:bCs/>
                <w:lang w:val="es-MX" w:eastAsia="es-CO"/>
              </w:rPr>
            </w:pPr>
            <w:bookmarkStart w:id="2" w:name="_Hlk171694685"/>
            <w:r w:rsidRPr="0022149E">
              <w:rPr>
                <w:rFonts w:ascii="Verdana" w:eastAsia="Calibri" w:hAnsi="Verdana"/>
                <w:color w:val="000000" w:themeColor="text1"/>
              </w:rPr>
              <w:lastRenderedPageBreak/>
              <w:t xml:space="preserve">De acuerdo al problema jurídico, objeto de consulta, </w:t>
            </w:r>
            <w:r>
              <w:rPr>
                <w:rFonts w:ascii="Verdana" w:eastAsia="Calibri" w:hAnsi="Verdana"/>
                <w:color w:val="000000" w:themeColor="text1"/>
              </w:rPr>
              <w:t xml:space="preserve">no es posible que la entidad estatal en calidad de arrendadora o de arrendataria de un bien inmueble pueda suscribir un contrato de arrendamiento, pues se encuentra dentro de la restricción del artículo 33 </w:t>
            </w:r>
            <w:r>
              <w:rPr>
                <w:rFonts w:ascii="Verdana" w:eastAsiaTheme="minorEastAsia" w:hAnsi="Verdana" w:cs="Arial"/>
                <w:lang w:eastAsia="es-CO"/>
              </w:rPr>
              <w:t xml:space="preserve">de la Ley 996 de 2005, la cual </w:t>
            </w:r>
            <w:r w:rsidRPr="004C1120">
              <w:rPr>
                <w:rFonts w:ascii="Verdana" w:eastAsiaTheme="minorEastAsia" w:hAnsi="Verdana" w:cs="Arial"/>
                <w:bCs/>
                <w:lang w:val="es-MX" w:eastAsia="es-CO"/>
              </w:rPr>
              <w:t xml:space="preserve">prohíbe adelantar cualquier </w:t>
            </w:r>
            <w:r>
              <w:rPr>
                <w:rFonts w:ascii="Verdana" w:eastAsiaTheme="minorEastAsia" w:hAnsi="Verdana" w:cs="Arial"/>
                <w:bCs/>
                <w:lang w:val="es-MX" w:eastAsia="es-CO"/>
              </w:rPr>
              <w:t xml:space="preserve">forma </w:t>
            </w:r>
            <w:r w:rsidRPr="004C1120">
              <w:rPr>
                <w:rFonts w:ascii="Verdana" w:eastAsiaTheme="minorEastAsia" w:hAnsi="Verdana" w:cs="Arial"/>
                <w:bCs/>
                <w:lang w:val="es-MX" w:eastAsia="es-CO"/>
              </w:rPr>
              <w:t xml:space="preserve">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 xml:space="preserve">celebrar </w:t>
            </w:r>
            <w:r>
              <w:rPr>
                <w:rFonts w:ascii="Verdana" w:eastAsiaTheme="minorEastAsia" w:hAnsi="Verdana" w:cs="Arial"/>
                <w:bCs/>
                <w:lang w:val="es-MX" w:eastAsia="es-CO"/>
              </w:rPr>
              <w:t xml:space="preserve">contratos de arrendamiento de bienes inmuebles </w:t>
            </w:r>
            <w:r w:rsidRPr="004C1120">
              <w:rPr>
                <w:rFonts w:ascii="Verdana" w:eastAsiaTheme="minorEastAsia" w:hAnsi="Verdana" w:cs="Arial"/>
                <w:bCs/>
                <w:lang w:val="es-MX" w:eastAsia="es-CO"/>
              </w:rPr>
              <w:t>de forma directa,</w:t>
            </w:r>
            <w:r>
              <w:rPr>
                <w:rFonts w:ascii="Verdana" w:eastAsiaTheme="minorEastAsia" w:hAnsi="Verdana" w:cs="Arial"/>
                <w:bCs/>
                <w:lang w:val="es-MX" w:eastAsia="es-CO"/>
              </w:rPr>
              <w:t xml:space="preserve"> ya sea en calidad de arrendadora o de arrendataria, conforme a la causal de contratación directa </w:t>
            </w:r>
            <w:r>
              <w:rPr>
                <w:rFonts w:ascii="Verdana" w:eastAsiaTheme="minorEastAsia" w:hAnsi="Verdana" w:cs="Arial"/>
                <w:bCs/>
                <w:lang w:eastAsia="es-CO"/>
              </w:rPr>
              <w:t>de</w:t>
            </w:r>
            <w:r w:rsidRPr="00F45DD2">
              <w:rPr>
                <w:rFonts w:ascii="Verdana" w:eastAsiaTheme="minorEastAsia" w:hAnsi="Verdana" w:cs="Arial"/>
                <w:bCs/>
                <w:lang w:eastAsia="es-CO"/>
              </w:rPr>
              <w:t>l artículo 2º, numeral 4° literal i) de la Ley 1150 de 2007</w:t>
            </w:r>
            <w:r>
              <w:rPr>
                <w:rFonts w:ascii="Verdana" w:eastAsiaTheme="minorEastAsia" w:hAnsi="Verdana" w:cs="Arial"/>
                <w:bCs/>
                <w:lang w:eastAsia="es-CO"/>
              </w:rPr>
              <w:t>.</w:t>
            </w:r>
            <w:r>
              <w:rPr>
                <w:rFonts w:ascii="Verdana" w:eastAsiaTheme="minorEastAsia" w:hAnsi="Verdana" w:cs="Arial"/>
                <w:bCs/>
                <w:lang w:val="es-MX" w:eastAsia="es-CO"/>
              </w:rPr>
              <w:t xml:space="preserve"> E</w:t>
            </w:r>
            <w:r w:rsidRPr="004C1120">
              <w:rPr>
                <w:rFonts w:ascii="Verdana" w:eastAsiaTheme="minorEastAsia" w:hAnsi="Verdana" w:cs="Arial"/>
                <w:bCs/>
                <w:lang w:val="es-MX" w:eastAsia="es-CO"/>
              </w:rPr>
              <w:t xml:space="preserv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7407E0C5" w14:textId="77777777" w:rsidR="004E0A38" w:rsidRPr="004E0592" w:rsidRDefault="004E0A38" w:rsidP="00A46547">
            <w:pPr>
              <w:spacing w:after="120" w:line="276" w:lineRule="auto"/>
              <w:ind w:firstLine="708"/>
              <w:jc w:val="both"/>
              <w:rPr>
                <w:rFonts w:ascii="Verdana" w:eastAsia="Times New Roman" w:hAnsi="Verdana" w:cs="Times New Roman"/>
                <w:iCs/>
                <w:lang w:val="es-ES" w:eastAsia="es-ES"/>
              </w:rPr>
            </w:pPr>
            <w:r w:rsidRPr="00BF6124">
              <w:rPr>
                <w:rFonts w:ascii="Verdana" w:eastAsiaTheme="minorEastAsia" w:hAnsi="Verdana" w:cs="Arial"/>
                <w:bCs/>
                <w:lang w:val="es-MX" w:eastAsia="es-CO"/>
              </w:rPr>
              <w:t>Sin</w:t>
            </w:r>
            <w:r>
              <w:rPr>
                <w:rFonts w:ascii="Verdana" w:eastAsiaTheme="minorEastAsia" w:hAnsi="Verdana" w:cs="Arial"/>
                <w:bCs/>
                <w:lang w:val="es-MX" w:eastAsia="es-CO"/>
              </w:rPr>
              <w:t xml:space="preserve"> embargo, la uso de la “contratación directa”</w:t>
            </w:r>
            <w:r w:rsidRPr="00BF6124">
              <w:rPr>
                <w:rFonts w:ascii="Verdana" w:eastAsiaTheme="minorEastAsia" w:hAnsi="Verdana" w:cs="Arial"/>
                <w:bCs/>
                <w:lang w:val="es-MX" w:eastAsia="es-CO"/>
              </w:rPr>
              <w:t xml:space="preserve"> no se encuentra absolutamente proscri</w:t>
            </w:r>
            <w:r>
              <w:rPr>
                <w:rFonts w:ascii="Verdana" w:eastAsiaTheme="minorEastAsia" w:hAnsi="Verdana" w:cs="Arial"/>
                <w:bCs/>
                <w:lang w:val="es-MX" w:eastAsia="es-CO"/>
              </w:rPr>
              <w:t xml:space="preserve">ta, en la medida en que se contemplan </w:t>
            </w:r>
            <w:r w:rsidRPr="00BF6124">
              <w:rPr>
                <w:rFonts w:ascii="Verdana" w:eastAsiaTheme="minorEastAsia" w:hAnsi="Verdana" w:cs="Arial"/>
                <w:bCs/>
                <w:lang w:val="es-MX" w:eastAsia="es-CO"/>
              </w:rPr>
              <w:t>excepciones expresamente consagradas en el artículo 33 de la Ley 996 de 2005, las cuales constituyen un marco taxativo que habilita su procedencia en supuestos específicos. En este sentido, la Agencia ha desarrollado doctrina sobre cada una de dichas hipótesis excepcionales, entre las que se destacan: i) los contratos relacionados con la defensa y seguridad del Estado, analizados en el Concepto 322 de 2026; ii) los contratos de crédito público, abordados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109 de 2022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413 de 2022; iii) los contratos necesarios para atender emergencias educativas, sanitarias o desastres, tratados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118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176 de 2026; iv) los contratos destinados a la reconstrucci</w:t>
            </w:r>
            <w:r w:rsidRPr="00BF6124">
              <w:rPr>
                <w:rFonts w:ascii="Verdana" w:eastAsiaTheme="minorEastAsia" w:hAnsi="Verdana" w:cs="Verdana"/>
                <w:bCs/>
                <w:lang w:val="es-MX" w:eastAsia="es-CO"/>
              </w:rPr>
              <w:t>ó</w:t>
            </w:r>
            <w:r w:rsidRPr="00BF6124">
              <w:rPr>
                <w:rFonts w:ascii="Verdana" w:eastAsiaTheme="minorEastAsia" w:hAnsi="Verdana" w:cs="Arial"/>
                <w:bCs/>
                <w:lang w:val="es-MX" w:eastAsia="es-CO"/>
              </w:rPr>
              <w:t>n de infraestructura vial, energética y de comunicaciones afectada por atentados, acciones terroristas, desastres naturales o fuerza mayor, igualmente estudiados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118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176 de 2026, entre otros; y v) la contrataci</w:t>
            </w:r>
            <w:r w:rsidRPr="00BF6124">
              <w:rPr>
                <w:rFonts w:ascii="Verdana" w:eastAsiaTheme="minorEastAsia" w:hAnsi="Verdana" w:cs="Verdana"/>
                <w:bCs/>
                <w:lang w:val="es-MX" w:eastAsia="es-CO"/>
              </w:rPr>
              <w:t>ó</w:t>
            </w:r>
            <w:r w:rsidRPr="00BF6124">
              <w:rPr>
                <w:rFonts w:ascii="Verdana" w:eastAsiaTheme="minorEastAsia" w:hAnsi="Verdana" w:cs="Arial"/>
                <w:bCs/>
                <w:lang w:val="es-MX" w:eastAsia="es-CO"/>
              </w:rPr>
              <w:t>n directa celebrada por entidades sanitarias y hospitalarias, objeto de análisis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1124 de 2026,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1406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1703 de 2026.</w:t>
            </w:r>
            <w:r w:rsidRPr="0022149E">
              <w:rPr>
                <w:rFonts w:ascii="Verdana" w:eastAsiaTheme="minorEastAsia" w:hAnsi="Verdana" w:cs="Arial"/>
                <w:bCs/>
                <w:lang w:val="es-MX" w:eastAsia="es-CO"/>
              </w:rPr>
              <w:t xml:space="preserve"> </w:t>
            </w:r>
            <w:r w:rsidRPr="00B2403B">
              <w:rPr>
                <w:rFonts w:ascii="Verdana" w:eastAsia="Times New Roman" w:hAnsi="Verdana" w:cs="Arial"/>
                <w:bCs/>
                <w:lang w:val="es-MX" w:eastAsia="es-CO"/>
              </w:rPr>
              <w:t xml:space="preserve">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 xml:space="preserve">regulada como excepción en el </w:t>
            </w:r>
            <w:r w:rsidRPr="00B2403B">
              <w:rPr>
                <w:rFonts w:ascii="Verdana" w:eastAsia="Times New Roman" w:hAnsi="Verdana" w:cs="Times New Roman"/>
                <w:iCs/>
                <w:lang w:val="es-ES" w:eastAsia="es-ES"/>
              </w:rPr>
              <w:lastRenderedPageBreak/>
              <w:t>artículo 33</w:t>
            </w:r>
            <w:r w:rsidRPr="00B2403B">
              <w:rPr>
                <w:rFonts w:ascii="Verdana" w:eastAsia="Times New Roman" w:hAnsi="Verdana" w:cs="Times New Roman"/>
                <w:i/>
                <w:iCs/>
                <w:lang w:val="es-ES" w:eastAsia="es-ES"/>
              </w:rPr>
              <w:t xml:space="preserve"> </w:t>
            </w:r>
            <w:r>
              <w:rPr>
                <w:rFonts w:ascii="Verdana" w:eastAsia="Times New Roman" w:hAnsi="Verdana" w:cs="Times New Roman"/>
                <w:iCs/>
                <w:lang w:val="es-ES" w:eastAsia="es-ES"/>
              </w:rPr>
              <w:t>era</w:t>
            </w:r>
            <w:r w:rsidRPr="00B2403B">
              <w:rPr>
                <w:rFonts w:ascii="Verdana" w:eastAsia="Times New Roman" w:hAnsi="Verdana" w:cs="Times New Roman"/>
                <w:iCs/>
                <w:lang w:val="es-ES" w:eastAsia="es-ES"/>
              </w:rPr>
              <w:t xml:space="preserve">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6D46ECA9" w14:textId="77777777" w:rsidR="004E0A38" w:rsidRPr="00456FBA" w:rsidRDefault="004E0A38" w:rsidP="00A46547">
            <w:pPr>
              <w:spacing w:after="120" w:line="276" w:lineRule="auto"/>
              <w:ind w:firstLine="709"/>
              <w:jc w:val="both"/>
              <w:rPr>
                <w:rFonts w:ascii="Verdana" w:eastAsia="Arial" w:hAnsi="Verdana" w:cs="Arial"/>
                <w:lang w:eastAsia="es-ES" w:bidi="es-ES"/>
              </w:rPr>
            </w:pPr>
            <w:r>
              <w:rPr>
                <w:rFonts w:ascii="Verdana" w:eastAsiaTheme="minorEastAsia" w:hAnsi="Verdana" w:cs="Arial"/>
                <w:bCs/>
                <w:lang w:val="es-MX" w:eastAsia="es-CO"/>
              </w:rPr>
              <w:t xml:space="preserve">Es </w:t>
            </w:r>
            <w:r w:rsidRPr="0022149E">
              <w:rPr>
                <w:rFonts w:ascii="Verdana" w:eastAsiaTheme="minorEastAsia" w:hAnsi="Verdana" w:cs="Arial"/>
                <w:bCs/>
                <w:lang w:val="es-MX" w:eastAsia="es-CO"/>
              </w:rPr>
              <w:t xml:space="preserve">importante destacar </w:t>
            </w:r>
            <w:r w:rsidRPr="0022149E">
              <w:rPr>
                <w:rFonts w:ascii="Verdana" w:eastAsia="Arial" w:hAnsi="Verdana" w:cs="Arial"/>
                <w:lang w:val="es-ES" w:eastAsia="es-ES" w:bidi="es-ES"/>
              </w:rPr>
              <w:t xml:space="preserve">que la Sala de Consulta y Servicio Civil del Consejo de Estado mediante Concepto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 </w:t>
            </w:r>
          </w:p>
          <w:p w14:paraId="54F1FC6A" w14:textId="77777777" w:rsidR="004E0A38" w:rsidRPr="004C1120" w:rsidRDefault="004E0A38" w:rsidP="00A46547">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bCs/>
                <w:lang w:val="es-MX" w:eastAsia="es-CO"/>
              </w:rPr>
              <w:t>En esta línea</w:t>
            </w:r>
            <w:r w:rsidRPr="009D7880">
              <w:rPr>
                <w:rFonts w:ascii="Verdana" w:eastAsiaTheme="minorEastAsia" w:hAnsi="Verdana" w:cs="Arial"/>
                <w:bCs/>
                <w:lang w:val="es-MX" w:eastAsia="es-CO"/>
              </w:rPr>
              <w:t xml:space="preserve">, </w:t>
            </w:r>
            <w:r w:rsidRPr="001A0CB3">
              <w:rPr>
                <w:rFonts w:ascii="Verdana" w:eastAsiaTheme="minorEastAsia" w:hAnsi="Verdana" w:cs="Arial"/>
                <w:bCs/>
                <w:lang w:val="es-MX" w:eastAsia="es-CO"/>
              </w:rPr>
              <w:t>el artículo 33 de la Ley 996 de 2005 establece excepciones puntuales que permiten apartarse del procedimiento ordinario de selección, siempre que la necesidad de la entidad se ajuste a dichas circunstancias</w:t>
            </w:r>
            <w:r w:rsidRPr="0022149E">
              <w:rPr>
                <w:rFonts w:ascii="Verdana" w:eastAsiaTheme="minorEastAsia" w:hAnsi="Verdana" w:cs="Arial"/>
                <w:bCs/>
                <w:lang w:val="es-MX" w:eastAsia="es-CO"/>
              </w:rPr>
              <w:t>.</w:t>
            </w:r>
            <w:r w:rsidRPr="001A0CB3">
              <w:rPr>
                <w:rFonts w:ascii="Verdana" w:eastAsiaTheme="minorEastAsia" w:hAnsi="Verdana" w:cs="Arial"/>
                <w:bCs/>
                <w:lang w:val="es-MX" w:eastAsia="es-CO"/>
              </w:rPr>
              <w:t xml:space="preserve"> Así, cuando se pretenda suscribir un contrat</w:t>
            </w:r>
            <w:r>
              <w:rPr>
                <w:rFonts w:ascii="Verdana" w:eastAsiaTheme="minorEastAsia" w:hAnsi="Verdana" w:cs="Arial"/>
                <w:bCs/>
                <w:lang w:val="es-MX" w:eastAsia="es-CO"/>
              </w:rPr>
              <w:t xml:space="preserve">o de arrendamiento para atender, </w:t>
            </w:r>
            <w:r w:rsidRPr="001A0CB3">
              <w:rPr>
                <w:rFonts w:ascii="Verdana" w:eastAsiaTheme="minorEastAsia" w:hAnsi="Verdana" w:cs="Arial"/>
                <w:bCs/>
                <w:lang w:val="es-MX" w:eastAsia="es-CO"/>
              </w:rPr>
              <w:t xml:space="preserve">la entidad podrá recurrir a la contratación directa únicamente si la situación se encuentra expresamente </w:t>
            </w:r>
            <w:r>
              <w:rPr>
                <w:rFonts w:ascii="Verdana" w:eastAsiaTheme="minorEastAsia" w:hAnsi="Verdana" w:cs="Arial"/>
                <w:bCs/>
                <w:lang w:val="es-MX" w:eastAsia="es-CO"/>
              </w:rPr>
              <w:t>contemplada en las excepciones dispuestas en el artículo 33</w:t>
            </w:r>
            <w:r w:rsidRPr="0022149E">
              <w:rPr>
                <w:rFonts w:ascii="Verdana" w:eastAsiaTheme="minorEastAsia" w:hAnsi="Verdana" w:cs="Arial"/>
                <w:bCs/>
                <w:lang w:val="es-MX" w:eastAsia="es-CO"/>
              </w:rPr>
              <w:t>,</w:t>
            </w:r>
            <w:r>
              <w:rPr>
                <w:rFonts w:ascii="Verdana" w:eastAsiaTheme="minorEastAsia" w:hAnsi="Verdana" w:cs="Arial"/>
                <w:bCs/>
                <w:lang w:val="es-MX" w:eastAsia="es-CO"/>
              </w:rPr>
              <w:t xml:space="preserve"> </w:t>
            </w:r>
            <w:r w:rsidRPr="00D96BA4">
              <w:rPr>
                <w:rFonts w:ascii="Verdana" w:eastAsiaTheme="minorEastAsia" w:hAnsi="Verdana" w:cs="Arial"/>
                <w:bCs/>
                <w:lang w:val="es-ES" w:eastAsia="es-CO"/>
              </w:rPr>
              <w:t>sin perjuicio de lo expresado por la Sala de Consulta y Servicio Civil del Consejo que se expuso previamente</w:t>
            </w:r>
            <w:r>
              <w:rPr>
                <w:rFonts w:ascii="Verdana" w:eastAsiaTheme="minorEastAsia" w:hAnsi="Verdana" w:cs="Arial"/>
                <w:bCs/>
                <w:lang w:val="es-ES" w:eastAsia="es-CO"/>
              </w:rPr>
              <w:t xml:space="preserve"> y que están explicadas con mayor profundidad en las razones de la respuesta</w:t>
            </w:r>
            <w:r w:rsidRPr="00D96BA4">
              <w:rPr>
                <w:rFonts w:ascii="Verdana" w:eastAsiaTheme="minorEastAsia" w:hAnsi="Verdana" w:cs="Arial"/>
                <w:bCs/>
                <w:lang w:val="es-ES" w:eastAsia="es-CO"/>
              </w:rPr>
              <w:t>.</w:t>
            </w:r>
          </w:p>
          <w:p w14:paraId="626D536F" w14:textId="77777777" w:rsidR="004E0A38" w:rsidRPr="0022149E" w:rsidRDefault="004E0A38" w:rsidP="00A46547">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eastAsia="x-none"/>
              </w:rPr>
              <w:t>Por último</w:t>
            </w:r>
            <w:r w:rsidRPr="0022149E">
              <w:rPr>
                <w:rFonts w:ascii="Verdana" w:eastAsia="Times New Roman" w:hAnsi="Verdana" w:cs="Arial"/>
                <w:bCs/>
                <w:lang w:val="es-MX" w:eastAsia="x-none"/>
              </w:rPr>
              <w:t xml:space="preserve">, se reitera, </w:t>
            </w:r>
            <w:r w:rsidRPr="0022149E">
              <w:rPr>
                <w:rFonts w:ascii="Verdana" w:eastAsia="Times New Roman" w:hAnsi="Verdana" w:cs="Arial"/>
                <w:bCs/>
                <w:lang w:val="es-MX" w:eastAsia="es-CO"/>
              </w:rPr>
              <w:t>que las prórrogas, modificaciones o adiciones de los contratos suscritos antes de la entrada en vigor de las prohibiciones anotadas, en especial del artículo 33 de la Ley 996 de 2005,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4F1C0A">
              <w:rPr>
                <w:rFonts w:ascii="Verdana" w:eastAsia="Times New Roman" w:hAnsi="Verdana" w:cs="Arial"/>
                <w:bCs/>
                <w:vertAlign w:val="superscript"/>
                <w:lang w:val="es-MX" w:eastAsia="es-CO"/>
              </w:rPr>
              <w:footnoteReference w:id="1"/>
            </w:r>
            <w:r w:rsidRPr="0022149E">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En todo caso</w:t>
            </w:r>
            <w:r>
              <w:rPr>
                <w:rFonts w:ascii="Verdana" w:eastAsia="Times New Roman" w:hAnsi="Verdana" w:cs="Arial"/>
                <w:lang w:val="es-MX" w:eastAsia="es-CO"/>
              </w:rPr>
              <w:t xml:space="preserve">, </w:t>
            </w:r>
            <w:r w:rsidRPr="0022149E">
              <w:rPr>
                <w:rFonts w:ascii="Verdana" w:eastAsia="Calibri" w:hAnsi="Verdana" w:cs="Arial"/>
                <w:bCs/>
                <w:color w:val="000000" w:themeColor="text1"/>
              </w:rPr>
              <w:t xml:space="preserve">la entidad </w:t>
            </w:r>
            <w:r w:rsidRPr="0022149E">
              <w:rPr>
                <w:rFonts w:ascii="Verdana" w:eastAsia="Calibri" w:hAnsi="Verdana" w:cs="Arial"/>
                <w:bCs/>
                <w:color w:val="000000" w:themeColor="text1"/>
              </w:rPr>
              <w:lastRenderedPageBreak/>
              <w:t>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p>
        </w:tc>
      </w:tr>
    </w:tbl>
    <w:p w14:paraId="44284792" w14:textId="77777777" w:rsidR="004E0A38" w:rsidRPr="00593A5F" w:rsidRDefault="004E0A38" w:rsidP="004E0A38">
      <w:pPr>
        <w:tabs>
          <w:tab w:val="left" w:pos="142"/>
          <w:tab w:val="left" w:pos="284"/>
        </w:tabs>
        <w:spacing w:after="0" w:line="276" w:lineRule="auto"/>
        <w:jc w:val="both"/>
        <w:rPr>
          <w:rFonts w:ascii="Verdana" w:eastAsia="Century Gothic" w:hAnsi="Verdana" w:cs="Century Gothic"/>
          <w:b/>
          <w:bCs/>
          <w:lang w:val="es-ES"/>
        </w:rPr>
      </w:pPr>
    </w:p>
    <w:bookmarkEnd w:id="2"/>
    <w:p w14:paraId="584E8B59" w14:textId="77777777" w:rsidR="004E0A38" w:rsidRPr="0022149E" w:rsidRDefault="004E0A38" w:rsidP="004E0A3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2149E">
        <w:rPr>
          <w:rFonts w:ascii="Verdana" w:eastAsia="Century Gothic" w:hAnsi="Verdana" w:cs="Century Gothic"/>
          <w:b/>
          <w:bCs/>
          <w:lang w:val="es-ES"/>
        </w:rPr>
        <w:t>Razones de la respuesta:</w:t>
      </w:r>
    </w:p>
    <w:p w14:paraId="5844B0F8" w14:textId="77777777" w:rsidR="004E0A38" w:rsidRPr="00593A5F" w:rsidRDefault="004E0A38" w:rsidP="004E0A38">
      <w:pPr>
        <w:spacing w:after="0" w:line="276" w:lineRule="auto"/>
        <w:jc w:val="both"/>
        <w:rPr>
          <w:rFonts w:ascii="Verdana" w:eastAsia="Calibri" w:hAnsi="Verdana" w:cs="Arial"/>
          <w:color w:val="7030A0"/>
          <w:lang w:val="es-ES"/>
        </w:rPr>
      </w:pPr>
    </w:p>
    <w:p w14:paraId="5E45F98D" w14:textId="77777777" w:rsidR="004E0A38" w:rsidRDefault="004E0A38" w:rsidP="004E0A3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D837FCC" w14:textId="77777777" w:rsidR="004E0A38" w:rsidRDefault="004E0A38" w:rsidP="004E0A38">
      <w:pPr>
        <w:spacing w:after="0" w:line="276" w:lineRule="auto"/>
        <w:jc w:val="both"/>
        <w:rPr>
          <w:rFonts w:ascii="Verdana" w:eastAsia="Calibri" w:hAnsi="Verdana" w:cs="Arial"/>
          <w:lang w:val="es-ES"/>
        </w:rPr>
      </w:pPr>
    </w:p>
    <w:p w14:paraId="78CA8C53" w14:textId="77777777" w:rsidR="004E0A38" w:rsidRPr="009E105D" w:rsidRDefault="004E0A38" w:rsidP="004E0A38">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2"/>
      </w:r>
      <w:r w:rsidRPr="009E105D">
        <w:rPr>
          <w:rFonts w:ascii="Verdana" w:eastAsia="Calibri" w:hAnsi="Verdana" w:cs="Arial"/>
        </w:rPr>
        <w:t xml:space="preserve">. </w:t>
      </w:r>
    </w:p>
    <w:p w14:paraId="0D76367B" w14:textId="77777777" w:rsidR="004E0A38" w:rsidRPr="009E105D" w:rsidRDefault="004E0A38" w:rsidP="004E0A38">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3"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3"/>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3"/>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B14B692" w14:textId="77777777" w:rsidR="004E0A38" w:rsidRPr="009E105D" w:rsidRDefault="004E0A38" w:rsidP="004E0A38">
      <w:pPr>
        <w:spacing w:after="0" w:line="276" w:lineRule="auto"/>
        <w:ind w:right="709"/>
        <w:contextualSpacing/>
        <w:jc w:val="both"/>
        <w:rPr>
          <w:rFonts w:ascii="Verdana" w:eastAsia="Times New Roman" w:hAnsi="Verdana" w:cs="Arial"/>
          <w:sz w:val="21"/>
          <w:szCs w:val="21"/>
          <w:lang w:val="es-ES" w:eastAsia="es-CO"/>
        </w:rPr>
      </w:pPr>
    </w:p>
    <w:p w14:paraId="34ACC71F" w14:textId="77777777" w:rsidR="004E0A38" w:rsidRPr="00E066AC" w:rsidRDefault="004E0A38" w:rsidP="004E0A38">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35FC00F" w14:textId="77777777" w:rsidR="004E0A38" w:rsidRPr="001B7CDA" w:rsidRDefault="004E0A38" w:rsidP="004E0A38">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6B57EA72" w14:textId="77777777" w:rsidR="004E0A38" w:rsidRPr="00E066AC" w:rsidRDefault="004E0A38" w:rsidP="004E0A38">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4"/>
      </w:r>
      <w:r w:rsidRPr="00E066AC">
        <w:rPr>
          <w:rFonts w:ascii="Verdana" w:eastAsia="Times New Roman" w:hAnsi="Verdana" w:cs="Arial"/>
          <w:sz w:val="20"/>
          <w:szCs w:val="20"/>
          <w:lang w:val="es-MX" w:eastAsia="es-CO"/>
        </w:rPr>
        <w:t>.</w:t>
      </w:r>
    </w:p>
    <w:p w14:paraId="26C9FFF1" w14:textId="77777777" w:rsidR="004E0A38" w:rsidRPr="009E105D" w:rsidRDefault="004E0A38" w:rsidP="004E0A38">
      <w:pPr>
        <w:spacing w:after="0" w:line="276" w:lineRule="auto"/>
        <w:ind w:left="709" w:right="709"/>
        <w:contextualSpacing/>
        <w:jc w:val="both"/>
        <w:rPr>
          <w:rFonts w:ascii="Verdana" w:eastAsia="Times New Roman" w:hAnsi="Verdana" w:cs="Arial"/>
          <w:sz w:val="21"/>
          <w:szCs w:val="21"/>
          <w:lang w:val="es-MX" w:eastAsia="es-CO"/>
        </w:rPr>
      </w:pPr>
    </w:p>
    <w:p w14:paraId="2E6C8303" w14:textId="77777777" w:rsidR="004E0A38" w:rsidRPr="009E105D" w:rsidRDefault="004E0A38" w:rsidP="004E0A38">
      <w:pPr>
        <w:spacing w:after="0" w:line="276" w:lineRule="auto"/>
        <w:ind w:firstLine="709"/>
        <w:jc w:val="both"/>
        <w:rPr>
          <w:rFonts w:ascii="Verdana" w:eastAsia="Times New Roman" w:hAnsi="Verdana" w:cs="Arial"/>
          <w:lang w:val="es-MX" w:eastAsia="es-CO"/>
        </w:rPr>
      </w:pPr>
      <w:bookmarkStart w:id="4"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13EAE85A" w14:textId="77777777" w:rsidR="004E0A38" w:rsidRPr="009E105D" w:rsidRDefault="004E0A38" w:rsidP="004E0A38">
      <w:pPr>
        <w:spacing w:after="0" w:line="276" w:lineRule="auto"/>
        <w:ind w:firstLine="709"/>
        <w:contextualSpacing/>
        <w:jc w:val="both"/>
        <w:rPr>
          <w:rFonts w:ascii="Verdana" w:eastAsia="Times New Roman" w:hAnsi="Verdana" w:cs="Arial"/>
          <w:lang w:val="es-MX" w:eastAsia="es-CO"/>
        </w:rPr>
      </w:pPr>
    </w:p>
    <w:p w14:paraId="35E08B81" w14:textId="77777777" w:rsidR="004E0A38" w:rsidRPr="001B7CDA" w:rsidRDefault="004E0A38" w:rsidP="004E0A38">
      <w:pPr>
        <w:spacing w:after="0" w:line="240" w:lineRule="auto"/>
        <w:ind w:left="709" w:right="709"/>
        <w:contextualSpacing/>
        <w:jc w:val="both"/>
        <w:rPr>
          <w:rFonts w:ascii="Verdana" w:eastAsia="Times New Roman" w:hAnsi="Verdana" w:cs="Arial"/>
          <w:sz w:val="20"/>
          <w:szCs w:val="20"/>
          <w:lang w:val="es-MX" w:eastAsia="es-CO"/>
        </w:rPr>
      </w:pPr>
      <w:r w:rsidRPr="001B7CDA">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254A04B" w14:textId="77777777" w:rsidR="004E0A38" w:rsidRPr="001B7CDA" w:rsidRDefault="004E0A38" w:rsidP="004E0A38">
      <w:pPr>
        <w:spacing w:after="0" w:line="240" w:lineRule="auto"/>
        <w:ind w:right="709"/>
        <w:contextualSpacing/>
        <w:jc w:val="both"/>
        <w:rPr>
          <w:rFonts w:ascii="Verdana" w:eastAsia="Times New Roman" w:hAnsi="Verdana" w:cs="Arial"/>
          <w:sz w:val="20"/>
          <w:szCs w:val="20"/>
          <w:lang w:val="es-MX" w:eastAsia="es-CO"/>
        </w:rPr>
      </w:pPr>
    </w:p>
    <w:p w14:paraId="03961B37" w14:textId="77777777" w:rsidR="004E0A38" w:rsidRPr="001B7CDA" w:rsidRDefault="004E0A38" w:rsidP="004E0A38">
      <w:pPr>
        <w:spacing w:after="0" w:line="240" w:lineRule="auto"/>
        <w:ind w:left="709" w:right="709"/>
        <w:contextualSpacing/>
        <w:jc w:val="both"/>
        <w:rPr>
          <w:rFonts w:ascii="Verdana" w:eastAsia="Times New Roman" w:hAnsi="Verdana" w:cs="Arial"/>
          <w:sz w:val="20"/>
          <w:szCs w:val="20"/>
          <w:lang w:val="es-MX" w:eastAsia="es-CO"/>
        </w:rPr>
      </w:pPr>
      <w:r w:rsidRPr="001B7CDA">
        <w:rPr>
          <w:rFonts w:ascii="Verdana" w:eastAsia="Times New Roman" w:hAnsi="Verdana" w:cs="Arial"/>
          <w:sz w:val="20"/>
          <w:szCs w:val="20"/>
          <w:lang w:val="es-MX" w:eastAsia="es-CO"/>
        </w:rPr>
        <w:lastRenderedPageBreak/>
        <w:t>La jurisprudencia de la Corte Constitucional</w:t>
      </w:r>
      <w:r w:rsidRPr="001B7CDA">
        <w:rPr>
          <w:rFonts w:ascii="Verdana" w:eastAsia="Times New Roman" w:hAnsi="Verdana" w:cs="Arial"/>
          <w:sz w:val="20"/>
          <w:szCs w:val="20"/>
          <w:vertAlign w:val="superscript"/>
          <w:lang w:val="es-MX" w:eastAsia="es-CO"/>
        </w:rPr>
        <w:footnoteReference w:id="5"/>
      </w:r>
      <w:r w:rsidRPr="001B7CDA">
        <w:rPr>
          <w:rFonts w:ascii="Verdana" w:eastAsia="Times New Roman" w:hAnsi="Verdana" w:cs="Arial"/>
          <w:sz w:val="20"/>
          <w:szCs w:val="20"/>
          <w:lang w:val="es-MX" w:eastAsia="es-CO"/>
        </w:rPr>
        <w:t> y del Consejo de Estado</w:t>
      </w:r>
      <w:r w:rsidRPr="001B7CDA">
        <w:rPr>
          <w:rFonts w:ascii="Verdana" w:eastAsia="Times New Roman" w:hAnsi="Verdana" w:cs="Arial"/>
          <w:sz w:val="20"/>
          <w:szCs w:val="20"/>
          <w:vertAlign w:val="superscript"/>
          <w:lang w:val="es-MX" w:eastAsia="es-CO"/>
        </w:rPr>
        <w:footnoteReference w:id="6"/>
      </w:r>
      <w:r w:rsidRPr="001B7CDA">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1B7CDA">
        <w:rPr>
          <w:rFonts w:ascii="Verdana" w:eastAsia="Times New Roman" w:hAnsi="Verdana" w:cs="Arial"/>
          <w:sz w:val="20"/>
          <w:szCs w:val="20"/>
          <w:vertAlign w:val="superscript"/>
          <w:lang w:val="es-MX" w:eastAsia="es-CO"/>
        </w:rPr>
        <w:footnoteReference w:id="7"/>
      </w:r>
      <w:r w:rsidRPr="001B7CDA">
        <w:rPr>
          <w:rFonts w:ascii="Verdana" w:eastAsia="Times New Roman" w:hAnsi="Verdana" w:cs="Arial"/>
          <w:sz w:val="20"/>
          <w:szCs w:val="20"/>
          <w:lang w:val="es-MX" w:eastAsia="es-CO"/>
        </w:rPr>
        <w:t>.</w:t>
      </w:r>
    </w:p>
    <w:p w14:paraId="309EC8C7" w14:textId="77777777" w:rsidR="004E0A38" w:rsidRPr="009E105D" w:rsidRDefault="004E0A38" w:rsidP="004E0A38">
      <w:pPr>
        <w:spacing w:after="0" w:line="276" w:lineRule="auto"/>
        <w:ind w:right="709"/>
        <w:contextualSpacing/>
        <w:jc w:val="both"/>
        <w:rPr>
          <w:rFonts w:ascii="Verdana" w:eastAsia="Times New Roman" w:hAnsi="Verdana" w:cs="Arial"/>
          <w:sz w:val="21"/>
          <w:szCs w:val="21"/>
          <w:lang w:val="es-MX" w:eastAsia="es-CO"/>
        </w:rPr>
      </w:pPr>
    </w:p>
    <w:p w14:paraId="568942D0" w14:textId="77777777" w:rsidR="004E0A38" w:rsidRPr="009E105D" w:rsidRDefault="004E0A38" w:rsidP="004E0A38">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5" w:name="_Hlk77236098"/>
      <w:bookmarkStart w:id="6"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6AD50FEC" w14:textId="77777777" w:rsidR="004E0A38" w:rsidRPr="009E105D" w:rsidRDefault="004E0A38" w:rsidP="004E0A38">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9E105D">
        <w:rPr>
          <w:rFonts w:ascii="Verdana" w:eastAsia="Calibri" w:hAnsi="Verdana" w:cs="Arial"/>
        </w:rPr>
        <w:lastRenderedPageBreak/>
        <w:t>acciones terroristas, desastres naturales o casos de fuerza mayor, y los que deban realizar las entidades sanitarias y hospitalarias”</w:t>
      </w:r>
      <w:r w:rsidRPr="009E105D">
        <w:rPr>
          <w:rFonts w:ascii="Verdana" w:eastAsia="Calibri" w:hAnsi="Verdana" w:cs="Arial"/>
          <w:vertAlign w:val="superscript"/>
        </w:rPr>
        <w:footnoteReference w:id="8"/>
      </w:r>
      <w:r w:rsidRPr="009E105D">
        <w:rPr>
          <w:rFonts w:ascii="Verdana" w:eastAsia="Calibri" w:hAnsi="Verdana" w:cs="Arial"/>
        </w:rPr>
        <w:t>.</w:t>
      </w:r>
    </w:p>
    <w:p w14:paraId="0AD0B78A" w14:textId="77777777" w:rsidR="004E0A38" w:rsidRPr="009E105D" w:rsidRDefault="004E0A38" w:rsidP="004E0A3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6"/>
      <w:r w:rsidRPr="009E105D">
        <w:rPr>
          <w:rFonts w:ascii="Verdana" w:eastAsia="Calibri" w:hAnsi="Verdana" w:cs="Arial"/>
          <w:sz w:val="19"/>
          <w:szCs w:val="19"/>
          <w:vertAlign w:val="superscript"/>
        </w:rPr>
        <w:footnoteReference w:id="9"/>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041DE4B4" w14:textId="77777777" w:rsidR="004E0A38" w:rsidRPr="009E105D" w:rsidRDefault="004E0A38" w:rsidP="004E0A38">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9DB9061" w14:textId="77777777" w:rsidR="004E0A38" w:rsidRPr="00E066AC" w:rsidRDefault="004E0A38" w:rsidP="004E0A38">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066AC">
        <w:rPr>
          <w:rFonts w:ascii="Verdana" w:eastAsia="Arial" w:hAnsi="Verdana" w:cs="Arial"/>
          <w:sz w:val="20"/>
          <w:szCs w:val="20"/>
          <w:lang w:val="es-ES" w:eastAsia="es-ES" w:bidi="es-ES"/>
        </w:rPr>
        <w:t>se integran parcialmente</w:t>
      </w:r>
      <w:bookmarkEnd w:id="9"/>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E066AC">
        <w:rPr>
          <w:rFonts w:ascii="Verdana" w:eastAsia="Arial" w:hAnsi="Verdana" w:cs="Arial"/>
          <w:sz w:val="20"/>
          <w:szCs w:val="20"/>
          <w:lang w:val="es-ES" w:eastAsia="es-ES" w:bidi="es-ES"/>
        </w:rPr>
        <w:lastRenderedPageBreak/>
        <w:t>excluyendo las correspondientes a Presidente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10"/>
      </w:r>
      <w:r w:rsidRPr="00E066AC">
        <w:rPr>
          <w:rFonts w:ascii="Verdana" w:eastAsia="Arial" w:hAnsi="Verdana" w:cs="Arial"/>
          <w:sz w:val="20"/>
          <w:szCs w:val="20"/>
          <w:lang w:val="es-ES" w:eastAsia="es-ES" w:bidi="es-ES"/>
        </w:rPr>
        <w:t>.</w:t>
      </w:r>
    </w:p>
    <w:p w14:paraId="473E9B8D" w14:textId="77777777" w:rsidR="004E0A38" w:rsidRPr="009E105D" w:rsidRDefault="004E0A38" w:rsidP="004E0A38">
      <w:pPr>
        <w:widowControl w:val="0"/>
        <w:autoSpaceDE w:val="0"/>
        <w:autoSpaceDN w:val="0"/>
        <w:spacing w:after="0" w:line="276" w:lineRule="auto"/>
        <w:contextualSpacing/>
        <w:rPr>
          <w:rFonts w:ascii="Verdana" w:eastAsia="Arial" w:hAnsi="Verdana" w:cs="Arial"/>
          <w:lang w:val="es-ES" w:eastAsia="es-ES" w:bidi="es-ES"/>
        </w:rPr>
      </w:pPr>
    </w:p>
    <w:p w14:paraId="47E2408C" w14:textId="77777777" w:rsidR="004E0A38" w:rsidRPr="009E105D" w:rsidRDefault="004E0A38" w:rsidP="004E0A38">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4DD309E9" w14:textId="77777777" w:rsidR="004E0A38" w:rsidRPr="009E105D" w:rsidRDefault="004E0A38" w:rsidP="004E0A38">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342FFB53" w14:textId="77777777" w:rsidR="004E0A38" w:rsidRDefault="004E0A38" w:rsidP="004E0A38">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w:t>
      </w:r>
      <w:r w:rsidRPr="009E105D">
        <w:rPr>
          <w:rFonts w:ascii="Verdana" w:eastAsia="Arial" w:hAnsi="Verdana" w:cs="Arial"/>
          <w:lang w:val="es-ES" w:eastAsia="es-ES" w:bidi="es-ES"/>
        </w:rPr>
        <w:lastRenderedPageBreak/>
        <w:t>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2FC9642A" w14:textId="77777777" w:rsidR="004E0A38" w:rsidRDefault="004E0A38" w:rsidP="004E0A38">
      <w:pPr>
        <w:spacing w:after="0" w:line="276" w:lineRule="auto"/>
        <w:jc w:val="both"/>
        <w:rPr>
          <w:rFonts w:ascii="Verdana" w:eastAsia="Arial" w:hAnsi="Verdana" w:cs="Arial"/>
          <w:lang w:val="es-ES" w:eastAsia="es-ES" w:bidi="es-ES"/>
        </w:rPr>
      </w:pPr>
    </w:p>
    <w:p w14:paraId="5C145DE5" w14:textId="77777777" w:rsidR="004E0A38" w:rsidRPr="00F8199A" w:rsidRDefault="004E0A38" w:rsidP="004E0A38">
      <w:pPr>
        <w:spacing w:after="0" w:line="276" w:lineRule="auto"/>
        <w:jc w:val="both"/>
        <w:rPr>
          <w:rFonts w:ascii="Verdana" w:hAnsi="Verdana" w:cs="Arial"/>
          <w:bCs/>
          <w:lang w:val="es-MX" w:eastAsia="es-CO"/>
        </w:rPr>
      </w:pPr>
      <w:r w:rsidRPr="00F8199A">
        <w:rPr>
          <w:rFonts w:ascii="Verdana" w:eastAsia="Arial" w:hAnsi="Verdana" w:cs="Arial"/>
          <w:lang w:val="es-ES" w:eastAsia="es-ES" w:bidi="es-ES"/>
        </w:rPr>
        <w:t xml:space="preserve">ii.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Pr>
          <w:rFonts w:ascii="Verdana" w:hAnsi="Verdana" w:cs="Arial"/>
          <w:bCs/>
          <w:lang w:val="es-MX" w:eastAsia="x-none"/>
        </w:rPr>
        <w:t>.</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146314B4" w14:textId="77777777" w:rsidR="004E0A38" w:rsidRPr="00F8199A" w:rsidRDefault="004E0A38" w:rsidP="004E0A38">
      <w:pPr>
        <w:spacing w:after="0" w:line="276" w:lineRule="auto"/>
        <w:ind w:left="708" w:right="709"/>
        <w:jc w:val="both"/>
        <w:rPr>
          <w:rFonts w:ascii="Verdana" w:hAnsi="Verdana" w:cs="Arial"/>
          <w:lang w:val="es-MX"/>
        </w:rPr>
      </w:pPr>
    </w:p>
    <w:p w14:paraId="381DF031" w14:textId="77777777" w:rsidR="004E0A38" w:rsidRPr="00F8199A" w:rsidRDefault="004E0A38" w:rsidP="004E0A38">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1"/>
      </w:r>
      <w:r w:rsidRPr="00F8199A">
        <w:rPr>
          <w:rFonts w:ascii="Verdana" w:hAnsi="Verdana" w:cs="Arial"/>
          <w:sz w:val="20"/>
          <w:szCs w:val="20"/>
          <w:lang w:val="es-MX"/>
        </w:rPr>
        <w:t>.</w:t>
      </w:r>
    </w:p>
    <w:p w14:paraId="6F94677B" w14:textId="77777777" w:rsidR="004E0A38" w:rsidRPr="00F8199A" w:rsidRDefault="004E0A38" w:rsidP="004E0A38">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2"/>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3"/>
      </w:r>
      <w:r w:rsidRPr="00F8199A">
        <w:rPr>
          <w:rFonts w:ascii="Verdana" w:hAnsi="Verdana" w:cs="Arial"/>
          <w:sz w:val="20"/>
          <w:szCs w:val="20"/>
          <w:lang w:val="es-MX"/>
        </w:rPr>
        <w:t>.</w:t>
      </w:r>
    </w:p>
    <w:p w14:paraId="2B52D82A" w14:textId="77777777" w:rsidR="004E0A38" w:rsidRPr="00F8199A" w:rsidRDefault="004E0A38" w:rsidP="004E0A38">
      <w:pPr>
        <w:shd w:val="clear" w:color="auto" w:fill="FFFFFF"/>
        <w:spacing w:after="0" w:line="276" w:lineRule="auto"/>
        <w:ind w:firstLine="709"/>
        <w:jc w:val="both"/>
        <w:rPr>
          <w:rFonts w:ascii="Verdana" w:hAnsi="Verdana" w:cs="Arial"/>
          <w:lang w:eastAsia="x-none"/>
        </w:rPr>
      </w:pPr>
    </w:p>
    <w:p w14:paraId="243B8E1D" w14:textId="77777777" w:rsidR="004E0A38" w:rsidRPr="00F8199A" w:rsidRDefault="004E0A38" w:rsidP="004E0A38">
      <w:pPr>
        <w:spacing w:after="120" w:line="276" w:lineRule="auto"/>
        <w:ind w:firstLine="708"/>
        <w:jc w:val="both"/>
        <w:rPr>
          <w:rFonts w:ascii="Verdana" w:hAnsi="Verdana" w:cs="Arial"/>
          <w:bCs/>
          <w:lang w:eastAsia="x-none"/>
        </w:rPr>
      </w:pPr>
      <w:r w:rsidRPr="00F8199A">
        <w:rPr>
          <w:rFonts w:ascii="Verdana" w:hAnsi="Verdana" w:cs="Arial"/>
          <w:lang w:eastAsia="x-none"/>
        </w:rPr>
        <w:lastRenderedPageBreak/>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5"/>
      </w:r>
      <w:r w:rsidRPr="00F8199A">
        <w:rPr>
          <w:rFonts w:ascii="Verdana" w:hAnsi="Verdana" w:cs="Arial"/>
          <w:lang w:eastAsia="x-none"/>
        </w:rPr>
        <w:t xml:space="preserve">. </w:t>
      </w:r>
    </w:p>
    <w:p w14:paraId="1BC7B39F" w14:textId="77777777" w:rsidR="004E0A38" w:rsidRPr="00F8199A" w:rsidRDefault="004E0A38" w:rsidP="004E0A38">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6"/>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5742A05E" w14:textId="77777777" w:rsidR="004E0A38" w:rsidRPr="00F8199A" w:rsidRDefault="004E0A38" w:rsidP="004E0A38">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lang w:eastAsia="x-none"/>
        </w:rPr>
        <w:t xml:space="preserve">. </w:t>
      </w:r>
    </w:p>
    <w:p w14:paraId="320F2C89" w14:textId="77777777" w:rsidR="004E0A38" w:rsidRPr="00F8199A" w:rsidRDefault="004E0A38" w:rsidP="004E0A38">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lastRenderedPageBreak/>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0B2C5D50" w14:textId="77777777" w:rsidR="004E0A38" w:rsidRPr="00F8199A" w:rsidRDefault="004E0A38" w:rsidP="004E0A38">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8"/>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40047BDD" w14:textId="77777777" w:rsidR="004E0A38" w:rsidRPr="00F8199A" w:rsidRDefault="004E0A38" w:rsidP="004E0A38">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071090CD" w14:textId="77777777" w:rsidR="004E0A38" w:rsidRPr="00F8199A" w:rsidRDefault="004E0A38" w:rsidP="004E0A38">
      <w:pPr>
        <w:spacing w:after="120" w:line="276" w:lineRule="auto"/>
        <w:ind w:firstLine="708"/>
        <w:jc w:val="both"/>
        <w:rPr>
          <w:rFonts w:ascii="Verdana" w:hAnsi="Verdana" w:cs="Arial"/>
          <w:bCs/>
          <w:lang w:val="es-MX" w:eastAsia="x-none"/>
        </w:rPr>
      </w:pPr>
      <w:bookmarkStart w:id="13"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3"/>
    </w:p>
    <w:p w14:paraId="218FAED7" w14:textId="77777777" w:rsidR="004E0A38" w:rsidRPr="00F8199A" w:rsidRDefault="004E0A38" w:rsidP="004E0A38">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w:t>
      </w:r>
      <w:r w:rsidRPr="00F8199A">
        <w:rPr>
          <w:rFonts w:ascii="Verdana" w:hAnsi="Verdana" w:cs="Arial"/>
          <w:bCs/>
          <w:lang w:val="es-MX" w:eastAsia="x-none"/>
        </w:rPr>
        <w:lastRenderedPageBreak/>
        <w:t>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0332195" w14:textId="77777777" w:rsidR="004E0A38" w:rsidRDefault="004E0A38" w:rsidP="004E0A38">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F8199A">
        <w:rPr>
          <w:rFonts w:ascii="Verdana" w:hAnsi="Verdana" w:cs="Arial"/>
          <w:bCs/>
          <w:lang w:val="es-MX" w:eastAsia="x-none"/>
        </w:rPr>
        <w:t xml:space="preserve">que </w:t>
      </w:r>
      <w:r>
        <w:rPr>
          <w:rFonts w:ascii="Verdana" w:hAnsi="Verdana" w:cs="Arial"/>
          <w:bCs/>
          <w:lang w:val="es-MX" w:eastAsia="x-none"/>
        </w:rPr>
        <w:t>“</w:t>
      </w:r>
      <w:bookmarkEnd w:id="14"/>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9"/>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649C22CD" w14:textId="77777777" w:rsidR="004E0A38" w:rsidRPr="00F8199A" w:rsidRDefault="004E0A38" w:rsidP="004E0A38">
      <w:pPr>
        <w:spacing w:after="0" w:line="276" w:lineRule="auto"/>
        <w:ind w:firstLine="708"/>
        <w:jc w:val="both"/>
        <w:rPr>
          <w:rFonts w:ascii="Verdana" w:hAnsi="Verdana" w:cs="Arial"/>
          <w:bCs/>
          <w:lang w:val="es-MX" w:eastAsia="x-none"/>
        </w:rPr>
      </w:pPr>
    </w:p>
    <w:p w14:paraId="54EFEBDC" w14:textId="77777777" w:rsidR="004E0A38" w:rsidRPr="00A45D99" w:rsidRDefault="004E0A38" w:rsidP="004E0A38">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w:t>
      </w:r>
      <w:r w:rsidRPr="00A45D99">
        <w:rPr>
          <w:rFonts w:ascii="Verdana" w:hAnsi="Verdana" w:cs="Arial"/>
          <w:bCs/>
          <w:lang w:val="es-MX" w:eastAsia="x-none"/>
        </w:rPr>
        <w:lastRenderedPageBreak/>
        <w:t xml:space="preserve">de la Administración Pública. El Consejo de Estado, en Concepto con radicado 1727 de fecha 20 de febrero de 2006, consideró que: </w:t>
      </w:r>
    </w:p>
    <w:p w14:paraId="13384B83" w14:textId="77777777" w:rsidR="004E0A38" w:rsidRPr="00A45D99" w:rsidRDefault="004E0A38" w:rsidP="004E0A38">
      <w:pPr>
        <w:spacing w:after="0" w:line="276" w:lineRule="auto"/>
        <w:ind w:firstLine="708"/>
        <w:jc w:val="both"/>
        <w:rPr>
          <w:rFonts w:ascii="Verdana" w:hAnsi="Verdana" w:cs="Arial"/>
          <w:bCs/>
          <w:lang w:val="es-MX" w:eastAsia="x-none"/>
        </w:rPr>
      </w:pPr>
    </w:p>
    <w:p w14:paraId="71B5AC57" w14:textId="77777777" w:rsidR="004E0A38" w:rsidRPr="00A45D99" w:rsidRDefault="004E0A38" w:rsidP="004E0A38">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6"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20"/>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61A177F2" w14:textId="77777777" w:rsidR="004E0A38" w:rsidRPr="00A45D99" w:rsidRDefault="004E0A38" w:rsidP="004E0A38">
      <w:pPr>
        <w:spacing w:after="0" w:line="276" w:lineRule="auto"/>
        <w:ind w:firstLine="708"/>
        <w:jc w:val="both"/>
        <w:rPr>
          <w:rFonts w:ascii="Verdana" w:hAnsi="Verdana" w:cs="Arial"/>
          <w:bCs/>
          <w:lang w:val="es-MX" w:eastAsia="es-CO"/>
        </w:rPr>
      </w:pPr>
    </w:p>
    <w:p w14:paraId="0A835FF3" w14:textId="77777777" w:rsidR="004E0A38" w:rsidRPr="00A45D99" w:rsidRDefault="004E0A38" w:rsidP="004E0A38">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7" w:name="_Hlk75758868"/>
      <w:bookmarkStart w:id="18" w:name="_Hlk75741220"/>
      <w:r w:rsidRPr="00A45D99">
        <w:rPr>
          <w:rFonts w:ascii="Verdana" w:hAnsi="Verdana" w:cs="Arial"/>
          <w:vertAlign w:val="superscript"/>
          <w:lang w:val="es-MX"/>
        </w:rPr>
        <w:footnoteReference w:id="21"/>
      </w:r>
      <w:bookmarkEnd w:id="17"/>
      <w:bookmarkEnd w:id="18"/>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6D04A95E" w14:textId="77777777" w:rsidR="004E0A38" w:rsidRPr="00A45D99" w:rsidRDefault="004E0A38" w:rsidP="004E0A38">
      <w:pPr>
        <w:spacing w:after="0" w:line="276" w:lineRule="auto"/>
        <w:jc w:val="both"/>
        <w:rPr>
          <w:rFonts w:ascii="Verdana" w:hAnsi="Verdana" w:cs="Arial"/>
          <w:lang w:val="es-MX"/>
        </w:rPr>
      </w:pPr>
    </w:p>
    <w:p w14:paraId="66E26EE9" w14:textId="77777777" w:rsidR="004E0A38" w:rsidRPr="00A45D99" w:rsidRDefault="004E0A38" w:rsidP="004E0A38">
      <w:pPr>
        <w:spacing w:after="0" w:line="240" w:lineRule="auto"/>
        <w:ind w:left="708" w:right="709"/>
        <w:jc w:val="both"/>
        <w:rPr>
          <w:rFonts w:ascii="Verdana" w:hAnsi="Verdana" w:cs="Arial"/>
          <w:sz w:val="20"/>
          <w:szCs w:val="20"/>
          <w:lang w:val="es-MX"/>
        </w:rPr>
      </w:pPr>
      <w:bookmarkStart w:id="20" w:name="_Hlk75811446"/>
      <w:r w:rsidRPr="00A45D99">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w:t>
      </w:r>
      <w:r w:rsidRPr="00A45D99">
        <w:rPr>
          <w:rFonts w:ascii="Verdana"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bookmarkEnd w:id="20"/>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2"/>
      </w:r>
      <w:r w:rsidRPr="00A45D99">
        <w:rPr>
          <w:rFonts w:ascii="Verdana" w:hAnsi="Verdana" w:cs="Arial"/>
          <w:bCs/>
          <w:sz w:val="20"/>
          <w:szCs w:val="20"/>
          <w:lang w:val="es-MX" w:eastAsia="x-none"/>
        </w:rPr>
        <w:t>.</w:t>
      </w:r>
    </w:p>
    <w:p w14:paraId="17C5D2EA" w14:textId="77777777" w:rsidR="004E0A38" w:rsidRPr="00A45D99" w:rsidRDefault="004E0A38" w:rsidP="004E0A38">
      <w:pPr>
        <w:spacing w:after="0" w:line="276" w:lineRule="auto"/>
        <w:jc w:val="both"/>
        <w:rPr>
          <w:rFonts w:ascii="Verdana" w:hAnsi="Verdana" w:cs="Arial"/>
          <w:lang w:val="es-MX"/>
        </w:rPr>
      </w:pPr>
    </w:p>
    <w:p w14:paraId="1B390E90" w14:textId="77777777" w:rsidR="004E0A38" w:rsidRPr="00A45D99" w:rsidRDefault="004E0A38" w:rsidP="004E0A38">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1"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1"/>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3"/>
      </w:r>
      <w:r w:rsidRPr="00A45D99">
        <w:rPr>
          <w:rFonts w:ascii="Verdana" w:hAnsi="Verdana" w:cs="Arial"/>
          <w:lang w:val="es-MX"/>
        </w:rPr>
        <w:t>.</w:t>
      </w:r>
    </w:p>
    <w:bookmarkEnd w:id="16"/>
    <w:p w14:paraId="76F05C96" w14:textId="77777777" w:rsidR="004E0A38" w:rsidRDefault="004E0A38" w:rsidP="004E0A38">
      <w:pPr>
        <w:spacing w:after="0" w:line="276" w:lineRule="auto"/>
        <w:ind w:firstLine="708"/>
        <w:jc w:val="both"/>
        <w:rPr>
          <w:rFonts w:ascii="Verdana" w:hAnsi="Verdana" w:cs="Arial"/>
          <w:bCs/>
          <w:lang w:val="es-MX" w:eastAsia="x-none"/>
        </w:rPr>
      </w:pPr>
      <w:r w:rsidRPr="00A45D99">
        <w:rPr>
          <w:rFonts w:ascii="Verdana" w:hAnsi="Verdana" w:cs="Arial"/>
          <w:lang w:val="es-MX"/>
        </w:rPr>
        <w:t xml:space="preserve">Por lo tanto, la restricción prevista en la Ley 996 de 2005,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7E1CE21F" w14:textId="77777777" w:rsidR="004E0A38" w:rsidRDefault="004E0A38" w:rsidP="004E0A38">
      <w:pPr>
        <w:spacing w:after="0" w:line="276" w:lineRule="auto"/>
        <w:ind w:firstLine="708"/>
        <w:jc w:val="both"/>
        <w:rPr>
          <w:rFonts w:ascii="Verdana" w:hAnsi="Verdana" w:cs="Arial"/>
          <w:bCs/>
          <w:lang w:val="es-MX" w:eastAsia="x-none"/>
        </w:rPr>
      </w:pPr>
    </w:p>
    <w:p w14:paraId="351BB460" w14:textId="77777777" w:rsidR="004E0A38" w:rsidRPr="0004207F" w:rsidRDefault="004E0A38" w:rsidP="004E0A38">
      <w:pPr>
        <w:spacing w:after="120" w:line="276" w:lineRule="auto"/>
        <w:jc w:val="both"/>
        <w:rPr>
          <w:rFonts w:ascii="Verdana" w:hAnsi="Verdana" w:cs="Arial"/>
          <w:bCs/>
          <w:lang w:val="es-MX" w:eastAsia="x-none"/>
        </w:rPr>
      </w:pPr>
      <w:r w:rsidRPr="0004207F">
        <w:rPr>
          <w:rFonts w:ascii="Verdana" w:hAnsi="Verdana" w:cs="Arial"/>
          <w:bCs/>
          <w:lang w:val="es-MX" w:eastAsia="x-none"/>
        </w:rPr>
        <w:t xml:space="preserve">iv.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w:t>
      </w:r>
      <w:r w:rsidRPr="0004207F">
        <w:rPr>
          <w:rFonts w:ascii="Verdana" w:hAnsi="Verdana" w:cs="Arial"/>
          <w:bCs/>
          <w:lang w:val="es-MX" w:eastAsia="x-none"/>
        </w:rPr>
        <w:lastRenderedPageBreak/>
        <w:t>por su naturaleza no admiten postergaciones en la atención de sus necesidades de personal, bienes y servicios [...]”</w:t>
      </w:r>
      <w:r w:rsidRPr="0022149E">
        <w:rPr>
          <w:rFonts w:ascii="Verdana" w:hAnsi="Verdana" w:cs="Arial"/>
          <w:vertAlign w:val="superscript"/>
          <w:lang w:val="es-ES_tradnl" w:eastAsia="es-CO"/>
        </w:rPr>
        <w:footnoteReference w:id="24"/>
      </w:r>
      <w:r w:rsidRPr="0004207F">
        <w:rPr>
          <w:rFonts w:ascii="Verdana" w:hAnsi="Verdana" w:cs="Arial"/>
          <w:bCs/>
          <w:lang w:val="es-MX" w:eastAsia="x-none"/>
        </w:rPr>
        <w:t>.</w:t>
      </w:r>
    </w:p>
    <w:p w14:paraId="02E39D1F" w14:textId="77777777" w:rsidR="004E0A38" w:rsidRPr="0004207F" w:rsidRDefault="004E0A38" w:rsidP="004E0A38">
      <w:pPr>
        <w:shd w:val="clear" w:color="auto" w:fill="FFFFFF" w:themeFill="background1"/>
        <w:spacing w:after="120" w:line="276" w:lineRule="auto"/>
        <w:ind w:firstLine="709"/>
        <w:jc w:val="both"/>
        <w:rPr>
          <w:rFonts w:ascii="Verdana" w:hAnsi="Verdana" w:cs="Arial"/>
          <w:lang w:val="es-ES" w:eastAsia="es-CO"/>
        </w:rPr>
      </w:pPr>
      <w:r w:rsidRPr="70BB5D8B">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2149E">
        <w:rPr>
          <w:rFonts w:ascii="Verdana" w:hAnsi="Verdana" w:cs="Arial"/>
          <w:vertAlign w:val="superscript"/>
          <w:lang w:val="es-ES" w:eastAsia="es-CO"/>
        </w:rPr>
        <w:footnoteReference w:id="25"/>
      </w:r>
      <w:r w:rsidRPr="70BB5D8B">
        <w:rPr>
          <w:rFonts w:ascii="Verdana" w:hAnsi="Verdana" w:cs="Arial"/>
          <w:lang w:val="es-ES" w:eastAsia="es-CO"/>
        </w:rPr>
        <w:t xml:space="preserve">. </w:t>
      </w:r>
    </w:p>
    <w:p w14:paraId="710F645B" w14:textId="77777777" w:rsidR="004E0A38" w:rsidRDefault="004E0A38" w:rsidP="004E0A38">
      <w:pPr>
        <w:spacing w:after="120" w:line="276" w:lineRule="auto"/>
        <w:ind w:firstLine="708"/>
        <w:jc w:val="both"/>
        <w:rPr>
          <w:rFonts w:ascii="Verdana" w:eastAsia="Times New Roman" w:hAnsi="Verdana" w:cs="Times New Roman"/>
          <w:iCs/>
          <w:lang w:val="es-ES" w:eastAsia="es-ES"/>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7689FCCE" w14:textId="77777777" w:rsidR="004E0A38" w:rsidRDefault="004E0A38" w:rsidP="004E0A38">
      <w:pPr>
        <w:spacing w:after="120" w:line="276" w:lineRule="auto"/>
        <w:ind w:firstLine="709"/>
        <w:jc w:val="both"/>
        <w:rPr>
          <w:rFonts w:ascii="Verdana" w:eastAsia="Calibri" w:hAnsi="Verdana" w:cs="Times New Roman"/>
        </w:rPr>
      </w:pPr>
      <w:r w:rsidRPr="0022149E">
        <w:rPr>
          <w:rFonts w:ascii="Verdana" w:hAnsi="Verdana" w:cs="Arial"/>
          <w:bCs/>
          <w:lang w:val="es-ES_tradnl"/>
        </w:rPr>
        <w:t xml:space="preserve">Las excepciones a la prohibición contenida en el inciso segundo de artículo 33 de la ley de garantías electorales tienen por finalidad garantizar la prestación </w:t>
      </w:r>
      <w:r w:rsidRPr="0022149E">
        <w:rPr>
          <w:rFonts w:ascii="Verdana" w:hAnsi="Verdana" w:cs="Arial"/>
          <w:bCs/>
          <w:lang w:val="es-ES_tradnl"/>
        </w:rPr>
        <w:lastRenderedPageBreak/>
        <w:t>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r w:rsidRPr="0022149E">
        <w:rPr>
          <w:rFonts w:ascii="Verdana" w:hAnsi="Verdana" w:cs="Arial"/>
          <w:bCs/>
          <w:lang w:val="es-MX" w:eastAsia="x-none"/>
        </w:rPr>
        <w:t xml:space="preserve"> </w:t>
      </w:r>
    </w:p>
    <w:p w14:paraId="26B46472" w14:textId="77777777" w:rsidR="004E0A38" w:rsidRDefault="004E0A38" w:rsidP="004E0A38">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Bajo ese escenario, </w:t>
      </w:r>
      <w:r>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Pr>
          <w:rStyle w:val="Refdenotaalpie"/>
          <w:rFonts w:ascii="Verdana" w:eastAsia="Arial" w:hAnsi="Verdana" w:cs="Arial"/>
          <w:lang w:val="es-ES" w:eastAsia="es-ES" w:bidi="es-ES"/>
        </w:rPr>
        <w:footnoteReference w:id="26"/>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717E3BC2" w14:textId="77777777" w:rsidR="004E0A38" w:rsidRDefault="004E0A38" w:rsidP="004E0A38">
      <w:pPr>
        <w:spacing w:after="120" w:line="276" w:lineRule="auto"/>
        <w:ind w:left="709" w:right="709"/>
        <w:jc w:val="both"/>
        <w:rPr>
          <w:rFonts w:ascii="Verdana" w:eastAsia="Calibri" w:hAnsi="Verdana" w:cs="Arial"/>
          <w:sz w:val="20"/>
          <w:szCs w:val="20"/>
        </w:rPr>
      </w:pPr>
    </w:p>
    <w:p w14:paraId="12C77339" w14:textId="77777777" w:rsidR="004E0A38" w:rsidRDefault="004E0A38" w:rsidP="004E0A38">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w:t>
      </w:r>
      <w:r w:rsidRPr="002D1225">
        <w:rPr>
          <w:rFonts w:ascii="Verdana" w:eastAsia="Calibri" w:hAnsi="Verdana" w:cs="Arial"/>
          <w:sz w:val="20"/>
          <w:szCs w:val="20"/>
        </w:rPr>
        <w:lastRenderedPageBreak/>
        <w:t>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que frente a los servicios públicos domiciliarios, los usuarios tienen un derecho subjetivo a su prestación, que en veces está en conexión con los derechos fundamentales, como en el caso de los servicios del acueducto, alcantarillado, saneamiento básico, etc</w:t>
      </w:r>
      <w:r>
        <w:rPr>
          <w:rFonts w:ascii="Verdana" w:eastAsia="Calibri" w:hAnsi="Verdana" w:cs="Arial"/>
          <w:lang w:val="es-MX"/>
        </w:rPr>
        <w:t>”</w:t>
      </w:r>
      <w:r w:rsidRPr="0057193B">
        <w:rPr>
          <w:rFonts w:ascii="Verdana" w:eastAsia="Calibri" w:hAnsi="Verdana" w:cs="Arial"/>
          <w:vertAlign w:val="superscript"/>
          <w:lang w:val="es-MX"/>
        </w:rPr>
        <w:footnoteReference w:id="27"/>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89BFAFF" w14:textId="77777777" w:rsidR="004E0A38" w:rsidRDefault="004E0A38" w:rsidP="004E0A38">
      <w:pPr>
        <w:spacing w:after="0" w:line="276" w:lineRule="auto"/>
        <w:ind w:left="709" w:right="709"/>
        <w:jc w:val="both"/>
        <w:rPr>
          <w:rFonts w:ascii="Verdana" w:eastAsia="Calibri" w:hAnsi="Verdana" w:cs="Arial"/>
          <w:sz w:val="20"/>
          <w:szCs w:val="20"/>
        </w:rPr>
      </w:pPr>
    </w:p>
    <w:p w14:paraId="62F8BF55" w14:textId="77777777" w:rsidR="004E0A38" w:rsidRPr="00C15525" w:rsidRDefault="004E0A38" w:rsidP="004E0A38">
      <w:pPr>
        <w:spacing w:after="12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7BD110A5" w14:textId="77777777" w:rsidR="004E0A38" w:rsidRPr="00C15525" w:rsidRDefault="004E0A38" w:rsidP="004E0A38">
      <w:pPr>
        <w:widowControl w:val="0"/>
        <w:autoSpaceDE w:val="0"/>
        <w:autoSpaceDN w:val="0"/>
        <w:spacing w:after="0" w:line="276" w:lineRule="auto"/>
        <w:jc w:val="both"/>
        <w:rPr>
          <w:rFonts w:ascii="Verdana" w:eastAsia="Arial" w:hAnsi="Verdana" w:cs="Arial"/>
          <w:lang w:val="es-ES" w:eastAsia="es-ES" w:bidi="es-ES"/>
        </w:rPr>
      </w:pPr>
    </w:p>
    <w:p w14:paraId="1E7871F2" w14:textId="77777777" w:rsidR="004E0A38" w:rsidRPr="00C15525" w:rsidRDefault="004E0A38" w:rsidP="004E0A3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0DB808E4" w14:textId="77777777" w:rsidR="004E0A38" w:rsidRPr="00C15525" w:rsidRDefault="004E0A38" w:rsidP="004E0A38">
      <w:pPr>
        <w:widowControl w:val="0"/>
        <w:autoSpaceDE w:val="0"/>
        <w:autoSpaceDN w:val="0"/>
        <w:spacing w:after="0" w:line="240" w:lineRule="auto"/>
        <w:ind w:left="709" w:right="709"/>
        <w:jc w:val="both"/>
        <w:rPr>
          <w:rFonts w:ascii="Verdana" w:hAnsi="Verdana" w:cs="Arial"/>
          <w:sz w:val="20"/>
          <w:szCs w:val="20"/>
        </w:rPr>
      </w:pPr>
    </w:p>
    <w:p w14:paraId="6839BA3D" w14:textId="77777777" w:rsidR="004E0A38" w:rsidRPr="00C15525" w:rsidRDefault="004E0A38" w:rsidP="004E0A3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Es claro que la ley ordena que la regulación de dicha relación interadministrativa se efectúe por el mecanismo de una convención, pero también es claro que éste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09AAA4D5" w14:textId="77777777" w:rsidR="004E0A38" w:rsidRPr="00C15525" w:rsidRDefault="004E0A38" w:rsidP="004E0A38">
      <w:pPr>
        <w:widowControl w:val="0"/>
        <w:autoSpaceDE w:val="0"/>
        <w:autoSpaceDN w:val="0"/>
        <w:spacing w:after="0" w:line="240" w:lineRule="auto"/>
        <w:ind w:left="709" w:right="709"/>
        <w:jc w:val="both"/>
        <w:rPr>
          <w:rFonts w:ascii="Verdana" w:hAnsi="Verdana" w:cs="Arial"/>
          <w:sz w:val="20"/>
          <w:szCs w:val="20"/>
        </w:rPr>
      </w:pPr>
    </w:p>
    <w:p w14:paraId="72823DB7" w14:textId="77777777" w:rsidR="004E0A38" w:rsidRPr="00C15525" w:rsidRDefault="004E0A38" w:rsidP="004E0A38">
      <w:pPr>
        <w:widowControl w:val="0"/>
        <w:autoSpaceDE w:val="0"/>
        <w:autoSpaceDN w:val="0"/>
        <w:spacing w:after="0" w:line="240" w:lineRule="auto"/>
        <w:ind w:left="709" w:right="709"/>
        <w:jc w:val="both"/>
        <w:rPr>
          <w:rFonts w:ascii="Verdana" w:hAnsi="Verdana" w:cs="Arial"/>
        </w:rPr>
      </w:pPr>
      <w:bookmarkStart w:id="22" w:name="_Hlk75761737"/>
      <w:r w:rsidRPr="00C15525">
        <w:rPr>
          <w:rFonts w:ascii="Verdana" w:hAnsi="Verdana" w:cs="Arial"/>
          <w:sz w:val="20"/>
          <w:szCs w:val="20"/>
        </w:rPr>
        <w:t xml:space="preserve">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w:t>
      </w:r>
      <w:r w:rsidRPr="00C15525">
        <w:rPr>
          <w:rFonts w:ascii="Verdana" w:hAnsi="Verdana" w:cs="Arial"/>
          <w:sz w:val="20"/>
          <w:szCs w:val="20"/>
        </w:rPr>
        <w:lastRenderedPageBreak/>
        <w:t>la orden dada por el legislador</w:t>
      </w:r>
      <w:bookmarkEnd w:id="22"/>
      <w:r w:rsidRPr="00C15525">
        <w:rPr>
          <w:rFonts w:ascii="Verdana" w:hAnsi="Verdana" w:cs="Arial"/>
          <w:sz w:val="20"/>
          <w:szCs w:val="20"/>
          <w:vertAlign w:val="superscript"/>
        </w:rPr>
        <w:footnoteReference w:id="28"/>
      </w:r>
      <w:r w:rsidRPr="00C15525">
        <w:rPr>
          <w:rFonts w:ascii="Verdana" w:hAnsi="Verdana" w:cs="Arial"/>
          <w:sz w:val="20"/>
          <w:szCs w:val="20"/>
        </w:rPr>
        <w:t xml:space="preserve">. </w:t>
      </w:r>
    </w:p>
    <w:p w14:paraId="09869A7B" w14:textId="77777777" w:rsidR="004E0A38" w:rsidRPr="00C15525" w:rsidRDefault="004E0A38" w:rsidP="004E0A38">
      <w:pPr>
        <w:widowControl w:val="0"/>
        <w:autoSpaceDE w:val="0"/>
        <w:autoSpaceDN w:val="0"/>
        <w:spacing w:after="0" w:line="276" w:lineRule="auto"/>
        <w:jc w:val="both"/>
        <w:rPr>
          <w:rFonts w:ascii="Verdana" w:eastAsia="Arial" w:hAnsi="Verdana" w:cs="Arial"/>
          <w:lang w:val="es-ES" w:eastAsia="es-ES" w:bidi="es-ES"/>
        </w:rPr>
      </w:pPr>
    </w:p>
    <w:p w14:paraId="0BE1240C" w14:textId="77777777" w:rsidR="004E0A38" w:rsidRPr="000E03E2" w:rsidRDefault="004E0A38" w:rsidP="004E0A38">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57309F26" w14:textId="77777777" w:rsidR="004E0A38" w:rsidRPr="006177F8" w:rsidRDefault="004E0A38" w:rsidP="004E0A38">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7F5656E2" w14:textId="77777777" w:rsidR="004E0A38" w:rsidRPr="006177F8" w:rsidRDefault="004E0A38" w:rsidP="004E0A38">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se ha pronunciado en el sentido de que 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6177F8">
        <w:rPr>
          <w:rFonts w:ascii="Verdana" w:eastAsia="Arial" w:hAnsi="Verdana" w:cs="Arial"/>
          <w:vertAlign w:val="superscript"/>
          <w:lang w:val="es-ES" w:eastAsia="es-ES" w:bidi="es-ES"/>
        </w:rPr>
        <w:footnoteReference w:id="29"/>
      </w:r>
      <w:r w:rsidRPr="006177F8">
        <w:rPr>
          <w:rFonts w:ascii="Verdana" w:eastAsia="Arial" w:hAnsi="Verdana" w:cs="Arial"/>
          <w:lang w:val="es-ES" w:eastAsia="es-ES" w:bidi="es-ES"/>
        </w:rPr>
        <w:t>. Al respecto, dicho Concepto expresa:</w:t>
      </w:r>
    </w:p>
    <w:p w14:paraId="2E501364" w14:textId="77777777" w:rsidR="004E0A38" w:rsidRPr="006177F8" w:rsidRDefault="004E0A38" w:rsidP="004E0A38">
      <w:pPr>
        <w:spacing w:after="0" w:line="276" w:lineRule="auto"/>
        <w:ind w:firstLine="709"/>
        <w:jc w:val="both"/>
        <w:rPr>
          <w:rFonts w:ascii="Verdana" w:eastAsia="Arial" w:hAnsi="Verdana" w:cs="Arial"/>
          <w:lang w:val="es-ES" w:eastAsia="es-ES" w:bidi="es-ES"/>
        </w:rPr>
      </w:pPr>
    </w:p>
    <w:p w14:paraId="51049D66" w14:textId="77777777" w:rsidR="004E0A38" w:rsidRPr="006177F8" w:rsidRDefault="004E0A38" w:rsidP="004E0A38">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lastRenderedPageBreak/>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39172321" w14:textId="77777777" w:rsidR="004E0A38" w:rsidRPr="006177F8" w:rsidRDefault="004E0A38" w:rsidP="004E0A3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47AB70FF" w14:textId="77777777" w:rsidR="004E0A38" w:rsidRPr="006177F8" w:rsidRDefault="004E0A38" w:rsidP="004E0A3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171AAF78" w14:textId="77777777" w:rsidR="004E0A38" w:rsidRPr="006177F8" w:rsidRDefault="004E0A38" w:rsidP="004E0A3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75CA5759" w14:textId="77777777" w:rsidR="004E0A38" w:rsidRPr="006177F8" w:rsidRDefault="004E0A38" w:rsidP="004E0A38">
      <w:pPr>
        <w:spacing w:after="120" w:line="240" w:lineRule="auto"/>
        <w:ind w:firstLine="709"/>
        <w:jc w:val="both"/>
        <w:rPr>
          <w:rFonts w:ascii="Verdana" w:eastAsia="Arial" w:hAnsi="Verdana" w:cs="Arial"/>
          <w:lang w:eastAsia="es-ES" w:bidi="es-ES"/>
        </w:rPr>
      </w:pPr>
    </w:p>
    <w:p w14:paraId="6E85D97B" w14:textId="77777777" w:rsidR="004E0A38" w:rsidRDefault="004E0A38" w:rsidP="004E0A38">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 xml:space="preserve">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w:t>
      </w:r>
      <w:r w:rsidRPr="006177F8">
        <w:rPr>
          <w:rFonts w:ascii="Verdana" w:hAnsi="Verdana" w:cs="Arial"/>
          <w:lang w:val="es-ES"/>
        </w:rPr>
        <w:lastRenderedPageBreak/>
        <w:t>de garantizar la efectividad de las decisiones judiciales y la protección de los derechos fundamentales.</w:t>
      </w:r>
    </w:p>
    <w:p w14:paraId="1C434F5B" w14:textId="77777777" w:rsidR="004E0A38" w:rsidRPr="00C3378E" w:rsidRDefault="004E0A38" w:rsidP="004E0A38">
      <w:pPr>
        <w:spacing w:before="120" w:after="0" w:line="276" w:lineRule="auto"/>
        <w:jc w:val="both"/>
        <w:rPr>
          <w:rFonts w:ascii="Verdana" w:eastAsia="Times New Roman" w:hAnsi="Verdana" w:cs="Arial"/>
          <w:bCs/>
          <w:lang w:val="es-MX" w:eastAsia="es-CO"/>
        </w:rPr>
      </w:pPr>
      <w:r>
        <w:rPr>
          <w:rFonts w:ascii="Verdana" w:eastAsia="Times New Roman" w:hAnsi="Verdana" w:cs="Arial"/>
          <w:bCs/>
          <w:lang w:val="es-ES" w:eastAsia="es-CO"/>
        </w:rPr>
        <w:tab/>
        <w:t xml:space="preserve">Se reitera </w:t>
      </w:r>
      <w:r w:rsidRPr="00C3378E">
        <w:rPr>
          <w:rFonts w:ascii="Verdana" w:eastAsia="Times New Roman" w:hAnsi="Verdana" w:cs="Arial"/>
          <w:bCs/>
          <w:lang w:val="es-MX" w:eastAsia="es-CO"/>
        </w:rPr>
        <w:t>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C3378E">
        <w:rPr>
          <w:rFonts w:ascii="Verdana" w:eastAsia="Times New Roman" w:hAnsi="Verdana" w:cs="Arial"/>
          <w:bCs/>
          <w:vertAlign w:val="superscript"/>
          <w:lang w:val="es-MX" w:eastAsia="es-CO"/>
        </w:rPr>
        <w:footnoteReference w:id="30"/>
      </w:r>
      <w:r w:rsidRPr="00C3378E">
        <w:rPr>
          <w:rFonts w:ascii="Verdana" w:eastAsia="Times New Roman" w:hAnsi="Verdana" w:cs="Arial"/>
          <w:bCs/>
          <w:lang w:val="es-MX" w:eastAsia="es-CO"/>
        </w:rPr>
        <w:t>. Además, también es posible que contratos celebrados previamente se continúen ejecutando con normalidad.</w:t>
      </w:r>
    </w:p>
    <w:p w14:paraId="0644C969" w14:textId="6CEF05D5" w:rsidR="004E0A38" w:rsidRPr="0022149E" w:rsidRDefault="004E0A38" w:rsidP="00C30D0A">
      <w:pPr>
        <w:shd w:val="clear" w:color="auto" w:fill="FFFFFF"/>
        <w:spacing w:after="0" w:line="276" w:lineRule="auto"/>
        <w:jc w:val="both"/>
        <w:rPr>
          <w:rFonts w:ascii="Verdana" w:eastAsia="Times New Roman" w:hAnsi="Verdana" w:cs="Arial"/>
          <w:lang w:val="es-ES" w:eastAsia="es-MX"/>
        </w:rPr>
      </w:pPr>
    </w:p>
    <w:p w14:paraId="17EF77B2" w14:textId="77777777" w:rsidR="004E0A38" w:rsidRPr="00BB46CC" w:rsidRDefault="004E0A38" w:rsidP="004E0A38">
      <w:pPr>
        <w:spacing w:after="120" w:line="276" w:lineRule="auto"/>
        <w:jc w:val="both"/>
        <w:rPr>
          <w:rFonts w:ascii="Verdana" w:eastAsia="Calibri" w:hAnsi="Verdana"/>
          <w:color w:val="000000" w:themeColor="text1"/>
        </w:rPr>
      </w:pPr>
      <w:r w:rsidRPr="0022149E">
        <w:rPr>
          <w:rFonts w:ascii="Verdana" w:eastAsia="Times New Roman" w:hAnsi="Verdana" w:cs="Arial"/>
          <w:lang w:val="es-ES" w:eastAsia="es-MX"/>
        </w:rPr>
        <w:t>vi.</w:t>
      </w:r>
      <w:r>
        <w:rPr>
          <w:rFonts w:ascii="Verdana" w:eastAsia="Times New Roman" w:hAnsi="Verdana" w:cs="Arial"/>
          <w:lang w:val="es-ES" w:eastAsia="es-MX"/>
        </w:rPr>
        <w:t xml:space="preserve"> </w:t>
      </w:r>
      <w:r w:rsidRPr="00DA60DB">
        <w:rPr>
          <w:rFonts w:ascii="Verdana" w:eastAsia="Calibri" w:hAnsi="Verdana"/>
          <w:bCs/>
          <w:color w:val="000000" w:themeColor="text1"/>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DA60DB">
        <w:rPr>
          <w:rFonts w:ascii="Verdana" w:eastAsia="Calibri" w:hAnsi="Verdana"/>
          <w:bCs/>
          <w:color w:val="000000" w:themeColor="text1"/>
          <w:vertAlign w:val="superscript"/>
        </w:rPr>
        <w:footnoteReference w:id="31"/>
      </w:r>
      <w:r w:rsidRPr="00DA60DB">
        <w:rPr>
          <w:rFonts w:ascii="Verdana" w:eastAsia="Calibri" w:hAnsi="Verdana"/>
          <w:bCs/>
          <w:color w:val="000000" w:themeColor="text1"/>
        </w:rPr>
        <w:t>. Por tanto, se diferencia del contrato de compraventa en que no opera una transferencia del dominio del bien cuyo uso y goce se entrega.</w:t>
      </w:r>
    </w:p>
    <w:p w14:paraId="58CFA421" w14:textId="77777777" w:rsidR="004E0A38" w:rsidRPr="00DA60DB" w:rsidRDefault="004E0A38" w:rsidP="004E0A38">
      <w:pPr>
        <w:spacing w:after="120" w:line="276" w:lineRule="auto"/>
        <w:ind w:firstLine="708"/>
        <w:jc w:val="both"/>
        <w:rPr>
          <w:rFonts w:ascii="Verdana" w:eastAsia="Calibri" w:hAnsi="Verdana"/>
          <w:bCs/>
          <w:color w:val="000000" w:themeColor="text1"/>
          <w:lang w:val="es-ES"/>
        </w:rPr>
      </w:pPr>
      <w:r w:rsidRPr="00DA60DB">
        <w:rPr>
          <w:rFonts w:ascii="Verdana" w:eastAsia="Calibri" w:hAnsi="Verdana"/>
          <w:bCs/>
          <w:color w:val="000000" w:themeColor="text1"/>
          <w:lang w:val="es-ES"/>
        </w:rPr>
        <w:t xml:space="preserve">En </w:t>
      </w:r>
      <w:r w:rsidRPr="00DA60DB">
        <w:rPr>
          <w:rFonts w:ascii="Verdana" w:eastAsia="Calibri" w:hAnsi="Verdana"/>
          <w:color w:val="000000" w:themeColor="text1"/>
          <w:lang w:val="es-ES"/>
        </w:rPr>
        <w:t>cuanto</w:t>
      </w:r>
      <w:r w:rsidRPr="00DA60DB">
        <w:rPr>
          <w:rFonts w:ascii="Verdana" w:eastAsia="Calibri" w:hAnsi="Verdana"/>
          <w:bCs/>
          <w:color w:val="000000" w:themeColor="text1"/>
          <w:lang w:val="es-ES"/>
        </w:rPr>
        <w:t xml:space="preserve"> a sus características, la doctrina ha indicado que el arrendamiento es un contrato: i) bilateral, pues ambas partes se obligan recíprocamente; ii) consensual, dado que se perfecciona con el consentimiento</w:t>
      </w:r>
      <w:r w:rsidRPr="00DA60DB">
        <w:rPr>
          <w:rFonts w:ascii="Verdana" w:eastAsia="Calibri" w:hAnsi="Verdana"/>
          <w:bCs/>
          <w:color w:val="000000" w:themeColor="text1"/>
          <w:vertAlign w:val="superscript"/>
          <w:lang w:val="es-ES"/>
        </w:rPr>
        <w:footnoteReference w:id="32"/>
      </w:r>
      <w:r w:rsidRPr="00DA60DB">
        <w:rPr>
          <w:rFonts w:ascii="Verdana" w:eastAsia="Calibri" w:hAnsi="Verdana"/>
          <w:bCs/>
          <w:color w:val="000000" w:themeColor="text1"/>
          <w:lang w:val="es-ES"/>
        </w:rPr>
        <w:t xml:space="preserve">; iii) oneroso, ya que ambas partes obtienen utilidades –el arrendatario, el uso y goce del bien, y el arrendador la renta o canon–; iv) de ejecución sucesiva, en la medida en que se ejecuta en forma periódica; v) </w:t>
      </w:r>
      <w:r w:rsidRPr="00DA60DB">
        <w:rPr>
          <w:rFonts w:ascii="Verdana" w:eastAsia="Calibri" w:hAnsi="Verdana"/>
          <w:bCs/>
          <w:color w:val="000000" w:themeColor="text1"/>
          <w:lang w:val="es-ES"/>
        </w:rPr>
        <w:lastRenderedPageBreak/>
        <w:t>principal, porque existe en forma autónoma; y v) nominado, porque está tipificado y desarrollado en la ley</w:t>
      </w:r>
      <w:r w:rsidRPr="00DA60DB">
        <w:rPr>
          <w:rFonts w:ascii="Verdana" w:eastAsia="Calibri" w:hAnsi="Verdana"/>
          <w:bCs/>
          <w:color w:val="000000" w:themeColor="text1"/>
          <w:vertAlign w:val="superscript"/>
          <w:lang w:val="es-ES"/>
        </w:rPr>
        <w:footnoteReference w:id="33"/>
      </w:r>
      <w:r w:rsidRPr="00DA60DB">
        <w:rPr>
          <w:rFonts w:ascii="Verdana" w:eastAsia="Calibri" w:hAnsi="Verdana"/>
          <w:bCs/>
          <w:color w:val="000000" w:themeColor="text1"/>
          <w:lang w:val="es-ES"/>
        </w:rPr>
        <w:t xml:space="preserve">. </w:t>
      </w:r>
    </w:p>
    <w:p w14:paraId="30D8763B" w14:textId="77777777" w:rsidR="004E0A38" w:rsidRPr="00BB46CC" w:rsidRDefault="004E0A38" w:rsidP="004E0A38">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w:t>
      </w:r>
      <w:r>
        <w:rPr>
          <w:rFonts w:ascii="Verdana" w:eastAsia="Calibri" w:hAnsi="Verdana"/>
          <w:color w:val="000000" w:themeColor="text1"/>
        </w:rPr>
        <w:t>torno</w:t>
      </w:r>
      <w:r w:rsidRPr="00BB46CC">
        <w:rPr>
          <w:rFonts w:ascii="Verdana" w:eastAsia="Calibri" w:hAnsi="Verdana"/>
          <w:color w:val="000000" w:themeColor="text1"/>
        </w:rPr>
        <w:t xml:space="preserve"> a su regulación, son, principalmente, los artículos 1973 al 2078 del Código Civil los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w:t>
      </w:r>
      <w:r>
        <w:rPr>
          <w:rFonts w:ascii="Verdana" w:eastAsia="Calibri" w:hAnsi="Verdana"/>
          <w:color w:val="000000" w:themeColor="text1"/>
        </w:rPr>
        <w:t>“</w:t>
      </w:r>
      <w:r w:rsidRPr="00E21DBA">
        <w:rPr>
          <w:rFonts w:ascii="Verdana" w:eastAsia="Calibri" w:hAnsi="Verdana"/>
          <w:color w:val="000000" w:themeColor="text1"/>
        </w:rPr>
        <w:t>Por la cual se expide el régimen de arrendamiento de vivienda urbana y se dictan otras disposiciones</w:t>
      </w:r>
      <w:r>
        <w:rPr>
          <w:rFonts w:ascii="Verdana" w:eastAsia="Calibri" w:hAnsi="Verdana"/>
          <w:color w:val="000000" w:themeColor="text1"/>
        </w:rPr>
        <w:t>”</w:t>
      </w:r>
      <w:r w:rsidRPr="00BB46CC">
        <w:rPr>
          <w:rFonts w:ascii="Verdana" w:eastAsia="Calibri" w:hAnsi="Verdana"/>
          <w:color w:val="000000" w:themeColor="text1"/>
        </w:rPr>
        <w:t>.</w:t>
      </w:r>
    </w:p>
    <w:p w14:paraId="7B3C9304" w14:textId="77777777" w:rsidR="004E0A38" w:rsidRDefault="004E0A38" w:rsidP="004E0A38">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5DE0FBA2" w14:textId="77777777" w:rsidR="004E0A38" w:rsidRDefault="004E0A38" w:rsidP="004E0A38">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contrate,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En ambos supuestos la entidad estatal </w:t>
      </w:r>
      <w:r>
        <w:rPr>
          <w:rFonts w:ascii="Verdana" w:eastAsia="Calibri" w:hAnsi="Verdana"/>
          <w:color w:val="000000" w:themeColor="text1"/>
        </w:rPr>
        <w:t xml:space="preserve">–arrendadora o arrendataria- </w:t>
      </w:r>
      <w:r w:rsidRPr="00BB46CC">
        <w:rPr>
          <w:rFonts w:ascii="Verdana" w:eastAsia="Calibri" w:hAnsi="Verdana"/>
          <w:color w:val="000000" w:themeColor="text1"/>
        </w:rPr>
        <w:t>también debe aplicar las normas civiles y comerciales que regulan la sustantividad del contrato de arrendamiento, porque a estas se remiten los artículos 13, 32 y 40 de la Ley 80 de 1993.</w:t>
      </w:r>
      <w:r>
        <w:rPr>
          <w:rFonts w:ascii="Verdana" w:eastAsia="Calibri" w:hAnsi="Verdana"/>
          <w:color w:val="000000" w:themeColor="text1"/>
        </w:rPr>
        <w:t xml:space="preserve"> </w:t>
      </w:r>
      <w:r w:rsidRPr="00BB46CC">
        <w:rPr>
          <w:rFonts w:ascii="Verdana" w:eastAsia="Calibri" w:hAnsi="Verdana"/>
          <w:color w:val="000000" w:themeColor="text1"/>
        </w:rPr>
        <w:t>Por otro lado, La Ley 80 de 1993, en el texto original del artículo 41, estableció que los requisitos para perfeccionar el contrato eran: i) llegar a un acuerdo sobre el objeto y la contraprestación y ii) que conste por escrito. Por su parte, para iniciar la ejecución se requería: i) la constitución y aprobación de la garantía y ii) la existencia del registro presupuestal.</w:t>
      </w:r>
    </w:p>
    <w:p w14:paraId="1B22675F" w14:textId="77777777" w:rsidR="004E0A38" w:rsidRPr="005C008F" w:rsidRDefault="004E0A38" w:rsidP="004E0A38">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rPr>
        <w:lastRenderedPageBreak/>
        <w:t>Teniendo en cuenta lo expuesto anteriormente, c</w:t>
      </w:r>
      <w:r w:rsidRPr="005C008F">
        <w:rPr>
          <w:rFonts w:ascii="Verdana" w:eastAsia="Calibri" w:hAnsi="Verdana"/>
          <w:color w:val="000000" w:themeColor="text1"/>
        </w:rPr>
        <w:t>uando una entidad estatal actúa como arrendadora de un bien inmueble, no requiere disponibilidad presupuestal ni registro o compromiso presupuestal, dado que el pago corresponde al arrendatario, quien generalmente es un particular. La excepción se presenta cuando el arrendatario es otra entidad pública, en cuyo caso sí debe contar con la respectiva disponibilidad y compromiso presupuestal para cumplir con la obligación de pago.</w:t>
      </w:r>
    </w:p>
    <w:p w14:paraId="11E4621C" w14:textId="77777777" w:rsidR="004E0A38" w:rsidRPr="00BB46CC" w:rsidRDefault="004E0A38" w:rsidP="004E0A38">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ii) el pago de un precio por el uso o goce del bien arrendado. </w:t>
      </w:r>
    </w:p>
    <w:p w14:paraId="0194814D" w14:textId="77777777" w:rsidR="004E0A38" w:rsidRDefault="004E0A38" w:rsidP="004E0A38">
      <w:pPr>
        <w:spacing w:after="120" w:line="276" w:lineRule="auto"/>
        <w:ind w:firstLine="708"/>
        <w:jc w:val="both"/>
        <w:rPr>
          <w:rFonts w:ascii="Verdana" w:eastAsiaTheme="minorEastAsia" w:hAnsi="Verdana" w:cs="Arial"/>
          <w:bCs/>
          <w:lang w:val="es-MX" w:eastAsia="es-CO"/>
        </w:rPr>
      </w:pPr>
      <w:r>
        <w:rPr>
          <w:rFonts w:ascii="Verdana" w:eastAsia="Calibri" w:hAnsi="Verdana"/>
          <w:color w:val="000000" w:themeColor="text1"/>
        </w:rPr>
        <w:t xml:space="preserve">Bajo esta lógica, no es posible que la entidad estatal en calidad de arrendadora o de arrendataria de un bien inmueble pueda suscribir un contrato de arrendamiento, pues se encuentra dentro de la restricción del artículo 33 </w:t>
      </w:r>
      <w:r>
        <w:rPr>
          <w:rFonts w:ascii="Verdana" w:eastAsiaTheme="minorEastAsia" w:hAnsi="Verdana" w:cs="Arial"/>
          <w:lang w:eastAsia="es-CO"/>
        </w:rPr>
        <w:t xml:space="preserve">de la Ley 996 de 2005, la cual </w:t>
      </w:r>
      <w:r w:rsidRPr="004C1120">
        <w:rPr>
          <w:rFonts w:ascii="Verdana" w:eastAsiaTheme="minorEastAsia" w:hAnsi="Verdana" w:cs="Arial"/>
          <w:bCs/>
          <w:lang w:val="es-MX" w:eastAsia="es-CO"/>
        </w:rPr>
        <w:t xml:space="preserve">prohíbe adelantar cualquier </w:t>
      </w:r>
      <w:r>
        <w:rPr>
          <w:rFonts w:ascii="Verdana" w:eastAsiaTheme="minorEastAsia" w:hAnsi="Verdana" w:cs="Arial"/>
          <w:bCs/>
          <w:lang w:val="es-MX" w:eastAsia="es-CO"/>
        </w:rPr>
        <w:t xml:space="preserve">forma </w:t>
      </w:r>
      <w:r w:rsidRPr="004C1120">
        <w:rPr>
          <w:rFonts w:ascii="Verdana" w:eastAsiaTheme="minorEastAsia" w:hAnsi="Verdana" w:cs="Arial"/>
          <w:bCs/>
          <w:lang w:val="es-MX" w:eastAsia="es-CO"/>
        </w:rPr>
        <w:t xml:space="preserve">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 xml:space="preserve">celebrar </w:t>
      </w:r>
      <w:r>
        <w:rPr>
          <w:rFonts w:ascii="Verdana" w:eastAsiaTheme="minorEastAsia" w:hAnsi="Verdana" w:cs="Arial"/>
          <w:bCs/>
          <w:lang w:val="es-MX" w:eastAsia="es-CO"/>
        </w:rPr>
        <w:t xml:space="preserve">contratos de arrendamiento de bienes inmuebles </w:t>
      </w:r>
      <w:r w:rsidRPr="004C1120">
        <w:rPr>
          <w:rFonts w:ascii="Verdana" w:eastAsiaTheme="minorEastAsia" w:hAnsi="Verdana" w:cs="Arial"/>
          <w:bCs/>
          <w:lang w:val="es-MX" w:eastAsia="es-CO"/>
        </w:rPr>
        <w:t>de forma directa,</w:t>
      </w:r>
      <w:r>
        <w:rPr>
          <w:rFonts w:ascii="Verdana" w:eastAsiaTheme="minorEastAsia" w:hAnsi="Verdana" w:cs="Arial"/>
          <w:bCs/>
          <w:lang w:val="es-MX" w:eastAsia="es-CO"/>
        </w:rPr>
        <w:t xml:space="preserve"> ya sea en calidad de arrendadora</w:t>
      </w:r>
      <w:r w:rsidRPr="0022149E">
        <w:rPr>
          <w:rFonts w:ascii="Verdana" w:eastAsiaTheme="minorEastAsia" w:hAnsi="Verdana" w:cs="Arial"/>
          <w:bCs/>
          <w:vertAlign w:val="superscript"/>
          <w:lang w:val="es-MX" w:eastAsia="es-CO"/>
        </w:rPr>
        <w:footnoteReference w:id="34"/>
      </w:r>
      <w:r>
        <w:rPr>
          <w:rFonts w:ascii="Verdana" w:eastAsiaTheme="minorEastAsia" w:hAnsi="Verdana" w:cs="Arial"/>
          <w:bCs/>
          <w:lang w:val="es-MX" w:eastAsia="es-CO"/>
        </w:rPr>
        <w:t xml:space="preserve"> o de arrendataria, conforme a la causal de contratación </w:t>
      </w:r>
      <w:r>
        <w:rPr>
          <w:rFonts w:ascii="Verdana" w:eastAsiaTheme="minorEastAsia" w:hAnsi="Verdana" w:cs="Arial"/>
          <w:bCs/>
          <w:lang w:val="es-MX" w:eastAsia="es-CO"/>
        </w:rPr>
        <w:lastRenderedPageBreak/>
        <w:t xml:space="preserve">directa </w:t>
      </w:r>
      <w:r>
        <w:rPr>
          <w:rFonts w:ascii="Verdana" w:eastAsiaTheme="minorEastAsia" w:hAnsi="Verdana" w:cs="Arial"/>
          <w:bCs/>
          <w:lang w:eastAsia="es-CO"/>
        </w:rPr>
        <w:t>de</w:t>
      </w:r>
      <w:r w:rsidRPr="00F45DD2">
        <w:rPr>
          <w:rFonts w:ascii="Verdana" w:eastAsiaTheme="minorEastAsia" w:hAnsi="Verdana" w:cs="Arial"/>
          <w:bCs/>
          <w:lang w:eastAsia="es-CO"/>
        </w:rPr>
        <w:t>l artículo 2º, numeral 4° literal i) de la Ley 1150 de 2007</w:t>
      </w:r>
      <w:r>
        <w:rPr>
          <w:rFonts w:ascii="Verdana" w:eastAsiaTheme="minorEastAsia" w:hAnsi="Verdana" w:cs="Arial"/>
          <w:bCs/>
          <w:lang w:eastAsia="es-CO"/>
        </w:rPr>
        <w:t>.</w:t>
      </w:r>
      <w:r>
        <w:rPr>
          <w:rFonts w:ascii="Verdana" w:eastAsiaTheme="minorEastAsia" w:hAnsi="Verdana" w:cs="Arial"/>
          <w:bCs/>
          <w:lang w:val="es-MX" w:eastAsia="es-CO"/>
        </w:rPr>
        <w:t xml:space="preserve"> E</w:t>
      </w:r>
      <w:r w:rsidRPr="004C1120">
        <w:rPr>
          <w:rFonts w:ascii="Verdana" w:eastAsiaTheme="minorEastAsia" w:hAnsi="Verdana" w:cs="Arial"/>
          <w:bCs/>
          <w:lang w:val="es-MX" w:eastAsia="es-CO"/>
        </w:rPr>
        <w:t xml:space="preserv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39311222" w14:textId="77777777" w:rsidR="004E0A38" w:rsidRPr="004E0592" w:rsidRDefault="004E0A38" w:rsidP="004E0A38">
      <w:pPr>
        <w:spacing w:after="120" w:line="276" w:lineRule="auto"/>
        <w:ind w:firstLine="708"/>
        <w:jc w:val="both"/>
        <w:rPr>
          <w:rFonts w:ascii="Verdana" w:eastAsia="Times New Roman" w:hAnsi="Verdana" w:cs="Times New Roman"/>
          <w:iCs/>
          <w:lang w:val="es-ES" w:eastAsia="es-ES"/>
        </w:rPr>
      </w:pPr>
      <w:r w:rsidRPr="00BF6124">
        <w:rPr>
          <w:rFonts w:ascii="Verdana" w:eastAsiaTheme="minorEastAsia" w:hAnsi="Verdana" w:cs="Arial"/>
          <w:bCs/>
          <w:lang w:val="es-MX" w:eastAsia="es-CO"/>
        </w:rPr>
        <w:t>Sin</w:t>
      </w:r>
      <w:r>
        <w:rPr>
          <w:rFonts w:ascii="Verdana" w:eastAsiaTheme="minorEastAsia" w:hAnsi="Verdana" w:cs="Arial"/>
          <w:bCs/>
          <w:lang w:val="es-MX" w:eastAsia="es-CO"/>
        </w:rPr>
        <w:t xml:space="preserve"> embargo, la uso de la “contratación directa”</w:t>
      </w:r>
      <w:r w:rsidRPr="00BF6124">
        <w:rPr>
          <w:rFonts w:ascii="Verdana" w:eastAsiaTheme="minorEastAsia" w:hAnsi="Verdana" w:cs="Arial"/>
          <w:bCs/>
          <w:lang w:val="es-MX" w:eastAsia="es-CO"/>
        </w:rPr>
        <w:t xml:space="preserve"> no se encuentra absolutamente proscri</w:t>
      </w:r>
      <w:r>
        <w:rPr>
          <w:rFonts w:ascii="Verdana" w:eastAsiaTheme="minorEastAsia" w:hAnsi="Verdana" w:cs="Arial"/>
          <w:bCs/>
          <w:lang w:val="es-MX" w:eastAsia="es-CO"/>
        </w:rPr>
        <w:t xml:space="preserve">ta, en la medida en que se contemplan </w:t>
      </w:r>
      <w:r w:rsidRPr="00BF6124">
        <w:rPr>
          <w:rFonts w:ascii="Verdana" w:eastAsiaTheme="minorEastAsia" w:hAnsi="Verdana" w:cs="Arial"/>
          <w:bCs/>
          <w:lang w:val="es-MX" w:eastAsia="es-CO"/>
        </w:rPr>
        <w:t>excepciones expresamente consagradas en el artículo 33 de la Ley 996 de 2005, las cuales constituyen un marco taxativo que habilita su procedencia en supuestos específicos. En este sentido, la Agencia ha desarrollado doctrina sobre cada una de dichas</w:t>
      </w:r>
      <w:r w:rsidRPr="0022149E">
        <w:rPr>
          <w:rFonts w:ascii="Verdana" w:eastAsiaTheme="minorEastAsia" w:hAnsi="Verdana" w:cs="Arial"/>
          <w:bCs/>
          <w:lang w:val="es-MX" w:eastAsia="es-CO"/>
        </w:rPr>
        <w:t xml:space="preserve"> hipótesis excepcionales, entre </w:t>
      </w:r>
      <w:r w:rsidRPr="00BF6124">
        <w:rPr>
          <w:rFonts w:ascii="Verdana" w:eastAsiaTheme="minorEastAsia" w:hAnsi="Verdana" w:cs="Arial"/>
          <w:bCs/>
          <w:lang w:val="es-MX" w:eastAsia="es-CO"/>
        </w:rPr>
        <w:t>las que se destacan: i)</w:t>
      </w:r>
      <w:r w:rsidRPr="0022149E">
        <w:rPr>
          <w:rFonts w:ascii="Verdana" w:eastAsiaTheme="minorEastAsia" w:hAnsi="Verdana" w:cs="Arial"/>
          <w:bCs/>
          <w:lang w:val="es-MX" w:eastAsia="es-CO"/>
        </w:rPr>
        <w:t xml:space="preserve"> los contratos relacionados con la defensa y seguridad del Estado, </w:t>
      </w:r>
      <w:r w:rsidRPr="00BF6124">
        <w:rPr>
          <w:rFonts w:ascii="Verdana" w:eastAsiaTheme="minorEastAsia" w:hAnsi="Verdana" w:cs="Arial"/>
          <w:bCs/>
          <w:lang w:val="es-MX" w:eastAsia="es-CO"/>
        </w:rPr>
        <w:t>analizados en el Concepto 322 de 2026; ii) los contratos</w:t>
      </w:r>
      <w:r w:rsidRPr="0022149E">
        <w:rPr>
          <w:rFonts w:ascii="Verdana" w:eastAsiaTheme="minorEastAsia" w:hAnsi="Verdana" w:cs="Arial"/>
          <w:bCs/>
          <w:lang w:val="es-MX" w:eastAsia="es-CO"/>
        </w:rPr>
        <w:t xml:space="preserve"> de crédito público, </w:t>
      </w:r>
      <w:r w:rsidRPr="00BF6124">
        <w:rPr>
          <w:rFonts w:ascii="Verdana" w:eastAsiaTheme="minorEastAsia" w:hAnsi="Verdana" w:cs="Arial"/>
          <w:bCs/>
          <w:lang w:val="es-MX" w:eastAsia="es-CO"/>
        </w:rPr>
        <w:t>abordados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109 de 2022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 xml:space="preserve">413 de 2022; iii) los contratos </w:t>
      </w:r>
      <w:r w:rsidRPr="0022149E">
        <w:rPr>
          <w:rFonts w:ascii="Verdana" w:eastAsiaTheme="minorEastAsia" w:hAnsi="Verdana" w:cs="Arial"/>
          <w:bCs/>
          <w:lang w:val="es-MX" w:eastAsia="es-CO"/>
        </w:rPr>
        <w:t xml:space="preserve">necesarios para atender emergencias educativas, sanitarias o desastres, </w:t>
      </w:r>
      <w:r w:rsidRPr="00BF6124">
        <w:rPr>
          <w:rFonts w:ascii="Verdana" w:eastAsiaTheme="minorEastAsia" w:hAnsi="Verdana" w:cs="Arial"/>
          <w:bCs/>
          <w:lang w:val="es-MX" w:eastAsia="es-CO"/>
        </w:rPr>
        <w:t>tratados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118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176 de 2026; iv) los contratos</w:t>
      </w:r>
      <w:r w:rsidRPr="0022149E">
        <w:rPr>
          <w:rFonts w:ascii="Verdana" w:eastAsiaTheme="minorEastAsia" w:hAnsi="Verdana" w:cs="Arial"/>
          <w:bCs/>
          <w:lang w:val="es-MX" w:eastAsia="es-CO"/>
        </w:rPr>
        <w:t xml:space="preserve"> destinados a la reconstrucci</w:t>
      </w:r>
      <w:r w:rsidRPr="00BF6124">
        <w:rPr>
          <w:rFonts w:ascii="Verdana" w:eastAsiaTheme="minorEastAsia" w:hAnsi="Verdana" w:cs="Verdana"/>
          <w:lang w:val="es-MX" w:eastAsia="es-CO"/>
        </w:rPr>
        <w:t>ó</w:t>
      </w:r>
      <w:r w:rsidRPr="0022149E">
        <w:rPr>
          <w:rFonts w:ascii="Verdana" w:eastAsiaTheme="minorEastAsia" w:hAnsi="Verdana" w:cs="Arial"/>
          <w:bCs/>
          <w:lang w:val="es-MX" w:eastAsia="es-CO"/>
        </w:rPr>
        <w:t>n de infraestructura vial, energética y de comunicaciones afectada por atentados, acciones terroristas, desastres naturales o fuerza mayor</w:t>
      </w:r>
      <w:r w:rsidRPr="00BF6124">
        <w:rPr>
          <w:rFonts w:ascii="Verdana" w:eastAsiaTheme="minorEastAsia" w:hAnsi="Verdana" w:cs="Arial"/>
          <w:bCs/>
          <w:lang w:val="es-MX" w:eastAsia="es-CO"/>
        </w:rPr>
        <w:t>, igualmente estudiados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118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 xml:space="preserve">176 de 2026, entre otros; y v) </w:t>
      </w:r>
      <w:r w:rsidRPr="0022149E">
        <w:rPr>
          <w:rFonts w:ascii="Verdana" w:eastAsiaTheme="minorEastAsia" w:hAnsi="Verdana" w:cs="Arial"/>
          <w:bCs/>
          <w:lang w:val="es-MX" w:eastAsia="es-CO"/>
        </w:rPr>
        <w:t>la contrataci</w:t>
      </w:r>
      <w:r w:rsidRPr="00BF6124">
        <w:rPr>
          <w:rFonts w:ascii="Verdana" w:eastAsiaTheme="minorEastAsia" w:hAnsi="Verdana" w:cs="Verdana"/>
          <w:lang w:val="es-MX" w:eastAsia="es-CO"/>
        </w:rPr>
        <w:t>ó</w:t>
      </w:r>
      <w:r w:rsidRPr="0022149E">
        <w:rPr>
          <w:rFonts w:ascii="Verdana" w:eastAsiaTheme="minorEastAsia" w:hAnsi="Verdana" w:cs="Arial"/>
          <w:bCs/>
          <w:lang w:val="es-MX" w:eastAsia="es-CO"/>
        </w:rPr>
        <w:t xml:space="preserve">n directa </w:t>
      </w:r>
      <w:r w:rsidRPr="00BF6124">
        <w:rPr>
          <w:rFonts w:ascii="Verdana" w:eastAsiaTheme="minorEastAsia" w:hAnsi="Verdana" w:cs="Arial"/>
          <w:bCs/>
          <w:lang w:val="es-MX" w:eastAsia="es-CO"/>
        </w:rPr>
        <w:t>celebrada</w:t>
      </w:r>
      <w:r w:rsidRPr="0022149E">
        <w:rPr>
          <w:rFonts w:ascii="Verdana" w:eastAsiaTheme="minorEastAsia" w:hAnsi="Verdana" w:cs="Arial"/>
          <w:bCs/>
          <w:lang w:val="es-MX" w:eastAsia="es-CO"/>
        </w:rPr>
        <w:t xml:space="preserve"> por entidades sanitarias y hospitalarias</w:t>
      </w:r>
      <w:r w:rsidRPr="00BF6124">
        <w:rPr>
          <w:rFonts w:ascii="Verdana" w:eastAsiaTheme="minorEastAsia" w:hAnsi="Verdana" w:cs="Arial"/>
          <w:bCs/>
          <w:lang w:val="es-MX" w:eastAsia="es-CO"/>
        </w:rPr>
        <w:t>, objeto de análisis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1124 de 2026,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1406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1703 de 2026.</w:t>
      </w:r>
      <w:r w:rsidRPr="0022149E">
        <w:rPr>
          <w:rFonts w:ascii="Verdana" w:eastAsiaTheme="minorEastAsia" w:hAnsi="Verdana" w:cs="Arial"/>
          <w:bCs/>
          <w:lang w:val="es-MX" w:eastAsia="es-CO"/>
        </w:rPr>
        <w:t xml:space="preserve"> </w:t>
      </w:r>
      <w:r w:rsidRPr="00B2403B">
        <w:rPr>
          <w:rFonts w:ascii="Verdana" w:eastAsia="Times New Roman" w:hAnsi="Verdana" w:cs="Arial"/>
          <w:bCs/>
          <w:lang w:val="es-MX" w:eastAsia="es-CO"/>
        </w:rPr>
        <w:t xml:space="preserve">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Pr>
          <w:rFonts w:ascii="Verdana" w:eastAsia="Times New Roman" w:hAnsi="Verdana" w:cs="Times New Roman"/>
          <w:iCs/>
          <w:lang w:val="es-ES" w:eastAsia="es-ES"/>
        </w:rPr>
        <w:t>era</w:t>
      </w:r>
      <w:r w:rsidRPr="00B2403B">
        <w:rPr>
          <w:rFonts w:ascii="Verdana" w:eastAsia="Times New Roman" w:hAnsi="Verdana" w:cs="Times New Roman"/>
          <w:iCs/>
          <w:lang w:val="es-ES" w:eastAsia="es-ES"/>
        </w:rPr>
        <w:t xml:space="preserve">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 xml:space="preserve">Por tanto, dicha expresión fue declarada inexequible, razón por la cual no es posible que las </w:t>
      </w:r>
      <w:r w:rsidRPr="00B95F21">
        <w:rPr>
          <w:rFonts w:ascii="Verdana" w:eastAsia="Times New Roman" w:hAnsi="Verdana" w:cs="Times New Roman"/>
          <w:iCs/>
          <w:lang w:val="es-ES" w:eastAsia="es-ES"/>
        </w:rPr>
        <w:lastRenderedPageBreak/>
        <w:t>entidades argumenten razones como esta para exceptuar la restricción del artículo 33.</w:t>
      </w:r>
    </w:p>
    <w:p w14:paraId="516DC119" w14:textId="77777777" w:rsidR="0086024B" w:rsidRPr="00456FBA" w:rsidRDefault="0086024B" w:rsidP="0086024B">
      <w:pPr>
        <w:spacing w:after="120" w:line="276" w:lineRule="auto"/>
        <w:ind w:firstLine="709"/>
        <w:jc w:val="both"/>
        <w:rPr>
          <w:rFonts w:ascii="Verdana" w:eastAsia="Arial" w:hAnsi="Verdana" w:cs="Arial"/>
          <w:lang w:eastAsia="es-ES" w:bidi="es-ES"/>
        </w:rPr>
      </w:pPr>
      <w:r>
        <w:rPr>
          <w:rFonts w:ascii="Verdana" w:eastAsiaTheme="minorEastAsia" w:hAnsi="Verdana" w:cs="Arial"/>
          <w:bCs/>
          <w:lang w:val="es-MX" w:eastAsia="es-CO"/>
        </w:rPr>
        <w:t xml:space="preserve">Es </w:t>
      </w:r>
      <w:r w:rsidRPr="0022149E">
        <w:rPr>
          <w:rFonts w:ascii="Verdana" w:eastAsiaTheme="minorEastAsia" w:hAnsi="Verdana" w:cs="Arial"/>
          <w:bCs/>
          <w:lang w:val="es-MX" w:eastAsia="es-CO"/>
        </w:rPr>
        <w:t xml:space="preserve">importante destacar </w:t>
      </w:r>
      <w:r w:rsidRPr="0022149E">
        <w:rPr>
          <w:rFonts w:ascii="Verdana" w:eastAsia="Arial" w:hAnsi="Verdana" w:cs="Arial"/>
          <w:lang w:val="es-ES" w:eastAsia="es-ES" w:bidi="es-ES"/>
        </w:rPr>
        <w:t xml:space="preserve">que la Sala de Consulta y Servicio Civil del Consejo de Estado mediante Concepto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 </w:t>
      </w:r>
    </w:p>
    <w:p w14:paraId="7A95AF66" w14:textId="77777777" w:rsidR="0086024B" w:rsidRPr="004C1120" w:rsidRDefault="0086024B" w:rsidP="0086024B">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bCs/>
          <w:lang w:val="es-MX" w:eastAsia="es-CO"/>
        </w:rPr>
        <w:t>En esta línea</w:t>
      </w:r>
      <w:r w:rsidRPr="009D7880">
        <w:rPr>
          <w:rFonts w:ascii="Verdana" w:eastAsiaTheme="minorEastAsia" w:hAnsi="Verdana" w:cs="Arial"/>
          <w:bCs/>
          <w:lang w:val="es-MX" w:eastAsia="es-CO"/>
        </w:rPr>
        <w:t xml:space="preserve">, </w:t>
      </w:r>
      <w:r w:rsidRPr="001A0CB3">
        <w:rPr>
          <w:rFonts w:ascii="Verdana" w:eastAsiaTheme="minorEastAsia" w:hAnsi="Verdana" w:cs="Arial"/>
          <w:bCs/>
          <w:lang w:val="es-MX" w:eastAsia="es-CO"/>
        </w:rPr>
        <w:t>el artículo 33 de la Ley 996 de 2005 establece excepciones puntuales que permiten apartarse del procedimiento ordinario de selección, siempre que la necesidad de la entidad se ajuste a dichas circunstancias</w:t>
      </w:r>
      <w:r w:rsidRPr="0022149E">
        <w:rPr>
          <w:rFonts w:ascii="Verdana" w:eastAsiaTheme="minorEastAsia" w:hAnsi="Verdana" w:cs="Arial"/>
          <w:bCs/>
          <w:lang w:val="es-MX" w:eastAsia="es-CO"/>
        </w:rPr>
        <w:t>.</w:t>
      </w:r>
      <w:r w:rsidRPr="001A0CB3">
        <w:rPr>
          <w:rFonts w:ascii="Verdana" w:eastAsiaTheme="minorEastAsia" w:hAnsi="Verdana" w:cs="Arial"/>
          <w:bCs/>
          <w:lang w:val="es-MX" w:eastAsia="es-CO"/>
        </w:rPr>
        <w:t xml:space="preserve"> Así, cuando se pretenda suscribir un contrat</w:t>
      </w:r>
      <w:r>
        <w:rPr>
          <w:rFonts w:ascii="Verdana" w:eastAsiaTheme="minorEastAsia" w:hAnsi="Verdana" w:cs="Arial"/>
          <w:bCs/>
          <w:lang w:val="es-MX" w:eastAsia="es-CO"/>
        </w:rPr>
        <w:t xml:space="preserve">o de arrendamiento para atender, </w:t>
      </w:r>
      <w:r w:rsidRPr="001A0CB3">
        <w:rPr>
          <w:rFonts w:ascii="Verdana" w:eastAsiaTheme="minorEastAsia" w:hAnsi="Verdana" w:cs="Arial"/>
          <w:bCs/>
          <w:lang w:val="es-MX" w:eastAsia="es-CO"/>
        </w:rPr>
        <w:t xml:space="preserve">la entidad podrá recurrir a la contratación directa únicamente si la situación se encuentra expresamente </w:t>
      </w:r>
      <w:r>
        <w:rPr>
          <w:rFonts w:ascii="Verdana" w:eastAsiaTheme="minorEastAsia" w:hAnsi="Verdana" w:cs="Arial"/>
          <w:bCs/>
          <w:lang w:val="es-MX" w:eastAsia="es-CO"/>
        </w:rPr>
        <w:t>contemplada en las excepciones dispuestas en el artículo 33</w:t>
      </w:r>
      <w:r w:rsidRPr="0022149E">
        <w:rPr>
          <w:rFonts w:ascii="Verdana" w:eastAsiaTheme="minorEastAsia" w:hAnsi="Verdana" w:cs="Arial"/>
          <w:bCs/>
          <w:lang w:val="es-MX" w:eastAsia="es-CO"/>
        </w:rPr>
        <w:t>,</w:t>
      </w:r>
      <w:r>
        <w:rPr>
          <w:rFonts w:ascii="Verdana" w:eastAsiaTheme="minorEastAsia" w:hAnsi="Verdana" w:cs="Arial"/>
          <w:bCs/>
          <w:lang w:val="es-MX" w:eastAsia="es-CO"/>
        </w:rPr>
        <w:t xml:space="preserve"> </w:t>
      </w:r>
      <w:r w:rsidRPr="00D96BA4">
        <w:rPr>
          <w:rFonts w:ascii="Verdana" w:eastAsiaTheme="minorEastAsia" w:hAnsi="Verdana" w:cs="Arial"/>
          <w:bCs/>
          <w:lang w:val="es-ES" w:eastAsia="es-CO"/>
        </w:rPr>
        <w:t>sin perjuicio de lo expresado por la Sala de Consulta y Servicio Civil del Consejo que se expuso previamente</w:t>
      </w:r>
      <w:r>
        <w:rPr>
          <w:rFonts w:ascii="Verdana" w:eastAsiaTheme="minorEastAsia" w:hAnsi="Verdana" w:cs="Arial"/>
          <w:bCs/>
          <w:lang w:val="es-ES" w:eastAsia="es-CO"/>
        </w:rPr>
        <w:t xml:space="preserve"> y que están explicadas con mayor profundidad en las razones de la respuesta</w:t>
      </w:r>
      <w:r w:rsidRPr="00D96BA4">
        <w:rPr>
          <w:rFonts w:ascii="Verdana" w:eastAsiaTheme="minorEastAsia" w:hAnsi="Verdana" w:cs="Arial"/>
          <w:bCs/>
          <w:lang w:val="es-ES" w:eastAsia="es-CO"/>
        </w:rPr>
        <w:t>.</w:t>
      </w:r>
    </w:p>
    <w:p w14:paraId="15369D8E" w14:textId="77777777" w:rsidR="004E0A38" w:rsidRDefault="004E0A38" w:rsidP="004E0A38">
      <w:pPr>
        <w:spacing w:after="0" w:line="276" w:lineRule="auto"/>
        <w:ind w:firstLine="709"/>
        <w:jc w:val="both"/>
        <w:rPr>
          <w:rFonts w:ascii="Verdana" w:eastAsia="Times New Roman" w:hAnsi="Verdana" w:cs="Arial"/>
          <w:bCs/>
          <w:lang w:val="es-MX" w:eastAsia="es-CO"/>
        </w:rPr>
      </w:pPr>
      <w:r>
        <w:rPr>
          <w:rFonts w:ascii="Verdana" w:eastAsia="Times New Roman" w:hAnsi="Verdana" w:cs="Arial"/>
          <w:bCs/>
          <w:lang w:eastAsia="x-none"/>
        </w:rPr>
        <w:t>Por último</w:t>
      </w:r>
      <w:r w:rsidRPr="004F1C0A">
        <w:rPr>
          <w:rFonts w:ascii="Verdana" w:eastAsia="Times New Roman" w:hAnsi="Verdana" w:cs="Arial"/>
          <w:bCs/>
          <w:lang w:val="es-MX" w:eastAsia="x-none"/>
        </w:rPr>
        <w:t xml:space="preserve">, se reitera, </w:t>
      </w:r>
      <w:r w:rsidRPr="004F1C0A">
        <w:rPr>
          <w:rFonts w:ascii="Verdana" w:eastAsia="Times New Roman" w:hAnsi="Verdana" w:cs="Arial"/>
          <w:bCs/>
          <w:lang w:val="es-MX" w:eastAsia="es-CO"/>
        </w:rPr>
        <w:t>que las prórrogas, modificaciones o adiciones de los contratos suscritos antes de la entrada en vigor de las prohibiciones anotadas,</w:t>
      </w:r>
      <w:r>
        <w:rPr>
          <w:rFonts w:ascii="Verdana" w:eastAsia="Times New Roman" w:hAnsi="Verdana" w:cs="Arial"/>
          <w:bCs/>
          <w:lang w:val="es-MX" w:eastAsia="es-CO"/>
        </w:rPr>
        <w:t xml:space="preserve"> en especial del artículo 33 de la Ley 996 de 2005,</w:t>
      </w:r>
      <w:r w:rsidRPr="004F1C0A">
        <w:rPr>
          <w:rFonts w:ascii="Verdana" w:eastAsia="Times New Roman" w:hAnsi="Verdana" w:cs="Arial"/>
          <w:bCs/>
          <w:lang w:val="es-MX" w:eastAsia="es-CO"/>
        </w:rPr>
        <w:t xml:space="preserve">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4F1C0A">
        <w:rPr>
          <w:rFonts w:ascii="Verdana" w:eastAsia="Times New Roman" w:hAnsi="Verdana" w:cs="Arial"/>
          <w:bCs/>
          <w:vertAlign w:val="superscript"/>
          <w:lang w:val="es-MX" w:eastAsia="es-CO"/>
        </w:rPr>
        <w:footnoteReference w:id="35"/>
      </w:r>
      <w:r w:rsidRPr="004F1C0A">
        <w:rPr>
          <w:rFonts w:ascii="Verdana" w:eastAsia="Times New Roman" w:hAnsi="Verdana" w:cs="Arial"/>
          <w:bCs/>
          <w:lang w:val="es-MX" w:eastAsia="es-CO"/>
        </w:rPr>
        <w:t>. Además, también es posible que contratos celebrados previamente se continúen ejecutando con normalidad.</w:t>
      </w:r>
    </w:p>
    <w:p w14:paraId="6B4712E5" w14:textId="77777777" w:rsidR="004E0A38" w:rsidRPr="001B7CDA" w:rsidRDefault="004E0A38" w:rsidP="004E0A38">
      <w:pPr>
        <w:spacing w:after="0" w:line="276" w:lineRule="auto"/>
        <w:ind w:firstLine="709"/>
        <w:jc w:val="both"/>
        <w:rPr>
          <w:rFonts w:ascii="Verdana" w:eastAsia="Calibri" w:hAnsi="Verdana"/>
          <w:color w:val="000000" w:themeColor="text1"/>
          <w:lang w:val="es-MX"/>
        </w:rPr>
      </w:pPr>
    </w:p>
    <w:p w14:paraId="20ACD1E1" w14:textId="77777777" w:rsidR="004E0A38" w:rsidRPr="00F4158D" w:rsidRDefault="004E0A38" w:rsidP="004E0A38">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vii.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F4158D">
        <w:rPr>
          <w:rFonts w:ascii="Verdana" w:eastAsia="Calibri" w:hAnsi="Verdana" w:cs="Arial"/>
          <w:bCs/>
          <w:color w:val="000000" w:themeColor="text1"/>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0FC73CA" w14:textId="77777777" w:rsidR="004E0A38" w:rsidRPr="00F4158D" w:rsidRDefault="004E0A38" w:rsidP="004E0A38">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FF2D810" w14:textId="77777777" w:rsidR="004E0A38" w:rsidRPr="0022149E" w:rsidRDefault="004E0A38" w:rsidP="004E0A38">
      <w:pPr>
        <w:spacing w:after="0" w:line="276" w:lineRule="auto"/>
        <w:jc w:val="both"/>
        <w:rPr>
          <w:rFonts w:ascii="Verdana" w:eastAsia="Calibri" w:hAnsi="Verdana" w:cs="Arial"/>
          <w:bCs/>
          <w:color w:val="000000" w:themeColor="text1"/>
        </w:rPr>
      </w:pPr>
    </w:p>
    <w:p w14:paraId="7257A2D2" w14:textId="77777777" w:rsidR="004E0A38" w:rsidRPr="0022149E" w:rsidRDefault="004E0A38" w:rsidP="004E0A3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2149E">
        <w:rPr>
          <w:rFonts w:ascii="Verdana" w:eastAsia="Century Gothic" w:hAnsi="Verdana" w:cs="Century Gothic"/>
          <w:b/>
          <w:bCs/>
          <w:lang w:val="es-ES"/>
        </w:rPr>
        <w:t>Referencias normativas, jurisprudenciales y otras fuentes:</w:t>
      </w:r>
    </w:p>
    <w:p w14:paraId="270E374B" w14:textId="77777777" w:rsidR="004E0A38" w:rsidRPr="00593A5F" w:rsidRDefault="004E0A38" w:rsidP="004E0A38">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0A38" w:rsidRPr="0022149E" w14:paraId="6BFCFAF2" w14:textId="77777777" w:rsidTr="00A46547">
        <w:trPr>
          <w:trHeight w:val="453"/>
          <w:jc w:val="center"/>
        </w:trPr>
        <w:tc>
          <w:tcPr>
            <w:tcW w:w="8647" w:type="dxa"/>
          </w:tcPr>
          <w:p w14:paraId="676C0C63" w14:textId="77777777" w:rsidR="004E0A38" w:rsidRPr="0022149E" w:rsidRDefault="004E0A38" w:rsidP="00A4654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2149E">
              <w:rPr>
                <w:rFonts w:ascii="Verdana" w:hAnsi="Verdana" w:cs="Arial"/>
                <w:lang w:val="es-ES"/>
              </w:rPr>
              <w:t>Constitución Política de 1991, artículos 127 y 197.</w:t>
            </w:r>
          </w:p>
          <w:p w14:paraId="3724317E" w14:textId="77777777" w:rsidR="004E0A38" w:rsidRPr="0022149E" w:rsidRDefault="004E0A38" w:rsidP="00A46547">
            <w:pPr>
              <w:widowControl w:val="0"/>
              <w:numPr>
                <w:ilvl w:val="0"/>
                <w:numId w:val="17"/>
              </w:numPr>
              <w:autoSpaceDE w:val="0"/>
              <w:autoSpaceDN w:val="0"/>
              <w:spacing w:before="120" w:after="120" w:line="276" w:lineRule="auto"/>
              <w:ind w:left="714" w:hanging="357"/>
              <w:jc w:val="both"/>
              <w:rPr>
                <w:rFonts w:ascii="Verdana" w:hAnsi="Verdana" w:cs="Arial"/>
                <w:lang w:val="es-ES"/>
              </w:rPr>
            </w:pPr>
            <w:r>
              <w:rPr>
                <w:rFonts w:ascii="Verdana" w:hAnsi="Verdana" w:cs="Arial"/>
                <w:lang w:val="es-ES"/>
              </w:rPr>
              <w:t>Ley 80 de 1993, artículos 13, 32 y 40.</w:t>
            </w:r>
          </w:p>
          <w:p w14:paraId="028B8E76" w14:textId="77777777" w:rsidR="004E0A38" w:rsidRPr="0022149E" w:rsidRDefault="004E0A38" w:rsidP="00A4654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2149E">
              <w:rPr>
                <w:rFonts w:ascii="Verdana" w:hAnsi="Verdana" w:cs="Arial"/>
                <w:lang w:val="es-ES"/>
              </w:rPr>
              <w:t>Ley 996 de 2005, artículos 33 y 38.</w:t>
            </w:r>
          </w:p>
          <w:p w14:paraId="3EE4F69F"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Ley 1150 de 2007, artículo 2.</w:t>
            </w:r>
          </w:p>
          <w:p w14:paraId="70D5FC9D"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 xml:space="preserve">Código Civil, artículos 27, 31, 1501, 1973 al 2078 </w:t>
            </w:r>
          </w:p>
          <w:p w14:paraId="5C49157C"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 xml:space="preserve">Código de Comercio, artículos 518 al 523. </w:t>
            </w:r>
          </w:p>
          <w:p w14:paraId="7ACA1906"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 xml:space="preserve">Consejo de Estado. Sala de Consulta y Servicio Civil. Concepto de 20 de febrero de 2006. Rad. 1727. C.P. Enrique José Arboleda Perdomo. </w:t>
            </w:r>
          </w:p>
          <w:p w14:paraId="362EF95C"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Consejo de Estado. Sala de Consulta y Servicio Civil. Concepto de 6 de abril de 2006. Rad. 1738. C.P. Enrique José Arboleda Perdomo.</w:t>
            </w:r>
          </w:p>
          <w:p w14:paraId="432113C4"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Consejo de Estado. Sala de Consulta y Servicio Civil. Concepto del 15 de noviembre de 2007. Rad. 1863. C.P</w:t>
            </w:r>
            <w:r>
              <w:rPr>
                <w:rFonts w:ascii="Verdana" w:hAnsi="Verdana" w:cs="Arial"/>
                <w:lang w:val="es-ES"/>
              </w:rPr>
              <w:t>.</w:t>
            </w:r>
            <w:r w:rsidRPr="0022149E">
              <w:rPr>
                <w:rFonts w:ascii="Verdana" w:hAnsi="Verdana" w:cs="Arial"/>
                <w:lang w:val="es-ES"/>
              </w:rPr>
              <w:t xml:space="preserve"> Luis Fernando Álvarez Jaramillo.</w:t>
            </w:r>
          </w:p>
          <w:p w14:paraId="67001BC5"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lastRenderedPageBreak/>
              <w:t>Consejo de Estado. Sala de Consulta y Servicio Civil. Concepto del 18 de febrero 2010. Rad. 1985. C.P. Enrique José Arboleda Perdomo.</w:t>
            </w:r>
          </w:p>
          <w:p w14:paraId="0A363F0B"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 xml:space="preserve">Consejo de Estado, Sala de Consulta y Servicio Civil de fecha 24 de julio de 2013. Rad. 2166. C.P. Álvaro Namén Vargas. </w:t>
            </w:r>
          </w:p>
          <w:p w14:paraId="5E1D40BE"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Consejo de Estado. Sala de Consulta y Servicio Civil. Concepto del 2 de septiembre de 2013. Rad. 2168. C.P. Álvaro Namén Vargas.</w:t>
            </w:r>
          </w:p>
          <w:p w14:paraId="23499842"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Consejo de Estado. Sala de Consulta y Servicio Civil. Concepto del 17 de febrero de 2015. Rad. 2269. C.P. William Zambrano Cetina.</w:t>
            </w:r>
          </w:p>
          <w:p w14:paraId="5962F0A5"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Consejo de Estado. Sala de Consulta y Servicio Civil. Concepto del 08 de mayo de 2018. Rad. 2.382. C.P. Álvaro Namén Vargas.</w:t>
            </w:r>
          </w:p>
          <w:p w14:paraId="43B6CD85"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Corte Constitucional. Sentencia C-1153 de 2005 M.P. Marco Gerardo Monroy Cabra.</w:t>
            </w:r>
          </w:p>
          <w:p w14:paraId="56F75084"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ESTRADA SÁNCHEZ, Juan Pablo. Contratación directa, convenios interadministrativos y contratos de cooperación internacional. En: Contratación estatal. Estudios sobre la reforma del Estatuto Contractual Ley 1150 de 2007. Bogotá: Universidad Externado de Colombia, 2009.</w:t>
            </w:r>
          </w:p>
          <w:p w14:paraId="68D8B2B0"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RICO PUERTA, Luis Alonso. Teoría general y práctica de la contratación estatal. Volumen II. Decimotercera edición. Bogotá: Grupo Editorial Ibañez, 2025.</w:t>
            </w:r>
          </w:p>
          <w:p w14:paraId="5C4C08DD" w14:textId="77777777" w:rsidR="004E0A38" w:rsidRPr="0022149E" w:rsidRDefault="004E0A38" w:rsidP="00A46547">
            <w:pPr>
              <w:widowControl w:val="0"/>
              <w:numPr>
                <w:ilvl w:val="0"/>
                <w:numId w:val="17"/>
              </w:numPr>
              <w:autoSpaceDE w:val="0"/>
              <w:autoSpaceDN w:val="0"/>
              <w:spacing w:before="120" w:after="120" w:line="276" w:lineRule="auto"/>
              <w:jc w:val="both"/>
              <w:rPr>
                <w:rFonts w:ascii="Verdana" w:hAnsi="Verdana" w:cs="Arial"/>
                <w:lang w:val="es-ES"/>
              </w:rPr>
            </w:pPr>
            <w:r w:rsidRPr="0022149E">
              <w:rPr>
                <w:rFonts w:ascii="Verdana" w:hAnsi="Verdana" w:cs="Arial"/>
                <w:lang w:val="es-ES"/>
              </w:rPr>
              <w:t>RODRÍGUEZ TAMAYO, Mauricio Fernando. Los contratos estatales en Colombia. Bogotá: Tirant lo Blanch, 2022.</w:t>
            </w:r>
          </w:p>
        </w:tc>
      </w:tr>
    </w:tbl>
    <w:p w14:paraId="63340EFF" w14:textId="77777777" w:rsidR="004E0A38" w:rsidRPr="002407CE" w:rsidRDefault="004E0A38" w:rsidP="004E0A38">
      <w:pPr>
        <w:widowControl w:val="0"/>
        <w:autoSpaceDE w:val="0"/>
        <w:autoSpaceDN w:val="0"/>
        <w:spacing w:after="0" w:line="276" w:lineRule="auto"/>
        <w:jc w:val="both"/>
        <w:rPr>
          <w:rFonts w:ascii="Verdana" w:hAnsi="Verdana" w:cs="Arial"/>
        </w:rPr>
      </w:pPr>
    </w:p>
    <w:p w14:paraId="5F303ADB" w14:textId="77777777" w:rsidR="004E0A38" w:rsidRPr="0022149E" w:rsidRDefault="004E0A38" w:rsidP="004E0A3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2149E">
        <w:rPr>
          <w:rFonts w:ascii="Verdana" w:eastAsia="Century Gothic" w:hAnsi="Verdana" w:cs="Century Gothic"/>
          <w:b/>
          <w:bCs/>
          <w:lang w:val="es-ES"/>
        </w:rPr>
        <w:t>Doctrina de la Agencia Nacional de Contratación Pública:</w:t>
      </w:r>
    </w:p>
    <w:p w14:paraId="584EC4D0" w14:textId="77777777" w:rsidR="004E0A38" w:rsidRPr="00593A5F" w:rsidRDefault="004E0A38" w:rsidP="004E0A38">
      <w:pPr>
        <w:widowControl w:val="0"/>
        <w:autoSpaceDE w:val="0"/>
        <w:autoSpaceDN w:val="0"/>
        <w:spacing w:after="0" w:line="276" w:lineRule="auto"/>
        <w:jc w:val="both"/>
        <w:rPr>
          <w:rFonts w:ascii="Verdana" w:hAnsi="Verdana" w:cs="Arial"/>
        </w:rPr>
      </w:pPr>
    </w:p>
    <w:p w14:paraId="60E156EC" w14:textId="77777777" w:rsidR="004E0A38" w:rsidRPr="00A14D98" w:rsidRDefault="004E0A38" w:rsidP="004E0A38">
      <w:pPr>
        <w:widowControl w:val="0"/>
        <w:autoSpaceDE w:val="0"/>
        <w:autoSpaceDN w:val="0"/>
        <w:spacing w:after="0" w:line="276" w:lineRule="auto"/>
        <w:jc w:val="both"/>
        <w:rPr>
          <w:rFonts w:ascii="Verdana" w:hAnsi="Verdana" w:cs="Arial"/>
          <w:shd w:val="clear" w:color="auto" w:fill="FFFFFF"/>
          <w:lang w:val="es-ES"/>
        </w:rPr>
      </w:pPr>
      <w:r w:rsidRPr="00A14D98">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w:t>
      </w:r>
      <w:r w:rsidRPr="00A14D98">
        <w:rPr>
          <w:rFonts w:ascii="Verdana" w:hAnsi="Verdana" w:cs="Arial"/>
          <w:shd w:val="clear" w:color="auto" w:fill="FFFFFF"/>
        </w:rPr>
        <w:lastRenderedPageBreak/>
        <w:t>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 C-111 del 6 de febrero de 2026, C-127 del 6 de febrero de 2026,</w:t>
      </w:r>
      <w:r>
        <w:rPr>
          <w:rFonts w:ascii="Verdana" w:hAnsi="Verdana" w:cs="Arial"/>
          <w:shd w:val="clear" w:color="auto" w:fill="FFFFFF"/>
        </w:rPr>
        <w:t xml:space="preserve"> C-137 del 17 de febrero de 2026, C-185 del 23 de febrero de 2026,</w:t>
      </w:r>
      <w:r w:rsidRPr="00A14D98">
        <w:rPr>
          <w:rFonts w:ascii="Verdana" w:hAnsi="Verdana" w:cs="Arial"/>
          <w:shd w:val="clear" w:color="auto" w:fill="FFFFFF"/>
        </w:rPr>
        <w:t xml:space="preserve"> </w:t>
      </w:r>
      <w:r w:rsidRPr="0022149E">
        <w:rPr>
          <w:rFonts w:ascii="Verdana" w:hAnsi="Verdana" w:cs="Arial"/>
          <w:shd w:val="clear" w:color="auto" w:fill="FFFFFF"/>
        </w:rPr>
        <w:t>C-322 del 4 de marzo de 2026, entre otros</w:t>
      </w:r>
      <w:r w:rsidRPr="0022149E">
        <w:rPr>
          <w:rFonts w:ascii="Verdana" w:hAnsi="Verdana" w:cs="Arial"/>
          <w:shd w:val="clear" w:color="auto" w:fill="FFFFFF"/>
          <w:lang w:val="es-ES"/>
        </w:rPr>
        <w:t>.</w:t>
      </w:r>
      <w:r>
        <w:rPr>
          <w:rFonts w:ascii="Verdana" w:hAnsi="Verdana" w:cs="Arial"/>
          <w:shd w:val="clear" w:color="auto" w:fill="FFFFFF"/>
          <w:lang w:val="es-ES"/>
        </w:rPr>
        <w:t xml:space="preserve"> </w:t>
      </w:r>
      <w:r w:rsidRPr="00A14D98">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FD08323" w14:textId="77777777" w:rsidR="004E0A38" w:rsidRPr="00A14D98" w:rsidRDefault="004E0A38" w:rsidP="004E0A38">
      <w:pPr>
        <w:spacing w:after="0" w:line="256" w:lineRule="auto"/>
        <w:jc w:val="both"/>
        <w:rPr>
          <w:rFonts w:ascii="Verdana" w:eastAsia="Calibri" w:hAnsi="Verdana" w:cs="Times New Roman"/>
        </w:rPr>
      </w:pPr>
      <w:hyperlink r:id="rId17" w:history="1">
        <w:r w:rsidRPr="00A14D98">
          <w:rPr>
            <w:rFonts w:ascii="Verdana" w:eastAsia="Calibri" w:hAnsi="Verdana" w:cs="Times New Roman"/>
            <w:color w:val="0000FF"/>
            <w:u w:val="single"/>
            <w:lang w:val="es-ES"/>
          </w:rPr>
          <w:t>https://relatoria.colombiacompra.gov.co/busqueda/conceptos</w:t>
        </w:r>
      </w:hyperlink>
      <w:r w:rsidRPr="00A14D98">
        <w:rPr>
          <w:rFonts w:ascii="Verdana" w:eastAsia="Calibri" w:hAnsi="Verdana" w:cs="Times New Roman"/>
        </w:rPr>
        <w:t xml:space="preserve">. </w:t>
      </w:r>
    </w:p>
    <w:p w14:paraId="3D43A2AB" w14:textId="77777777" w:rsidR="004E0A38" w:rsidRPr="00096788" w:rsidRDefault="004E0A38" w:rsidP="004E0A38">
      <w:pPr>
        <w:widowControl w:val="0"/>
        <w:autoSpaceDE w:val="0"/>
        <w:autoSpaceDN w:val="0"/>
        <w:spacing w:after="0" w:line="276" w:lineRule="auto"/>
        <w:jc w:val="both"/>
        <w:rPr>
          <w:rFonts w:ascii="Verdana" w:hAnsi="Verdana" w:cs="Arial"/>
          <w:color w:val="000000" w:themeColor="text1"/>
          <w:shd w:val="clear" w:color="auto" w:fill="FFFFFF"/>
        </w:rPr>
      </w:pPr>
    </w:p>
    <w:p w14:paraId="66C44280" w14:textId="77777777" w:rsidR="004E0A38" w:rsidRDefault="004E0A38" w:rsidP="004E0A38">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8" w:tgtFrame="_new" w:history="1">
        <w:r w:rsidRPr="0022149E">
          <w:rPr>
            <w:rFonts w:ascii="Verdana" w:hAnsi="Verdana"/>
            <w:color w:val="0000FF"/>
            <w:u w:val="single"/>
          </w:rPr>
          <w:t>https://formacionvirtual.colombiacompra.gov.co/mod/page/view.php?id=3718</w:t>
        </w:r>
      </w:hyperlink>
    </w:p>
    <w:p w14:paraId="1238142D" w14:textId="77777777" w:rsidR="004E0A38" w:rsidRPr="009A385A" w:rsidRDefault="004E0A38" w:rsidP="004E0A38">
      <w:pPr>
        <w:spacing w:after="0"/>
        <w:jc w:val="both"/>
        <w:rPr>
          <w:rFonts w:ascii="Verdana" w:hAnsi="Verdana"/>
        </w:rPr>
      </w:pPr>
    </w:p>
    <w:p w14:paraId="0C6AB680" w14:textId="77777777" w:rsidR="004E0A38" w:rsidRDefault="004E0A38" w:rsidP="004E0A38">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w:t>
      </w:r>
      <w:r w:rsidRPr="009A385A">
        <w:rPr>
          <w:rFonts w:ascii="Verdana" w:hAnsi="Verdana"/>
          <w:b/>
          <w:bCs/>
        </w:rPr>
        <w:lastRenderedPageBreak/>
        <w:t>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9" w:tgtFrame="_new" w:history="1">
        <w:r w:rsidRPr="0022149E">
          <w:rPr>
            <w:rFonts w:ascii="Verdana" w:hAnsi="Verdana"/>
            <w:color w:val="0000FF"/>
            <w:u w:val="single"/>
          </w:rPr>
          <w:t>https://www.colombiacompra.gov.co/normativa-y-relatoria/documentos-tipo</w:t>
        </w:r>
      </w:hyperlink>
    </w:p>
    <w:p w14:paraId="74E81028" w14:textId="77777777" w:rsidR="004E0A38" w:rsidRDefault="004E0A38" w:rsidP="004E0A38">
      <w:pPr>
        <w:spacing w:after="0"/>
        <w:jc w:val="both"/>
        <w:rPr>
          <w:rFonts w:ascii="Verdana" w:hAnsi="Verdana"/>
        </w:rPr>
      </w:pPr>
    </w:p>
    <w:p w14:paraId="05C0CF90" w14:textId="77777777" w:rsidR="004E0A38" w:rsidRPr="008E1CD7" w:rsidRDefault="004E0A38" w:rsidP="004E0A38">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20" w:tgtFrame="_new" w:history="1">
        <w:r w:rsidRPr="0022149E">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50E772B2" w14:textId="77777777" w:rsidR="004E0A38" w:rsidRDefault="004E0A38" w:rsidP="004E0A38">
      <w:pPr>
        <w:shd w:val="clear" w:color="auto" w:fill="FFFFFF"/>
        <w:spacing w:after="0" w:line="276" w:lineRule="auto"/>
        <w:jc w:val="both"/>
        <w:rPr>
          <w:rFonts w:ascii="Verdana" w:hAnsi="Verdana"/>
          <w:color w:val="000000"/>
          <w:u w:val="single"/>
        </w:rPr>
      </w:pPr>
    </w:p>
    <w:p w14:paraId="5A27F705" w14:textId="77777777" w:rsidR="004E0A38" w:rsidRPr="0038088D" w:rsidRDefault="004E0A38" w:rsidP="004E0A3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A3C6B49" w14:textId="77777777" w:rsidR="004E0A38" w:rsidRPr="0038088D" w:rsidRDefault="004E0A38" w:rsidP="004E0A38">
      <w:pPr>
        <w:spacing w:after="0"/>
        <w:jc w:val="both"/>
        <w:rPr>
          <w:rFonts w:ascii="Verdana" w:hAnsi="Verdana"/>
        </w:rPr>
      </w:pPr>
    </w:p>
    <w:p w14:paraId="0AEC9BA6" w14:textId="77777777" w:rsidR="004E0A38" w:rsidRPr="0022149E" w:rsidRDefault="004E0A38" w:rsidP="004E0A38">
      <w:pPr>
        <w:numPr>
          <w:ilvl w:val="0"/>
          <w:numId w:val="15"/>
        </w:numPr>
        <w:spacing w:after="0" w:line="240" w:lineRule="auto"/>
        <w:contextualSpacing/>
        <w:jc w:val="both"/>
        <w:rPr>
          <w:rFonts w:ascii="Verdana" w:eastAsia="Verdana" w:hAnsi="Verdana" w:cs="Verdana"/>
          <w:color w:val="4472C4" w:themeColor="accent1"/>
          <w:u w:val="single"/>
          <w:lang w:val="es-ES"/>
        </w:rPr>
      </w:pPr>
      <w:r w:rsidRPr="0022149E">
        <w:rPr>
          <w:rFonts w:ascii="Verdana" w:eastAsia="Verdana" w:hAnsi="Verdana" w:cs="Verdana"/>
          <w:lang w:val="es-ES"/>
        </w:rPr>
        <w:t xml:space="preserve">Línea nacional gratuita o servicio a la ciudadanía (Mesa de servicio): </w:t>
      </w:r>
      <w:r w:rsidRPr="0022149E">
        <w:rPr>
          <w:rFonts w:ascii="Verdana" w:hAnsi="Verdana"/>
          <w:color w:val="0000FF"/>
          <w:u w:val="single"/>
          <w:lang w:val="es-ES"/>
        </w:rPr>
        <w:t>01800 0520808</w:t>
      </w:r>
    </w:p>
    <w:p w14:paraId="321BF7C3" w14:textId="77777777" w:rsidR="004E0A38" w:rsidRPr="0022149E" w:rsidRDefault="004E0A38" w:rsidP="004E0A38">
      <w:pPr>
        <w:numPr>
          <w:ilvl w:val="0"/>
          <w:numId w:val="15"/>
        </w:numPr>
        <w:spacing w:after="0"/>
        <w:contextualSpacing/>
        <w:rPr>
          <w:rFonts w:ascii="Verdana" w:eastAsia="Verdana" w:hAnsi="Verdana" w:cs="Verdana"/>
          <w:color w:val="4472C4" w:themeColor="accent1"/>
          <w:u w:val="single"/>
          <w:lang w:val="es-ES"/>
        </w:rPr>
      </w:pPr>
      <w:r w:rsidRPr="0022149E">
        <w:rPr>
          <w:rFonts w:ascii="Verdana" w:eastAsia="Verdana" w:hAnsi="Verdana" w:cs="Verdana"/>
          <w:lang w:val="es-ES"/>
        </w:rPr>
        <w:t>Línea en Bogotá (Mesa de servicio):</w:t>
      </w:r>
      <w:r w:rsidRPr="0022149E">
        <w:rPr>
          <w:rFonts w:ascii="Verdana" w:hAnsi="Verdana"/>
          <w:color w:val="0000FF"/>
          <w:u w:val="single"/>
          <w:lang w:val="es-ES"/>
        </w:rPr>
        <w:t>+57 601 7456788</w:t>
      </w:r>
    </w:p>
    <w:p w14:paraId="75FCC01D" w14:textId="77777777" w:rsidR="004E0A38" w:rsidRPr="0022149E" w:rsidRDefault="004E0A38" w:rsidP="004E0A38">
      <w:pPr>
        <w:numPr>
          <w:ilvl w:val="0"/>
          <w:numId w:val="15"/>
        </w:numPr>
        <w:spacing w:after="0"/>
        <w:contextualSpacing/>
        <w:rPr>
          <w:rFonts w:ascii="Verdana" w:eastAsia="Verdana" w:hAnsi="Verdana" w:cs="Verdana"/>
          <w:color w:val="0000FF"/>
          <w:u w:val="single"/>
          <w:lang w:val="es-ES"/>
        </w:rPr>
      </w:pPr>
      <w:r w:rsidRPr="0022149E">
        <w:rPr>
          <w:rFonts w:ascii="Verdana" w:eastAsia="Verdana" w:hAnsi="Verdana" w:cs="Verdana"/>
          <w:lang w:val="es-ES"/>
        </w:rPr>
        <w:t xml:space="preserve">Correo de radicación de correspondencia: </w:t>
      </w:r>
      <w:hyperlink r:id="rId21">
        <w:r w:rsidRPr="0022149E">
          <w:rPr>
            <w:rFonts w:ascii="Verdana" w:eastAsia="Verdana" w:hAnsi="Verdana" w:cs="Verdana"/>
            <w:color w:val="0000FF"/>
            <w:u w:val="single"/>
            <w:lang w:val="es-ES"/>
          </w:rPr>
          <w:t>ventanilladeradicacion@colombiacompra.gov.co</w:t>
        </w:r>
      </w:hyperlink>
    </w:p>
    <w:p w14:paraId="7C63154A" w14:textId="77777777" w:rsidR="004E0A38" w:rsidRPr="0022149E" w:rsidRDefault="004E0A38" w:rsidP="004E0A38">
      <w:pPr>
        <w:numPr>
          <w:ilvl w:val="0"/>
          <w:numId w:val="15"/>
        </w:numPr>
        <w:spacing w:after="0"/>
        <w:contextualSpacing/>
        <w:rPr>
          <w:rFonts w:ascii="Verdana" w:eastAsia="Verdana" w:hAnsi="Verdana" w:cs="Verdana"/>
          <w:color w:val="0000FF"/>
          <w:u w:val="single"/>
          <w:lang w:val="es-ES"/>
        </w:rPr>
      </w:pPr>
      <w:r w:rsidRPr="0022149E">
        <w:rPr>
          <w:rFonts w:ascii="Verdana" w:eastAsia="Verdana" w:hAnsi="Verdana" w:cs="Verdana"/>
          <w:lang w:val="es-ES"/>
        </w:rPr>
        <w:t>Formulario web para</w:t>
      </w:r>
      <w:r w:rsidRPr="0038088D">
        <w:rPr>
          <w:rFonts w:ascii="Verdana" w:eastAsia="Verdana" w:hAnsi="Verdana" w:cs="Verdana"/>
          <w:lang w:val="es"/>
        </w:rPr>
        <w:t xml:space="preserve"> PQRSD: </w:t>
      </w:r>
      <w:hyperlink r:id="rId22">
        <w:r w:rsidRPr="0022149E">
          <w:rPr>
            <w:rFonts w:ascii="Verdana" w:eastAsia="Verdana" w:hAnsi="Verdana" w:cs="Verdana"/>
            <w:color w:val="0000FF"/>
            <w:u w:val="single"/>
            <w:lang w:val="es-ES"/>
          </w:rPr>
          <w:t>https://www.colombiacompra.gov.co/pqrsd/informacion-importante-antes-de-formular-una-pqrsd</w:t>
        </w:r>
      </w:hyperlink>
    </w:p>
    <w:p w14:paraId="0034A25C" w14:textId="77777777" w:rsidR="004E0A38" w:rsidRPr="0038088D" w:rsidRDefault="004E0A38" w:rsidP="004E0A38">
      <w:pPr>
        <w:spacing w:after="0" w:line="240" w:lineRule="auto"/>
        <w:ind w:left="720"/>
        <w:jc w:val="both"/>
        <w:rPr>
          <w:rFonts w:ascii="Verdana" w:hAnsi="Verdana"/>
        </w:rPr>
      </w:pPr>
    </w:p>
    <w:p w14:paraId="7E455B3D" w14:textId="77777777" w:rsidR="004E0A38" w:rsidRPr="0038088D" w:rsidRDefault="004E0A38" w:rsidP="004E0A38">
      <w:pPr>
        <w:spacing w:after="0" w:line="240" w:lineRule="auto"/>
        <w:rPr>
          <w:rFonts w:ascii="Verdana" w:hAnsi="Verdana"/>
        </w:rPr>
      </w:pPr>
      <w:r w:rsidRPr="0038088D">
        <w:rPr>
          <w:rFonts w:ascii="Verdana" w:hAnsi="Verdana"/>
        </w:rPr>
        <w:lastRenderedPageBreak/>
        <w:t>Evalúa el servicio que ofrece la Agencia por el canal de atención de PQRSD en el siguiente enlace :</w:t>
      </w:r>
      <w:hyperlink r:id="rId23" w:tgtFrame="_blank" w:tooltip="https://forms.office.com/r/pphywvs2sz" w:history="1">
        <w:r w:rsidRPr="0022149E">
          <w:rPr>
            <w:rFonts w:ascii="Verdana" w:hAnsi="Verdana"/>
            <w:color w:val="0000FF"/>
            <w:u w:val="single"/>
          </w:rPr>
          <w:t>https://forms.office.com/r/pPHyWVs2SZ</w:t>
        </w:r>
      </w:hyperlink>
      <w:r w:rsidRPr="0038088D">
        <w:rPr>
          <w:rFonts w:ascii="Verdana" w:hAnsi="Verdana"/>
        </w:rPr>
        <w:t xml:space="preserve"> .¡Ayúdanos a mejorar porque el compromiso es de todos!</w:t>
      </w:r>
    </w:p>
    <w:p w14:paraId="45CA3FBA" w14:textId="77777777" w:rsidR="004E0A38" w:rsidRPr="0038088D" w:rsidRDefault="004E0A38" w:rsidP="004E0A38">
      <w:pPr>
        <w:spacing w:after="0" w:line="240" w:lineRule="auto"/>
        <w:rPr>
          <w:rFonts w:ascii="Verdana" w:hAnsi="Verdana"/>
        </w:rPr>
      </w:pPr>
    </w:p>
    <w:p w14:paraId="7AFBA180" w14:textId="77777777" w:rsidR="004E0A38" w:rsidRPr="0038088D" w:rsidRDefault="004E0A38" w:rsidP="004E0A38">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226FB106" w14:textId="77777777" w:rsidR="004E0A38" w:rsidRPr="00116940" w:rsidRDefault="004E0A38" w:rsidP="004E0A38">
      <w:pPr>
        <w:spacing w:after="0" w:line="240" w:lineRule="auto"/>
        <w:jc w:val="both"/>
        <w:rPr>
          <w:rFonts w:ascii="Verdana" w:hAnsi="Verdana"/>
        </w:rPr>
      </w:pPr>
    </w:p>
    <w:p w14:paraId="31E70108" w14:textId="77777777" w:rsidR="004E0A38" w:rsidRPr="00116940" w:rsidRDefault="004E0A38" w:rsidP="004E0A38">
      <w:pPr>
        <w:spacing w:after="0" w:line="240" w:lineRule="auto"/>
        <w:jc w:val="both"/>
        <w:rPr>
          <w:rFonts w:ascii="Verdana" w:hAnsi="Verdana"/>
        </w:rPr>
      </w:pPr>
      <w:r w:rsidRPr="00116940">
        <w:rPr>
          <w:rFonts w:ascii="Verdana" w:hAnsi="Verdana"/>
        </w:rPr>
        <w:t xml:space="preserve">Twitter: </w:t>
      </w:r>
      <w:r w:rsidRPr="0022149E">
        <w:rPr>
          <w:rFonts w:ascii="Verdana" w:hAnsi="Verdana"/>
          <w:color w:val="0000FF"/>
          <w:u w:val="single"/>
        </w:rPr>
        <w:t>@colombiacompra</w:t>
      </w:r>
      <w:r w:rsidRPr="00116940">
        <w:rPr>
          <w:rFonts w:ascii="Verdana" w:hAnsi="Verdana"/>
        </w:rPr>
        <w:t xml:space="preserve"> </w:t>
      </w:r>
    </w:p>
    <w:p w14:paraId="061F5F2F" w14:textId="77777777" w:rsidR="004E0A38" w:rsidRPr="00116940" w:rsidRDefault="004E0A38" w:rsidP="004E0A38">
      <w:pPr>
        <w:spacing w:after="0" w:line="240" w:lineRule="auto"/>
        <w:jc w:val="both"/>
        <w:rPr>
          <w:rFonts w:ascii="Verdana" w:hAnsi="Verdana"/>
        </w:rPr>
      </w:pPr>
      <w:r w:rsidRPr="00116940">
        <w:rPr>
          <w:rFonts w:ascii="Verdana" w:hAnsi="Verdana"/>
        </w:rPr>
        <w:t xml:space="preserve">Facebook: </w:t>
      </w:r>
      <w:r w:rsidRPr="0022149E">
        <w:rPr>
          <w:rFonts w:ascii="Verdana" w:hAnsi="Verdana"/>
          <w:color w:val="0000FF"/>
          <w:u w:val="single"/>
        </w:rPr>
        <w:t>ColombiaCompraEficiente</w:t>
      </w:r>
    </w:p>
    <w:p w14:paraId="7C93484A" w14:textId="77777777" w:rsidR="004E0A38" w:rsidRPr="00E22E6E" w:rsidRDefault="004E0A38" w:rsidP="004E0A38">
      <w:pPr>
        <w:spacing w:after="0" w:line="240" w:lineRule="auto"/>
        <w:jc w:val="both"/>
        <w:rPr>
          <w:rFonts w:ascii="Verdana" w:hAnsi="Verdana"/>
        </w:rPr>
      </w:pPr>
      <w:r w:rsidRPr="00116940">
        <w:rPr>
          <w:rFonts w:ascii="Verdana" w:hAnsi="Verdana"/>
        </w:rPr>
        <w:t xml:space="preserve">LinkedIn: </w:t>
      </w:r>
      <w:r w:rsidRPr="0022149E">
        <w:rPr>
          <w:rFonts w:ascii="Verdana" w:hAnsi="Verdana"/>
          <w:color w:val="0000FF"/>
          <w:u w:val="single"/>
        </w:rPr>
        <w:t>Agencia Nacional de Contratación Pública - Colombia Compra Eficiente</w:t>
      </w:r>
      <w:r w:rsidRPr="00116940">
        <w:rPr>
          <w:rFonts w:ascii="Verdana" w:hAnsi="Verdana"/>
        </w:rPr>
        <w:t xml:space="preserve"> Instagram: </w:t>
      </w:r>
      <w:r w:rsidRPr="0022149E">
        <w:rPr>
          <w:rFonts w:ascii="Verdana" w:hAnsi="Verdana"/>
          <w:color w:val="0000FF"/>
          <w:u w:val="single"/>
        </w:rPr>
        <w:t>@colombiacompraeficiente_cce</w:t>
      </w:r>
    </w:p>
    <w:p w14:paraId="39494442" w14:textId="77777777" w:rsidR="004E0A38" w:rsidRPr="009C4035" w:rsidRDefault="004E0A38" w:rsidP="004E0A38">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22149E">
        <w:rPr>
          <w:rFonts w:ascii="Verdana" w:hAnsi="Verdana" w:cs="Arial"/>
          <w:color w:val="FF0000"/>
          <w:shd w:val="clear" w:color="auto" w:fill="FFFFFF"/>
          <w:lang w:val="es-ES_tradnl"/>
        </w:rPr>
        <w:t xml:space="preserve">        </w:t>
      </w:r>
    </w:p>
    <w:p w14:paraId="4ACC57BD" w14:textId="77777777" w:rsidR="004E0A38" w:rsidRPr="00593A5F" w:rsidRDefault="004E0A38" w:rsidP="004E0A3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1C4EDD9B" w14:textId="77777777" w:rsidR="004E0A38" w:rsidRPr="00593A5F" w:rsidRDefault="004E0A38" w:rsidP="004E0A38">
      <w:pPr>
        <w:widowControl w:val="0"/>
        <w:autoSpaceDE w:val="0"/>
        <w:autoSpaceDN w:val="0"/>
        <w:spacing w:after="0" w:line="276" w:lineRule="auto"/>
        <w:jc w:val="both"/>
        <w:rPr>
          <w:rFonts w:ascii="Verdana" w:hAnsi="Verdana" w:cs="Arial"/>
        </w:rPr>
      </w:pPr>
    </w:p>
    <w:p w14:paraId="249CB61F" w14:textId="06DFCB5E" w:rsidR="004E0A38" w:rsidRPr="00D96BA4" w:rsidRDefault="004E0A38" w:rsidP="004E0A3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B038CEB" w14:textId="563E4EDC" w:rsidR="004E0A38" w:rsidRPr="00593A5F" w:rsidRDefault="00155A57" w:rsidP="004E0A38">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2F6440A3" wp14:editId="34108A94">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312722" cy="1229722"/>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E0A38" w:rsidRPr="00593A5F" w14:paraId="3B074F39" w14:textId="77777777" w:rsidTr="00A46547">
        <w:trPr>
          <w:trHeight w:val="315"/>
        </w:trPr>
        <w:tc>
          <w:tcPr>
            <w:tcW w:w="893" w:type="dxa"/>
            <w:vAlign w:val="center"/>
            <w:hideMark/>
          </w:tcPr>
          <w:p w14:paraId="4241DC0D" w14:textId="77777777" w:rsidR="004E0A38" w:rsidRPr="003751C7" w:rsidRDefault="004E0A38" w:rsidP="00A4654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3A3BFE7" w14:textId="77777777" w:rsidR="004E0A38" w:rsidRPr="0022149E" w:rsidRDefault="004E0A38" w:rsidP="00A46547">
            <w:pPr>
              <w:contextualSpacing/>
              <w:rPr>
                <w:rFonts w:ascii="Verdana" w:hAnsi="Verdana"/>
                <w:sz w:val="16"/>
                <w:szCs w:val="16"/>
              </w:rPr>
            </w:pPr>
            <w:r w:rsidRPr="0022149E">
              <w:rPr>
                <w:rFonts w:ascii="Verdana" w:hAnsi="Verdana"/>
                <w:sz w:val="16"/>
                <w:szCs w:val="16"/>
              </w:rPr>
              <w:t>José Luis Sánchez Cardona</w:t>
            </w:r>
          </w:p>
          <w:p w14:paraId="6C05F14F" w14:textId="77777777" w:rsidR="004E0A38" w:rsidRPr="00254A7A" w:rsidRDefault="004E0A38" w:rsidP="00A46547">
            <w:pPr>
              <w:contextualSpacing/>
              <w:rPr>
                <w:rFonts w:ascii="Verdana" w:eastAsia="Arial" w:hAnsi="Verdana" w:cs="Arial"/>
                <w:sz w:val="16"/>
                <w:szCs w:val="16"/>
              </w:rPr>
            </w:pPr>
            <w:r w:rsidRPr="0022149E">
              <w:rPr>
                <w:rFonts w:ascii="Verdana" w:hAnsi="Verdana"/>
                <w:sz w:val="16"/>
                <w:szCs w:val="16"/>
              </w:rPr>
              <w:t>Contratista de la Subdirección de Gestión Contractual</w:t>
            </w:r>
          </w:p>
        </w:tc>
      </w:tr>
      <w:tr w:rsidR="004E0A38" w:rsidRPr="00593A5F" w14:paraId="40D2EDA6" w14:textId="77777777" w:rsidTr="00A46547">
        <w:trPr>
          <w:trHeight w:val="330"/>
        </w:trPr>
        <w:tc>
          <w:tcPr>
            <w:tcW w:w="893" w:type="dxa"/>
            <w:vAlign w:val="center"/>
            <w:hideMark/>
          </w:tcPr>
          <w:p w14:paraId="22770A5C" w14:textId="77777777" w:rsidR="004E0A38" w:rsidRPr="003751C7" w:rsidRDefault="004E0A38" w:rsidP="00A4654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D53E4B" w14:textId="77777777" w:rsidR="004E0A38" w:rsidRPr="0022149E" w:rsidRDefault="004E0A38" w:rsidP="00A46547">
            <w:pPr>
              <w:spacing w:before="100" w:beforeAutospacing="1" w:afterAutospacing="1"/>
              <w:contextualSpacing/>
              <w:textAlignment w:val="baseline"/>
              <w:rPr>
                <w:rFonts w:ascii="Verdana" w:eastAsia="Times New Roman" w:hAnsi="Verdana" w:cs="Arial"/>
                <w:sz w:val="16"/>
                <w:szCs w:val="16"/>
                <w:lang w:val="es-ES_tradnl" w:eastAsia="es-CO"/>
              </w:rPr>
            </w:pPr>
            <w:r w:rsidRPr="0022149E">
              <w:rPr>
                <w:rFonts w:ascii="Verdana" w:eastAsia="Times New Roman" w:hAnsi="Verdana" w:cs="Arial"/>
                <w:sz w:val="16"/>
                <w:szCs w:val="16"/>
                <w:lang w:val="es-ES_tradnl" w:eastAsia="es-CO"/>
              </w:rPr>
              <w:t>Alejandro R. Sarmiento Cantillo</w:t>
            </w:r>
          </w:p>
          <w:p w14:paraId="4EC3990A" w14:textId="77777777" w:rsidR="004E0A38" w:rsidRPr="0022149E" w:rsidRDefault="004E0A38" w:rsidP="00A46547">
            <w:pPr>
              <w:contextualSpacing/>
              <w:textAlignment w:val="baseline"/>
              <w:rPr>
                <w:rFonts w:ascii="Verdana" w:eastAsia="Times New Roman" w:hAnsi="Verdana" w:cs="Segoe UI"/>
                <w:sz w:val="16"/>
                <w:szCs w:val="16"/>
                <w:lang w:eastAsia="es-CO"/>
              </w:rPr>
            </w:pPr>
            <w:r w:rsidRPr="0022149E">
              <w:rPr>
                <w:rFonts w:ascii="Verdana" w:eastAsia="Times New Roman" w:hAnsi="Verdana" w:cs="Arial"/>
                <w:sz w:val="16"/>
                <w:szCs w:val="16"/>
                <w:lang w:val="es-ES_tradnl" w:eastAsia="es-CO"/>
              </w:rPr>
              <w:t>Gestor T1 ‒ 15 de la Subdirección de Gestión Contractual</w:t>
            </w:r>
          </w:p>
        </w:tc>
      </w:tr>
      <w:tr w:rsidR="004E0A38" w:rsidRPr="00593A5F" w14:paraId="05382D2C" w14:textId="77777777" w:rsidTr="00A46547">
        <w:trPr>
          <w:trHeight w:val="300"/>
        </w:trPr>
        <w:tc>
          <w:tcPr>
            <w:tcW w:w="893" w:type="dxa"/>
            <w:vAlign w:val="center"/>
          </w:tcPr>
          <w:p w14:paraId="76F3CB0C" w14:textId="77777777" w:rsidR="004E0A38" w:rsidRPr="003751C7" w:rsidRDefault="004E0A38" w:rsidP="00A4654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1C19216" w14:textId="77777777" w:rsidR="004E0A38" w:rsidRPr="003751C7" w:rsidRDefault="004E0A38" w:rsidP="00A4654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A0DF9E1" w14:textId="77777777" w:rsidR="004E0A38" w:rsidRPr="003751C7" w:rsidRDefault="004E0A38" w:rsidP="00A4654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0F293BF4" w14:textId="44350720" w:rsidR="00127233" w:rsidRPr="004E0A38" w:rsidRDefault="00127233" w:rsidP="004E0A38"/>
    <w:sectPr w:rsidR="00127233" w:rsidRPr="004E0A38"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8B4C9" w14:textId="77777777" w:rsidR="00A63B56" w:rsidRDefault="00A63B56" w:rsidP="004A1847">
      <w:pPr>
        <w:spacing w:after="0" w:line="240" w:lineRule="auto"/>
      </w:pPr>
      <w:r>
        <w:separator/>
      </w:r>
    </w:p>
  </w:endnote>
  <w:endnote w:type="continuationSeparator" w:id="0">
    <w:p w14:paraId="68018A8B" w14:textId="77777777" w:rsidR="00A63B56" w:rsidRDefault="00A63B5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1F826F0D"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00BA0912" w:rsidRPr="00BA0912">
      <w:rPr>
        <w:rFonts w:ascii="Verdana" w:eastAsia="Verdana" w:hAnsi="Verdana" w:cs="Verdana"/>
        <w:b/>
        <w:bCs/>
        <w:noProof/>
        <w:sz w:val="18"/>
        <w:szCs w:val="18"/>
      </w:rPr>
      <w:t>5</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A46547" w:rsidRPr="00E86B2C" w:rsidRDefault="00A46547">
    <w:pPr>
      <w:rPr>
        <w:rFonts w:ascii="Verdana" w:eastAsia="Verdana" w:hAnsi="Verdana" w:cs="Verdana"/>
        <w:sz w:val="18"/>
        <w:szCs w:val="18"/>
        <w:lang w:val="pt-BR" w:eastAsia="es-CO"/>
      </w:rPr>
    </w:pPr>
    <w:r w:rsidRPr="00E86B2C">
      <w:rPr>
        <w:rFonts w:ascii="Verdana" w:eastAsia="Verdana" w:hAnsi="Verdana" w:cs="Verdana"/>
        <w:b/>
        <w:color w:val="000000" w:themeColor="text1"/>
        <w:sz w:val="18"/>
        <w:szCs w:val="18"/>
        <w:lang w:val="pt-BR" w:eastAsia="es-CO"/>
      </w:rPr>
      <w:t xml:space="preserve">Código: </w:t>
    </w:r>
    <w:r w:rsidRPr="00E86B2C">
      <w:rPr>
        <w:rFonts w:ascii="Verdana" w:eastAsia="Verdana" w:hAnsi="Verdana" w:cs="Verdana"/>
        <w:color w:val="000000" w:themeColor="text1"/>
        <w:sz w:val="18"/>
        <w:szCs w:val="18"/>
        <w:lang w:val="pt-BR" w:eastAsia="es-CO"/>
      </w:rPr>
      <w:t xml:space="preserve">CCE-REC-FM-17 </w:t>
    </w:r>
    <w:r w:rsidRPr="00E86B2C">
      <w:rPr>
        <w:rFonts w:ascii="Verdana" w:eastAsia="Verdana" w:hAnsi="Verdana" w:cs="Verdana"/>
        <w:b/>
        <w:color w:val="000000" w:themeColor="text1"/>
        <w:sz w:val="18"/>
        <w:szCs w:val="18"/>
        <w:lang w:val="pt-BR" w:eastAsia="es-CO"/>
      </w:rPr>
      <w:t xml:space="preserve">V: </w:t>
    </w:r>
    <w:r w:rsidRPr="00E86B2C">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E98E6" w14:textId="77777777" w:rsidR="00A63B56" w:rsidRDefault="00A63B56" w:rsidP="004A1847">
      <w:pPr>
        <w:spacing w:after="0" w:line="240" w:lineRule="auto"/>
      </w:pPr>
      <w:r>
        <w:separator/>
      </w:r>
    </w:p>
  </w:footnote>
  <w:footnote w:type="continuationSeparator" w:id="0">
    <w:p w14:paraId="40E2CAE5" w14:textId="77777777" w:rsidR="00A63B56" w:rsidRDefault="00A63B56" w:rsidP="004A1847">
      <w:pPr>
        <w:spacing w:after="0" w:line="240" w:lineRule="auto"/>
      </w:pPr>
      <w:r>
        <w:continuationSeparator/>
      </w:r>
    </w:p>
  </w:footnote>
  <w:footnote w:id="1">
    <w:p w14:paraId="09A70C13" w14:textId="77777777" w:rsidR="004E0A38" w:rsidRPr="00E5567D" w:rsidRDefault="004E0A38" w:rsidP="004E0A38">
      <w:pPr>
        <w:pStyle w:val="Textonotapie"/>
        <w:ind w:firstLine="708"/>
        <w:jc w:val="both"/>
        <w:rPr>
          <w:rFonts w:ascii="Arial" w:hAnsi="Arial"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 w:id="2">
    <w:p w14:paraId="6886F8B6" w14:textId="77777777" w:rsidR="004E0A38" w:rsidRPr="00E5567D" w:rsidRDefault="004E0A38" w:rsidP="004E0A38">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D0046B8" w14:textId="77777777" w:rsidR="004E0A38" w:rsidRPr="00E5567D" w:rsidRDefault="004E0A38" w:rsidP="004E0A38">
      <w:pPr>
        <w:pStyle w:val="Textonotapie"/>
        <w:ind w:firstLine="709"/>
        <w:contextualSpacing/>
        <w:jc w:val="both"/>
        <w:rPr>
          <w:rFonts w:ascii="Verdana" w:hAnsi="Verdana" w:cs="Arial"/>
          <w:sz w:val="15"/>
          <w:szCs w:val="15"/>
        </w:rPr>
      </w:pPr>
      <w:r w:rsidRPr="00E5567D">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EA5CA33" w14:textId="77777777" w:rsidR="004E0A38" w:rsidRPr="00E5567D" w:rsidRDefault="004E0A38" w:rsidP="004E0A38">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Gaceta del Congreso de la República No. 71 del 2005.</w:t>
      </w:r>
    </w:p>
  </w:footnote>
  <w:footnote w:id="4">
    <w:p w14:paraId="294AD9B3" w14:textId="77777777" w:rsidR="004E0A38" w:rsidRPr="00E5567D" w:rsidRDefault="004E0A38" w:rsidP="004E0A38">
      <w:pPr>
        <w:pStyle w:val="Textonotapie"/>
        <w:ind w:firstLine="709"/>
        <w:contextualSpacing/>
        <w:jc w:val="both"/>
        <w:rPr>
          <w:rFonts w:ascii="Verdana" w:hAnsi="Verdana" w:cs="Arial"/>
          <w:sz w:val="15"/>
          <w:szCs w:val="15"/>
          <w:lang w:val="pt-BR"/>
        </w:rPr>
      </w:pPr>
      <w:r w:rsidRPr="00E5567D">
        <w:rPr>
          <w:rStyle w:val="Refdenotaalpie"/>
          <w:rFonts w:ascii="Verdana" w:hAnsi="Verdana" w:cs="Arial"/>
          <w:sz w:val="15"/>
          <w:szCs w:val="15"/>
        </w:rPr>
        <w:footnoteRef/>
      </w:r>
      <w:r w:rsidRPr="00E5567D">
        <w:rPr>
          <w:rFonts w:ascii="Verdana" w:hAnsi="Verdana" w:cs="Arial"/>
          <w:sz w:val="15"/>
          <w:szCs w:val="15"/>
          <w:lang w:val="pt-BR"/>
        </w:rPr>
        <w:t xml:space="preserve"> Corte Constitucional, Sentencia C- 1153 de 2005, M.P. Marco Gerardo Monroy Cabra.</w:t>
      </w:r>
    </w:p>
  </w:footnote>
  <w:footnote w:id="5">
    <w:p w14:paraId="378E7355" w14:textId="77777777" w:rsidR="004E0A38" w:rsidRPr="00E5567D" w:rsidRDefault="004E0A38" w:rsidP="004E0A38">
      <w:pPr>
        <w:pStyle w:val="Textonotapie"/>
        <w:ind w:firstLine="709"/>
        <w:contextualSpacing/>
        <w:jc w:val="both"/>
        <w:rPr>
          <w:rFonts w:ascii="Verdana" w:hAnsi="Verdana" w:cs="Arial"/>
          <w:sz w:val="15"/>
          <w:szCs w:val="15"/>
          <w:lang w:val="pt-BR"/>
        </w:rPr>
      </w:pPr>
      <w:r w:rsidRPr="00E5567D">
        <w:rPr>
          <w:rStyle w:val="Refdenotaalpie"/>
          <w:rFonts w:ascii="Verdana" w:hAnsi="Verdana" w:cs="Arial"/>
          <w:sz w:val="15"/>
          <w:szCs w:val="15"/>
        </w:rPr>
        <w:footnoteRef/>
      </w:r>
      <w:r w:rsidRPr="00E5567D">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EEB4C68" w14:textId="77777777" w:rsidR="004E0A38" w:rsidRPr="00E5567D" w:rsidRDefault="004E0A38" w:rsidP="004E0A38">
      <w:pPr>
        <w:pStyle w:val="Textonotapie"/>
        <w:ind w:firstLine="709"/>
        <w:contextualSpacing/>
        <w:jc w:val="both"/>
        <w:rPr>
          <w:rFonts w:ascii="Verdana" w:hAnsi="Verdana" w:cs="Arial"/>
          <w:sz w:val="15"/>
          <w:szCs w:val="15"/>
          <w:lang w:val="es-CO"/>
        </w:rPr>
      </w:pPr>
      <w:r w:rsidRPr="00E5567D">
        <w:rPr>
          <w:rStyle w:val="Refdenotaalpie"/>
          <w:rFonts w:ascii="Verdana" w:hAnsi="Verdana" w:cs="Arial"/>
          <w:sz w:val="15"/>
          <w:szCs w:val="15"/>
        </w:rPr>
        <w:footnoteRef/>
      </w:r>
      <w:r w:rsidRPr="00E5567D">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3DF2B64" w14:textId="77777777" w:rsidR="004E0A38" w:rsidRPr="00E5567D" w:rsidRDefault="004E0A38" w:rsidP="004E0A38">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de fecha 24 de julio de 2013. Rad. 2166, C.P. Álvaro Namén Vargas.  </w:t>
      </w:r>
    </w:p>
  </w:footnote>
  <w:footnote w:id="8">
    <w:p w14:paraId="33906DAD" w14:textId="77777777" w:rsidR="004E0A38" w:rsidRPr="00E5567D" w:rsidRDefault="004E0A38" w:rsidP="004E0A38">
      <w:pPr>
        <w:spacing w:after="0" w:line="240" w:lineRule="auto"/>
        <w:ind w:firstLine="709"/>
        <w:contextualSpacing/>
        <w:jc w:val="both"/>
        <w:rPr>
          <w:rFonts w:ascii="Verdana" w:eastAsia="Times New Roman"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7" w:name="33"/>
      <w:r w:rsidRPr="00E5567D">
        <w:rPr>
          <w:rFonts w:ascii="Verdana" w:eastAsia="Calibri" w:hAnsi="Verdana" w:cs="Arial"/>
          <w:color w:val="000000"/>
          <w:sz w:val="15"/>
          <w:szCs w:val="15"/>
        </w:rPr>
        <w:t>“</w:t>
      </w:r>
      <w:r w:rsidRPr="00E5567D">
        <w:rPr>
          <w:rFonts w:ascii="Verdana" w:eastAsia="Times New Roman" w:hAnsi="Verdana" w:cs="Arial"/>
          <w:sz w:val="15"/>
          <w:szCs w:val="15"/>
        </w:rPr>
        <w:t>Artículo 33. Restricciones a la contratación pública.</w:t>
      </w:r>
      <w:bookmarkEnd w:id="7"/>
      <w:r w:rsidRPr="00E5567D">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46CC513A" w14:textId="77777777" w:rsidR="004E0A38" w:rsidRPr="00E5567D" w:rsidRDefault="004E0A38" w:rsidP="004E0A38">
      <w:pPr>
        <w:spacing w:after="0" w:line="240" w:lineRule="auto"/>
        <w:ind w:firstLine="709"/>
        <w:contextualSpacing/>
        <w:jc w:val="both"/>
        <w:rPr>
          <w:rFonts w:ascii="Verdana" w:eastAsia="Times New Roman" w:hAnsi="Verdana" w:cs="Arial"/>
          <w:sz w:val="15"/>
          <w:szCs w:val="15"/>
        </w:rPr>
      </w:pPr>
      <w:r w:rsidRPr="00E5567D">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5567D">
        <w:rPr>
          <w:rFonts w:ascii="Verdana" w:eastAsia="Calibri" w:hAnsi="Verdana" w:cs="Arial"/>
          <w:color w:val="000000"/>
          <w:sz w:val="15"/>
          <w:szCs w:val="15"/>
        </w:rPr>
        <w:t>”</w:t>
      </w:r>
      <w:r w:rsidRPr="00E5567D">
        <w:rPr>
          <w:rFonts w:ascii="Verdana" w:eastAsia="Times New Roman" w:hAnsi="Verdana" w:cs="Arial"/>
          <w:sz w:val="15"/>
          <w:szCs w:val="15"/>
        </w:rPr>
        <w:t>.</w:t>
      </w:r>
    </w:p>
  </w:footnote>
  <w:footnote w:id="9">
    <w:p w14:paraId="2754ED92" w14:textId="77777777" w:rsidR="004E0A38" w:rsidRPr="00E5567D" w:rsidRDefault="004E0A38" w:rsidP="004E0A38">
      <w:pPr>
        <w:pStyle w:val="NormalWeb"/>
        <w:spacing w:before="0" w:beforeAutospacing="0" w:after="0" w:afterAutospacing="0"/>
        <w:ind w:firstLine="709"/>
        <w:contextualSpacing/>
        <w:jc w:val="both"/>
        <w:rPr>
          <w:rFonts w:ascii="Verdana" w:hAnsi="Verdana" w:cs="Arial"/>
          <w:sz w:val="15"/>
          <w:szCs w:val="15"/>
          <w:lang w:val="es-MX"/>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8" w:name="38"/>
      <w:r w:rsidRPr="00E5567D">
        <w:rPr>
          <w:rFonts w:ascii="Verdana" w:eastAsia="Calibri" w:hAnsi="Verdana" w:cs="Arial"/>
          <w:color w:val="000000"/>
          <w:sz w:val="15"/>
          <w:szCs w:val="15"/>
        </w:rPr>
        <w:t>“</w:t>
      </w:r>
      <w:r w:rsidRPr="00E5567D">
        <w:rPr>
          <w:rFonts w:ascii="Verdana" w:hAnsi="Verdana" w:cs="Arial"/>
          <w:sz w:val="15"/>
          <w:szCs w:val="15"/>
          <w:lang w:val="es-MX"/>
        </w:rPr>
        <w:t>Artículo 38. Prohibiciones para los servidores públicos. A los empleados del Estado les está prohibido:</w:t>
      </w:r>
      <w:bookmarkEnd w:id="8"/>
    </w:p>
    <w:p w14:paraId="002AC92B" w14:textId="77777777" w:rsidR="004E0A38" w:rsidRPr="00E5567D" w:rsidRDefault="004E0A38" w:rsidP="004E0A38">
      <w:pPr>
        <w:pStyle w:val="NormalWeb"/>
        <w:spacing w:before="0" w:beforeAutospacing="0" w:after="0" w:afterAutospacing="0"/>
        <w:ind w:firstLine="709"/>
        <w:contextualSpacing/>
        <w:jc w:val="both"/>
        <w:rPr>
          <w:rFonts w:ascii="Verdana" w:hAnsi="Verdana" w:cs="Arial"/>
          <w:sz w:val="15"/>
          <w:szCs w:val="15"/>
          <w:lang w:val="es-MX"/>
        </w:rPr>
      </w:pPr>
      <w:r w:rsidRPr="00E5567D">
        <w:rPr>
          <w:rFonts w:ascii="Verdana" w:hAnsi="Verdana" w:cs="Arial"/>
          <w:sz w:val="15"/>
          <w:szCs w:val="15"/>
          <w:lang w:val="es-MX"/>
        </w:rPr>
        <w:t>[…]</w:t>
      </w:r>
    </w:p>
    <w:p w14:paraId="047422E8" w14:textId="77777777" w:rsidR="004E0A38" w:rsidRPr="00E5567D" w:rsidRDefault="004E0A38" w:rsidP="004E0A38">
      <w:pPr>
        <w:pStyle w:val="NormalWeb"/>
        <w:spacing w:before="0" w:beforeAutospacing="0" w:after="0" w:afterAutospacing="0"/>
        <w:ind w:firstLine="709"/>
        <w:contextualSpacing/>
        <w:jc w:val="both"/>
        <w:rPr>
          <w:rFonts w:ascii="Verdana" w:hAnsi="Verdana" w:cs="Arial"/>
          <w:sz w:val="15"/>
          <w:szCs w:val="15"/>
          <w:lang w:val="es-MX"/>
        </w:rPr>
      </w:pPr>
      <w:r w:rsidRPr="00E5567D">
        <w:rPr>
          <w:rStyle w:val="baj"/>
          <w:rFonts w:ascii="Verdana" w:eastAsiaTheme="minorEastAsia" w:hAnsi="Verdana" w:cs="Arial"/>
          <w:sz w:val="15"/>
          <w:szCs w:val="15"/>
          <w:lang w:val="es-MX"/>
        </w:rPr>
        <w:t>Parágrafo.</w:t>
      </w:r>
      <w:r w:rsidRPr="00E5567D">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5567D">
        <w:rPr>
          <w:rFonts w:ascii="Verdana" w:eastAsia="Calibri" w:hAnsi="Verdana" w:cs="Arial"/>
          <w:color w:val="000000"/>
          <w:sz w:val="15"/>
          <w:szCs w:val="15"/>
        </w:rPr>
        <w:t>”</w:t>
      </w:r>
      <w:r w:rsidRPr="00E5567D">
        <w:rPr>
          <w:rFonts w:ascii="Verdana" w:hAnsi="Verdana" w:cs="Arial"/>
          <w:sz w:val="15"/>
          <w:szCs w:val="15"/>
          <w:lang w:val="es-MX"/>
        </w:rPr>
        <w:t>.</w:t>
      </w:r>
    </w:p>
  </w:footnote>
  <w:footnote w:id="10">
    <w:p w14:paraId="766BDF2B" w14:textId="77777777" w:rsidR="004E0A38" w:rsidRPr="00E5567D" w:rsidRDefault="004E0A38" w:rsidP="004E0A38">
      <w:pPr>
        <w:spacing w:after="0" w:line="240" w:lineRule="auto"/>
        <w:ind w:left="100" w:right="244" w:firstLine="709"/>
        <w:contextualSpacing/>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17 de febrero de 2015. Rad. 2269. C.P. William Zambrano Cetina. </w:t>
      </w:r>
    </w:p>
  </w:footnote>
  <w:footnote w:id="11">
    <w:p w14:paraId="235D6860" w14:textId="77777777" w:rsidR="004E0A38" w:rsidRPr="00E5567D" w:rsidRDefault="004E0A38" w:rsidP="004E0A38">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[25] </w:t>
      </w:r>
      <w:r w:rsidRPr="00E5567D">
        <w:rPr>
          <w:rFonts w:ascii="Verdana" w:hAnsi="Verdana" w:cs="Arial"/>
          <w:sz w:val="15"/>
          <w:szCs w:val="15"/>
        </w:rPr>
        <w:t>Cfr. Consejo de Estado. Sección Tercera. Sentencia de 3 de diciembre de 2007. Radicados: 24.715, 25.206, 25.409, 24.524, 27.834, 25.410, 26.105, 28.244, 31.447 -acumulados-”.</w:t>
      </w:r>
    </w:p>
  </w:footnote>
  <w:footnote w:id="12">
    <w:p w14:paraId="5179DFD9" w14:textId="77777777" w:rsidR="004E0A38" w:rsidRPr="00E5567D" w:rsidRDefault="004E0A38" w:rsidP="004E0A38">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[26] </w:t>
      </w:r>
      <w:r w:rsidRPr="00E5567D">
        <w:rPr>
          <w:rFonts w:ascii="Verdana" w:hAnsi="Verdana" w:cs="Arial"/>
          <w:sz w:val="15"/>
          <w:szCs w:val="15"/>
        </w:rPr>
        <w:t>Al respecto ver el concepto 1712 de 2 de febrero de 2006. Consejo de Estado Sala de Consulta y Servicio Civil”.</w:t>
      </w:r>
    </w:p>
  </w:footnote>
  <w:footnote w:id="13">
    <w:p w14:paraId="4B8D71C8" w14:textId="77777777" w:rsidR="004E0A38" w:rsidRPr="00E5567D" w:rsidRDefault="004E0A38" w:rsidP="004E0A38">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2 de septiembre de 2013. Rad. 2168). C.P. Álvaro Namén Vargas.</w:t>
      </w:r>
    </w:p>
  </w:footnote>
  <w:footnote w:id="14">
    <w:p w14:paraId="0C52D95B" w14:textId="77777777" w:rsidR="004E0A38" w:rsidRPr="00E5567D" w:rsidRDefault="004E0A38" w:rsidP="004E0A38">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Artículo 2. </w:t>
      </w:r>
    </w:p>
  </w:footnote>
  <w:footnote w:id="15">
    <w:p w14:paraId="61692769" w14:textId="77777777" w:rsidR="004E0A38" w:rsidRPr="00E5567D" w:rsidRDefault="004E0A38" w:rsidP="004E0A38">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i/>
          <w:sz w:val="15"/>
          <w:szCs w:val="15"/>
          <w:lang w:val="es-ES"/>
        </w:rPr>
        <w:t>Ibidem</w:t>
      </w:r>
      <w:r w:rsidRPr="00E5567D">
        <w:rPr>
          <w:rFonts w:ascii="Verdana" w:hAnsi="Verdana" w:cs="Arial"/>
          <w:sz w:val="15"/>
          <w:szCs w:val="15"/>
          <w:lang w:val="es-ES"/>
        </w:rPr>
        <w:t>.</w:t>
      </w:r>
    </w:p>
  </w:footnote>
  <w:footnote w:id="16">
    <w:p w14:paraId="1A19DF8F" w14:textId="77777777" w:rsidR="004E0A38" w:rsidRPr="00E5567D" w:rsidRDefault="004E0A38" w:rsidP="004E0A38">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Style w:val="Refdenotaalpie"/>
          <w:rFonts w:ascii="Verdana" w:hAnsi="Verdana" w:cs="Arial"/>
          <w:sz w:val="15"/>
          <w:szCs w:val="15"/>
        </w:rPr>
        <w:t xml:space="preserve"> </w:t>
      </w:r>
      <w:r w:rsidRPr="00E5567D">
        <w:rPr>
          <w:rFonts w:ascii="Verdana" w:hAnsi="Verdana" w:cs="Arial"/>
          <w:sz w:val="15"/>
          <w:szCs w:val="15"/>
          <w:lang w:val="es-ES"/>
        </w:rPr>
        <w:t xml:space="preserve">“[…] A este respecto, cabe recordar que el artículo 860 del Código de Comercio regula la licitación en el derecho privado”. </w:t>
      </w:r>
    </w:p>
  </w:footnote>
  <w:footnote w:id="17">
    <w:p w14:paraId="6DA22074" w14:textId="77777777" w:rsidR="004E0A38" w:rsidRPr="00E5567D" w:rsidRDefault="004E0A38" w:rsidP="004E0A38">
      <w:pPr>
        <w:shd w:val="clear" w:color="auto" w:fill="FFFFFF"/>
        <w:spacing w:after="0"/>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Style w:val="Refdenotaalpie"/>
          <w:rFonts w:ascii="Verdana" w:hAnsi="Verdana" w:cs="Arial"/>
          <w:sz w:val="15"/>
          <w:szCs w:val="15"/>
        </w:rPr>
        <w:t xml:space="preserve"> </w:t>
      </w:r>
      <w:r w:rsidRPr="00E5567D">
        <w:rPr>
          <w:rFonts w:ascii="Verdana" w:hAnsi="Verdana" w:cs="Arial"/>
          <w:sz w:val="15"/>
          <w:szCs w:val="15"/>
        </w:rPr>
        <w:t>Consejo de Estado. Sala de Consulta y Servicio Civil. Concepto del 08 de mayo de 2018. Rad. 2.382. C.P. Álvaro Namén Vargas.</w:t>
      </w:r>
    </w:p>
  </w:footnote>
  <w:footnote w:id="18">
    <w:p w14:paraId="7FC3E21F" w14:textId="77777777" w:rsidR="004E0A38" w:rsidRPr="00E5567D" w:rsidRDefault="004E0A38" w:rsidP="004E0A38">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08 de mayo de 2018. Rad. 2.382. C.P. Álvaro Namén Vargas.</w:t>
      </w:r>
    </w:p>
  </w:footnote>
  <w:footnote w:id="19">
    <w:p w14:paraId="18C6B354" w14:textId="77777777" w:rsidR="004E0A38" w:rsidRPr="00E5567D" w:rsidRDefault="004E0A38" w:rsidP="004E0A38">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19DA5EEE" w14:textId="77777777" w:rsidR="004E0A38" w:rsidRPr="00E5567D" w:rsidRDefault="004E0A38" w:rsidP="004E0A38">
      <w:pPr>
        <w:spacing w:after="0"/>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 20 de febrero de 2006. Rad.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697899E3" w14:textId="77777777" w:rsidR="004E0A38" w:rsidRPr="00E5567D" w:rsidRDefault="004E0A38" w:rsidP="004E0A38">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19" w:name="_Hlk75633115"/>
      <w:r w:rsidRPr="00E5567D">
        <w:rPr>
          <w:rFonts w:ascii="Verdana" w:hAnsi="Verdana" w:cs="Arial"/>
          <w:sz w:val="15"/>
          <w:szCs w:val="15"/>
        </w:rPr>
        <w:t xml:space="preserve">Consejo de Estado. Sala de Consulta y Servicio Civil. Concepto </w:t>
      </w:r>
      <w:bookmarkEnd w:id="19"/>
      <w:r w:rsidRPr="00E5567D">
        <w:rPr>
          <w:rFonts w:ascii="Verdana" w:hAnsi="Verdana" w:cs="Arial"/>
          <w:sz w:val="15"/>
          <w:szCs w:val="15"/>
        </w:rPr>
        <w:t>de 6 de abril de 2006. Rad. 1738. C.P. Enrique José Arboleda Perdomo:</w:t>
      </w:r>
      <w:r w:rsidRPr="00E5567D">
        <w:rPr>
          <w:rFonts w:ascii="Verdana" w:eastAsia="Times New Roman" w:hAnsi="Verdana" w:cs="Arial"/>
          <w:sz w:val="15"/>
          <w:szCs w:val="15"/>
          <w:lang w:eastAsia="x-none"/>
        </w:rPr>
        <w:t xml:space="preserve"> “</w:t>
      </w:r>
      <w:r w:rsidRPr="00E5567D">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E5567D">
        <w:rPr>
          <w:rFonts w:ascii="Verdana" w:eastAsia="Times New Roman" w:hAnsi="Verdana" w:cs="Arial"/>
          <w:sz w:val="15"/>
          <w:szCs w:val="15"/>
          <w:lang w:eastAsia="x-none"/>
        </w:rPr>
        <w:t>”.</w:t>
      </w:r>
    </w:p>
  </w:footnote>
  <w:footnote w:id="22">
    <w:p w14:paraId="52B499F7" w14:textId="77777777" w:rsidR="004E0A38" w:rsidRPr="00E5567D" w:rsidRDefault="004E0A38" w:rsidP="004E0A38">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 6 de abril de 2006. Rad. 1738. C.P. Enrique José Arboleda Perdomo.</w:t>
      </w:r>
    </w:p>
  </w:footnote>
  <w:footnote w:id="23">
    <w:p w14:paraId="75838646" w14:textId="77777777" w:rsidR="004E0A38" w:rsidRPr="00E5567D" w:rsidRDefault="004E0A38" w:rsidP="004E0A38">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w:t>
      </w:r>
      <w:r w:rsidRPr="00E5567D">
        <w:rPr>
          <w:rFonts w:ascii="Verdana" w:hAnsi="Verdana" w:cs="Arial"/>
          <w:i/>
          <w:sz w:val="15"/>
          <w:szCs w:val="15"/>
        </w:rPr>
        <w:t>ibidem</w:t>
      </w:r>
      <w:r w:rsidRPr="00E5567D">
        <w:rPr>
          <w:rFonts w:ascii="Verdana" w:hAnsi="Verdana" w:cs="Arial"/>
          <w:sz w:val="15"/>
          <w:szCs w:val="15"/>
        </w:rPr>
        <w:t>.</w:t>
      </w:r>
    </w:p>
  </w:footnote>
  <w:footnote w:id="24">
    <w:p w14:paraId="51C31AB3" w14:textId="77777777" w:rsidR="004E0A38" w:rsidRPr="00E5567D" w:rsidRDefault="004E0A38" w:rsidP="004E0A38">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18 de febrero 2010. Rad. 1985. C.P. Enrique José Arboleda Perdomo.</w:t>
      </w:r>
    </w:p>
  </w:footnote>
  <w:footnote w:id="25">
    <w:p w14:paraId="44E414D3" w14:textId="77777777" w:rsidR="004E0A38" w:rsidRPr="00E5567D" w:rsidRDefault="004E0A38" w:rsidP="004E0A38">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Corte Constitucional. Sentencia C-1153 de 2005 M.P. Marco Gerardo Monroy Cabra. </w:t>
      </w:r>
    </w:p>
  </w:footnote>
  <w:footnote w:id="26">
    <w:p w14:paraId="7CFFCDA6" w14:textId="77777777" w:rsidR="004E0A38" w:rsidRPr="00E5567D" w:rsidRDefault="004E0A38" w:rsidP="004E0A38">
      <w:pPr>
        <w:pStyle w:val="Textonotapie"/>
        <w:ind w:firstLine="708"/>
        <w:jc w:val="both"/>
        <w:rPr>
          <w:rFonts w:ascii="Verdana" w:hAnsi="Verdana"/>
          <w:sz w:val="15"/>
          <w:szCs w:val="15"/>
          <w:lang w:val="es-CO"/>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hAnsi="Verdana"/>
          <w:sz w:val="15"/>
          <w:szCs w:val="15"/>
          <w:lang w:val="es-CO"/>
        </w:rPr>
        <w:t xml:space="preserve">Consejo de Estado, Sala de Consulta y Servicio Civil. Concepto del 6 de abril de 2006, Rad. 1736. C.P. Luis Fernando Álvarez Jaramillo. </w:t>
      </w:r>
    </w:p>
  </w:footnote>
  <w:footnote w:id="27">
    <w:p w14:paraId="7C8141D4" w14:textId="77777777" w:rsidR="004E0A38" w:rsidRPr="00E5567D" w:rsidRDefault="004E0A38" w:rsidP="004E0A38">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20 de febrero de 2006. Rad. 1727. C.P. Enrique José Arboleda Perdomo. </w:t>
      </w:r>
    </w:p>
  </w:footnote>
  <w:footnote w:id="28">
    <w:p w14:paraId="05C74AD8" w14:textId="77777777" w:rsidR="004E0A38" w:rsidRPr="00E5567D" w:rsidRDefault="004E0A38" w:rsidP="004E0A38">
      <w:pPr>
        <w:pStyle w:val="Textonotapie"/>
        <w:ind w:firstLine="709"/>
        <w:rPr>
          <w:rFonts w:ascii="Verdana" w:hAnsi="Verdana"/>
          <w:sz w:val="15"/>
          <w:szCs w:val="15"/>
          <w:lang w:val="es-CO"/>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hAnsi="Verdana" w:cs="Arial"/>
          <w:sz w:val="15"/>
          <w:szCs w:val="15"/>
        </w:rPr>
        <w:t>Consejo de Estado. Sala de Consulta y Servicio Civil. Concepto de 6 de abril de 2006. Rad. 1738. C.P. Enrique José Arboleda Perdomo.</w:t>
      </w:r>
    </w:p>
  </w:footnote>
  <w:footnote w:id="29">
    <w:p w14:paraId="498EF871" w14:textId="77777777" w:rsidR="004E0A38" w:rsidRPr="00E5567D" w:rsidRDefault="004E0A38" w:rsidP="004E0A38">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15 de noviembre de 2007. Rad. 1863. C.P.: Luis Fernando Álvarez Jaramillo.</w:t>
      </w:r>
    </w:p>
  </w:footnote>
  <w:footnote w:id="30">
    <w:p w14:paraId="0CDDD4D4" w14:textId="77777777" w:rsidR="004E0A38" w:rsidRPr="00E5567D" w:rsidRDefault="004E0A38" w:rsidP="004E0A38">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 w:id="31">
    <w:p w14:paraId="22E5DB7F" w14:textId="77777777" w:rsidR="004E0A38" w:rsidRPr="00E5567D" w:rsidRDefault="004E0A38" w:rsidP="004E0A38">
      <w:pPr>
        <w:pStyle w:val="Textonotapie"/>
        <w:ind w:firstLine="709"/>
        <w:jc w:val="both"/>
        <w:rPr>
          <w:rFonts w:ascii="Verdana" w:hAnsi="Verdana" w:cs="Arial"/>
          <w:color w:val="000000" w:themeColor="text1"/>
          <w:sz w:val="15"/>
          <w:szCs w:val="15"/>
          <w:lang w:val="es-ES"/>
        </w:rPr>
      </w:pPr>
      <w:r w:rsidRPr="00E5567D">
        <w:rPr>
          <w:rStyle w:val="Refdenotaalpie"/>
          <w:rFonts w:ascii="Verdana" w:hAnsi="Verdana" w:cs="Arial"/>
          <w:color w:val="000000" w:themeColor="text1"/>
          <w:sz w:val="15"/>
          <w:szCs w:val="15"/>
        </w:rPr>
        <w:footnoteRef/>
      </w:r>
      <w:r w:rsidRPr="00E5567D">
        <w:rPr>
          <w:rFonts w:ascii="Verdana" w:hAnsi="Verdana" w:cs="Arial"/>
          <w:color w:val="000000" w:themeColor="text1"/>
          <w:sz w:val="15"/>
          <w:szCs w:val="15"/>
        </w:rPr>
        <w:t xml:space="preserve"> </w:t>
      </w:r>
      <w:r w:rsidRPr="00E5567D">
        <w:rPr>
          <w:rFonts w:ascii="Verdana" w:hAnsi="Verdana" w:cs="Arial"/>
          <w:color w:val="000000" w:themeColor="text1"/>
          <w:sz w:val="15"/>
          <w:szCs w:val="15"/>
          <w:lang w:val="es-ES"/>
        </w:rPr>
        <w:t>Para la doctrina, “El arrendamiento es el contrato en virtud del cual una de las partes se obliga a proporcionarle a otra el uso y goce de una cosa, durante cierto tiempo, y ésta a pagar, como contraprestación, un precio determinado.</w:t>
      </w:r>
    </w:p>
    <w:p w14:paraId="67224F68" w14:textId="77777777" w:rsidR="004E0A38" w:rsidRPr="00E5567D" w:rsidRDefault="004E0A38" w:rsidP="004E0A38">
      <w:pPr>
        <w:pStyle w:val="Textonotapie"/>
        <w:ind w:firstLine="709"/>
        <w:jc w:val="both"/>
        <w:rPr>
          <w:rFonts w:ascii="Verdana" w:hAnsi="Verdana" w:cs="Arial"/>
          <w:color w:val="000000" w:themeColor="text1"/>
          <w:sz w:val="15"/>
          <w:szCs w:val="15"/>
          <w:lang w:val="es-ES"/>
        </w:rPr>
      </w:pPr>
      <w:r w:rsidRPr="00E5567D">
        <w:rPr>
          <w:rFonts w:ascii="Verdana" w:hAnsi="Verdana" w:cs="Arial"/>
          <w:color w:val="000000" w:themeColor="text1"/>
          <w:sz w:val="15"/>
          <w:szCs w:val="15"/>
          <w:lang w:val="es-ES"/>
        </w:rPr>
        <w:t xml:space="preserve">La parte que proporciona el goce se llama </w:t>
      </w:r>
      <w:r w:rsidRPr="00E5567D">
        <w:rPr>
          <w:rFonts w:ascii="Verdana" w:hAnsi="Verdana" w:cs="Arial"/>
          <w:b/>
          <w:color w:val="000000" w:themeColor="text1"/>
          <w:sz w:val="15"/>
          <w:szCs w:val="15"/>
          <w:lang w:val="es-ES"/>
        </w:rPr>
        <w:t>arrendador</w:t>
      </w:r>
      <w:r w:rsidRPr="00E5567D">
        <w:rPr>
          <w:rFonts w:ascii="Verdana" w:hAnsi="Verdana" w:cs="Arial"/>
          <w:color w:val="000000" w:themeColor="text1"/>
          <w:sz w:val="15"/>
          <w:szCs w:val="15"/>
          <w:lang w:val="es-ES"/>
        </w:rPr>
        <w:t xml:space="preserve"> y la parte que da el precio </w:t>
      </w:r>
      <w:r w:rsidRPr="00E5567D">
        <w:rPr>
          <w:rFonts w:ascii="Verdana" w:hAnsi="Verdana" w:cs="Arial"/>
          <w:b/>
          <w:color w:val="000000" w:themeColor="text1"/>
          <w:sz w:val="15"/>
          <w:szCs w:val="15"/>
          <w:lang w:val="es-ES"/>
        </w:rPr>
        <w:t>arrendatario</w:t>
      </w:r>
      <w:r w:rsidRPr="00E5567D">
        <w:rPr>
          <w:rFonts w:ascii="Verdana" w:hAnsi="Verdana" w:cs="Arial"/>
          <w:color w:val="000000" w:themeColor="text1"/>
          <w:sz w:val="15"/>
          <w:szCs w:val="15"/>
          <w:lang w:val="es-ES"/>
        </w:rPr>
        <w:t xml:space="preserve">. También se conoce con el nombre de </w:t>
      </w:r>
      <w:r w:rsidRPr="00E5567D">
        <w:rPr>
          <w:rFonts w:ascii="Verdana" w:hAnsi="Verdana" w:cs="Arial"/>
          <w:b/>
          <w:color w:val="000000" w:themeColor="text1"/>
          <w:sz w:val="15"/>
          <w:szCs w:val="15"/>
          <w:lang w:val="es-ES"/>
        </w:rPr>
        <w:t>inquilino</w:t>
      </w:r>
      <w:r w:rsidRPr="00E5567D">
        <w:rPr>
          <w:rFonts w:ascii="Verdana" w:hAnsi="Verdana" w:cs="Arial"/>
          <w:color w:val="000000" w:themeColor="text1"/>
          <w:sz w:val="15"/>
          <w:szCs w:val="15"/>
          <w:lang w:val="es-ES"/>
        </w:rPr>
        <w:t xml:space="preserve"> cuando se trata de arrendamiento de casas, almacenes u otros edificios, y </w:t>
      </w:r>
      <w:r w:rsidRPr="00E5567D">
        <w:rPr>
          <w:rFonts w:ascii="Verdana" w:hAnsi="Verdana" w:cs="Arial"/>
          <w:b/>
          <w:color w:val="000000" w:themeColor="text1"/>
          <w:sz w:val="15"/>
          <w:szCs w:val="15"/>
          <w:lang w:val="es-ES"/>
        </w:rPr>
        <w:t>colono</w:t>
      </w:r>
      <w:r w:rsidRPr="00E5567D">
        <w:rPr>
          <w:rFonts w:ascii="Verdana" w:hAnsi="Verdana" w:cs="Arial"/>
          <w:color w:val="000000" w:themeColor="text1"/>
          <w:sz w:val="15"/>
          <w:szCs w:val="15"/>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Énfasis dentro del texto). </w:t>
      </w:r>
    </w:p>
  </w:footnote>
  <w:footnote w:id="32">
    <w:p w14:paraId="2A4D326F" w14:textId="77777777" w:rsidR="004E0A38" w:rsidRPr="00E5567D" w:rsidRDefault="004E0A38" w:rsidP="004E0A38">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Lo anterior bajo el régimen del derecho privado, sin perjuicio de que cuando se trata de un contrato estatal deben cumplirse los requisitos de perfeccionamiento establecidos en el artículo 41 de la Ley 80 de 1993.</w:t>
      </w:r>
    </w:p>
  </w:footnote>
  <w:footnote w:id="33">
    <w:p w14:paraId="6E948425" w14:textId="77777777" w:rsidR="004E0A38" w:rsidRPr="00E5567D" w:rsidRDefault="004E0A38" w:rsidP="004E0A38">
      <w:pPr>
        <w:pStyle w:val="Textonotapie"/>
        <w:ind w:firstLine="709"/>
        <w:jc w:val="both"/>
        <w:rPr>
          <w:rFonts w:ascii="Verdana" w:hAnsi="Verdana" w:cs="Arial"/>
          <w:color w:val="000000" w:themeColor="text1"/>
          <w:sz w:val="15"/>
          <w:szCs w:val="15"/>
        </w:rPr>
      </w:pPr>
      <w:r w:rsidRPr="00E5567D">
        <w:rPr>
          <w:rStyle w:val="Refdenotaalpie"/>
          <w:rFonts w:ascii="Verdana" w:hAnsi="Verdana" w:cs="Arial"/>
          <w:color w:val="000000" w:themeColor="text1"/>
          <w:sz w:val="15"/>
          <w:szCs w:val="15"/>
        </w:rPr>
        <w:footnoteRef/>
      </w:r>
      <w:r w:rsidRPr="00E5567D">
        <w:rPr>
          <w:rFonts w:ascii="Verdana" w:hAnsi="Verdana" w:cs="Arial"/>
          <w:color w:val="000000" w:themeColor="text1"/>
          <w:sz w:val="15"/>
          <w:szCs w:val="15"/>
        </w:rPr>
        <w:t xml:space="preserve"> </w:t>
      </w:r>
      <w:r w:rsidRPr="00E5567D">
        <w:rPr>
          <w:rFonts w:ascii="Verdana" w:hAnsi="Verdana" w:cs="Arial"/>
          <w:i/>
          <w:color w:val="000000" w:themeColor="text1"/>
          <w:sz w:val="15"/>
          <w:szCs w:val="15"/>
        </w:rPr>
        <w:t>Ibidem</w:t>
      </w:r>
      <w:r w:rsidRPr="00E5567D">
        <w:rPr>
          <w:rFonts w:ascii="Verdana" w:hAnsi="Verdana" w:cs="Arial"/>
          <w:color w:val="000000" w:themeColor="text1"/>
          <w:sz w:val="15"/>
          <w:szCs w:val="15"/>
        </w:rPr>
        <w:t>. pp. 569-570.</w:t>
      </w:r>
    </w:p>
  </w:footnote>
  <w:footnote w:id="34">
    <w:p w14:paraId="529E65A5" w14:textId="77777777" w:rsidR="004E0A38" w:rsidRPr="00E5567D" w:rsidRDefault="004E0A38" w:rsidP="004E0A38">
      <w:pPr>
        <w:pStyle w:val="Textonotapie"/>
        <w:ind w:firstLine="708"/>
        <w:jc w:val="both"/>
        <w:rPr>
          <w:rFonts w:ascii="Verdana" w:hAnsi="Verdana"/>
          <w:sz w:val="15"/>
          <w:szCs w:val="15"/>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eastAsia="Calibri" w:hAnsi="Verdana" w:cs="Arial"/>
          <w:sz w:val="15"/>
          <w:szCs w:val="15"/>
          <w:lang w:val="es-ES"/>
        </w:rPr>
        <w:t>RICO PUERTA sostiene que “[…] no existe prohibición legal para que, en los eventos en los que la entidad estatal actúa como arrendadora pueda adelantar una convocatoria pública para obtener las mejores condiciones en el negocio y para garantizar el principio de libre concurrencia” (</w:t>
      </w:r>
      <w:r w:rsidRPr="00E5567D">
        <w:rPr>
          <w:rFonts w:ascii="Verdana" w:eastAsia="Calibri" w:hAnsi="Verdana" w:cs="Arial"/>
          <w:sz w:val="15"/>
          <w:szCs w:val="15"/>
          <w:lang w:val="es-CO"/>
        </w:rPr>
        <w:t xml:space="preserve">RICO PUERTA, Luis Alonso. Teoría general y práctica de la contratación estatal. Volumen II. Decimotercera edición. Bogotá: Grupo Editorial Ibañez, 2025. p. 1142). </w:t>
      </w:r>
      <w:r w:rsidRPr="00E5567D">
        <w:rPr>
          <w:rFonts w:ascii="Verdana" w:hAnsi="Verdana"/>
          <w:sz w:val="15"/>
          <w:szCs w:val="15"/>
        </w:rPr>
        <w:t>Por ejemplo, para RODRÍGUEZ TAMAYO “[…] resulta inútil la tramitación de convocatorias públicas que hacen algunas entidades estatales, cuando van a entregar en arrendamiento bienes inmuebles de su propiedad, pues en esos casos, el ordenamiento jurídico no exige tal procedimiento y, por el contrario, ello se presta para conflictos con los interesados que concurren a dichos llamados. Tanto la ley como el reglamento, dieron flexibilidad a la administración, ya sea para obrar como arrendador o como arrendatario, obviamente, teniendo como límite los precios del mercado y obrar en sentido contrario, en la práctica, implica regular aspectos no autorizados por la ley” (RODRÍGUEZ TAMAYO, Mauricio Fernando. Los contratos estatales en Colombia. Bogotá: Tirant lo Blanch, 2022. p. 199).</w:t>
      </w:r>
    </w:p>
    <w:p w14:paraId="21AE3B7E" w14:textId="77777777" w:rsidR="004E0A38" w:rsidRPr="00E5567D" w:rsidRDefault="004E0A38" w:rsidP="004E0A38">
      <w:pPr>
        <w:pStyle w:val="Textonotapie"/>
        <w:ind w:firstLine="708"/>
        <w:jc w:val="both"/>
        <w:rPr>
          <w:rFonts w:ascii="Verdana" w:hAnsi="Verdana"/>
          <w:sz w:val="15"/>
          <w:szCs w:val="15"/>
        </w:rPr>
      </w:pPr>
      <w:r w:rsidRPr="00E5567D">
        <w:rPr>
          <w:rFonts w:ascii="Verdana" w:hAnsi="Verdana"/>
          <w:sz w:val="15"/>
          <w:szCs w:val="15"/>
        </w:rPr>
        <w:t>En contraste, para SÁNCHEZ ESTRADA “[…] el legislador desaprovechó la oportunidad de corregir el yerro que viene desde los decretos 150 de 1976 y 222 de 1983, de habilitar la contratación directa tanto cuando la entidad estatal es arrendataria como cuando funge de arrendadora. En efecto, en la primera de las hipótesis está justificada la causal, pues cuando un ente estatal busca un inmueble el factor menos importante termina siendo el precio. La ubicación, funcionalidad, capacidad, etc., son criterios determinantes y muy difíciles de evaluar en un trámite licitatorio. No ocurre lo mismo cuando se trata de arrendar bienes de propiedad el Estado. En ese caso nada le impide a la administración adelantar un proceso de selección en el que escoja a quien, cumpliendo unas exigencias mínimas, le ofrezca pagar el mejor canon. De hecho, la aplicación amplia de la causal ha propiciado el favoritismo a la hora de arrendar bienes del Estado con privilegiada ubicación, no sólo en los entes territoriales.</w:t>
      </w:r>
    </w:p>
    <w:p w14:paraId="342D0E5E" w14:textId="77777777" w:rsidR="004E0A38" w:rsidRPr="00E5567D" w:rsidRDefault="004E0A38" w:rsidP="004E0A38">
      <w:pPr>
        <w:pStyle w:val="Textonotapie"/>
        <w:ind w:firstLine="708"/>
        <w:jc w:val="both"/>
        <w:rPr>
          <w:rFonts w:ascii="Verdana" w:hAnsi="Verdana"/>
          <w:sz w:val="15"/>
          <w:szCs w:val="15"/>
        </w:rPr>
      </w:pPr>
      <w:r w:rsidRPr="00E5567D">
        <w:rPr>
          <w:rFonts w:ascii="Verdana" w:hAnsi="Verdana"/>
          <w:sz w:val="15"/>
          <w:szCs w:val="15"/>
        </w:rPr>
        <w:t>A manera de ejemplo, recordemos los recientes contratos de arrendamiento suscritos por el Incoder-Ministerio de Agricultura con los ocupantes ilegales de las Islas del Rosario, a quienes se les ‘sancionó’ su infracción celebrando con ellos, de forma directa y a precios risibles, contratos de arrendamiento. Sin duda, de haberse efectuado convocatoria pública, el Estado hubiera conseguido mejores contratistas. No entendemos cómo para los casos de compra y venta se tienen previstos procedimientos distintos y no ocurre lo mismo cuando se toman o dan en arriendo inmuebles de propiedad de las entidades del Estado” (ESTRADA SÁNCHEZ, Juan Pablo. Contratación directa, convenios interadministrativos y contratos de cooperación internacional. En: Contratación estatal. Estudios sobre la reforma del Estatuto Contractual Ley 1150 de 2007. Bogotá: Universidad Externado de Colombia, 2009. p. 315).</w:t>
      </w:r>
    </w:p>
  </w:footnote>
  <w:footnote w:id="35">
    <w:p w14:paraId="3F8CEB77" w14:textId="77777777" w:rsidR="004E0A38" w:rsidRPr="009D6AE1" w:rsidRDefault="004E0A38" w:rsidP="004E0A38">
      <w:pPr>
        <w:pStyle w:val="Textonotapie"/>
        <w:ind w:firstLine="708"/>
        <w:jc w:val="both"/>
        <w:rPr>
          <w:rFonts w:ascii="Arial" w:hAnsi="Arial" w:cs="Arial"/>
          <w:sz w:val="14"/>
          <w:szCs w:val="14"/>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37398840">
    <w:abstractNumId w:val="6"/>
  </w:num>
  <w:num w:numId="2" w16cid:durableId="1501895830">
    <w:abstractNumId w:val="2"/>
  </w:num>
  <w:num w:numId="3" w16cid:durableId="1177575178">
    <w:abstractNumId w:val="4"/>
  </w:num>
  <w:num w:numId="4" w16cid:durableId="9498458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6179431">
    <w:abstractNumId w:val="2"/>
  </w:num>
  <w:num w:numId="6" w16cid:durableId="525021750">
    <w:abstractNumId w:val="13"/>
  </w:num>
  <w:num w:numId="7" w16cid:durableId="33699556">
    <w:abstractNumId w:val="5"/>
  </w:num>
  <w:num w:numId="8" w16cid:durableId="1499804063">
    <w:abstractNumId w:val="12"/>
  </w:num>
  <w:num w:numId="9" w16cid:durableId="2010450688">
    <w:abstractNumId w:val="7"/>
  </w:num>
  <w:num w:numId="10" w16cid:durableId="827862239">
    <w:abstractNumId w:val="11"/>
  </w:num>
  <w:num w:numId="11" w16cid:durableId="1301573244">
    <w:abstractNumId w:val="8"/>
  </w:num>
  <w:num w:numId="12" w16cid:durableId="1861889118">
    <w:abstractNumId w:val="1"/>
  </w:num>
  <w:num w:numId="13" w16cid:durableId="831876749">
    <w:abstractNumId w:val="3"/>
  </w:num>
  <w:num w:numId="14" w16cid:durableId="1848709449">
    <w:abstractNumId w:val="14"/>
  </w:num>
  <w:num w:numId="15" w16cid:durableId="197544906">
    <w:abstractNumId w:val="10"/>
  </w:num>
  <w:num w:numId="16" w16cid:durableId="1107503292">
    <w:abstractNumId w:val="0"/>
  </w:num>
  <w:num w:numId="17" w16cid:durableId="7512038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82362"/>
    <w:rsid w:val="000A683E"/>
    <w:rsid w:val="000B0204"/>
    <w:rsid w:val="000B19B9"/>
    <w:rsid w:val="000C08B7"/>
    <w:rsid w:val="000D0334"/>
    <w:rsid w:val="000D5DA7"/>
    <w:rsid w:val="000F4D9C"/>
    <w:rsid w:val="000F6486"/>
    <w:rsid w:val="001070B3"/>
    <w:rsid w:val="0011522F"/>
    <w:rsid w:val="00116940"/>
    <w:rsid w:val="00125105"/>
    <w:rsid w:val="00127233"/>
    <w:rsid w:val="0014242F"/>
    <w:rsid w:val="001518A8"/>
    <w:rsid w:val="00155A57"/>
    <w:rsid w:val="0015699B"/>
    <w:rsid w:val="001A0CB3"/>
    <w:rsid w:val="001A33BF"/>
    <w:rsid w:val="001B7CDA"/>
    <w:rsid w:val="001D2D37"/>
    <w:rsid w:val="001D793F"/>
    <w:rsid w:val="001E4177"/>
    <w:rsid w:val="001F0B24"/>
    <w:rsid w:val="001F7DC6"/>
    <w:rsid w:val="0022400B"/>
    <w:rsid w:val="00237E3A"/>
    <w:rsid w:val="002421BB"/>
    <w:rsid w:val="0025796E"/>
    <w:rsid w:val="0026315F"/>
    <w:rsid w:val="002707A2"/>
    <w:rsid w:val="00280847"/>
    <w:rsid w:val="002951A0"/>
    <w:rsid w:val="0029585C"/>
    <w:rsid w:val="002962BC"/>
    <w:rsid w:val="002A093D"/>
    <w:rsid w:val="002A0DD0"/>
    <w:rsid w:val="002A49AC"/>
    <w:rsid w:val="002A64FD"/>
    <w:rsid w:val="002C7A84"/>
    <w:rsid w:val="002D287F"/>
    <w:rsid w:val="002E2BF8"/>
    <w:rsid w:val="002E4483"/>
    <w:rsid w:val="002E4FD9"/>
    <w:rsid w:val="002F482F"/>
    <w:rsid w:val="0030657A"/>
    <w:rsid w:val="00322A85"/>
    <w:rsid w:val="00324168"/>
    <w:rsid w:val="00330834"/>
    <w:rsid w:val="003448F4"/>
    <w:rsid w:val="00350544"/>
    <w:rsid w:val="003556FE"/>
    <w:rsid w:val="00374D66"/>
    <w:rsid w:val="00374F5E"/>
    <w:rsid w:val="00377E3E"/>
    <w:rsid w:val="003A779E"/>
    <w:rsid w:val="003B3127"/>
    <w:rsid w:val="003C37E1"/>
    <w:rsid w:val="003D0F4D"/>
    <w:rsid w:val="003D5B0D"/>
    <w:rsid w:val="003E0499"/>
    <w:rsid w:val="003E4F80"/>
    <w:rsid w:val="003E6439"/>
    <w:rsid w:val="003F3941"/>
    <w:rsid w:val="00406575"/>
    <w:rsid w:val="00414C74"/>
    <w:rsid w:val="00417021"/>
    <w:rsid w:val="0042722E"/>
    <w:rsid w:val="0044528D"/>
    <w:rsid w:val="00466E39"/>
    <w:rsid w:val="004A1847"/>
    <w:rsid w:val="004A305D"/>
    <w:rsid w:val="004A6A6C"/>
    <w:rsid w:val="004D6761"/>
    <w:rsid w:val="004E0A38"/>
    <w:rsid w:val="004E2BE7"/>
    <w:rsid w:val="004F21C4"/>
    <w:rsid w:val="004F2201"/>
    <w:rsid w:val="004F488B"/>
    <w:rsid w:val="004F685F"/>
    <w:rsid w:val="005139E6"/>
    <w:rsid w:val="005566E8"/>
    <w:rsid w:val="00561B0A"/>
    <w:rsid w:val="00574867"/>
    <w:rsid w:val="00591460"/>
    <w:rsid w:val="005A65E0"/>
    <w:rsid w:val="005C3777"/>
    <w:rsid w:val="005C5CDC"/>
    <w:rsid w:val="005D476C"/>
    <w:rsid w:val="006200BF"/>
    <w:rsid w:val="006219F8"/>
    <w:rsid w:val="006302F7"/>
    <w:rsid w:val="00635161"/>
    <w:rsid w:val="00641FB4"/>
    <w:rsid w:val="00646B9F"/>
    <w:rsid w:val="00656BFD"/>
    <w:rsid w:val="00665D70"/>
    <w:rsid w:val="006900D9"/>
    <w:rsid w:val="006C3FA5"/>
    <w:rsid w:val="00706C16"/>
    <w:rsid w:val="007340C3"/>
    <w:rsid w:val="0075235A"/>
    <w:rsid w:val="00756841"/>
    <w:rsid w:val="007649AB"/>
    <w:rsid w:val="00771D0C"/>
    <w:rsid w:val="007833AC"/>
    <w:rsid w:val="0079376E"/>
    <w:rsid w:val="007B268C"/>
    <w:rsid w:val="007B7171"/>
    <w:rsid w:val="007C0C0F"/>
    <w:rsid w:val="007C3DC2"/>
    <w:rsid w:val="007E5497"/>
    <w:rsid w:val="007E7F91"/>
    <w:rsid w:val="00806F5F"/>
    <w:rsid w:val="00820278"/>
    <w:rsid w:val="008258C9"/>
    <w:rsid w:val="00844AE9"/>
    <w:rsid w:val="00847BED"/>
    <w:rsid w:val="0086024B"/>
    <w:rsid w:val="00860DCD"/>
    <w:rsid w:val="00867F95"/>
    <w:rsid w:val="0088172C"/>
    <w:rsid w:val="008843B6"/>
    <w:rsid w:val="00891928"/>
    <w:rsid w:val="00894532"/>
    <w:rsid w:val="008A446D"/>
    <w:rsid w:val="008B25F1"/>
    <w:rsid w:val="008B2850"/>
    <w:rsid w:val="008D180B"/>
    <w:rsid w:val="008F0EA7"/>
    <w:rsid w:val="00923EEF"/>
    <w:rsid w:val="00934025"/>
    <w:rsid w:val="009419F9"/>
    <w:rsid w:val="0095685E"/>
    <w:rsid w:val="00961B09"/>
    <w:rsid w:val="00964A84"/>
    <w:rsid w:val="00965334"/>
    <w:rsid w:val="0097093E"/>
    <w:rsid w:val="009A0DFA"/>
    <w:rsid w:val="009A1C6F"/>
    <w:rsid w:val="009B2D26"/>
    <w:rsid w:val="009C71FA"/>
    <w:rsid w:val="009C72E7"/>
    <w:rsid w:val="009C7F7E"/>
    <w:rsid w:val="009D176B"/>
    <w:rsid w:val="009D3058"/>
    <w:rsid w:val="009D7880"/>
    <w:rsid w:val="009E6FFC"/>
    <w:rsid w:val="009F3A13"/>
    <w:rsid w:val="00A05A74"/>
    <w:rsid w:val="00A122D3"/>
    <w:rsid w:val="00A14468"/>
    <w:rsid w:val="00A17F13"/>
    <w:rsid w:val="00A20739"/>
    <w:rsid w:val="00A23AF9"/>
    <w:rsid w:val="00A33C78"/>
    <w:rsid w:val="00A46547"/>
    <w:rsid w:val="00A63B56"/>
    <w:rsid w:val="00A75B7F"/>
    <w:rsid w:val="00AB0ADB"/>
    <w:rsid w:val="00AB1573"/>
    <w:rsid w:val="00B00C0E"/>
    <w:rsid w:val="00B01B1A"/>
    <w:rsid w:val="00B0381D"/>
    <w:rsid w:val="00B24AEA"/>
    <w:rsid w:val="00B44A47"/>
    <w:rsid w:val="00B47CED"/>
    <w:rsid w:val="00B72CD3"/>
    <w:rsid w:val="00B72FFF"/>
    <w:rsid w:val="00B74ACC"/>
    <w:rsid w:val="00B95CDA"/>
    <w:rsid w:val="00BA0912"/>
    <w:rsid w:val="00BA6726"/>
    <w:rsid w:val="00BC3A9C"/>
    <w:rsid w:val="00BC3D36"/>
    <w:rsid w:val="00BC5A53"/>
    <w:rsid w:val="00BD54A6"/>
    <w:rsid w:val="00BD7F72"/>
    <w:rsid w:val="00BE3D4E"/>
    <w:rsid w:val="00BF7425"/>
    <w:rsid w:val="00C04FB3"/>
    <w:rsid w:val="00C11D8B"/>
    <w:rsid w:val="00C1318A"/>
    <w:rsid w:val="00C15139"/>
    <w:rsid w:val="00C226C8"/>
    <w:rsid w:val="00C30D0A"/>
    <w:rsid w:val="00C3126E"/>
    <w:rsid w:val="00C330EB"/>
    <w:rsid w:val="00C33650"/>
    <w:rsid w:val="00C50D69"/>
    <w:rsid w:val="00C5365C"/>
    <w:rsid w:val="00C63537"/>
    <w:rsid w:val="00C754BE"/>
    <w:rsid w:val="00C76B1C"/>
    <w:rsid w:val="00C835FA"/>
    <w:rsid w:val="00C925AC"/>
    <w:rsid w:val="00CA3E64"/>
    <w:rsid w:val="00CB6357"/>
    <w:rsid w:val="00CC1B26"/>
    <w:rsid w:val="00CE2D04"/>
    <w:rsid w:val="00D12C0E"/>
    <w:rsid w:val="00D25F90"/>
    <w:rsid w:val="00D361FD"/>
    <w:rsid w:val="00D423A2"/>
    <w:rsid w:val="00D44E26"/>
    <w:rsid w:val="00D520D8"/>
    <w:rsid w:val="00D63AC2"/>
    <w:rsid w:val="00D7383B"/>
    <w:rsid w:val="00D7788A"/>
    <w:rsid w:val="00D92188"/>
    <w:rsid w:val="00D94D13"/>
    <w:rsid w:val="00DA231B"/>
    <w:rsid w:val="00DC39FC"/>
    <w:rsid w:val="00DF5254"/>
    <w:rsid w:val="00E02524"/>
    <w:rsid w:val="00E13C9E"/>
    <w:rsid w:val="00E16408"/>
    <w:rsid w:val="00E20894"/>
    <w:rsid w:val="00E245AB"/>
    <w:rsid w:val="00E2764C"/>
    <w:rsid w:val="00E27F2E"/>
    <w:rsid w:val="00E50AFE"/>
    <w:rsid w:val="00E75C92"/>
    <w:rsid w:val="00E771DC"/>
    <w:rsid w:val="00E862BD"/>
    <w:rsid w:val="00E86B2C"/>
    <w:rsid w:val="00E8772A"/>
    <w:rsid w:val="00E90F6B"/>
    <w:rsid w:val="00E92C27"/>
    <w:rsid w:val="00E93BDF"/>
    <w:rsid w:val="00EA0AC6"/>
    <w:rsid w:val="00EA0E3D"/>
    <w:rsid w:val="00EA2D1C"/>
    <w:rsid w:val="00EC38A7"/>
    <w:rsid w:val="00EE1AA8"/>
    <w:rsid w:val="00EE6981"/>
    <w:rsid w:val="00F201E5"/>
    <w:rsid w:val="00F23FEA"/>
    <w:rsid w:val="00F31EDC"/>
    <w:rsid w:val="00F4371B"/>
    <w:rsid w:val="00F462B3"/>
    <w:rsid w:val="00F5664F"/>
    <w:rsid w:val="00F666C4"/>
    <w:rsid w:val="00F76AFC"/>
    <w:rsid w:val="00F8740A"/>
    <w:rsid w:val="00FA47C0"/>
    <w:rsid w:val="00FB5DD1"/>
    <w:rsid w:val="00FC2B5D"/>
    <w:rsid w:val="00FD0CB0"/>
    <w:rsid w:val="00FE1A2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0BB5D8B"/>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D3C09C9-1E64-4883-AC62-86729FCA7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A3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B157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B1573"/>
    <w:rPr>
      <w:rFonts w:ascii="Geomanist Light" w:hAnsi="Geomanist Light"/>
      <w:lang w:val="es-ES"/>
    </w:rPr>
  </w:style>
  <w:style w:type="character" w:customStyle="1" w:styleId="s15">
    <w:name w:val="s15"/>
    <w:basedOn w:val="Fuentedeprrafopredeter"/>
    <w:rsid w:val="00AB1573"/>
  </w:style>
  <w:style w:type="character" w:customStyle="1" w:styleId="NormalWebCar">
    <w:name w:val="Normal (Web) Car"/>
    <w:link w:val="NormalWeb"/>
    <w:uiPriority w:val="99"/>
    <w:locked/>
    <w:rsid w:val="00AB1573"/>
    <w:rPr>
      <w:rFonts w:ascii="Times New Roman" w:eastAsia="Times New Roman" w:hAnsi="Times New Roman" w:cs="Times New Roman"/>
      <w:sz w:val="24"/>
      <w:szCs w:val="24"/>
      <w:lang w:eastAsia="es-CO"/>
    </w:rPr>
  </w:style>
  <w:style w:type="character" w:customStyle="1" w:styleId="baj">
    <w:name w:val="b_aj"/>
    <w:basedOn w:val="Fuentedeprrafopredeter"/>
    <w:rsid w:val="00AB1573"/>
  </w:style>
  <w:style w:type="table" w:customStyle="1" w:styleId="Tablaconcuadrcula1">
    <w:name w:val="Tabla con cuadrícula1"/>
    <w:basedOn w:val="Tablanormal"/>
    <w:next w:val="Tablaconcuadrcula"/>
    <w:uiPriority w:val="39"/>
    <w:qFormat/>
    <w:rsid w:val="00B24A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24AEA"/>
    <w:rPr>
      <w:sz w:val="16"/>
      <w:szCs w:val="16"/>
    </w:rPr>
  </w:style>
  <w:style w:type="paragraph" w:styleId="Textocomentario">
    <w:name w:val="annotation text"/>
    <w:basedOn w:val="Normal"/>
    <w:link w:val="TextocomentarioCar"/>
    <w:uiPriority w:val="99"/>
    <w:unhideWhenUsed/>
    <w:rsid w:val="00B24AEA"/>
    <w:pPr>
      <w:spacing w:line="240" w:lineRule="auto"/>
    </w:pPr>
    <w:rPr>
      <w:sz w:val="20"/>
      <w:szCs w:val="20"/>
    </w:rPr>
  </w:style>
  <w:style w:type="character" w:customStyle="1" w:styleId="TextocomentarioCar">
    <w:name w:val="Texto comentario Car"/>
    <w:basedOn w:val="Fuentedeprrafopredeter"/>
    <w:link w:val="Textocomentario"/>
    <w:uiPriority w:val="99"/>
    <w:rsid w:val="00B24AEA"/>
    <w:rPr>
      <w:sz w:val="20"/>
      <w:szCs w:val="20"/>
    </w:rPr>
  </w:style>
  <w:style w:type="paragraph" w:styleId="Textodeglobo">
    <w:name w:val="Balloon Text"/>
    <w:basedOn w:val="Normal"/>
    <w:link w:val="TextodegloboCar"/>
    <w:uiPriority w:val="99"/>
    <w:semiHidden/>
    <w:unhideWhenUsed/>
    <w:rsid w:val="00B24A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4A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mailto:distriseguridad@cartagena.gov.co"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E3A57AF-BAA0-4553-92F9-DA90CAB117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DE148E1-E79C-4D6C-BF3F-019464F75909}">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34</Pages>
  <Words>11685</Words>
  <Characters>64271</Characters>
  <Application>Microsoft Office Word</Application>
  <DocSecurity>0</DocSecurity>
  <Lines>535</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2026-03-13T00:43:00Z</dcterms:created>
  <dcterms:modified xsi:type="dcterms:W3CDTF">2026-03-13T16:04:00Z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