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0EE1FE" w14:textId="77777777" w:rsidR="00EC5693" w:rsidRPr="007C55B9" w:rsidRDefault="00EC5693" w:rsidP="00EC5693">
      <w:pPr>
        <w:spacing w:after="0" w:line="240" w:lineRule="auto"/>
        <w:jc w:val="both"/>
        <w:rPr>
          <w:rFonts w:ascii="Verdana" w:eastAsia="Calibri" w:hAnsi="Verdana" w:cs="Arial"/>
          <w:b/>
          <w:color w:val="000000" w:themeColor="text1"/>
          <w:lang w:val="es-ES"/>
        </w:rPr>
      </w:pPr>
      <w:bookmarkStart w:id="0" w:name="_Hlk143780582"/>
      <w:r w:rsidRPr="007C55B9">
        <w:rPr>
          <w:rFonts w:ascii="Verdana" w:eastAsia="Calibri" w:hAnsi="Verdana" w:cs="Arial"/>
          <w:b/>
          <w:color w:val="000000" w:themeColor="text1"/>
          <w:lang w:val="es-ES"/>
        </w:rPr>
        <w:t>LEY DE GARANTÍAS ELECTORALES – Finalidad - Ley 996 de 2005 – Comicios aplicables</w:t>
      </w:r>
    </w:p>
    <w:p w14:paraId="76009AF9" w14:textId="77777777" w:rsidR="00EC5693" w:rsidRPr="007C55B9" w:rsidRDefault="00EC5693" w:rsidP="00EC5693">
      <w:pPr>
        <w:spacing w:after="0" w:line="240" w:lineRule="auto"/>
        <w:jc w:val="both"/>
        <w:rPr>
          <w:rFonts w:ascii="Verdana" w:eastAsia="Calibri" w:hAnsi="Verdana" w:cs="Arial"/>
          <w:bCs/>
          <w:color w:val="000000" w:themeColor="text1"/>
          <w:sz w:val="20"/>
          <w:szCs w:val="20"/>
          <w:lang w:val="es-ES"/>
        </w:rPr>
      </w:pPr>
    </w:p>
    <w:p w14:paraId="10462A29" w14:textId="77777777" w:rsidR="00EC5693" w:rsidRPr="007C55B9" w:rsidRDefault="00EC5693" w:rsidP="00EC5693">
      <w:pPr>
        <w:spacing w:after="0" w:line="240" w:lineRule="auto"/>
        <w:jc w:val="both"/>
        <w:rPr>
          <w:rFonts w:ascii="Verdana" w:eastAsia="Calibri" w:hAnsi="Verdana" w:cs="Arial"/>
          <w:color w:val="000000" w:themeColor="text1"/>
          <w:sz w:val="20"/>
          <w:szCs w:val="20"/>
          <w:lang w:val="es-ES_tradnl" w:eastAsia="es-ES_tradnl"/>
        </w:rPr>
      </w:pPr>
      <w:r w:rsidRPr="007C55B9">
        <w:rPr>
          <w:rFonts w:ascii="Verdana" w:eastAsia="Calibri" w:hAnsi="Verdana" w:cs="Arial"/>
          <w:color w:val="000000" w:themeColor="text1"/>
          <w:sz w:val="20"/>
          <w:szCs w:val="20"/>
          <w:lang w:val="es-ES_tradnl" w:eastAsia="es-ES_tradnl"/>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6ECC295A" w14:textId="77777777" w:rsidR="00EC5693" w:rsidRPr="007C55B9" w:rsidRDefault="00EC5693" w:rsidP="00EC5693">
      <w:pPr>
        <w:spacing w:after="0" w:line="240" w:lineRule="auto"/>
        <w:jc w:val="both"/>
        <w:rPr>
          <w:rFonts w:ascii="Verdana" w:eastAsia="Calibri" w:hAnsi="Verdana" w:cs="Arial"/>
          <w:color w:val="000000" w:themeColor="text1"/>
          <w:sz w:val="20"/>
          <w:szCs w:val="20"/>
          <w:lang w:val="es-ES_tradnl" w:eastAsia="es-ES_tradnl"/>
        </w:rPr>
      </w:pPr>
      <w:r w:rsidRPr="007C55B9">
        <w:rPr>
          <w:rFonts w:ascii="Verdana" w:eastAsia="Calibri" w:hAnsi="Verdana" w:cs="Arial"/>
          <w:color w:val="000000" w:themeColor="text1"/>
          <w:sz w:val="20"/>
          <w:szCs w:val="20"/>
          <w:lang w:val="es-ES_tradnl" w:eastAsia="es-ES_tradnl"/>
        </w:rPr>
        <w:t>[…]</w:t>
      </w:r>
    </w:p>
    <w:p w14:paraId="295B6652" w14:textId="77777777" w:rsidR="00EC5693" w:rsidRPr="007C55B9" w:rsidRDefault="00EC5693" w:rsidP="00EC5693">
      <w:pPr>
        <w:spacing w:after="0" w:line="240" w:lineRule="auto"/>
        <w:jc w:val="both"/>
        <w:rPr>
          <w:rFonts w:ascii="Verdana" w:eastAsia="Calibri" w:hAnsi="Verdana" w:cs="Arial"/>
          <w:color w:val="000000" w:themeColor="text1"/>
          <w:sz w:val="20"/>
          <w:szCs w:val="20"/>
          <w:lang w:val="es-ES"/>
        </w:rPr>
      </w:pPr>
      <w:r w:rsidRPr="007C55B9">
        <w:rPr>
          <w:rFonts w:ascii="Verdana" w:eastAsia="Calibri" w:hAnsi="Verdana" w:cs="Arial"/>
          <w:color w:val="000000" w:themeColor="text1"/>
          <w:sz w:val="20"/>
          <w:szCs w:val="20"/>
          <w:lang w:val="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32711EBF" w14:textId="77777777" w:rsidR="00EC5693" w:rsidRPr="007C55B9" w:rsidRDefault="00EC5693" w:rsidP="00EC5693">
      <w:pPr>
        <w:spacing w:after="0" w:line="240" w:lineRule="auto"/>
        <w:rPr>
          <w:rFonts w:ascii="Verdana" w:eastAsia="Geomanist Light" w:hAnsi="Verdana" w:cs="Arial"/>
          <w:color w:val="000000" w:themeColor="text1"/>
          <w:sz w:val="20"/>
          <w:szCs w:val="20"/>
          <w:lang w:val="es-ES_tradnl"/>
        </w:rPr>
      </w:pPr>
    </w:p>
    <w:p w14:paraId="38B55FC0" w14:textId="77777777" w:rsidR="00EC5693" w:rsidRPr="009B0013" w:rsidRDefault="00EC5693" w:rsidP="00EC5693">
      <w:pPr>
        <w:spacing w:after="0" w:line="240" w:lineRule="auto"/>
        <w:jc w:val="both"/>
        <w:rPr>
          <w:rFonts w:ascii="Verdana" w:hAnsi="Verdana"/>
          <w:b/>
          <w:bCs/>
        </w:rPr>
      </w:pPr>
      <w:r>
        <w:rPr>
          <w:rFonts w:ascii="Verdana" w:hAnsi="Verdana"/>
          <w:b/>
          <w:bCs/>
        </w:rPr>
        <w:t>LEY DE GARANTÍAS ELECTORALES – Restricciones – Elecciones presidenciales – Destinatarios – Excepciones</w:t>
      </w:r>
    </w:p>
    <w:p w14:paraId="212724D7" w14:textId="77777777" w:rsidR="00EC5693" w:rsidRDefault="00EC5693" w:rsidP="00EC5693">
      <w:pPr>
        <w:spacing w:after="0" w:line="240" w:lineRule="auto"/>
        <w:jc w:val="both"/>
        <w:rPr>
          <w:rFonts w:ascii="Verdana" w:hAnsi="Verdana"/>
          <w:sz w:val="20"/>
          <w:szCs w:val="20"/>
        </w:rPr>
      </w:pPr>
    </w:p>
    <w:p w14:paraId="75BD08A5" w14:textId="77777777" w:rsidR="00EC5693" w:rsidRDefault="00EC5693" w:rsidP="00EC5693">
      <w:pPr>
        <w:spacing w:after="0" w:line="240" w:lineRule="auto"/>
        <w:jc w:val="both"/>
        <w:rPr>
          <w:rFonts w:ascii="Verdana" w:hAnsi="Verdana"/>
          <w:sz w:val="20"/>
          <w:szCs w:val="20"/>
        </w:rPr>
      </w:pPr>
      <w:r w:rsidRPr="009A167A">
        <w:rPr>
          <w:rFonts w:ascii="Verdana" w:hAnsi="Verdana"/>
          <w:sz w:val="20"/>
          <w:szCs w:val="20"/>
        </w:rPr>
        <w:t xml:space="preserve">[…] </w:t>
      </w:r>
      <w:r w:rsidRPr="009B0013">
        <w:rPr>
          <w:rFonts w:ascii="Verdana" w:hAnsi="Verdana"/>
          <w:sz w:val="20"/>
          <w:szCs w:val="20"/>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hAnsi="Verdana"/>
          <w:sz w:val="20"/>
          <w:szCs w:val="20"/>
        </w:rPr>
        <w:t>. […]</w:t>
      </w:r>
    </w:p>
    <w:p w14:paraId="70019926" w14:textId="77777777" w:rsidR="00EC5693" w:rsidRDefault="00EC5693" w:rsidP="00EC5693">
      <w:pPr>
        <w:spacing w:after="0" w:line="240" w:lineRule="auto"/>
        <w:jc w:val="both"/>
        <w:rPr>
          <w:rFonts w:ascii="Verdana" w:hAnsi="Verdana"/>
          <w:sz w:val="20"/>
          <w:szCs w:val="20"/>
        </w:rPr>
      </w:pPr>
      <w:r>
        <w:rPr>
          <w:rFonts w:ascii="Verdana" w:hAnsi="Verdana"/>
          <w:sz w:val="20"/>
          <w:szCs w:val="20"/>
        </w:rPr>
        <w:t>[…]</w:t>
      </w:r>
    </w:p>
    <w:p w14:paraId="085D46B6" w14:textId="77777777" w:rsidR="00EC5693" w:rsidRPr="009A167A" w:rsidRDefault="00EC5693" w:rsidP="00EC5693">
      <w:pPr>
        <w:spacing w:after="0" w:line="240" w:lineRule="auto"/>
        <w:jc w:val="both"/>
        <w:rPr>
          <w:rFonts w:ascii="Verdana" w:hAnsi="Verdana"/>
          <w:sz w:val="20"/>
          <w:szCs w:val="20"/>
        </w:rPr>
      </w:pPr>
      <w:r>
        <w:rPr>
          <w:rFonts w:ascii="Verdana" w:hAnsi="Verdana"/>
          <w:sz w:val="20"/>
          <w:szCs w:val="20"/>
        </w:rPr>
        <w:t xml:space="preserve">En conclusión, </w:t>
      </w:r>
      <w:r w:rsidRPr="009A167A">
        <w:rPr>
          <w:rFonts w:ascii="Verdana" w:hAnsi="Verdana"/>
          <w:sz w:val="20"/>
          <w:szCs w:val="20"/>
        </w:rPr>
        <w:t>todos los entes del Estado, independiente del régimen jurídico de contratación aplicable, están sujetos a la restricción del artículo 33 ibidem, es decir, no podrán adelantar procesos que impliquen contratación directa respecto de las elecciones presidenciales, dentro de los cuatro (4) meses anteriores a la celebración de los comicios, salvo las excepciones dispuestas en esta. En efecto, los entes del Estado independientemente de su régimen especial no podrán celebrar contratos de forma directa desde el 31 de enero de 2026, teniendo en cuenta que la Resolución 02580 del 5 de marzo de 2025, emitida por la Registraduría Nacional del Estado Civil dispuso que las elecciones presidenciales se celebrarán el 31 de mayo de 2026.</w:t>
      </w:r>
    </w:p>
    <w:p w14:paraId="7D6E69FD" w14:textId="77777777" w:rsidR="00EC5693" w:rsidRDefault="00EC5693" w:rsidP="00EC5693">
      <w:pPr>
        <w:spacing w:after="0" w:line="240" w:lineRule="auto"/>
        <w:jc w:val="both"/>
        <w:rPr>
          <w:rFonts w:ascii="Verdana" w:hAnsi="Verdana"/>
          <w:sz w:val="20"/>
          <w:szCs w:val="20"/>
        </w:rPr>
      </w:pPr>
    </w:p>
    <w:p w14:paraId="0FE4FFC1" w14:textId="77777777" w:rsidR="00EC5693" w:rsidRPr="009B0013" w:rsidRDefault="00EC5693" w:rsidP="00EC5693">
      <w:pPr>
        <w:spacing w:after="0" w:line="240" w:lineRule="auto"/>
        <w:jc w:val="both"/>
        <w:rPr>
          <w:rFonts w:ascii="Verdana" w:hAnsi="Verdana"/>
          <w:b/>
          <w:bCs/>
        </w:rPr>
      </w:pPr>
      <w:r>
        <w:rPr>
          <w:rFonts w:ascii="Verdana" w:hAnsi="Verdana"/>
          <w:b/>
          <w:bCs/>
        </w:rPr>
        <w:lastRenderedPageBreak/>
        <w:t>LEY DE GARANTÍAS ELECTORALES – Restricciones – Otros comicios - Destinatarios</w:t>
      </w:r>
    </w:p>
    <w:p w14:paraId="5F3457DE" w14:textId="77777777" w:rsidR="00EC5693" w:rsidRDefault="00EC5693" w:rsidP="00EC5693">
      <w:pPr>
        <w:spacing w:after="0" w:line="240" w:lineRule="auto"/>
        <w:jc w:val="both"/>
        <w:rPr>
          <w:rFonts w:ascii="Verdana" w:hAnsi="Verdana"/>
          <w:sz w:val="20"/>
          <w:szCs w:val="20"/>
        </w:rPr>
      </w:pPr>
    </w:p>
    <w:p w14:paraId="761BC7CC" w14:textId="77777777" w:rsidR="00EC5693" w:rsidRPr="009A167A" w:rsidRDefault="00EC5693" w:rsidP="00EC5693">
      <w:pPr>
        <w:spacing w:after="0" w:line="240" w:lineRule="auto"/>
        <w:jc w:val="both"/>
        <w:rPr>
          <w:rFonts w:ascii="Verdana" w:hAnsi="Verdana"/>
          <w:sz w:val="20"/>
          <w:szCs w:val="20"/>
        </w:rPr>
      </w:pPr>
      <w:r w:rsidRPr="009A167A">
        <w:rPr>
          <w:rFonts w:ascii="Verdana" w:hAnsi="Verdana"/>
          <w:sz w:val="20"/>
          <w:szCs w:val="20"/>
        </w:rPr>
        <w:t>[…] respecto de los demás comicios, se tiene que a estos le son aplicables las prohibiciones dispuestas en el parágrafo del artículo 38 de la Ley 996 de 2005, disposición que prevé una restricción aplicable respecto de cualquier tipo de contienda electoral, que impide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22CCC962" w14:textId="77777777" w:rsidR="00EC5693" w:rsidRPr="007C55B9" w:rsidRDefault="00EC5693" w:rsidP="00EC5693">
      <w:pPr>
        <w:spacing w:after="0" w:line="276" w:lineRule="auto"/>
        <w:jc w:val="both"/>
        <w:rPr>
          <w:rFonts w:ascii="Verdana" w:hAnsi="Verdana"/>
        </w:rPr>
      </w:pPr>
    </w:p>
    <w:p w14:paraId="25567A36" w14:textId="77777777" w:rsidR="00EC5693" w:rsidRDefault="00EC5693" w:rsidP="00EC5693">
      <w:pPr>
        <w:spacing w:after="0" w:line="240" w:lineRule="auto"/>
        <w:rPr>
          <w:rFonts w:ascii="Verdana" w:eastAsia="Aptos" w:hAnsi="Verdana" w:cs="Times New Roman"/>
          <w:sz w:val="20"/>
          <w:szCs w:val="20"/>
        </w:rPr>
      </w:pPr>
    </w:p>
    <w:p w14:paraId="019B39A5" w14:textId="77777777" w:rsidR="00EC5693" w:rsidRDefault="00EC5693" w:rsidP="00EC5693">
      <w:pPr>
        <w:spacing w:after="0" w:line="240" w:lineRule="auto"/>
        <w:rPr>
          <w:rFonts w:ascii="Verdana" w:eastAsia="Aptos" w:hAnsi="Verdana" w:cs="Times New Roman"/>
          <w:sz w:val="20"/>
          <w:szCs w:val="20"/>
        </w:rPr>
      </w:pPr>
    </w:p>
    <w:p w14:paraId="3AFF221E" w14:textId="77777777" w:rsidR="00EC5693" w:rsidRDefault="00EC5693" w:rsidP="00EC5693">
      <w:pPr>
        <w:spacing w:after="0" w:line="240" w:lineRule="auto"/>
        <w:rPr>
          <w:rFonts w:ascii="Verdana" w:eastAsia="Aptos" w:hAnsi="Verdana" w:cs="Times New Roman"/>
          <w:sz w:val="20"/>
          <w:szCs w:val="20"/>
        </w:rPr>
      </w:pPr>
    </w:p>
    <w:p w14:paraId="68CCB50F" w14:textId="77777777" w:rsidR="00EC5693" w:rsidRDefault="00EC5693" w:rsidP="00EC5693">
      <w:pPr>
        <w:spacing w:after="0" w:line="240" w:lineRule="auto"/>
        <w:rPr>
          <w:rFonts w:ascii="Verdana" w:eastAsia="Aptos" w:hAnsi="Verdana" w:cs="Times New Roman"/>
          <w:sz w:val="20"/>
          <w:szCs w:val="20"/>
        </w:rPr>
      </w:pPr>
    </w:p>
    <w:p w14:paraId="104AF5CA" w14:textId="77777777" w:rsidR="00EC5693" w:rsidRDefault="00EC5693" w:rsidP="00EC5693">
      <w:pPr>
        <w:spacing w:after="0" w:line="240" w:lineRule="auto"/>
        <w:rPr>
          <w:rFonts w:ascii="Verdana" w:eastAsia="Aptos" w:hAnsi="Verdana" w:cs="Times New Roman"/>
          <w:sz w:val="20"/>
          <w:szCs w:val="20"/>
        </w:rPr>
      </w:pPr>
    </w:p>
    <w:p w14:paraId="26C40B18" w14:textId="77777777" w:rsidR="00EC5693" w:rsidRDefault="00EC5693" w:rsidP="00EC5693">
      <w:pPr>
        <w:spacing w:after="0" w:line="240" w:lineRule="auto"/>
        <w:rPr>
          <w:rFonts w:ascii="Verdana" w:eastAsia="Aptos" w:hAnsi="Verdana" w:cs="Times New Roman"/>
          <w:sz w:val="20"/>
          <w:szCs w:val="20"/>
        </w:rPr>
      </w:pPr>
    </w:p>
    <w:p w14:paraId="49EA60D9" w14:textId="77777777" w:rsidR="00EC5693" w:rsidRDefault="00EC5693" w:rsidP="00EC5693">
      <w:pPr>
        <w:spacing w:after="0" w:line="240" w:lineRule="auto"/>
        <w:rPr>
          <w:rFonts w:ascii="Verdana" w:eastAsia="Aptos" w:hAnsi="Verdana" w:cs="Times New Roman"/>
          <w:sz w:val="20"/>
          <w:szCs w:val="20"/>
        </w:rPr>
      </w:pPr>
    </w:p>
    <w:p w14:paraId="3F924976" w14:textId="77777777" w:rsidR="00EC5693" w:rsidRDefault="00EC5693" w:rsidP="00EC5693">
      <w:pPr>
        <w:spacing w:after="0" w:line="240" w:lineRule="auto"/>
        <w:rPr>
          <w:rFonts w:ascii="Verdana" w:eastAsia="Aptos" w:hAnsi="Verdana" w:cs="Times New Roman"/>
          <w:sz w:val="20"/>
          <w:szCs w:val="20"/>
        </w:rPr>
      </w:pPr>
    </w:p>
    <w:p w14:paraId="6A190B88" w14:textId="77777777" w:rsidR="00EC5693" w:rsidRDefault="00EC5693" w:rsidP="00EC5693">
      <w:pPr>
        <w:spacing w:after="0" w:line="240" w:lineRule="auto"/>
        <w:rPr>
          <w:rFonts w:ascii="Verdana" w:eastAsia="Aptos" w:hAnsi="Verdana" w:cs="Times New Roman"/>
          <w:sz w:val="20"/>
          <w:szCs w:val="20"/>
        </w:rPr>
      </w:pPr>
    </w:p>
    <w:p w14:paraId="5DDC4E2D" w14:textId="77777777" w:rsidR="00EC5693" w:rsidRDefault="00EC5693" w:rsidP="00EC5693">
      <w:pPr>
        <w:spacing w:after="0" w:line="240" w:lineRule="auto"/>
        <w:rPr>
          <w:rFonts w:ascii="Verdana" w:eastAsia="Aptos" w:hAnsi="Verdana" w:cs="Times New Roman"/>
          <w:sz w:val="20"/>
          <w:szCs w:val="20"/>
        </w:rPr>
      </w:pPr>
    </w:p>
    <w:p w14:paraId="67AFF228" w14:textId="77777777" w:rsidR="00EC5693" w:rsidRDefault="00EC5693" w:rsidP="00EC5693">
      <w:pPr>
        <w:spacing w:after="0" w:line="240" w:lineRule="auto"/>
        <w:rPr>
          <w:rFonts w:ascii="Verdana" w:eastAsia="Aptos" w:hAnsi="Verdana" w:cs="Times New Roman"/>
          <w:sz w:val="20"/>
          <w:szCs w:val="20"/>
        </w:rPr>
      </w:pPr>
    </w:p>
    <w:p w14:paraId="63E9D241" w14:textId="77777777" w:rsidR="00EC5693" w:rsidRDefault="00EC5693" w:rsidP="00EC5693">
      <w:pPr>
        <w:spacing w:after="0" w:line="240" w:lineRule="auto"/>
        <w:rPr>
          <w:rFonts w:ascii="Verdana" w:eastAsia="Aptos" w:hAnsi="Verdana" w:cs="Times New Roman"/>
          <w:sz w:val="20"/>
          <w:szCs w:val="20"/>
        </w:rPr>
      </w:pPr>
    </w:p>
    <w:p w14:paraId="1C33ECC5" w14:textId="77777777" w:rsidR="00EC5693" w:rsidRDefault="00EC5693" w:rsidP="00EC5693">
      <w:pPr>
        <w:spacing w:after="0" w:line="240" w:lineRule="auto"/>
        <w:rPr>
          <w:rFonts w:ascii="Verdana" w:eastAsia="Aptos" w:hAnsi="Verdana" w:cs="Times New Roman"/>
          <w:sz w:val="20"/>
          <w:szCs w:val="20"/>
        </w:rPr>
      </w:pPr>
    </w:p>
    <w:p w14:paraId="0F0EFD4A" w14:textId="77777777" w:rsidR="00EC5693" w:rsidRDefault="00EC5693" w:rsidP="00EC5693">
      <w:pPr>
        <w:spacing w:after="0" w:line="240" w:lineRule="auto"/>
        <w:rPr>
          <w:rFonts w:ascii="Verdana" w:eastAsia="Aptos" w:hAnsi="Verdana" w:cs="Times New Roman"/>
          <w:sz w:val="20"/>
          <w:szCs w:val="20"/>
        </w:rPr>
      </w:pPr>
    </w:p>
    <w:p w14:paraId="4D17AA71" w14:textId="77777777" w:rsidR="00EC5693" w:rsidRDefault="00EC5693" w:rsidP="00EC5693">
      <w:pPr>
        <w:spacing w:after="0" w:line="240" w:lineRule="auto"/>
        <w:rPr>
          <w:rFonts w:ascii="Verdana" w:eastAsia="Aptos" w:hAnsi="Verdana" w:cs="Times New Roman"/>
          <w:sz w:val="20"/>
          <w:szCs w:val="20"/>
        </w:rPr>
      </w:pPr>
    </w:p>
    <w:p w14:paraId="1FF2917C" w14:textId="77777777" w:rsidR="00EC5693" w:rsidRDefault="00EC5693" w:rsidP="00EC5693">
      <w:pPr>
        <w:spacing w:after="0" w:line="240" w:lineRule="auto"/>
        <w:rPr>
          <w:rFonts w:ascii="Verdana" w:eastAsia="Aptos" w:hAnsi="Verdana" w:cs="Times New Roman"/>
          <w:sz w:val="20"/>
          <w:szCs w:val="20"/>
        </w:rPr>
      </w:pPr>
    </w:p>
    <w:p w14:paraId="37C4131F" w14:textId="77777777" w:rsidR="00EC5693" w:rsidRDefault="00EC5693" w:rsidP="00EC5693">
      <w:pPr>
        <w:spacing w:after="0" w:line="240" w:lineRule="auto"/>
        <w:rPr>
          <w:rFonts w:ascii="Verdana" w:eastAsia="Aptos" w:hAnsi="Verdana" w:cs="Times New Roman"/>
          <w:sz w:val="20"/>
          <w:szCs w:val="20"/>
        </w:rPr>
      </w:pPr>
    </w:p>
    <w:p w14:paraId="781E5444" w14:textId="77777777" w:rsidR="00EC5693" w:rsidRDefault="00EC5693" w:rsidP="00EC5693">
      <w:pPr>
        <w:spacing w:after="0" w:line="240" w:lineRule="auto"/>
        <w:rPr>
          <w:rFonts w:ascii="Verdana" w:eastAsia="Aptos" w:hAnsi="Verdana" w:cs="Times New Roman"/>
          <w:sz w:val="20"/>
          <w:szCs w:val="20"/>
        </w:rPr>
      </w:pPr>
    </w:p>
    <w:p w14:paraId="3E93A3E6" w14:textId="77777777" w:rsidR="00EC5693" w:rsidRDefault="00EC5693" w:rsidP="00EC5693">
      <w:pPr>
        <w:spacing w:after="0" w:line="240" w:lineRule="auto"/>
        <w:rPr>
          <w:rFonts w:ascii="Verdana" w:eastAsia="Aptos" w:hAnsi="Verdana" w:cs="Times New Roman"/>
          <w:sz w:val="20"/>
          <w:szCs w:val="20"/>
        </w:rPr>
      </w:pPr>
    </w:p>
    <w:p w14:paraId="4103774F" w14:textId="77777777" w:rsidR="00EC5693" w:rsidRDefault="00EC5693" w:rsidP="00EC5693">
      <w:pPr>
        <w:spacing w:after="0" w:line="240" w:lineRule="auto"/>
        <w:rPr>
          <w:rFonts w:ascii="Verdana" w:eastAsia="Aptos" w:hAnsi="Verdana" w:cs="Times New Roman"/>
          <w:sz w:val="20"/>
          <w:szCs w:val="20"/>
        </w:rPr>
      </w:pPr>
    </w:p>
    <w:p w14:paraId="3D04F9DA" w14:textId="77777777" w:rsidR="00EC5693" w:rsidRDefault="00EC5693" w:rsidP="00EC5693">
      <w:pPr>
        <w:spacing w:after="0" w:line="240" w:lineRule="auto"/>
        <w:rPr>
          <w:rFonts w:ascii="Verdana" w:eastAsia="Aptos" w:hAnsi="Verdana" w:cs="Times New Roman"/>
          <w:sz w:val="20"/>
          <w:szCs w:val="20"/>
        </w:rPr>
      </w:pPr>
    </w:p>
    <w:p w14:paraId="02F1E61C" w14:textId="77777777" w:rsidR="00EC5693" w:rsidRDefault="00EC5693" w:rsidP="00EC5693">
      <w:pPr>
        <w:spacing w:after="0" w:line="240" w:lineRule="auto"/>
        <w:rPr>
          <w:rFonts w:ascii="Verdana" w:eastAsia="Aptos" w:hAnsi="Verdana" w:cs="Times New Roman"/>
          <w:sz w:val="20"/>
          <w:szCs w:val="20"/>
        </w:rPr>
      </w:pPr>
    </w:p>
    <w:p w14:paraId="15155F58" w14:textId="77777777" w:rsidR="00EC5693" w:rsidRDefault="00EC5693" w:rsidP="00EC5693">
      <w:pPr>
        <w:spacing w:after="0" w:line="240" w:lineRule="auto"/>
        <w:rPr>
          <w:rFonts w:ascii="Verdana" w:eastAsia="Aptos" w:hAnsi="Verdana" w:cs="Times New Roman"/>
          <w:sz w:val="20"/>
          <w:szCs w:val="20"/>
        </w:rPr>
      </w:pPr>
    </w:p>
    <w:p w14:paraId="6FF77C06" w14:textId="77777777" w:rsidR="00EC5693" w:rsidRDefault="00EC5693" w:rsidP="00EC5693">
      <w:pPr>
        <w:spacing w:after="0" w:line="240" w:lineRule="auto"/>
        <w:rPr>
          <w:rFonts w:ascii="Verdana" w:eastAsia="Aptos" w:hAnsi="Verdana" w:cs="Times New Roman"/>
          <w:sz w:val="20"/>
          <w:szCs w:val="20"/>
        </w:rPr>
      </w:pPr>
    </w:p>
    <w:p w14:paraId="045DE6D9" w14:textId="77777777" w:rsidR="00EC5693" w:rsidRDefault="00EC5693" w:rsidP="00EC5693">
      <w:pPr>
        <w:spacing w:after="0" w:line="240" w:lineRule="auto"/>
        <w:rPr>
          <w:rFonts w:ascii="Verdana" w:eastAsia="Aptos" w:hAnsi="Verdana" w:cs="Times New Roman"/>
          <w:sz w:val="20"/>
          <w:szCs w:val="20"/>
        </w:rPr>
      </w:pPr>
    </w:p>
    <w:p w14:paraId="216DBF44" w14:textId="77777777" w:rsidR="00EC5693" w:rsidRDefault="00EC5693" w:rsidP="00EC5693">
      <w:pPr>
        <w:spacing w:after="0" w:line="240" w:lineRule="auto"/>
        <w:rPr>
          <w:rFonts w:ascii="Verdana" w:eastAsia="Aptos" w:hAnsi="Verdana" w:cs="Times New Roman"/>
          <w:sz w:val="20"/>
          <w:szCs w:val="20"/>
        </w:rPr>
      </w:pPr>
    </w:p>
    <w:p w14:paraId="0A4F6288" w14:textId="77777777" w:rsidR="00EC5693" w:rsidRDefault="00EC5693" w:rsidP="00EC5693">
      <w:pPr>
        <w:spacing w:after="0" w:line="240" w:lineRule="auto"/>
        <w:rPr>
          <w:rFonts w:ascii="Verdana" w:eastAsia="Aptos" w:hAnsi="Verdana" w:cs="Times New Roman"/>
          <w:sz w:val="20"/>
          <w:szCs w:val="20"/>
        </w:rPr>
      </w:pPr>
    </w:p>
    <w:p w14:paraId="2283B22E" w14:textId="77777777" w:rsidR="00EC5693" w:rsidRDefault="00EC5693" w:rsidP="00EC5693">
      <w:pPr>
        <w:spacing w:after="0" w:line="240" w:lineRule="auto"/>
        <w:rPr>
          <w:rFonts w:ascii="Verdana" w:eastAsia="Aptos" w:hAnsi="Verdana" w:cs="Times New Roman"/>
          <w:sz w:val="20"/>
          <w:szCs w:val="20"/>
        </w:rPr>
      </w:pPr>
    </w:p>
    <w:p w14:paraId="31576016" w14:textId="77777777" w:rsidR="00EC5693" w:rsidRDefault="00EC5693" w:rsidP="00EC5693">
      <w:pPr>
        <w:spacing w:after="0" w:line="240" w:lineRule="auto"/>
        <w:rPr>
          <w:rFonts w:ascii="Verdana" w:eastAsia="Aptos" w:hAnsi="Verdana" w:cs="Times New Roman"/>
          <w:sz w:val="20"/>
          <w:szCs w:val="20"/>
        </w:rPr>
      </w:pPr>
    </w:p>
    <w:p w14:paraId="000DE983" w14:textId="77777777" w:rsidR="00EC5693" w:rsidRDefault="00EC5693" w:rsidP="00EC5693">
      <w:pPr>
        <w:spacing w:after="0" w:line="240" w:lineRule="auto"/>
        <w:rPr>
          <w:rFonts w:ascii="Verdana" w:eastAsia="Aptos" w:hAnsi="Verdana" w:cs="Times New Roman"/>
          <w:sz w:val="20"/>
          <w:szCs w:val="20"/>
        </w:rPr>
      </w:pPr>
    </w:p>
    <w:p w14:paraId="30C3FEF0" w14:textId="77777777" w:rsidR="00EC5693" w:rsidRDefault="00EC5693" w:rsidP="00EC5693">
      <w:pPr>
        <w:spacing w:after="0" w:line="240" w:lineRule="auto"/>
        <w:rPr>
          <w:rFonts w:ascii="Verdana" w:eastAsia="Aptos" w:hAnsi="Verdana" w:cs="Times New Roman"/>
          <w:sz w:val="20"/>
          <w:szCs w:val="20"/>
        </w:rPr>
      </w:pPr>
    </w:p>
    <w:p w14:paraId="6A180771" w14:textId="77777777" w:rsidR="00EC5693" w:rsidRDefault="00EC5693" w:rsidP="00EC5693">
      <w:pPr>
        <w:spacing w:after="0" w:line="240" w:lineRule="auto"/>
        <w:rPr>
          <w:rFonts w:ascii="Verdana" w:eastAsia="Aptos" w:hAnsi="Verdana" w:cs="Times New Roman"/>
          <w:sz w:val="20"/>
          <w:szCs w:val="20"/>
        </w:rPr>
      </w:pPr>
    </w:p>
    <w:p w14:paraId="36E261C1" w14:textId="535D489D" w:rsidR="00EC5693" w:rsidRPr="007C55B9" w:rsidRDefault="00EC5693" w:rsidP="00EC5693">
      <w:pPr>
        <w:spacing w:after="0" w:line="240" w:lineRule="auto"/>
        <w:rPr>
          <w:rFonts w:ascii="Verdana" w:eastAsia="Geomanist Light" w:hAnsi="Verdana" w:cs="Arial"/>
          <w:lang w:val="es-MX"/>
        </w:rPr>
      </w:pPr>
      <w:r w:rsidRPr="007C55B9">
        <w:rPr>
          <w:rFonts w:ascii="Verdana" w:eastAsia="Geomanist Light" w:hAnsi="Verdana" w:cs="Arial"/>
          <w:lang w:val="es-MX"/>
        </w:rPr>
        <w:lastRenderedPageBreak/>
        <w:t>Bogotá D.C., </w:t>
      </w:r>
      <w:r w:rsidR="0024765E">
        <w:rPr>
          <w:rFonts w:ascii="Verdana" w:eastAsia="Geomanist Light" w:hAnsi="Verdana" w:cs="Arial"/>
          <w:lang w:val="es-MX"/>
        </w:rPr>
        <w:t>26 de marzo de 2026</w:t>
      </w:r>
    </w:p>
    <w:p w14:paraId="25CCEB94" w14:textId="77777777" w:rsidR="00EC5693" w:rsidRPr="007C55B9" w:rsidRDefault="00EC5693" w:rsidP="00EC5693">
      <w:pPr>
        <w:spacing w:after="0" w:line="240" w:lineRule="auto"/>
        <w:jc w:val="both"/>
        <w:rPr>
          <w:rFonts w:ascii="Verdana" w:eastAsia="Calibri" w:hAnsi="Verdana" w:cs="Arial"/>
          <w:lang w:val="es-ES"/>
        </w:rPr>
      </w:pPr>
    </w:p>
    <w:p w14:paraId="417644AA" w14:textId="295495B1" w:rsidR="00EC5693" w:rsidRPr="007C55B9" w:rsidRDefault="00E273BE" w:rsidP="00EC5693">
      <w:pPr>
        <w:spacing w:after="0" w:line="240" w:lineRule="auto"/>
        <w:jc w:val="right"/>
        <w:rPr>
          <w:rFonts w:ascii="Verdana" w:eastAsia="Calibri" w:hAnsi="Verdana" w:cs="Arial"/>
          <w:lang w:val="es-ES"/>
        </w:rPr>
      </w:pPr>
      <w:r w:rsidRPr="00E273BE">
        <w:rPr>
          <w:rFonts w:ascii="Verdana" w:eastAsia="Calibri" w:hAnsi="Verdana" w:cs="Arial"/>
          <w:lang w:val="es-ES"/>
        </w:rPr>
        <w:drawing>
          <wp:inline distT="0" distB="0" distL="0" distR="0" wp14:anchorId="2CFF70A8" wp14:editId="5E91B033">
            <wp:extent cx="1695687" cy="495369"/>
            <wp:effectExtent l="0" t="0" r="0" b="0"/>
            <wp:docPr id="7208847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884783" name=""/>
                    <pic:cNvPicPr/>
                  </pic:nvPicPr>
                  <pic:blipFill>
                    <a:blip r:embed="rId10"/>
                    <a:stretch>
                      <a:fillRect/>
                    </a:stretch>
                  </pic:blipFill>
                  <pic:spPr>
                    <a:xfrm>
                      <a:off x="0" y="0"/>
                      <a:ext cx="1695687" cy="495369"/>
                    </a:xfrm>
                    <a:prstGeom prst="rect">
                      <a:avLst/>
                    </a:prstGeom>
                  </pic:spPr>
                </pic:pic>
              </a:graphicData>
            </a:graphic>
          </wp:inline>
        </w:drawing>
      </w:r>
    </w:p>
    <w:p w14:paraId="7134F490" w14:textId="77777777" w:rsidR="00EC5693" w:rsidRPr="007C55B9" w:rsidRDefault="00EC5693" w:rsidP="00EC5693">
      <w:pPr>
        <w:spacing w:after="0" w:line="240" w:lineRule="auto"/>
        <w:jc w:val="both"/>
        <w:rPr>
          <w:rFonts w:ascii="Verdana" w:eastAsia="Calibri" w:hAnsi="Verdana" w:cs="Arial"/>
          <w:lang w:val="es-ES" w:eastAsia="es-ES"/>
        </w:rPr>
      </w:pPr>
      <w:r w:rsidRPr="007C55B9">
        <w:rPr>
          <w:rFonts w:ascii="Verdana" w:eastAsia="Calibri" w:hAnsi="Verdana" w:cs="Arial"/>
          <w:lang w:val="es-ES" w:eastAsia="es-ES"/>
        </w:rPr>
        <w:t>Señor</w:t>
      </w:r>
    </w:p>
    <w:p w14:paraId="17972B1B" w14:textId="77777777" w:rsidR="00EC5693" w:rsidRPr="007C55B9" w:rsidRDefault="00EC5693" w:rsidP="00EC5693">
      <w:pPr>
        <w:spacing w:after="0" w:line="240" w:lineRule="auto"/>
        <w:rPr>
          <w:rFonts w:ascii="Verdana" w:eastAsia="Calibri" w:hAnsi="Verdana" w:cs="Arial"/>
          <w:b/>
          <w:lang w:val="es-ES" w:eastAsia="es-ES"/>
        </w:rPr>
      </w:pPr>
      <w:r w:rsidRPr="007C55B9">
        <w:rPr>
          <w:rFonts w:ascii="Verdana" w:eastAsia="Calibri" w:hAnsi="Verdana" w:cs="Arial"/>
          <w:b/>
          <w:lang w:val="es-ES" w:eastAsia="es-ES"/>
        </w:rPr>
        <w:t>Carlos Díaz</w:t>
      </w:r>
    </w:p>
    <w:p w14:paraId="1D5D68C7" w14:textId="77777777" w:rsidR="00EC5693" w:rsidRPr="007C55B9" w:rsidRDefault="00EC5693" w:rsidP="00EC5693">
      <w:pPr>
        <w:spacing w:after="0" w:line="240" w:lineRule="auto"/>
        <w:rPr>
          <w:rFonts w:ascii="Verdana" w:eastAsia="Aptos" w:hAnsi="Verdana" w:cs="Times New Roman"/>
        </w:rPr>
      </w:pPr>
      <w:hyperlink r:id="rId11" w:history="1">
        <w:r w:rsidRPr="007C55B9">
          <w:rPr>
            <w:rStyle w:val="Hipervnculo"/>
            <w:rFonts w:ascii="Verdana" w:hAnsi="Verdana"/>
          </w:rPr>
          <w:t>cdiazc4@dian.gov.co</w:t>
        </w:r>
      </w:hyperlink>
      <w:r w:rsidRPr="007C55B9">
        <w:rPr>
          <w:rFonts w:ascii="Verdana" w:hAnsi="Verdana"/>
        </w:rPr>
        <w:t xml:space="preserve"> </w:t>
      </w:r>
      <w:r w:rsidRPr="007C55B9">
        <w:rPr>
          <w:rFonts w:ascii="Verdana" w:eastAsia="Aptos" w:hAnsi="Verdana" w:cs="Times New Roman"/>
        </w:rPr>
        <w:t xml:space="preserve"> </w:t>
      </w:r>
    </w:p>
    <w:p w14:paraId="23895616" w14:textId="77777777" w:rsidR="00EC5693" w:rsidRPr="007C55B9" w:rsidRDefault="00EC5693" w:rsidP="00EC5693">
      <w:pPr>
        <w:spacing w:after="0" w:line="240" w:lineRule="auto"/>
        <w:rPr>
          <w:rFonts w:ascii="Verdana" w:eastAsia="Calibri" w:hAnsi="Verdana" w:cs="Arial"/>
          <w:b/>
          <w:bCs/>
          <w:lang w:val="es-ES" w:eastAsia="es-ES"/>
        </w:rPr>
      </w:pPr>
      <w:r w:rsidRPr="007C55B9">
        <w:rPr>
          <w:rFonts w:ascii="Verdana" w:eastAsia="Calibri" w:hAnsi="Verdana" w:cs="Arial"/>
          <w:lang w:val="es-ES" w:eastAsia="es-ES"/>
        </w:rPr>
        <w:t>Ciudad</w:t>
      </w:r>
    </w:p>
    <w:p w14:paraId="66B861E2" w14:textId="77777777" w:rsidR="00EC5693" w:rsidRPr="007C55B9" w:rsidRDefault="00EC5693" w:rsidP="00EC569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C5693" w:rsidRPr="007C55B9" w14:paraId="5DD2A2FF" w14:textId="77777777" w:rsidTr="00EC5693">
        <w:trPr>
          <w:trHeight w:val="308"/>
        </w:trPr>
        <w:tc>
          <w:tcPr>
            <w:tcW w:w="2689" w:type="dxa"/>
          </w:tcPr>
          <w:p w14:paraId="4A8FF76A" w14:textId="77777777" w:rsidR="00EC5693" w:rsidRPr="007C55B9" w:rsidRDefault="00EC5693" w:rsidP="00DB4B0A">
            <w:pPr>
              <w:jc w:val="both"/>
              <w:rPr>
                <w:rFonts w:ascii="Verdana" w:eastAsia="Calibri" w:hAnsi="Verdana" w:cs="Arial"/>
                <w:b/>
                <w:bCs/>
                <w:lang w:val="es-ES_tradnl" w:eastAsia="es-ES_tradnl"/>
              </w:rPr>
            </w:pPr>
          </w:p>
        </w:tc>
        <w:tc>
          <w:tcPr>
            <w:tcW w:w="6100" w:type="dxa"/>
          </w:tcPr>
          <w:p w14:paraId="10136EF5" w14:textId="77777777" w:rsidR="00EC5693" w:rsidRDefault="00EC5693" w:rsidP="00DB4B0A">
            <w:pPr>
              <w:jc w:val="both"/>
              <w:rPr>
                <w:rFonts w:ascii="Verdana" w:eastAsia="Calibri" w:hAnsi="Verdana" w:cs="Arial"/>
                <w:b/>
                <w:bCs/>
                <w:lang w:val="es-ES" w:eastAsia="es-ES"/>
              </w:rPr>
            </w:pPr>
            <w:r w:rsidRPr="007C55B9">
              <w:rPr>
                <w:rFonts w:ascii="Verdana" w:eastAsia="Calibri" w:hAnsi="Verdana" w:cs="Arial"/>
                <w:b/>
                <w:bCs/>
                <w:lang w:val="es-ES" w:eastAsia="es-ES"/>
              </w:rPr>
              <w:t>Concepto C-211 de 2026</w:t>
            </w:r>
          </w:p>
          <w:p w14:paraId="5494717D" w14:textId="77777777" w:rsidR="00EC5693" w:rsidRPr="007C55B9" w:rsidRDefault="00EC5693" w:rsidP="00DB4B0A">
            <w:pPr>
              <w:jc w:val="both"/>
              <w:rPr>
                <w:rFonts w:ascii="Verdana" w:eastAsia="Calibri" w:hAnsi="Verdana" w:cs="Arial"/>
                <w:b/>
                <w:bCs/>
                <w:lang w:val="es-ES" w:eastAsia="es-ES"/>
              </w:rPr>
            </w:pPr>
          </w:p>
        </w:tc>
      </w:tr>
      <w:tr w:rsidR="00EC5693" w:rsidRPr="007C55B9" w14:paraId="15C788F5" w14:textId="77777777" w:rsidTr="00DB4B0A">
        <w:trPr>
          <w:trHeight w:val="884"/>
        </w:trPr>
        <w:tc>
          <w:tcPr>
            <w:tcW w:w="2689" w:type="dxa"/>
          </w:tcPr>
          <w:p w14:paraId="74C401A0" w14:textId="77777777" w:rsidR="00EC5693" w:rsidRPr="007C55B9" w:rsidRDefault="00EC5693" w:rsidP="00DB4B0A">
            <w:pPr>
              <w:jc w:val="both"/>
              <w:rPr>
                <w:rFonts w:ascii="Verdana" w:eastAsia="Calibri" w:hAnsi="Verdana" w:cs="Arial"/>
                <w:lang w:val="es-ES_tradnl" w:eastAsia="es-ES_tradnl"/>
              </w:rPr>
            </w:pPr>
            <w:r w:rsidRPr="007C55B9">
              <w:rPr>
                <w:rFonts w:ascii="Verdana" w:eastAsia="Calibri" w:hAnsi="Verdana" w:cs="Arial"/>
                <w:b/>
                <w:lang w:val="es-ES_tradnl" w:eastAsia="es-ES_tradnl"/>
              </w:rPr>
              <w:t>Temas:</w:t>
            </w:r>
            <w:r w:rsidRPr="007C55B9">
              <w:rPr>
                <w:rFonts w:ascii="Verdana" w:eastAsia="Calibri" w:hAnsi="Verdana" w:cs="Arial"/>
                <w:lang w:val="es-ES_tradnl" w:eastAsia="es-ES_tradnl"/>
              </w:rPr>
              <w:t xml:space="preserve">                   </w:t>
            </w:r>
          </w:p>
        </w:tc>
        <w:tc>
          <w:tcPr>
            <w:tcW w:w="6100" w:type="dxa"/>
          </w:tcPr>
          <w:p w14:paraId="1E7F5408" w14:textId="77777777" w:rsidR="00EC5693" w:rsidRPr="007C55B9" w:rsidRDefault="00EC5693" w:rsidP="00DB4B0A">
            <w:pPr>
              <w:spacing w:line="276" w:lineRule="auto"/>
              <w:jc w:val="both"/>
              <w:rPr>
                <w:rFonts w:ascii="Verdana" w:eastAsia="Calibri" w:hAnsi="Verdana" w:cs="Arial"/>
                <w:lang w:val="es-ES" w:eastAsia="es-ES"/>
              </w:rPr>
            </w:pPr>
            <w:r w:rsidRPr="00F43CC7">
              <w:rPr>
                <w:rFonts w:ascii="Verdana" w:eastAsia="Calibri" w:hAnsi="Verdana" w:cs="Arial"/>
                <w:lang w:val="es-ES" w:eastAsia="es-ES"/>
              </w:rPr>
              <w:t>LEY DE GARANTÍAS ELECTORALES – Finalidad / LEY DE GARANTÍAS ELECTORALES ‒ Restricciones ‒ Contratación ‒ Tipos de elección / LEY DE GARANTÍAS ELECTORALES ‒ Artículo 33 ‒ Contratación directa / LEY DE GARANTÍAS ELECTORALES ‒ Artículo 33 ‒ Ámbito subjetivo /</w:t>
            </w:r>
            <w:r>
              <w:rPr>
                <w:rFonts w:ascii="Verdana" w:eastAsia="Calibri" w:hAnsi="Verdana" w:cs="Arial"/>
                <w:lang w:val="es-ES" w:eastAsia="es-ES"/>
              </w:rPr>
              <w:t xml:space="preserve"> </w:t>
            </w:r>
            <w:r w:rsidRPr="00EF1386">
              <w:rPr>
                <w:rFonts w:ascii="Verdana" w:eastAsia="Calibri" w:hAnsi="Verdana" w:cs="Arial"/>
                <w:lang w:val="es-ES" w:eastAsia="es-ES"/>
              </w:rPr>
              <w:t>CONTRATACIÓN DIRECTA – Arrendamiento – Bienes inmuebles – Alcan</w:t>
            </w:r>
            <w:r>
              <w:rPr>
                <w:rFonts w:ascii="Verdana" w:eastAsia="Calibri" w:hAnsi="Verdana" w:cs="Arial"/>
                <w:lang w:val="es-ES" w:eastAsia="es-ES"/>
              </w:rPr>
              <w:t xml:space="preserve">ce </w:t>
            </w:r>
            <w:r w:rsidRPr="00F12E75">
              <w:rPr>
                <w:rFonts w:ascii="Verdana" w:eastAsia="Calibri" w:hAnsi="Verdana" w:cs="Arial"/>
                <w:lang w:val="es-ES" w:eastAsia="es-ES"/>
              </w:rPr>
              <w:t xml:space="preserve">/ LEY DE GARANTÍAS ELECTORALES ─ Contratación Directa </w:t>
            </w:r>
            <w:r>
              <w:rPr>
                <w:rFonts w:ascii="Verdana" w:eastAsia="Calibri" w:hAnsi="Verdana" w:cs="Arial"/>
                <w:lang w:val="es-ES" w:eastAsia="es-ES"/>
              </w:rPr>
              <w:t xml:space="preserve">– </w:t>
            </w:r>
            <w:r w:rsidRPr="00F12E75">
              <w:rPr>
                <w:rFonts w:ascii="Verdana" w:eastAsia="Calibri" w:hAnsi="Verdana" w:cs="Arial"/>
                <w:lang w:val="es-ES" w:eastAsia="es-ES"/>
              </w:rPr>
              <w:t xml:space="preserve">Excepciones </w:t>
            </w:r>
          </w:p>
        </w:tc>
      </w:tr>
    </w:tbl>
    <w:p w14:paraId="22DDCE83" w14:textId="77777777" w:rsidR="00EC5693" w:rsidRPr="007C55B9" w:rsidRDefault="00EC5693" w:rsidP="00EC5693">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C5693" w:rsidRPr="007C55B9" w14:paraId="6186D541" w14:textId="77777777" w:rsidTr="00DB4B0A">
        <w:tc>
          <w:tcPr>
            <w:tcW w:w="2689" w:type="dxa"/>
          </w:tcPr>
          <w:p w14:paraId="32483136" w14:textId="77777777" w:rsidR="00EC5693" w:rsidRPr="007C55B9" w:rsidRDefault="00EC5693" w:rsidP="00DB4B0A">
            <w:pPr>
              <w:jc w:val="both"/>
              <w:rPr>
                <w:rFonts w:ascii="Verdana" w:eastAsia="Calibri" w:hAnsi="Verdana" w:cs="Arial"/>
                <w:b/>
                <w:lang w:val="es-ES_tradnl" w:eastAsia="es-ES_tradnl"/>
              </w:rPr>
            </w:pPr>
            <w:r w:rsidRPr="007C55B9">
              <w:rPr>
                <w:rFonts w:ascii="Verdana" w:eastAsia="Calibri" w:hAnsi="Verdana" w:cs="Arial"/>
                <w:b/>
                <w:lang w:val="es-ES_tradnl" w:eastAsia="es-ES_tradnl"/>
              </w:rPr>
              <w:t>Radicación:</w:t>
            </w:r>
            <w:r w:rsidRPr="007C55B9">
              <w:rPr>
                <w:rFonts w:ascii="Verdana" w:eastAsia="Calibri" w:hAnsi="Verdana" w:cs="Arial"/>
                <w:lang w:val="es-ES_tradnl" w:eastAsia="es-ES_tradnl"/>
              </w:rPr>
              <w:t xml:space="preserve">               </w:t>
            </w:r>
          </w:p>
        </w:tc>
        <w:tc>
          <w:tcPr>
            <w:tcW w:w="6100" w:type="dxa"/>
          </w:tcPr>
          <w:p w14:paraId="1694B23F" w14:textId="77777777" w:rsidR="00EC5693" w:rsidRPr="007C55B9" w:rsidRDefault="00EC5693" w:rsidP="00DB4B0A">
            <w:pPr>
              <w:jc w:val="both"/>
              <w:rPr>
                <w:rFonts w:ascii="Verdana" w:eastAsia="Calibri" w:hAnsi="Verdana" w:cs="Arial"/>
                <w:lang w:val="es-ES_tradnl" w:eastAsia="es-ES_tradnl"/>
              </w:rPr>
            </w:pPr>
            <w:r w:rsidRPr="007C55B9">
              <w:rPr>
                <w:rFonts w:ascii="Verdana" w:eastAsia="Calibri" w:hAnsi="Verdana" w:cs="Arial"/>
                <w:lang w:val="es-ES_tradnl" w:eastAsia="es-ES_tradnl"/>
              </w:rPr>
              <w:t>Respuesta a consulta con radicado No. 1_2026_02_13_001854</w:t>
            </w:r>
          </w:p>
        </w:tc>
      </w:tr>
    </w:tbl>
    <w:p w14:paraId="0CB00B90" w14:textId="77777777" w:rsidR="00EC5693" w:rsidRPr="007C55B9" w:rsidRDefault="00EC5693" w:rsidP="00EC5693">
      <w:pPr>
        <w:spacing w:after="0" w:line="240" w:lineRule="auto"/>
        <w:jc w:val="both"/>
        <w:rPr>
          <w:rFonts w:ascii="Verdana" w:eastAsia="Calibri" w:hAnsi="Verdana" w:cs="Arial"/>
          <w:lang w:val="es-ES_tradnl" w:eastAsia="es-ES_tradnl"/>
        </w:rPr>
      </w:pPr>
    </w:p>
    <w:p w14:paraId="58B84AD5" w14:textId="77777777" w:rsidR="00EC5693" w:rsidRPr="007C55B9" w:rsidRDefault="00EC5693" w:rsidP="00EC5693">
      <w:pPr>
        <w:spacing w:after="0" w:line="240" w:lineRule="auto"/>
        <w:jc w:val="both"/>
        <w:rPr>
          <w:rFonts w:ascii="Verdana" w:eastAsia="Calibri" w:hAnsi="Verdana" w:cs="Arial"/>
          <w:lang w:val="es-ES_tradnl" w:eastAsia="es-ES_tradnl"/>
        </w:rPr>
      </w:pPr>
    </w:p>
    <w:p w14:paraId="311BBE13" w14:textId="77777777" w:rsidR="00EC5693" w:rsidRPr="007C55B9" w:rsidRDefault="00EC5693" w:rsidP="00EC5693">
      <w:pPr>
        <w:spacing w:after="0" w:line="276" w:lineRule="auto"/>
        <w:jc w:val="both"/>
        <w:rPr>
          <w:rFonts w:ascii="Verdana" w:eastAsia="Calibri" w:hAnsi="Verdana" w:cs="Arial"/>
          <w:lang w:val="es-ES" w:eastAsia="es-ES"/>
        </w:rPr>
      </w:pPr>
      <w:r w:rsidRPr="007C55B9">
        <w:rPr>
          <w:rFonts w:ascii="Verdana" w:eastAsia="Calibri" w:hAnsi="Verdana" w:cs="Arial"/>
          <w:lang w:val="es-ES" w:eastAsia="es-ES"/>
        </w:rPr>
        <w:t xml:space="preserve">Estimando Señor Díaz: </w:t>
      </w:r>
    </w:p>
    <w:p w14:paraId="10579993" w14:textId="77777777" w:rsidR="00EC5693" w:rsidRPr="007C55B9" w:rsidRDefault="00EC5693" w:rsidP="00EC5693">
      <w:pPr>
        <w:tabs>
          <w:tab w:val="left" w:pos="3768"/>
        </w:tabs>
        <w:spacing w:after="0" w:line="276" w:lineRule="auto"/>
        <w:jc w:val="both"/>
        <w:rPr>
          <w:rFonts w:ascii="Verdana" w:eastAsia="Calibri" w:hAnsi="Verdana" w:cs="Arial"/>
          <w:lang w:val="es-ES" w:eastAsia="es-ES"/>
        </w:rPr>
      </w:pPr>
    </w:p>
    <w:p w14:paraId="0BAB5880" w14:textId="77777777" w:rsidR="00EC5693" w:rsidRPr="007C55B9" w:rsidRDefault="00EC5693" w:rsidP="00EC5693">
      <w:pPr>
        <w:spacing w:after="0" w:line="276" w:lineRule="auto"/>
        <w:jc w:val="both"/>
        <w:rPr>
          <w:rFonts w:ascii="Verdana" w:eastAsia="Calibri" w:hAnsi="Verdana" w:cs="Arial"/>
          <w:lang w:val="es-ES" w:eastAsia="es-ES"/>
        </w:rPr>
      </w:pPr>
      <w:r w:rsidRPr="007C55B9">
        <w:rPr>
          <w:rFonts w:ascii="Verdana" w:eastAsia="Calibri" w:hAnsi="Verdana" w:cs="Arial"/>
          <w:lang w:val="es-ES" w:eastAsia="es-ES"/>
        </w:rPr>
        <w:t>En ejercicio de la competencia otorgada por los artículos 3, numeral 5º, y 11, numeral 8º, del Decreto Ley 4170 de 2011,</w:t>
      </w:r>
      <w:r w:rsidRPr="007C55B9">
        <w:rPr>
          <w:rFonts w:ascii="Verdana" w:eastAsia="Arial MT" w:hAnsi="Verdana" w:cs="Arial MT"/>
          <w:lang w:val="es-ES" w:eastAsia="es-ES"/>
        </w:rPr>
        <w:t xml:space="preserve"> </w:t>
      </w:r>
      <w:r w:rsidRPr="007C55B9">
        <w:rPr>
          <w:rFonts w:ascii="Verdana" w:eastAsia="Aptos" w:hAnsi="Verdana" w:cs="Arial"/>
        </w:rPr>
        <w:t xml:space="preserve">así como lo establecido en el artículo 4 de la Resolución 1707 de 2018 expedida por esta Entidad, </w:t>
      </w:r>
      <w:r w:rsidRPr="007C55B9">
        <w:rPr>
          <w:rFonts w:ascii="Verdana" w:eastAsia="Calibri" w:hAnsi="Verdana" w:cs="Arial"/>
          <w:lang w:val="es-ES" w:eastAsia="es-ES"/>
        </w:rPr>
        <w:t xml:space="preserve">la Agencia Nacional de Contratación Pública – Colombia Compra Eficiente– responde su petición del 13 de febrero de 2026, en la que realiza la siguiente consulta: </w:t>
      </w:r>
    </w:p>
    <w:p w14:paraId="476ECD8A" w14:textId="77777777" w:rsidR="00EC5693" w:rsidRPr="007C55B9" w:rsidRDefault="00EC5693" w:rsidP="00EC5693">
      <w:pPr>
        <w:spacing w:after="0" w:line="276" w:lineRule="auto"/>
        <w:jc w:val="both"/>
        <w:rPr>
          <w:rFonts w:ascii="Verdana" w:eastAsia="Calibri" w:hAnsi="Verdana" w:cs="Arial"/>
          <w:lang w:val="es-ES" w:eastAsia="es-ES"/>
        </w:rPr>
      </w:pPr>
    </w:p>
    <w:p w14:paraId="00CFF2F7" w14:textId="77777777" w:rsidR="00EC5693" w:rsidRPr="007C55B9" w:rsidRDefault="00EC5693" w:rsidP="00EC5693">
      <w:pPr>
        <w:spacing w:after="0" w:line="240" w:lineRule="auto"/>
        <w:ind w:left="709" w:right="709"/>
        <w:jc w:val="both"/>
        <w:rPr>
          <w:rFonts w:ascii="Verdana" w:eastAsia="Calibri" w:hAnsi="Verdana" w:cs="Arial"/>
          <w:sz w:val="20"/>
          <w:szCs w:val="20"/>
          <w:lang w:val="es-MX"/>
        </w:rPr>
      </w:pPr>
      <w:r w:rsidRPr="007C55B9">
        <w:rPr>
          <w:rFonts w:ascii="Verdana" w:eastAsia="Calibri" w:hAnsi="Verdana" w:cs="Arial"/>
          <w:sz w:val="20"/>
          <w:szCs w:val="20"/>
          <w:lang w:val="es-MX"/>
        </w:rPr>
        <w:t>“La DIAN dentro de las labores de administración y disposición de bienes inmuebles adjudicados por deudas fiscales, puede llegar a suscribir contratos de arrendamiento de tales inmuebles como parte de la administración, mientras se adelantan las gestiones de venta, pero debido a que está en vigencia la Ley de garantías, nos surge la siguiente inquietud:</w:t>
      </w:r>
    </w:p>
    <w:p w14:paraId="44A89A50" w14:textId="77777777" w:rsidR="00EC5693" w:rsidRPr="007C55B9" w:rsidRDefault="00EC5693" w:rsidP="00EC5693">
      <w:pPr>
        <w:spacing w:before="120" w:after="0" w:line="240" w:lineRule="auto"/>
        <w:ind w:left="709" w:right="709"/>
        <w:jc w:val="both"/>
        <w:rPr>
          <w:rFonts w:ascii="Verdana" w:eastAsia="Calibri" w:hAnsi="Verdana" w:cs="Arial"/>
          <w:sz w:val="20"/>
          <w:szCs w:val="20"/>
          <w:lang w:val="es-MX"/>
        </w:rPr>
      </w:pPr>
      <w:r w:rsidRPr="007C55B9">
        <w:rPr>
          <w:rFonts w:ascii="Verdana" w:eastAsia="Calibri" w:hAnsi="Verdana" w:cs="Arial"/>
          <w:sz w:val="20"/>
          <w:szCs w:val="20"/>
          <w:lang w:val="es-MX"/>
        </w:rPr>
        <w:lastRenderedPageBreak/>
        <w:t>¿Es viable para La DIAN suscribir un contrato de arrendamiento de inmuebles, mediante contratación directa, durante la vigencia de la ley de garantías, teniendo en cuenta que la Entidad actúa como Arrendadora?</w:t>
      </w:r>
    </w:p>
    <w:p w14:paraId="1334CBD4" w14:textId="77777777" w:rsidR="00EC5693" w:rsidRPr="007C55B9" w:rsidRDefault="00EC5693" w:rsidP="00EC5693">
      <w:pPr>
        <w:spacing w:before="120" w:after="0" w:line="240" w:lineRule="auto"/>
        <w:ind w:left="709" w:right="709"/>
        <w:jc w:val="both"/>
        <w:rPr>
          <w:rFonts w:ascii="Verdana" w:eastAsia="Calibri" w:hAnsi="Verdana" w:cs="Arial"/>
          <w:sz w:val="20"/>
          <w:szCs w:val="20"/>
          <w:lang w:val="es-MX"/>
        </w:rPr>
      </w:pPr>
      <w:r w:rsidRPr="007C55B9">
        <w:rPr>
          <w:rFonts w:ascii="Verdana" w:eastAsia="Calibri" w:hAnsi="Verdana" w:cs="Arial"/>
          <w:sz w:val="20"/>
          <w:szCs w:val="20"/>
          <w:lang w:val="es-MX"/>
        </w:rPr>
        <w:t>Lo anterior, debido a que la Ley de Garantías prohíbe la contratación directa que implique el uso de recursos públicos durante el periodo electoral, pero la inquietud surge porque en este caso la Entidad pública actúa como arrendadora, y no estará ejecutando recursos públicos, es decir no implica gastos, no afecta presupuesto de inversión, ni de funcionamiento”. [sic]</w:t>
      </w:r>
    </w:p>
    <w:p w14:paraId="6B7C3E02" w14:textId="77777777" w:rsidR="00EC5693" w:rsidRPr="007C55B9" w:rsidRDefault="00EC5693" w:rsidP="00EC5693">
      <w:pPr>
        <w:spacing w:after="0" w:line="276" w:lineRule="auto"/>
        <w:jc w:val="both"/>
        <w:rPr>
          <w:rFonts w:ascii="Verdana" w:eastAsia="Calibri" w:hAnsi="Verdana" w:cs="Arial"/>
          <w:lang w:val="es-ES" w:eastAsia="es-ES"/>
        </w:rPr>
      </w:pPr>
    </w:p>
    <w:p w14:paraId="1863C332" w14:textId="77777777" w:rsidR="00EC5693" w:rsidRPr="007C55B9" w:rsidRDefault="00EC5693" w:rsidP="00EC5693">
      <w:pPr>
        <w:spacing w:after="120" w:line="276" w:lineRule="auto"/>
        <w:jc w:val="both"/>
        <w:rPr>
          <w:rFonts w:ascii="Verdana" w:eastAsia="Calibri" w:hAnsi="Verdana" w:cs="Arial"/>
          <w:szCs w:val="24"/>
          <w:lang w:val="es-ES_tradnl" w:eastAsia="es-ES_tradnl"/>
        </w:rPr>
      </w:pPr>
      <w:r w:rsidRPr="007C55B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644215E" w14:textId="77777777" w:rsidR="00EC5693" w:rsidRPr="007C55B9" w:rsidRDefault="00EC5693" w:rsidP="00EC5693">
      <w:pPr>
        <w:spacing w:after="0" w:line="276" w:lineRule="auto"/>
        <w:ind w:firstLine="709"/>
        <w:jc w:val="both"/>
        <w:rPr>
          <w:rFonts w:ascii="Verdana" w:eastAsia="Calibri" w:hAnsi="Verdana" w:cs="Arial"/>
          <w:lang w:val="es-ES" w:eastAsia="es-ES"/>
        </w:rPr>
      </w:pPr>
      <w:r w:rsidRPr="007C55B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EC0E293" w14:textId="77777777" w:rsidR="00EC5693" w:rsidRPr="007C55B9" w:rsidRDefault="00EC5693" w:rsidP="00EC5693">
      <w:pPr>
        <w:spacing w:after="0" w:line="276" w:lineRule="auto"/>
        <w:ind w:firstLine="709"/>
        <w:jc w:val="both"/>
        <w:rPr>
          <w:rFonts w:ascii="Verdana" w:eastAsia="Calibri" w:hAnsi="Verdana" w:cs="Arial"/>
          <w:lang w:val="es-ES" w:eastAsia="es-ES"/>
        </w:rPr>
      </w:pPr>
    </w:p>
    <w:p w14:paraId="08C0E990" w14:textId="77777777" w:rsidR="00EC5693" w:rsidRPr="007C55B9" w:rsidRDefault="00EC5693" w:rsidP="00EC5693">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7C55B9">
        <w:rPr>
          <w:rFonts w:ascii="Verdana" w:eastAsia="Arial" w:hAnsi="Verdana" w:cs="Arial"/>
          <w:b/>
          <w:bCs/>
          <w:lang w:val="es-ES"/>
        </w:rPr>
        <w:t>1. Problema planteado:</w:t>
      </w:r>
    </w:p>
    <w:p w14:paraId="6BCCE9B7" w14:textId="77777777" w:rsidR="00EC5693" w:rsidRPr="007C55B9" w:rsidRDefault="00EC5693" w:rsidP="00EC5693">
      <w:pPr>
        <w:tabs>
          <w:tab w:val="left" w:pos="426"/>
        </w:tabs>
        <w:spacing w:after="0" w:line="276" w:lineRule="auto"/>
        <w:jc w:val="both"/>
        <w:rPr>
          <w:rFonts w:ascii="Verdana" w:eastAsia="Century Gothic" w:hAnsi="Verdana" w:cs="Century Gothic"/>
          <w:lang w:val="es-ES"/>
        </w:rPr>
      </w:pPr>
    </w:p>
    <w:p w14:paraId="2F2EF85C" w14:textId="77777777" w:rsidR="00EC5693" w:rsidRPr="007C55B9" w:rsidRDefault="00EC5693" w:rsidP="00EC5693">
      <w:pPr>
        <w:spacing w:after="0"/>
        <w:jc w:val="both"/>
        <w:rPr>
          <w:rFonts w:ascii="Verdana" w:hAnsi="Verdana"/>
        </w:rPr>
      </w:pPr>
      <w:r w:rsidRPr="007C55B9">
        <w:rPr>
          <w:rFonts w:ascii="Verdana" w:eastAsia="Century Gothic" w:hAnsi="Verdana" w:cs="Century Gothic"/>
        </w:rPr>
        <w:t xml:space="preserve">De acuerdo con el contenido de su solicitud, le informamos que la misma se resolverá desde el siguiente </w:t>
      </w:r>
      <w:bookmarkStart w:id="1" w:name="_Hlk171070029"/>
      <w:r w:rsidRPr="007C55B9">
        <w:rPr>
          <w:rFonts w:ascii="Verdana" w:eastAsia="Century Gothic" w:hAnsi="Verdana" w:cs="Century Gothic"/>
        </w:rPr>
        <w:t xml:space="preserve">interrogante: </w:t>
      </w:r>
      <w:r w:rsidRPr="007C55B9">
        <w:rPr>
          <w:rFonts w:ascii="Verdana" w:hAnsi="Verdana"/>
        </w:rPr>
        <w:t>¿Pueden las Entidades Estatales suscribir contratos de arrendamiento de manera directa, en vigencia de las restricciones contractuales dispuestas en el artículo 33 de la Ley de Garantías Electorales –Ley 996 de 2005–?</w:t>
      </w:r>
    </w:p>
    <w:p w14:paraId="37FAA409" w14:textId="77777777" w:rsidR="00EC5693" w:rsidRPr="007C55B9" w:rsidRDefault="00EC5693" w:rsidP="00EC5693">
      <w:pPr>
        <w:spacing w:after="0"/>
        <w:jc w:val="both"/>
        <w:rPr>
          <w:rFonts w:ascii="Verdana" w:hAnsi="Verdana"/>
        </w:rPr>
      </w:pPr>
    </w:p>
    <w:bookmarkEnd w:id="1"/>
    <w:p w14:paraId="2573B31B" w14:textId="77777777" w:rsidR="00EC5693" w:rsidRPr="007C55B9" w:rsidRDefault="00EC5693" w:rsidP="00EC5693">
      <w:pPr>
        <w:widowControl w:val="0"/>
        <w:autoSpaceDE w:val="0"/>
        <w:autoSpaceDN w:val="0"/>
        <w:spacing w:before="1" w:after="0" w:line="240" w:lineRule="auto"/>
        <w:jc w:val="both"/>
        <w:outlineLvl w:val="0"/>
        <w:rPr>
          <w:rFonts w:ascii="Verdana" w:eastAsia="Arial" w:hAnsi="Verdana" w:cs="Arial"/>
          <w:b/>
          <w:bCs/>
          <w:lang w:val="es-ES"/>
        </w:rPr>
      </w:pPr>
      <w:r w:rsidRPr="007C55B9">
        <w:rPr>
          <w:rFonts w:ascii="Verdana" w:eastAsia="Arial" w:hAnsi="Verdana" w:cs="Arial"/>
          <w:b/>
          <w:bCs/>
          <w:lang w:val="es-ES"/>
        </w:rPr>
        <w:t>2. Respuesta:</w:t>
      </w:r>
    </w:p>
    <w:p w14:paraId="62AAD15F" w14:textId="77777777" w:rsidR="00EC5693" w:rsidRPr="007C55B9" w:rsidRDefault="00EC5693" w:rsidP="00EC5693">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C5693" w:rsidRPr="007C55B9" w14:paraId="5C4FE3BB" w14:textId="77777777" w:rsidTr="00DB4B0A">
        <w:tc>
          <w:tcPr>
            <w:tcW w:w="8828" w:type="dxa"/>
          </w:tcPr>
          <w:p w14:paraId="4E2F1D0D" w14:textId="77777777" w:rsidR="00EC5693" w:rsidRPr="008A4646" w:rsidRDefault="00EC5693" w:rsidP="00DB4B0A">
            <w:pPr>
              <w:spacing w:line="278" w:lineRule="auto"/>
              <w:jc w:val="both"/>
              <w:rPr>
                <w:rFonts w:ascii="Verdana" w:eastAsia="Aptos" w:hAnsi="Verdana" w:cs="Times New Roman"/>
                <w:kern w:val="2"/>
                <w14:ligatures w14:val="standardContextual"/>
              </w:rPr>
            </w:pPr>
            <w:bookmarkStart w:id="2" w:name="_Hlk171067516"/>
            <w:r w:rsidRPr="008A4646">
              <w:rPr>
                <w:rFonts w:ascii="Verdana" w:eastAsia="Aptos" w:hAnsi="Verdana" w:cs="Times New Roman"/>
                <w:kern w:val="2"/>
                <w14:ligatures w14:val="standardContextual"/>
              </w:rPr>
              <w:t>Sobre el particular, debe precisarse que</w:t>
            </w:r>
            <w:r>
              <w:rPr>
                <w:rFonts w:ascii="Verdana" w:eastAsia="Aptos" w:hAnsi="Verdana" w:cs="Times New Roman"/>
                <w:kern w:val="2"/>
                <w14:ligatures w14:val="standardContextual"/>
              </w:rPr>
              <w:t xml:space="preserve"> </w:t>
            </w:r>
            <w:r w:rsidRPr="008A4646">
              <w:rPr>
                <w:rFonts w:ascii="Verdana" w:eastAsia="Aptos" w:hAnsi="Verdana" w:cs="Times New Roman"/>
                <w:kern w:val="2"/>
                <w14:ligatures w14:val="standardContextual"/>
              </w:rPr>
              <w:t xml:space="preserve">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007A5903" w14:textId="77777777" w:rsidR="00EC5693" w:rsidRPr="008A4646" w:rsidRDefault="00EC5693" w:rsidP="00DB4B0A">
            <w:pPr>
              <w:spacing w:before="120" w:line="278" w:lineRule="auto"/>
              <w:jc w:val="both"/>
              <w:rPr>
                <w:rFonts w:ascii="Verdana" w:eastAsia="Aptos" w:hAnsi="Verdana" w:cs="Times New Roman"/>
                <w:kern w:val="2"/>
                <w14:ligatures w14:val="standardContextual"/>
              </w:rPr>
            </w:pPr>
            <w:r w:rsidRPr="008A4646">
              <w:rPr>
                <w:rFonts w:ascii="Verdana" w:eastAsia="Aptos" w:hAnsi="Verdana" w:cs="Times New Roman"/>
                <w:kern w:val="2"/>
                <w14:ligatures w14:val="standardContextual"/>
              </w:rPr>
              <w:tab/>
              <w:t>En ese sentido, la prohibición dispuesta en el referido artículo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w:t>
            </w:r>
          </w:p>
          <w:p w14:paraId="70B58108" w14:textId="77777777" w:rsidR="00EC5693" w:rsidRDefault="00EC5693" w:rsidP="00DB4B0A">
            <w:pPr>
              <w:spacing w:before="120" w:after="120" w:line="276" w:lineRule="auto"/>
              <w:ind w:firstLine="709"/>
              <w:jc w:val="both"/>
              <w:rPr>
                <w:rFonts w:ascii="Verdana" w:eastAsia="Times New Roman" w:hAnsi="Verdana" w:cs="Arial"/>
                <w:bCs/>
                <w:lang w:val="es-MX" w:eastAsia="x-none"/>
              </w:rPr>
            </w:pPr>
            <w:r w:rsidRPr="008A4646">
              <w:rPr>
                <w:rFonts w:ascii="Verdana" w:eastAsia="Times New Roman" w:hAnsi="Verdana" w:cs="Arial"/>
                <w:bCs/>
                <w:lang w:val="es-MX"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8A4646">
              <w:rPr>
                <w:rFonts w:ascii="Verdana" w:eastAsia="Times New Roman" w:hAnsi="Verdana" w:cs="Arial"/>
                <w:vertAlign w:val="superscript"/>
                <w:lang w:eastAsia="x-none"/>
              </w:rPr>
              <w:t xml:space="preserve"> </w:t>
            </w:r>
          </w:p>
          <w:p w14:paraId="7E2411E8" w14:textId="77777777" w:rsidR="00EC5693" w:rsidRPr="00F43CC7" w:rsidRDefault="00EC5693" w:rsidP="00DB4B0A">
            <w:pPr>
              <w:spacing w:after="120" w:line="276" w:lineRule="auto"/>
              <w:ind w:firstLine="737"/>
              <w:jc w:val="both"/>
              <w:rPr>
                <w:rFonts w:ascii="Verdana" w:eastAsia="Times New Roman" w:hAnsi="Verdana" w:cs="Arial"/>
                <w:lang w:val="es-ES" w:eastAsia="es-MX"/>
              </w:rPr>
            </w:pPr>
            <w:r w:rsidRPr="00F43CC7">
              <w:rPr>
                <w:rFonts w:ascii="Verdana" w:eastAsia="Times New Roman" w:hAnsi="Verdana" w:cs="Arial"/>
                <w:lang w:val="es-ES" w:eastAsia="es-MX"/>
              </w:rPr>
              <w:t>Por lo demás, el literal i) del artículo 2.4 de la Ley 1150 de 2011 permite la contratación directa tratándose de “El arrendamiento […] de inmuebles”</w:t>
            </w:r>
            <w:r>
              <w:rPr>
                <w:rFonts w:ascii="Verdana" w:eastAsia="Times New Roman" w:hAnsi="Verdana" w:cs="Arial"/>
                <w:lang w:val="es-ES" w:eastAsia="es-MX"/>
              </w:rPr>
              <w:t>, causal que estaría incluida en la prohibición referida</w:t>
            </w:r>
            <w:r w:rsidRPr="00F43CC7">
              <w:rPr>
                <w:rFonts w:ascii="Verdana" w:eastAsia="Times New Roman" w:hAnsi="Verdana" w:cs="Arial"/>
                <w:lang w:val="es-ES" w:eastAsia="es-MX"/>
              </w:rPr>
              <w:t xml:space="preserve">.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48CFDC5B" w14:textId="77777777" w:rsidR="00EC5693" w:rsidRPr="00584C67" w:rsidRDefault="00EC5693" w:rsidP="00DB4B0A">
            <w:pPr>
              <w:spacing w:after="120" w:line="276" w:lineRule="auto"/>
              <w:ind w:firstLine="709"/>
              <w:jc w:val="both"/>
              <w:rPr>
                <w:rFonts w:ascii="Verdana" w:hAnsi="Verdana" w:cs="Segoe UI"/>
              </w:rPr>
            </w:pPr>
            <w:r w:rsidRPr="00584C67">
              <w:rPr>
                <w:rFonts w:ascii="Verdana" w:hAnsi="Verdana" w:cs="Segoe UI"/>
              </w:rPr>
              <w:lastRenderedPageBreak/>
              <w:t>En este contexto es preciso señalar que</w:t>
            </w:r>
            <w:r>
              <w:rPr>
                <w:rFonts w:ascii="Verdana" w:hAnsi="Verdana" w:cs="Segoe UI"/>
              </w:rPr>
              <w:t>,</w:t>
            </w:r>
            <w:r w:rsidRPr="00584C67">
              <w:rPr>
                <w:rFonts w:ascii="Verdana" w:hAnsi="Verdana" w:cs="Segoe UI"/>
              </w:rPr>
              <w:t xml:space="preserve"> la causal de contratación directa prevista en la Ley 1150 permite su utilización </w:t>
            </w:r>
            <w:r w:rsidRPr="00DD2834">
              <w:rPr>
                <w:rStyle w:val="Fuerte"/>
                <w:rFonts w:ascii="Verdana" w:hAnsi="Verdana" w:cs="Segoe UI"/>
              </w:rPr>
              <w:t>tanto cuando la entidad actúa como arrendadora como cuando actúa como arrendataria</w:t>
            </w:r>
            <w:r w:rsidRPr="00584C67">
              <w:rPr>
                <w:rFonts w:ascii="Verdana" w:hAnsi="Verdana" w:cs="Segoe UI"/>
              </w:rPr>
              <w:t xml:space="preserve">, incluido el supuesto planteado para consideración. No obstante, </w:t>
            </w:r>
            <w:r>
              <w:rPr>
                <w:rFonts w:ascii="Verdana" w:hAnsi="Verdana" w:cs="Segoe UI"/>
              </w:rPr>
              <w:t xml:space="preserve">como se señaló anteriormente, </w:t>
            </w:r>
            <w:r w:rsidRPr="00584C67">
              <w:rPr>
                <w:rFonts w:ascii="Verdana" w:hAnsi="Verdana" w:cs="Segoe UI"/>
              </w:rPr>
              <w:t xml:space="preserve">tal modalidad de selección se encuentra </w:t>
            </w:r>
            <w:r w:rsidRPr="00DD2834">
              <w:rPr>
                <w:rStyle w:val="Fuerte"/>
                <w:rFonts w:ascii="Verdana" w:hAnsi="Verdana" w:cs="Segoe UI"/>
              </w:rPr>
              <w:t>proscrita durante los cuatro (4) meses anteriores</w:t>
            </w:r>
            <w:r w:rsidRPr="000E6C92">
              <w:rPr>
                <w:rStyle w:val="Fuerte"/>
                <w:rFonts w:ascii="Verdana" w:hAnsi="Verdana" w:cs="Segoe UI"/>
              </w:rPr>
              <w:t xml:space="preserve"> </w:t>
            </w:r>
            <w:r w:rsidRPr="00DD2834">
              <w:rPr>
                <w:rStyle w:val="Fuerte"/>
                <w:rFonts w:ascii="Verdana" w:hAnsi="Verdana" w:cs="Segoe UI"/>
              </w:rPr>
              <w:t>a las elecciones presidenciales</w:t>
            </w:r>
            <w:r w:rsidRPr="00584C67">
              <w:rPr>
                <w:rFonts w:ascii="Verdana" w:hAnsi="Verdana" w:cs="Segoe UI"/>
              </w:rPr>
              <w:t xml:space="preserve">, en los términos del artículo 33 de la Ley 996 de 2005, razón por la cual </w:t>
            </w:r>
            <w:r w:rsidRPr="00DD2834">
              <w:rPr>
                <w:rStyle w:val="Fuerte"/>
                <w:rFonts w:ascii="Verdana" w:hAnsi="Verdana" w:cs="Segoe UI"/>
              </w:rPr>
              <w:t>no es posible celebrar contratos de arrendamiento mediante contratación directa en dicho periodo</w:t>
            </w:r>
            <w:r w:rsidRPr="00584C67">
              <w:rPr>
                <w:rFonts w:ascii="Verdana" w:hAnsi="Verdana" w:cs="Segoe UI"/>
              </w:rPr>
              <w:t>, salvo que el caso concreto se enmarque en alguna de las excepciones taxativamente señaladas en la norma.</w:t>
            </w:r>
          </w:p>
          <w:p w14:paraId="69455843" w14:textId="77777777" w:rsidR="00EC5693" w:rsidRDefault="00EC5693" w:rsidP="00DB4B0A">
            <w:pPr>
              <w:spacing w:line="276" w:lineRule="auto"/>
              <w:ind w:firstLine="737"/>
              <w:jc w:val="both"/>
              <w:rPr>
                <w:rFonts w:ascii="Verdana" w:eastAsia="Calibri" w:hAnsi="Verdana" w:cs="Arial"/>
                <w:lang w:val="es-ES"/>
              </w:rPr>
            </w:pPr>
            <w:r w:rsidRPr="00F43CC7">
              <w:rPr>
                <w:rFonts w:ascii="Verdana" w:eastAsia="Calibri" w:hAnsi="Verdana" w:cs="Arial"/>
                <w:lang w:val="es-ES"/>
              </w:rPr>
              <w:t>Cuando la entidad estatal actúe como arrendadora puede evaluar si, debido a lo explicado en los párrafos anteriores, es conveniente adelantar una convocatoria pública en garantía del principio de libre concurrencia. No obstante, lo cierto es que –dentro del marco normativo vigente– las entidades públicas son autónomas y responsables tanto de la estructuración de sus procesos de contratación como de determinar la modalidad de selección aplicable para suplir sus necesidades.</w:t>
            </w:r>
          </w:p>
          <w:p w14:paraId="2457EDF0" w14:textId="77777777" w:rsidR="00EC5693" w:rsidRPr="007C55B9" w:rsidRDefault="00EC5693" w:rsidP="00DB4B0A">
            <w:pPr>
              <w:spacing w:before="120" w:line="276" w:lineRule="auto"/>
              <w:ind w:firstLine="708"/>
              <w:jc w:val="both"/>
              <w:rPr>
                <w:rFonts w:ascii="Verdana" w:eastAsia="Times New Roman" w:hAnsi="Verdana" w:cs="Arial"/>
                <w:color w:val="000000"/>
                <w:bdr w:val="none" w:sz="0" w:space="0" w:color="auto" w:frame="1"/>
                <w:shd w:val="clear" w:color="auto" w:fill="FFFFFF"/>
                <w:lang w:val="es-ES" w:eastAsia="es-ES_tradnl"/>
              </w:rPr>
            </w:pPr>
            <w:r w:rsidRPr="007C55B9">
              <w:rPr>
                <w:rFonts w:ascii="Verdana" w:eastAsia="Calibri" w:hAnsi="Verdana" w:cs="Arial"/>
              </w:rPr>
              <w:t>Finalmente, debe advertirse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7FE06B13" w14:textId="77777777" w:rsidR="00EC5693" w:rsidRPr="007C55B9" w:rsidRDefault="00EC5693" w:rsidP="00EC5693">
      <w:pPr>
        <w:widowControl w:val="0"/>
        <w:autoSpaceDE w:val="0"/>
        <w:autoSpaceDN w:val="0"/>
        <w:spacing w:before="1" w:after="0" w:line="240" w:lineRule="auto"/>
        <w:ind w:left="360" w:hanging="360"/>
        <w:outlineLvl w:val="0"/>
        <w:rPr>
          <w:rFonts w:ascii="Verdana" w:eastAsia="Arial" w:hAnsi="Verdana" w:cs="Arial"/>
          <w:b/>
        </w:rPr>
      </w:pPr>
    </w:p>
    <w:p w14:paraId="5F78B88D" w14:textId="77777777" w:rsidR="00EC5693" w:rsidRPr="007C55B9" w:rsidRDefault="00EC5693" w:rsidP="00EC5693">
      <w:pPr>
        <w:widowControl w:val="0"/>
        <w:autoSpaceDE w:val="0"/>
        <w:autoSpaceDN w:val="0"/>
        <w:spacing w:before="1" w:after="0" w:line="240" w:lineRule="auto"/>
        <w:ind w:left="360" w:hanging="360"/>
        <w:outlineLvl w:val="0"/>
        <w:rPr>
          <w:rFonts w:ascii="Verdana" w:eastAsia="Arial" w:hAnsi="Verdana" w:cs="Arial"/>
          <w:b/>
          <w:bCs/>
          <w:lang w:val="es-ES"/>
        </w:rPr>
      </w:pPr>
      <w:r w:rsidRPr="007C55B9">
        <w:rPr>
          <w:rFonts w:ascii="Verdana" w:eastAsia="Arial" w:hAnsi="Verdana" w:cs="Arial"/>
          <w:b/>
          <w:bCs/>
          <w:lang w:val="es-ES"/>
        </w:rPr>
        <w:t>3. Razones de la respuesta</w:t>
      </w:r>
    </w:p>
    <w:p w14:paraId="354CF4C8" w14:textId="77777777" w:rsidR="00EC5693" w:rsidRPr="007C55B9" w:rsidRDefault="00EC5693" w:rsidP="00EC5693">
      <w:pPr>
        <w:spacing w:after="0" w:line="276" w:lineRule="auto"/>
        <w:jc w:val="both"/>
        <w:rPr>
          <w:rFonts w:ascii="Verdana" w:eastAsia="Calibri" w:hAnsi="Verdana" w:cs="Arial"/>
          <w:lang w:val="es-ES"/>
        </w:rPr>
      </w:pPr>
    </w:p>
    <w:p w14:paraId="64576449" w14:textId="77777777" w:rsidR="00EC5693" w:rsidRPr="007C55B9" w:rsidRDefault="00EC5693" w:rsidP="00EC5693">
      <w:pPr>
        <w:spacing w:after="0" w:line="276" w:lineRule="auto"/>
        <w:jc w:val="both"/>
        <w:rPr>
          <w:rFonts w:ascii="Verdana" w:eastAsia="Calibri" w:hAnsi="Verdana" w:cs="Arial"/>
          <w:lang w:val="es-ES"/>
        </w:rPr>
      </w:pPr>
      <w:r w:rsidRPr="007C55B9">
        <w:rPr>
          <w:rFonts w:ascii="Verdana" w:eastAsia="Calibri" w:hAnsi="Verdana" w:cs="Arial"/>
          <w:lang w:val="es-ES"/>
        </w:rPr>
        <w:t xml:space="preserve">Las respuestas anteriores se sustentan en las siguientes consideraciones: </w:t>
      </w:r>
    </w:p>
    <w:p w14:paraId="07AF373D" w14:textId="77777777" w:rsidR="00EC5693" w:rsidRPr="007C55B9" w:rsidRDefault="00EC5693" w:rsidP="00EC5693">
      <w:pPr>
        <w:spacing w:after="0" w:line="276" w:lineRule="auto"/>
        <w:jc w:val="both"/>
        <w:rPr>
          <w:rFonts w:ascii="Verdana" w:eastAsia="Calibri" w:hAnsi="Verdana" w:cs="Arial"/>
          <w:lang w:val="es-ES"/>
        </w:rPr>
      </w:pPr>
    </w:p>
    <w:p w14:paraId="67E6D628" w14:textId="77777777" w:rsidR="00EC5693" w:rsidRPr="00C13395" w:rsidRDefault="00EC5693" w:rsidP="00EC5693">
      <w:pPr>
        <w:spacing w:after="120" w:line="276" w:lineRule="auto"/>
        <w:jc w:val="both"/>
        <w:rPr>
          <w:rFonts w:ascii="Verdana" w:eastAsia="Century Gothic" w:hAnsi="Verdana" w:cs="Century Gothic"/>
          <w:bCs/>
          <w:lang w:val="es-ES_tradnl"/>
        </w:rPr>
      </w:pPr>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w:t>
      </w:r>
      <w:r w:rsidRPr="00C13395">
        <w:rPr>
          <w:rFonts w:ascii="Verdana" w:eastAsia="Century Gothic" w:hAnsi="Verdana" w:cs="Century Gothic"/>
          <w:bCs/>
          <w:lang w:val="es-ES_tradnl"/>
        </w:rPr>
        <w:lastRenderedPageBreak/>
        <w:t xml:space="preserve">políticos, señala restricciones a ciertos empleados del Estado, incluso en época no electoral. </w:t>
      </w:r>
    </w:p>
    <w:p w14:paraId="1DB2A2D0"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691CB6B7" w14:textId="77777777" w:rsidR="00EC5693" w:rsidRDefault="00EC5693" w:rsidP="00EC569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0D9A6A51" w14:textId="77777777" w:rsidR="00EC5693" w:rsidRPr="00C13395" w:rsidRDefault="00EC5693" w:rsidP="00EC5693">
      <w:pPr>
        <w:spacing w:after="0" w:line="276" w:lineRule="auto"/>
        <w:ind w:firstLine="708"/>
        <w:jc w:val="both"/>
        <w:rPr>
          <w:rFonts w:ascii="Verdana" w:eastAsia="Century Gothic" w:hAnsi="Verdana" w:cs="Century Gothic"/>
          <w:bCs/>
          <w:lang w:val="es-ES_tradnl"/>
        </w:rPr>
      </w:pPr>
    </w:p>
    <w:p w14:paraId="77ED651D" w14:textId="77777777" w:rsidR="00EC5693"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694CF282" w14:textId="77777777" w:rsidR="00EC5693" w:rsidRPr="00C13395" w:rsidRDefault="00EC5693" w:rsidP="00EC5693">
      <w:pPr>
        <w:spacing w:after="0" w:line="240" w:lineRule="auto"/>
        <w:ind w:left="709" w:right="709"/>
        <w:jc w:val="both"/>
        <w:rPr>
          <w:rFonts w:ascii="Verdana" w:eastAsia="Century Gothic" w:hAnsi="Verdana" w:cs="Century Gothic"/>
          <w:bCs/>
          <w:sz w:val="20"/>
          <w:szCs w:val="20"/>
          <w:lang w:val="es-ES_tradnl"/>
        </w:rPr>
      </w:pPr>
    </w:p>
    <w:p w14:paraId="4800517F" w14:textId="77777777" w:rsidR="00EC5693" w:rsidRPr="00C13395"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4F436108" w14:textId="77777777" w:rsidR="00EC5693" w:rsidRDefault="00EC5693" w:rsidP="00EC5693">
      <w:pPr>
        <w:spacing w:after="0" w:line="240" w:lineRule="auto"/>
        <w:ind w:left="709" w:right="709"/>
        <w:jc w:val="both"/>
        <w:rPr>
          <w:rFonts w:ascii="Verdana" w:eastAsia="Century Gothic" w:hAnsi="Verdana" w:cs="Century Gothic"/>
          <w:bCs/>
          <w:sz w:val="20"/>
          <w:szCs w:val="20"/>
          <w:lang w:val="es-ES_tradnl"/>
        </w:rPr>
      </w:pPr>
    </w:p>
    <w:p w14:paraId="66EE5F53" w14:textId="77777777" w:rsidR="00EC5693"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61CBD0D0" w14:textId="77777777" w:rsidR="00EC5693" w:rsidRPr="000E6C92" w:rsidRDefault="00EC5693" w:rsidP="00EC5693">
      <w:pPr>
        <w:spacing w:after="0" w:line="276" w:lineRule="auto"/>
        <w:ind w:left="709" w:right="709"/>
        <w:jc w:val="both"/>
        <w:rPr>
          <w:rFonts w:ascii="Verdana" w:eastAsia="Century Gothic" w:hAnsi="Verdana" w:cs="Century Gothic"/>
          <w:bCs/>
          <w:lang w:val="es-ES_tradnl"/>
        </w:rPr>
      </w:pPr>
    </w:p>
    <w:p w14:paraId="63169759" w14:textId="77777777" w:rsidR="00EC5693" w:rsidRDefault="00EC5693" w:rsidP="00EC569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C13395">
        <w:rPr>
          <w:rFonts w:ascii="Verdana" w:eastAsia="Century Gothic" w:hAnsi="Verdana" w:cs="Century Gothic"/>
          <w:bCs/>
          <w:lang w:val="es-ES_tradnl"/>
        </w:rPr>
        <w:lastRenderedPageBreak/>
        <w:t>normas prohibitivas, deben interpretarse restrictivamente. En efecto, la Sala de Consulta y Servicio Civil del Consejo de Estado, precisó:</w:t>
      </w:r>
    </w:p>
    <w:p w14:paraId="74B91EB9" w14:textId="77777777" w:rsidR="00EC5693" w:rsidRPr="00C13395" w:rsidRDefault="00EC5693" w:rsidP="00EC5693">
      <w:pPr>
        <w:spacing w:after="0" w:line="276" w:lineRule="auto"/>
        <w:ind w:firstLine="708"/>
        <w:jc w:val="both"/>
        <w:rPr>
          <w:rFonts w:ascii="Verdana" w:eastAsia="Century Gothic" w:hAnsi="Verdana" w:cs="Century Gothic"/>
          <w:bCs/>
          <w:lang w:val="es-ES_tradnl"/>
        </w:rPr>
      </w:pPr>
    </w:p>
    <w:p w14:paraId="7CDCA6E6" w14:textId="77777777" w:rsidR="00EC5693" w:rsidRDefault="00EC5693" w:rsidP="00EC5693">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7FBC3F6" w14:textId="77777777" w:rsidR="00EC5693" w:rsidRPr="00C13395" w:rsidRDefault="00EC5693" w:rsidP="00EC5693">
      <w:pPr>
        <w:spacing w:after="0" w:line="240" w:lineRule="auto"/>
        <w:ind w:left="709" w:right="709"/>
        <w:jc w:val="both"/>
        <w:rPr>
          <w:rFonts w:ascii="Verdana" w:eastAsia="Century Gothic" w:hAnsi="Verdana" w:cs="Century Gothic"/>
          <w:sz w:val="20"/>
          <w:szCs w:val="20"/>
          <w:lang w:val="es-ES"/>
        </w:rPr>
      </w:pPr>
    </w:p>
    <w:p w14:paraId="50997854" w14:textId="77777777" w:rsidR="00EC5693"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2AA9FEB1" w14:textId="77777777" w:rsidR="00EC5693" w:rsidRPr="00C13395" w:rsidRDefault="00EC5693" w:rsidP="00EC5693">
      <w:pPr>
        <w:spacing w:after="0" w:line="276" w:lineRule="auto"/>
        <w:ind w:left="709" w:right="709"/>
        <w:jc w:val="both"/>
        <w:rPr>
          <w:rFonts w:ascii="Verdana" w:eastAsia="Century Gothic" w:hAnsi="Verdana" w:cs="Century Gothic"/>
          <w:bCs/>
          <w:sz w:val="20"/>
          <w:szCs w:val="20"/>
          <w:lang w:val="es-ES_tradnl"/>
        </w:rPr>
      </w:pPr>
    </w:p>
    <w:p w14:paraId="569C8D6A" w14:textId="77777777" w:rsidR="00EC5693" w:rsidRPr="000E6C92" w:rsidRDefault="00EC5693" w:rsidP="00EC5693">
      <w:pPr>
        <w:spacing w:after="0" w:line="276" w:lineRule="auto"/>
        <w:ind w:firstLine="709"/>
        <w:jc w:val="both"/>
        <w:rPr>
          <w:rFonts w:ascii="Verdana" w:eastAsia="Arial" w:hAnsi="Verdana" w:cs="Arial"/>
          <w:lang w:val="es-ES" w:eastAsia="es-ES" w:bidi="es-ES"/>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w:t>
      </w:r>
      <w:r>
        <w:rPr>
          <w:rFonts w:ascii="Verdana" w:eastAsia="Century Gothic" w:hAnsi="Verdana" w:cs="Century Gothic"/>
          <w:bCs/>
          <w:lang w:val="es-ES_tradnl"/>
        </w:rPr>
        <w:t>Así las cosas, c</w:t>
      </w:r>
      <w:r w:rsidRPr="00C13395">
        <w:rPr>
          <w:rFonts w:ascii="Verdana" w:eastAsia="Century Gothic" w:hAnsi="Verdana" w:cs="Century Gothic"/>
          <w:bCs/>
          <w:lang w:val="es-ES_tradnl"/>
        </w:rPr>
        <w:t xml:space="preserve">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F43CC7">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4EE9EF6D" w14:textId="77777777" w:rsidR="00EC5693" w:rsidRDefault="00EC5693" w:rsidP="00EC5693">
      <w:pPr>
        <w:spacing w:after="0" w:line="276" w:lineRule="auto"/>
        <w:jc w:val="both"/>
        <w:rPr>
          <w:rFonts w:ascii="Verdana" w:eastAsia="Century Gothic" w:hAnsi="Verdana" w:cs="Century Gothic"/>
          <w:bCs/>
          <w:lang w:val="es-ES_tradnl"/>
        </w:rPr>
      </w:pPr>
    </w:p>
    <w:p w14:paraId="7F931338" w14:textId="77777777" w:rsidR="00EC5693" w:rsidRPr="00C13395" w:rsidRDefault="00EC5693" w:rsidP="00EC5693">
      <w:pPr>
        <w:spacing w:after="120" w:line="276" w:lineRule="auto"/>
        <w:jc w:val="both"/>
        <w:rPr>
          <w:rFonts w:ascii="Verdana" w:eastAsia="Century Gothic" w:hAnsi="Verdana" w:cs="Century Gothic"/>
          <w:lang w:val="es-ES"/>
        </w:rPr>
      </w:pPr>
      <w:proofErr w:type="spellStart"/>
      <w:r w:rsidRPr="5F29C245">
        <w:rPr>
          <w:rFonts w:ascii="Verdana" w:eastAsia="Century Gothic" w:hAnsi="Verdana" w:cs="Century Gothic"/>
          <w:lang w:val="es-ES"/>
        </w:rPr>
        <w:t>ii</w:t>
      </w:r>
      <w:proofErr w:type="spellEnd"/>
      <w:r w:rsidRPr="5F29C245">
        <w:rPr>
          <w:rFonts w:ascii="Verdana" w:eastAsia="Century Gothic" w:hAnsi="Verdana" w:cs="Century Gothic"/>
          <w:lang w:val="es-ES"/>
        </w:rPr>
        <w:t>)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48553764"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lastRenderedPageBreak/>
        <w:t>Por un lado, 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551BFA">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083ACE79"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entury Gothic" w:hAnsi="Verdana" w:cs="Century Gothic"/>
          <w:bCs/>
          <w:lang w:val="es-ES_tradnl"/>
        </w:rPr>
        <w:t xml:space="preserve">. </w:t>
      </w:r>
      <w:r w:rsidRPr="00C13395">
        <w:rPr>
          <w:rFonts w:ascii="Verdana" w:eastAsia="Century Gothic" w:hAnsi="Verdana" w:cs="Century Gothic"/>
          <w:bCs/>
          <w:lang w:val="es-ES_tradnl"/>
        </w:rPr>
        <w:t xml:space="preserve"> </w:t>
      </w:r>
    </w:p>
    <w:p w14:paraId="530FB4F3" w14:textId="77777777" w:rsidR="00EC5693" w:rsidRDefault="00EC5693" w:rsidP="00EC569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1C9DA293" w14:textId="77777777" w:rsidR="00EC5693" w:rsidRPr="00C13395" w:rsidRDefault="00EC5693" w:rsidP="00EC5693">
      <w:pPr>
        <w:spacing w:after="0" w:line="276" w:lineRule="auto"/>
        <w:ind w:firstLine="708"/>
        <w:jc w:val="both"/>
        <w:rPr>
          <w:rFonts w:ascii="Verdana" w:eastAsia="Century Gothic" w:hAnsi="Verdana" w:cs="Century Gothic"/>
          <w:bCs/>
          <w:lang w:val="es-ES_tradnl"/>
        </w:rPr>
      </w:pPr>
    </w:p>
    <w:p w14:paraId="6672A223" w14:textId="77777777" w:rsidR="00EC5693"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56C31685" w14:textId="77777777" w:rsidR="00EC5693" w:rsidRPr="00551BFA" w:rsidRDefault="00EC5693" w:rsidP="00EC5693">
      <w:pPr>
        <w:spacing w:after="0" w:line="276" w:lineRule="auto"/>
        <w:ind w:left="709" w:right="709"/>
        <w:jc w:val="both"/>
        <w:rPr>
          <w:rFonts w:ascii="Verdana" w:eastAsia="Century Gothic" w:hAnsi="Verdana" w:cs="Century Gothic"/>
          <w:bCs/>
          <w:lang w:val="es-ES_tradnl"/>
        </w:rPr>
      </w:pPr>
    </w:p>
    <w:p w14:paraId="1543C52F" w14:textId="77777777" w:rsidR="00EC5693" w:rsidRPr="00C13395" w:rsidRDefault="00EC5693" w:rsidP="00EC5693">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lastRenderedPageBreak/>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3F05FE2" w14:textId="77777777" w:rsidR="00EC5693" w:rsidRPr="00C13395" w:rsidRDefault="00EC5693" w:rsidP="00EC5693">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179B49B4" w14:textId="77777777" w:rsidR="00EC5693" w:rsidRDefault="00EC5693" w:rsidP="00EC5693">
      <w:pPr>
        <w:spacing w:after="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w:t>
      </w:r>
      <w:r w:rsidRPr="122F1934">
        <w:rPr>
          <w:rFonts w:ascii="Verdana" w:eastAsia="Century Gothic" w:hAnsi="Verdana" w:cs="Century Gothic"/>
          <w:lang w:val="es-ES"/>
        </w:rPr>
        <w:lastRenderedPageBreak/>
        <w:t xml:space="preserve">en forma continua o discontinua, conforme al artículo 197 de la Constitución Política. </w:t>
      </w:r>
    </w:p>
    <w:p w14:paraId="3B6747BF" w14:textId="77777777" w:rsidR="00EC5693" w:rsidRPr="00C13395" w:rsidRDefault="00EC5693" w:rsidP="00EC5693">
      <w:pPr>
        <w:spacing w:after="0" w:line="276" w:lineRule="auto"/>
        <w:ind w:firstLine="709"/>
        <w:jc w:val="both"/>
        <w:rPr>
          <w:rFonts w:ascii="Verdana" w:eastAsia="Century Gothic" w:hAnsi="Verdana" w:cs="Century Gothic"/>
          <w:lang w:val="es-ES"/>
        </w:rPr>
      </w:pPr>
    </w:p>
    <w:p w14:paraId="04383D90" w14:textId="77777777" w:rsidR="00EC5693" w:rsidRPr="00C13395" w:rsidRDefault="00EC5693" w:rsidP="00EC5693">
      <w:pPr>
        <w:spacing w:after="120" w:line="276" w:lineRule="auto"/>
        <w:jc w:val="both"/>
        <w:rPr>
          <w:rFonts w:ascii="Verdana" w:eastAsia="Century Gothic" w:hAnsi="Verdana" w:cs="Century Gothic"/>
          <w:lang w:val="es-ES"/>
        </w:rPr>
      </w:pPr>
      <w:proofErr w:type="spellStart"/>
      <w:r>
        <w:rPr>
          <w:rFonts w:ascii="Verdana" w:eastAsia="Century Gothic" w:hAnsi="Verdana" w:cs="Century Gothic"/>
          <w:lang w:val="es-ES"/>
        </w:rPr>
        <w:t>i</w:t>
      </w:r>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C9E6240"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32C2024"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ED9FEB0" w14:textId="77777777" w:rsidR="00EC5693" w:rsidRDefault="00EC5693" w:rsidP="00EC5693">
      <w:pPr>
        <w:spacing w:after="0" w:line="276" w:lineRule="auto"/>
        <w:ind w:firstLine="709"/>
        <w:jc w:val="both"/>
        <w:rPr>
          <w:rFonts w:ascii="Verdana" w:eastAsia="Century Gothic" w:hAnsi="Verdana" w:cs="Century Gothic"/>
          <w:bCs/>
          <w:lang w:val="es-ES_tradnl"/>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w:t>
      </w:r>
      <w:r w:rsidRPr="122F1934">
        <w:rPr>
          <w:rFonts w:ascii="Verdana" w:eastAsia="Century Gothic" w:hAnsi="Verdana" w:cs="Century Gothic"/>
          <w:lang w:val="es-ES"/>
        </w:rPr>
        <w:lastRenderedPageBreak/>
        <w:t xml:space="preserve">y siempre que cumplan los principios de planeación, transparencia y </w:t>
      </w:r>
      <w:r w:rsidRPr="001F38BF">
        <w:rPr>
          <w:rFonts w:ascii="Verdana" w:eastAsia="Century Gothic" w:hAnsi="Verdana" w:cs="Century Gothic"/>
          <w:bCs/>
          <w:lang w:val="es-ES_tradnl"/>
        </w:rPr>
        <w:t xml:space="preserve">responsabilidad. </w:t>
      </w:r>
    </w:p>
    <w:p w14:paraId="7C0C7835" w14:textId="77777777" w:rsidR="00EC5693" w:rsidRDefault="00EC5693" w:rsidP="00EC5693">
      <w:pPr>
        <w:spacing w:after="0" w:line="276" w:lineRule="auto"/>
        <w:ind w:firstLine="709"/>
        <w:jc w:val="both"/>
        <w:rPr>
          <w:rFonts w:ascii="Verdana" w:eastAsia="Century Gothic" w:hAnsi="Verdana" w:cs="Century Gothic"/>
          <w:bCs/>
          <w:lang w:val="es-ES_tradnl"/>
        </w:rPr>
      </w:pPr>
    </w:p>
    <w:p w14:paraId="056C7408" w14:textId="77777777" w:rsidR="00EC5693" w:rsidRPr="00C13395" w:rsidRDefault="00EC5693" w:rsidP="00EC5693">
      <w:pPr>
        <w:spacing w:after="0" w:line="276" w:lineRule="auto"/>
        <w:jc w:val="both"/>
        <w:rPr>
          <w:rFonts w:ascii="Verdana" w:eastAsia="Century Gothic" w:hAnsi="Verdana" w:cs="Century Gothic"/>
          <w:lang w:val="es-ES"/>
        </w:rPr>
      </w:pPr>
      <w:proofErr w:type="spellStart"/>
      <w:r w:rsidRPr="001F38BF">
        <w:rPr>
          <w:rFonts w:ascii="Verdana" w:eastAsia="Century Gothic" w:hAnsi="Verdana" w:cs="Century Gothic"/>
          <w:bCs/>
          <w:lang w:val="es-ES_tradnl"/>
        </w:rPr>
        <w:t>i</w:t>
      </w:r>
      <w:r>
        <w:rPr>
          <w:rFonts w:ascii="Verdana" w:eastAsia="Century Gothic" w:hAnsi="Verdana" w:cs="Century Gothic"/>
          <w:bCs/>
          <w:lang w:val="es-ES_tradnl"/>
        </w:rPr>
        <w:t>v</w:t>
      </w:r>
      <w:proofErr w:type="spellEnd"/>
      <w:r w:rsidRPr="001F38BF">
        <w:rPr>
          <w:rFonts w:ascii="Verdana" w:eastAsia="Century Gothic" w:hAnsi="Verdana" w:cs="Century Gothic"/>
          <w:bCs/>
          <w:lang w:val="es-ES_tradnl"/>
        </w:rPr>
        <w:t xml:space="preserve">) </w:t>
      </w:r>
      <w:r w:rsidRPr="00F43CC7">
        <w:rPr>
          <w:rFonts w:ascii="Verdana" w:eastAsia="Calibri" w:hAnsi="Verdana" w:cs="Arial"/>
          <w:lang w:val="es-ES" w:eastAsia="es-ES" w:bidi="es-ES"/>
        </w:rPr>
        <w:t xml:space="preserve">Para responder al problema jurídico planteado es necesario precisar el alcance de la prohibición </w:t>
      </w:r>
      <w:r w:rsidRPr="00F43CC7">
        <w:rPr>
          <w:rFonts w:ascii="Verdana" w:eastAsia="Arial" w:hAnsi="Verdana" w:cs="Arial"/>
          <w:lang w:val="es-ES" w:eastAsia="es-ES" w:bidi="es-ES"/>
        </w:rPr>
        <w:t>establecida en e</w:t>
      </w:r>
      <w:r w:rsidRPr="00F43CC7">
        <w:rPr>
          <w:rFonts w:ascii="Verdana" w:eastAsia="Calibri" w:hAnsi="Verdana" w:cs="Arial"/>
          <w:lang w:val="es-ES"/>
        </w:rPr>
        <w:t xml:space="preserve">l </w:t>
      </w:r>
      <w:r w:rsidRPr="00F43CC7">
        <w:rPr>
          <w:rFonts w:ascii="Verdana" w:eastAsia="Times New Roman" w:hAnsi="Verdana" w:cs="Arial"/>
          <w:lang w:val="es-ES"/>
        </w:rPr>
        <w:t xml:space="preserve">artículo 33 de la Ley 996 de 2005. </w:t>
      </w:r>
      <w:r>
        <w:rPr>
          <w:rFonts w:ascii="Verdana" w:eastAsia="Century Gothic" w:hAnsi="Verdana" w:cs="Century Gothic"/>
          <w:bCs/>
          <w:lang w:val="es-ES_tradnl"/>
        </w:rPr>
        <w:t>E</w:t>
      </w:r>
      <w:r w:rsidRPr="61CFEC75">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2CAC043D" w14:textId="77777777" w:rsidR="00EC5693" w:rsidRPr="00C13395" w:rsidRDefault="00EC5693" w:rsidP="00EC5693">
      <w:pPr>
        <w:spacing w:after="0" w:line="276" w:lineRule="auto"/>
        <w:jc w:val="both"/>
        <w:rPr>
          <w:rFonts w:ascii="Verdana" w:eastAsia="Century Gothic" w:hAnsi="Verdana" w:cs="Century Gothic"/>
          <w:bCs/>
          <w:lang w:val="es-ES_tradnl"/>
        </w:rPr>
      </w:pPr>
    </w:p>
    <w:p w14:paraId="5E2B6DE0" w14:textId="77777777" w:rsidR="00EC5693" w:rsidRPr="00C13395"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432322C9" w14:textId="77777777" w:rsidR="00EC5693" w:rsidRPr="00C13395" w:rsidRDefault="00EC5693" w:rsidP="00EC5693">
      <w:pPr>
        <w:spacing w:after="0" w:line="240" w:lineRule="auto"/>
        <w:ind w:left="709" w:right="709"/>
        <w:jc w:val="both"/>
        <w:rPr>
          <w:rFonts w:ascii="Verdana" w:eastAsia="Century Gothic" w:hAnsi="Verdana" w:cs="Century Gothic"/>
          <w:bCs/>
          <w:sz w:val="20"/>
          <w:szCs w:val="20"/>
          <w:lang w:val="es-ES_tradnl"/>
        </w:rPr>
      </w:pPr>
    </w:p>
    <w:p w14:paraId="35FA4EE3" w14:textId="77777777" w:rsidR="00EC5693" w:rsidRPr="00C13395" w:rsidRDefault="00EC5693" w:rsidP="00EC569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5EB13A72" w14:textId="77777777" w:rsidR="00EC5693" w:rsidRDefault="00EC5693" w:rsidP="00EC5693">
      <w:pPr>
        <w:spacing w:after="0" w:line="276" w:lineRule="auto"/>
        <w:ind w:firstLine="708"/>
        <w:jc w:val="both"/>
        <w:rPr>
          <w:rFonts w:ascii="Verdana" w:eastAsia="Century Gothic" w:hAnsi="Verdana" w:cs="Century Gothic"/>
          <w:bCs/>
          <w:lang w:val="es-ES_tradnl"/>
        </w:rPr>
      </w:pPr>
    </w:p>
    <w:p w14:paraId="501C1B67"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w:t>
      </w:r>
      <w:r>
        <w:rPr>
          <w:rFonts w:ascii="Verdana" w:eastAsia="Century Gothic" w:hAnsi="Verdana" w:cs="Century Gothic"/>
          <w:bCs/>
          <w:lang w:val="es-ES_tradnl"/>
        </w:rPr>
        <w:t>. A</w:t>
      </w:r>
      <w:r w:rsidRPr="00C13395">
        <w:rPr>
          <w:rFonts w:ascii="Verdana" w:eastAsia="Century Gothic" w:hAnsi="Verdana" w:cs="Century Gothic"/>
          <w:bCs/>
          <w:lang w:val="es-ES_tradnl"/>
        </w:rPr>
        <w:t xml:space="preserve">demás lo es con la posterior creación de la modalidad de mínima cuantía establecida actualmente en el numeral 5 del </w:t>
      </w:r>
      <w:r w:rsidRPr="00C13395">
        <w:rPr>
          <w:rFonts w:ascii="Verdana" w:eastAsia="Century Gothic" w:hAnsi="Verdana" w:cs="Century Gothic"/>
          <w:bCs/>
          <w:lang w:val="es-ES_tradnl"/>
        </w:rPr>
        <w:lastRenderedPageBreak/>
        <w:t>artículo 2 de la Ley 1150 de 2007, de acuerdo con las modificaciones realizadas por leyes posteriores.</w:t>
      </w:r>
    </w:p>
    <w:p w14:paraId="61541F26"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733BE1BF"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5B5060A2" w14:textId="77777777" w:rsidR="00EC5693" w:rsidRPr="00C13395" w:rsidRDefault="00EC5693" w:rsidP="00EC569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598179F" w14:textId="77777777" w:rsidR="00EC5693" w:rsidRPr="00C13395" w:rsidRDefault="00EC5693" w:rsidP="00EC569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C13395">
        <w:rPr>
          <w:rFonts w:ascii="Verdana" w:eastAsia="Century Gothic" w:hAnsi="Verdana" w:cs="Century Gothic"/>
          <w:bCs/>
          <w:lang w:val="es-ES_tradnl"/>
        </w:rPr>
        <w:lastRenderedPageBreak/>
        <w:t>que no incluya la convocatoria pública en alguna de sus etapas, ni permita la participación de una pluralidad de oferentes.</w:t>
      </w:r>
    </w:p>
    <w:p w14:paraId="26CEF067" w14:textId="77777777" w:rsidR="00EC5693" w:rsidRDefault="00EC5693" w:rsidP="00EC5693">
      <w:pPr>
        <w:spacing w:after="0" w:line="276" w:lineRule="auto"/>
        <w:ind w:firstLine="709"/>
        <w:jc w:val="both"/>
        <w:rPr>
          <w:rFonts w:ascii="Verdana" w:eastAsia="Century Gothic" w:hAnsi="Verdana" w:cs="Century Gothic"/>
          <w:lang w:val="es-ES"/>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6BE95763" w14:textId="77777777" w:rsidR="00EC5693" w:rsidRDefault="00EC5693" w:rsidP="00EC5693">
      <w:pPr>
        <w:spacing w:after="0" w:line="276" w:lineRule="auto"/>
        <w:ind w:firstLine="709"/>
        <w:jc w:val="both"/>
        <w:rPr>
          <w:rFonts w:ascii="Verdana" w:eastAsia="Century Gothic" w:hAnsi="Verdana" w:cs="Century Gothic"/>
          <w:lang w:val="es-ES"/>
        </w:rPr>
      </w:pPr>
    </w:p>
    <w:p w14:paraId="71CA651A" w14:textId="77777777" w:rsidR="00EC5693" w:rsidRPr="00F43CC7" w:rsidRDefault="00EC5693" w:rsidP="00EC5693">
      <w:pPr>
        <w:spacing w:after="120" w:line="276" w:lineRule="auto"/>
        <w:jc w:val="both"/>
        <w:rPr>
          <w:rFonts w:ascii="Verdana" w:hAnsi="Verdana" w:cs="Arial"/>
          <w:bCs/>
          <w:color w:val="000000" w:themeColor="text1"/>
          <w:lang w:val="es-ES"/>
        </w:rPr>
      </w:pPr>
      <w:r w:rsidRPr="00F43CC7">
        <w:rPr>
          <w:rFonts w:ascii="Verdana" w:eastAsia="Calibri" w:hAnsi="Verdana" w:cs="Arial"/>
          <w:lang w:val="es-ES"/>
        </w:rPr>
        <w:t xml:space="preserve">v) </w:t>
      </w:r>
      <w:r w:rsidRPr="00F43CC7">
        <w:rPr>
          <w:rFonts w:ascii="Verdana" w:eastAsia="Times New Roman" w:hAnsi="Verdana" w:cs="Arial"/>
          <w:lang w:val="es-ES" w:eastAsia="es-MX"/>
        </w:rPr>
        <w:t>Respecto al literal i) del artículo 2.4 de la Ley 1150 de 2011, al igual que el literal e) del derogado artículo 24.1 de la Ley 80 de 1993, el E</w:t>
      </w:r>
      <w:r>
        <w:rPr>
          <w:rFonts w:ascii="Verdana" w:eastAsia="Times New Roman" w:hAnsi="Verdana" w:cs="Arial"/>
          <w:lang w:val="es-ES" w:eastAsia="es-MX"/>
        </w:rPr>
        <w:t xml:space="preserve">statuto </w:t>
      </w:r>
      <w:r w:rsidRPr="00F43CC7">
        <w:rPr>
          <w:rFonts w:ascii="Verdana" w:eastAsia="Times New Roman" w:hAnsi="Verdana" w:cs="Arial"/>
          <w:lang w:val="es-ES" w:eastAsia="es-MX"/>
        </w:rPr>
        <w:t>G</w:t>
      </w:r>
      <w:r>
        <w:rPr>
          <w:rFonts w:ascii="Verdana" w:eastAsia="Times New Roman" w:hAnsi="Verdana" w:cs="Arial"/>
          <w:lang w:val="es-ES" w:eastAsia="es-MX"/>
        </w:rPr>
        <w:t xml:space="preserve">eneral de </w:t>
      </w:r>
      <w:r w:rsidRPr="00F43CC7">
        <w:rPr>
          <w:rFonts w:ascii="Verdana" w:eastAsia="Times New Roman" w:hAnsi="Verdana" w:cs="Arial"/>
          <w:lang w:val="es-ES" w:eastAsia="es-MX"/>
        </w:rPr>
        <w:t>C</w:t>
      </w:r>
      <w:r>
        <w:rPr>
          <w:rFonts w:ascii="Verdana" w:eastAsia="Times New Roman" w:hAnsi="Verdana" w:cs="Arial"/>
          <w:lang w:val="es-ES" w:eastAsia="es-MX"/>
        </w:rPr>
        <w:t xml:space="preserve">ontratación de la </w:t>
      </w:r>
      <w:r w:rsidRPr="00F43CC7">
        <w:rPr>
          <w:rFonts w:ascii="Verdana" w:eastAsia="Times New Roman" w:hAnsi="Verdana" w:cs="Arial"/>
          <w:lang w:val="es-ES" w:eastAsia="es-MX"/>
        </w:rPr>
        <w:t>A</w:t>
      </w:r>
      <w:r>
        <w:rPr>
          <w:rFonts w:ascii="Verdana" w:eastAsia="Times New Roman" w:hAnsi="Verdana" w:cs="Arial"/>
          <w:lang w:val="es-ES" w:eastAsia="es-MX"/>
        </w:rPr>
        <w:t xml:space="preserve">dministración </w:t>
      </w:r>
      <w:r w:rsidRPr="00F43CC7">
        <w:rPr>
          <w:rFonts w:ascii="Verdana" w:eastAsia="Times New Roman" w:hAnsi="Verdana" w:cs="Arial"/>
          <w:lang w:val="es-ES" w:eastAsia="es-MX"/>
        </w:rPr>
        <w:t>P</w:t>
      </w:r>
      <w:r>
        <w:rPr>
          <w:rFonts w:ascii="Verdana" w:eastAsia="Times New Roman" w:hAnsi="Verdana" w:cs="Arial"/>
          <w:lang w:val="es-ES" w:eastAsia="es-MX"/>
        </w:rPr>
        <w:t>ública</w:t>
      </w:r>
      <w:r w:rsidRPr="00F43CC7">
        <w:rPr>
          <w:rFonts w:ascii="Verdana" w:eastAsia="Times New Roman" w:hAnsi="Verdana" w:cs="Arial"/>
          <w:lang w:val="es-ES" w:eastAsia="es-MX"/>
        </w:rPr>
        <w:t xml:space="preserve"> permite la contratación directa tratándose de “El arrendamiento […] de inmuebles”. </w:t>
      </w:r>
      <w:r w:rsidRPr="00F43CC7">
        <w:rPr>
          <w:rFonts w:ascii="Verdana" w:hAnsi="Verdana" w:cs="Arial"/>
          <w:bCs/>
          <w:color w:val="000000" w:themeColor="text1"/>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F43CC7">
        <w:rPr>
          <w:rFonts w:ascii="Verdana" w:eastAsia="Times New Roman" w:hAnsi="Verdana" w:cs="Arial"/>
          <w:lang w:val="es-ES" w:eastAsia="es-MX"/>
        </w:rPr>
        <w:t xml:space="preserve"> </w:t>
      </w:r>
    </w:p>
    <w:p w14:paraId="7C958543" w14:textId="77777777" w:rsidR="00EC5693" w:rsidRDefault="00EC5693" w:rsidP="00EC5693">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63813CF3">
        <w:rPr>
          <w:rFonts w:ascii="Verdana" w:eastAsia="Times New Roman" w:hAnsi="Verdana" w:cs="Arial"/>
          <w:i/>
          <w:iCs/>
          <w:lang w:eastAsia="es-MX"/>
        </w:rPr>
        <w:t>Por tanto, también para el caso en el que actúa como arrendadora puede acudir a un evento especial de contratación directa</w:t>
      </w:r>
      <w:r w:rsidRPr="63813CF3">
        <w:rPr>
          <w:rFonts w:ascii="Verdana" w:eastAsia="Times New Roman" w:hAnsi="Verdana" w:cs="Arial"/>
          <w:lang w:eastAsia="es-MX"/>
        </w:rPr>
        <w:t xml:space="preserve"> […]”</w:t>
      </w:r>
      <w:r w:rsidRPr="63813CF3">
        <w:rPr>
          <w:rStyle w:val="Refdenotaalpie"/>
          <w:rFonts w:ascii="Verdana" w:eastAsia="Times New Roman" w:hAnsi="Verdana" w:cs="Arial"/>
          <w:lang w:eastAsia="es-MX"/>
        </w:rPr>
        <w:footnoteReference w:id="1"/>
      </w:r>
      <w:r w:rsidRPr="63813CF3">
        <w:rPr>
          <w:rFonts w:ascii="Verdana" w:eastAsia="Times New Roman" w:hAnsi="Verdana" w:cs="Arial"/>
          <w:lang w:eastAsia="es-MX"/>
        </w:rPr>
        <w:t xml:space="preserve"> (Énfasis fuera de texto). </w:t>
      </w:r>
    </w:p>
    <w:p w14:paraId="0F264E0F" w14:textId="77777777" w:rsidR="00EC5693" w:rsidRPr="00F43CC7" w:rsidRDefault="00EC5693" w:rsidP="00EC5693">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Dicho entendimiento tampoco cambió después de la reforma de la Ley 1150 de 2007, pues DÁVILA VINUEZA considera que “</w:t>
      </w:r>
      <w:r w:rsidRPr="63813CF3">
        <w:rPr>
          <w:rFonts w:ascii="Verdana" w:eastAsia="Times New Roman" w:hAnsi="Verdana" w:cs="Arial"/>
          <w:i/>
          <w:iCs/>
          <w:lang w:eastAsia="es-MX"/>
        </w:rPr>
        <w:t xml:space="preserve">La contratación directa </w:t>
      </w:r>
      <w:r w:rsidRPr="63813CF3">
        <w:rPr>
          <w:rFonts w:ascii="Verdana" w:eastAsia="Times New Roman" w:hAnsi="Verdana" w:cs="Arial"/>
          <w:i/>
          <w:iCs/>
          <w:lang w:eastAsia="es-MX"/>
        </w:rPr>
        <w:lastRenderedPageBreak/>
        <w:t>está admitida tanto cuando la entidad es arrendataria como cuando es arrendadora y no se requiere obtener varias ofertas</w:t>
      </w:r>
      <w:r w:rsidRPr="63813CF3">
        <w:rPr>
          <w:rFonts w:ascii="Verdana" w:eastAsia="Times New Roman" w:hAnsi="Verdana" w:cs="Arial"/>
          <w:lang w:eastAsia="es-MX"/>
        </w:rPr>
        <w:t xml:space="preserve"> […]”</w:t>
      </w:r>
      <w:r w:rsidRPr="63813CF3">
        <w:rPr>
          <w:rStyle w:val="Refdenotaalpie"/>
          <w:rFonts w:ascii="Verdana" w:eastAsia="Times New Roman" w:hAnsi="Verdana" w:cs="Arial"/>
          <w:lang w:eastAsia="es-MX"/>
        </w:rPr>
        <w:footnoteReference w:id="2"/>
      </w:r>
      <w:r w:rsidRPr="63813CF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63813CF3">
        <w:rPr>
          <w:rStyle w:val="Refdenotaalpie"/>
          <w:rFonts w:ascii="Verdana" w:eastAsia="Times New Roman" w:hAnsi="Verdana" w:cs="Arial"/>
          <w:lang w:eastAsia="es-MX"/>
        </w:rPr>
        <w:footnoteReference w:id="3"/>
      </w:r>
      <w:r w:rsidRPr="63813CF3">
        <w:rPr>
          <w:rFonts w:ascii="Verdana" w:eastAsia="Times New Roman" w:hAnsi="Verdana" w:cs="Arial"/>
          <w:lang w:eastAsia="es-MX"/>
        </w:rPr>
        <w:t xml:space="preserve">. </w:t>
      </w:r>
    </w:p>
    <w:p w14:paraId="4B8D4C85" w14:textId="77777777" w:rsidR="00EC5693" w:rsidRPr="00F43CC7" w:rsidRDefault="00EC5693" w:rsidP="00EC5693">
      <w:pPr>
        <w:spacing w:after="0" w:line="276" w:lineRule="auto"/>
        <w:ind w:firstLine="709"/>
        <w:jc w:val="both"/>
        <w:rPr>
          <w:rFonts w:ascii="Verdana" w:hAnsi="Verdana" w:cs="Arial"/>
          <w:bCs/>
          <w:color w:val="000000" w:themeColor="text1"/>
          <w:lang w:val="es-ES"/>
        </w:rPr>
      </w:pPr>
      <w:r w:rsidRPr="00F43CC7">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14:paraId="06BD7791" w14:textId="77777777" w:rsidR="00EC5693" w:rsidRPr="00F43CC7" w:rsidRDefault="00EC5693" w:rsidP="00EC5693">
      <w:pPr>
        <w:spacing w:after="0" w:line="276" w:lineRule="auto"/>
        <w:ind w:firstLine="709"/>
        <w:jc w:val="both"/>
        <w:rPr>
          <w:rFonts w:ascii="Verdana" w:hAnsi="Verdana" w:cs="Arial"/>
          <w:bCs/>
          <w:color w:val="000000" w:themeColor="text1"/>
          <w:lang w:val="es-ES"/>
        </w:rPr>
      </w:pPr>
    </w:p>
    <w:p w14:paraId="2DA0A2B6" w14:textId="77777777" w:rsidR="00EC5693" w:rsidRDefault="00EC5693" w:rsidP="00EC5693">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“1. Verificar las condiciones del mercado inmobiliario en la ciudad en la que la Entidad Estatal requiere el inmueble.</w:t>
      </w:r>
    </w:p>
    <w:p w14:paraId="068ED9F7" w14:textId="77777777" w:rsidR="00EC5693" w:rsidRPr="00F43CC7" w:rsidRDefault="00EC5693" w:rsidP="00EC5693">
      <w:pPr>
        <w:spacing w:after="0" w:line="240" w:lineRule="auto"/>
        <w:ind w:left="709" w:right="709"/>
        <w:jc w:val="both"/>
        <w:rPr>
          <w:rFonts w:ascii="Verdana" w:eastAsia="Calibri" w:hAnsi="Verdana" w:cs="Arial"/>
          <w:sz w:val="20"/>
          <w:szCs w:val="20"/>
          <w:lang w:val="es-ES"/>
        </w:rPr>
      </w:pPr>
    </w:p>
    <w:p w14:paraId="314C94E6" w14:textId="77777777" w:rsidR="00EC5693" w:rsidRPr="00F43CC7" w:rsidRDefault="00EC5693" w:rsidP="00EC5693">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2. Analizar y comparar las condiciones de los bienes inmuebles que satisfacen las necesidades identificadas y las opciones de arrendamiento, análisis que deberá tener en cuenta los principios y objetivos del sistema de compra y contratación pública”.</w:t>
      </w:r>
    </w:p>
    <w:p w14:paraId="61F90FEC" w14:textId="77777777" w:rsidR="00EC5693" w:rsidRPr="00F43CC7" w:rsidRDefault="00EC5693" w:rsidP="00EC5693">
      <w:pPr>
        <w:spacing w:after="0" w:line="276" w:lineRule="auto"/>
        <w:ind w:firstLine="708"/>
        <w:jc w:val="both"/>
        <w:rPr>
          <w:rFonts w:ascii="Verdana" w:eastAsia="Calibri" w:hAnsi="Verdana" w:cs="Arial"/>
          <w:color w:val="000000" w:themeColor="text1"/>
          <w:lang w:val="es-ES"/>
        </w:rPr>
      </w:pPr>
    </w:p>
    <w:p w14:paraId="2AE4BECE" w14:textId="77777777" w:rsidR="00EC5693" w:rsidRPr="00F43CC7" w:rsidRDefault="00EC5693" w:rsidP="00EC5693">
      <w:pPr>
        <w:spacing w:after="120" w:line="276" w:lineRule="auto"/>
        <w:ind w:firstLine="708"/>
        <w:jc w:val="both"/>
        <w:rPr>
          <w:rFonts w:ascii="Verdana" w:eastAsia="Calibri" w:hAnsi="Verdana" w:cs="Arial"/>
          <w:lang w:val="es-ES"/>
        </w:rPr>
      </w:pPr>
      <w:r w:rsidRPr="00F43CC7">
        <w:rPr>
          <w:rFonts w:ascii="Verdana" w:eastAsia="Calibri" w:hAnsi="Verdana" w:cs="Arial"/>
          <w:lang w:val="es-ES"/>
        </w:rPr>
        <w:t xml:space="preserve">Para autores como GONZÁLEZ LÓPEZ, </w:t>
      </w:r>
      <w:r w:rsidRPr="00F43CC7">
        <w:rPr>
          <w:rFonts w:ascii="Verdana" w:eastAsia="Calibri" w:hAnsi="Verdana" w:cs="Arial"/>
          <w:sz w:val="20"/>
          <w:szCs w:val="20"/>
          <w:lang w:val="es-ES"/>
        </w:rPr>
        <w:t>“</w:t>
      </w:r>
      <w:r w:rsidRPr="00F43CC7">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F43CC7">
        <w:rPr>
          <w:rFonts w:ascii="Verdana" w:eastAsia="Calibri" w:hAnsi="Verdana" w:cs="Arial"/>
          <w:i/>
          <w:iCs/>
          <w:lang w:val="es-ES"/>
        </w:rPr>
        <w:t>es viable la modalidad de contratación directa siempre que se trae de un contrato de arrendamiento que suscriba una entidad estatal regulada por la Ley 80 de 1993</w:t>
      </w:r>
      <w:r w:rsidRPr="00F43CC7">
        <w:rPr>
          <w:rFonts w:ascii="Verdana" w:eastAsia="Calibri" w:hAnsi="Verdana" w:cs="Arial"/>
          <w:lang w:val="es-ES"/>
        </w:rPr>
        <w:t>”</w:t>
      </w:r>
      <w:r w:rsidRPr="00F43CC7">
        <w:rPr>
          <w:rStyle w:val="Refdenotaalpie"/>
          <w:rFonts w:ascii="Verdana" w:eastAsia="Calibri" w:hAnsi="Verdana" w:cs="Arial"/>
          <w:lang w:val="es-ES"/>
        </w:rPr>
        <w:footnoteReference w:id="4"/>
      </w:r>
      <w:r w:rsidRPr="00F43CC7">
        <w:rPr>
          <w:rFonts w:ascii="Verdana" w:eastAsia="Calibri" w:hAnsi="Verdana" w:cs="Arial"/>
          <w:lang w:val="es-ES"/>
        </w:rPr>
        <w:t xml:space="preserve"> (Énfasis fuera de texto).</w:t>
      </w:r>
    </w:p>
    <w:p w14:paraId="2478B829" w14:textId="77777777" w:rsidR="00EC5693" w:rsidRDefault="00EC5693" w:rsidP="00EC5693">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Por otro lado, </w:t>
      </w:r>
      <w:r w:rsidRPr="00F43CC7">
        <w:rPr>
          <w:rFonts w:ascii="Verdana" w:eastAsia="Calibri" w:hAnsi="Verdana" w:cs="Arial"/>
          <w:sz w:val="22"/>
          <w:szCs w:val="22"/>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F43CC7">
        <w:rPr>
          <w:rStyle w:val="Refdenotaalpie"/>
          <w:rFonts w:ascii="Verdana" w:eastAsia="Calibri" w:hAnsi="Verdana" w:cs="Arial"/>
          <w:sz w:val="22"/>
          <w:szCs w:val="22"/>
          <w:lang w:val="es-ES"/>
        </w:rPr>
        <w:footnoteReference w:id="5"/>
      </w:r>
      <w:r w:rsidRPr="00F43CC7">
        <w:rPr>
          <w:rFonts w:ascii="Verdana" w:eastAsia="Calibri" w:hAnsi="Verdana" w:cs="Arial"/>
          <w:sz w:val="22"/>
          <w:szCs w:val="22"/>
          <w:lang w:val="es-ES"/>
        </w:rPr>
        <w:t xml:space="preserve">. Aunque existe la discusión sobre la conveniencia de esta postura, lo cierto es que –dentro del marco normativo vigente– las entidades </w:t>
      </w:r>
      <w:r w:rsidRPr="00F43CC7">
        <w:rPr>
          <w:rFonts w:ascii="Verdana" w:eastAsia="Calibri" w:hAnsi="Verdana" w:cs="Arial"/>
          <w:sz w:val="22"/>
          <w:szCs w:val="22"/>
          <w:lang w:val="es-ES"/>
        </w:rPr>
        <w:lastRenderedPageBreak/>
        <w:t>públicas son autónomas y responsables tanto de la estructuración de sus procesos de contratación como de determinar la modalidad de selección aplicable para suplir sus necesidades</w:t>
      </w:r>
      <w:r w:rsidRPr="00F43CC7">
        <w:rPr>
          <w:rStyle w:val="Refdenotaalpie"/>
          <w:rFonts w:ascii="Verdana" w:eastAsia="Calibri" w:hAnsi="Verdana" w:cs="Arial"/>
          <w:sz w:val="22"/>
          <w:szCs w:val="22"/>
          <w:lang w:val="es-ES"/>
        </w:rPr>
        <w:footnoteReference w:id="6"/>
      </w:r>
      <w:r w:rsidRPr="00F43CC7">
        <w:rPr>
          <w:rFonts w:ascii="Verdana" w:eastAsia="Calibri" w:hAnsi="Verdana" w:cs="Arial"/>
          <w:sz w:val="22"/>
          <w:szCs w:val="22"/>
          <w:lang w:val="es-ES"/>
        </w:rPr>
        <w:t>.</w:t>
      </w:r>
    </w:p>
    <w:p w14:paraId="463DAFC5" w14:textId="77777777" w:rsidR="00EC5693" w:rsidRPr="00584C67" w:rsidRDefault="00EC5693" w:rsidP="00EC5693">
      <w:pPr>
        <w:spacing w:after="0" w:line="276" w:lineRule="auto"/>
        <w:ind w:firstLine="709"/>
        <w:jc w:val="both"/>
        <w:rPr>
          <w:rFonts w:ascii="Verdana" w:hAnsi="Verdana" w:cs="Segoe UI"/>
        </w:rPr>
      </w:pPr>
      <w:r w:rsidRPr="00584C67">
        <w:rPr>
          <w:rFonts w:ascii="Verdana" w:hAnsi="Verdana" w:cs="Segoe UI"/>
        </w:rPr>
        <w:t xml:space="preserve">En este contexto es preciso señalar —como adición al análisis anterior— que la causal de contratación directa prevista en la Ley 1150 permite su utilización </w:t>
      </w:r>
      <w:r w:rsidRPr="000E6C92">
        <w:rPr>
          <w:rStyle w:val="Fuerte"/>
          <w:rFonts w:ascii="Verdana" w:hAnsi="Verdana" w:cs="Segoe UI"/>
        </w:rPr>
        <w:t>tanto cuando la entidad actúa como arrendadora como cuando actúa como arrendataria</w:t>
      </w:r>
      <w:r w:rsidRPr="0024671C">
        <w:rPr>
          <w:rFonts w:ascii="Verdana" w:hAnsi="Verdana" w:cs="Segoe UI"/>
        </w:rPr>
        <w:t xml:space="preserve">, incluido el supuesto planteado para consideración. No obstante, tal modalidad de selección se encuentra </w:t>
      </w:r>
      <w:r w:rsidRPr="000E6C92">
        <w:rPr>
          <w:rStyle w:val="Fuerte"/>
          <w:rFonts w:ascii="Verdana" w:hAnsi="Verdana" w:cs="Segoe UI"/>
        </w:rPr>
        <w:t>proscrita durante los cuatro (4) meses anteriores a las elecciones presidenciales</w:t>
      </w:r>
      <w:r w:rsidRPr="0024671C">
        <w:rPr>
          <w:rFonts w:ascii="Verdana" w:hAnsi="Verdana" w:cs="Segoe UI"/>
        </w:rPr>
        <w:t xml:space="preserve">, en los términos del artículo 33 de la Ley 996 de 2005, razón por la cual </w:t>
      </w:r>
      <w:r w:rsidRPr="000E6C92">
        <w:rPr>
          <w:rStyle w:val="Fuerte"/>
          <w:rFonts w:ascii="Verdana" w:hAnsi="Verdana" w:cs="Segoe UI"/>
        </w:rPr>
        <w:t>no es posible celebrar contratos de arrendamiento mediante contratación directa en dicho periodo</w:t>
      </w:r>
      <w:r w:rsidRPr="0024671C">
        <w:rPr>
          <w:rFonts w:ascii="Verdana" w:hAnsi="Verdana" w:cs="Segoe UI"/>
        </w:rPr>
        <w:t>,</w:t>
      </w:r>
      <w:r w:rsidRPr="00584C67">
        <w:rPr>
          <w:rFonts w:ascii="Verdana" w:hAnsi="Verdana" w:cs="Segoe UI"/>
        </w:rPr>
        <w:t xml:space="preserve"> salvo que el caso concreto se enmarque en alguna de las excepciones taxativamente señaladas en la norma.</w:t>
      </w:r>
    </w:p>
    <w:p w14:paraId="478CFF38" w14:textId="77777777" w:rsidR="00EC5693" w:rsidRDefault="00EC5693" w:rsidP="00EC5693">
      <w:pPr>
        <w:spacing w:after="0" w:line="276" w:lineRule="auto"/>
        <w:jc w:val="both"/>
        <w:rPr>
          <w:rFonts w:ascii="Verdana" w:eastAsia="Century Gothic" w:hAnsi="Verdana" w:cs="Century Gothic"/>
          <w:lang w:val="es-ES"/>
        </w:rPr>
      </w:pPr>
    </w:p>
    <w:p w14:paraId="0727DB58" w14:textId="77777777" w:rsidR="00EC5693" w:rsidRDefault="00EC5693" w:rsidP="00EC5693">
      <w:pPr>
        <w:spacing w:after="0" w:line="276" w:lineRule="auto"/>
        <w:jc w:val="both"/>
        <w:rPr>
          <w:rFonts w:ascii="Verdana" w:eastAsia="Century Gothic" w:hAnsi="Verdana" w:cs="Century Gothic"/>
          <w:lang w:val="es-ES"/>
        </w:rPr>
      </w:pPr>
      <w:r>
        <w:rPr>
          <w:rFonts w:ascii="Verdana" w:eastAsia="Century Gothic" w:hAnsi="Verdana" w:cs="Century Gothic"/>
          <w:lang w:val="es-ES"/>
        </w:rPr>
        <w:t>vi) Ahora bien</w:t>
      </w:r>
      <w:r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Pr="00551BFA">
        <w:rPr>
          <w:rFonts w:ascii="Verdana" w:eastAsia="Century Gothic" w:hAnsi="Verdana" w:cs="Century Gothic"/>
          <w:i/>
          <w:iCs/>
          <w:lang w:val="es-ES"/>
        </w:rPr>
        <w:t>) la defensa y seguridad del Estado;</w:t>
      </w:r>
      <w:r w:rsidRPr="122F1934">
        <w:rPr>
          <w:rFonts w:ascii="Verdana" w:eastAsia="Century Gothic" w:hAnsi="Verdana" w:cs="Century Gothic"/>
          <w:lang w:val="es-ES"/>
        </w:rPr>
        <w:t xml:space="preserve">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los contratos de crédito público; </w:t>
      </w:r>
      <w:proofErr w:type="spellStart"/>
      <w:r w:rsidRPr="122F1934">
        <w:rPr>
          <w:rFonts w:ascii="Verdana" w:eastAsia="Century Gothic" w:hAnsi="Verdana" w:cs="Century Gothic"/>
          <w:lang w:val="es-ES"/>
        </w:rPr>
        <w:t>iii</w:t>
      </w:r>
      <w:proofErr w:type="spellEnd"/>
      <w:r w:rsidRPr="122F1934">
        <w:rPr>
          <w:rFonts w:ascii="Verdana" w:eastAsia="Century Gothic" w:hAnsi="Verdana" w:cs="Century Gothic"/>
          <w:lang w:val="es-ES"/>
        </w:rPr>
        <w:t xml:space="preserve">) los requeridos para cubrir las emergencias educativas, sanitarias y desastres;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los utilizados para la reconstrucción de vías, puentes, carreteras, infraestructura </w:t>
      </w:r>
      <w:r w:rsidRPr="122F1934">
        <w:rPr>
          <w:rFonts w:ascii="Verdana" w:eastAsia="Century Gothic" w:hAnsi="Verdana" w:cs="Century Gothic"/>
          <w:lang w:val="es-ES"/>
        </w:rPr>
        <w:lastRenderedPageBreak/>
        <w:t xml:space="preserve">energética y de comunicaciones, en caso de que hayan sido objeto de atentados, acciones terroristas, desastres naturales o casos de fuerza mayor; y, v) los que deban realizar las entidades sanitarias y hospitalarias. </w:t>
      </w:r>
    </w:p>
    <w:p w14:paraId="1F1663D6" w14:textId="77777777" w:rsidR="00EC5693" w:rsidRPr="00C13395" w:rsidRDefault="00EC5693" w:rsidP="00EC569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 e</w:t>
      </w:r>
      <w:r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900CA4E" w14:textId="77777777" w:rsidR="00EC5693" w:rsidRPr="007C55B9" w:rsidRDefault="00EC5693" w:rsidP="00EC5693">
      <w:pPr>
        <w:spacing w:before="120" w:after="0" w:line="276" w:lineRule="auto"/>
        <w:ind w:firstLine="708"/>
        <w:jc w:val="both"/>
        <w:rPr>
          <w:rFonts w:ascii="Verdana" w:eastAsia="Calibri" w:hAnsi="Verdana" w:cs="Aria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sidRPr="007C55B9">
        <w:rPr>
          <w:rFonts w:ascii="Verdana" w:eastAsia="Calibri" w:hAnsi="Verdana" w:cs="Arial"/>
        </w:rPr>
        <w:t xml:space="preserve">Finalmente, debe advertirse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6E5DE9B3" w14:textId="77777777" w:rsidR="00EC5693" w:rsidRPr="007C55B9" w:rsidRDefault="00EC5693" w:rsidP="00EC5693">
      <w:pPr>
        <w:spacing w:before="120" w:after="0" w:line="276" w:lineRule="auto"/>
        <w:ind w:firstLine="709"/>
        <w:jc w:val="both"/>
        <w:rPr>
          <w:rFonts w:ascii="Verdana" w:eastAsia="Calibri" w:hAnsi="Verdana" w:cs="Arial"/>
        </w:rPr>
      </w:pPr>
      <w:r w:rsidRPr="007C55B9">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3DB704A" w14:textId="77777777" w:rsidR="00EC5693" w:rsidRPr="007C55B9" w:rsidRDefault="00EC5693" w:rsidP="00EC5693">
      <w:pPr>
        <w:spacing w:before="120" w:after="0" w:line="276" w:lineRule="auto"/>
        <w:ind w:firstLine="709"/>
        <w:jc w:val="both"/>
        <w:rPr>
          <w:rFonts w:ascii="Verdana" w:eastAsia="Calibri" w:hAnsi="Verdana" w:cs="Arial"/>
        </w:rPr>
      </w:pPr>
    </w:p>
    <w:p w14:paraId="346F8EE4" w14:textId="77777777" w:rsidR="00EC5693" w:rsidRPr="007C55B9" w:rsidRDefault="00EC5693" w:rsidP="00EC5693">
      <w:pPr>
        <w:widowControl w:val="0"/>
        <w:autoSpaceDE w:val="0"/>
        <w:autoSpaceDN w:val="0"/>
        <w:spacing w:before="1" w:after="0" w:line="240" w:lineRule="auto"/>
        <w:outlineLvl w:val="0"/>
        <w:rPr>
          <w:rFonts w:ascii="Verdana" w:eastAsia="Arial" w:hAnsi="Verdana" w:cs="Arial"/>
          <w:b/>
          <w:bCs/>
          <w:lang w:val="es-ES"/>
        </w:rPr>
      </w:pPr>
      <w:r w:rsidRPr="007C55B9">
        <w:rPr>
          <w:rFonts w:ascii="Verdana" w:eastAsia="Arial" w:hAnsi="Verdana" w:cs="Arial"/>
          <w:b/>
          <w:bCs/>
          <w:lang w:val="es-ES"/>
        </w:rPr>
        <w:t>4.Referencias normativas, jurisprudenciales y otras fuentes:</w:t>
      </w:r>
    </w:p>
    <w:p w14:paraId="36C989A9" w14:textId="77777777" w:rsidR="00EC5693" w:rsidRPr="007C55B9" w:rsidRDefault="00EC5693" w:rsidP="00EC5693">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C5693" w:rsidRPr="007C55B9" w14:paraId="2A0FFF51" w14:textId="77777777" w:rsidTr="00DB4B0A">
        <w:trPr>
          <w:trHeight w:val="870"/>
        </w:trPr>
        <w:tc>
          <w:tcPr>
            <w:tcW w:w="8647" w:type="dxa"/>
          </w:tcPr>
          <w:p w14:paraId="6CB2E126"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Constitución Política: Artículo 127.</w:t>
            </w:r>
          </w:p>
          <w:p w14:paraId="257456F5"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Ley 80 de 1993, artículos 39, 41. </w:t>
            </w:r>
          </w:p>
          <w:p w14:paraId="7B38BB0F"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Ley 996 de 2005: artículos 33 y 38 parágrafo.</w:t>
            </w:r>
          </w:p>
          <w:p w14:paraId="4A6D2848"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Ley 1150 de 2007, Artículo 2, numeral 4. </w:t>
            </w:r>
          </w:p>
          <w:p w14:paraId="58AF397B" w14:textId="77777777" w:rsidR="00EC5693" w:rsidRPr="007C55B9" w:rsidRDefault="00EC5693" w:rsidP="00EC5693">
            <w:pPr>
              <w:widowControl w:val="0"/>
              <w:numPr>
                <w:ilvl w:val="0"/>
                <w:numId w:val="1"/>
              </w:numPr>
              <w:autoSpaceDE w:val="0"/>
              <w:autoSpaceDN w:val="0"/>
              <w:spacing w:line="276" w:lineRule="auto"/>
              <w:contextualSpacing/>
              <w:jc w:val="both"/>
              <w:rPr>
                <w:rFonts w:ascii="Verdana" w:eastAsia="Calibri" w:hAnsi="Verdana" w:cs="Arial"/>
                <w:lang w:val="es-ES"/>
              </w:rPr>
            </w:pPr>
            <w:r w:rsidRPr="007C55B9">
              <w:rPr>
                <w:rFonts w:ascii="Verdana" w:eastAsia="Calibri" w:hAnsi="Verdana" w:cs="Arial"/>
                <w:lang w:val="es-ES"/>
              </w:rPr>
              <w:t>Corte Constitucional, Sentencia C- 1153 de 2005, M.P. Marco Gerardo Monroy Cabra</w:t>
            </w:r>
            <w:r>
              <w:rPr>
                <w:rFonts w:ascii="Verdana" w:eastAsia="Calibri" w:hAnsi="Verdana" w:cs="Arial"/>
                <w:lang w:val="es-ES"/>
              </w:rPr>
              <w:t>.</w:t>
            </w:r>
          </w:p>
          <w:p w14:paraId="553D1007"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Consejo de Estado, Sección Primera. Sentencia de 3 de marzo de 2005, </w:t>
            </w:r>
            <w:proofErr w:type="spellStart"/>
            <w:r w:rsidRPr="007C55B9">
              <w:rPr>
                <w:rFonts w:ascii="Verdana" w:eastAsia="Calibri" w:hAnsi="Verdana" w:cs="Arial"/>
                <w:lang w:val="es-ES"/>
              </w:rPr>
              <w:t>Exp</w:t>
            </w:r>
            <w:proofErr w:type="spellEnd"/>
            <w:r w:rsidRPr="007C55B9">
              <w:rPr>
                <w:rFonts w:ascii="Verdana" w:eastAsia="Calibri" w:hAnsi="Verdana" w:cs="Arial"/>
                <w:lang w:val="es-ES"/>
              </w:rPr>
              <w:t xml:space="preserve">. 2004-00823-01(PI). </w:t>
            </w:r>
          </w:p>
          <w:p w14:paraId="229CCF69"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 xml:space="preserve">Consejo de Estado, Sala de Consulta y Servicio Civil de fecha 24 de julio de 2013, Rad. 2166, C. P. Álvaro Namén Vargas. </w:t>
            </w:r>
          </w:p>
          <w:p w14:paraId="74CDB413" w14:textId="77777777" w:rsidR="00EC5693" w:rsidRPr="007C55B9" w:rsidRDefault="00EC5693" w:rsidP="00EC5693">
            <w:pPr>
              <w:widowControl w:val="0"/>
              <w:numPr>
                <w:ilvl w:val="0"/>
                <w:numId w:val="1"/>
              </w:numPr>
              <w:autoSpaceDE w:val="0"/>
              <w:autoSpaceDN w:val="0"/>
              <w:spacing w:line="276" w:lineRule="auto"/>
              <w:contextualSpacing/>
              <w:jc w:val="both"/>
              <w:rPr>
                <w:rFonts w:ascii="Verdana" w:eastAsia="Calibri" w:hAnsi="Verdana" w:cs="Arial"/>
                <w:lang w:val="es-ES"/>
              </w:rPr>
            </w:pPr>
            <w:r w:rsidRPr="007C55B9">
              <w:rPr>
                <w:rFonts w:ascii="Verdana" w:eastAsia="Calibri" w:hAnsi="Verdana" w:cs="Arial"/>
                <w:lang w:val="es-ES"/>
              </w:rPr>
              <w:t>Consejo de Estado. Sala de Consulta y Servicio Civil. Concepto del 17 de febrero de 2015. C.P. William Zambrano Cetina. Radicación No. 11001-03-06-000-2015-00164-00(2269).</w:t>
            </w:r>
          </w:p>
          <w:p w14:paraId="1282414E" w14:textId="77777777" w:rsidR="00EC5693" w:rsidRPr="007C55B9" w:rsidRDefault="00EC5693" w:rsidP="00EC569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7C55B9">
              <w:rPr>
                <w:rFonts w:ascii="Verdana" w:eastAsia="Calibri" w:hAnsi="Verdana" w:cs="Arial"/>
                <w:lang w:val="es-ES"/>
              </w:rPr>
              <w:t>Consejo de Estado, Sala de lo Contencioso Administrativo, Sección Tercera. Auto del 4 de octubre de 2024. Radicado No. 70.313. MP: Fredy Ibarra Martínez</w:t>
            </w:r>
            <w:r>
              <w:rPr>
                <w:rFonts w:ascii="Verdana" w:eastAsia="Calibri" w:hAnsi="Verdana" w:cs="Arial"/>
                <w:lang w:val="es-ES"/>
              </w:rPr>
              <w:t>.</w:t>
            </w:r>
          </w:p>
        </w:tc>
      </w:tr>
    </w:tbl>
    <w:p w14:paraId="42C27FD2" w14:textId="77777777" w:rsidR="00EC5693" w:rsidRPr="002F119A" w:rsidRDefault="00EC5693" w:rsidP="00EC5693">
      <w:pPr>
        <w:widowControl w:val="0"/>
        <w:autoSpaceDE w:val="0"/>
        <w:autoSpaceDN w:val="0"/>
        <w:spacing w:after="0" w:line="276" w:lineRule="auto"/>
        <w:jc w:val="both"/>
        <w:rPr>
          <w:rFonts w:ascii="Verdana" w:eastAsia="Aptos" w:hAnsi="Verdana" w:cs="Arial"/>
        </w:rPr>
      </w:pPr>
    </w:p>
    <w:p w14:paraId="3AAE7A60" w14:textId="77777777" w:rsidR="00EC5693" w:rsidRPr="002F119A" w:rsidRDefault="00EC5693" w:rsidP="00EC5693">
      <w:pPr>
        <w:widowControl w:val="0"/>
        <w:autoSpaceDE w:val="0"/>
        <w:autoSpaceDN w:val="0"/>
        <w:spacing w:before="1" w:after="0" w:line="276" w:lineRule="auto"/>
        <w:outlineLvl w:val="0"/>
        <w:rPr>
          <w:rFonts w:ascii="Verdana" w:eastAsia="Arial" w:hAnsi="Verdana" w:cs="Arial"/>
          <w:b/>
          <w:bCs/>
          <w:lang w:val="es-ES"/>
        </w:rPr>
      </w:pPr>
      <w:r w:rsidRPr="002F119A">
        <w:rPr>
          <w:rFonts w:ascii="Verdana" w:eastAsia="Arial" w:hAnsi="Verdana" w:cs="Arial"/>
          <w:b/>
          <w:bCs/>
          <w:lang w:val="es-ES"/>
        </w:rPr>
        <w:t>5. Doctrina de la Agencia Nacional de Contratación Pública:</w:t>
      </w:r>
    </w:p>
    <w:p w14:paraId="52997B9B" w14:textId="77777777" w:rsidR="00EC5693" w:rsidRPr="002F119A" w:rsidRDefault="00EC5693" w:rsidP="00EC5693">
      <w:pPr>
        <w:widowControl w:val="0"/>
        <w:autoSpaceDE w:val="0"/>
        <w:autoSpaceDN w:val="0"/>
        <w:spacing w:after="0" w:line="276" w:lineRule="auto"/>
        <w:jc w:val="both"/>
        <w:rPr>
          <w:rFonts w:ascii="Verdana" w:eastAsia="Aptos" w:hAnsi="Verdana" w:cs="Arial"/>
        </w:rPr>
      </w:pPr>
    </w:p>
    <w:p w14:paraId="6527D521" w14:textId="77777777" w:rsidR="00EC5693" w:rsidRPr="002F119A" w:rsidRDefault="00EC5693" w:rsidP="00EC5693">
      <w:pPr>
        <w:widowControl w:val="0"/>
        <w:autoSpaceDE w:val="0"/>
        <w:autoSpaceDN w:val="0"/>
        <w:spacing w:after="0" w:line="276" w:lineRule="auto"/>
        <w:jc w:val="both"/>
        <w:rPr>
          <w:rFonts w:ascii="Verdana" w:eastAsia="Aptos" w:hAnsi="Verdana" w:cs="Arial"/>
          <w:shd w:val="clear" w:color="auto" w:fill="FFFFFF"/>
          <w:lang w:val="es-ES"/>
        </w:rPr>
      </w:pPr>
      <w:r w:rsidRPr="002F119A">
        <w:rPr>
          <w:rFonts w:ascii="Verdana" w:eastAsia="Calibri" w:hAnsi="Verdana" w:cs="Arial"/>
          <w:bCs/>
          <w:shd w:val="clear" w:color="auto" w:fill="FFFFFF"/>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w:t>
      </w:r>
      <w:r w:rsidRPr="002F119A">
        <w:rPr>
          <w:rFonts w:ascii="Verdana" w:eastAsia="Calibri" w:hAnsi="Verdana" w:cs="Arial"/>
          <w:bCs/>
          <w:shd w:val="clear" w:color="auto" w:fill="FFFFFF"/>
        </w:rPr>
        <w:lastRenderedPageBreak/>
        <w:t>octubre de 2025, C-1488 del 30 de octubre de 2025, C-1596 del 6 de noviembre de 2025, entre otros. Asimismo, se ha pronunciado sobre el régimen jurídico de los contratos de arrendamiento en los Conceptos C-646 del 22 de noviembre de 2021, C-214 del 22 de abril de 2022, C-830 del 16 de diciembre de 2024, C-159 del 20 de marzo de 2025, C-1648 del 14 de noviembre de 2025</w:t>
      </w:r>
      <w:r w:rsidRPr="002F119A">
        <w:rPr>
          <w:rFonts w:ascii="Verdana" w:eastAsia="Calibri" w:hAnsi="Verdana" w:cs="Arial"/>
          <w:bCs/>
          <w:shd w:val="clear" w:color="auto" w:fill="FFFFFF"/>
          <w:lang w:val="es-ES"/>
        </w:rPr>
        <w:t xml:space="preserve">. En tal sentido, recoge los conceptos expuestos, sin perjuicio de otras consideraciones. </w:t>
      </w:r>
      <w:r w:rsidRPr="002F119A">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2F119A">
          <w:rPr>
            <w:rFonts w:ascii="Verdana" w:eastAsia="Aptos" w:hAnsi="Verdana" w:cs="Arial"/>
            <w:color w:val="0000FF"/>
            <w:u w:val="single"/>
            <w:shd w:val="clear" w:color="auto" w:fill="FFFFFF"/>
            <w:lang w:val="es-ES"/>
          </w:rPr>
          <w:t>https://relatoria.colombiacompra.gov.co/</w:t>
        </w:r>
      </w:hyperlink>
      <w:r w:rsidRPr="002F119A">
        <w:rPr>
          <w:rFonts w:ascii="Verdana" w:eastAsia="Aptos" w:hAnsi="Verdana" w:cs="Arial"/>
          <w:shd w:val="clear" w:color="auto" w:fill="FFFFFF"/>
          <w:lang w:val="es-ES"/>
        </w:rPr>
        <w:t xml:space="preserve">. </w:t>
      </w:r>
    </w:p>
    <w:p w14:paraId="44283B70" w14:textId="77777777" w:rsidR="00EC5693" w:rsidRPr="002F119A" w:rsidRDefault="00EC5693" w:rsidP="00EC5693">
      <w:pPr>
        <w:spacing w:before="120" w:after="120" w:line="276" w:lineRule="auto"/>
        <w:ind w:firstLine="709"/>
        <w:jc w:val="both"/>
        <w:rPr>
          <w:rFonts w:ascii="Verdana" w:eastAsia="Aptos" w:hAnsi="Verdana" w:cs="Times New Roman"/>
        </w:rPr>
      </w:pPr>
      <w:r w:rsidRPr="002F119A">
        <w:rPr>
          <w:rFonts w:ascii="Verdana" w:eastAsia="Aptos" w:hAnsi="Verdana" w:cs="Times New Roman"/>
        </w:rPr>
        <w:t xml:space="preserve">La sostenibilidad no es una opción, es una obligación. Por ello, la Agencia Nacional de Contratación Pública –Colombia Compra Eficiente– te invita a realizar el </w:t>
      </w:r>
      <w:r w:rsidRPr="002F119A">
        <w:rPr>
          <w:rFonts w:ascii="Verdana" w:eastAsia="Aptos" w:hAnsi="Verdana" w:cs="Times New Roman"/>
          <w:b/>
          <w:bCs/>
        </w:rPr>
        <w:t>Curso de Contratación Pública Sostenible y Socialmente Responsable</w:t>
      </w:r>
      <w:r w:rsidRPr="002F119A">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F119A">
        <w:rPr>
          <w:rFonts w:ascii="Verdana" w:eastAsia="Aptos" w:hAnsi="Verdana" w:cs="Times New Roman"/>
        </w:rPr>
        <w:br/>
      </w:r>
      <w:hyperlink r:id="rId13" w:tgtFrame="_new" w:history="1">
        <w:r w:rsidRPr="002F119A">
          <w:rPr>
            <w:rFonts w:ascii="Verdana" w:eastAsia="Aptos" w:hAnsi="Verdana" w:cs="Times New Roman"/>
            <w:color w:val="0000FF"/>
            <w:u w:val="single"/>
          </w:rPr>
          <w:t>https://formacionvirtual.colombiacompra.gov.co/mod/page/view.php?id=3718</w:t>
        </w:r>
      </w:hyperlink>
    </w:p>
    <w:p w14:paraId="567D1978" w14:textId="77777777" w:rsidR="00EC5693" w:rsidRPr="002F119A" w:rsidRDefault="00EC5693" w:rsidP="00EC5693">
      <w:pPr>
        <w:spacing w:line="276" w:lineRule="auto"/>
        <w:ind w:firstLine="708"/>
        <w:jc w:val="both"/>
        <w:rPr>
          <w:rFonts w:ascii="Verdana" w:eastAsia="Aptos" w:hAnsi="Verdana" w:cs="Times New Roman"/>
        </w:rPr>
      </w:pPr>
      <w:r w:rsidRPr="002F119A">
        <w:rPr>
          <w:rFonts w:ascii="Verdana" w:eastAsia="Aptos" w:hAnsi="Verdana" w:cs="Times New Roman"/>
        </w:rPr>
        <w:t xml:space="preserve">De otro lado, te contamos que esta Agencia ha da un paso decisivo en la estandarización y modernización del </w:t>
      </w:r>
      <w:r w:rsidRPr="002F119A">
        <w:rPr>
          <w:rFonts w:ascii="Verdana" w:eastAsia="Aptos" w:hAnsi="Verdana" w:cs="Times New Roman"/>
          <w:b/>
          <w:bCs/>
        </w:rPr>
        <w:t>sector  social</w:t>
      </w:r>
      <w:r w:rsidRPr="002F119A">
        <w:rPr>
          <w:rFonts w:ascii="Verdana" w:eastAsia="Aptos" w:hAnsi="Verdana" w:cs="Times New Roman"/>
        </w:rPr>
        <w:t xml:space="preserve"> con la expedición de las </w:t>
      </w:r>
      <w:r w:rsidRPr="002F119A">
        <w:rPr>
          <w:rFonts w:ascii="Verdana" w:eastAsia="Aptos" w:hAnsi="Verdana" w:cs="Times New Roman"/>
          <w:b/>
          <w:bCs/>
        </w:rPr>
        <w:t>Resoluciones 539, 540, 541, 952 y 953 de 2025</w:t>
      </w:r>
      <w:r w:rsidRPr="002F119A">
        <w:rPr>
          <w:rFonts w:ascii="Verdana" w:eastAsia="Aptos" w:hAnsi="Verdana" w:cs="Times New Roman"/>
        </w:rPr>
        <w:t xml:space="preserve">, </w:t>
      </w:r>
      <w:r w:rsidRPr="002F119A">
        <w:rPr>
          <w:rFonts w:ascii="Verdana" w:eastAsia="Aptos" w:hAnsi="Verdana" w:cs="Times New Roman"/>
          <w:b/>
          <w:bCs/>
        </w:rPr>
        <w:t>mediante las cuales adoptó Documentos Tipo</w:t>
      </w:r>
      <w:r w:rsidRPr="002F119A">
        <w:rPr>
          <w:rFonts w:ascii="Verdana" w:eastAsia="Aptos" w:hAnsi="Verdana" w:cs="Times New Roman"/>
        </w:rPr>
        <w:t xml:space="preserve"> para las modalidades de selección de</w:t>
      </w:r>
      <w:r w:rsidRPr="002F119A">
        <w:rPr>
          <w:rFonts w:ascii="Verdana" w:eastAsia="Aptos" w:hAnsi="Verdana" w:cs="Times New Roman"/>
          <w:b/>
          <w:bCs/>
        </w:rPr>
        <w:t xml:space="preserve"> licitación pública (versión 2), selección abreviada de menor cuantía, mínima cuantía, consultoría e interventoría</w:t>
      </w:r>
      <w:r w:rsidRPr="002F119A">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F119A">
          <w:rPr>
            <w:rFonts w:ascii="Verdana" w:eastAsia="Aptos" w:hAnsi="Verdana" w:cs="Times New Roman"/>
            <w:color w:val="0000FF"/>
            <w:u w:val="single"/>
          </w:rPr>
          <w:t>https://www.colombiacompra.gov.co/normativa-y-relatoria/documentos-tipo</w:t>
        </w:r>
      </w:hyperlink>
    </w:p>
    <w:p w14:paraId="1846EC02" w14:textId="77777777" w:rsidR="00EC5693" w:rsidRPr="002F119A" w:rsidRDefault="00EC5693" w:rsidP="00EC5693">
      <w:pPr>
        <w:spacing w:after="0" w:line="276" w:lineRule="auto"/>
        <w:ind w:firstLine="708"/>
        <w:jc w:val="both"/>
        <w:rPr>
          <w:rFonts w:ascii="Verdana" w:eastAsia="Aptos" w:hAnsi="Verdana" w:cs="Times New Roman"/>
        </w:rPr>
      </w:pPr>
      <w:r w:rsidRPr="002F119A">
        <w:rPr>
          <w:rFonts w:ascii="Verdana" w:eastAsia="Aptos" w:hAnsi="Verdana" w:cs="Times New Roman"/>
        </w:rPr>
        <w:t xml:space="preserve">Si quieres conocer más sobre la aplicación de Documentos Tipo puedes consultar la última versión de la </w:t>
      </w:r>
      <w:r w:rsidRPr="002F119A">
        <w:rPr>
          <w:rFonts w:ascii="Verdana" w:eastAsia="Aptos" w:hAnsi="Verdana" w:cs="Times New Roman"/>
          <w:b/>
          <w:bCs/>
        </w:rPr>
        <w:t>Guía para la comprensión e implementación de los Documentos Tipo de obra pública de infraestructura de transporte</w:t>
      </w:r>
      <w:r w:rsidRPr="002F119A">
        <w:rPr>
          <w:rFonts w:ascii="Verdana" w:eastAsia="Aptos" w:hAnsi="Verdana" w:cs="Times New Roman"/>
        </w:rPr>
        <w:t xml:space="preserve">. En esta actualización se incorporaron orientaciones prácticas dirigidas a entidades públicas, proveedores, organismos de control y demás interesados, con el propósito de facilitar la adecuada </w:t>
      </w:r>
      <w:r w:rsidRPr="002F119A">
        <w:rPr>
          <w:rFonts w:ascii="Verdana" w:eastAsia="Aptos" w:hAnsi="Verdana" w:cs="Times New Roman"/>
        </w:rPr>
        <w:lastRenderedPageBreak/>
        <w:t>implementación de estos instrumentos en los procesos contractuales. Además se incluyeron lineamientos que orientan la implementación de los criterios ambientales y sociales incluidos en los documentos tipo: Consulta la guía aquí:</w:t>
      </w:r>
      <w:r w:rsidRPr="002F119A">
        <w:rPr>
          <w:rFonts w:ascii="Verdana" w:eastAsia="Aptos" w:hAnsi="Verdana" w:cs="Times New Roman"/>
        </w:rPr>
        <w:br/>
      </w:r>
      <w:hyperlink r:id="rId15" w:tgtFrame="_new" w:history="1">
        <w:r w:rsidRPr="002F119A">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3D8D347" w14:textId="77777777" w:rsidR="00EC5693" w:rsidRPr="002F119A" w:rsidRDefault="00EC5693" w:rsidP="00EC5693">
      <w:pPr>
        <w:spacing w:before="120" w:after="0" w:line="276" w:lineRule="auto"/>
        <w:ind w:firstLine="708"/>
        <w:jc w:val="both"/>
        <w:rPr>
          <w:rFonts w:ascii="Verdana" w:eastAsia="Aptos" w:hAnsi="Verdana" w:cs="Times New Roman"/>
        </w:rPr>
      </w:pPr>
      <w:r w:rsidRPr="002F119A">
        <w:rPr>
          <w:rFonts w:ascii="Verdana" w:eastAsia="Aptos" w:hAnsi="Verdana" w:cs="Times New Roman"/>
        </w:rPr>
        <w:t xml:space="preserve">Por último, lo invitamos a seguirnos en las redes sociales en las cuales se difunde información institucional: </w:t>
      </w:r>
    </w:p>
    <w:p w14:paraId="602E40BA" w14:textId="77777777" w:rsidR="00EC5693" w:rsidRPr="002F119A" w:rsidRDefault="00EC5693" w:rsidP="00EC5693">
      <w:pPr>
        <w:spacing w:after="0" w:line="276" w:lineRule="auto"/>
        <w:jc w:val="both"/>
        <w:rPr>
          <w:rFonts w:ascii="Verdana" w:eastAsia="Aptos" w:hAnsi="Verdana" w:cs="Times New Roman"/>
        </w:rPr>
      </w:pPr>
    </w:p>
    <w:p w14:paraId="69761C2D" w14:textId="77777777" w:rsidR="00EC5693" w:rsidRPr="002F119A" w:rsidRDefault="00EC5693" w:rsidP="00EC5693">
      <w:pPr>
        <w:spacing w:after="0" w:line="276" w:lineRule="auto"/>
        <w:jc w:val="both"/>
        <w:rPr>
          <w:rFonts w:ascii="Verdana" w:eastAsia="Aptos" w:hAnsi="Verdana" w:cs="Times New Roman"/>
        </w:rPr>
      </w:pPr>
      <w:r w:rsidRPr="002F119A">
        <w:rPr>
          <w:rFonts w:ascii="Verdana" w:eastAsia="Aptos" w:hAnsi="Verdana" w:cs="Times New Roman"/>
        </w:rPr>
        <w:t xml:space="preserve">Twitter: </w:t>
      </w:r>
      <w:r w:rsidRPr="002F119A">
        <w:rPr>
          <w:rFonts w:ascii="Verdana" w:eastAsia="Aptos" w:hAnsi="Verdana" w:cs="Arial"/>
          <w:color w:val="0000FF"/>
          <w:u w:val="single"/>
          <w:shd w:val="clear" w:color="auto" w:fill="FFFFFF"/>
          <w:lang w:val="es-ES"/>
        </w:rPr>
        <w:t>@colombiacompra</w:t>
      </w:r>
      <w:r w:rsidRPr="002F119A">
        <w:rPr>
          <w:rFonts w:ascii="Verdana" w:eastAsia="Aptos" w:hAnsi="Verdana" w:cs="Times New Roman"/>
          <w:color w:val="156082"/>
        </w:rPr>
        <w:t xml:space="preserve"> </w:t>
      </w:r>
    </w:p>
    <w:p w14:paraId="7323C6CE" w14:textId="77777777" w:rsidR="00EC5693" w:rsidRPr="002F119A" w:rsidRDefault="00EC5693" w:rsidP="00EC5693">
      <w:pPr>
        <w:spacing w:after="0" w:line="276" w:lineRule="auto"/>
        <w:jc w:val="both"/>
        <w:rPr>
          <w:rFonts w:ascii="Verdana" w:eastAsia="Aptos" w:hAnsi="Verdana" w:cs="Times New Roman"/>
        </w:rPr>
      </w:pPr>
      <w:r w:rsidRPr="002F119A">
        <w:rPr>
          <w:rFonts w:ascii="Verdana" w:eastAsia="Aptos" w:hAnsi="Verdana" w:cs="Times New Roman"/>
        </w:rPr>
        <w:t xml:space="preserve">Facebook: </w:t>
      </w:r>
      <w:proofErr w:type="spellStart"/>
      <w:r w:rsidRPr="002F119A">
        <w:rPr>
          <w:rFonts w:ascii="Verdana" w:eastAsia="Aptos" w:hAnsi="Verdana" w:cs="Arial"/>
          <w:color w:val="0000FF"/>
          <w:u w:val="single"/>
          <w:shd w:val="clear" w:color="auto" w:fill="FFFFFF"/>
          <w:lang w:val="es-ES"/>
        </w:rPr>
        <w:t>ColombiaCompraEficiente</w:t>
      </w:r>
      <w:proofErr w:type="spellEnd"/>
    </w:p>
    <w:p w14:paraId="3E8ED295" w14:textId="77777777" w:rsidR="00EC5693" w:rsidRPr="002F119A" w:rsidRDefault="00EC5693" w:rsidP="00EC5693">
      <w:pPr>
        <w:spacing w:after="0" w:line="276" w:lineRule="auto"/>
        <w:jc w:val="both"/>
        <w:rPr>
          <w:rFonts w:ascii="Verdana" w:eastAsia="Aptos" w:hAnsi="Verdana" w:cs="Times New Roman"/>
        </w:rPr>
      </w:pPr>
      <w:r w:rsidRPr="002F119A">
        <w:rPr>
          <w:rFonts w:ascii="Verdana" w:eastAsia="Aptos" w:hAnsi="Verdana" w:cs="Times New Roman"/>
        </w:rPr>
        <w:t xml:space="preserve">LinkedIn: </w:t>
      </w:r>
      <w:r w:rsidRPr="002F119A">
        <w:rPr>
          <w:rFonts w:ascii="Verdana" w:eastAsia="Aptos" w:hAnsi="Verdana" w:cs="Arial"/>
          <w:color w:val="0000FF"/>
          <w:u w:val="single"/>
          <w:shd w:val="clear" w:color="auto" w:fill="FFFFFF"/>
          <w:lang w:val="es-ES"/>
        </w:rPr>
        <w:t>Agencia Nacional de Contratación Pública - Colombia Compra Eficiente</w:t>
      </w:r>
      <w:r w:rsidRPr="002F119A">
        <w:rPr>
          <w:rFonts w:ascii="Verdana" w:eastAsia="Aptos" w:hAnsi="Verdana" w:cs="Times New Roman"/>
          <w:color w:val="156082"/>
        </w:rPr>
        <w:t xml:space="preserve"> </w:t>
      </w:r>
      <w:r w:rsidRPr="002F119A">
        <w:rPr>
          <w:rFonts w:ascii="Verdana" w:eastAsia="Aptos" w:hAnsi="Verdana" w:cs="Times New Roman"/>
        </w:rPr>
        <w:t xml:space="preserve">Instagram: </w:t>
      </w:r>
      <w:r w:rsidRPr="002F119A">
        <w:rPr>
          <w:rFonts w:ascii="Verdana" w:eastAsia="Aptos" w:hAnsi="Verdana" w:cs="Arial"/>
          <w:color w:val="0000FF"/>
          <w:u w:val="single"/>
          <w:shd w:val="clear" w:color="auto" w:fill="FFFFFF"/>
          <w:lang w:val="es-ES"/>
        </w:rPr>
        <w:t>@colombiacompraeficiente_cce</w:t>
      </w:r>
    </w:p>
    <w:p w14:paraId="083180D0" w14:textId="77777777" w:rsidR="00EC5693" w:rsidRPr="002F119A" w:rsidRDefault="00EC5693" w:rsidP="00EC5693">
      <w:pPr>
        <w:widowControl w:val="0"/>
        <w:autoSpaceDE w:val="0"/>
        <w:autoSpaceDN w:val="0"/>
        <w:spacing w:after="0" w:line="276" w:lineRule="auto"/>
        <w:jc w:val="both"/>
        <w:rPr>
          <w:rFonts w:ascii="Verdana" w:eastAsia="Aptos" w:hAnsi="Verdana" w:cs="Arial"/>
        </w:rPr>
      </w:pPr>
    </w:p>
    <w:p w14:paraId="6E276781" w14:textId="77777777" w:rsidR="00EC5693" w:rsidRPr="002F119A" w:rsidRDefault="00EC5693" w:rsidP="00EC5693">
      <w:pPr>
        <w:widowControl w:val="0"/>
        <w:autoSpaceDE w:val="0"/>
        <w:autoSpaceDN w:val="0"/>
        <w:spacing w:after="0" w:line="276" w:lineRule="auto"/>
        <w:jc w:val="both"/>
        <w:rPr>
          <w:rFonts w:ascii="Verdana" w:eastAsia="Aptos" w:hAnsi="Verdana" w:cs="Arial"/>
          <w:lang w:val="es-ES_tradnl"/>
        </w:rPr>
      </w:pPr>
      <w:r w:rsidRPr="002F119A">
        <w:rPr>
          <w:rFonts w:ascii="Verdana" w:eastAsia="Aptos" w:hAnsi="Verdana" w:cs="Arial"/>
        </w:rPr>
        <w:t xml:space="preserve">Este concepto tiene el alcance previsto en el artículo 28 del Código de Procedimiento Administrativo y de lo Contencioso Administrativo </w:t>
      </w:r>
      <w:r w:rsidRPr="002F119A">
        <w:rPr>
          <w:rFonts w:ascii="Verdana" w:eastAsia="Aptos" w:hAnsi="Verdana" w:cs="Arial"/>
          <w:lang w:val="es-ES_tradnl"/>
        </w:rPr>
        <w:t>y las expresiones aquí utilizadas con mayúscula inicial deben ser entendidas con el significado que les otorga el artículo 2.2.1.1.1.3.1. del Decreto 1082 de 2015.</w:t>
      </w:r>
    </w:p>
    <w:p w14:paraId="78BAA5B0" w14:textId="77777777" w:rsidR="00EC5693" w:rsidRPr="002F119A" w:rsidRDefault="00EC5693" w:rsidP="00EC5693">
      <w:pPr>
        <w:widowControl w:val="0"/>
        <w:autoSpaceDE w:val="0"/>
        <w:autoSpaceDN w:val="0"/>
        <w:spacing w:after="0" w:line="276" w:lineRule="auto"/>
        <w:jc w:val="both"/>
        <w:rPr>
          <w:rFonts w:ascii="Verdana" w:eastAsia="Aptos" w:hAnsi="Verdana" w:cs="Arial"/>
        </w:rPr>
      </w:pPr>
    </w:p>
    <w:p w14:paraId="2B734B72" w14:textId="77777777" w:rsidR="00EC5693" w:rsidRPr="002F119A" w:rsidRDefault="00EC5693" w:rsidP="00EC5693">
      <w:pPr>
        <w:spacing w:after="0" w:line="276" w:lineRule="auto"/>
        <w:rPr>
          <w:rFonts w:ascii="Verdana" w:eastAsia="Aptos" w:hAnsi="Verdana" w:cs="Arial"/>
          <w:lang w:eastAsia="es-CO"/>
        </w:rPr>
      </w:pPr>
      <w:r w:rsidRPr="002F119A">
        <w:rPr>
          <w:rFonts w:ascii="Verdana" w:eastAsia="Times New Roman" w:hAnsi="Verdana" w:cs="Arial"/>
          <w:lang w:eastAsia="es-CO"/>
        </w:rPr>
        <w:t>Atentamente,</w:t>
      </w:r>
      <w:r w:rsidRPr="002F119A">
        <w:rPr>
          <w:rFonts w:ascii="Verdana" w:eastAsia="Aptos" w:hAnsi="Verdana" w:cs="Arial"/>
          <w:lang w:eastAsia="es-CO"/>
        </w:rPr>
        <w:t xml:space="preserve"> </w:t>
      </w:r>
    </w:p>
    <w:p w14:paraId="01222DA8" w14:textId="77777777" w:rsidR="00EC5693" w:rsidRPr="007C55B9" w:rsidRDefault="00EC5693" w:rsidP="00EC5693">
      <w:pPr>
        <w:spacing w:after="0" w:line="276" w:lineRule="auto"/>
        <w:jc w:val="center"/>
        <w:rPr>
          <w:rFonts w:ascii="Verdana" w:eastAsia="Aptos" w:hAnsi="Verdana" w:cs="Arial"/>
          <w:lang w:val="es-ES_tradnl" w:eastAsia="es-CO"/>
        </w:rPr>
      </w:pPr>
    </w:p>
    <w:p w14:paraId="173E4653" w14:textId="3129F5CD" w:rsidR="00EC5693" w:rsidRPr="007C55B9" w:rsidRDefault="007C75C8" w:rsidP="00EC5693">
      <w:pPr>
        <w:spacing w:after="0" w:line="276" w:lineRule="auto"/>
        <w:jc w:val="center"/>
        <w:rPr>
          <w:rFonts w:ascii="Verdana" w:eastAsia="Aptos" w:hAnsi="Verdana" w:cs="Arial"/>
          <w:lang w:val="es-ES_tradnl" w:eastAsia="es-CO"/>
        </w:rPr>
      </w:pPr>
      <w:r>
        <w:rPr>
          <w:noProof/>
        </w:rPr>
        <w:drawing>
          <wp:inline distT="0" distB="0" distL="0" distR="0" wp14:anchorId="378DF08A" wp14:editId="08409893">
            <wp:extent cx="3771900" cy="1409700"/>
            <wp:effectExtent l="0" t="0" r="0" b="0"/>
            <wp:docPr id="77585151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EC5693" w:rsidRPr="007C55B9" w14:paraId="512B7A36" w14:textId="77777777" w:rsidTr="00DB4B0A">
        <w:trPr>
          <w:trHeight w:val="286"/>
        </w:trPr>
        <w:tc>
          <w:tcPr>
            <w:tcW w:w="901" w:type="dxa"/>
            <w:vAlign w:val="center"/>
            <w:hideMark/>
          </w:tcPr>
          <w:p w14:paraId="4B1C8BC9"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12B74C0"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Nasly Yeana Mosquera Rivas</w:t>
            </w:r>
          </w:p>
          <w:p w14:paraId="1B2AB9ED"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Analista T2–06 de la Subdirección de Gestión Contractual</w:t>
            </w:r>
          </w:p>
        </w:tc>
      </w:tr>
      <w:tr w:rsidR="00EC5693" w:rsidRPr="007C55B9" w14:paraId="37B034DE" w14:textId="77777777" w:rsidTr="00DB4B0A">
        <w:trPr>
          <w:trHeight w:val="299"/>
        </w:trPr>
        <w:tc>
          <w:tcPr>
            <w:tcW w:w="901" w:type="dxa"/>
            <w:vAlign w:val="center"/>
          </w:tcPr>
          <w:p w14:paraId="0BFC3D8A"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66D19B64" w14:textId="77777777" w:rsidR="00EC5693" w:rsidRPr="007C55B9" w:rsidRDefault="00EC5693" w:rsidP="00DB4B0A">
            <w:pPr>
              <w:rPr>
                <w:rFonts w:ascii="Verdana" w:eastAsia="Aptos" w:hAnsi="Verdana" w:cs="Arial"/>
                <w:sz w:val="14"/>
                <w:szCs w:val="14"/>
                <w:lang w:eastAsia="es-ES"/>
              </w:rPr>
            </w:pPr>
            <w:r>
              <w:rPr>
                <w:rFonts w:ascii="Verdana" w:eastAsia="Aptos" w:hAnsi="Verdana" w:cs="Arial"/>
                <w:sz w:val="14"/>
                <w:szCs w:val="14"/>
                <w:lang w:eastAsia="es-ES"/>
              </w:rPr>
              <w:t>Diana Lucía Saavedra Castañeda</w:t>
            </w:r>
          </w:p>
          <w:p w14:paraId="12433761"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Contratista de la Subdirección de Gestión Contractual</w:t>
            </w:r>
          </w:p>
        </w:tc>
      </w:tr>
      <w:tr w:rsidR="00EC5693" w:rsidRPr="007C55B9" w14:paraId="7C1F5405" w14:textId="77777777" w:rsidTr="00DB4B0A">
        <w:trPr>
          <w:trHeight w:val="272"/>
        </w:trPr>
        <w:tc>
          <w:tcPr>
            <w:tcW w:w="901" w:type="dxa"/>
            <w:vAlign w:val="center"/>
            <w:hideMark/>
          </w:tcPr>
          <w:p w14:paraId="7DE8FE10"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E67AEB6"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Carolina Quintero Gacharná</w:t>
            </w:r>
          </w:p>
          <w:p w14:paraId="1AA6628C" w14:textId="77777777" w:rsidR="00EC5693" w:rsidRPr="007C55B9" w:rsidRDefault="00EC5693" w:rsidP="00DB4B0A">
            <w:pPr>
              <w:rPr>
                <w:rFonts w:ascii="Verdana" w:eastAsia="Aptos" w:hAnsi="Verdana" w:cs="Arial"/>
                <w:sz w:val="14"/>
                <w:szCs w:val="14"/>
                <w:lang w:eastAsia="es-ES"/>
              </w:rPr>
            </w:pPr>
            <w:r w:rsidRPr="007C55B9">
              <w:rPr>
                <w:rFonts w:ascii="Verdana" w:eastAsia="Aptos" w:hAnsi="Verdana" w:cs="Arial"/>
                <w:sz w:val="14"/>
                <w:szCs w:val="14"/>
                <w:lang w:eastAsia="es-ES"/>
              </w:rPr>
              <w:t>Subdirectora de Gestión Contractual ANCP – CCE</w:t>
            </w:r>
          </w:p>
        </w:tc>
      </w:tr>
    </w:tbl>
    <w:p w14:paraId="58E748BD" w14:textId="77777777" w:rsidR="00EC5693" w:rsidRPr="007C55B9" w:rsidRDefault="00EC5693" w:rsidP="00EC5693">
      <w:pPr>
        <w:spacing w:after="0" w:line="240" w:lineRule="auto"/>
        <w:rPr>
          <w:rFonts w:ascii="Verdana" w:eastAsia="Times New Roman" w:hAnsi="Verdana" w:cs="Arial"/>
          <w:sz w:val="24"/>
          <w:szCs w:val="24"/>
          <w:lang w:eastAsia="es-ES"/>
        </w:rPr>
      </w:pPr>
    </w:p>
    <w:p w14:paraId="3BDE5D7E" w14:textId="77777777" w:rsidR="00EC5693" w:rsidRPr="007C55B9" w:rsidRDefault="00EC5693" w:rsidP="00EC5693">
      <w:pPr>
        <w:rPr>
          <w:rFonts w:ascii="Verdana" w:eastAsia="Aptos" w:hAnsi="Verdana" w:cs="Times New Roman"/>
        </w:rPr>
      </w:pPr>
    </w:p>
    <w:p w14:paraId="5CB574A7" w14:textId="77777777" w:rsidR="00EC5693" w:rsidRPr="007C55B9" w:rsidRDefault="00EC5693" w:rsidP="00EC5693">
      <w:pPr>
        <w:rPr>
          <w:rFonts w:ascii="Verdana" w:hAnsi="Verdana"/>
        </w:rPr>
      </w:pPr>
    </w:p>
    <w:p w14:paraId="38490841" w14:textId="308DB7D7" w:rsidR="00EC5693" w:rsidRPr="000E2B93" w:rsidRDefault="00EC5693" w:rsidP="00EC569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BF7F7C3" w14:textId="77777777" w:rsidR="008E5C2E" w:rsidRDefault="008E5C2E"/>
    <w:sectPr w:rsidR="008E5C2E" w:rsidSect="00EC5693">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5DBC3" w14:textId="77777777" w:rsidR="00E4420F" w:rsidRDefault="00E4420F" w:rsidP="00EC5693">
      <w:pPr>
        <w:spacing w:after="0" w:line="240" w:lineRule="auto"/>
      </w:pPr>
      <w:r>
        <w:separator/>
      </w:r>
    </w:p>
  </w:endnote>
  <w:endnote w:type="continuationSeparator" w:id="0">
    <w:p w14:paraId="557761C5" w14:textId="77777777" w:rsidR="00E4420F" w:rsidRDefault="00E4420F" w:rsidP="00EC56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9867C" w14:textId="77777777" w:rsidR="00EC5693" w:rsidRDefault="00EC5693">
    <w:pPr>
      <w:pStyle w:val="Piedepgina"/>
    </w:pPr>
  </w:p>
  <w:p w14:paraId="36A91984" w14:textId="77777777" w:rsidR="00EC5693" w:rsidRPr="00174B77" w:rsidRDefault="00EC5693"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044A7F6" w14:textId="77777777" w:rsidR="00EC5693" w:rsidRDefault="00EC5693"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4EC3507" w14:textId="77777777" w:rsidR="00EC5693" w:rsidRPr="00E41027" w:rsidRDefault="00EC5693"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64BB0AE8" w14:textId="77777777" w:rsidR="00EC5693" w:rsidRDefault="00EC5693"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E691E" w14:textId="77777777" w:rsidR="00E4420F" w:rsidRDefault="00E4420F" w:rsidP="00EC5693">
      <w:pPr>
        <w:spacing w:after="0" w:line="240" w:lineRule="auto"/>
      </w:pPr>
      <w:r>
        <w:separator/>
      </w:r>
    </w:p>
  </w:footnote>
  <w:footnote w:type="continuationSeparator" w:id="0">
    <w:p w14:paraId="3E7DAC43" w14:textId="77777777" w:rsidR="00E4420F" w:rsidRDefault="00E4420F" w:rsidP="00EC5693">
      <w:pPr>
        <w:spacing w:after="0" w:line="240" w:lineRule="auto"/>
      </w:pPr>
      <w:r>
        <w:continuationSeparator/>
      </w:r>
    </w:p>
  </w:footnote>
  <w:footnote w:id="1">
    <w:p w14:paraId="4E99AAC1" w14:textId="77777777" w:rsidR="00EC5693" w:rsidRPr="000E6C92" w:rsidRDefault="00EC5693" w:rsidP="00EC5693">
      <w:pPr>
        <w:pStyle w:val="Textonotapie"/>
        <w:ind w:firstLine="708"/>
        <w:jc w:val="both"/>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PINO RICCI, Jorge. Régimen jurídico de los contratos estatales. Bogotá: Universidad Externado de Colombia, 2005. p. 264.</w:t>
      </w:r>
    </w:p>
  </w:footnote>
  <w:footnote w:id="2">
    <w:p w14:paraId="78388088" w14:textId="77777777" w:rsidR="00EC5693" w:rsidRPr="000E6C92" w:rsidRDefault="00EC5693" w:rsidP="00EC5693">
      <w:pPr>
        <w:pStyle w:val="Textonotapie"/>
        <w:ind w:firstLine="708"/>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DÁVILA VINUEZA, Régimen jurídico… Ob. cit., p. 505.</w:t>
      </w:r>
    </w:p>
  </w:footnote>
  <w:footnote w:id="3">
    <w:p w14:paraId="2AA7DA1E" w14:textId="77777777" w:rsidR="00EC5693" w:rsidRPr="000E6C92" w:rsidRDefault="00EC5693" w:rsidP="00EC5693">
      <w:pPr>
        <w:pStyle w:val="Textonotapie"/>
        <w:ind w:firstLine="708"/>
        <w:jc w:val="both"/>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w:t>
      </w:r>
      <w:r w:rsidRPr="000E6C92">
        <w:rPr>
          <w:rFonts w:ascii="Verdana" w:hAnsi="Verdana"/>
          <w:i/>
          <w:iCs/>
          <w:sz w:val="14"/>
          <w:szCs w:val="14"/>
        </w:rPr>
        <w:t>Ibidem</w:t>
      </w:r>
      <w:r w:rsidRPr="000E6C92">
        <w:rPr>
          <w:rFonts w:ascii="Verdana" w:hAnsi="Verdana"/>
          <w:sz w:val="14"/>
          <w:szCs w:val="14"/>
        </w:rPr>
        <w:t xml:space="preserve">. </w:t>
      </w:r>
    </w:p>
  </w:footnote>
  <w:footnote w:id="4">
    <w:p w14:paraId="04677C5B" w14:textId="77777777" w:rsidR="00EC5693" w:rsidRPr="000E6C92" w:rsidRDefault="00EC5693" w:rsidP="00EC5693">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GONZÁLEZ LÓPEZ, Edgar. Los contratos estatales. El proceso de selección y la modificación de los contratos. Bógotá: Universidad Externado de Colombia – Tirant lo Blanch, 2023. p. 564.</w:t>
      </w:r>
    </w:p>
  </w:footnote>
  <w:footnote w:id="5">
    <w:p w14:paraId="111A5F2A" w14:textId="77777777" w:rsidR="00EC5693" w:rsidRPr="000E6C92" w:rsidRDefault="00EC5693" w:rsidP="00EC5693">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RICO PUERTA, Luis Alonso. Teoría general y práctica de la contratación estatal. Volumen II. Decimotercera edición. Bogotá: Grupo Editorial Ibañez, 2025. p. 1142.</w:t>
      </w:r>
    </w:p>
  </w:footnote>
  <w:footnote w:id="6">
    <w:p w14:paraId="3BC19943" w14:textId="77777777" w:rsidR="00EC5693" w:rsidRPr="000E6C92" w:rsidRDefault="00EC5693" w:rsidP="00EC5693">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Por ejemplo, para RODRÍGUEZ TAMAYO “[…] resulta inútil la tramitación de convocatorias públicas que hacen algunas entidades estatales, cuando van a entregar en arrendamiento bienes inmuebles de su propiedad, pues en esos casos, el ordenamiento jurídico no exige tal procedimiento y, por el contrario, ello se presta para conflictos con los interesados que concurren a dichos llamados. Tanto la ley como el reglamento, dieron flexibilidad a la administración, ya sea para obrar como arrendador o como arrendatario, obviamente, teniendo como límite los precios del mercado y obrar en sentido contrario, en la práctica, implica regular aspectos no autorizados por la ley” (RODRÍGUEZ TAMAYO, Mauricio Fernando. Los contratos estatales en Colombia. Bogotá: Tirant lo Blanch, 2022. p. 199).</w:t>
      </w:r>
    </w:p>
    <w:p w14:paraId="0D21725D" w14:textId="77777777" w:rsidR="00EC5693" w:rsidRPr="000E6C92" w:rsidRDefault="00EC5693" w:rsidP="00EC5693">
      <w:pPr>
        <w:pStyle w:val="Textonotapie"/>
        <w:ind w:firstLine="708"/>
        <w:jc w:val="both"/>
        <w:rPr>
          <w:rFonts w:ascii="Verdana" w:hAnsi="Verdana"/>
          <w:sz w:val="14"/>
          <w:szCs w:val="14"/>
        </w:rPr>
      </w:pPr>
      <w:r w:rsidRPr="000E6C92">
        <w:rPr>
          <w:rFonts w:ascii="Verdana" w:hAnsi="Verdana"/>
          <w:sz w:val="14"/>
          <w:szCs w:val="14"/>
        </w:rPr>
        <w:t>En contraste, para SÁNCHEZ ESTRADA “[…] el legislador desaprovechó la oportunidad de corregir el yerro que viene desde los decretos 150 de 1976 y 222 de 1983, de habilitar la contratación directa tanto cuando la entidad estatal es arrendataria como cuando funge de arrendadora. En efecto, en la primera de las hipótesis está justificada la causal, pues cuando un ente estatal busca un inmueble el factor menos importante termina siendo el precio. La ubicación, funcionalidad, capacidad, etc., son criterios determinantes y muy difíciles de evaluar en un trámite licitatorio. No ocurre lo mismo cuando se trata de arrendar bienes de propiedad el Estado. En ese caso nada le impide a la administración adelantar un proceso de selección en el que escoja a quien, cumpliendo unas exigencias mínimas, le ofrezca pagar el mejor canon. De hecho, la aplicación amplia de la causal ha propiciado el favoritismo a la hora de arrendar bienes del Estado con privilegiada ubicación, no sólo en los entes territoriales.</w:t>
      </w:r>
    </w:p>
    <w:p w14:paraId="572D1726" w14:textId="77777777" w:rsidR="00EC5693" w:rsidRPr="000E6C92" w:rsidRDefault="00EC5693" w:rsidP="00EC5693">
      <w:pPr>
        <w:pStyle w:val="Textonotapie"/>
        <w:ind w:firstLine="708"/>
        <w:jc w:val="both"/>
        <w:rPr>
          <w:rFonts w:ascii="Verdana" w:hAnsi="Verdana"/>
          <w:sz w:val="14"/>
          <w:szCs w:val="14"/>
        </w:rPr>
      </w:pPr>
      <w:r w:rsidRPr="000E6C92">
        <w:rPr>
          <w:rFonts w:ascii="Verdana" w:hAnsi="Verdana"/>
          <w:sz w:val="14"/>
          <w:szCs w:val="14"/>
        </w:rPr>
        <w:t>A manera de ejemplo, recordemos los recientes contratos de arrendamiento suscritos por el Incoder-Ministerio de Agricultura con los ocupantes ilegales de las Islas del Rosario, a quienes se les ‘sancionó’ su infracción celebrando con ellos, de forma directa y a precios risibles, contratos de arrendamiento. Sin duda, de haberse efectuado convocatoria pública, el Estado hubiera conseguido mejores contratistas. No entendemos cómo para los casos de compra y venta se tienen previstos procedimientos distintos y no ocurre lo mismo cuando se toman o dan en arriendo inmuebles de propiedad de las entidades del Estado” (ESTRADA SÁNCHEZ, Juan Pablo. Contratación directa, convenios interadministrativos y contratos de cooperación internacional. En: Contratación estatal. Estudios sobre la reforma del Estatuto Contractual Ley 1150 de 2007. Bogotá: Universidad Externado de Colombia, 2009. p.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E03F0" w14:textId="77777777" w:rsidR="00EC5693" w:rsidRDefault="00EC5693"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49C4017" wp14:editId="49535D71">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E34938A" wp14:editId="620CE6A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4A070D" w14:textId="77777777" w:rsidR="00EC5693" w:rsidRDefault="00EC5693">
    <w:pPr>
      <w:pStyle w:val="Encabezado"/>
    </w:pPr>
  </w:p>
  <w:p w14:paraId="01FD30C1" w14:textId="77777777" w:rsidR="00EC5693" w:rsidRPr="004A305D" w:rsidRDefault="00EC5693" w:rsidP="00B01B1A">
    <w:pPr>
      <w:spacing w:after="0" w:line="120" w:lineRule="auto"/>
      <w:rPr>
        <w:rFonts w:ascii="Century Gothic" w:eastAsia="Geo" w:hAnsi="Century Gothic" w:cs="Geo"/>
        <w:sz w:val="16"/>
        <w:szCs w:val="16"/>
        <w:lang w:eastAsia="es-CO"/>
      </w:rPr>
    </w:pPr>
  </w:p>
  <w:p w14:paraId="694403F9" w14:textId="77777777" w:rsidR="00EC5693" w:rsidRDefault="00EC5693" w:rsidP="00844AE9">
    <w:pPr>
      <w:spacing w:after="0" w:line="240" w:lineRule="auto"/>
      <w:rPr>
        <w:rFonts w:ascii="Verdana" w:hAnsi="Verdana"/>
        <w:sz w:val="24"/>
        <w:szCs w:val="24"/>
      </w:rPr>
    </w:pPr>
  </w:p>
  <w:p w14:paraId="71595993" w14:textId="77777777" w:rsidR="00EC5693" w:rsidRPr="00C925AC" w:rsidRDefault="00EC5693" w:rsidP="00844AE9">
    <w:pPr>
      <w:spacing w:after="0" w:line="240" w:lineRule="auto"/>
      <w:rPr>
        <w:rFonts w:ascii="Verdana" w:hAnsi="Verdana"/>
        <w:sz w:val="24"/>
        <w:szCs w:val="24"/>
      </w:rPr>
    </w:pPr>
  </w:p>
  <w:p w14:paraId="0BCE3F63" w14:textId="77777777" w:rsidR="00EC5693" w:rsidRPr="00C925AC" w:rsidRDefault="00EC5693"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693"/>
    <w:rsid w:val="00023BF3"/>
    <w:rsid w:val="0024765E"/>
    <w:rsid w:val="003A2578"/>
    <w:rsid w:val="005727E1"/>
    <w:rsid w:val="005818E2"/>
    <w:rsid w:val="007C75C8"/>
    <w:rsid w:val="008E5C2E"/>
    <w:rsid w:val="00CA4500"/>
    <w:rsid w:val="00CB05D4"/>
    <w:rsid w:val="00E273BE"/>
    <w:rsid w:val="00E4420F"/>
    <w:rsid w:val="00EA00AB"/>
    <w:rsid w:val="00EC569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A9B98"/>
  <w15:chartTrackingRefBased/>
  <w15:docId w15:val="{1BE37EF8-8CDA-4B4A-8F08-ADC589ADC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693"/>
    <w:rPr>
      <w:kern w:val="0"/>
      <w14:ligatures w14:val="none"/>
    </w:rPr>
  </w:style>
  <w:style w:type="paragraph" w:styleId="Ttulo1">
    <w:name w:val="heading 1"/>
    <w:basedOn w:val="Normal"/>
    <w:next w:val="Normal"/>
    <w:link w:val="Ttulo1Car"/>
    <w:uiPriority w:val="9"/>
    <w:qFormat/>
    <w:rsid w:val="00EC56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C56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C569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C569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C569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C569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C569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C569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C569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C569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C569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C569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C569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C569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C569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C569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C569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C5693"/>
    <w:rPr>
      <w:rFonts w:eastAsiaTheme="majorEastAsia" w:cstheme="majorBidi"/>
      <w:color w:val="272727" w:themeColor="text1" w:themeTint="D8"/>
    </w:rPr>
  </w:style>
  <w:style w:type="paragraph" w:styleId="Ttulo">
    <w:name w:val="Title"/>
    <w:basedOn w:val="Normal"/>
    <w:next w:val="Normal"/>
    <w:link w:val="TtuloCar"/>
    <w:uiPriority w:val="10"/>
    <w:qFormat/>
    <w:rsid w:val="00EC56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C569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C569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C569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C5693"/>
    <w:pPr>
      <w:spacing w:before="160"/>
      <w:jc w:val="center"/>
    </w:pPr>
    <w:rPr>
      <w:i/>
      <w:iCs/>
      <w:color w:val="404040" w:themeColor="text1" w:themeTint="BF"/>
    </w:rPr>
  </w:style>
  <w:style w:type="character" w:customStyle="1" w:styleId="CitaCar">
    <w:name w:val="Cita Car"/>
    <w:basedOn w:val="Fuentedeprrafopredeter"/>
    <w:link w:val="Cita"/>
    <w:uiPriority w:val="29"/>
    <w:rsid w:val="00EC5693"/>
    <w:rPr>
      <w:i/>
      <w:iCs/>
      <w:color w:val="404040" w:themeColor="text1" w:themeTint="BF"/>
    </w:rPr>
  </w:style>
  <w:style w:type="paragraph" w:styleId="Prrafodelista">
    <w:name w:val="List Paragraph"/>
    <w:basedOn w:val="Normal"/>
    <w:uiPriority w:val="34"/>
    <w:qFormat/>
    <w:rsid w:val="00EC5693"/>
    <w:pPr>
      <w:ind w:left="720"/>
      <w:contextualSpacing/>
    </w:pPr>
  </w:style>
  <w:style w:type="character" w:styleId="nfasisintenso">
    <w:name w:val="Intense Emphasis"/>
    <w:basedOn w:val="Fuentedeprrafopredeter"/>
    <w:uiPriority w:val="21"/>
    <w:qFormat/>
    <w:rsid w:val="00EC5693"/>
    <w:rPr>
      <w:i/>
      <w:iCs/>
      <w:color w:val="0F4761" w:themeColor="accent1" w:themeShade="BF"/>
    </w:rPr>
  </w:style>
  <w:style w:type="paragraph" w:styleId="Citadestacada">
    <w:name w:val="Intense Quote"/>
    <w:basedOn w:val="Normal"/>
    <w:next w:val="Normal"/>
    <w:link w:val="CitadestacadaCar"/>
    <w:uiPriority w:val="30"/>
    <w:qFormat/>
    <w:rsid w:val="00EC56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C5693"/>
    <w:rPr>
      <w:i/>
      <w:iCs/>
      <w:color w:val="0F4761" w:themeColor="accent1" w:themeShade="BF"/>
    </w:rPr>
  </w:style>
  <w:style w:type="character" w:styleId="Referenciaintensa">
    <w:name w:val="Intense Reference"/>
    <w:basedOn w:val="Fuentedeprrafopredeter"/>
    <w:uiPriority w:val="32"/>
    <w:qFormat/>
    <w:rsid w:val="00EC5693"/>
    <w:rPr>
      <w:b/>
      <w:bCs/>
      <w:smallCaps/>
      <w:color w:val="0F4761" w:themeColor="accent1" w:themeShade="BF"/>
      <w:spacing w:val="5"/>
    </w:rPr>
  </w:style>
  <w:style w:type="paragraph" w:styleId="Encabezado">
    <w:name w:val="header"/>
    <w:basedOn w:val="Normal"/>
    <w:link w:val="EncabezadoCar"/>
    <w:uiPriority w:val="99"/>
    <w:unhideWhenUsed/>
    <w:rsid w:val="00EC569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C5693"/>
    <w:rPr>
      <w:kern w:val="0"/>
      <w14:ligatures w14:val="none"/>
    </w:rPr>
  </w:style>
  <w:style w:type="paragraph" w:styleId="Piedepgina">
    <w:name w:val="footer"/>
    <w:basedOn w:val="Normal"/>
    <w:link w:val="PiedepginaCar"/>
    <w:uiPriority w:val="99"/>
    <w:unhideWhenUsed/>
    <w:rsid w:val="00EC569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C569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C569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C569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C569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C5693"/>
    <w:rPr>
      <w:vertAlign w:val="superscript"/>
    </w:rPr>
  </w:style>
  <w:style w:type="table" w:styleId="Tablaconcuadrcula">
    <w:name w:val="Table Grid"/>
    <w:basedOn w:val="Tablanormal"/>
    <w:uiPriority w:val="39"/>
    <w:qFormat/>
    <w:rsid w:val="00EC569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C5693"/>
    <w:rPr>
      <w:color w:val="0000FF"/>
      <w:u w:val="single"/>
    </w:rPr>
  </w:style>
  <w:style w:type="paragraph" w:customStyle="1" w:styleId="paragraph">
    <w:name w:val="paragraph"/>
    <w:basedOn w:val="Normal"/>
    <w:rsid w:val="00EC569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EC5693"/>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EC569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EC56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diazc4@dian.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1A94E1B-7265-4714-BAE2-AE91A64DB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BC3005-8845-4A16-97CC-838E8E08401B}">
  <ds:schemaRefs>
    <ds:schemaRef ds:uri="http://schemas.microsoft.com/sharepoint/v3/contenttype/forms"/>
  </ds:schemaRefs>
</ds:datastoreItem>
</file>

<file path=customXml/itemProps3.xml><?xml version="1.0" encoding="utf-8"?>
<ds:datastoreItem xmlns:ds="http://schemas.openxmlformats.org/officeDocument/2006/customXml" ds:itemID="{F3E6CEEC-B354-489A-8E0D-3F36886BAAA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20</Pages>
  <Words>6880</Words>
  <Characters>37843</Characters>
  <Application>Microsoft Office Word</Application>
  <DocSecurity>0</DocSecurity>
  <Lines>315</Lines>
  <Paragraphs>89</Paragraphs>
  <ScaleCrop>false</ScaleCrop>
  <Company/>
  <LinksUpToDate>false</LinksUpToDate>
  <CharactersWithSpaces>44634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2026-03-26T14:07:00Z</dcterms:created>
  <dcterms:modified xsi:type="dcterms:W3CDTF">2026-03-26T14:11:00Z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