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B8260" w14:textId="77777777" w:rsidR="00CC6605" w:rsidRPr="008F1FB6" w:rsidRDefault="00CC6605" w:rsidP="00CC6605">
      <w:pPr>
        <w:spacing w:after="0" w:line="276" w:lineRule="auto"/>
        <w:jc w:val="both"/>
        <w:rPr>
          <w:rFonts w:ascii="Verdana" w:eastAsia="Calibri" w:hAnsi="Verdana" w:cs="Arial"/>
          <w:lang w:val="es-ES" w:eastAsia="es-ES"/>
        </w:rPr>
      </w:pPr>
    </w:p>
    <w:p w14:paraId="34DCD8AE" w14:textId="77777777" w:rsidR="00D17677" w:rsidRDefault="00D17677" w:rsidP="007F3220">
      <w:pPr>
        <w:spacing w:after="0" w:line="240" w:lineRule="auto"/>
        <w:contextualSpacing/>
        <w:jc w:val="both"/>
        <w:rPr>
          <w:rFonts w:ascii="Verdana" w:eastAsia="Calibri" w:hAnsi="Verdana" w:cs="Arial"/>
          <w:b/>
          <w:bCs/>
          <w:lang w:val="es-ES" w:eastAsia="es-ES"/>
        </w:rPr>
      </w:pPr>
      <w:r w:rsidRPr="007F3220">
        <w:rPr>
          <w:rFonts w:ascii="Verdana" w:eastAsia="Calibri" w:hAnsi="Verdana" w:cs="Arial"/>
          <w:b/>
          <w:bCs/>
          <w:lang w:val="es-ES" w:eastAsia="es-ES"/>
        </w:rPr>
        <w:t>DETERMINACIÓN DEL VALOR DEL CONTRATO – Etapa de planeación – Metodologías – Factores que inciden</w:t>
      </w:r>
    </w:p>
    <w:p w14:paraId="0A6638F2" w14:textId="77777777" w:rsidR="007F3220" w:rsidRDefault="007F3220" w:rsidP="007F3220">
      <w:pPr>
        <w:spacing w:after="0" w:line="240" w:lineRule="auto"/>
        <w:contextualSpacing/>
        <w:jc w:val="both"/>
        <w:rPr>
          <w:rFonts w:ascii="Verdana" w:eastAsia="Calibri" w:hAnsi="Verdana" w:cs="Arial"/>
          <w:b/>
          <w:bCs/>
          <w:lang w:val="es-ES" w:eastAsia="es-ES"/>
        </w:rPr>
      </w:pPr>
    </w:p>
    <w:p w14:paraId="4CFC90EC" w14:textId="77777777" w:rsidR="007F3220" w:rsidRPr="007F3220" w:rsidRDefault="007F3220" w:rsidP="007F3220">
      <w:pPr>
        <w:spacing w:after="0" w:line="240" w:lineRule="auto"/>
        <w:contextualSpacing/>
        <w:jc w:val="both"/>
        <w:rPr>
          <w:rFonts w:ascii="Verdana" w:eastAsia="Calibri" w:hAnsi="Verdana" w:cs="Arial"/>
          <w:color w:val="000000" w:themeColor="text1"/>
          <w:sz w:val="20"/>
          <w:szCs w:val="20"/>
          <w:lang w:val="es-ES"/>
        </w:rPr>
      </w:pPr>
      <w:r w:rsidRPr="007F3220">
        <w:rPr>
          <w:rFonts w:ascii="Verdana" w:eastAsia="Calibri" w:hAnsi="Verdana" w:cs="Arial"/>
          <w:color w:val="000000" w:themeColor="text1"/>
          <w:sz w:val="20"/>
          <w:szCs w:val="20"/>
          <w:lang w:val="es-ES"/>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7F3220">
        <w:rPr>
          <w:rFonts w:ascii="Verdana" w:eastAsia="Calibri" w:hAnsi="Verdana" w:cs="Arial"/>
          <w:color w:val="000000" w:themeColor="text1"/>
          <w:sz w:val="20"/>
          <w:szCs w:val="20"/>
          <w:lang w:val="es-ES"/>
        </w:rPr>
        <w:t>ii</w:t>
      </w:r>
      <w:proofErr w:type="spellEnd"/>
      <w:r w:rsidRPr="007F3220">
        <w:rPr>
          <w:rFonts w:ascii="Verdana" w:eastAsia="Calibri" w:hAnsi="Verdana" w:cs="Arial"/>
          <w:color w:val="000000" w:themeColor="text1"/>
          <w:sz w:val="20"/>
          <w:szCs w:val="20"/>
          <w:lang w:val="es-ES"/>
        </w:rPr>
        <w:t xml:space="preserve">) el precio global –que equivale al monto total, por la realización integral del objeto del contrato, sin discriminar unidades–, y </w:t>
      </w:r>
      <w:proofErr w:type="spellStart"/>
      <w:r w:rsidRPr="007F3220">
        <w:rPr>
          <w:rFonts w:ascii="Verdana" w:eastAsia="Calibri" w:hAnsi="Verdana" w:cs="Arial"/>
          <w:color w:val="000000" w:themeColor="text1"/>
          <w:sz w:val="20"/>
          <w:szCs w:val="20"/>
          <w:lang w:val="es-ES"/>
        </w:rPr>
        <w:t>iii</w:t>
      </w:r>
      <w:proofErr w:type="spellEnd"/>
      <w:r w:rsidRPr="007F3220">
        <w:rPr>
          <w:rFonts w:ascii="Verdana" w:eastAsia="Calibri" w:hAnsi="Verdana" w:cs="Arial"/>
          <w:color w:val="000000" w:themeColor="text1"/>
          <w:sz w:val="20"/>
          <w:szCs w:val="20"/>
          <w:lang w:val="es-ES"/>
        </w:rPr>
        <w:t>) la administración delegada de recursos –en la que se distinguen los costos de inversión de los honorarios del administrador–.</w:t>
      </w:r>
    </w:p>
    <w:p w14:paraId="54A4AFE4" w14:textId="77777777" w:rsidR="007F3220" w:rsidRPr="007F3220" w:rsidRDefault="007F3220" w:rsidP="007F3220">
      <w:pPr>
        <w:spacing w:after="0" w:line="240" w:lineRule="auto"/>
        <w:contextualSpacing/>
        <w:jc w:val="both"/>
        <w:rPr>
          <w:rFonts w:ascii="Verdana" w:eastAsia="Calibri" w:hAnsi="Verdana" w:cs="Arial"/>
          <w:b/>
          <w:bCs/>
          <w:lang w:val="es-ES" w:eastAsia="es-ES"/>
        </w:rPr>
      </w:pPr>
    </w:p>
    <w:p w14:paraId="5496E31F" w14:textId="5698463E" w:rsidR="00D17677" w:rsidRDefault="00D17677" w:rsidP="007F3220">
      <w:pPr>
        <w:spacing w:after="0" w:line="240" w:lineRule="auto"/>
        <w:contextualSpacing/>
        <w:jc w:val="both"/>
        <w:rPr>
          <w:rFonts w:ascii="Verdana" w:eastAsia="Calibri" w:hAnsi="Verdana" w:cs="Arial"/>
          <w:b/>
          <w:bCs/>
        </w:rPr>
      </w:pPr>
      <w:r w:rsidRPr="007F3220">
        <w:rPr>
          <w:rFonts w:ascii="Verdana" w:eastAsia="Calibri" w:hAnsi="Verdana" w:cs="Arial"/>
          <w:b/>
          <w:bCs/>
          <w:lang w:val="es-ES" w:eastAsia="es-ES"/>
        </w:rPr>
        <w:t xml:space="preserve">SISTEMA DE FACTOR MULTIPLICADOR – Noción – </w:t>
      </w:r>
      <w:r w:rsidRPr="007F3220">
        <w:rPr>
          <w:rFonts w:ascii="Verdana" w:eastAsia="Calibri" w:hAnsi="Verdana" w:cs="Arial"/>
          <w:b/>
          <w:bCs/>
        </w:rPr>
        <w:t>Cuadro detallado de conceptos</w:t>
      </w:r>
    </w:p>
    <w:p w14:paraId="04ED2F3E" w14:textId="77777777" w:rsidR="007F3220" w:rsidRDefault="007F3220" w:rsidP="007F3220">
      <w:pPr>
        <w:spacing w:after="0" w:line="240" w:lineRule="auto"/>
        <w:contextualSpacing/>
        <w:jc w:val="both"/>
        <w:rPr>
          <w:rFonts w:ascii="Verdana" w:hAnsi="Verdana" w:cs="Arial"/>
          <w:lang w:val="es-ES_tradnl"/>
        </w:rPr>
      </w:pPr>
    </w:p>
    <w:p w14:paraId="3BDFFC6E" w14:textId="688855BE" w:rsidR="007F3220" w:rsidRPr="007F3220" w:rsidRDefault="007F3220" w:rsidP="007F3220">
      <w:pPr>
        <w:spacing w:after="0" w:line="240" w:lineRule="auto"/>
        <w:contextualSpacing/>
        <w:jc w:val="both"/>
        <w:rPr>
          <w:rFonts w:ascii="Verdana" w:hAnsi="Verdana" w:cs="Arial"/>
          <w:sz w:val="20"/>
          <w:szCs w:val="20"/>
        </w:rPr>
      </w:pPr>
      <w:r w:rsidRPr="007F3220">
        <w:rPr>
          <w:rFonts w:ascii="Verdana" w:hAnsi="Verdana" w:cs="Arial"/>
          <w:sz w:val="20"/>
          <w:szCs w:val="20"/>
          <w:lang w:val="es-ES_tradnl"/>
        </w:rPr>
        <w:t xml:space="preserve">[…] </w:t>
      </w:r>
      <w:r w:rsidRPr="007F3220">
        <w:rPr>
          <w:rFonts w:ascii="Verdana" w:hAnsi="Verdana" w:cs="Arial"/>
          <w:sz w:val="20"/>
          <w:szCs w:val="20"/>
        </w:rPr>
        <w:t xml:space="preserve">De cualquier modo, la práctica contractual evidencia que el factor multiplicador es una metodología frecuente para establecer el precio en los contratos de interventoría. Esta metodología permite imputar al contrato los costos directos asociados a prestaciones laborales y sociales del personal vinculado con carácter exclusivo al proyecto, la utilidad del ingeniero y los costos de administración relacionados con el personal, afectando el valor parcial de la oferta por un factor multiplicador. De esta manera se obtiene un subtotal de costos directos a partir de la sumatoria de los valores correspondientes a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 </w:t>
      </w:r>
    </w:p>
    <w:p w14:paraId="41730816" w14:textId="77777777" w:rsidR="007F3220" w:rsidRPr="007F3220" w:rsidRDefault="007F3220" w:rsidP="007F3220">
      <w:pPr>
        <w:spacing w:after="0" w:line="240" w:lineRule="auto"/>
        <w:contextualSpacing/>
        <w:jc w:val="both"/>
        <w:rPr>
          <w:rFonts w:ascii="Verdana" w:hAnsi="Verdana" w:cs="Arial"/>
          <w:sz w:val="20"/>
          <w:szCs w:val="20"/>
        </w:rPr>
      </w:pPr>
    </w:p>
    <w:p w14:paraId="1AE3D5BD" w14:textId="514E3C7A" w:rsidR="007F3220" w:rsidRPr="007F3220" w:rsidRDefault="007F3220" w:rsidP="007F3220">
      <w:pPr>
        <w:spacing w:after="0" w:line="240" w:lineRule="auto"/>
        <w:contextualSpacing/>
        <w:jc w:val="both"/>
        <w:rPr>
          <w:rFonts w:ascii="Verdana" w:eastAsia="Arial" w:hAnsi="Verdana" w:cs="Arial"/>
          <w:color w:val="000000"/>
          <w:kern w:val="2"/>
          <w:sz w:val="20"/>
          <w:szCs w:val="20"/>
          <w14:ligatures w14:val="standardContextual"/>
        </w:rPr>
      </w:pPr>
      <w:r w:rsidRPr="007F3220">
        <w:rPr>
          <w:rFonts w:ascii="Verdana" w:hAnsi="Verdana" w:cs="Arial"/>
          <w:sz w:val="20"/>
          <w:szCs w:val="20"/>
        </w:rPr>
        <w:t xml:space="preserve">En este orden de ideas el factor multiplicador no está ligado a nivel normativo con el sistema de precios unitarios. Sin embargo, su metodología es de común utilización en contratos que optan por este, en la medida en que esta solo incluye los costos directos e indirectos asociados al </w:t>
      </w:r>
      <w:r w:rsidRPr="007F3220">
        <w:rPr>
          <w:rFonts w:ascii="Verdana" w:hAnsi="Verdana" w:cs="Arial"/>
          <w:i/>
          <w:iCs/>
          <w:sz w:val="20"/>
          <w:szCs w:val="20"/>
        </w:rPr>
        <w:t>personal</w:t>
      </w:r>
      <w:r w:rsidRPr="007F3220">
        <w:rPr>
          <w:rFonts w:ascii="Verdana" w:hAnsi="Verdana" w:cs="Arial"/>
          <w:sz w:val="20"/>
          <w:szCs w:val="20"/>
        </w:rPr>
        <w:t>, más no incluye los otros costos directos e indirectos en los que puede incurrir el contratista, por lo que deben incorporarse en el valor del contrato y en las propuestas económicas de manera separada a los costos de personal afectados por el factor multiplicador, ya sea mediante el sistema de precios unitarios o mediante partidas globales adicionales a las referentes al factor multiplicador.</w:t>
      </w:r>
    </w:p>
    <w:p w14:paraId="4213A7E2" w14:textId="318B7BF8" w:rsidR="007F3220" w:rsidRPr="007F3220" w:rsidRDefault="007F3220" w:rsidP="007F3220">
      <w:pPr>
        <w:spacing w:after="0" w:line="240" w:lineRule="auto"/>
        <w:contextualSpacing/>
        <w:jc w:val="both"/>
        <w:rPr>
          <w:rFonts w:ascii="Verdana" w:eastAsia="Calibri" w:hAnsi="Verdana" w:cs="Arial"/>
          <w:b/>
          <w:bCs/>
        </w:rPr>
      </w:pPr>
    </w:p>
    <w:p w14:paraId="7F4D7E9C" w14:textId="4947D7FA" w:rsidR="00D17677" w:rsidRPr="007F3220" w:rsidRDefault="00D17677" w:rsidP="007F3220">
      <w:pPr>
        <w:spacing w:after="0" w:line="240" w:lineRule="auto"/>
        <w:contextualSpacing/>
        <w:jc w:val="both"/>
        <w:rPr>
          <w:rFonts w:ascii="Verdana" w:eastAsia="Geomanist Light" w:hAnsi="Verdana" w:cs="Arial"/>
          <w:b/>
          <w:bCs/>
          <w:sz w:val="20"/>
          <w:szCs w:val="20"/>
          <w:lang w:val="es-MX"/>
        </w:rPr>
      </w:pPr>
      <w:r w:rsidRPr="007F3220">
        <w:rPr>
          <w:rFonts w:ascii="Verdana" w:eastAsia="Calibri" w:hAnsi="Verdana" w:cs="Arial"/>
          <w:b/>
          <w:bCs/>
          <w:color w:val="000000"/>
        </w:rPr>
        <w:t xml:space="preserve">DETERMINACIÓN DE COSTOS </w:t>
      </w:r>
      <w:r w:rsidR="00653F77" w:rsidRPr="00653F77">
        <w:rPr>
          <w:rFonts w:ascii="Verdana" w:eastAsia="Calibri" w:hAnsi="Verdana" w:cs="Arial"/>
          <w:b/>
          <w:bCs/>
          <w:color w:val="000000"/>
        </w:rPr>
        <w:t>– Desglose – Modificación</w:t>
      </w:r>
    </w:p>
    <w:p w14:paraId="2BE635A3" w14:textId="77777777" w:rsidR="007F3220" w:rsidRDefault="007F3220" w:rsidP="007F3220">
      <w:pPr>
        <w:spacing w:after="0" w:line="240" w:lineRule="auto"/>
        <w:contextualSpacing/>
        <w:jc w:val="both"/>
        <w:rPr>
          <w:rFonts w:ascii="Verdana" w:eastAsia="Arial" w:hAnsi="Verdana" w:cs="Arial"/>
          <w:color w:val="000000"/>
          <w:kern w:val="2"/>
          <w14:ligatures w14:val="standardContextual"/>
        </w:rPr>
      </w:pPr>
    </w:p>
    <w:p w14:paraId="0507DD1A" w14:textId="77777777" w:rsidR="00653F77" w:rsidRDefault="00653F77" w:rsidP="00625F6E">
      <w:pPr>
        <w:spacing w:after="0" w:line="240" w:lineRule="auto"/>
        <w:jc w:val="both"/>
        <w:rPr>
          <w:rFonts w:ascii="Verdana" w:eastAsia="Geomanist Light" w:hAnsi="Verdana" w:cs="Arial"/>
          <w:color w:val="000000" w:themeColor="text1"/>
          <w:sz w:val="20"/>
          <w:szCs w:val="20"/>
          <w:lang w:val="es-MX"/>
        </w:rPr>
      </w:pPr>
      <w:r w:rsidRPr="00653F77">
        <w:rPr>
          <w:rFonts w:ascii="Verdana" w:eastAsia="Geomanist Light" w:hAnsi="Verdana" w:cs="Arial"/>
          <w:color w:val="000000" w:themeColor="text1"/>
          <w:sz w:val="20"/>
          <w:szCs w:val="20"/>
          <w:lang w:val="es-MX"/>
        </w:rPr>
        <w:t>Es de precisar que, en la verificación del cumplimiento de los costos y gastos asociados al contrato, no existe restricción alguna para poder elaborar un cuadro detallado que desglose los conceptos del factor multiplicador. Además, si se detectan omisiones, el cuadro podría ajustarse, siempre que se justifique y se cuente con la aprobación de la entidad. Por su parte, si la entidad solo definió el porcentaje del factor multiplicador sin detalle, la supervisión puede efectuar el seguimiento solicitando informes detallados sobre la ejecución de los gastos asociados al factor multiplicador. De cualquier modo, respecto a la reasignación de valores dentro del factor multiplicador, no se pueden trasladar saldos de un concepto a otro sin aprobación de la entidad. Por ejemplo, si queda saldo en prestaciones sociales, no puede destinarse a gastos administrativos o utilidad sin una modificación contractual.</w:t>
      </w:r>
    </w:p>
    <w:p w14:paraId="11003877" w14:textId="77777777" w:rsidR="00B916B5" w:rsidRPr="00653F77" w:rsidRDefault="00B916B5" w:rsidP="00653F77">
      <w:pPr>
        <w:spacing w:after="0" w:line="276" w:lineRule="auto"/>
        <w:jc w:val="both"/>
        <w:rPr>
          <w:rFonts w:ascii="Verdana" w:eastAsia="Geomanist Light" w:hAnsi="Verdana" w:cs="Arial"/>
          <w:color w:val="000000" w:themeColor="text1"/>
          <w:sz w:val="20"/>
          <w:szCs w:val="20"/>
          <w:lang w:val="es-MX"/>
        </w:rPr>
      </w:pPr>
    </w:p>
    <w:p w14:paraId="373F9FDC" w14:textId="19B9D363" w:rsidR="008712BF" w:rsidRDefault="00653F77" w:rsidP="00653F77">
      <w:pPr>
        <w:spacing w:after="0" w:line="240" w:lineRule="auto"/>
        <w:jc w:val="both"/>
        <w:rPr>
          <w:rFonts w:ascii="Verdana" w:eastAsia="Geomanist Light" w:hAnsi="Verdana" w:cs="Arial"/>
          <w:color w:val="000000" w:themeColor="text1"/>
          <w:sz w:val="20"/>
          <w:szCs w:val="20"/>
          <w:lang w:val="es-MX"/>
        </w:rPr>
      </w:pPr>
      <w:r w:rsidRPr="00653F77">
        <w:rPr>
          <w:rFonts w:ascii="Verdana" w:eastAsia="Geomanist Light" w:hAnsi="Verdana" w:cs="Arial"/>
          <w:color w:val="000000" w:themeColor="text1"/>
          <w:sz w:val="20"/>
          <w:szCs w:val="20"/>
          <w:lang w:val="es-MX"/>
        </w:rPr>
        <w:t>Así, los valores facturados deberán corresponder de manera estricta a los costos reales efectivamente causados, debidamente soportados y directamente relacionados con la ejecución contractual. Además, se deberá constatar que los porcentajes de los valores a reconocer hayan sido calculados conforme a lo estipulado en el contrato, y que guarden correspondencia con los costos efectivamente incurridos. En todo caso, como se indicó, no se podrán variar los porcentajes inicialmente pactados sin la correspondiente aprobación de la entidad y la modificación contractual si esta se considera viable de acuerdo con el análisis particular.</w:t>
      </w:r>
    </w:p>
    <w:p w14:paraId="3E93F7E5" w14:textId="77777777" w:rsidR="008712BF" w:rsidRDefault="008712BF" w:rsidP="00CC6605">
      <w:pPr>
        <w:spacing w:after="0" w:line="276" w:lineRule="auto"/>
        <w:jc w:val="both"/>
        <w:rPr>
          <w:rFonts w:ascii="Verdana" w:eastAsia="Calibri" w:hAnsi="Verdana" w:cs="Arial"/>
          <w:lang w:val="es-ES" w:eastAsia="es-ES"/>
        </w:rPr>
      </w:pPr>
    </w:p>
    <w:p w14:paraId="34081685" w14:textId="77777777" w:rsidR="00625F6E" w:rsidRDefault="00625F6E" w:rsidP="00CC6605">
      <w:pPr>
        <w:spacing w:after="0" w:line="276" w:lineRule="auto"/>
        <w:jc w:val="both"/>
        <w:rPr>
          <w:rFonts w:ascii="Verdana" w:eastAsia="Calibri" w:hAnsi="Verdana" w:cs="Arial"/>
          <w:lang w:val="es-ES" w:eastAsia="es-ES"/>
        </w:rPr>
      </w:pPr>
    </w:p>
    <w:p w14:paraId="0DBBFB4E" w14:textId="77777777" w:rsidR="00625F6E" w:rsidRDefault="00625F6E" w:rsidP="00CC6605">
      <w:pPr>
        <w:spacing w:after="0" w:line="276" w:lineRule="auto"/>
        <w:jc w:val="both"/>
        <w:rPr>
          <w:rFonts w:ascii="Verdana" w:eastAsia="Calibri" w:hAnsi="Verdana" w:cs="Arial"/>
          <w:lang w:val="es-ES" w:eastAsia="es-ES"/>
        </w:rPr>
      </w:pPr>
    </w:p>
    <w:p w14:paraId="6889DCC2" w14:textId="77777777" w:rsidR="00625F6E" w:rsidRDefault="00625F6E" w:rsidP="00CC6605">
      <w:pPr>
        <w:spacing w:after="0" w:line="276" w:lineRule="auto"/>
        <w:jc w:val="both"/>
        <w:rPr>
          <w:rFonts w:ascii="Verdana" w:eastAsia="Calibri" w:hAnsi="Verdana" w:cs="Arial"/>
          <w:lang w:val="es-ES" w:eastAsia="es-ES"/>
        </w:rPr>
      </w:pPr>
    </w:p>
    <w:p w14:paraId="33AED9F5" w14:textId="77777777" w:rsidR="00625F6E" w:rsidRDefault="00625F6E" w:rsidP="00CC6605">
      <w:pPr>
        <w:spacing w:after="0" w:line="276" w:lineRule="auto"/>
        <w:jc w:val="both"/>
        <w:rPr>
          <w:rFonts w:ascii="Verdana" w:eastAsia="Calibri" w:hAnsi="Verdana" w:cs="Arial"/>
          <w:lang w:val="es-ES" w:eastAsia="es-ES"/>
        </w:rPr>
      </w:pPr>
    </w:p>
    <w:p w14:paraId="69901B30" w14:textId="77777777" w:rsidR="00625F6E" w:rsidRDefault="00625F6E" w:rsidP="00CC6605">
      <w:pPr>
        <w:spacing w:after="0" w:line="276" w:lineRule="auto"/>
        <w:jc w:val="both"/>
        <w:rPr>
          <w:rFonts w:ascii="Verdana" w:eastAsia="Calibri" w:hAnsi="Verdana" w:cs="Arial"/>
          <w:lang w:val="es-ES" w:eastAsia="es-ES"/>
        </w:rPr>
      </w:pPr>
    </w:p>
    <w:p w14:paraId="5C1A6225" w14:textId="77777777" w:rsidR="00625F6E" w:rsidRDefault="00625F6E" w:rsidP="00CC6605">
      <w:pPr>
        <w:spacing w:after="0" w:line="276" w:lineRule="auto"/>
        <w:jc w:val="both"/>
        <w:rPr>
          <w:rFonts w:ascii="Verdana" w:eastAsia="Calibri" w:hAnsi="Verdana" w:cs="Arial"/>
          <w:lang w:val="es-ES" w:eastAsia="es-ES"/>
        </w:rPr>
      </w:pPr>
    </w:p>
    <w:p w14:paraId="1730E3AC" w14:textId="77777777" w:rsidR="00625F6E" w:rsidRDefault="00625F6E" w:rsidP="00CC6605">
      <w:pPr>
        <w:spacing w:after="0" w:line="276" w:lineRule="auto"/>
        <w:jc w:val="both"/>
        <w:rPr>
          <w:rFonts w:ascii="Verdana" w:eastAsia="Calibri" w:hAnsi="Verdana" w:cs="Arial"/>
          <w:lang w:val="es-ES" w:eastAsia="es-ES"/>
        </w:rPr>
      </w:pPr>
    </w:p>
    <w:p w14:paraId="5A934296" w14:textId="77777777" w:rsidR="00625F6E" w:rsidRDefault="00625F6E" w:rsidP="00CC6605">
      <w:pPr>
        <w:spacing w:after="0" w:line="276" w:lineRule="auto"/>
        <w:jc w:val="both"/>
        <w:rPr>
          <w:rFonts w:ascii="Verdana" w:eastAsia="Calibri" w:hAnsi="Verdana" w:cs="Arial"/>
          <w:lang w:val="es-ES" w:eastAsia="es-ES"/>
        </w:rPr>
      </w:pPr>
    </w:p>
    <w:p w14:paraId="4ACB0D03" w14:textId="77777777" w:rsidR="00625F6E" w:rsidRDefault="00625F6E" w:rsidP="00CC6605">
      <w:pPr>
        <w:spacing w:after="0" w:line="276" w:lineRule="auto"/>
        <w:jc w:val="both"/>
        <w:rPr>
          <w:rFonts w:ascii="Verdana" w:eastAsia="Calibri" w:hAnsi="Verdana" w:cs="Arial"/>
          <w:lang w:val="es-ES" w:eastAsia="es-ES"/>
        </w:rPr>
      </w:pPr>
    </w:p>
    <w:p w14:paraId="3FD7302A" w14:textId="77777777" w:rsidR="00625F6E" w:rsidRDefault="00625F6E" w:rsidP="00CC6605">
      <w:pPr>
        <w:spacing w:after="0" w:line="276" w:lineRule="auto"/>
        <w:jc w:val="both"/>
        <w:rPr>
          <w:rFonts w:ascii="Verdana" w:eastAsia="Calibri" w:hAnsi="Verdana" w:cs="Arial"/>
          <w:lang w:val="es-ES" w:eastAsia="es-ES"/>
        </w:rPr>
      </w:pPr>
    </w:p>
    <w:p w14:paraId="518F14C9" w14:textId="77777777" w:rsidR="00625F6E" w:rsidRDefault="00625F6E" w:rsidP="00CC6605">
      <w:pPr>
        <w:spacing w:after="0" w:line="276" w:lineRule="auto"/>
        <w:jc w:val="both"/>
        <w:rPr>
          <w:rFonts w:ascii="Verdana" w:eastAsia="Calibri" w:hAnsi="Verdana" w:cs="Arial"/>
          <w:lang w:val="es-ES" w:eastAsia="es-ES"/>
        </w:rPr>
      </w:pPr>
    </w:p>
    <w:p w14:paraId="11807DF4" w14:textId="77777777" w:rsidR="00625F6E" w:rsidRDefault="00625F6E" w:rsidP="00CC6605">
      <w:pPr>
        <w:spacing w:after="0" w:line="276" w:lineRule="auto"/>
        <w:jc w:val="both"/>
        <w:rPr>
          <w:rFonts w:ascii="Verdana" w:eastAsia="Calibri" w:hAnsi="Verdana" w:cs="Arial"/>
          <w:lang w:val="es-ES" w:eastAsia="es-ES"/>
        </w:rPr>
      </w:pPr>
    </w:p>
    <w:p w14:paraId="08288673" w14:textId="77777777" w:rsidR="007F3220" w:rsidRDefault="007F3220" w:rsidP="00CC6605">
      <w:pPr>
        <w:spacing w:after="0" w:line="276" w:lineRule="auto"/>
        <w:jc w:val="both"/>
        <w:rPr>
          <w:rFonts w:ascii="Verdana" w:eastAsia="Calibri" w:hAnsi="Verdana" w:cs="Arial"/>
          <w:lang w:val="es-ES" w:eastAsia="es-ES"/>
        </w:rPr>
      </w:pPr>
    </w:p>
    <w:p w14:paraId="359C7C5A" w14:textId="77777777" w:rsidR="007F3220" w:rsidRDefault="007F3220" w:rsidP="00CC6605">
      <w:pPr>
        <w:spacing w:after="0" w:line="276" w:lineRule="auto"/>
        <w:jc w:val="both"/>
        <w:rPr>
          <w:rFonts w:ascii="Verdana" w:eastAsia="Calibri" w:hAnsi="Verdana" w:cs="Arial"/>
          <w:lang w:val="es-ES" w:eastAsia="es-ES"/>
        </w:rPr>
      </w:pPr>
    </w:p>
    <w:p w14:paraId="7EA3C1AA" w14:textId="77777777" w:rsidR="007F3220" w:rsidRDefault="007F3220" w:rsidP="00CC6605">
      <w:pPr>
        <w:spacing w:after="0" w:line="276" w:lineRule="auto"/>
        <w:jc w:val="both"/>
        <w:rPr>
          <w:rFonts w:ascii="Verdana" w:eastAsia="Calibri" w:hAnsi="Verdana" w:cs="Arial"/>
          <w:lang w:val="es-ES" w:eastAsia="es-ES"/>
        </w:rPr>
      </w:pPr>
    </w:p>
    <w:p w14:paraId="0011BA0D" w14:textId="77777777" w:rsidR="007F3220" w:rsidRDefault="007F3220" w:rsidP="00CC6605">
      <w:pPr>
        <w:spacing w:after="0" w:line="276" w:lineRule="auto"/>
        <w:jc w:val="both"/>
        <w:rPr>
          <w:rFonts w:ascii="Verdana" w:eastAsia="Calibri" w:hAnsi="Verdana" w:cs="Arial"/>
          <w:lang w:val="es-ES" w:eastAsia="es-ES"/>
        </w:rPr>
      </w:pPr>
    </w:p>
    <w:p w14:paraId="05C953E5" w14:textId="77777777" w:rsidR="007F3220" w:rsidRDefault="007F3220" w:rsidP="00CC6605">
      <w:pPr>
        <w:spacing w:after="0" w:line="276" w:lineRule="auto"/>
        <w:jc w:val="both"/>
        <w:rPr>
          <w:rFonts w:ascii="Verdana" w:eastAsia="Calibri" w:hAnsi="Verdana" w:cs="Arial"/>
          <w:lang w:val="es-ES" w:eastAsia="es-ES"/>
        </w:rPr>
      </w:pPr>
    </w:p>
    <w:p w14:paraId="10938C24" w14:textId="77777777" w:rsidR="007F3220" w:rsidRDefault="007F3220" w:rsidP="00CC6605">
      <w:pPr>
        <w:spacing w:after="0" w:line="276" w:lineRule="auto"/>
        <w:jc w:val="both"/>
        <w:rPr>
          <w:rFonts w:ascii="Verdana" w:eastAsia="Calibri" w:hAnsi="Verdana" w:cs="Arial"/>
          <w:lang w:val="es-ES" w:eastAsia="es-ES"/>
        </w:rPr>
      </w:pPr>
    </w:p>
    <w:p w14:paraId="7D34F508" w14:textId="25859070" w:rsidR="00A8051C" w:rsidRPr="004A7106" w:rsidRDefault="00A8051C" w:rsidP="00A8051C">
      <w:pPr>
        <w:spacing w:after="0" w:line="240" w:lineRule="auto"/>
        <w:rPr>
          <w:rFonts w:ascii="Verdana" w:eastAsia="Geomanist Light" w:hAnsi="Verdana" w:cs="Arial"/>
          <w:color w:val="201F1E"/>
        </w:rPr>
      </w:pPr>
      <w:bookmarkStart w:id="0" w:name="_Hlk143780582"/>
      <w:r w:rsidRPr="00593A5F">
        <w:rPr>
          <w:rFonts w:ascii="Verdana" w:eastAsia="Geomanist Light" w:hAnsi="Verdana" w:cs="Arial"/>
          <w:color w:val="000000" w:themeColor="text1"/>
          <w:lang w:val="es-MX"/>
        </w:rPr>
        <w:lastRenderedPageBreak/>
        <w:t>Bogotá D.C., </w:t>
      </w:r>
      <w:r w:rsidR="00717B06">
        <w:rPr>
          <w:rFonts w:ascii="Verdana" w:eastAsia="Geomanist Light" w:hAnsi="Verdana" w:cs="Arial"/>
          <w:color w:val="201F1E"/>
        </w:rPr>
        <w:t>4 de marzo de 2026</w:t>
      </w:r>
    </w:p>
    <w:p w14:paraId="73A9232C" w14:textId="77777777" w:rsidR="00A8051C" w:rsidRDefault="00A8051C" w:rsidP="00A8051C">
      <w:pPr>
        <w:spacing w:after="0" w:line="240" w:lineRule="auto"/>
        <w:jc w:val="both"/>
        <w:rPr>
          <w:rFonts w:ascii="Verdana" w:eastAsia="Calibri" w:hAnsi="Verdana" w:cs="Arial"/>
          <w:color w:val="000000"/>
          <w:lang w:val="es-ES"/>
        </w:rPr>
      </w:pPr>
    </w:p>
    <w:p w14:paraId="3AB74526" w14:textId="7172A3F2" w:rsidR="00A8051C" w:rsidRPr="00593A5F" w:rsidRDefault="00717B06" w:rsidP="00717B06">
      <w:pPr>
        <w:spacing w:after="0" w:line="240" w:lineRule="auto"/>
        <w:jc w:val="right"/>
        <w:rPr>
          <w:rFonts w:ascii="Verdana" w:eastAsia="Calibri" w:hAnsi="Verdana" w:cs="Arial"/>
          <w:color w:val="000000"/>
          <w:lang w:val="es-ES"/>
        </w:rPr>
      </w:pPr>
      <w:r w:rsidRPr="00717B06">
        <w:rPr>
          <w:rFonts w:ascii="Verdana" w:eastAsia="Calibri" w:hAnsi="Verdana" w:cs="Arial"/>
          <w:noProof/>
          <w:color w:val="000000"/>
          <w:lang w:val="es-ES"/>
        </w:rPr>
        <w:drawing>
          <wp:anchor distT="0" distB="0" distL="114300" distR="114300" simplePos="0" relativeHeight="251658240" behindDoc="0" locked="0" layoutInCell="1" allowOverlap="1" wp14:anchorId="3ADD7306" wp14:editId="65A30EB1">
            <wp:simplePos x="0" y="0"/>
            <wp:positionH relativeFrom="column">
              <wp:posOffset>3171825</wp:posOffset>
            </wp:positionH>
            <wp:positionV relativeFrom="paragraph">
              <wp:posOffset>1270</wp:posOffset>
            </wp:positionV>
            <wp:extent cx="2430780" cy="944880"/>
            <wp:effectExtent l="0" t="0" r="7620" b="7620"/>
            <wp:wrapSquare wrapText="bothSides"/>
            <wp:docPr id="16397732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30780" cy="944880"/>
                    </a:xfrm>
                    <a:prstGeom prst="rect">
                      <a:avLst/>
                    </a:prstGeom>
                    <a:noFill/>
                    <a:ln>
                      <a:noFill/>
                    </a:ln>
                  </pic:spPr>
                </pic:pic>
              </a:graphicData>
            </a:graphic>
          </wp:anchor>
        </w:drawing>
      </w:r>
    </w:p>
    <w:p w14:paraId="23E48784" w14:textId="77777777" w:rsidR="00A8051C" w:rsidRPr="00B96799" w:rsidRDefault="00A8051C" w:rsidP="00A8051C">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112F9C16" w14:textId="77777777" w:rsidR="00A8051C" w:rsidRPr="0085423D" w:rsidRDefault="00A8051C" w:rsidP="00A8051C">
      <w:pPr>
        <w:spacing w:after="0" w:line="240" w:lineRule="auto"/>
        <w:rPr>
          <w:rFonts w:ascii="Verdana" w:eastAsia="Calibri" w:hAnsi="Verdana" w:cs="Arial"/>
          <w:b/>
          <w:lang w:val="es-ES_tradnl" w:eastAsia="es-ES_tradnl"/>
        </w:rPr>
      </w:pPr>
      <w:r w:rsidRPr="00DD3241">
        <w:rPr>
          <w:rFonts w:ascii="Verdana" w:eastAsia="Calibri" w:hAnsi="Verdana" w:cs="Arial"/>
          <w:b/>
          <w:lang w:val="es-ES_tradnl" w:eastAsia="es-ES_tradnl"/>
        </w:rPr>
        <w:t>José Gregorio Gil Vanegas</w:t>
      </w:r>
      <w:r>
        <w:rPr>
          <w:rFonts w:ascii="Verdana" w:eastAsia="Calibri" w:hAnsi="Verdana" w:cs="Arial"/>
          <w:b/>
          <w:lang w:val="es-ES_tradnl" w:eastAsia="es-ES_tradnl"/>
        </w:rPr>
        <w:t xml:space="preserve"> </w:t>
      </w:r>
    </w:p>
    <w:p w14:paraId="6A83B641" w14:textId="77777777" w:rsidR="00A8051C" w:rsidRPr="00B40A30" w:rsidRDefault="00A8051C" w:rsidP="00A8051C">
      <w:pPr>
        <w:spacing w:after="0" w:line="240" w:lineRule="auto"/>
        <w:rPr>
          <w:rFonts w:ascii="Verdana" w:eastAsia="Calibri" w:hAnsi="Verdana" w:cs="Arial"/>
          <w:lang w:val="es-ES" w:eastAsia="es-ES"/>
        </w:rPr>
      </w:pPr>
      <w:hyperlink r:id="rId11" w:history="1">
        <w:r w:rsidRPr="00737FDD">
          <w:rPr>
            <w:rStyle w:val="Hipervnculo"/>
            <w:rFonts w:ascii="Verdana" w:hAnsi="Verdana"/>
          </w:rPr>
          <w:t>gregoriogil96@gmail.com</w:t>
        </w:r>
      </w:hyperlink>
      <w:r>
        <w:rPr>
          <w:rFonts w:ascii="Verdana" w:hAnsi="Verdana"/>
        </w:rPr>
        <w:t xml:space="preserve"> </w:t>
      </w:r>
      <w:r w:rsidRPr="00B40A30">
        <w:rPr>
          <w:rFonts w:ascii="Verdana" w:hAnsi="Verdana"/>
        </w:rPr>
        <w:t xml:space="preserve">              </w:t>
      </w:r>
      <w:r w:rsidRPr="00B40A30">
        <w:rPr>
          <w:rFonts w:ascii="Verdana" w:eastAsia="Calibri" w:hAnsi="Verdana" w:cs="Arial"/>
          <w:lang w:val="es-ES" w:eastAsia="es-ES"/>
        </w:rPr>
        <w:t xml:space="preserve">    </w:t>
      </w:r>
    </w:p>
    <w:p w14:paraId="59F3D9A4" w14:textId="77777777" w:rsidR="00A8051C" w:rsidRDefault="00A8051C" w:rsidP="00A8051C">
      <w:pPr>
        <w:spacing w:after="0" w:line="240" w:lineRule="auto"/>
        <w:rPr>
          <w:rFonts w:ascii="Verdana" w:eastAsia="Calibri" w:hAnsi="Verdana" w:cs="Arial"/>
          <w:lang w:val="es-ES" w:eastAsia="es-ES"/>
        </w:rPr>
      </w:pPr>
      <w:r>
        <w:rPr>
          <w:rFonts w:ascii="Verdana" w:eastAsia="Calibri" w:hAnsi="Verdana" w:cs="Arial"/>
          <w:lang w:val="es-ES" w:eastAsia="es-ES"/>
        </w:rPr>
        <w:t xml:space="preserve">Florencia, Caquetá </w:t>
      </w:r>
    </w:p>
    <w:p w14:paraId="7AF15658" w14:textId="77777777" w:rsidR="00A8051C" w:rsidRPr="00593A5F" w:rsidRDefault="00A8051C" w:rsidP="00A8051C">
      <w:pPr>
        <w:spacing w:after="0" w:line="276" w:lineRule="auto"/>
        <w:rPr>
          <w:rFonts w:ascii="Verdana" w:eastAsia="Geomanist Light" w:hAnsi="Verdana" w:cs="Arial"/>
          <w:color w:val="201F1E"/>
          <w:lang w:val="es-MX"/>
        </w:rPr>
      </w:pPr>
    </w:p>
    <w:p w14:paraId="178A7225" w14:textId="77777777" w:rsidR="00A8051C" w:rsidRPr="008F1FB6" w:rsidRDefault="00A8051C" w:rsidP="00A8051C">
      <w:pPr>
        <w:spacing w:after="0" w:line="276"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8051C" w:rsidRPr="008F1FB6" w14:paraId="65788B2D" w14:textId="77777777" w:rsidTr="00E615C0">
        <w:trPr>
          <w:trHeight w:val="480"/>
        </w:trPr>
        <w:tc>
          <w:tcPr>
            <w:tcW w:w="2689" w:type="dxa"/>
          </w:tcPr>
          <w:p w14:paraId="3549B8CE" w14:textId="77777777" w:rsidR="00A8051C" w:rsidRPr="008F1FB6" w:rsidRDefault="00A8051C" w:rsidP="00E615C0">
            <w:pPr>
              <w:spacing w:line="276" w:lineRule="auto"/>
              <w:jc w:val="both"/>
              <w:rPr>
                <w:rFonts w:ascii="Verdana" w:eastAsia="Calibri" w:hAnsi="Verdana" w:cs="Arial"/>
                <w:b/>
                <w:bCs/>
                <w:color w:val="7030A0"/>
                <w:lang w:val="es-ES_tradnl" w:eastAsia="es-ES_tradnl"/>
              </w:rPr>
            </w:pPr>
          </w:p>
        </w:tc>
        <w:tc>
          <w:tcPr>
            <w:tcW w:w="6100" w:type="dxa"/>
          </w:tcPr>
          <w:p w14:paraId="684375A0" w14:textId="729FC1DE" w:rsidR="00A8051C" w:rsidRDefault="00A8051C" w:rsidP="00E615C0">
            <w:pPr>
              <w:spacing w:line="276" w:lineRule="auto"/>
              <w:jc w:val="both"/>
              <w:rPr>
                <w:rFonts w:ascii="Verdana" w:eastAsia="Calibri" w:hAnsi="Verdana" w:cs="Arial"/>
                <w:b/>
                <w:bCs/>
                <w:lang w:val="es-ES" w:eastAsia="es-ES"/>
              </w:rPr>
            </w:pPr>
            <w:r w:rsidRPr="008F1FB6">
              <w:rPr>
                <w:rFonts w:ascii="Verdana" w:eastAsia="Calibri" w:hAnsi="Verdana" w:cs="Arial"/>
                <w:b/>
                <w:bCs/>
                <w:lang w:val="es-ES" w:eastAsia="es-ES"/>
              </w:rPr>
              <w:t>Concepto C-</w:t>
            </w:r>
            <w:r>
              <w:rPr>
                <w:rFonts w:ascii="Verdana" w:eastAsia="Calibri" w:hAnsi="Verdana" w:cs="Arial"/>
                <w:b/>
                <w:bCs/>
                <w:lang w:val="es-ES" w:eastAsia="es-ES"/>
              </w:rPr>
              <w:t>212</w:t>
            </w:r>
            <w:r w:rsidRPr="008F1FB6">
              <w:rPr>
                <w:rFonts w:ascii="Verdana" w:eastAsia="Calibri" w:hAnsi="Verdana" w:cs="Arial"/>
                <w:b/>
                <w:bCs/>
                <w:color w:val="7030A0"/>
                <w:lang w:val="es-ES" w:eastAsia="es-ES"/>
              </w:rPr>
              <w:t xml:space="preserve"> </w:t>
            </w:r>
            <w:r w:rsidRPr="008F1FB6">
              <w:rPr>
                <w:rFonts w:ascii="Verdana" w:eastAsia="Calibri" w:hAnsi="Verdana" w:cs="Arial"/>
                <w:b/>
                <w:bCs/>
                <w:lang w:val="es-ES" w:eastAsia="es-ES"/>
              </w:rPr>
              <w:t>de 202</w:t>
            </w:r>
            <w:r w:rsidR="00717B06">
              <w:rPr>
                <w:rFonts w:ascii="Verdana" w:eastAsia="Calibri" w:hAnsi="Verdana" w:cs="Arial"/>
                <w:b/>
                <w:bCs/>
                <w:lang w:val="es-ES" w:eastAsia="es-ES"/>
              </w:rPr>
              <w:t>6</w:t>
            </w:r>
          </w:p>
          <w:p w14:paraId="7F045D34" w14:textId="77777777" w:rsidR="00A8051C" w:rsidRPr="008F1FB6" w:rsidRDefault="00A8051C" w:rsidP="00E615C0">
            <w:pPr>
              <w:spacing w:line="276" w:lineRule="auto"/>
              <w:jc w:val="both"/>
              <w:rPr>
                <w:rFonts w:ascii="Verdana" w:eastAsia="Calibri" w:hAnsi="Verdana" w:cs="Arial"/>
                <w:b/>
                <w:bCs/>
                <w:color w:val="7030A0"/>
                <w:lang w:val="es-ES" w:eastAsia="es-ES"/>
              </w:rPr>
            </w:pPr>
          </w:p>
        </w:tc>
      </w:tr>
      <w:tr w:rsidR="00A8051C" w:rsidRPr="008F1FB6" w14:paraId="3596C162" w14:textId="77777777" w:rsidTr="00E615C0">
        <w:trPr>
          <w:trHeight w:val="884"/>
        </w:trPr>
        <w:tc>
          <w:tcPr>
            <w:tcW w:w="2689" w:type="dxa"/>
          </w:tcPr>
          <w:p w14:paraId="5C801DC7" w14:textId="77777777" w:rsidR="00A8051C" w:rsidRPr="008F1FB6" w:rsidRDefault="00A8051C" w:rsidP="00E615C0">
            <w:pPr>
              <w:spacing w:line="276" w:lineRule="auto"/>
              <w:jc w:val="both"/>
              <w:rPr>
                <w:rFonts w:ascii="Verdana" w:eastAsia="Calibri" w:hAnsi="Verdana" w:cs="Arial"/>
                <w:color w:val="000000"/>
                <w:lang w:val="es-ES_tradnl" w:eastAsia="es-ES_tradnl"/>
              </w:rPr>
            </w:pPr>
            <w:r w:rsidRPr="008F1FB6">
              <w:rPr>
                <w:rFonts w:ascii="Verdana" w:eastAsia="Calibri" w:hAnsi="Verdana" w:cs="Arial"/>
                <w:b/>
                <w:color w:val="000000"/>
                <w:lang w:val="es-ES_tradnl" w:eastAsia="es-ES_tradnl"/>
              </w:rPr>
              <w:t>Temas:</w:t>
            </w:r>
            <w:r w:rsidRPr="008F1FB6">
              <w:rPr>
                <w:rFonts w:ascii="Verdana" w:eastAsia="Calibri" w:hAnsi="Verdana" w:cs="Arial"/>
                <w:color w:val="000000"/>
                <w:lang w:val="es-ES_tradnl" w:eastAsia="es-ES_tradnl"/>
              </w:rPr>
              <w:t xml:space="preserve">                   </w:t>
            </w:r>
          </w:p>
        </w:tc>
        <w:tc>
          <w:tcPr>
            <w:tcW w:w="6100" w:type="dxa"/>
          </w:tcPr>
          <w:p w14:paraId="3A0352BB" w14:textId="77777777" w:rsidR="00A8051C" w:rsidRPr="00AF3A6C" w:rsidRDefault="00A8051C" w:rsidP="00E615C0">
            <w:pPr>
              <w:spacing w:line="276" w:lineRule="auto"/>
              <w:jc w:val="both"/>
              <w:rPr>
                <w:rFonts w:ascii="Verdana" w:eastAsia="Geomanist Light" w:hAnsi="Verdana" w:cs="Arial"/>
                <w:sz w:val="20"/>
                <w:szCs w:val="20"/>
                <w:lang w:val="es-MX"/>
              </w:rPr>
            </w:pPr>
            <w:r w:rsidRPr="00DC1DF5">
              <w:rPr>
                <w:rFonts w:ascii="Verdana" w:eastAsia="Calibri" w:hAnsi="Verdana" w:cs="Arial"/>
                <w:lang w:val="es-ES" w:eastAsia="es-ES"/>
              </w:rPr>
              <w:t xml:space="preserve">DETERMINACIÓN DEL VALOR DEL CONTRATO – Etapa de planeación – Metodologías – Factores que inciden / </w:t>
            </w:r>
            <w:r w:rsidRPr="00603EE1">
              <w:rPr>
                <w:rFonts w:ascii="Verdana" w:eastAsia="Calibri" w:hAnsi="Verdana" w:cs="Arial"/>
                <w:lang w:val="es-ES" w:eastAsia="es-ES"/>
              </w:rPr>
              <w:t>SISTEMA DE FACTOR MULTIPLICADOR – Noción –</w:t>
            </w:r>
            <w:r>
              <w:rPr>
                <w:rFonts w:ascii="Verdana" w:eastAsia="Calibri" w:hAnsi="Verdana" w:cs="Arial"/>
              </w:rPr>
              <w:t xml:space="preserve"> cuadro detallado de conceptos </w:t>
            </w:r>
            <w:r w:rsidRPr="00DC1DF5">
              <w:rPr>
                <w:rFonts w:ascii="Verdana" w:eastAsia="Calibri" w:hAnsi="Verdana" w:cs="Arial"/>
                <w:lang w:val="es-ES" w:eastAsia="es-ES"/>
              </w:rPr>
              <w:t>/</w:t>
            </w:r>
            <w:r>
              <w:rPr>
                <w:rFonts w:ascii="Verdana" w:eastAsia="Calibri" w:hAnsi="Verdana" w:cs="Arial"/>
              </w:rPr>
              <w:t xml:space="preserve"> </w:t>
            </w:r>
            <w:r w:rsidRPr="00AF3A6C">
              <w:rPr>
                <w:rFonts w:ascii="Verdana" w:eastAsia="Calibri" w:hAnsi="Verdana" w:cs="Arial"/>
                <w:color w:val="000000"/>
              </w:rPr>
              <w:t xml:space="preserve">DETERMINACIÓN DE COSTOS </w:t>
            </w:r>
            <w:r>
              <w:rPr>
                <w:rFonts w:ascii="Verdana" w:eastAsia="Calibri" w:hAnsi="Verdana" w:cs="Arial"/>
                <w:color w:val="000000"/>
              </w:rPr>
              <w:t>–</w:t>
            </w:r>
            <w:r w:rsidRPr="00AF3A6C">
              <w:rPr>
                <w:rFonts w:ascii="Verdana" w:eastAsia="Calibri" w:hAnsi="Verdana" w:cs="Arial"/>
                <w:color w:val="000000"/>
              </w:rPr>
              <w:t xml:space="preserve"> </w:t>
            </w:r>
            <w:r>
              <w:rPr>
                <w:rFonts w:ascii="Verdana" w:eastAsia="Calibri" w:hAnsi="Verdana" w:cs="Arial"/>
                <w:color w:val="000000"/>
              </w:rPr>
              <w:t>Desglose –</w:t>
            </w:r>
            <w:r w:rsidRPr="00AF3A6C">
              <w:rPr>
                <w:rFonts w:ascii="Verdana" w:eastAsia="Calibri" w:hAnsi="Verdana" w:cs="Arial"/>
                <w:color w:val="000000"/>
              </w:rPr>
              <w:t xml:space="preserve"> </w:t>
            </w:r>
            <w:r>
              <w:rPr>
                <w:rFonts w:ascii="Verdana" w:eastAsia="Calibri" w:hAnsi="Verdana" w:cs="Arial"/>
                <w:color w:val="000000"/>
              </w:rPr>
              <w:t xml:space="preserve">Modificación </w:t>
            </w:r>
          </w:p>
          <w:p w14:paraId="2C8997F1" w14:textId="77777777" w:rsidR="00A8051C" w:rsidRPr="008F1FB6" w:rsidRDefault="00A8051C" w:rsidP="00E615C0">
            <w:pPr>
              <w:spacing w:line="276" w:lineRule="auto"/>
              <w:jc w:val="both"/>
              <w:rPr>
                <w:rFonts w:ascii="Verdana" w:eastAsia="Calibri" w:hAnsi="Verdana" w:cs="Arial"/>
                <w:lang w:val="es-ES" w:eastAsia="es-ES"/>
              </w:rPr>
            </w:pPr>
          </w:p>
        </w:tc>
      </w:tr>
      <w:tr w:rsidR="00A8051C" w:rsidRPr="008F1FB6" w14:paraId="623E59AC" w14:textId="77777777" w:rsidTr="00E615C0">
        <w:tc>
          <w:tcPr>
            <w:tcW w:w="2689" w:type="dxa"/>
          </w:tcPr>
          <w:p w14:paraId="7385955B" w14:textId="77777777" w:rsidR="00A8051C" w:rsidRPr="008F1FB6" w:rsidRDefault="00A8051C" w:rsidP="00E615C0">
            <w:pPr>
              <w:spacing w:line="276" w:lineRule="auto"/>
              <w:jc w:val="both"/>
              <w:rPr>
                <w:rFonts w:ascii="Verdana" w:eastAsia="Calibri" w:hAnsi="Verdana" w:cs="Arial"/>
                <w:b/>
                <w:color w:val="000000" w:themeColor="text1"/>
                <w:lang w:val="es-ES_tradnl" w:eastAsia="es-ES_tradnl"/>
              </w:rPr>
            </w:pPr>
            <w:r w:rsidRPr="008F1FB6">
              <w:rPr>
                <w:rFonts w:ascii="Verdana" w:eastAsia="Calibri" w:hAnsi="Verdana" w:cs="Arial"/>
                <w:b/>
                <w:color w:val="000000" w:themeColor="text1"/>
                <w:lang w:val="es-ES_tradnl" w:eastAsia="es-ES_tradnl"/>
              </w:rPr>
              <w:t>Radicación:</w:t>
            </w:r>
            <w:r w:rsidRPr="008F1FB6">
              <w:rPr>
                <w:rFonts w:ascii="Verdana" w:eastAsia="Calibri" w:hAnsi="Verdana" w:cs="Arial"/>
                <w:color w:val="000000" w:themeColor="text1"/>
                <w:lang w:val="es-ES_tradnl" w:eastAsia="es-ES_tradnl"/>
              </w:rPr>
              <w:t xml:space="preserve">               </w:t>
            </w:r>
          </w:p>
        </w:tc>
        <w:tc>
          <w:tcPr>
            <w:tcW w:w="6100" w:type="dxa"/>
          </w:tcPr>
          <w:p w14:paraId="66BFAC35" w14:textId="77777777" w:rsidR="00A8051C" w:rsidRPr="008F1FB6" w:rsidRDefault="00A8051C" w:rsidP="00E615C0">
            <w:pPr>
              <w:spacing w:line="276" w:lineRule="auto"/>
              <w:jc w:val="both"/>
              <w:rPr>
                <w:rFonts w:ascii="Verdana" w:eastAsia="Calibri" w:hAnsi="Verdana" w:cs="Arial"/>
                <w:color w:val="000000" w:themeColor="text1"/>
                <w:lang w:val="es-ES_tradnl" w:eastAsia="es-ES_tradnl"/>
              </w:rPr>
            </w:pPr>
            <w:r w:rsidRPr="008F1FB6">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No. </w:t>
            </w:r>
            <w:r w:rsidRPr="000946CE">
              <w:rPr>
                <w:rFonts w:ascii="Verdana" w:eastAsia="Calibri" w:hAnsi="Verdana" w:cs="Arial"/>
                <w:lang w:val="es-ES_tradnl" w:eastAsia="es-ES_tradnl"/>
              </w:rPr>
              <w:t>1_2026_02_13_001886</w:t>
            </w:r>
            <w:r>
              <w:rPr>
                <w:rFonts w:ascii="Verdana" w:eastAsia="Calibri" w:hAnsi="Verdana" w:cs="Arial"/>
                <w:lang w:val="es-ES_tradnl" w:eastAsia="es-ES_tradnl"/>
              </w:rPr>
              <w:t xml:space="preserve">                                  </w:t>
            </w:r>
            <w:r>
              <w:rPr>
                <w:rFonts w:ascii="Verdana" w:eastAsia="Calibri" w:hAnsi="Verdana" w:cs="Arial"/>
                <w:color w:val="000000" w:themeColor="text1"/>
                <w:lang w:val="es-ES_tradnl" w:eastAsia="es-ES_tradnl"/>
              </w:rPr>
              <w:t xml:space="preserve"> </w:t>
            </w:r>
            <w:r w:rsidRPr="008F1FB6">
              <w:rPr>
                <w:rFonts w:ascii="Verdana" w:eastAsia="Calibri" w:hAnsi="Verdana" w:cs="Arial"/>
                <w:color w:val="000000" w:themeColor="text1"/>
                <w:lang w:val="es-ES_tradnl" w:eastAsia="es-ES_tradnl"/>
              </w:rPr>
              <w:t xml:space="preserve"> </w:t>
            </w:r>
            <w:r w:rsidRPr="008F1FB6">
              <w:rPr>
                <w:rFonts w:ascii="Verdana" w:eastAsia="Calibri" w:hAnsi="Verdana" w:cs="Arial"/>
                <w:color w:val="000000" w:themeColor="text1"/>
                <w:lang w:eastAsia="es-ES_tradnl"/>
              </w:rPr>
              <w:br/>
            </w:r>
          </w:p>
        </w:tc>
      </w:tr>
    </w:tbl>
    <w:p w14:paraId="0D031552" w14:textId="77777777" w:rsidR="00A8051C" w:rsidRPr="008F1FB6" w:rsidRDefault="00A8051C" w:rsidP="00A8051C">
      <w:pPr>
        <w:spacing w:after="0" w:line="276" w:lineRule="auto"/>
        <w:jc w:val="both"/>
        <w:rPr>
          <w:rFonts w:ascii="Verdana" w:eastAsia="Calibri" w:hAnsi="Verdana" w:cs="Arial"/>
          <w:color w:val="000000"/>
          <w:lang w:val="es-ES_tradnl" w:eastAsia="es-ES_tradnl"/>
        </w:rPr>
      </w:pPr>
    </w:p>
    <w:p w14:paraId="4A55AB9A" w14:textId="77777777" w:rsidR="00A8051C" w:rsidRPr="008F1FB6" w:rsidRDefault="00A8051C" w:rsidP="00A8051C">
      <w:pPr>
        <w:spacing w:after="0" w:line="276" w:lineRule="auto"/>
        <w:jc w:val="both"/>
        <w:rPr>
          <w:rFonts w:ascii="Verdana" w:eastAsia="Calibri" w:hAnsi="Verdana" w:cs="Arial"/>
          <w:color w:val="000000" w:themeColor="text1"/>
          <w:lang w:val="es-ES" w:eastAsia="es-ES"/>
        </w:rPr>
      </w:pPr>
      <w:r w:rsidRPr="008F1FB6">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8F1FB6">
        <w:rPr>
          <w:rFonts w:ascii="Verdana" w:eastAsia="Calibri" w:hAnsi="Verdana" w:cs="Arial"/>
          <w:color w:val="000000" w:themeColor="text1"/>
          <w:lang w:val="es-ES" w:eastAsia="es-ES"/>
        </w:rPr>
        <w:t xml:space="preserve"> </w:t>
      </w:r>
      <w:r w:rsidRPr="008F1FB6">
        <w:rPr>
          <w:rFonts w:ascii="Verdana" w:eastAsia="Calibri" w:hAnsi="Verdana" w:cs="Arial"/>
          <w:color w:val="000000"/>
          <w:lang w:val="es-ES_tradnl" w:eastAsia="es-ES_tradnl"/>
        </w:rPr>
        <w:t xml:space="preserve">señor </w:t>
      </w:r>
      <w:r>
        <w:rPr>
          <w:rFonts w:ascii="Verdana" w:eastAsia="Calibri" w:hAnsi="Verdana" w:cs="Arial"/>
          <w:color w:val="000000"/>
          <w:lang w:val="es-ES_tradnl" w:eastAsia="es-ES_tradnl"/>
        </w:rPr>
        <w:t>Gil Vanegas</w:t>
      </w:r>
      <w:r w:rsidRPr="008F1FB6">
        <w:rPr>
          <w:rFonts w:ascii="Verdana" w:eastAsia="Calibri" w:hAnsi="Verdana" w:cs="Arial"/>
          <w:color w:val="000000"/>
          <w:lang w:val="es-ES_tradnl" w:eastAsia="es-ES_tradnl"/>
        </w:rPr>
        <w:t>:</w:t>
      </w:r>
      <w:r w:rsidRPr="008F1FB6">
        <w:rPr>
          <w:rFonts w:ascii="Verdana" w:eastAsia="Calibri" w:hAnsi="Verdana" w:cs="Arial"/>
          <w:color w:val="000000" w:themeColor="text1"/>
          <w:lang w:val="es-ES" w:eastAsia="es-ES"/>
        </w:rPr>
        <w:t xml:space="preserve"> </w:t>
      </w:r>
    </w:p>
    <w:p w14:paraId="53A5115B" w14:textId="77777777" w:rsidR="00A8051C" w:rsidRPr="008F1FB6" w:rsidRDefault="00A8051C" w:rsidP="00A8051C">
      <w:pPr>
        <w:tabs>
          <w:tab w:val="left" w:pos="3768"/>
        </w:tabs>
        <w:spacing w:after="0" w:line="276" w:lineRule="auto"/>
        <w:jc w:val="both"/>
        <w:rPr>
          <w:rFonts w:ascii="Verdana" w:eastAsia="Calibri" w:hAnsi="Verdana" w:cs="Arial"/>
          <w:color w:val="000000" w:themeColor="text1"/>
          <w:lang w:val="es-ES" w:eastAsia="es-ES"/>
        </w:rPr>
      </w:pPr>
      <w:r w:rsidRPr="008F1FB6">
        <w:rPr>
          <w:rFonts w:ascii="Verdana" w:eastAsia="Calibri" w:hAnsi="Verdana" w:cs="Arial"/>
          <w:color w:val="000000" w:themeColor="text1"/>
          <w:lang w:val="es-ES" w:eastAsia="es-ES"/>
        </w:rPr>
        <w:tab/>
      </w:r>
    </w:p>
    <w:p w14:paraId="7E97A4CD" w14:textId="77777777" w:rsidR="00A8051C" w:rsidRPr="00ED44C6" w:rsidRDefault="00A8051C" w:rsidP="00A8051C">
      <w:pPr>
        <w:spacing w:after="0" w:line="276" w:lineRule="auto"/>
        <w:jc w:val="both"/>
        <w:rPr>
          <w:rFonts w:ascii="Verdana" w:eastAsia="Calibri" w:hAnsi="Verdana" w:cs="Arial"/>
          <w:lang w:val="es-ES" w:eastAsia="es-ES"/>
        </w:rPr>
      </w:pPr>
      <w:r w:rsidRPr="008F1FB6">
        <w:rPr>
          <w:rFonts w:ascii="Verdana" w:eastAsia="Calibri" w:hAnsi="Verdana" w:cs="Arial"/>
          <w:color w:val="000000" w:themeColor="text1"/>
          <w:lang w:val="es-ES" w:eastAsia="es-ES"/>
        </w:rPr>
        <w:t>En ejercicio de la competencia otorgada por los artículos 3, numeral 5º, y 11, numeral 8º, del Decreto Ley 4170 de 2011,</w:t>
      </w:r>
      <w:r w:rsidRPr="008F1FB6">
        <w:rPr>
          <w:rFonts w:ascii="Verdana" w:eastAsia="Arial MT" w:hAnsi="Verdana" w:cs="Arial MT"/>
          <w:lang w:val="es-ES" w:eastAsia="es-ES"/>
        </w:rPr>
        <w:t xml:space="preserve"> </w:t>
      </w:r>
      <w:r w:rsidRPr="00324A04">
        <w:rPr>
          <w:rFonts w:ascii="Verdana" w:hAnsi="Verdana" w:cs="Arial"/>
          <w:lang w:val="es-ES_tradnl"/>
        </w:rPr>
        <w:t>así como lo establecido en</w:t>
      </w:r>
      <w:r w:rsidRPr="00324A04">
        <w:rPr>
          <w:rFonts w:ascii="Verdana" w:hAnsi="Verdana" w:cs="Arial"/>
        </w:rPr>
        <w:t xml:space="preserv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13 de febrero de 2026, en cual pregunta lo siguiente: </w:t>
      </w:r>
      <w:r w:rsidRPr="008F1FB6">
        <w:rPr>
          <w:rFonts w:ascii="Verdana" w:eastAsia="Calibri" w:hAnsi="Verdana" w:cs="Arial"/>
          <w:color w:val="000000" w:themeColor="text1"/>
          <w:lang w:val="es-ES" w:eastAsia="es-ES"/>
        </w:rPr>
        <w:t xml:space="preserve"> </w:t>
      </w:r>
    </w:p>
    <w:p w14:paraId="1A9A3706" w14:textId="77777777" w:rsidR="00A8051C" w:rsidRPr="008F1FB6" w:rsidRDefault="00A8051C" w:rsidP="00A8051C">
      <w:pPr>
        <w:spacing w:after="0" w:line="276" w:lineRule="auto"/>
        <w:jc w:val="both"/>
        <w:rPr>
          <w:rFonts w:ascii="Verdana" w:eastAsia="Calibri" w:hAnsi="Verdana" w:cs="Arial"/>
          <w:color w:val="000000" w:themeColor="text1"/>
          <w:lang w:val="es-ES" w:eastAsia="es-ES"/>
        </w:rPr>
      </w:pPr>
    </w:p>
    <w:p w14:paraId="293DA00C" w14:textId="77777777" w:rsidR="00A8051C" w:rsidRDefault="00A8051C" w:rsidP="00A8051C">
      <w:pPr>
        <w:spacing w:after="0" w:line="240" w:lineRule="auto"/>
        <w:ind w:left="709" w:right="709"/>
        <w:jc w:val="both"/>
        <w:rPr>
          <w:rFonts w:ascii="Verdana" w:eastAsia="Century Gothic" w:hAnsi="Verdana" w:cs="Century Gothic"/>
          <w:sz w:val="20"/>
          <w:szCs w:val="20"/>
        </w:rPr>
      </w:pPr>
      <w:bookmarkStart w:id="1" w:name="_Hlk95313578"/>
      <w:r w:rsidRPr="008F1FB6">
        <w:rPr>
          <w:rFonts w:ascii="Verdana" w:eastAsia="Century Gothic" w:hAnsi="Verdana" w:cs="Century Gothic"/>
          <w:color w:val="000000" w:themeColor="text1"/>
          <w:sz w:val="20"/>
          <w:szCs w:val="20"/>
          <w:lang w:val="es-ES"/>
        </w:rPr>
        <w:t>“</w:t>
      </w:r>
      <w:bookmarkEnd w:id="1"/>
      <w:r w:rsidRPr="00A84A1F">
        <w:rPr>
          <w:rFonts w:ascii="Verdana" w:eastAsia="Century Gothic" w:hAnsi="Verdana" w:cs="Century Gothic"/>
          <w:sz w:val="20"/>
          <w:szCs w:val="20"/>
        </w:rPr>
        <w:t>¿Es jurídicamente viable autorizar, en etapa de ejecución, una redistribución interna de los</w:t>
      </w:r>
      <w:r>
        <w:rPr>
          <w:rFonts w:ascii="Verdana" w:eastAsia="Century Gothic" w:hAnsi="Verdana" w:cs="Century Gothic"/>
          <w:sz w:val="20"/>
          <w:szCs w:val="20"/>
        </w:rPr>
        <w:t xml:space="preserve"> </w:t>
      </w:r>
      <w:r w:rsidRPr="00A84A1F">
        <w:rPr>
          <w:rFonts w:ascii="Verdana" w:eastAsia="Century Gothic" w:hAnsi="Verdana" w:cs="Century Gothic"/>
          <w:sz w:val="20"/>
          <w:szCs w:val="20"/>
        </w:rPr>
        <w:t>componentes del factor multiplicador cuando no se altera el porcentaje global ni el valor total del</w:t>
      </w:r>
      <w:r>
        <w:rPr>
          <w:rFonts w:ascii="Verdana" w:eastAsia="Century Gothic" w:hAnsi="Verdana" w:cs="Century Gothic"/>
          <w:sz w:val="20"/>
          <w:szCs w:val="20"/>
        </w:rPr>
        <w:t xml:space="preserve"> </w:t>
      </w:r>
      <w:r w:rsidRPr="00A84A1F">
        <w:rPr>
          <w:rFonts w:ascii="Verdana" w:eastAsia="Century Gothic" w:hAnsi="Verdana" w:cs="Century Gothic"/>
          <w:sz w:val="20"/>
          <w:szCs w:val="20"/>
        </w:rPr>
        <w:t>contrato?</w:t>
      </w:r>
    </w:p>
    <w:p w14:paraId="3C31AF0C" w14:textId="77777777" w:rsidR="00A8051C" w:rsidRPr="00A84A1F" w:rsidRDefault="00A8051C" w:rsidP="00A8051C">
      <w:pPr>
        <w:spacing w:after="0" w:line="240" w:lineRule="auto"/>
        <w:ind w:left="709" w:right="709"/>
        <w:jc w:val="both"/>
        <w:rPr>
          <w:rFonts w:ascii="Verdana" w:eastAsia="Century Gothic" w:hAnsi="Verdana" w:cs="Century Gothic"/>
          <w:sz w:val="20"/>
          <w:szCs w:val="20"/>
        </w:rPr>
      </w:pPr>
    </w:p>
    <w:p w14:paraId="59152C29" w14:textId="77777777" w:rsidR="00A8051C" w:rsidRDefault="00A8051C" w:rsidP="00A8051C">
      <w:pPr>
        <w:spacing w:after="0" w:line="240" w:lineRule="auto"/>
        <w:ind w:left="709" w:right="709"/>
        <w:jc w:val="both"/>
        <w:rPr>
          <w:rFonts w:ascii="Verdana" w:eastAsia="Century Gothic" w:hAnsi="Verdana" w:cs="Century Gothic"/>
          <w:sz w:val="20"/>
          <w:szCs w:val="20"/>
        </w:rPr>
      </w:pPr>
      <w:r w:rsidRPr="00A84A1F">
        <w:rPr>
          <w:rFonts w:ascii="Verdana" w:eastAsia="Century Gothic" w:hAnsi="Verdana" w:cs="Century Gothic"/>
          <w:sz w:val="20"/>
          <w:szCs w:val="20"/>
        </w:rPr>
        <w:t>¿Debe entenderse este ajuste como una modificación contractual o como una adecuación técnica</w:t>
      </w:r>
      <w:r>
        <w:rPr>
          <w:rFonts w:ascii="Verdana" w:eastAsia="Century Gothic" w:hAnsi="Verdana" w:cs="Century Gothic"/>
          <w:sz w:val="20"/>
          <w:szCs w:val="20"/>
        </w:rPr>
        <w:t xml:space="preserve"> </w:t>
      </w:r>
      <w:r w:rsidRPr="00A84A1F">
        <w:rPr>
          <w:rFonts w:ascii="Verdana" w:eastAsia="Century Gothic" w:hAnsi="Verdana" w:cs="Century Gothic"/>
          <w:sz w:val="20"/>
          <w:szCs w:val="20"/>
        </w:rPr>
        <w:t>derivada de la ejecución financiera real?</w:t>
      </w:r>
    </w:p>
    <w:p w14:paraId="1C4C01B4" w14:textId="77777777" w:rsidR="00A8051C" w:rsidRPr="00A84A1F" w:rsidRDefault="00A8051C" w:rsidP="00A8051C">
      <w:pPr>
        <w:spacing w:after="0" w:line="240" w:lineRule="auto"/>
        <w:ind w:left="709" w:right="709"/>
        <w:jc w:val="both"/>
        <w:rPr>
          <w:rFonts w:ascii="Verdana" w:eastAsia="Century Gothic" w:hAnsi="Verdana" w:cs="Century Gothic"/>
          <w:sz w:val="20"/>
          <w:szCs w:val="20"/>
        </w:rPr>
      </w:pPr>
    </w:p>
    <w:p w14:paraId="2AEA23F1" w14:textId="77777777" w:rsidR="00A8051C" w:rsidRDefault="00A8051C" w:rsidP="00A8051C">
      <w:pPr>
        <w:spacing w:after="0" w:line="240" w:lineRule="auto"/>
        <w:ind w:left="709" w:right="709"/>
        <w:jc w:val="both"/>
        <w:rPr>
          <w:rFonts w:ascii="Verdana" w:eastAsia="Century Gothic" w:hAnsi="Verdana" w:cs="Century Gothic"/>
          <w:sz w:val="20"/>
          <w:szCs w:val="20"/>
        </w:rPr>
      </w:pPr>
      <w:r w:rsidRPr="00A84A1F">
        <w:rPr>
          <w:rFonts w:ascii="Verdana" w:eastAsia="Century Gothic" w:hAnsi="Verdana" w:cs="Century Gothic"/>
          <w:sz w:val="20"/>
          <w:szCs w:val="20"/>
        </w:rPr>
        <w:t>¿en caso de aceptarse la modificación del factor multiplicador, esta solo tiene efectos hacia el futuro,</w:t>
      </w:r>
      <w:r>
        <w:rPr>
          <w:rFonts w:ascii="Verdana" w:eastAsia="Century Gothic" w:hAnsi="Verdana" w:cs="Century Gothic"/>
          <w:sz w:val="20"/>
          <w:szCs w:val="20"/>
        </w:rPr>
        <w:t xml:space="preserve"> </w:t>
      </w:r>
      <w:r w:rsidRPr="00A84A1F">
        <w:rPr>
          <w:rFonts w:ascii="Verdana" w:eastAsia="Century Gothic" w:hAnsi="Verdana" w:cs="Century Gothic"/>
          <w:sz w:val="20"/>
          <w:szCs w:val="20"/>
        </w:rPr>
        <w:t>no se pueden retrotraer sus efectos?</w:t>
      </w:r>
    </w:p>
    <w:p w14:paraId="7371AE50" w14:textId="77777777" w:rsidR="00A8051C" w:rsidRPr="00A84A1F" w:rsidRDefault="00A8051C" w:rsidP="00A8051C">
      <w:pPr>
        <w:spacing w:after="0" w:line="240" w:lineRule="auto"/>
        <w:ind w:left="709" w:right="709"/>
        <w:jc w:val="both"/>
        <w:rPr>
          <w:rFonts w:ascii="Verdana" w:eastAsia="Century Gothic" w:hAnsi="Verdana" w:cs="Century Gothic"/>
          <w:sz w:val="20"/>
          <w:szCs w:val="20"/>
        </w:rPr>
      </w:pPr>
    </w:p>
    <w:p w14:paraId="6B392421" w14:textId="77777777" w:rsidR="00A8051C" w:rsidRDefault="00A8051C" w:rsidP="00A8051C">
      <w:pPr>
        <w:spacing w:after="0" w:line="240" w:lineRule="auto"/>
        <w:ind w:left="709" w:right="709"/>
        <w:jc w:val="both"/>
        <w:rPr>
          <w:rFonts w:ascii="Verdana" w:eastAsia="Century Gothic" w:hAnsi="Verdana" w:cs="Century Gothic"/>
          <w:sz w:val="20"/>
          <w:szCs w:val="20"/>
        </w:rPr>
      </w:pPr>
      <w:r w:rsidRPr="00A84A1F">
        <w:rPr>
          <w:rFonts w:ascii="Verdana" w:eastAsia="Century Gothic" w:hAnsi="Verdana" w:cs="Century Gothic"/>
          <w:sz w:val="20"/>
          <w:szCs w:val="20"/>
        </w:rPr>
        <w:lastRenderedPageBreak/>
        <w:t>¿Cómo deben ponderarse en este escenario el principio de planeación, la responsabilidad del</w:t>
      </w:r>
      <w:r>
        <w:rPr>
          <w:rFonts w:ascii="Verdana" w:eastAsia="Century Gothic" w:hAnsi="Verdana" w:cs="Century Gothic"/>
          <w:sz w:val="20"/>
          <w:szCs w:val="20"/>
        </w:rPr>
        <w:t xml:space="preserve"> </w:t>
      </w:r>
      <w:r w:rsidRPr="00A84A1F">
        <w:rPr>
          <w:rFonts w:ascii="Verdana" w:eastAsia="Century Gothic" w:hAnsi="Verdana" w:cs="Century Gothic"/>
          <w:sz w:val="20"/>
          <w:szCs w:val="20"/>
        </w:rPr>
        <w:t>oferente en la estructuración de su propuesta y la prohibición de obtener ventajas derivadas de una</w:t>
      </w:r>
      <w:r>
        <w:rPr>
          <w:rFonts w:ascii="Verdana" w:eastAsia="Century Gothic" w:hAnsi="Verdana" w:cs="Century Gothic"/>
          <w:sz w:val="20"/>
          <w:szCs w:val="20"/>
        </w:rPr>
        <w:t xml:space="preserve"> </w:t>
      </w:r>
      <w:r w:rsidRPr="00A84A1F">
        <w:rPr>
          <w:rFonts w:ascii="Verdana" w:eastAsia="Century Gothic" w:hAnsi="Verdana" w:cs="Century Gothic"/>
          <w:sz w:val="20"/>
          <w:szCs w:val="20"/>
        </w:rPr>
        <w:t>estimación inicial inexacta?</w:t>
      </w:r>
    </w:p>
    <w:p w14:paraId="0A2BE394" w14:textId="77777777" w:rsidR="00A8051C" w:rsidRPr="00A84A1F" w:rsidRDefault="00A8051C" w:rsidP="00A8051C">
      <w:pPr>
        <w:spacing w:after="0" w:line="240" w:lineRule="auto"/>
        <w:ind w:left="709" w:right="709"/>
        <w:jc w:val="both"/>
        <w:rPr>
          <w:rFonts w:ascii="Verdana" w:eastAsia="Century Gothic" w:hAnsi="Verdana" w:cs="Century Gothic"/>
          <w:sz w:val="20"/>
          <w:szCs w:val="20"/>
        </w:rPr>
      </w:pPr>
    </w:p>
    <w:p w14:paraId="50C6534C" w14:textId="77777777" w:rsidR="00A8051C" w:rsidRDefault="00A8051C" w:rsidP="00A8051C">
      <w:pPr>
        <w:spacing w:after="0" w:line="276" w:lineRule="auto"/>
        <w:ind w:left="709" w:right="709"/>
        <w:jc w:val="both"/>
        <w:rPr>
          <w:rFonts w:ascii="Verdana" w:eastAsia="Century Gothic" w:hAnsi="Verdana" w:cs="Century Gothic"/>
          <w:color w:val="000000" w:themeColor="text1"/>
          <w:sz w:val="20"/>
          <w:szCs w:val="20"/>
        </w:rPr>
      </w:pPr>
      <w:r w:rsidRPr="00A84A1F">
        <w:rPr>
          <w:rFonts w:ascii="Verdana" w:eastAsia="Century Gothic" w:hAnsi="Verdana" w:cs="Century Gothic"/>
          <w:sz w:val="20"/>
          <w:szCs w:val="20"/>
        </w:rPr>
        <w:t>¿Qué criterios orientadores deberían aplicarse cuando la desagregación no fue incorporada</w:t>
      </w:r>
      <w:r>
        <w:rPr>
          <w:rFonts w:ascii="Verdana" w:eastAsia="Century Gothic" w:hAnsi="Verdana" w:cs="Century Gothic"/>
          <w:sz w:val="20"/>
          <w:szCs w:val="20"/>
        </w:rPr>
        <w:t xml:space="preserve"> </w:t>
      </w:r>
      <w:r w:rsidRPr="00A84A1F">
        <w:rPr>
          <w:rFonts w:ascii="Verdana" w:eastAsia="Century Gothic" w:hAnsi="Verdana" w:cs="Century Gothic"/>
          <w:sz w:val="20"/>
          <w:szCs w:val="20"/>
        </w:rPr>
        <w:t>formalmente como documento contractual y no existe regulación interna específica sobre el trámite</w:t>
      </w:r>
      <w:r>
        <w:rPr>
          <w:rFonts w:ascii="Verdana" w:eastAsia="Century Gothic" w:hAnsi="Verdana" w:cs="Century Gothic"/>
          <w:sz w:val="20"/>
          <w:szCs w:val="20"/>
        </w:rPr>
        <w:t xml:space="preserve"> </w:t>
      </w:r>
      <w:r w:rsidRPr="00A84A1F">
        <w:rPr>
          <w:rFonts w:ascii="Verdana" w:eastAsia="Century Gothic" w:hAnsi="Verdana" w:cs="Century Gothic"/>
          <w:sz w:val="20"/>
          <w:szCs w:val="20"/>
        </w:rPr>
        <w:t>de este tipo de ajustes?</w:t>
      </w:r>
      <w:r w:rsidRPr="00FA64C6">
        <w:rPr>
          <w:rFonts w:ascii="Verdana" w:eastAsia="Century Gothic" w:hAnsi="Verdana" w:cs="Century Gothic"/>
          <w:color w:val="000000" w:themeColor="text1"/>
          <w:sz w:val="20"/>
          <w:szCs w:val="20"/>
        </w:rPr>
        <w:t>”</w:t>
      </w:r>
    </w:p>
    <w:p w14:paraId="63765CBB" w14:textId="77777777" w:rsidR="00A8051C" w:rsidRPr="00ED44C6" w:rsidRDefault="00A8051C" w:rsidP="00A8051C">
      <w:pPr>
        <w:spacing w:after="0" w:line="276" w:lineRule="auto"/>
        <w:ind w:left="709" w:right="709"/>
        <w:jc w:val="both"/>
        <w:rPr>
          <w:rFonts w:ascii="Verdana" w:eastAsia="Century Gothic" w:hAnsi="Verdana" w:cs="Century Gothic"/>
          <w:sz w:val="20"/>
          <w:szCs w:val="20"/>
        </w:rPr>
      </w:pPr>
    </w:p>
    <w:p w14:paraId="4ED04EC5" w14:textId="77777777" w:rsidR="00A8051C" w:rsidRPr="008F1FB6" w:rsidRDefault="00A8051C" w:rsidP="00A8051C">
      <w:pPr>
        <w:spacing w:before="120" w:after="120" w:line="276" w:lineRule="auto"/>
        <w:ind w:firstLine="709"/>
        <w:jc w:val="both"/>
        <w:rPr>
          <w:rFonts w:ascii="Verdana" w:eastAsia="Calibri" w:hAnsi="Verdana" w:cs="Arial"/>
          <w:color w:val="000000"/>
          <w:szCs w:val="24"/>
          <w:lang w:val="es-ES_tradnl" w:eastAsia="es-ES_tradnl"/>
        </w:rPr>
      </w:pPr>
      <w:r w:rsidRPr="008F1FB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F1FB6">
        <w:rPr>
          <w:rFonts w:ascii="Verdana" w:eastAsia="Calibri" w:hAnsi="Verdana" w:cs="Arial"/>
          <w:color w:val="000000"/>
          <w:szCs w:val="24"/>
          <w:lang w:val="es-ES_tradnl" w:eastAsia="es-ES_tradnl"/>
        </w:rPr>
        <w:tab/>
      </w:r>
    </w:p>
    <w:p w14:paraId="286AB76E" w14:textId="77777777" w:rsidR="00A8051C" w:rsidRPr="008F1FB6" w:rsidRDefault="00A8051C" w:rsidP="00A8051C">
      <w:pPr>
        <w:spacing w:after="0" w:line="276" w:lineRule="auto"/>
        <w:ind w:firstLine="709"/>
        <w:jc w:val="both"/>
        <w:rPr>
          <w:rFonts w:ascii="Verdana" w:eastAsia="Calibri" w:hAnsi="Verdana" w:cs="Arial"/>
          <w:color w:val="000000"/>
          <w:lang w:val="es-ES" w:eastAsia="es-ES"/>
        </w:rPr>
      </w:pPr>
      <w:r w:rsidRPr="008F1FB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8F1FB6">
        <w:rPr>
          <w:rFonts w:ascii="Verdana" w:eastAsia="Calibri" w:hAnsi="Verdana" w:cs="Arial"/>
          <w:color w:val="7030A0"/>
          <w:lang w:val="es-ES" w:eastAsia="es-ES"/>
        </w:rPr>
        <w:t xml:space="preserve"> </w:t>
      </w:r>
      <w:r w:rsidRPr="008F1FB6">
        <w:rPr>
          <w:rFonts w:ascii="Verdana" w:eastAsia="Calibri" w:hAnsi="Verdana" w:cs="Arial"/>
          <w:color w:val="000000"/>
          <w:lang w:val="es-ES" w:eastAsia="es-ES"/>
        </w:rPr>
        <w:t>jurídico</w:t>
      </w:r>
      <w:r w:rsidRPr="008F1FB6">
        <w:rPr>
          <w:rFonts w:ascii="Verdana" w:eastAsia="Calibri" w:hAnsi="Verdana" w:cs="Arial"/>
          <w:color w:val="7030A0"/>
          <w:lang w:val="es-ES" w:eastAsia="es-ES"/>
        </w:rPr>
        <w:t xml:space="preserve"> </w:t>
      </w:r>
      <w:r w:rsidRPr="008F1FB6">
        <w:rPr>
          <w:rFonts w:ascii="Verdana" w:eastAsia="Calibri" w:hAnsi="Verdana" w:cs="Arial"/>
          <w:color w:val="000000"/>
          <w:lang w:val="es-ES" w:eastAsia="es-ES"/>
        </w:rPr>
        <w:t xml:space="preserve">de su consulta. </w:t>
      </w:r>
    </w:p>
    <w:p w14:paraId="210BC4F7" w14:textId="77777777" w:rsidR="00A8051C" w:rsidRPr="008F1FB6" w:rsidRDefault="00A8051C" w:rsidP="00A8051C">
      <w:pPr>
        <w:spacing w:after="0" w:line="276" w:lineRule="auto"/>
        <w:ind w:firstLine="709"/>
        <w:jc w:val="both"/>
        <w:rPr>
          <w:rFonts w:ascii="Verdana" w:eastAsia="Calibri" w:hAnsi="Verdana" w:cs="Arial"/>
          <w:color w:val="000000"/>
          <w:lang w:val="es-ES" w:eastAsia="es-ES"/>
        </w:rPr>
      </w:pPr>
    </w:p>
    <w:p w14:paraId="5B8FEE94" w14:textId="77777777" w:rsidR="00A8051C" w:rsidRPr="008F1FB6" w:rsidRDefault="00A8051C" w:rsidP="00A8051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8F1FB6">
        <w:rPr>
          <w:rFonts w:ascii="Verdana" w:eastAsia="Century Gothic" w:hAnsi="Verdana" w:cs="Century Gothic"/>
          <w:b/>
          <w:bCs/>
        </w:rPr>
        <w:t>Problema planteado:</w:t>
      </w:r>
    </w:p>
    <w:p w14:paraId="3BC07C1B" w14:textId="77777777" w:rsidR="00A8051C" w:rsidRPr="008F1FB6" w:rsidRDefault="00A8051C" w:rsidP="00A8051C">
      <w:pPr>
        <w:tabs>
          <w:tab w:val="left" w:pos="426"/>
        </w:tabs>
        <w:spacing w:after="0" w:line="276" w:lineRule="auto"/>
        <w:jc w:val="both"/>
        <w:rPr>
          <w:rFonts w:ascii="Verdana" w:eastAsia="Century Gothic" w:hAnsi="Verdana" w:cs="Century Gothic"/>
          <w:lang w:val="es-ES"/>
        </w:rPr>
      </w:pPr>
    </w:p>
    <w:p w14:paraId="6265F791" w14:textId="77777777" w:rsidR="00A8051C" w:rsidRDefault="00A8051C" w:rsidP="00A8051C">
      <w:pPr>
        <w:spacing w:after="0" w:line="276" w:lineRule="auto"/>
        <w:jc w:val="both"/>
        <w:rPr>
          <w:rFonts w:ascii="Verdana" w:eastAsia="Century Gothic" w:hAnsi="Verdana" w:cs="Century Gothic"/>
          <w:color w:val="7030A0"/>
        </w:rPr>
      </w:pPr>
      <w:r w:rsidRPr="008F1FB6">
        <w:rPr>
          <w:rFonts w:ascii="Verdana" w:eastAsia="Century Gothic" w:hAnsi="Verdana" w:cs="Century Gothic"/>
        </w:rPr>
        <w:t xml:space="preserve">De acuerdo con el contenido de su solicitud, esta Agencia resolverá el siguiente problema jurídico: </w:t>
      </w:r>
      <w:r w:rsidRPr="00C23CEB">
        <w:rPr>
          <w:rFonts w:ascii="Verdana" w:eastAsia="Century Gothic" w:hAnsi="Verdana" w:cs="Century Gothic"/>
        </w:rPr>
        <w:t>¿</w:t>
      </w:r>
      <w:r>
        <w:rPr>
          <w:rFonts w:ascii="Verdana" w:eastAsia="Century Gothic" w:hAnsi="Verdana" w:cs="Century Gothic"/>
        </w:rPr>
        <w:t>Cuáles son los parámetros para la estimación de precios y la verificación de su ejecución relacionados con el factor multiplicador en los contratos de interventoría?</w:t>
      </w:r>
      <w:r>
        <w:rPr>
          <w:rFonts w:ascii="Verdana" w:eastAsia="Century Gothic" w:hAnsi="Verdana" w:cs="Century Gothic"/>
          <w:color w:val="7030A0"/>
        </w:rPr>
        <w:t xml:space="preserve"> </w:t>
      </w:r>
    </w:p>
    <w:p w14:paraId="7CD754C2" w14:textId="77777777" w:rsidR="00A8051C" w:rsidRPr="008F1FB6" w:rsidRDefault="00A8051C" w:rsidP="00A8051C">
      <w:pPr>
        <w:spacing w:after="0" w:line="276" w:lineRule="auto"/>
        <w:jc w:val="both"/>
        <w:rPr>
          <w:rFonts w:ascii="Verdana" w:eastAsia="Calibri" w:hAnsi="Verdana" w:cs="Arial"/>
          <w:color w:val="7030A0"/>
          <w:lang w:val="es-ES"/>
        </w:rPr>
      </w:pPr>
    </w:p>
    <w:p w14:paraId="6BDB8392" w14:textId="77777777" w:rsidR="00A8051C" w:rsidRPr="008F1FB6" w:rsidRDefault="00A8051C" w:rsidP="00A805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FB6">
        <w:rPr>
          <w:rFonts w:ascii="Verdana" w:eastAsia="Century Gothic" w:hAnsi="Verdana" w:cs="Century Gothic"/>
          <w:b/>
          <w:bCs/>
        </w:rPr>
        <w:t>Respuesta:</w:t>
      </w:r>
    </w:p>
    <w:p w14:paraId="5F5363DC" w14:textId="77777777" w:rsidR="00A8051C" w:rsidRPr="008F1FB6" w:rsidRDefault="00A8051C" w:rsidP="00A8051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8051C" w:rsidRPr="008F1FB6" w14:paraId="75308117" w14:textId="77777777" w:rsidTr="00E615C0">
        <w:tc>
          <w:tcPr>
            <w:tcW w:w="8828" w:type="dxa"/>
          </w:tcPr>
          <w:p w14:paraId="1D2AD773" w14:textId="77777777" w:rsidR="00A8051C" w:rsidRDefault="00A8051C" w:rsidP="00E615C0">
            <w:pPr>
              <w:spacing w:before="120" w:after="120" w:line="276" w:lineRule="auto"/>
              <w:jc w:val="both"/>
              <w:rPr>
                <w:rFonts w:ascii="Verdana" w:eastAsia="Calibri" w:hAnsi="Verdana"/>
                <w:lang w:val="es-ES"/>
              </w:rPr>
            </w:pPr>
            <w:r>
              <w:rPr>
                <w:rFonts w:ascii="Verdana" w:eastAsia="Calibri" w:hAnsi="Verdana" w:cs="Arial"/>
                <w:lang w:val="es-ES"/>
              </w:rPr>
              <w:lastRenderedPageBreak/>
              <w:t xml:space="preserve">Los sistemas de fijación de precios no son </w:t>
            </w:r>
            <w:r w:rsidRPr="00BE3090">
              <w:rPr>
                <w:rFonts w:ascii="Verdana" w:eastAsia="Calibri" w:hAnsi="Verdana" w:cs="Arial"/>
                <w:lang w:val="es-ES"/>
              </w:rPr>
              <w:t>asuntos expresamente regulado</w:t>
            </w:r>
            <w:r>
              <w:rPr>
                <w:rFonts w:ascii="Verdana" w:eastAsia="Calibri" w:hAnsi="Verdana" w:cs="Arial"/>
                <w:lang w:val="es-ES"/>
              </w:rPr>
              <w:t>s</w:t>
            </w:r>
            <w:r w:rsidRPr="00BE3090">
              <w:rPr>
                <w:rFonts w:ascii="Verdana" w:eastAsia="Calibri" w:hAnsi="Verdana" w:cs="Arial"/>
                <w:lang w:val="es-ES"/>
              </w:rPr>
              <w:t xml:space="preserve"> en las disposiciones legales o reglamentarias que integran la normativa contractual del Estado. En ese sentido, </w:t>
            </w:r>
            <w:r>
              <w:rPr>
                <w:rFonts w:ascii="Verdana" w:eastAsia="Calibri" w:hAnsi="Verdana" w:cs="Arial"/>
                <w:lang w:val="es-ES"/>
              </w:rPr>
              <w:t>l</w:t>
            </w:r>
            <w:r w:rsidRPr="00BE3090">
              <w:rPr>
                <w:rFonts w:ascii="Verdana" w:eastAsia="Calibri" w:hAnsi="Verdana" w:cs="Arial"/>
                <w:lang w:val="es-ES"/>
              </w:rPr>
              <w:t>as metodologías para la configuración del precio de</w:t>
            </w:r>
            <w:r>
              <w:rPr>
                <w:rFonts w:ascii="Verdana" w:eastAsia="Calibri" w:hAnsi="Verdana" w:cs="Arial"/>
                <w:lang w:val="es-ES"/>
              </w:rPr>
              <w:t>l</w:t>
            </w:r>
            <w:r w:rsidRPr="00BE3090">
              <w:rPr>
                <w:rFonts w:ascii="Verdana" w:eastAsia="Calibri" w:hAnsi="Verdana" w:cs="Arial"/>
                <w:lang w:val="es-ES"/>
              </w:rPr>
              <w:t xml:space="preserve"> contrato, </w:t>
            </w:r>
            <w:r>
              <w:rPr>
                <w:rFonts w:ascii="Verdana" w:eastAsia="Calibri" w:hAnsi="Verdana" w:cs="Arial"/>
                <w:lang w:val="es-ES"/>
              </w:rPr>
              <w:t xml:space="preserve">que son </w:t>
            </w:r>
            <w:r w:rsidRPr="00BE3090">
              <w:rPr>
                <w:rFonts w:ascii="Verdana" w:eastAsia="Calibri" w:hAnsi="Verdana" w:cs="Arial"/>
                <w:lang w:val="es-ES"/>
              </w:rPr>
              <w:t>determinantes para la elaboración de la propuesta económica, no proceden de la ley ni del reglamento, sino de la costumbr</w:t>
            </w:r>
            <w:r>
              <w:rPr>
                <w:rFonts w:ascii="Verdana" w:eastAsia="Calibri" w:hAnsi="Verdana" w:cs="Arial"/>
                <w:lang w:val="es-ES"/>
              </w:rPr>
              <w:t>e</w:t>
            </w:r>
            <w:r w:rsidRPr="00BE3090">
              <w:rPr>
                <w:rFonts w:ascii="Verdana" w:eastAsia="Times New Roman" w:hAnsi="Verdana" w:cs="Arial"/>
                <w:bCs/>
                <w:lang w:val="es-ES_tradnl" w:eastAsia="es-CO"/>
              </w:rPr>
              <w:t>.</w:t>
            </w:r>
            <w:r>
              <w:rPr>
                <w:rFonts w:ascii="Verdana" w:eastAsia="Times New Roman" w:hAnsi="Verdana" w:cs="Arial"/>
                <w:bCs/>
                <w:lang w:val="es-ES_tradnl" w:eastAsia="es-CO"/>
              </w:rPr>
              <w:t xml:space="preserve"> Las entidades gozan de autonomía para la estructuración de las condiciones </w:t>
            </w:r>
            <w:r w:rsidRPr="006849F1">
              <w:rPr>
                <w:rFonts w:ascii="Verdana" w:eastAsia="Calibri" w:hAnsi="Verdana"/>
                <w:lang w:val="es-ES"/>
              </w:rPr>
              <w:t>del negocio jurídico, determina</w:t>
            </w:r>
            <w:r>
              <w:rPr>
                <w:rFonts w:ascii="Verdana" w:eastAsia="Calibri" w:hAnsi="Verdana"/>
                <w:lang w:val="es-ES"/>
              </w:rPr>
              <w:t>n</w:t>
            </w:r>
            <w:r w:rsidRPr="006849F1">
              <w:rPr>
                <w:rFonts w:ascii="Verdana" w:eastAsia="Calibri" w:hAnsi="Verdana"/>
                <w:lang w:val="es-ES"/>
              </w:rPr>
              <w:t>do el sistema más apropiado para satisfacer los fines de la contratación</w:t>
            </w:r>
            <w:r>
              <w:rPr>
                <w:rFonts w:ascii="Verdana" w:eastAsia="Calibri" w:hAnsi="Verdana"/>
                <w:lang w:val="es-ES"/>
              </w:rPr>
              <w:t xml:space="preserve"> y</w:t>
            </w:r>
            <w:r w:rsidRPr="006849F1">
              <w:rPr>
                <w:rFonts w:ascii="Verdana" w:eastAsia="Calibri" w:hAnsi="Verdana"/>
                <w:lang w:val="es-ES"/>
              </w:rPr>
              <w:t xml:space="preserve"> respetando los límites previstos en el ordenamiento. De ahí que cuenten con la discrecionalidad para disponer en los documentos del proceso la aplicación de </w:t>
            </w:r>
            <w:r>
              <w:rPr>
                <w:rFonts w:ascii="Verdana" w:eastAsia="Calibri" w:hAnsi="Verdana"/>
                <w:lang w:val="es-ES"/>
              </w:rPr>
              <w:t xml:space="preserve">determinadas </w:t>
            </w:r>
            <w:r w:rsidRPr="006849F1">
              <w:rPr>
                <w:rFonts w:ascii="Verdana" w:eastAsia="Calibri" w:hAnsi="Verdana"/>
                <w:lang w:val="es-ES"/>
              </w:rPr>
              <w:t>metodologías, siempre que resulten adecuadas y proporcionales al objeto del contrato.</w:t>
            </w:r>
          </w:p>
          <w:p w14:paraId="0F98192B" w14:textId="77777777" w:rsidR="00A8051C" w:rsidRDefault="00A8051C" w:rsidP="00E615C0">
            <w:pPr>
              <w:spacing w:after="120" w:line="276" w:lineRule="auto"/>
              <w:ind w:firstLine="733"/>
              <w:jc w:val="both"/>
              <w:rPr>
                <w:rFonts w:ascii="Verdana" w:hAnsi="Verdana" w:cs="Arial"/>
              </w:rPr>
            </w:pPr>
            <w:r>
              <w:rPr>
                <w:rFonts w:ascii="Verdana" w:hAnsi="Verdana" w:cs="Arial"/>
                <w:lang w:val="es-ES_tradnl"/>
              </w:rPr>
              <w:t xml:space="preserve">Considerando el tema de su consulta, se resalta que </w:t>
            </w:r>
            <w:r w:rsidRPr="007F7944">
              <w:rPr>
                <w:rFonts w:ascii="Verdana" w:hAnsi="Verdana" w:cs="Arial"/>
                <w:lang w:val="es-ES_tradnl"/>
              </w:rPr>
              <w:t>para la determinación de los costos de los contratos de consultoría y la presentación de ofertas en procesos de concurso de méritos es común y aceptada la utilización del mecanismo del factor multiplicador</w:t>
            </w:r>
            <w:r>
              <w:rPr>
                <w:rFonts w:ascii="Verdana" w:hAnsi="Verdana" w:cs="Arial"/>
                <w:lang w:val="es-ES_tradnl"/>
              </w:rPr>
              <w:t>.</w:t>
            </w:r>
            <w:r>
              <w:rPr>
                <w:rFonts w:ascii="Verdana" w:hAnsi="Verdana" w:cs="Arial"/>
              </w:rPr>
              <w:t xml:space="preserve"> Esta metodología también resulta razonable y común en la práctica de los contratos de interventoría, pues son una modalidad del contrato de consultoría. El factor multiplicador </w:t>
            </w:r>
            <w:r w:rsidRPr="004F607E">
              <w:rPr>
                <w:rFonts w:ascii="Verdana" w:hAnsi="Verdana" w:cs="Arial"/>
              </w:rPr>
              <w:t>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relacionados con el personal</w:t>
            </w:r>
            <w:r w:rsidRPr="00167C84">
              <w:rPr>
                <w:rFonts w:ascii="Verdana" w:hAnsi="Verdana" w:cs="Arial"/>
              </w:rPr>
              <w:t>, afectando el valor parcial de la oferta por un factor multiplicador</w:t>
            </w:r>
            <w:r>
              <w:rPr>
                <w:rFonts w:ascii="Verdana" w:hAnsi="Verdana" w:cs="Arial"/>
              </w:rPr>
              <w:t>. De esta manera, solo suele incluir los costos directos e indirectos asociados al personal.</w:t>
            </w:r>
          </w:p>
          <w:p w14:paraId="590A378C" w14:textId="77777777" w:rsidR="00A8051C" w:rsidRDefault="00A8051C" w:rsidP="00E615C0">
            <w:pPr>
              <w:snapToGrid w:val="0"/>
              <w:spacing w:before="120" w:after="120" w:line="276" w:lineRule="auto"/>
              <w:ind w:firstLine="709"/>
              <w:jc w:val="both"/>
              <w:rPr>
                <w:rFonts w:ascii="Verdana" w:eastAsia="Arial" w:hAnsi="Verdana" w:cs="Arial"/>
                <w:color w:val="000000"/>
                <w:kern w:val="2"/>
                <w14:ligatures w14:val="standardContextual"/>
              </w:rPr>
            </w:pPr>
            <w:r>
              <w:rPr>
                <w:rFonts w:ascii="Verdana" w:eastAsia="Arial" w:hAnsi="Verdana" w:cs="Arial"/>
                <w:color w:val="000000"/>
                <w:kern w:val="2"/>
                <w14:ligatures w14:val="standardContextual"/>
              </w:rPr>
              <w:t>Ahora bien, l</w:t>
            </w:r>
            <w:r w:rsidRPr="00576583">
              <w:rPr>
                <w:rFonts w:ascii="Verdana" w:eastAsia="Arial" w:hAnsi="Verdana" w:cs="Arial"/>
                <w:color w:val="000000"/>
                <w:kern w:val="2"/>
                <w14:ligatures w14:val="standardContextual"/>
              </w:rPr>
              <w:t xml:space="preserve">os costos asociados al personal requerido para ejecutar el contrato son un aspecto que entra a determinar su precio, por lo que son un tema para considerar al hacer el ofrecimiento económico en la etapa de presentación de ofertas, con sujeción al mecanismo para determinar el precio que </w:t>
            </w:r>
            <w:r>
              <w:rPr>
                <w:rFonts w:ascii="Verdana" w:eastAsia="Arial" w:hAnsi="Verdana" w:cs="Arial"/>
                <w:color w:val="000000"/>
                <w:kern w:val="2"/>
                <w14:ligatures w14:val="standardContextual"/>
              </w:rPr>
              <w:t xml:space="preserve">establezca </w:t>
            </w:r>
            <w:r w:rsidRPr="00576583">
              <w:rPr>
                <w:rFonts w:ascii="Verdana" w:eastAsia="Arial" w:hAnsi="Verdana" w:cs="Arial"/>
                <w:color w:val="000000"/>
                <w:kern w:val="2"/>
                <w14:ligatures w14:val="standardContextual"/>
              </w:rPr>
              <w:t>la entidad en el pliego de condiciones. En ese sentido, cuando una entidad incorpora</w:t>
            </w:r>
            <w:r>
              <w:rPr>
                <w:rFonts w:ascii="Verdana" w:eastAsia="Arial" w:hAnsi="Verdana" w:cs="Arial"/>
                <w:color w:val="000000"/>
                <w:kern w:val="2"/>
                <w14:ligatures w14:val="standardContextual"/>
              </w:rPr>
              <w:t>, por ejemplo,</w:t>
            </w:r>
            <w:r w:rsidRPr="00576583">
              <w:rPr>
                <w:rFonts w:ascii="Verdana" w:eastAsia="Arial" w:hAnsi="Verdana" w:cs="Arial"/>
                <w:color w:val="000000"/>
                <w:kern w:val="2"/>
                <w14:ligatures w14:val="standardContextual"/>
              </w:rPr>
              <w:t xml:space="preserve">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w:t>
            </w:r>
            <w:r>
              <w:rPr>
                <w:rFonts w:ascii="Verdana" w:eastAsia="Arial" w:hAnsi="Verdana" w:cs="Arial"/>
                <w:color w:val="000000"/>
                <w:kern w:val="2"/>
                <w14:ligatures w14:val="standardContextual"/>
              </w:rPr>
              <w:t>E</w:t>
            </w:r>
            <w:r w:rsidRPr="00576583">
              <w:rPr>
                <w:rFonts w:ascii="Verdana" w:eastAsia="Arial" w:hAnsi="Verdana" w:cs="Arial"/>
                <w:color w:val="000000"/>
                <w:kern w:val="2"/>
                <w14:ligatures w14:val="standardContextual"/>
              </w:rPr>
              <w:t xml:space="preserve">ntidades </w:t>
            </w:r>
            <w:r>
              <w:rPr>
                <w:rFonts w:ascii="Verdana" w:eastAsia="Arial" w:hAnsi="Verdana" w:cs="Arial"/>
                <w:color w:val="000000"/>
                <w:kern w:val="2"/>
                <w14:ligatures w14:val="standardContextual"/>
              </w:rPr>
              <w:t>E</w:t>
            </w:r>
            <w:r w:rsidRPr="00576583">
              <w:rPr>
                <w:rFonts w:ascii="Verdana" w:eastAsia="Arial" w:hAnsi="Verdana" w:cs="Arial"/>
                <w:color w:val="000000"/>
                <w:kern w:val="2"/>
                <w14:ligatures w14:val="standardContextual"/>
              </w:rPr>
              <w:t>statales en los pliegos de condiciones para regular los mencionados aspectos son las que en últimas determinan qu</w:t>
            </w:r>
            <w:r>
              <w:rPr>
                <w:rFonts w:ascii="Verdana" w:eastAsia="Arial" w:hAnsi="Verdana" w:cs="Arial"/>
                <w:color w:val="000000"/>
                <w:kern w:val="2"/>
                <w14:ligatures w14:val="standardContextual"/>
              </w:rPr>
              <w:t>é</w:t>
            </w:r>
            <w:r w:rsidRPr="00576583">
              <w:rPr>
                <w:rFonts w:ascii="Verdana" w:eastAsia="Arial" w:hAnsi="Verdana" w:cs="Arial"/>
                <w:color w:val="000000"/>
                <w:kern w:val="2"/>
                <w14:ligatures w14:val="standardContextual"/>
              </w:rPr>
              <w:t xml:space="preserve"> tipo de contratación de personal es la </w:t>
            </w:r>
            <w:r w:rsidRPr="00576583">
              <w:rPr>
                <w:rFonts w:ascii="Verdana" w:eastAsia="Arial" w:hAnsi="Verdana" w:cs="Arial"/>
                <w:color w:val="000000"/>
                <w:kern w:val="2"/>
                <w14:ligatures w14:val="standardContextual"/>
              </w:rPr>
              <w:lastRenderedPageBreak/>
              <w:t>que corresponde realizar al contratista para ejecutar el proyecto, así como la posibilidad de que los costos de dicha contratación–ya sea laboral o por prestación de servicios– se incorporen al precio del contrato, por la vía del factor multiplicador aplicado para hacer la oferta económica.</w:t>
            </w:r>
          </w:p>
          <w:p w14:paraId="7801E726" w14:textId="77777777" w:rsidR="00A8051C" w:rsidRDefault="00A8051C" w:rsidP="00E615C0">
            <w:pPr>
              <w:snapToGrid w:val="0"/>
              <w:spacing w:before="120" w:after="120" w:line="276" w:lineRule="auto"/>
              <w:ind w:firstLine="709"/>
              <w:jc w:val="both"/>
              <w:rPr>
                <w:rFonts w:ascii="Verdana" w:eastAsia="Calibri" w:hAnsi="Verdana" w:cs="Arial"/>
              </w:rPr>
            </w:pPr>
            <w:r>
              <w:rPr>
                <w:rFonts w:ascii="Verdana" w:eastAsia="Calibri" w:hAnsi="Verdana" w:cs="Arial"/>
              </w:rPr>
              <w:t>Es de precisar que, en la verificación d</w:t>
            </w:r>
            <w:r w:rsidRPr="00224CBF">
              <w:rPr>
                <w:rFonts w:ascii="Verdana" w:eastAsia="Calibri" w:hAnsi="Verdana" w:cs="Arial"/>
              </w:rPr>
              <w:t>el cumplimiento de los costos y gastos asociados al contrato</w:t>
            </w:r>
            <w:r>
              <w:rPr>
                <w:rFonts w:ascii="Verdana" w:eastAsia="Calibri" w:hAnsi="Verdana" w:cs="Arial"/>
              </w:rPr>
              <w:t>,</w:t>
            </w:r>
            <w:r w:rsidRPr="00224CBF">
              <w:rPr>
                <w:rFonts w:ascii="Verdana" w:eastAsia="Calibri" w:hAnsi="Verdana" w:cs="Arial"/>
              </w:rPr>
              <w:t xml:space="preserve"> </w:t>
            </w:r>
            <w:r>
              <w:rPr>
                <w:rFonts w:ascii="Verdana" w:eastAsia="Calibri" w:hAnsi="Verdana" w:cs="Arial"/>
              </w:rPr>
              <w:t>no existe restricción alguna para poder</w:t>
            </w:r>
            <w:r w:rsidRPr="00224CBF">
              <w:rPr>
                <w:rFonts w:ascii="Verdana" w:eastAsia="Calibri" w:hAnsi="Verdana" w:cs="Arial"/>
              </w:rPr>
              <w:t xml:space="preserve"> elaborar un cuadro detallado que desglos</w:t>
            </w:r>
            <w:r>
              <w:rPr>
                <w:rFonts w:ascii="Verdana" w:eastAsia="Calibri" w:hAnsi="Verdana" w:cs="Arial"/>
              </w:rPr>
              <w:t>e</w:t>
            </w:r>
            <w:r w:rsidRPr="00224CBF">
              <w:rPr>
                <w:rFonts w:ascii="Verdana" w:eastAsia="Calibri" w:hAnsi="Verdana" w:cs="Arial"/>
              </w:rPr>
              <w:t xml:space="preserve"> los conceptos del factor multiplicador. Además, si se detectan omisiones, el cuadro podría ajustarse, siempre que se justifique y se cuente con la aprobación de la entidad.</w:t>
            </w:r>
            <w:r>
              <w:rPr>
                <w:rFonts w:ascii="Verdana" w:eastAsia="Calibri" w:hAnsi="Verdana" w:cs="Arial"/>
              </w:rPr>
              <w:t xml:space="preserve"> Por su parte, s</w:t>
            </w:r>
            <w:r w:rsidRPr="009727DB">
              <w:rPr>
                <w:rFonts w:ascii="Verdana" w:eastAsia="Calibri" w:hAnsi="Verdana" w:cs="Arial"/>
              </w:rPr>
              <w:t xml:space="preserve">i la entidad solo definió el </w:t>
            </w:r>
            <w:r>
              <w:rPr>
                <w:rFonts w:ascii="Verdana" w:eastAsia="Calibri" w:hAnsi="Verdana" w:cs="Arial"/>
              </w:rPr>
              <w:t>porcentaje</w:t>
            </w:r>
            <w:r w:rsidRPr="009727DB">
              <w:rPr>
                <w:rFonts w:ascii="Verdana" w:eastAsia="Calibri" w:hAnsi="Verdana" w:cs="Arial"/>
              </w:rPr>
              <w:t xml:space="preserve"> del factor multiplicador sin detalle</w:t>
            </w:r>
            <w:r>
              <w:rPr>
                <w:rFonts w:ascii="Verdana" w:eastAsia="Calibri" w:hAnsi="Verdana" w:cs="Arial"/>
              </w:rPr>
              <w:t xml:space="preserve">, la supervisión </w:t>
            </w:r>
            <w:r w:rsidRPr="009727DB">
              <w:rPr>
                <w:rFonts w:ascii="Verdana" w:eastAsia="Calibri" w:hAnsi="Verdana" w:cs="Arial"/>
              </w:rPr>
              <w:t xml:space="preserve">puede </w:t>
            </w:r>
            <w:r>
              <w:rPr>
                <w:rFonts w:ascii="Verdana" w:eastAsia="Calibri" w:hAnsi="Verdana" w:cs="Arial"/>
              </w:rPr>
              <w:t xml:space="preserve">efectuar el seguimiento </w:t>
            </w:r>
            <w:r w:rsidRPr="009727DB">
              <w:rPr>
                <w:rFonts w:ascii="Verdana" w:eastAsia="Calibri" w:hAnsi="Verdana" w:cs="Arial"/>
              </w:rPr>
              <w:t>solicita</w:t>
            </w:r>
            <w:r>
              <w:rPr>
                <w:rFonts w:ascii="Verdana" w:eastAsia="Calibri" w:hAnsi="Verdana" w:cs="Arial"/>
              </w:rPr>
              <w:t>ndo</w:t>
            </w:r>
            <w:r w:rsidRPr="009727DB">
              <w:rPr>
                <w:rFonts w:ascii="Verdana" w:eastAsia="Calibri" w:hAnsi="Verdana" w:cs="Arial"/>
              </w:rPr>
              <w:t xml:space="preserve"> informes detallados sobre la ejecución de los gastos asociados al factor multiplicador. </w:t>
            </w:r>
            <w:r>
              <w:rPr>
                <w:rFonts w:ascii="Verdana" w:eastAsia="Calibri" w:hAnsi="Verdana" w:cs="Arial"/>
              </w:rPr>
              <w:t>De cualquier modo, r</w:t>
            </w:r>
            <w:r w:rsidRPr="009727DB">
              <w:rPr>
                <w:rFonts w:ascii="Verdana" w:eastAsia="Calibri" w:hAnsi="Verdana" w:cs="Arial"/>
              </w:rPr>
              <w:t>especto a la reasignación de valores dentro del factor multiplicador, no se pueden trasladar saldos de un concepto a otro sin aprobación de la entidad. Por ejemplo, si queda saldo en prestaciones sociales, no puede destinarse a gastos administrativos o utilidad sin una modificación contractual.</w:t>
            </w:r>
          </w:p>
          <w:p w14:paraId="7C0D8F38" w14:textId="77777777" w:rsidR="00A8051C" w:rsidRDefault="00A8051C" w:rsidP="00E615C0">
            <w:pPr>
              <w:snapToGrid w:val="0"/>
              <w:spacing w:before="120" w:after="120" w:line="276" w:lineRule="auto"/>
              <w:ind w:firstLine="709"/>
              <w:jc w:val="both"/>
              <w:rPr>
                <w:rFonts w:ascii="Verdana" w:eastAsia="Arial" w:hAnsi="Verdana" w:cs="Arial"/>
                <w:color w:val="000000"/>
                <w:kern w:val="2"/>
                <w14:ligatures w14:val="standardContextual"/>
              </w:rPr>
            </w:pPr>
            <w:r>
              <w:rPr>
                <w:rFonts w:ascii="Verdana" w:eastAsia="Calibri" w:hAnsi="Verdana" w:cs="Arial"/>
                <w:color w:val="000000"/>
              </w:rPr>
              <w:t>Así, l</w:t>
            </w:r>
            <w:r w:rsidRPr="00D74A00">
              <w:rPr>
                <w:rFonts w:ascii="Verdana" w:eastAsia="Calibri" w:hAnsi="Verdana" w:cs="Arial"/>
                <w:color w:val="000000"/>
              </w:rPr>
              <w:t xml:space="preserve">os valores facturados deberán corresponder de manera estricta a </w:t>
            </w:r>
            <w:r>
              <w:rPr>
                <w:rFonts w:ascii="Verdana" w:eastAsia="Calibri" w:hAnsi="Verdana" w:cs="Arial"/>
                <w:color w:val="000000"/>
              </w:rPr>
              <w:t xml:space="preserve">los </w:t>
            </w:r>
            <w:r w:rsidRPr="00D74A00">
              <w:rPr>
                <w:rFonts w:ascii="Verdana" w:eastAsia="Calibri" w:hAnsi="Verdana" w:cs="Arial"/>
                <w:color w:val="000000"/>
              </w:rPr>
              <w:t>costos reales efectivamente causados, debidamente soportados y directamente relacionados con la ejecución contractual</w:t>
            </w:r>
            <w:r>
              <w:rPr>
                <w:rFonts w:ascii="Verdana" w:eastAsia="Calibri" w:hAnsi="Verdana" w:cs="Arial"/>
                <w:color w:val="000000"/>
              </w:rPr>
              <w:t xml:space="preserve">. Además, se </w:t>
            </w:r>
            <w:r w:rsidRPr="00271497">
              <w:rPr>
                <w:rFonts w:ascii="Verdana" w:eastAsia="Calibri" w:hAnsi="Verdana" w:cs="Arial"/>
                <w:color w:val="000000"/>
              </w:rPr>
              <w:t>deberá constatar que los porcentajes de los valores a reconocer hayan sido calculados conforme a lo estipulado en el contrato,</w:t>
            </w:r>
            <w:r>
              <w:rPr>
                <w:rFonts w:ascii="Verdana" w:eastAsia="Calibri" w:hAnsi="Verdana" w:cs="Arial"/>
                <w:color w:val="000000"/>
              </w:rPr>
              <w:t xml:space="preserve"> </w:t>
            </w:r>
            <w:r w:rsidRPr="00271497">
              <w:rPr>
                <w:rFonts w:ascii="Verdana" w:eastAsia="Calibri" w:hAnsi="Verdana" w:cs="Arial"/>
                <w:color w:val="000000"/>
              </w:rPr>
              <w:t>y que guarden correspondencia con los costos</w:t>
            </w:r>
            <w:r>
              <w:rPr>
                <w:rFonts w:ascii="Verdana" w:eastAsia="Calibri" w:hAnsi="Verdana" w:cs="Arial"/>
                <w:color w:val="000000"/>
              </w:rPr>
              <w:t xml:space="preserve"> </w:t>
            </w:r>
            <w:r w:rsidRPr="00271497">
              <w:rPr>
                <w:rFonts w:ascii="Verdana" w:eastAsia="Calibri" w:hAnsi="Verdana" w:cs="Arial"/>
                <w:color w:val="000000"/>
              </w:rPr>
              <w:t>efectivamente incurridos.</w:t>
            </w:r>
            <w:r>
              <w:rPr>
                <w:rFonts w:ascii="Verdana" w:eastAsia="Calibri" w:hAnsi="Verdana" w:cs="Arial"/>
                <w:color w:val="000000"/>
              </w:rPr>
              <w:t xml:space="preserve"> </w:t>
            </w:r>
            <w:r w:rsidRPr="00271497">
              <w:rPr>
                <w:rFonts w:ascii="Verdana" w:eastAsia="Calibri" w:hAnsi="Verdana" w:cs="Arial"/>
                <w:color w:val="000000"/>
              </w:rPr>
              <w:t>En</w:t>
            </w:r>
            <w:r>
              <w:rPr>
                <w:rFonts w:ascii="Verdana" w:eastAsia="Calibri" w:hAnsi="Verdana" w:cs="Arial"/>
                <w:color w:val="000000"/>
              </w:rPr>
              <w:t xml:space="preserve"> todo caso, como se indicó, no se podrán variar los porcentajes inicialmente pactados sin la correspondiente aprobación de la entidad y la modificación contractual si esta se considera viable de acuerdo con el análisis particular.</w:t>
            </w:r>
          </w:p>
          <w:p w14:paraId="2F3C3F45" w14:textId="77777777" w:rsidR="00A8051C" w:rsidRDefault="00A8051C" w:rsidP="00E615C0">
            <w:pPr>
              <w:snapToGrid w:val="0"/>
              <w:spacing w:before="120" w:after="120" w:line="276" w:lineRule="auto"/>
              <w:ind w:firstLine="709"/>
              <w:jc w:val="both"/>
              <w:rPr>
                <w:rFonts w:ascii="Verdana" w:eastAsia="Arial" w:hAnsi="Verdana" w:cs="Arial"/>
                <w:color w:val="000000"/>
                <w:kern w:val="2"/>
                <w14:ligatures w14:val="standardContextual"/>
              </w:rPr>
            </w:pPr>
            <w:r w:rsidRPr="001B1E8B">
              <w:rPr>
                <w:rFonts w:ascii="Verdana" w:eastAsia="Calibri" w:hAnsi="Verdana" w:cs="Arial"/>
                <w:color w:val="000000"/>
              </w:rPr>
              <w:t xml:space="preserve">En conclusión, cuando la Entidad Estatal haga uso del factor multiplicador, </w:t>
            </w:r>
            <w:r>
              <w:rPr>
                <w:rFonts w:ascii="Verdana" w:eastAsia="Calibri" w:hAnsi="Verdana" w:cs="Arial"/>
                <w:color w:val="000000"/>
              </w:rPr>
              <w:t xml:space="preserve">o metodologías similares, </w:t>
            </w:r>
            <w:r w:rsidRPr="001B1E8B">
              <w:rPr>
                <w:rFonts w:ascii="Verdana" w:eastAsia="Calibri" w:hAnsi="Verdana" w:cs="Arial"/>
                <w:color w:val="000000"/>
              </w:rPr>
              <w:t>debe asegurarse de ejercer una buena vigilancia de la ejecución contractual, con el fin de poder realizar adecuadamente la auditoría de los costos del contrato para pagar sólo aquello</w:t>
            </w:r>
            <w:r>
              <w:rPr>
                <w:rFonts w:ascii="Verdana" w:eastAsia="Calibri" w:hAnsi="Verdana" w:cs="Arial"/>
                <w:color w:val="000000"/>
              </w:rPr>
              <w:t>s</w:t>
            </w:r>
            <w:r w:rsidRPr="001B1E8B">
              <w:rPr>
                <w:rFonts w:ascii="Verdana" w:eastAsia="Calibri" w:hAnsi="Verdana" w:cs="Arial"/>
                <w:color w:val="000000"/>
              </w:rPr>
              <w:t xml:space="preserve"> que se hayan causado efectivamente.</w:t>
            </w:r>
            <w:r>
              <w:rPr>
                <w:rFonts w:ascii="Verdana" w:eastAsia="Calibri" w:hAnsi="Verdana" w:cs="Arial"/>
                <w:color w:val="000000"/>
              </w:rPr>
              <w:t xml:space="preserve"> </w:t>
            </w:r>
            <w:r w:rsidRPr="001B1E8B">
              <w:rPr>
                <w:rFonts w:ascii="Verdana" w:eastAsia="Calibri" w:hAnsi="Verdana" w:cs="Arial"/>
                <w:color w:val="000000"/>
              </w:rPr>
              <w:t>Por tanto, podrán verificarse los soportes contables, administrativos y financieros de la ejecución, ya que la Entidad Estatal sólo debe pagar aquellos costos que hubieran sido pagados por el contratista so pena de que se configure un enriquecimiento sin causa de su parte</w:t>
            </w:r>
            <w:r>
              <w:rPr>
                <w:rFonts w:ascii="Verdana" w:eastAsia="Calibri" w:hAnsi="Verdana" w:cs="Arial"/>
                <w:color w:val="000000"/>
              </w:rPr>
              <w:t>.</w:t>
            </w:r>
          </w:p>
          <w:p w14:paraId="35541182" w14:textId="77777777" w:rsidR="00A8051C" w:rsidRPr="007F70CB" w:rsidRDefault="00A8051C" w:rsidP="00E615C0">
            <w:pPr>
              <w:snapToGrid w:val="0"/>
              <w:spacing w:before="120" w:after="120" w:line="276" w:lineRule="auto"/>
              <w:ind w:firstLine="708"/>
              <w:jc w:val="both"/>
              <w:rPr>
                <w:rFonts w:ascii="Verdana" w:eastAsia="Arial" w:hAnsi="Verdana" w:cs="Arial"/>
                <w:color w:val="000000"/>
                <w:kern w:val="2"/>
                <w14:ligatures w14:val="standardContextual"/>
              </w:rPr>
            </w:pPr>
            <w:r>
              <w:rPr>
                <w:rFonts w:ascii="Verdana" w:hAnsi="Verdana" w:cs="Arial"/>
                <w:bCs/>
                <w:color w:val="000000" w:themeColor="text1"/>
              </w:rPr>
              <w:lastRenderedPageBreak/>
              <w:t xml:space="preserve">De cualquier modo, se reitera que al </w:t>
            </w:r>
            <w:r w:rsidRPr="00523EE3">
              <w:rPr>
                <w:rFonts w:ascii="Verdana" w:hAnsi="Verdana" w:cs="Arial"/>
                <w:bCs/>
                <w:color w:val="000000" w:themeColor="text1"/>
              </w:rPr>
              <w:t xml:space="preserve">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w:t>
            </w:r>
            <w:r>
              <w:rPr>
                <w:rFonts w:ascii="Verdana" w:hAnsi="Verdana" w:cs="Arial"/>
                <w:bCs/>
                <w:color w:val="000000" w:themeColor="text1"/>
              </w:rPr>
              <w:t>atender las necesidades de la entidad pública</w:t>
            </w:r>
            <w:r w:rsidRPr="00523EE3">
              <w:rPr>
                <w:rFonts w:ascii="Verdana" w:hAnsi="Verdana" w:cs="Arial"/>
                <w:bCs/>
                <w:color w:val="000000" w:themeColor="text1"/>
              </w:rPr>
              <w:t>.</w:t>
            </w:r>
          </w:p>
        </w:tc>
      </w:tr>
    </w:tbl>
    <w:p w14:paraId="60D53987" w14:textId="77777777" w:rsidR="00A8051C" w:rsidRPr="008F1FB6" w:rsidRDefault="00A8051C" w:rsidP="00A8051C">
      <w:pPr>
        <w:tabs>
          <w:tab w:val="left" w:pos="142"/>
          <w:tab w:val="left" w:pos="284"/>
        </w:tabs>
        <w:spacing w:after="0" w:line="276" w:lineRule="auto"/>
        <w:jc w:val="both"/>
        <w:rPr>
          <w:rFonts w:ascii="Verdana" w:eastAsia="Century Gothic" w:hAnsi="Verdana" w:cs="Century Gothic"/>
          <w:b/>
          <w:bCs/>
          <w:lang w:val="es-ES"/>
        </w:rPr>
      </w:pPr>
    </w:p>
    <w:p w14:paraId="6F0CD8B7" w14:textId="77777777" w:rsidR="00A8051C" w:rsidRPr="008F1FB6" w:rsidRDefault="00A8051C" w:rsidP="00A805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FB6">
        <w:rPr>
          <w:rFonts w:ascii="Verdana" w:eastAsia="Century Gothic" w:hAnsi="Verdana" w:cs="Century Gothic"/>
          <w:b/>
          <w:bCs/>
        </w:rPr>
        <w:t>Razones de la respuesta:</w:t>
      </w:r>
    </w:p>
    <w:p w14:paraId="5AE2DB2A" w14:textId="77777777" w:rsidR="00A8051C" w:rsidRPr="008F1FB6" w:rsidRDefault="00A8051C" w:rsidP="00A8051C">
      <w:pPr>
        <w:spacing w:after="0" w:line="276" w:lineRule="auto"/>
        <w:jc w:val="both"/>
        <w:rPr>
          <w:rFonts w:ascii="Verdana" w:eastAsia="Calibri" w:hAnsi="Verdana" w:cs="Arial"/>
          <w:color w:val="7030A0"/>
          <w:lang w:val="es-ES"/>
        </w:rPr>
      </w:pPr>
    </w:p>
    <w:p w14:paraId="4BFECFAC" w14:textId="77777777" w:rsidR="00A8051C" w:rsidRDefault="00A8051C" w:rsidP="00A8051C">
      <w:pPr>
        <w:spacing w:after="0" w:line="276" w:lineRule="auto"/>
        <w:jc w:val="both"/>
        <w:rPr>
          <w:rFonts w:ascii="Verdana" w:eastAsia="Calibri" w:hAnsi="Verdana" w:cs="Arial"/>
          <w:lang w:val="es-ES"/>
        </w:rPr>
      </w:pPr>
      <w:r w:rsidRPr="008F1FB6">
        <w:rPr>
          <w:rFonts w:ascii="Verdana" w:eastAsia="Calibri" w:hAnsi="Verdana" w:cs="Arial"/>
          <w:lang w:val="es-ES"/>
        </w:rPr>
        <w:t xml:space="preserve">Lo anterior se sustenta en las siguientes consideraciones: </w:t>
      </w:r>
    </w:p>
    <w:p w14:paraId="0971C52A" w14:textId="77777777" w:rsidR="00A8051C" w:rsidRDefault="00A8051C" w:rsidP="00A8051C">
      <w:pPr>
        <w:spacing w:after="0" w:line="276" w:lineRule="auto"/>
        <w:jc w:val="both"/>
        <w:rPr>
          <w:rFonts w:ascii="Verdana" w:eastAsia="Calibri" w:hAnsi="Verdana" w:cs="Arial"/>
          <w:lang w:val="es-ES"/>
        </w:rPr>
      </w:pPr>
    </w:p>
    <w:p w14:paraId="6CA5A144" w14:textId="77777777" w:rsidR="00A8051C" w:rsidRPr="006C0D6B" w:rsidRDefault="00A8051C" w:rsidP="00A8051C">
      <w:pPr>
        <w:spacing w:after="120" w:line="276" w:lineRule="auto"/>
        <w:jc w:val="both"/>
        <w:rPr>
          <w:rFonts w:ascii="Verdana" w:eastAsia="Calibri" w:hAnsi="Verdana" w:cs="Arial"/>
          <w:color w:val="000000" w:themeColor="text1"/>
          <w:lang w:val="es-ES"/>
        </w:rPr>
      </w:pPr>
      <w:r w:rsidRPr="006C0D6B">
        <w:rPr>
          <w:rFonts w:ascii="Verdana" w:eastAsia="Calibri" w:hAnsi="Verdana" w:cs="Arial"/>
          <w:color w:val="000000" w:themeColor="text1"/>
          <w:lang w:val="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No hay</w:t>
      </w:r>
      <w:r>
        <w:rPr>
          <w:rFonts w:ascii="Verdana" w:eastAsia="Calibri" w:hAnsi="Verdana" w:cs="Arial"/>
          <w:color w:val="000000" w:themeColor="text1"/>
          <w:lang w:val="es-ES"/>
        </w:rPr>
        <w:t xml:space="preserve"> </w:t>
      </w:r>
      <w:r w:rsidRPr="006C0D6B">
        <w:rPr>
          <w:rFonts w:ascii="Verdana" w:eastAsia="Calibri" w:hAnsi="Verdana" w:cs="Arial"/>
          <w:color w:val="000000" w:themeColor="text1"/>
          <w:lang w:val="es-ES"/>
        </w:rPr>
        <w:t xml:space="preserve">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6C0D6B">
        <w:rPr>
          <w:rFonts w:ascii="Verdana" w:eastAsia="Calibri" w:hAnsi="Verdana" w:cs="Arial"/>
          <w:color w:val="000000" w:themeColor="text1"/>
          <w:lang w:val="es-ES"/>
        </w:rPr>
        <w:t>ii</w:t>
      </w:r>
      <w:proofErr w:type="spellEnd"/>
      <w:r w:rsidRPr="006C0D6B">
        <w:rPr>
          <w:rFonts w:ascii="Verdana" w:eastAsia="Calibri" w:hAnsi="Verdana" w:cs="Arial"/>
          <w:color w:val="000000" w:themeColor="text1"/>
          <w:lang w:val="es-ES"/>
        </w:rPr>
        <w:t xml:space="preserve">) el precio global –que equivale al monto total, por la realización integral del objeto del contrato, sin discriminar unidades–, y </w:t>
      </w:r>
      <w:proofErr w:type="spellStart"/>
      <w:r w:rsidRPr="006C0D6B">
        <w:rPr>
          <w:rFonts w:ascii="Verdana" w:eastAsia="Calibri" w:hAnsi="Verdana" w:cs="Arial"/>
          <w:color w:val="000000" w:themeColor="text1"/>
          <w:lang w:val="es-ES"/>
        </w:rPr>
        <w:t>iii</w:t>
      </w:r>
      <w:proofErr w:type="spellEnd"/>
      <w:r w:rsidRPr="006C0D6B">
        <w:rPr>
          <w:rFonts w:ascii="Verdana" w:eastAsia="Calibri" w:hAnsi="Verdana" w:cs="Arial"/>
          <w:color w:val="000000" w:themeColor="text1"/>
          <w:lang w:val="es-ES"/>
        </w:rPr>
        <w:t>) la administración delegada de recursos –en la que se distinguen los costos de inversión de los honorarios del administrador–.</w:t>
      </w:r>
    </w:p>
    <w:p w14:paraId="292892B5" w14:textId="77777777" w:rsidR="00A8051C" w:rsidRDefault="00A8051C" w:rsidP="00A8051C">
      <w:pPr>
        <w:spacing w:after="120" w:line="276" w:lineRule="auto"/>
        <w:ind w:firstLine="709"/>
        <w:jc w:val="both"/>
        <w:rPr>
          <w:rFonts w:ascii="Verdana" w:eastAsia="Times New Roman" w:hAnsi="Verdana" w:cs="Arial"/>
          <w:bCs/>
          <w:lang w:val="es-ES_tradnl" w:eastAsia="es-CO"/>
        </w:rPr>
      </w:pPr>
      <w:r w:rsidRPr="00BE3090">
        <w:rPr>
          <w:rFonts w:ascii="Verdana" w:eastAsia="Calibri" w:hAnsi="Verdana" w:cs="Arial"/>
          <w:lang w:val="es-ES"/>
        </w:rPr>
        <w:t>Por ello, las Entidades Estatales en la etapa previa a la contratación, es decir en la fase de planeación y, dependiendo de la tipología contractual, determinarán la metodología mediante la cual realizarán el cálculo del valor o precio del contrato apoyándose</w:t>
      </w:r>
      <w:r>
        <w:rPr>
          <w:rFonts w:ascii="Verdana" w:eastAsia="Calibri" w:hAnsi="Verdana" w:cs="Arial"/>
          <w:lang w:val="es-ES"/>
        </w:rPr>
        <w:t>,</w:t>
      </w:r>
      <w:r w:rsidRPr="00BE3090">
        <w:rPr>
          <w:rFonts w:ascii="Verdana" w:eastAsia="Calibri" w:hAnsi="Verdana" w:cs="Arial"/>
          <w:lang w:val="es-ES"/>
        </w:rPr>
        <w:t xml:space="preserve"> entre otros aspectos, en la costumbre mercantil o el conocimiento impartido en ciencias como la ingeniería, de las que son </w:t>
      </w:r>
      <w:r w:rsidRPr="00BE3090">
        <w:rPr>
          <w:rFonts w:ascii="Verdana" w:eastAsia="Calibri" w:hAnsi="Verdana" w:cs="Arial"/>
          <w:lang w:val="es-ES"/>
        </w:rPr>
        <w:lastRenderedPageBreak/>
        <w:t xml:space="preserve">propias los sistemas de precios unitarios y </w:t>
      </w:r>
      <w:r>
        <w:rPr>
          <w:rFonts w:ascii="Verdana" w:eastAsia="Calibri" w:hAnsi="Verdana" w:cs="Arial"/>
          <w:lang w:val="es-ES"/>
        </w:rPr>
        <w:t>la metodología</w:t>
      </w:r>
      <w:r w:rsidRPr="00BE3090">
        <w:rPr>
          <w:rFonts w:ascii="Verdana" w:eastAsia="Calibri" w:hAnsi="Verdana" w:cs="Arial"/>
          <w:lang w:val="es-ES"/>
        </w:rPr>
        <w:t xml:space="preserve"> del factor multiplicador. Sin embargo, es preciso aclarar </w:t>
      </w:r>
      <w:r>
        <w:rPr>
          <w:rFonts w:ascii="Verdana" w:eastAsia="Calibri" w:hAnsi="Verdana" w:cs="Arial"/>
          <w:lang w:val="es-ES"/>
        </w:rPr>
        <w:t xml:space="preserve">que estos sistemas de fijación de precios no son </w:t>
      </w:r>
      <w:r w:rsidRPr="00BE3090">
        <w:rPr>
          <w:rFonts w:ascii="Verdana" w:eastAsia="Calibri" w:hAnsi="Verdana" w:cs="Arial"/>
          <w:lang w:val="es-ES"/>
        </w:rPr>
        <w:t xml:space="preserve">asuntos expresamente regulados en el conjunto de las disposiciones legales o reglamentarias que integran la normativa contractual del Estado, pues </w:t>
      </w:r>
      <w:r>
        <w:rPr>
          <w:rFonts w:ascii="Verdana" w:eastAsia="Calibri" w:hAnsi="Verdana" w:cs="Arial"/>
          <w:lang w:val="es-ES"/>
        </w:rPr>
        <w:t>su</w:t>
      </w:r>
      <w:r w:rsidRPr="00BE3090">
        <w:rPr>
          <w:rFonts w:ascii="Verdana" w:eastAsia="Calibri" w:hAnsi="Verdana" w:cs="Arial"/>
          <w:lang w:val="es-ES"/>
        </w:rPr>
        <w:t xml:space="preserve"> justificación procede incluso de la formación universitaria que reciben los ingenieros, a quienes se les enseña esta metodología para elaborar las ofertas. En ese sentido, estas metodologías para la configuración del precio de</w:t>
      </w:r>
      <w:r>
        <w:rPr>
          <w:rFonts w:ascii="Verdana" w:eastAsia="Calibri" w:hAnsi="Verdana" w:cs="Arial"/>
          <w:lang w:val="es-ES"/>
        </w:rPr>
        <w:t>l</w:t>
      </w:r>
      <w:r w:rsidRPr="00BE3090">
        <w:rPr>
          <w:rFonts w:ascii="Verdana" w:eastAsia="Calibri" w:hAnsi="Verdana" w:cs="Arial"/>
          <w:lang w:val="es-ES"/>
        </w:rPr>
        <w:t xml:space="preserve"> contrato, </w:t>
      </w:r>
      <w:r>
        <w:rPr>
          <w:rFonts w:ascii="Verdana" w:eastAsia="Calibri" w:hAnsi="Verdana" w:cs="Arial"/>
          <w:lang w:val="es-ES"/>
        </w:rPr>
        <w:t xml:space="preserve">que son </w:t>
      </w:r>
      <w:r w:rsidRPr="00BE3090">
        <w:rPr>
          <w:rFonts w:ascii="Verdana" w:eastAsia="Calibri" w:hAnsi="Verdana" w:cs="Arial"/>
          <w:lang w:val="es-ES"/>
        </w:rPr>
        <w:t>determinantes para la elaboración de la propuesta económica, no proceden de la ley ni del reglamento, sino de la costumbre</w:t>
      </w:r>
      <w:r w:rsidRPr="00BE3090">
        <w:rPr>
          <w:rFonts w:ascii="Verdana" w:eastAsia="Times New Roman" w:hAnsi="Verdana" w:cs="Arial"/>
          <w:vertAlign w:val="superscript"/>
          <w:lang w:val="es-ES_tradnl" w:eastAsia="es-CO"/>
        </w:rPr>
        <w:footnoteReference w:id="2"/>
      </w:r>
      <w:r w:rsidRPr="00BE3090">
        <w:rPr>
          <w:rFonts w:ascii="Verdana" w:eastAsia="Times New Roman" w:hAnsi="Verdana" w:cs="Arial"/>
          <w:bCs/>
          <w:lang w:val="es-ES_tradnl" w:eastAsia="es-CO"/>
        </w:rPr>
        <w:t>.</w:t>
      </w:r>
    </w:p>
    <w:p w14:paraId="1490FDE7" w14:textId="77777777" w:rsidR="00A8051C" w:rsidRDefault="00A8051C" w:rsidP="00A8051C">
      <w:pPr>
        <w:spacing w:after="120" w:line="276" w:lineRule="auto"/>
        <w:ind w:firstLine="709"/>
        <w:jc w:val="both"/>
        <w:rPr>
          <w:rFonts w:ascii="Verdana" w:eastAsia="Calibri" w:hAnsi="Verdana"/>
          <w:lang w:val="es-ES"/>
        </w:rPr>
      </w:pPr>
      <w:r w:rsidRPr="00BE3090">
        <w:rPr>
          <w:rFonts w:ascii="Verdana" w:eastAsia="Calibri" w:hAnsi="Verdana"/>
          <w:lang w:val="es-ES"/>
        </w:rPr>
        <w:t>Conforme a lo anterior</w:t>
      </w:r>
      <w:r w:rsidRPr="006849F1">
        <w:rPr>
          <w:rFonts w:ascii="Verdana" w:eastAsia="Calibri" w:hAnsi="Verdana"/>
          <w:lang w:val="es-ES"/>
        </w:rPr>
        <w:t>, el principal sustento para que las Entidades Estatales sujetas al E</w:t>
      </w:r>
      <w:r>
        <w:rPr>
          <w:rFonts w:ascii="Verdana" w:eastAsia="Calibri" w:hAnsi="Verdana"/>
          <w:lang w:val="es-ES"/>
        </w:rPr>
        <w:t xml:space="preserve">statuto </w:t>
      </w:r>
      <w:r w:rsidRPr="006849F1">
        <w:rPr>
          <w:rFonts w:ascii="Verdana" w:eastAsia="Calibri" w:hAnsi="Verdana"/>
          <w:lang w:val="es-ES"/>
        </w:rPr>
        <w:t>G</w:t>
      </w:r>
      <w:r>
        <w:rPr>
          <w:rFonts w:ascii="Verdana" w:eastAsia="Calibri" w:hAnsi="Verdana"/>
          <w:lang w:val="es-ES"/>
        </w:rPr>
        <w:t xml:space="preserve">eneral de </w:t>
      </w:r>
      <w:r w:rsidRPr="006849F1">
        <w:rPr>
          <w:rFonts w:ascii="Verdana" w:eastAsia="Calibri" w:hAnsi="Verdana"/>
          <w:lang w:val="es-ES"/>
        </w:rPr>
        <w:t>C</w:t>
      </w:r>
      <w:r>
        <w:rPr>
          <w:rFonts w:ascii="Verdana" w:eastAsia="Calibri" w:hAnsi="Verdana"/>
          <w:lang w:val="es-ES"/>
        </w:rPr>
        <w:t xml:space="preserve">ontratación de la </w:t>
      </w:r>
      <w:r w:rsidRPr="006849F1">
        <w:rPr>
          <w:rFonts w:ascii="Verdana" w:eastAsia="Calibri" w:hAnsi="Verdana"/>
          <w:lang w:val="es-ES"/>
        </w:rPr>
        <w:t>A</w:t>
      </w:r>
      <w:r>
        <w:rPr>
          <w:rFonts w:ascii="Verdana" w:eastAsia="Calibri" w:hAnsi="Verdana"/>
          <w:lang w:val="es-ES"/>
        </w:rPr>
        <w:t xml:space="preserve">dministración </w:t>
      </w:r>
      <w:r w:rsidRPr="006849F1">
        <w:rPr>
          <w:rFonts w:ascii="Verdana" w:eastAsia="Calibri" w:hAnsi="Verdana"/>
          <w:lang w:val="es-ES"/>
        </w:rPr>
        <w:t>P</w:t>
      </w:r>
      <w:r>
        <w:rPr>
          <w:rFonts w:ascii="Verdana" w:eastAsia="Calibri" w:hAnsi="Verdana"/>
          <w:lang w:val="es-ES"/>
        </w:rPr>
        <w:t>ública (EGCAP)</w:t>
      </w:r>
      <w:r w:rsidRPr="006849F1">
        <w:rPr>
          <w:rFonts w:ascii="Verdana" w:eastAsia="Calibri" w:hAnsi="Verdana"/>
          <w:lang w:val="es-ES"/>
        </w:rPr>
        <w:t>, como las excluidas de este, apliquen las referidas metodologías,</w:t>
      </w:r>
      <w:r>
        <w:rPr>
          <w:rFonts w:ascii="Verdana" w:eastAsia="Calibri" w:hAnsi="Verdana"/>
          <w:lang w:val="es-ES"/>
        </w:rPr>
        <w:t xml:space="preserve"> </w:t>
      </w:r>
      <w:r w:rsidRPr="006849F1">
        <w:rPr>
          <w:rFonts w:ascii="Verdana" w:eastAsia="Calibri" w:hAnsi="Verdana"/>
          <w:lang w:val="es-ES"/>
        </w:rPr>
        <w:t>es la autonomía de la que gozan para la estructuración de las condiciones del negocio jurídico, determina</w:t>
      </w:r>
      <w:r>
        <w:rPr>
          <w:rFonts w:ascii="Verdana" w:eastAsia="Calibri" w:hAnsi="Verdana"/>
          <w:lang w:val="es-ES"/>
        </w:rPr>
        <w:t>n</w:t>
      </w:r>
      <w:r w:rsidRPr="006849F1">
        <w:rPr>
          <w:rFonts w:ascii="Verdana" w:eastAsia="Calibri" w:hAnsi="Verdana"/>
          <w:lang w:val="es-ES"/>
        </w:rPr>
        <w:t>do el sistema más apropiado para satisfacer los fines de la contratación</w:t>
      </w:r>
      <w:r>
        <w:rPr>
          <w:rFonts w:ascii="Verdana" w:eastAsia="Calibri" w:hAnsi="Verdana"/>
          <w:lang w:val="es-ES"/>
        </w:rPr>
        <w:t xml:space="preserve"> y</w:t>
      </w:r>
      <w:r w:rsidRPr="006849F1">
        <w:rPr>
          <w:rFonts w:ascii="Verdana" w:eastAsia="Calibri" w:hAnsi="Verdana"/>
          <w:lang w:val="es-ES"/>
        </w:rPr>
        <w:t xml:space="preserve"> respetando los límites previstos en el ordenamiento. De ahí que las entidades cuenten con la discrecionalidad para disponer en los documentos del proceso la aplicación de metodologías como el sistema de precios unitarios y el sistema del factor multiplicador, siempre que resulten adecuadas y proporcionales al objeto del contrato.</w:t>
      </w:r>
    </w:p>
    <w:p w14:paraId="196939B9" w14:textId="77777777" w:rsidR="00A8051C" w:rsidRPr="00B5788F" w:rsidRDefault="00A8051C" w:rsidP="00A8051C">
      <w:pPr>
        <w:spacing w:after="120" w:line="276" w:lineRule="auto"/>
        <w:ind w:firstLine="708"/>
        <w:jc w:val="both"/>
        <w:rPr>
          <w:rFonts w:ascii="Verdana" w:eastAsia="Calibri" w:hAnsi="Verdana" w:cs="Arial"/>
        </w:rPr>
      </w:pPr>
      <w:r>
        <w:rPr>
          <w:rFonts w:ascii="Verdana" w:hAnsi="Verdana" w:cs="Arial"/>
          <w:lang w:val="es-ES_tradnl"/>
        </w:rPr>
        <w:t>Ahora bien</w:t>
      </w:r>
      <w:r w:rsidRPr="007F7944">
        <w:rPr>
          <w:rFonts w:ascii="Verdana" w:hAnsi="Verdana" w:cs="Arial"/>
          <w:lang w:val="es-ES_tradnl"/>
        </w:rPr>
        <w:t xml:space="preserve">, </w:t>
      </w:r>
      <w:r>
        <w:rPr>
          <w:rFonts w:ascii="Verdana" w:hAnsi="Verdana" w:cs="Arial"/>
          <w:lang w:val="es-ES_tradnl"/>
        </w:rPr>
        <w:t xml:space="preserve">considerando el tema de su consulta, se resalta que </w:t>
      </w:r>
      <w:r w:rsidRPr="007F7944">
        <w:rPr>
          <w:rFonts w:ascii="Verdana" w:hAnsi="Verdana" w:cs="Arial"/>
          <w:lang w:val="es-ES_tradnl"/>
        </w:rPr>
        <w:t>para la determinación de los costos de los contratos de consultoría y la presentación de ofertas en procesos de concurso de méritos es común y aceptada la utilización del mecanismo del factor multiplicador</w:t>
      </w:r>
      <w:r>
        <w:rPr>
          <w:rFonts w:ascii="Verdana" w:hAnsi="Verdana" w:cs="Arial"/>
          <w:lang w:val="es-ES_tradnl"/>
        </w:rPr>
        <w:t>.</w:t>
      </w:r>
      <w:r w:rsidRPr="00F03B52">
        <w:rPr>
          <w:rFonts w:ascii="Verdana" w:hAnsi="Verdana" w:cs="Arial"/>
        </w:rPr>
        <w:t xml:space="preserve"> </w:t>
      </w:r>
      <w:r w:rsidRPr="00167C84">
        <w:rPr>
          <w:rFonts w:ascii="Verdana" w:hAnsi="Verdana" w:cs="Arial"/>
        </w:rPr>
        <w:t>Esta metodología</w:t>
      </w:r>
      <w:r>
        <w:rPr>
          <w:rFonts w:ascii="Verdana" w:hAnsi="Verdana" w:cs="Arial"/>
        </w:rPr>
        <w:t>,</w:t>
      </w:r>
      <w:r w:rsidRPr="00167C84">
        <w:rPr>
          <w:rFonts w:ascii="Verdana" w:hAnsi="Verdana" w:cs="Arial"/>
        </w:rPr>
        <w:t xml:space="preserve"> al igual que el AIU</w:t>
      </w:r>
      <w:r>
        <w:rPr>
          <w:rFonts w:ascii="Verdana" w:hAnsi="Verdana" w:cs="Arial"/>
        </w:rPr>
        <w:t>,</w:t>
      </w:r>
      <w:r w:rsidRPr="00167C84">
        <w:rPr>
          <w:rFonts w:ascii="Verdana" w:hAnsi="Verdana" w:cs="Arial"/>
        </w:rPr>
        <w:t xml:space="preserve"> no se encuentra hoy día regulada en el ordenamiento jurídico, sin embargo, la misma estuvo en su momento reglamenta en el Decreto 1552 de 1983</w:t>
      </w:r>
      <w:r w:rsidRPr="00167C84">
        <w:rPr>
          <w:rStyle w:val="Refdenotaalpie"/>
          <w:rFonts w:ascii="Verdana" w:hAnsi="Verdana" w:cs="Arial"/>
        </w:rPr>
        <w:footnoteReference w:id="3"/>
      </w:r>
      <w:r w:rsidRPr="00167C84">
        <w:rPr>
          <w:rFonts w:ascii="Verdana" w:hAnsi="Verdana" w:cs="Arial"/>
        </w:rPr>
        <w:t>, norma referente al desarrollo de proceso concursos para la selección de consultores, antes de la entrada en vigor de la Ley 80 de 1993.</w:t>
      </w:r>
      <w:r w:rsidRPr="00B5788F">
        <w:rPr>
          <w:rFonts w:ascii="Verdana" w:eastAsia="Calibri" w:hAnsi="Verdana" w:cs="Arial"/>
          <w:lang w:val="es-ES"/>
        </w:rPr>
        <w:t xml:space="preserve"> El artículo 33 del Decreto 1522 de 1983 establecía que el costo total de contrato de consultoría debía </w:t>
      </w:r>
      <w:r w:rsidRPr="00167C84">
        <w:rPr>
          <w:rFonts w:ascii="Verdana" w:eastAsia="Calibri" w:hAnsi="Verdana" w:cs="Arial"/>
          <w:i/>
          <w:iCs/>
          <w:lang w:val="es-ES"/>
        </w:rPr>
        <w:t xml:space="preserve">“[…] </w:t>
      </w:r>
      <w:r w:rsidRPr="00167C84">
        <w:rPr>
          <w:rFonts w:ascii="Verdana" w:eastAsia="Calibri" w:hAnsi="Verdana" w:cs="Arial"/>
          <w:i/>
          <w:iCs/>
        </w:rPr>
        <w:t xml:space="preserve">cubrir íntegramente los costos directos derivados de la ejecución de la </w:t>
      </w:r>
      <w:r w:rsidRPr="00167C84">
        <w:rPr>
          <w:rFonts w:ascii="Verdana" w:eastAsia="Calibri" w:hAnsi="Verdana" w:cs="Arial"/>
          <w:i/>
          <w:iCs/>
        </w:rPr>
        <w:lastRenderedPageBreak/>
        <w:t>consultoría y el estimado de los indirectos y la utilidad del consultor”</w:t>
      </w:r>
      <w:r w:rsidRPr="00B5788F">
        <w:rPr>
          <w:rStyle w:val="Refdenotaalpie"/>
          <w:rFonts w:ascii="Verdana" w:eastAsia="Calibri" w:hAnsi="Verdana" w:cs="Arial"/>
          <w:i/>
          <w:iCs/>
        </w:rPr>
        <w:footnoteReference w:id="4"/>
      </w:r>
      <w:r w:rsidRPr="00B5788F">
        <w:rPr>
          <w:rFonts w:ascii="Verdana" w:eastAsia="Calibri" w:hAnsi="Verdana" w:cs="Arial"/>
        </w:rPr>
        <w:t xml:space="preserve">, mientras que el segundo inciso del artículo 34 señalaba </w:t>
      </w:r>
      <w:r w:rsidRPr="00167C84">
        <w:rPr>
          <w:rFonts w:ascii="Verdana" w:eastAsia="Calibri" w:hAnsi="Verdana" w:cs="Arial"/>
          <w:i/>
          <w:iCs/>
        </w:rPr>
        <w:t>“Para cubrir los costos de provisión laboral prestacional, los costos indirectos y la utilidad del consultor, podrá utilizarse el método del factor multiplicador. Este consiste en un factor que, aplicado a los costos directos de personal, arroja un monto que cubre los anteriormente mencionados”</w:t>
      </w:r>
      <w:r w:rsidRPr="00B5788F">
        <w:rPr>
          <w:rStyle w:val="Refdenotaalpie"/>
          <w:rFonts w:ascii="Verdana" w:eastAsia="Calibri" w:hAnsi="Verdana" w:cs="Arial"/>
          <w:i/>
          <w:iCs/>
        </w:rPr>
        <w:footnoteReference w:id="5"/>
      </w:r>
      <w:r w:rsidRPr="00167C84">
        <w:rPr>
          <w:rFonts w:ascii="Verdana" w:eastAsia="Calibri" w:hAnsi="Verdana" w:cs="Arial"/>
          <w:i/>
          <w:iCs/>
        </w:rPr>
        <w:t xml:space="preserve">.  </w:t>
      </w:r>
    </w:p>
    <w:p w14:paraId="74D82786" w14:textId="77777777" w:rsidR="00A8051C" w:rsidRPr="000C2611" w:rsidRDefault="00A8051C" w:rsidP="00A8051C">
      <w:pPr>
        <w:spacing w:after="120" w:line="276" w:lineRule="auto"/>
        <w:ind w:firstLine="709"/>
        <w:jc w:val="both"/>
        <w:rPr>
          <w:rFonts w:ascii="Verdana" w:hAnsi="Verdana" w:cs="Arial"/>
        </w:rPr>
      </w:pPr>
      <w:r w:rsidRPr="00B5788F">
        <w:rPr>
          <w:rFonts w:ascii="Verdana" w:eastAsia="Calibri" w:hAnsi="Verdana" w:cs="Arial"/>
        </w:rPr>
        <w:t xml:space="preserve">Esta normativa no se encuentra vigente al haber sido derogada por el Decreto 2326 de 1995, las disposiciones que hoy día regulan los concursos de méritos no establecen una regulación análoga a la de los artículos 33 y 34 del Decreto 1522 de 1993, que </w:t>
      </w:r>
      <w:r>
        <w:rPr>
          <w:rFonts w:ascii="Verdana" w:eastAsia="Calibri" w:hAnsi="Verdana" w:cs="Arial"/>
        </w:rPr>
        <w:t xml:space="preserve">se refiera de </w:t>
      </w:r>
      <w:r w:rsidRPr="00B5788F">
        <w:rPr>
          <w:rFonts w:ascii="Verdana" w:eastAsia="Calibri" w:hAnsi="Verdana" w:cs="Arial"/>
        </w:rPr>
        <w:t xml:space="preserve">manera detallada </w:t>
      </w:r>
      <w:r>
        <w:rPr>
          <w:rFonts w:ascii="Verdana" w:eastAsia="Calibri" w:hAnsi="Verdana" w:cs="Arial"/>
        </w:rPr>
        <w:t xml:space="preserve">a </w:t>
      </w:r>
      <w:r w:rsidRPr="00B5788F">
        <w:rPr>
          <w:rFonts w:ascii="Verdana" w:eastAsia="Calibri" w:hAnsi="Verdana" w:cs="Arial"/>
        </w:rPr>
        <w:t xml:space="preserve">la forma </w:t>
      </w:r>
      <w:r>
        <w:rPr>
          <w:rFonts w:ascii="Verdana" w:eastAsia="Calibri" w:hAnsi="Verdana" w:cs="Arial"/>
        </w:rPr>
        <w:t>para</w:t>
      </w:r>
      <w:r w:rsidRPr="00B5788F">
        <w:rPr>
          <w:rFonts w:ascii="Verdana" w:eastAsia="Calibri" w:hAnsi="Verdana" w:cs="Arial"/>
        </w:rPr>
        <w:t xml:space="preserve"> determinar el valor de los contratos de consultoría. Sin embargo, su análisis ofrece ciertas claridades en torno a c</w:t>
      </w:r>
      <w:r>
        <w:rPr>
          <w:rFonts w:ascii="Verdana" w:eastAsia="Calibri" w:hAnsi="Verdana" w:cs="Arial"/>
        </w:rPr>
        <w:t>ó</w:t>
      </w:r>
      <w:r w:rsidRPr="00B5788F">
        <w:rPr>
          <w:rFonts w:ascii="Verdana" w:eastAsia="Calibri" w:hAnsi="Verdana" w:cs="Arial"/>
        </w:rPr>
        <w:t xml:space="preserve">mo se ha incorporado el sistema del factor multiplicador en la práctica contractual en vigencia de las Leyes 80 de 1993 y 1150 de 2007, reglamentadas en el Decreto 1082 de 2015, cuerpos normativos que si bien no se refieren de manera expresa al uso del factor multiplicador, tampoco restringen su uso en el marco de la discrecionalidad que les asiste a las </w:t>
      </w:r>
      <w:r w:rsidRPr="00B5788F">
        <w:rPr>
          <w:rFonts w:ascii="Verdana" w:eastAsia="Calibri" w:hAnsi="Verdana" w:cs="Arial"/>
        </w:rPr>
        <w:lastRenderedPageBreak/>
        <w:t>Entidades Estatales para determinar el valor de los contratos estatales que desarrollan</w:t>
      </w:r>
      <w:r w:rsidRPr="00167C84">
        <w:rPr>
          <w:rStyle w:val="Refdenotaalpie"/>
          <w:rFonts w:ascii="Verdana" w:hAnsi="Verdana" w:cs="Arial"/>
        </w:rPr>
        <w:footnoteReference w:id="6"/>
      </w:r>
      <w:r w:rsidRPr="00B5788F">
        <w:rPr>
          <w:rFonts w:ascii="Verdana" w:eastAsia="Calibri" w:hAnsi="Verdana" w:cs="Arial"/>
        </w:rPr>
        <w:t xml:space="preserve">. </w:t>
      </w:r>
    </w:p>
    <w:p w14:paraId="23713E29" w14:textId="77777777" w:rsidR="00A8051C" w:rsidRPr="006849F1" w:rsidRDefault="00A8051C" w:rsidP="00A8051C">
      <w:pPr>
        <w:spacing w:after="120" w:line="276" w:lineRule="auto"/>
        <w:ind w:firstLine="709"/>
        <w:jc w:val="both"/>
        <w:rPr>
          <w:rFonts w:ascii="Verdana" w:eastAsia="Calibri" w:hAnsi="Verdana" w:cs="Arial"/>
          <w:lang w:val="es-ES"/>
        </w:rPr>
      </w:pPr>
      <w:r>
        <w:rPr>
          <w:rFonts w:ascii="Verdana" w:hAnsi="Verdana" w:cs="Arial"/>
        </w:rPr>
        <w:t xml:space="preserve">De otra parte, en torno a la aplicación del factor multiplicador en contratos de interventoría, se estima que la misma resulta razonable y común en la práctica en tanto estos son una modalidad del contrato de consultoría, a luz de lo dispuesto en el artículo 32, numeral 2 de la Ley 80 de 1993 de 1993. No obstante, </w:t>
      </w:r>
      <w:r w:rsidRPr="00B24B6E">
        <w:rPr>
          <w:rFonts w:ascii="Verdana" w:hAnsi="Verdana" w:cs="Arial"/>
        </w:rPr>
        <w:t>en</w:t>
      </w:r>
      <w:r>
        <w:rPr>
          <w:rFonts w:ascii="Verdana" w:hAnsi="Verdana" w:cs="Arial"/>
        </w:rPr>
        <w:t xml:space="preserve"> la medida en que</w:t>
      </w:r>
      <w:r w:rsidRPr="00B24B6E">
        <w:rPr>
          <w:rFonts w:ascii="Verdana" w:hAnsi="Verdana" w:cs="Arial"/>
        </w:rPr>
        <w:t xml:space="preserve"> las Entidades Estatales gozan de discrecionalidad para determinar el valor del contrato, la forma de pago y la retribución </w:t>
      </w:r>
      <w:proofErr w:type="gramStart"/>
      <w:r w:rsidRPr="00B24B6E">
        <w:rPr>
          <w:rFonts w:ascii="Verdana" w:hAnsi="Verdana" w:cs="Arial"/>
        </w:rPr>
        <w:t>del mismo</w:t>
      </w:r>
      <w:proofErr w:type="gramEnd"/>
      <w:r w:rsidRPr="00B24B6E">
        <w:rPr>
          <w:rFonts w:ascii="Verdana" w:hAnsi="Verdana" w:cs="Arial"/>
        </w:rPr>
        <w:t xml:space="preserve">, bien podrían optar por aplicar </w:t>
      </w:r>
      <w:r>
        <w:rPr>
          <w:rFonts w:ascii="Verdana" w:hAnsi="Verdana" w:cs="Arial"/>
        </w:rPr>
        <w:t>otras</w:t>
      </w:r>
      <w:r w:rsidRPr="00B24B6E">
        <w:rPr>
          <w:rFonts w:ascii="Verdana" w:hAnsi="Verdana" w:cs="Arial"/>
        </w:rPr>
        <w:t xml:space="preserve"> metodología</w:t>
      </w:r>
      <w:r>
        <w:rPr>
          <w:rFonts w:ascii="Verdana" w:hAnsi="Verdana" w:cs="Arial"/>
        </w:rPr>
        <w:t>s, por ejemplo, el AIU.</w:t>
      </w:r>
    </w:p>
    <w:p w14:paraId="4A6A75BF" w14:textId="77777777" w:rsidR="00A8051C" w:rsidRDefault="00A8051C" w:rsidP="00A8051C">
      <w:pPr>
        <w:spacing w:after="120" w:line="276" w:lineRule="auto"/>
        <w:ind w:firstLine="709"/>
        <w:jc w:val="both"/>
        <w:rPr>
          <w:rFonts w:ascii="Verdana" w:hAnsi="Verdana" w:cs="Arial"/>
        </w:rPr>
      </w:pPr>
      <w:r>
        <w:rPr>
          <w:rFonts w:ascii="Verdana" w:hAnsi="Verdana" w:cs="Arial"/>
        </w:rPr>
        <w:t xml:space="preserve">De cualquier modo, la práctica contractual evidencia que el factor multiplicador es una metodología frecuente para establecer el precio en los contratos de interventoría. Esta metodología </w:t>
      </w:r>
      <w:r w:rsidRPr="004F607E">
        <w:rPr>
          <w:rFonts w:ascii="Verdana" w:hAnsi="Verdana" w:cs="Arial"/>
        </w:rPr>
        <w:t>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relacionados con el personal</w:t>
      </w:r>
      <w:r w:rsidRPr="00167C84">
        <w:rPr>
          <w:rFonts w:ascii="Verdana" w:hAnsi="Verdana" w:cs="Arial"/>
        </w:rPr>
        <w:t>, afectando el valor parcial de la oferta por un factor multiplicador</w:t>
      </w:r>
      <w:r w:rsidRPr="00167C84">
        <w:rPr>
          <w:rStyle w:val="Refdenotaalpie"/>
          <w:rFonts w:ascii="Verdana" w:hAnsi="Verdana" w:cs="Arial"/>
        </w:rPr>
        <w:footnoteReference w:id="7"/>
      </w:r>
      <w:r w:rsidRPr="00167C84">
        <w:rPr>
          <w:rFonts w:ascii="Verdana" w:hAnsi="Verdana" w:cs="Arial"/>
        </w:rPr>
        <w:t xml:space="preserve">. De esta manera se obtiene un subtotal de costos directos a partir de la sumatoria de los valores correspondientes </w:t>
      </w:r>
      <w:r>
        <w:rPr>
          <w:rFonts w:ascii="Verdana" w:hAnsi="Verdana" w:cs="Arial"/>
        </w:rPr>
        <w:t xml:space="preserve">a </w:t>
      </w:r>
      <w:r w:rsidRPr="00167C84">
        <w:rPr>
          <w:rFonts w:ascii="Verdana" w:hAnsi="Verdana" w:cs="Arial"/>
        </w:rPr>
        <w:t xml:space="preserve">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 </w:t>
      </w:r>
    </w:p>
    <w:p w14:paraId="71340BD5" w14:textId="77777777" w:rsidR="00A8051C" w:rsidRPr="00D3322D" w:rsidRDefault="00A8051C" w:rsidP="00A8051C">
      <w:pPr>
        <w:spacing w:before="120" w:after="120" w:line="276" w:lineRule="auto"/>
        <w:ind w:firstLine="709"/>
        <w:jc w:val="both"/>
        <w:rPr>
          <w:rFonts w:ascii="Verdana" w:eastAsia="Arial" w:hAnsi="Verdana" w:cs="Arial"/>
          <w:color w:val="000000"/>
          <w:kern w:val="2"/>
          <w14:ligatures w14:val="standardContextual"/>
        </w:rPr>
      </w:pPr>
      <w:r w:rsidRPr="003648D3">
        <w:rPr>
          <w:rFonts w:ascii="Verdana" w:hAnsi="Verdana" w:cs="Arial"/>
        </w:rPr>
        <w:t xml:space="preserve">En este orden de ideas el </w:t>
      </w:r>
      <w:r w:rsidRPr="00D3322D">
        <w:rPr>
          <w:rFonts w:ascii="Verdana" w:hAnsi="Verdana" w:cs="Arial"/>
        </w:rPr>
        <w:t>factor multiplicador</w:t>
      </w:r>
      <w:r w:rsidRPr="003648D3">
        <w:rPr>
          <w:rFonts w:ascii="Verdana" w:hAnsi="Verdana" w:cs="Arial"/>
        </w:rPr>
        <w:t xml:space="preserve"> no está ligado a nivel normativo con el sistema de precios unitarios. Sin embargo, su metodología es </w:t>
      </w:r>
      <w:r w:rsidRPr="003648D3">
        <w:rPr>
          <w:rFonts w:ascii="Verdana" w:hAnsi="Verdana" w:cs="Arial"/>
        </w:rPr>
        <w:lastRenderedPageBreak/>
        <w:t xml:space="preserve">de común utilización en contratos que optan por este, en la medida en que esta solo incluye los costos directos e indirectos asociados al </w:t>
      </w:r>
      <w:r w:rsidRPr="00D3322D">
        <w:rPr>
          <w:rFonts w:ascii="Verdana" w:hAnsi="Verdana" w:cs="Arial"/>
          <w:i/>
          <w:iCs/>
        </w:rPr>
        <w:t>personal</w:t>
      </w:r>
      <w:r w:rsidRPr="003648D3">
        <w:rPr>
          <w:rFonts w:ascii="Verdana" w:hAnsi="Verdana" w:cs="Arial"/>
        </w:rPr>
        <w:t>, más no incluye los otros costos directos e indirectos en los que puede incurrir el contratista, por lo que deben incorporarse en el valor del contrato y en las propuestas económicas de manera separada a los costos de personal afectados por el factor multiplicador, ya sea mediante el sistema de precios unitarios o mediante partidas globales adicionales a las referentes al factor multiplicador</w:t>
      </w:r>
      <w:r>
        <w:rPr>
          <w:rFonts w:ascii="Verdana" w:hAnsi="Verdana" w:cs="Arial"/>
        </w:rPr>
        <w:t>.</w:t>
      </w:r>
    </w:p>
    <w:p w14:paraId="74B6D659" w14:textId="77777777" w:rsidR="00A8051C" w:rsidRDefault="00A8051C" w:rsidP="00A8051C">
      <w:pPr>
        <w:snapToGrid w:val="0"/>
        <w:spacing w:before="120" w:after="120" w:line="276" w:lineRule="auto"/>
        <w:ind w:firstLine="709"/>
        <w:jc w:val="both"/>
        <w:rPr>
          <w:rFonts w:ascii="Verdana" w:hAnsi="Verdana" w:cs="Arial"/>
        </w:rPr>
      </w:pPr>
      <w:r w:rsidRPr="004F607E">
        <w:rPr>
          <w:rFonts w:ascii="Verdana" w:hAnsi="Verdana" w:cs="Arial"/>
        </w:rPr>
        <w:t xml:space="preserve">Es importante indicar que, en la medida en que </w:t>
      </w:r>
      <w:r>
        <w:rPr>
          <w:rFonts w:ascii="Verdana" w:hAnsi="Verdana" w:cs="Arial"/>
        </w:rPr>
        <w:t xml:space="preserve">ni </w:t>
      </w:r>
      <w:r w:rsidRPr="004F607E">
        <w:rPr>
          <w:rFonts w:ascii="Verdana" w:hAnsi="Verdana" w:cs="Arial"/>
        </w:rPr>
        <w:t>el factor multiplica</w:t>
      </w:r>
      <w:r>
        <w:rPr>
          <w:rFonts w:ascii="Verdana" w:hAnsi="Verdana" w:cs="Arial"/>
        </w:rPr>
        <w:t>dor ni otras metodologías</w:t>
      </w:r>
      <w:r w:rsidRPr="004F607E">
        <w:rPr>
          <w:rFonts w:ascii="Verdana" w:hAnsi="Verdana" w:cs="Arial"/>
        </w:rPr>
        <w:t xml:space="preserve"> se aplican en virtud de una normativa en particular, sino en atención a la discrecionalidad de las Entidades Estatales para establecer el valor y forma de pago de los contratos que celebran, así</w:t>
      </w:r>
      <w:r>
        <w:rPr>
          <w:rFonts w:ascii="Verdana" w:hAnsi="Verdana" w:cs="Arial"/>
        </w:rPr>
        <w:t xml:space="preserve"> como de la autonomía de los proponentes para presentar sus ofertas en el marco de Procesos de Contratación, su aplicación no está limitada a un tipo contractual en específico o a sistema para la determinación del </w:t>
      </w:r>
      <w:r w:rsidRPr="00087E81">
        <w:rPr>
          <w:rFonts w:ascii="Verdana" w:hAnsi="Verdana" w:cs="Arial"/>
        </w:rPr>
        <w:t xml:space="preserve">precio. </w:t>
      </w:r>
    </w:p>
    <w:p w14:paraId="254A0ACC" w14:textId="77777777" w:rsidR="00A8051C" w:rsidRDefault="00A8051C" w:rsidP="00A8051C">
      <w:pPr>
        <w:snapToGrid w:val="0"/>
        <w:spacing w:before="120" w:after="120" w:line="276" w:lineRule="auto"/>
        <w:ind w:firstLine="709"/>
        <w:jc w:val="both"/>
        <w:rPr>
          <w:rFonts w:ascii="Verdana" w:eastAsia="Arial" w:hAnsi="Verdana" w:cs="Arial"/>
          <w:color w:val="000000"/>
          <w:kern w:val="2"/>
          <w14:ligatures w14:val="standardContextual"/>
        </w:rPr>
      </w:pPr>
      <w:r>
        <w:rPr>
          <w:rFonts w:ascii="Verdana" w:eastAsia="Arial" w:hAnsi="Verdana" w:cs="Arial"/>
          <w:color w:val="000000"/>
          <w:kern w:val="2"/>
          <w14:ligatures w14:val="standardContextual"/>
        </w:rPr>
        <w:t>Ahora bien, teniendo en cuenta lo expuesto en su consulta, l</w:t>
      </w:r>
      <w:r w:rsidRPr="00576583">
        <w:rPr>
          <w:rFonts w:ascii="Verdana" w:eastAsia="Arial" w:hAnsi="Verdana" w:cs="Arial"/>
          <w:color w:val="000000"/>
          <w:kern w:val="2"/>
          <w14:ligatures w14:val="standardContextual"/>
        </w:rPr>
        <w:t xml:space="preserve">os costos asociados al personal requerido para ejecutar el contrato son un aspecto que entra a determinar su precio, por lo que son un tema para considerar al hacer el ofrecimiento económico en la etapa de presentación de ofertas, con sujeción al mecanismo para determinar el precio que </w:t>
      </w:r>
      <w:r>
        <w:rPr>
          <w:rFonts w:ascii="Verdana" w:eastAsia="Arial" w:hAnsi="Verdana" w:cs="Arial"/>
          <w:color w:val="000000"/>
          <w:kern w:val="2"/>
          <w14:ligatures w14:val="standardContextual"/>
        </w:rPr>
        <w:t>determine</w:t>
      </w:r>
      <w:r w:rsidRPr="00576583">
        <w:rPr>
          <w:rFonts w:ascii="Verdana" w:eastAsia="Arial" w:hAnsi="Verdana" w:cs="Arial"/>
          <w:color w:val="000000"/>
          <w:kern w:val="2"/>
          <w14:ligatures w14:val="standardContextual"/>
        </w:rPr>
        <w:t xml:space="preserve"> la entidad en el pliego de condiciones. En ese sentido, cuando una entidad incorpora</w:t>
      </w:r>
      <w:r>
        <w:rPr>
          <w:rFonts w:ascii="Verdana" w:eastAsia="Arial" w:hAnsi="Verdana" w:cs="Arial"/>
          <w:color w:val="000000"/>
          <w:kern w:val="2"/>
          <w14:ligatures w14:val="standardContextual"/>
        </w:rPr>
        <w:t>, por ejemplo,</w:t>
      </w:r>
      <w:r w:rsidRPr="00576583">
        <w:rPr>
          <w:rFonts w:ascii="Verdana" w:eastAsia="Arial" w:hAnsi="Verdana" w:cs="Arial"/>
          <w:color w:val="000000"/>
          <w:kern w:val="2"/>
          <w14:ligatures w14:val="standardContextual"/>
        </w:rPr>
        <w:t xml:space="preserve">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w:t>
      </w:r>
      <w:r>
        <w:rPr>
          <w:rFonts w:ascii="Verdana" w:eastAsia="Arial" w:hAnsi="Verdana" w:cs="Arial"/>
          <w:color w:val="000000"/>
          <w:kern w:val="2"/>
          <w14:ligatures w14:val="standardContextual"/>
        </w:rPr>
        <w:t>E</w:t>
      </w:r>
      <w:r w:rsidRPr="00576583">
        <w:rPr>
          <w:rFonts w:ascii="Verdana" w:eastAsia="Arial" w:hAnsi="Verdana" w:cs="Arial"/>
          <w:color w:val="000000"/>
          <w:kern w:val="2"/>
          <w14:ligatures w14:val="standardContextual"/>
        </w:rPr>
        <w:t xml:space="preserve">ntidades </w:t>
      </w:r>
      <w:r>
        <w:rPr>
          <w:rFonts w:ascii="Verdana" w:eastAsia="Arial" w:hAnsi="Verdana" w:cs="Arial"/>
          <w:color w:val="000000"/>
          <w:kern w:val="2"/>
          <w14:ligatures w14:val="standardContextual"/>
        </w:rPr>
        <w:t>E</w:t>
      </w:r>
      <w:r w:rsidRPr="00576583">
        <w:rPr>
          <w:rFonts w:ascii="Verdana" w:eastAsia="Arial" w:hAnsi="Verdana" w:cs="Arial"/>
          <w:color w:val="000000"/>
          <w:kern w:val="2"/>
          <w14:ligatures w14:val="standardContextual"/>
        </w:rPr>
        <w:t>statales en los pliegos de condiciones para regular los mencionados aspectos son las que en últimas determinan qu</w:t>
      </w:r>
      <w:r>
        <w:rPr>
          <w:rFonts w:ascii="Verdana" w:eastAsia="Arial" w:hAnsi="Verdana" w:cs="Arial"/>
          <w:color w:val="000000"/>
          <w:kern w:val="2"/>
          <w14:ligatures w14:val="standardContextual"/>
        </w:rPr>
        <w:t>é</w:t>
      </w:r>
      <w:r w:rsidRPr="00576583">
        <w:rPr>
          <w:rFonts w:ascii="Verdana" w:eastAsia="Arial" w:hAnsi="Verdana" w:cs="Arial"/>
          <w:color w:val="000000"/>
          <w:kern w:val="2"/>
          <w14:ligatures w14:val="standardContextual"/>
        </w:rPr>
        <w:t xml:space="preserve"> tipo de contratación de personal es la que corresponde realizar al contratista para ejecutar el proyecto, así como la posibilidad de que los costos de dicha contratación–ya sea laboral o por prestación de servicios–, se incorporen al precio del contrato, por la vía del factor multiplicador aplicado para hacer la oferta económica.</w:t>
      </w:r>
    </w:p>
    <w:p w14:paraId="248CEE55" w14:textId="77777777" w:rsidR="00A8051C" w:rsidRDefault="00A8051C" w:rsidP="00A8051C">
      <w:pPr>
        <w:snapToGrid w:val="0"/>
        <w:spacing w:before="120" w:after="120" w:line="276" w:lineRule="auto"/>
        <w:ind w:firstLine="709"/>
        <w:jc w:val="both"/>
        <w:rPr>
          <w:rFonts w:ascii="Verdana" w:eastAsia="Arial" w:hAnsi="Verdana" w:cs="Arial"/>
          <w:color w:val="000000"/>
          <w:kern w:val="2"/>
          <w14:ligatures w14:val="standardContextual"/>
        </w:rPr>
      </w:pPr>
      <w:r>
        <w:rPr>
          <w:rFonts w:ascii="Verdana" w:eastAsia="Calibri" w:hAnsi="Verdana" w:cs="Arial"/>
        </w:rPr>
        <w:t>Es de precisar que, en la verificación d</w:t>
      </w:r>
      <w:r w:rsidRPr="00224CBF">
        <w:rPr>
          <w:rFonts w:ascii="Verdana" w:eastAsia="Calibri" w:hAnsi="Verdana" w:cs="Arial"/>
        </w:rPr>
        <w:t>el cumplimiento de los costos y gastos asociados al contrato</w:t>
      </w:r>
      <w:r>
        <w:rPr>
          <w:rFonts w:ascii="Verdana" w:eastAsia="Calibri" w:hAnsi="Verdana" w:cs="Arial"/>
        </w:rPr>
        <w:t>,</w:t>
      </w:r>
      <w:r w:rsidRPr="00224CBF">
        <w:rPr>
          <w:rFonts w:ascii="Verdana" w:eastAsia="Calibri" w:hAnsi="Verdana" w:cs="Arial"/>
        </w:rPr>
        <w:t xml:space="preserve"> </w:t>
      </w:r>
      <w:r>
        <w:rPr>
          <w:rFonts w:ascii="Verdana" w:eastAsia="Calibri" w:hAnsi="Verdana" w:cs="Arial"/>
        </w:rPr>
        <w:t>no existe restricción alguna para poder</w:t>
      </w:r>
      <w:r w:rsidRPr="00224CBF">
        <w:rPr>
          <w:rFonts w:ascii="Verdana" w:eastAsia="Calibri" w:hAnsi="Verdana" w:cs="Arial"/>
        </w:rPr>
        <w:t xml:space="preserve"> elaborar un cuadro detallado que desglos</w:t>
      </w:r>
      <w:r>
        <w:rPr>
          <w:rFonts w:ascii="Verdana" w:eastAsia="Calibri" w:hAnsi="Verdana" w:cs="Arial"/>
        </w:rPr>
        <w:t>e</w:t>
      </w:r>
      <w:r w:rsidRPr="00224CBF">
        <w:rPr>
          <w:rFonts w:ascii="Verdana" w:eastAsia="Calibri" w:hAnsi="Verdana" w:cs="Arial"/>
        </w:rPr>
        <w:t xml:space="preserve"> los conceptos del factor multiplicador. Además, si se detectan omisiones, el cuadro podría ajustarse, siempre que se justifique </w:t>
      </w:r>
      <w:r w:rsidRPr="00224CBF">
        <w:rPr>
          <w:rFonts w:ascii="Verdana" w:eastAsia="Calibri" w:hAnsi="Verdana" w:cs="Arial"/>
        </w:rPr>
        <w:lastRenderedPageBreak/>
        <w:t>y se cuente con la aprobación de la entidad.</w:t>
      </w:r>
      <w:r>
        <w:rPr>
          <w:rFonts w:ascii="Verdana" w:eastAsia="Calibri" w:hAnsi="Verdana" w:cs="Arial"/>
        </w:rPr>
        <w:t xml:space="preserve"> Por su parte, s</w:t>
      </w:r>
      <w:r w:rsidRPr="009727DB">
        <w:rPr>
          <w:rFonts w:ascii="Verdana" w:eastAsia="Calibri" w:hAnsi="Verdana" w:cs="Arial"/>
        </w:rPr>
        <w:t xml:space="preserve">i la entidad solo definió el </w:t>
      </w:r>
      <w:r>
        <w:rPr>
          <w:rFonts w:ascii="Verdana" w:eastAsia="Calibri" w:hAnsi="Verdana" w:cs="Arial"/>
        </w:rPr>
        <w:t>porcentaje</w:t>
      </w:r>
      <w:r w:rsidRPr="009727DB">
        <w:rPr>
          <w:rFonts w:ascii="Verdana" w:eastAsia="Calibri" w:hAnsi="Verdana" w:cs="Arial"/>
        </w:rPr>
        <w:t xml:space="preserve"> del factor multiplicador sin detalle</w:t>
      </w:r>
      <w:r>
        <w:rPr>
          <w:rFonts w:ascii="Verdana" w:eastAsia="Calibri" w:hAnsi="Verdana" w:cs="Arial"/>
        </w:rPr>
        <w:t xml:space="preserve">, la supervisión </w:t>
      </w:r>
      <w:r w:rsidRPr="009727DB">
        <w:rPr>
          <w:rFonts w:ascii="Verdana" w:eastAsia="Calibri" w:hAnsi="Verdana" w:cs="Arial"/>
        </w:rPr>
        <w:t xml:space="preserve">puede </w:t>
      </w:r>
      <w:r>
        <w:rPr>
          <w:rFonts w:ascii="Verdana" w:eastAsia="Calibri" w:hAnsi="Verdana" w:cs="Arial"/>
        </w:rPr>
        <w:t xml:space="preserve">efectuar el seguimiento </w:t>
      </w:r>
      <w:r w:rsidRPr="009727DB">
        <w:rPr>
          <w:rFonts w:ascii="Verdana" w:eastAsia="Calibri" w:hAnsi="Verdana" w:cs="Arial"/>
        </w:rPr>
        <w:t>solicita</w:t>
      </w:r>
      <w:r>
        <w:rPr>
          <w:rFonts w:ascii="Verdana" w:eastAsia="Calibri" w:hAnsi="Verdana" w:cs="Arial"/>
        </w:rPr>
        <w:t>ndo</w:t>
      </w:r>
      <w:r w:rsidRPr="009727DB">
        <w:rPr>
          <w:rFonts w:ascii="Verdana" w:eastAsia="Calibri" w:hAnsi="Verdana" w:cs="Arial"/>
        </w:rPr>
        <w:t xml:space="preserve"> informes detallados sobre la ejecución de los gastos asociados al factor multiplicador. </w:t>
      </w:r>
      <w:r>
        <w:rPr>
          <w:rFonts w:ascii="Verdana" w:eastAsia="Calibri" w:hAnsi="Verdana" w:cs="Arial"/>
        </w:rPr>
        <w:t>De cualquier modo, r</w:t>
      </w:r>
      <w:r w:rsidRPr="009727DB">
        <w:rPr>
          <w:rFonts w:ascii="Verdana" w:eastAsia="Calibri" w:hAnsi="Verdana" w:cs="Arial"/>
        </w:rPr>
        <w:t>especto a la reasignación de valores dentro del factor multiplicador, no se pueden trasladar saldos de un concepto a otro sin aprobación de la entidad. Por ejemplo, si queda saldo en prestaciones sociales, no puede destinarse a gastos administrativos o utilidad sin una modificación contractual.</w:t>
      </w:r>
    </w:p>
    <w:p w14:paraId="4D9FEB86" w14:textId="77777777" w:rsidR="00A8051C" w:rsidRDefault="00A8051C" w:rsidP="00A8051C">
      <w:pPr>
        <w:snapToGrid w:val="0"/>
        <w:spacing w:before="120" w:after="120" w:line="276" w:lineRule="auto"/>
        <w:ind w:firstLine="709"/>
        <w:jc w:val="both"/>
        <w:rPr>
          <w:rFonts w:ascii="Verdana" w:eastAsia="Calibri" w:hAnsi="Verdana" w:cs="Arial"/>
          <w:color w:val="000000"/>
        </w:rPr>
      </w:pPr>
      <w:r>
        <w:rPr>
          <w:rFonts w:ascii="Verdana" w:eastAsia="Calibri" w:hAnsi="Verdana" w:cs="Arial"/>
        </w:rPr>
        <w:t xml:space="preserve">Por otra parte, es necesario que los costos </w:t>
      </w:r>
      <w:r w:rsidRPr="00E42537">
        <w:rPr>
          <w:rFonts w:ascii="Verdana" w:eastAsia="Calibri" w:hAnsi="Verdana" w:cs="Arial"/>
        </w:rPr>
        <w:t>sean correctamente documentados y justificados</w:t>
      </w:r>
      <w:r>
        <w:rPr>
          <w:rFonts w:ascii="Verdana" w:eastAsia="Calibri" w:hAnsi="Verdana" w:cs="Arial"/>
        </w:rPr>
        <w:t xml:space="preserve">, así las cosas, se recomienda la </w:t>
      </w:r>
      <w:r w:rsidRPr="00DB4441">
        <w:rPr>
          <w:rFonts w:ascii="Verdana" w:eastAsia="Calibri" w:hAnsi="Verdana" w:cs="Arial"/>
        </w:rPr>
        <w:t>presenta</w:t>
      </w:r>
      <w:r>
        <w:rPr>
          <w:rFonts w:ascii="Verdana" w:eastAsia="Calibri" w:hAnsi="Verdana" w:cs="Arial"/>
        </w:rPr>
        <w:t>ción de</w:t>
      </w:r>
      <w:r w:rsidRPr="00DB4441">
        <w:rPr>
          <w:rFonts w:ascii="Verdana" w:eastAsia="Calibri" w:hAnsi="Verdana" w:cs="Arial"/>
        </w:rPr>
        <w:t xml:space="preserve"> facturas y comprobantes de pago que demuestren la ejecución </w:t>
      </w:r>
      <w:r>
        <w:rPr>
          <w:rFonts w:ascii="Verdana" w:eastAsia="Calibri" w:hAnsi="Verdana" w:cs="Arial"/>
        </w:rPr>
        <w:t xml:space="preserve">de </w:t>
      </w:r>
      <w:proofErr w:type="gramStart"/>
      <w:r>
        <w:rPr>
          <w:rFonts w:ascii="Verdana" w:eastAsia="Calibri" w:hAnsi="Verdana" w:cs="Arial"/>
        </w:rPr>
        <w:t>los mismos</w:t>
      </w:r>
      <w:proofErr w:type="gramEnd"/>
      <w:r w:rsidRPr="00DB4441">
        <w:rPr>
          <w:rFonts w:ascii="Verdana" w:eastAsia="Calibri" w:hAnsi="Verdana" w:cs="Arial"/>
        </w:rPr>
        <w:t xml:space="preserve">. </w:t>
      </w:r>
      <w:r>
        <w:rPr>
          <w:rFonts w:ascii="Verdana" w:eastAsia="Arial" w:hAnsi="Verdana" w:cs="Arial"/>
          <w:color w:val="000000"/>
          <w:kern w:val="2"/>
          <w14:ligatures w14:val="standardContextual"/>
        </w:rPr>
        <w:t>Asi, por ejemplo</w:t>
      </w:r>
      <w:r w:rsidRPr="002A7F81">
        <w:rPr>
          <w:rFonts w:ascii="Verdana" w:eastAsia="Calibri" w:hAnsi="Verdana" w:cs="Arial"/>
          <w:color w:val="000000"/>
        </w:rPr>
        <w:t xml:space="preserve">, si el factor multiplicador se usa para determinar costos, el contratista debe demostrar el gasto de cada componente. Si ciertos costos no se generan (por ejemplo, si el personal no requiere prestaciones), el contrato debería modificarse para reducir el </w:t>
      </w:r>
      <w:r>
        <w:rPr>
          <w:rFonts w:ascii="Verdana" w:eastAsia="Calibri" w:hAnsi="Verdana" w:cs="Arial"/>
          <w:color w:val="000000"/>
        </w:rPr>
        <w:t>porcentaje</w:t>
      </w:r>
      <w:r w:rsidRPr="002A7F81">
        <w:rPr>
          <w:rFonts w:ascii="Verdana" w:eastAsia="Calibri" w:hAnsi="Verdana" w:cs="Arial"/>
          <w:color w:val="000000"/>
        </w:rPr>
        <w:t xml:space="preserve"> correspondiente.</w:t>
      </w:r>
      <w:r>
        <w:rPr>
          <w:rFonts w:ascii="Verdana" w:eastAsia="Calibri" w:hAnsi="Verdana" w:cs="Arial"/>
          <w:color w:val="000000"/>
        </w:rPr>
        <w:t xml:space="preserve"> </w:t>
      </w:r>
      <w:r w:rsidRPr="002A7F81">
        <w:rPr>
          <w:rFonts w:ascii="Verdana" w:eastAsia="Calibri" w:hAnsi="Verdana" w:cs="Arial"/>
          <w:color w:val="000000"/>
        </w:rPr>
        <w:t>Si la interventoría presentó un informe de proyección de gastos, pero este no fue parte del contrato, la entidad aún puede exigirle soportes de gastos reales. Si los costos directos (ejemplo: nómina, laboratorios</w:t>
      </w:r>
      <w:r>
        <w:rPr>
          <w:rFonts w:ascii="Verdana" w:eastAsia="Calibri" w:hAnsi="Verdana" w:cs="Arial"/>
          <w:color w:val="000000"/>
        </w:rPr>
        <w:t>, etc.</w:t>
      </w:r>
      <w:r w:rsidRPr="002A7F81">
        <w:rPr>
          <w:rFonts w:ascii="Verdana" w:eastAsia="Calibri" w:hAnsi="Verdana" w:cs="Arial"/>
          <w:color w:val="000000"/>
        </w:rPr>
        <w:t>) son menores a lo presupuestado, el saldo no ejecutado debería liberarse y no ser facturado sin justificación.</w:t>
      </w:r>
      <w:r>
        <w:rPr>
          <w:rFonts w:ascii="Verdana" w:eastAsia="Calibri" w:hAnsi="Verdana" w:cs="Arial"/>
          <w:color w:val="000000"/>
        </w:rPr>
        <w:t xml:space="preserve"> </w:t>
      </w:r>
    </w:p>
    <w:p w14:paraId="0B1B59CF" w14:textId="77777777" w:rsidR="00A8051C" w:rsidRDefault="00A8051C" w:rsidP="00A8051C">
      <w:pPr>
        <w:snapToGrid w:val="0"/>
        <w:spacing w:before="120" w:after="120" w:line="276" w:lineRule="auto"/>
        <w:ind w:firstLine="709"/>
        <w:jc w:val="both"/>
        <w:rPr>
          <w:rFonts w:ascii="Verdana" w:eastAsia="Arial" w:hAnsi="Verdana" w:cs="Arial"/>
          <w:color w:val="000000"/>
          <w:kern w:val="2"/>
          <w14:ligatures w14:val="standardContextual"/>
        </w:rPr>
      </w:pPr>
      <w:r>
        <w:rPr>
          <w:rFonts w:ascii="Verdana" w:eastAsia="Calibri" w:hAnsi="Verdana" w:cs="Arial"/>
          <w:color w:val="000000"/>
        </w:rPr>
        <w:t>Así, l</w:t>
      </w:r>
      <w:r w:rsidRPr="00D74A00">
        <w:rPr>
          <w:rFonts w:ascii="Verdana" w:eastAsia="Calibri" w:hAnsi="Verdana" w:cs="Arial"/>
          <w:color w:val="000000"/>
        </w:rPr>
        <w:t xml:space="preserve">os valores facturados deberán corresponder de manera estricta a </w:t>
      </w:r>
      <w:r>
        <w:rPr>
          <w:rFonts w:ascii="Verdana" w:eastAsia="Calibri" w:hAnsi="Verdana" w:cs="Arial"/>
          <w:color w:val="000000"/>
        </w:rPr>
        <w:t xml:space="preserve">los </w:t>
      </w:r>
      <w:r w:rsidRPr="00D74A00">
        <w:rPr>
          <w:rFonts w:ascii="Verdana" w:eastAsia="Calibri" w:hAnsi="Verdana" w:cs="Arial"/>
          <w:color w:val="000000"/>
        </w:rPr>
        <w:t>costos reales efectivamente causados, debidamente soportados y directamente relacionados con la ejecución contractual</w:t>
      </w:r>
      <w:r>
        <w:rPr>
          <w:rFonts w:ascii="Verdana" w:eastAsia="Calibri" w:hAnsi="Verdana" w:cs="Arial"/>
          <w:color w:val="000000"/>
        </w:rPr>
        <w:t xml:space="preserve">. Además, se </w:t>
      </w:r>
      <w:r w:rsidRPr="00271497">
        <w:rPr>
          <w:rFonts w:ascii="Verdana" w:eastAsia="Calibri" w:hAnsi="Verdana" w:cs="Arial"/>
          <w:color w:val="000000"/>
        </w:rPr>
        <w:t>deberá constatar que los porcentajes de los valores a reconocer hayan sido calculados conforme a lo estipulado en el contrato,</w:t>
      </w:r>
      <w:r>
        <w:rPr>
          <w:rFonts w:ascii="Verdana" w:eastAsia="Calibri" w:hAnsi="Verdana" w:cs="Arial"/>
          <w:color w:val="000000"/>
        </w:rPr>
        <w:t xml:space="preserve"> </w:t>
      </w:r>
      <w:r w:rsidRPr="00271497">
        <w:rPr>
          <w:rFonts w:ascii="Verdana" w:eastAsia="Calibri" w:hAnsi="Verdana" w:cs="Arial"/>
          <w:color w:val="000000"/>
        </w:rPr>
        <w:t>y que guarden correspondencia con los costos</w:t>
      </w:r>
      <w:r>
        <w:rPr>
          <w:rFonts w:ascii="Verdana" w:eastAsia="Calibri" w:hAnsi="Verdana" w:cs="Arial"/>
          <w:color w:val="000000"/>
        </w:rPr>
        <w:t xml:space="preserve"> </w:t>
      </w:r>
      <w:r w:rsidRPr="00271497">
        <w:rPr>
          <w:rFonts w:ascii="Verdana" w:eastAsia="Calibri" w:hAnsi="Verdana" w:cs="Arial"/>
          <w:color w:val="000000"/>
        </w:rPr>
        <w:t>efectivamente incurridos.</w:t>
      </w:r>
      <w:r>
        <w:rPr>
          <w:rFonts w:ascii="Verdana" w:eastAsia="Calibri" w:hAnsi="Verdana" w:cs="Arial"/>
          <w:color w:val="000000"/>
        </w:rPr>
        <w:t xml:space="preserve"> </w:t>
      </w:r>
      <w:r w:rsidRPr="00271497">
        <w:rPr>
          <w:rFonts w:ascii="Verdana" w:eastAsia="Calibri" w:hAnsi="Verdana" w:cs="Arial"/>
          <w:color w:val="000000"/>
        </w:rPr>
        <w:t>En</w:t>
      </w:r>
      <w:r>
        <w:rPr>
          <w:rFonts w:ascii="Verdana" w:eastAsia="Calibri" w:hAnsi="Verdana" w:cs="Arial"/>
          <w:color w:val="000000"/>
        </w:rPr>
        <w:t xml:space="preserve"> todo caso, como se indicó, no se podrán variar los porcentajes inicialmente pactados sin la correspondiente aprobación de la entidad y la modificación contractual si esta se considera viable de acuerdo con el análisis particular. </w:t>
      </w:r>
    </w:p>
    <w:p w14:paraId="335123C8" w14:textId="77777777" w:rsidR="00A8051C" w:rsidRPr="00BE3FBB" w:rsidRDefault="00A8051C" w:rsidP="00A8051C">
      <w:pPr>
        <w:snapToGrid w:val="0"/>
        <w:spacing w:before="120" w:after="120" w:line="276" w:lineRule="auto"/>
        <w:ind w:firstLine="709"/>
        <w:jc w:val="both"/>
        <w:rPr>
          <w:rFonts w:ascii="Verdana" w:eastAsia="Calibri" w:hAnsi="Verdana" w:cs="Arial"/>
          <w:color w:val="000000"/>
        </w:rPr>
      </w:pPr>
      <w:r w:rsidRPr="001B1E8B">
        <w:rPr>
          <w:rFonts w:ascii="Verdana" w:eastAsia="Calibri" w:hAnsi="Verdana" w:cs="Arial"/>
          <w:color w:val="000000"/>
        </w:rPr>
        <w:t xml:space="preserve">En conclusión, cuando la Entidad Estatal haga uso del factor multiplicador, </w:t>
      </w:r>
      <w:r>
        <w:rPr>
          <w:rFonts w:ascii="Verdana" w:eastAsia="Calibri" w:hAnsi="Verdana" w:cs="Arial"/>
          <w:color w:val="000000"/>
        </w:rPr>
        <w:t xml:space="preserve">o metodologías similares, </w:t>
      </w:r>
      <w:r w:rsidRPr="001B1E8B">
        <w:rPr>
          <w:rFonts w:ascii="Verdana" w:eastAsia="Calibri" w:hAnsi="Verdana" w:cs="Arial"/>
          <w:color w:val="000000"/>
        </w:rPr>
        <w:t>debe asegurarse de ejercer una buena vigilancia de la ejecución contractual, con el fin de poder realizar adecuadamente la auditoría de los costos del contrato para pagar sólo aquello</w:t>
      </w:r>
      <w:r>
        <w:rPr>
          <w:rFonts w:ascii="Verdana" w:eastAsia="Calibri" w:hAnsi="Verdana" w:cs="Arial"/>
          <w:color w:val="000000"/>
        </w:rPr>
        <w:t>s</w:t>
      </w:r>
      <w:r w:rsidRPr="001B1E8B">
        <w:rPr>
          <w:rFonts w:ascii="Verdana" w:eastAsia="Calibri" w:hAnsi="Verdana" w:cs="Arial"/>
          <w:color w:val="000000"/>
        </w:rPr>
        <w:t xml:space="preserve"> que se hayan causado efectivamente.</w:t>
      </w:r>
      <w:r>
        <w:rPr>
          <w:rFonts w:ascii="Verdana" w:eastAsia="Calibri" w:hAnsi="Verdana" w:cs="Arial"/>
          <w:color w:val="000000"/>
        </w:rPr>
        <w:t xml:space="preserve"> </w:t>
      </w:r>
      <w:r w:rsidRPr="001B1E8B">
        <w:rPr>
          <w:rFonts w:ascii="Verdana" w:eastAsia="Calibri" w:hAnsi="Verdana" w:cs="Arial"/>
          <w:color w:val="000000"/>
        </w:rPr>
        <w:t xml:space="preserve">Por tanto, podrán verificarse los soportes contables, administrativos y financieros de la ejecución, ya que la Entidad Estatal sólo debe </w:t>
      </w:r>
      <w:r w:rsidRPr="001B1E8B">
        <w:rPr>
          <w:rFonts w:ascii="Verdana" w:eastAsia="Calibri" w:hAnsi="Verdana" w:cs="Arial"/>
          <w:color w:val="000000"/>
        </w:rPr>
        <w:lastRenderedPageBreak/>
        <w:t>pagar aquellos costos que hubieran sido pagados por el contratista so pena de que se configure un enriquecimiento sin causa de su parte</w:t>
      </w:r>
      <w:r>
        <w:rPr>
          <w:rFonts w:ascii="Verdana" w:eastAsia="Calibri" w:hAnsi="Verdana" w:cs="Arial"/>
          <w:color w:val="000000"/>
        </w:rPr>
        <w:t>.</w:t>
      </w:r>
    </w:p>
    <w:p w14:paraId="4AD6715E" w14:textId="77777777" w:rsidR="00A8051C" w:rsidRDefault="00A8051C" w:rsidP="00A8051C">
      <w:pPr>
        <w:snapToGrid w:val="0"/>
        <w:spacing w:before="120" w:after="120" w:line="276" w:lineRule="auto"/>
        <w:ind w:firstLine="708"/>
        <w:jc w:val="both"/>
        <w:rPr>
          <w:rFonts w:ascii="Verdana" w:eastAsia="Arial" w:hAnsi="Verdana" w:cs="Arial"/>
          <w:color w:val="000000"/>
          <w:kern w:val="2"/>
          <w14:ligatures w14:val="standardContextual"/>
        </w:rPr>
      </w:pPr>
      <w:r>
        <w:rPr>
          <w:rFonts w:ascii="Verdana" w:eastAsia="Arial" w:hAnsi="Verdana" w:cs="Arial"/>
          <w:color w:val="000000"/>
          <w:kern w:val="2"/>
          <w14:ligatures w14:val="standardContextual"/>
        </w:rPr>
        <w:t xml:space="preserve">Sin perjuicio de lo anterior, se resalta que la aplicación de las metodologías fijadas para determinar el precio y presentar la oferta económica en el marco de los procesos dependen de lo que se estipule en los Documentos del Proceso y en el clausulado del contrato. En cada caso, la entidad deberá determinar la metodología que resulte apropiada para establecer los costos asociados al personal. Los mecanismos que se pacten podrán suponer la verificación de los costos que efectivamente asuma el contratista frente al personal, de conformidad con lo estipulado en su oferta. </w:t>
      </w:r>
    </w:p>
    <w:p w14:paraId="1FC80874" w14:textId="77777777" w:rsidR="00A8051C" w:rsidRDefault="00A8051C" w:rsidP="00A8051C">
      <w:pPr>
        <w:spacing w:after="120" w:line="276" w:lineRule="auto"/>
        <w:ind w:firstLine="709"/>
        <w:jc w:val="both"/>
        <w:rPr>
          <w:rFonts w:ascii="Verdana" w:hAnsi="Verdana" w:cs="Arial"/>
          <w:bCs/>
          <w:lang w:val="es-ES_tradnl"/>
        </w:rPr>
      </w:pPr>
      <w:r>
        <w:rPr>
          <w:rFonts w:ascii="Verdana" w:hAnsi="Verdana" w:cs="Arial"/>
          <w:bCs/>
          <w:lang w:val="es-ES_tradnl"/>
        </w:rPr>
        <w:t xml:space="preserve">Por lo demás, frente a las responsabilidades del oferente en la estructuración de la oferta, tal y como fue señalado en concepto C-1613 del 22 de diciembre de 2025, </w:t>
      </w:r>
      <w:r w:rsidRPr="00166E46">
        <w:rPr>
          <w:rFonts w:ascii="Verdana" w:hAnsi="Verdana" w:cs="Arial"/>
          <w:bCs/>
          <w:lang w:val="es-ES_tradnl"/>
        </w:rPr>
        <w:t xml:space="preserve">es necesario tener en cuenta que el deber de planeación no es privativo de las entidades públicas, por lo que también se extiende </w:t>
      </w:r>
      <w:r>
        <w:rPr>
          <w:rFonts w:ascii="Verdana" w:hAnsi="Verdana" w:cs="Arial"/>
          <w:bCs/>
          <w:lang w:val="es-ES_tradnl"/>
        </w:rPr>
        <w:t>a los interesados en el proceso de selección</w:t>
      </w:r>
      <w:r w:rsidRPr="00166E46">
        <w:rPr>
          <w:rFonts w:ascii="Verdana" w:hAnsi="Verdana" w:cs="Arial"/>
          <w:bCs/>
          <w:lang w:val="es-ES_tradnl"/>
        </w:rPr>
        <w:t xml:space="preserve">. </w:t>
      </w:r>
      <w:r>
        <w:rPr>
          <w:rFonts w:ascii="Verdana" w:hAnsi="Verdana" w:cs="Arial"/>
          <w:bCs/>
          <w:lang w:val="es-ES_tradnl"/>
        </w:rPr>
        <w:t>Al respecto</w:t>
      </w:r>
      <w:r w:rsidRPr="00166E46">
        <w:rPr>
          <w:rFonts w:ascii="Verdana" w:hAnsi="Verdana" w:cs="Arial"/>
          <w:bCs/>
          <w:lang w:val="es-ES_tradnl"/>
        </w:rPr>
        <w:t xml:space="preserve">, la Subsección A de la Sección Tercera del Consejo de Estado –en Sentencia del 21 de febrero de 2025, </w:t>
      </w:r>
      <w:proofErr w:type="spellStart"/>
      <w:r w:rsidRPr="00166E46">
        <w:rPr>
          <w:rFonts w:ascii="Verdana" w:hAnsi="Verdana" w:cs="Arial"/>
          <w:bCs/>
          <w:lang w:val="es-ES_tradnl"/>
        </w:rPr>
        <w:t>Exp</w:t>
      </w:r>
      <w:proofErr w:type="spellEnd"/>
      <w:r w:rsidRPr="00166E46">
        <w:rPr>
          <w:rFonts w:ascii="Verdana" w:hAnsi="Verdana" w:cs="Arial"/>
          <w:bCs/>
          <w:lang w:val="es-ES_tradnl"/>
        </w:rPr>
        <w:t xml:space="preserve">. 71583, con ponencia del </w:t>
      </w:r>
      <w:proofErr w:type="gramStart"/>
      <w:r w:rsidRPr="00166E46">
        <w:rPr>
          <w:rFonts w:ascii="Verdana" w:hAnsi="Verdana" w:cs="Arial"/>
          <w:bCs/>
          <w:lang w:val="es-ES_tradnl"/>
        </w:rPr>
        <w:t>Consejero</w:t>
      </w:r>
      <w:proofErr w:type="gramEnd"/>
      <w:r w:rsidRPr="00166E46">
        <w:rPr>
          <w:rFonts w:ascii="Verdana" w:hAnsi="Verdana" w:cs="Arial"/>
          <w:bCs/>
          <w:lang w:val="es-ES_tradnl"/>
        </w:rPr>
        <w:t xml:space="preserve">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w:t>
      </w:r>
    </w:p>
    <w:p w14:paraId="57F913CB" w14:textId="77777777" w:rsidR="00A8051C" w:rsidRDefault="00A8051C" w:rsidP="00A8051C">
      <w:pPr>
        <w:spacing w:after="120" w:line="276" w:lineRule="auto"/>
        <w:ind w:firstLine="709"/>
        <w:jc w:val="both"/>
        <w:rPr>
          <w:rFonts w:ascii="Verdana" w:hAnsi="Verdana" w:cs="Arial"/>
          <w:bCs/>
          <w:lang w:val="es-ES_tradnl"/>
        </w:rPr>
      </w:pPr>
      <w:r>
        <w:rPr>
          <w:rFonts w:ascii="Verdana" w:hAnsi="Verdana" w:cs="Arial"/>
          <w:bCs/>
          <w:lang w:val="es-ES_tradnl"/>
        </w:rPr>
        <w:t xml:space="preserve">Es decir, si existían inquietudes sobre los componentes del factor multiplicador, </w:t>
      </w:r>
      <w:r w:rsidRPr="000A30A6">
        <w:rPr>
          <w:rFonts w:ascii="Verdana" w:hAnsi="Verdana" w:cs="Arial"/>
          <w:bCs/>
          <w:lang w:val="es-ES_tradnl"/>
        </w:rPr>
        <w:t xml:space="preserve">los interesados </w:t>
      </w:r>
      <w:r>
        <w:rPr>
          <w:rFonts w:ascii="Verdana" w:hAnsi="Verdana" w:cs="Arial"/>
          <w:bCs/>
          <w:lang w:val="es-ES_tradnl"/>
        </w:rPr>
        <w:t>tuvieron la oportunidad de</w:t>
      </w:r>
      <w:r w:rsidRPr="000A30A6">
        <w:rPr>
          <w:rFonts w:ascii="Verdana" w:hAnsi="Verdana" w:cs="Arial"/>
          <w:bCs/>
          <w:lang w:val="es-ES_tradnl"/>
        </w:rPr>
        <w:t xml:space="preserve"> formular observaciones para aclarar sus </w:t>
      </w:r>
      <w:r>
        <w:rPr>
          <w:rFonts w:ascii="Verdana" w:hAnsi="Verdana" w:cs="Arial"/>
          <w:bCs/>
          <w:lang w:val="es-ES_tradnl"/>
        </w:rPr>
        <w:t>dudas</w:t>
      </w:r>
      <w:r w:rsidRPr="000A30A6">
        <w:rPr>
          <w:rFonts w:ascii="Verdana" w:hAnsi="Verdana" w:cs="Arial"/>
          <w:bCs/>
          <w:lang w:val="es-ES_tradnl"/>
        </w:rPr>
        <w:t>.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Así, los proponentes pueden observar tanto el proyecto de pliego como el pliego de condiciones definitivo con el propósito de esclarecer aspectos del proceso.</w:t>
      </w:r>
    </w:p>
    <w:p w14:paraId="097941CB" w14:textId="77777777" w:rsidR="00A8051C" w:rsidRDefault="00A8051C" w:rsidP="00A8051C">
      <w:pPr>
        <w:spacing w:after="120" w:line="276" w:lineRule="auto"/>
        <w:ind w:firstLine="709"/>
        <w:jc w:val="both"/>
        <w:rPr>
          <w:rFonts w:ascii="Verdana" w:hAnsi="Verdana" w:cs="Arial"/>
          <w:lang w:val="es-MX"/>
        </w:rPr>
      </w:pPr>
      <w:r w:rsidRPr="000A30A6">
        <w:rPr>
          <w:rFonts w:ascii="Verdana" w:hAnsi="Verdana" w:cs="Arial"/>
          <w:lang w:val="es-MX"/>
        </w:rPr>
        <w:t>En este contexto, bajo el criterio de que “nadie puede ben</w:t>
      </w:r>
      <w:r>
        <w:rPr>
          <w:rFonts w:ascii="Verdana" w:hAnsi="Verdana" w:cs="Arial"/>
          <w:lang w:val="es-MX"/>
        </w:rPr>
        <w:t>e</w:t>
      </w:r>
      <w:r w:rsidRPr="000A30A6">
        <w:rPr>
          <w:rFonts w:ascii="Verdana" w:hAnsi="Verdana" w:cs="Arial"/>
          <w:lang w:val="es-MX"/>
        </w:rPr>
        <w:t xml:space="preserve">ficiarse de su propia culpa”, </w:t>
      </w:r>
      <w:r>
        <w:rPr>
          <w:rFonts w:ascii="Verdana" w:hAnsi="Verdana" w:cs="Arial"/>
          <w:lang w:val="es-MX"/>
        </w:rPr>
        <w:t>se restringe a los contratistas la posibilidad de solicitar</w:t>
      </w:r>
      <w:r w:rsidRPr="000A30A6">
        <w:rPr>
          <w:rFonts w:ascii="Verdana" w:hAnsi="Verdana" w:cs="Arial"/>
          <w:lang w:val="es-MX"/>
        </w:rPr>
        <w:t xml:space="preserve"> reconocimientos económicos</w:t>
      </w:r>
      <w:r>
        <w:rPr>
          <w:rFonts w:ascii="Verdana" w:hAnsi="Verdana" w:cs="Arial"/>
          <w:lang w:val="es-MX"/>
        </w:rPr>
        <w:t xml:space="preserve"> derivados</w:t>
      </w:r>
      <w:r w:rsidRPr="000A30A6">
        <w:rPr>
          <w:rFonts w:ascii="Verdana" w:hAnsi="Verdana" w:cs="Arial"/>
          <w:lang w:val="es-MX"/>
        </w:rPr>
        <w:t xml:space="preserve"> de fallas de planeación que debi</w:t>
      </w:r>
      <w:r>
        <w:rPr>
          <w:rFonts w:ascii="Verdana" w:hAnsi="Verdana" w:cs="Arial"/>
          <w:lang w:val="es-MX"/>
        </w:rPr>
        <w:t>eron</w:t>
      </w:r>
      <w:r w:rsidRPr="000A30A6">
        <w:rPr>
          <w:rFonts w:ascii="Verdana" w:hAnsi="Verdana" w:cs="Arial"/>
          <w:lang w:val="es-MX"/>
        </w:rPr>
        <w:t xml:space="preserve"> advertir </w:t>
      </w:r>
      <w:r>
        <w:rPr>
          <w:rFonts w:ascii="Verdana" w:hAnsi="Verdana" w:cs="Arial"/>
          <w:lang w:val="es-MX"/>
        </w:rPr>
        <w:t xml:space="preserve">a la entidad contratante </w:t>
      </w:r>
      <w:r w:rsidRPr="000A30A6">
        <w:rPr>
          <w:rFonts w:ascii="Verdana" w:hAnsi="Verdana" w:cs="Arial"/>
          <w:lang w:val="es-MX"/>
        </w:rPr>
        <w:t>antes del perfeccionamiento del contrato.</w:t>
      </w:r>
      <w:r>
        <w:rPr>
          <w:rFonts w:ascii="Verdana" w:hAnsi="Verdana" w:cs="Arial"/>
          <w:lang w:val="es-MX"/>
        </w:rPr>
        <w:t xml:space="preserve"> Si </w:t>
      </w:r>
      <w:r>
        <w:rPr>
          <w:rFonts w:ascii="Verdana" w:hAnsi="Verdana" w:cs="Arial"/>
          <w:lang w:val="es-MX"/>
        </w:rPr>
        <w:lastRenderedPageBreak/>
        <w:t>bien el parágrafo del artículo 40 de la Ley 80 de 1993 dispone que “</w:t>
      </w:r>
      <w:r w:rsidRPr="00E93FA0">
        <w:rPr>
          <w:rFonts w:ascii="Verdana" w:hAnsi="Verdana" w:cs="Arial"/>
          <w:lang w:val="es-MX"/>
        </w:rPr>
        <w:t>Los contratos no podrán adicionarse en más del cincuenta por ciento (50%) de su valor inicial, expresado éste en salarios mínimos legales mensuales</w:t>
      </w:r>
      <w:r>
        <w:rPr>
          <w:rFonts w:ascii="Verdana" w:hAnsi="Verdana" w:cs="Arial"/>
          <w:lang w:val="es-MX"/>
        </w:rPr>
        <w:t xml:space="preserve">”, el Estado no se encuentra obligado a reestructurar el porcentaje ni los componentes del factor multiplicador, pues las modificaciones contractuales no son un derecho del contratista. </w:t>
      </w:r>
    </w:p>
    <w:p w14:paraId="0BDDC391" w14:textId="77777777" w:rsidR="00A8051C" w:rsidRPr="003A380F" w:rsidRDefault="00A8051C" w:rsidP="00A8051C">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w:t>
      </w:r>
      <w:r>
        <w:rPr>
          <w:rFonts w:ascii="Verdana" w:eastAsia="Calibri" w:hAnsi="Verdana" w:cs="Arial"/>
          <w:bCs/>
          <w:color w:val="000000" w:themeColor="text1"/>
        </w:rPr>
        <w:t xml:space="preserve"> </w:t>
      </w:r>
      <w:r w:rsidRPr="003A380F">
        <w:rPr>
          <w:rFonts w:ascii="Verdana" w:eastAsia="Calibri"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5A45BB4" w14:textId="77777777" w:rsidR="00A8051C" w:rsidRPr="00F15D9B" w:rsidRDefault="00A8051C" w:rsidP="00A8051C">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D5EF3EA" w14:textId="77777777" w:rsidR="00A8051C" w:rsidRPr="008F1FB6" w:rsidRDefault="00A8051C" w:rsidP="00A8051C">
      <w:pPr>
        <w:widowControl w:val="0"/>
        <w:autoSpaceDE w:val="0"/>
        <w:autoSpaceDN w:val="0"/>
        <w:spacing w:after="0" w:line="276" w:lineRule="auto"/>
        <w:jc w:val="both"/>
        <w:rPr>
          <w:rFonts w:ascii="Verdana" w:hAnsi="Verdana" w:cs="Arial"/>
        </w:rPr>
      </w:pPr>
    </w:p>
    <w:p w14:paraId="5EC02495" w14:textId="77777777" w:rsidR="00A8051C" w:rsidRPr="008F1FB6" w:rsidRDefault="00A8051C" w:rsidP="00A805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FB6">
        <w:rPr>
          <w:rFonts w:ascii="Verdana" w:eastAsia="Century Gothic" w:hAnsi="Verdana" w:cs="Century Gothic"/>
          <w:b/>
          <w:bCs/>
        </w:rPr>
        <w:t>Referencias normativas, jurisprudenciales y otras fuentes:</w:t>
      </w:r>
    </w:p>
    <w:p w14:paraId="0C485A66" w14:textId="77777777" w:rsidR="00A8051C" w:rsidRPr="008F1FB6" w:rsidRDefault="00A8051C" w:rsidP="00A8051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8051C" w:rsidRPr="008F1FB6" w14:paraId="36BFABD1" w14:textId="77777777" w:rsidTr="00E615C0">
        <w:trPr>
          <w:trHeight w:val="870"/>
        </w:trPr>
        <w:tc>
          <w:tcPr>
            <w:tcW w:w="8647" w:type="dxa"/>
          </w:tcPr>
          <w:p w14:paraId="4EC0AE9B" w14:textId="77777777" w:rsidR="00A8051C" w:rsidRPr="00876210" w:rsidRDefault="00A8051C" w:rsidP="00E615C0">
            <w:pPr>
              <w:pStyle w:val="Prrafodelista"/>
              <w:numPr>
                <w:ilvl w:val="0"/>
                <w:numId w:val="17"/>
              </w:numPr>
              <w:spacing w:before="120" w:after="120"/>
              <w:contextualSpacing w:val="0"/>
              <w:jc w:val="both"/>
              <w:rPr>
                <w:rFonts w:ascii="Verdana" w:eastAsia="Calibri" w:hAnsi="Verdana" w:cs="Arial"/>
              </w:rPr>
            </w:pPr>
            <w:r w:rsidRPr="000752A9">
              <w:rPr>
                <w:rFonts w:ascii="Verdana" w:hAnsi="Verdana" w:cs="Arial"/>
              </w:rPr>
              <w:t>Ley 80 de 1993, artículo 32</w:t>
            </w:r>
            <w:r>
              <w:rPr>
                <w:rFonts w:ascii="Verdana" w:hAnsi="Verdana" w:cs="Arial"/>
              </w:rPr>
              <w:t>.</w:t>
            </w:r>
          </w:p>
          <w:p w14:paraId="50F748F3" w14:textId="77777777" w:rsidR="00A8051C" w:rsidRPr="00876210" w:rsidRDefault="00A8051C" w:rsidP="00E615C0">
            <w:pPr>
              <w:pStyle w:val="Prrafodelista"/>
              <w:numPr>
                <w:ilvl w:val="0"/>
                <w:numId w:val="17"/>
              </w:numPr>
              <w:spacing w:before="120" w:after="120"/>
              <w:contextualSpacing w:val="0"/>
              <w:jc w:val="both"/>
              <w:rPr>
                <w:rFonts w:ascii="Verdana" w:eastAsia="Calibri" w:hAnsi="Verdana" w:cs="Arial"/>
              </w:rPr>
            </w:pPr>
            <w:r w:rsidRPr="000752A9">
              <w:rPr>
                <w:rFonts w:ascii="Verdana" w:eastAsia="Calibri" w:hAnsi="Verdana" w:cs="Arial"/>
              </w:rPr>
              <w:t>Código Civil, Artículo 1849.</w:t>
            </w:r>
          </w:p>
          <w:p w14:paraId="39B6678C" w14:textId="77777777" w:rsidR="00A8051C" w:rsidRPr="00876210" w:rsidRDefault="00A8051C" w:rsidP="00E615C0">
            <w:pPr>
              <w:pStyle w:val="Prrafodelista"/>
              <w:numPr>
                <w:ilvl w:val="0"/>
                <w:numId w:val="17"/>
              </w:numPr>
              <w:spacing w:before="120" w:after="120"/>
              <w:contextualSpacing w:val="0"/>
              <w:jc w:val="both"/>
              <w:rPr>
                <w:rFonts w:ascii="Verdana" w:eastAsia="Calibri" w:hAnsi="Verdana"/>
              </w:rPr>
            </w:pPr>
            <w:r w:rsidRPr="000752A9">
              <w:rPr>
                <w:rFonts w:ascii="Verdana" w:hAnsi="Verdana"/>
              </w:rPr>
              <w:t xml:space="preserve">Decreto 1082 de 2015 </w:t>
            </w:r>
            <w:r w:rsidRPr="000752A9">
              <w:rPr>
                <w:rFonts w:ascii="Verdana" w:eastAsia="Calibri" w:hAnsi="Verdana"/>
              </w:rPr>
              <w:t>el artículo 2.2.1.1.2.1.1</w:t>
            </w:r>
            <w:r>
              <w:rPr>
                <w:rFonts w:ascii="Verdana" w:eastAsia="Calibri" w:hAnsi="Verdana"/>
              </w:rPr>
              <w:t>.</w:t>
            </w:r>
          </w:p>
          <w:p w14:paraId="25AF3476" w14:textId="77777777" w:rsidR="00A8051C" w:rsidRPr="00876210" w:rsidRDefault="00A8051C" w:rsidP="00E615C0">
            <w:pPr>
              <w:pStyle w:val="Prrafodelista"/>
              <w:numPr>
                <w:ilvl w:val="0"/>
                <w:numId w:val="17"/>
              </w:numPr>
              <w:spacing w:before="120" w:after="120"/>
              <w:contextualSpacing w:val="0"/>
              <w:jc w:val="both"/>
              <w:rPr>
                <w:rFonts w:ascii="Verdana" w:hAnsi="Verdana" w:cs="Arial"/>
              </w:rPr>
            </w:pPr>
            <w:r w:rsidRPr="000752A9">
              <w:rPr>
                <w:rFonts w:ascii="Verdana" w:hAnsi="Verdana" w:cs="Arial"/>
              </w:rPr>
              <w:t>Consejo de Estado, Sección Tercera, Subsección A sentencia de 19 de julio de 2018, M.P. Marta Nubia Velázquez Rico, Rad. 2013-01826(57.576)</w:t>
            </w:r>
          </w:p>
          <w:p w14:paraId="4D7C5B19" w14:textId="77777777" w:rsidR="00A8051C" w:rsidRPr="00CB3F5C" w:rsidRDefault="00A8051C" w:rsidP="00E615C0">
            <w:pPr>
              <w:pStyle w:val="Prrafodelista"/>
              <w:numPr>
                <w:ilvl w:val="0"/>
                <w:numId w:val="17"/>
              </w:numPr>
              <w:spacing w:before="120" w:after="120"/>
              <w:contextualSpacing w:val="0"/>
              <w:jc w:val="both"/>
              <w:rPr>
                <w:rFonts w:ascii="Verdana" w:eastAsia="Calibri" w:hAnsi="Verdana" w:cs="Arial"/>
                <w:lang w:eastAsia="es-ES"/>
              </w:rPr>
            </w:pPr>
            <w:r w:rsidRPr="126F9D36">
              <w:rPr>
                <w:rFonts w:ascii="Verdana" w:eastAsia="Calibri" w:hAnsi="Verdana" w:cs="Arial"/>
                <w:lang w:eastAsia="es-ES"/>
              </w:rPr>
              <w:lastRenderedPageBreak/>
              <w:t xml:space="preserve">Consejo </w:t>
            </w:r>
            <w:r>
              <w:rPr>
                <w:rFonts w:ascii="Verdana" w:eastAsia="Calibri" w:hAnsi="Verdana" w:cs="Arial"/>
                <w:lang w:eastAsia="es-ES"/>
              </w:rPr>
              <w:t>d</w:t>
            </w:r>
            <w:r w:rsidRPr="126F9D36">
              <w:rPr>
                <w:rFonts w:ascii="Verdana" w:eastAsia="Calibri" w:hAnsi="Verdana" w:cs="Arial"/>
                <w:lang w:eastAsia="es-ES"/>
              </w:rPr>
              <w:t xml:space="preserve">e Estado. Sección Tercera. Subsección B. Sentencia del 29 de febrero de 2012. </w:t>
            </w:r>
            <w:proofErr w:type="spellStart"/>
            <w:r w:rsidRPr="126F9D36">
              <w:rPr>
                <w:rFonts w:ascii="Verdana" w:eastAsia="Calibri" w:hAnsi="Verdana" w:cs="Arial"/>
                <w:lang w:eastAsia="es-ES"/>
              </w:rPr>
              <w:t>Exp</w:t>
            </w:r>
            <w:proofErr w:type="spellEnd"/>
            <w:r w:rsidRPr="126F9D36">
              <w:rPr>
                <w:rFonts w:ascii="Verdana" w:eastAsia="Calibri" w:hAnsi="Verdana" w:cs="Arial"/>
                <w:lang w:eastAsia="es-ES"/>
              </w:rPr>
              <w:t>. 16371, C.P. Danilo Rojas Betancourth.</w:t>
            </w:r>
          </w:p>
        </w:tc>
      </w:tr>
    </w:tbl>
    <w:p w14:paraId="722F53AE" w14:textId="77777777" w:rsidR="00A8051C" w:rsidRPr="008F1FB6" w:rsidRDefault="00A8051C" w:rsidP="00A8051C">
      <w:pPr>
        <w:widowControl w:val="0"/>
        <w:autoSpaceDE w:val="0"/>
        <w:autoSpaceDN w:val="0"/>
        <w:spacing w:after="0" w:line="276" w:lineRule="auto"/>
        <w:jc w:val="both"/>
        <w:rPr>
          <w:rFonts w:ascii="Verdana" w:hAnsi="Verdana" w:cs="Arial"/>
        </w:rPr>
      </w:pPr>
    </w:p>
    <w:p w14:paraId="1CAA237D" w14:textId="77777777" w:rsidR="00A8051C" w:rsidRPr="008F1FB6" w:rsidRDefault="00A8051C" w:rsidP="00A805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FB6">
        <w:rPr>
          <w:rFonts w:ascii="Verdana" w:eastAsia="Century Gothic" w:hAnsi="Verdana" w:cs="Century Gothic"/>
          <w:b/>
          <w:bCs/>
        </w:rPr>
        <w:t>Doctrina de la Agencia Nacional de Contratación Pública:</w:t>
      </w:r>
    </w:p>
    <w:p w14:paraId="46202DD4" w14:textId="77777777" w:rsidR="00A8051C" w:rsidRPr="008F1FB6" w:rsidRDefault="00A8051C" w:rsidP="00A8051C">
      <w:pPr>
        <w:widowControl w:val="0"/>
        <w:autoSpaceDE w:val="0"/>
        <w:autoSpaceDN w:val="0"/>
        <w:spacing w:after="0" w:line="276" w:lineRule="auto"/>
        <w:jc w:val="both"/>
        <w:rPr>
          <w:rFonts w:ascii="Verdana" w:hAnsi="Verdana" w:cs="Arial"/>
        </w:rPr>
      </w:pPr>
    </w:p>
    <w:p w14:paraId="5B8AF96D" w14:textId="77777777" w:rsidR="00A8051C" w:rsidRDefault="00A8051C" w:rsidP="00A8051C">
      <w:pPr>
        <w:spacing w:after="0" w:line="276" w:lineRule="auto"/>
        <w:contextualSpacing/>
        <w:jc w:val="both"/>
        <w:rPr>
          <w:rStyle w:val="normaltextrun"/>
          <w:rFonts w:ascii="Verdana" w:hAnsi="Verdana" w:cs="Arial"/>
          <w:color w:val="000000" w:themeColor="text1"/>
          <w:shd w:val="clear" w:color="auto" w:fill="FFFFFF"/>
          <w:lang w:val="es-ES"/>
        </w:rPr>
      </w:pPr>
      <w:r w:rsidRPr="00F9120E">
        <w:rPr>
          <w:rStyle w:val="normaltextrun"/>
          <w:rFonts w:ascii="Verdana" w:hAnsi="Verdana" w:cs="Arial"/>
          <w:color w:val="000000" w:themeColor="text1"/>
          <w:shd w:val="clear" w:color="auto" w:fill="FFFFFF"/>
          <w:lang w:val="es-ES"/>
        </w:rPr>
        <w:t>La Agencia Nacional de Contratación Pública – Colombia Compra Eficiente se ha referido</w:t>
      </w:r>
      <w:r w:rsidRPr="00BD004E">
        <w:rPr>
          <w:rFonts w:ascii="Verdana" w:hAnsi="Verdana" w:cs="Arial"/>
        </w:rPr>
        <w:t xml:space="preserve"> </w:t>
      </w:r>
      <w:r>
        <w:rPr>
          <w:rFonts w:ascii="Verdana" w:hAnsi="Verdana" w:cs="Arial"/>
        </w:rPr>
        <w:t xml:space="preserve">a </w:t>
      </w:r>
      <w:r w:rsidRPr="006849F1">
        <w:rPr>
          <w:rFonts w:ascii="Verdana" w:hAnsi="Verdana" w:cs="Arial"/>
          <w:shd w:val="clear" w:color="auto" w:fill="FFFFFF"/>
          <w:lang w:val="es-ES"/>
        </w:rPr>
        <w:t>la determinación del precio o valor en los contratos estatales en los conceptos</w:t>
      </w:r>
      <w:r w:rsidRPr="006849F1">
        <w:rPr>
          <w:rFonts w:ascii="Verdana" w:hAnsi="Verdana" w:cs="Calibri"/>
          <w:shd w:val="clear" w:color="auto" w:fill="FFFFFF"/>
        </w:rPr>
        <w:t xml:space="preserve"> </w:t>
      </w:r>
      <w:r w:rsidRPr="006849F1">
        <w:rPr>
          <w:rFonts w:ascii="Verdana" w:hAnsi="Verdana" w:cs="Arial"/>
          <w:shd w:val="clear" w:color="auto" w:fill="FFFFFF"/>
          <w:lang w:val="es-ES"/>
        </w:rPr>
        <w:t xml:space="preserve">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w:t>
      </w:r>
      <w:r>
        <w:rPr>
          <w:rFonts w:ascii="Verdana" w:hAnsi="Verdana" w:cs="Arial"/>
          <w:shd w:val="clear" w:color="auto" w:fill="FFFFFF"/>
          <w:lang w:val="es-ES"/>
        </w:rPr>
        <w:t xml:space="preserve">, </w:t>
      </w:r>
      <w:r w:rsidRPr="006849F1">
        <w:rPr>
          <w:rFonts w:ascii="Verdana" w:hAnsi="Verdana" w:cs="Arial"/>
          <w:shd w:val="clear" w:color="auto" w:fill="FFFFFF"/>
          <w:lang w:val="es-ES"/>
        </w:rPr>
        <w:t>C-288 del 14 de julio de 2023,</w:t>
      </w:r>
      <w:r>
        <w:rPr>
          <w:rFonts w:ascii="Verdana" w:hAnsi="Verdana" w:cs="Arial"/>
          <w:shd w:val="clear" w:color="auto" w:fill="FFFFFF"/>
          <w:lang w:val="es-ES"/>
        </w:rPr>
        <w:t xml:space="preserve"> C-167 del 23 de julio de 2024, C-1018 del 6 de enero de 2025 y C-212 del 28 de marzo de 2025, C-577 de 2025 y C-1613 del 22 de diciembre de 2025,</w:t>
      </w:r>
      <w:r w:rsidRPr="006849F1">
        <w:rPr>
          <w:rFonts w:ascii="Verdana" w:hAnsi="Verdana" w:cs="Arial"/>
          <w:shd w:val="clear" w:color="auto" w:fill="FFFFFF"/>
          <w:lang w:val="es-ES"/>
        </w:rPr>
        <w:t xml:space="preserve"> </w:t>
      </w:r>
      <w:r w:rsidRPr="00F9120E">
        <w:rPr>
          <w:rFonts w:ascii="Verdana" w:eastAsia="Calibri" w:hAnsi="Verdana" w:cs="Arial"/>
          <w:lang w:val="es-ES" w:eastAsia="es-ES"/>
        </w:rPr>
        <w:t xml:space="preserve">entre otros. </w:t>
      </w:r>
      <w:r w:rsidRPr="00F9120E">
        <w:rPr>
          <w:rFonts w:ascii="Verdana" w:hAnsi="Verdana" w:cs="Arial"/>
          <w:color w:val="000000" w:themeColor="text1"/>
          <w:shd w:val="clear" w:color="auto" w:fill="FFFFFF"/>
          <w:lang w:val="es-ES"/>
        </w:rPr>
        <w:t xml:space="preserve">Estos </w:t>
      </w:r>
      <w:r w:rsidRPr="00F9120E">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2" w:history="1">
        <w:r w:rsidRPr="00F9120E">
          <w:rPr>
            <w:rStyle w:val="Hipervnculo"/>
            <w:rFonts w:ascii="Verdana" w:hAnsi="Verdana" w:cs="Arial"/>
            <w:shd w:val="clear" w:color="auto" w:fill="FFFFFF"/>
            <w:lang w:val="es-ES"/>
          </w:rPr>
          <w:t>https://relatoria.colombiacompra.gov.co/busqueda/conceptos</w:t>
        </w:r>
      </w:hyperlink>
      <w:r w:rsidRPr="00F9120E">
        <w:rPr>
          <w:rStyle w:val="Hipervnculo"/>
          <w:rFonts w:ascii="Verdana" w:hAnsi="Verdana"/>
          <w:lang w:val="es-ES"/>
        </w:rPr>
        <w:t>.</w:t>
      </w:r>
      <w:r w:rsidRPr="00F9120E">
        <w:rPr>
          <w:rStyle w:val="normaltextrun"/>
          <w:rFonts w:ascii="Verdana" w:hAnsi="Verdana" w:cs="Arial"/>
          <w:color w:val="000000" w:themeColor="text1"/>
          <w:shd w:val="clear" w:color="auto" w:fill="FFFFFF"/>
          <w:lang w:val="es-ES"/>
        </w:rPr>
        <w:t xml:space="preserve"> </w:t>
      </w:r>
    </w:p>
    <w:p w14:paraId="7D8FBB83" w14:textId="77777777" w:rsidR="00A8051C" w:rsidRPr="00F9120E" w:rsidRDefault="00A8051C" w:rsidP="00A8051C">
      <w:pPr>
        <w:spacing w:after="0" w:line="276" w:lineRule="auto"/>
        <w:contextualSpacing/>
        <w:jc w:val="both"/>
        <w:rPr>
          <w:rFonts w:ascii="Verdana" w:eastAsia="Calibri" w:hAnsi="Verdana" w:cs="Arial"/>
          <w:b/>
          <w:bCs/>
          <w:lang w:val="es-ES" w:eastAsia="es-ES"/>
        </w:rPr>
      </w:pPr>
      <w:r w:rsidRPr="00F9120E">
        <w:rPr>
          <w:rStyle w:val="normaltextrun"/>
          <w:rFonts w:ascii="Verdana" w:hAnsi="Verdana" w:cs="Arial"/>
          <w:color w:val="000000" w:themeColor="text1"/>
          <w:shd w:val="clear" w:color="auto" w:fill="FFFFFF"/>
          <w:lang w:val="es-ES"/>
        </w:rPr>
        <w:t xml:space="preserve"> </w:t>
      </w:r>
    </w:p>
    <w:p w14:paraId="0E198688" w14:textId="77777777" w:rsidR="00A8051C" w:rsidRPr="00324A04" w:rsidRDefault="00A8051C" w:rsidP="00A8051C">
      <w:pPr>
        <w:jc w:val="both"/>
        <w:rPr>
          <w:rFonts w:ascii="Verdana" w:hAnsi="Verdana"/>
        </w:rPr>
      </w:pPr>
      <w:r w:rsidRPr="00324A04">
        <w:rPr>
          <w:rFonts w:ascii="Verdana" w:hAnsi="Verdana"/>
        </w:rPr>
        <w:t xml:space="preserve">La sostenibilidad no es una opción, es una obligación. Por ello, la Agencia Nacional de Contratación Pública –Colombia Compra Eficiente– te invita a realizar el </w:t>
      </w:r>
      <w:r w:rsidRPr="00324A04">
        <w:rPr>
          <w:rFonts w:ascii="Verdana" w:hAnsi="Verdana"/>
          <w:b/>
          <w:bCs/>
        </w:rPr>
        <w:t>Curso de Contratación Pública Sostenible y Socialmente Responsable</w:t>
      </w:r>
      <w:r w:rsidRPr="00324A0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24A04">
        <w:rPr>
          <w:rFonts w:ascii="Verdana" w:hAnsi="Verdana"/>
        </w:rPr>
        <w:br/>
      </w:r>
      <w:hyperlink r:id="rId13" w:tgtFrame="_new" w:history="1">
        <w:r w:rsidRPr="00324A04">
          <w:rPr>
            <w:rFonts w:ascii="Verdana" w:hAnsi="Verdana"/>
            <w:color w:val="0000FF"/>
            <w:u w:val="single"/>
          </w:rPr>
          <w:t>https://formacionvirtual.colombiacompra.gov.co/mod/page/view.php?id=3718</w:t>
        </w:r>
      </w:hyperlink>
    </w:p>
    <w:p w14:paraId="044ABF4A" w14:textId="77777777" w:rsidR="00A8051C" w:rsidRPr="00324A04" w:rsidRDefault="00A8051C" w:rsidP="00A8051C">
      <w:pPr>
        <w:jc w:val="both"/>
        <w:rPr>
          <w:rFonts w:ascii="Verdana" w:hAnsi="Verdana"/>
        </w:rPr>
      </w:pPr>
      <w:r w:rsidRPr="00324A04">
        <w:rPr>
          <w:rFonts w:ascii="Verdana" w:hAnsi="Verdana"/>
        </w:rPr>
        <w:t xml:space="preserve">De otro lado, te contamos que esta Agencia ha da un paso decisivo en la estandarización y modernización del </w:t>
      </w:r>
      <w:r w:rsidRPr="00324A04">
        <w:rPr>
          <w:rFonts w:ascii="Verdana" w:hAnsi="Verdana"/>
          <w:b/>
          <w:bCs/>
        </w:rPr>
        <w:t>sector  social</w:t>
      </w:r>
      <w:r w:rsidRPr="00324A04">
        <w:rPr>
          <w:rFonts w:ascii="Verdana" w:hAnsi="Verdana"/>
        </w:rPr>
        <w:t xml:space="preserve"> con la expedición de las </w:t>
      </w:r>
      <w:r w:rsidRPr="00324A04">
        <w:rPr>
          <w:rFonts w:ascii="Verdana" w:hAnsi="Verdana"/>
          <w:b/>
          <w:bCs/>
        </w:rPr>
        <w:t>Resoluciones 539, 540, 541, 952 y 953 de 2025</w:t>
      </w:r>
      <w:r w:rsidRPr="00324A04">
        <w:rPr>
          <w:rFonts w:ascii="Verdana" w:hAnsi="Verdana"/>
        </w:rPr>
        <w:t xml:space="preserve">, </w:t>
      </w:r>
      <w:r w:rsidRPr="00324A04">
        <w:rPr>
          <w:rFonts w:ascii="Verdana" w:hAnsi="Verdana"/>
          <w:b/>
          <w:bCs/>
        </w:rPr>
        <w:t>mediante las cuales adoptó Documentos Tipo</w:t>
      </w:r>
      <w:r w:rsidRPr="00324A04">
        <w:rPr>
          <w:rFonts w:ascii="Verdana" w:hAnsi="Verdana"/>
        </w:rPr>
        <w:t xml:space="preserve"> para las modalidades de selección de</w:t>
      </w:r>
      <w:r w:rsidRPr="00324A04">
        <w:rPr>
          <w:rFonts w:ascii="Verdana" w:hAnsi="Verdana"/>
          <w:b/>
          <w:bCs/>
        </w:rPr>
        <w:t xml:space="preserve"> licitación pública (versión 2), selección abreviada de menor cuantía, mínima cuantía, consultoría e interventoría</w:t>
      </w:r>
      <w:r w:rsidRPr="00324A04">
        <w:rPr>
          <w:rFonts w:ascii="Verdana" w:hAnsi="Verdana"/>
        </w:rPr>
        <w:t xml:space="preserve">, promoviendo procesos más transparentes, eficientes  competitivos y sostenibles en sectores estratégicos como educación, salud, cultura, recreación, deporte, institucional y vivienda. </w:t>
      </w:r>
      <w:r w:rsidRPr="00324A04">
        <w:rPr>
          <w:rFonts w:ascii="Verdana" w:hAnsi="Verdana"/>
        </w:rPr>
        <w:lastRenderedPageBreak/>
        <w:t xml:space="preserve">Consulta y descarga los documentos aquí: </w:t>
      </w:r>
      <w:hyperlink r:id="rId14" w:tgtFrame="_new" w:history="1">
        <w:r w:rsidRPr="00324A04">
          <w:rPr>
            <w:rFonts w:ascii="Verdana" w:hAnsi="Verdana"/>
            <w:color w:val="0000FF"/>
            <w:u w:val="single"/>
          </w:rPr>
          <w:t>https://www.colombiacompra.gov.co/normativa-y-relatoria/documentos-tipo</w:t>
        </w:r>
      </w:hyperlink>
    </w:p>
    <w:p w14:paraId="42992FFB" w14:textId="77777777" w:rsidR="00A8051C" w:rsidRPr="00324A04" w:rsidRDefault="00A8051C" w:rsidP="00A8051C">
      <w:pPr>
        <w:jc w:val="both"/>
        <w:rPr>
          <w:rFonts w:ascii="Verdana" w:hAnsi="Verdana"/>
          <w:color w:val="000000"/>
          <w:lang w:val="es-ES_tradnl"/>
        </w:rPr>
      </w:pPr>
      <w:r w:rsidRPr="00324A04">
        <w:rPr>
          <w:rFonts w:ascii="Verdana" w:hAnsi="Verdana"/>
        </w:rPr>
        <w:t xml:space="preserve">Si quieres conocer más sobre la aplicación de Documentos Tipo puedes consultar la última versión de la </w:t>
      </w:r>
      <w:r w:rsidRPr="00324A04">
        <w:rPr>
          <w:rFonts w:ascii="Verdana" w:hAnsi="Verdana"/>
          <w:b/>
          <w:bCs/>
        </w:rPr>
        <w:t>Guía para la comprensión e implementación de los Documentos Tipo de obra pública de infraestructura de transporte</w:t>
      </w:r>
      <w:r w:rsidRPr="00324A0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24A04">
        <w:rPr>
          <w:rFonts w:ascii="Verdana" w:hAnsi="Verdana"/>
        </w:rPr>
        <w:br/>
      </w:r>
      <w:hyperlink r:id="rId15" w:tgtFrame="_new" w:history="1">
        <w:r w:rsidRPr="00324A04">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09D28F92" w14:textId="77777777" w:rsidR="00A8051C" w:rsidRPr="00324A04" w:rsidRDefault="00A8051C" w:rsidP="00A8051C">
      <w:pPr>
        <w:shd w:val="clear" w:color="auto" w:fill="FFFFFF"/>
        <w:spacing w:after="0" w:line="276" w:lineRule="auto"/>
        <w:jc w:val="both"/>
        <w:rPr>
          <w:rFonts w:ascii="Verdana" w:hAnsi="Verdana"/>
          <w:color w:val="467886"/>
          <w:u w:val="single"/>
        </w:rPr>
      </w:pPr>
      <w:r w:rsidRPr="00324A0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DDA9047" w14:textId="77777777" w:rsidR="00A8051C" w:rsidRPr="00324A04" w:rsidRDefault="00A8051C" w:rsidP="00A8051C">
      <w:pPr>
        <w:spacing w:after="0"/>
        <w:jc w:val="both"/>
        <w:rPr>
          <w:rFonts w:ascii="Verdana" w:hAnsi="Verdana"/>
        </w:rPr>
      </w:pPr>
    </w:p>
    <w:p w14:paraId="74DDF57E" w14:textId="77777777" w:rsidR="00A8051C" w:rsidRPr="00324A04" w:rsidRDefault="00A8051C" w:rsidP="00A8051C">
      <w:pPr>
        <w:numPr>
          <w:ilvl w:val="0"/>
          <w:numId w:val="15"/>
        </w:numPr>
        <w:spacing w:after="0" w:line="240" w:lineRule="auto"/>
        <w:contextualSpacing/>
        <w:jc w:val="both"/>
        <w:rPr>
          <w:rFonts w:ascii="Verdana" w:eastAsia="Verdana" w:hAnsi="Verdana" w:cs="Verdana"/>
          <w:color w:val="4472C4" w:themeColor="accent1"/>
          <w:u w:val="single"/>
          <w:lang w:val="es-MX"/>
        </w:rPr>
      </w:pPr>
      <w:r w:rsidRPr="00324A04">
        <w:rPr>
          <w:rFonts w:ascii="Verdana" w:eastAsia="Verdana" w:hAnsi="Verdana" w:cs="Verdana"/>
          <w:lang w:val="es-MX"/>
        </w:rPr>
        <w:t xml:space="preserve">Línea nacional gratuita o servicio a la ciudadanía (Mesa de servicio): </w:t>
      </w:r>
      <w:r w:rsidRPr="00324A04">
        <w:rPr>
          <w:rFonts w:ascii="Verdana" w:hAnsi="Verdana"/>
          <w:color w:val="0000FF"/>
          <w:u w:val="single"/>
          <w:lang w:val="es-ES"/>
        </w:rPr>
        <w:t>01800 0520808</w:t>
      </w:r>
    </w:p>
    <w:p w14:paraId="021FCCCD" w14:textId="77777777" w:rsidR="00A8051C" w:rsidRPr="00324A04" w:rsidRDefault="00A8051C" w:rsidP="00A8051C">
      <w:pPr>
        <w:numPr>
          <w:ilvl w:val="0"/>
          <w:numId w:val="15"/>
        </w:numPr>
        <w:spacing w:after="0"/>
        <w:contextualSpacing/>
        <w:rPr>
          <w:rFonts w:ascii="Verdana" w:eastAsia="Verdana" w:hAnsi="Verdana" w:cs="Verdana"/>
          <w:color w:val="4472C4" w:themeColor="accent1"/>
          <w:u w:val="single"/>
          <w:lang w:val="es-MX"/>
        </w:rPr>
      </w:pPr>
      <w:r w:rsidRPr="00324A04">
        <w:rPr>
          <w:rFonts w:ascii="Verdana" w:eastAsia="Verdana" w:hAnsi="Verdana" w:cs="Verdana"/>
          <w:lang w:val="es-MX"/>
        </w:rPr>
        <w:t>Línea en Bogotá (Mesa de servicio</w:t>
      </w:r>
      <w:proofErr w:type="gramStart"/>
      <w:r w:rsidRPr="00324A04">
        <w:rPr>
          <w:rFonts w:ascii="Verdana" w:eastAsia="Verdana" w:hAnsi="Verdana" w:cs="Verdana"/>
          <w:lang w:val="es-MX"/>
        </w:rPr>
        <w:t>):</w:t>
      </w:r>
      <w:r w:rsidRPr="00324A04">
        <w:rPr>
          <w:rFonts w:ascii="Verdana" w:hAnsi="Verdana"/>
          <w:color w:val="0000FF"/>
          <w:u w:val="single"/>
          <w:lang w:val="es-ES"/>
        </w:rPr>
        <w:t>+</w:t>
      </w:r>
      <w:proofErr w:type="gramEnd"/>
      <w:r w:rsidRPr="00324A04">
        <w:rPr>
          <w:rFonts w:ascii="Verdana" w:hAnsi="Verdana"/>
          <w:color w:val="0000FF"/>
          <w:u w:val="single"/>
          <w:lang w:val="es-ES"/>
        </w:rPr>
        <w:t>57 601 7456788</w:t>
      </w:r>
    </w:p>
    <w:p w14:paraId="190088DA" w14:textId="77777777" w:rsidR="00A8051C" w:rsidRPr="00324A04" w:rsidRDefault="00A8051C" w:rsidP="00A8051C">
      <w:pPr>
        <w:numPr>
          <w:ilvl w:val="0"/>
          <w:numId w:val="15"/>
        </w:numPr>
        <w:spacing w:after="0"/>
        <w:contextualSpacing/>
        <w:rPr>
          <w:rFonts w:ascii="Verdana" w:eastAsia="Verdana" w:hAnsi="Verdana" w:cs="Verdana"/>
          <w:color w:val="0000FF"/>
          <w:u w:val="single"/>
          <w:lang w:val="es-MX"/>
        </w:rPr>
      </w:pPr>
      <w:r w:rsidRPr="00324A04">
        <w:rPr>
          <w:rFonts w:ascii="Verdana" w:eastAsia="Verdana" w:hAnsi="Verdana" w:cs="Verdana"/>
          <w:lang w:val="es-MX"/>
        </w:rPr>
        <w:t xml:space="preserve">Correo de radicación de correspondencia: </w:t>
      </w:r>
      <w:hyperlink r:id="rId16" w:history="1">
        <w:r w:rsidRPr="00324A04">
          <w:rPr>
            <w:rFonts w:ascii="Verdana" w:eastAsia="Verdana" w:hAnsi="Verdana" w:cs="Verdana"/>
            <w:color w:val="0000FF"/>
            <w:u w:val="single"/>
            <w:lang w:val="es-MX"/>
          </w:rPr>
          <w:t>ventanilladeradicacion@colombiacompra.gov.co</w:t>
        </w:r>
      </w:hyperlink>
    </w:p>
    <w:p w14:paraId="448EC566" w14:textId="77777777" w:rsidR="00A8051C" w:rsidRPr="00324A04" w:rsidRDefault="00A8051C" w:rsidP="00A8051C">
      <w:pPr>
        <w:numPr>
          <w:ilvl w:val="0"/>
          <w:numId w:val="15"/>
        </w:numPr>
        <w:spacing w:after="0"/>
        <w:contextualSpacing/>
        <w:rPr>
          <w:rFonts w:ascii="Verdana" w:eastAsia="Verdana" w:hAnsi="Verdana" w:cs="Verdana"/>
          <w:color w:val="0000FF"/>
          <w:u w:val="single"/>
          <w:lang w:val="es-MX"/>
        </w:rPr>
      </w:pPr>
      <w:r w:rsidRPr="00324A04">
        <w:rPr>
          <w:rFonts w:ascii="Verdana" w:eastAsia="Verdana" w:hAnsi="Verdana" w:cs="Verdana"/>
          <w:lang w:val="es-ES"/>
        </w:rPr>
        <w:t xml:space="preserve">Formulario web para PQRSD: </w:t>
      </w:r>
      <w:hyperlink r:id="rId17" w:history="1">
        <w:r w:rsidRPr="00324A04">
          <w:rPr>
            <w:rFonts w:ascii="Verdana" w:eastAsia="Verdana" w:hAnsi="Verdana" w:cs="Verdana"/>
            <w:color w:val="0000FF"/>
            <w:u w:val="single"/>
            <w:lang w:val="es-MX"/>
          </w:rPr>
          <w:t>https://www.colombiacompra.gov.co/pqrsd/informacion-importante-antes-de-formular-una-pqrsd</w:t>
        </w:r>
      </w:hyperlink>
    </w:p>
    <w:p w14:paraId="3437BF5C" w14:textId="77777777" w:rsidR="00A8051C" w:rsidRPr="00324A04" w:rsidRDefault="00A8051C" w:rsidP="00A8051C">
      <w:pPr>
        <w:spacing w:after="0" w:line="240" w:lineRule="auto"/>
        <w:ind w:left="720"/>
        <w:jc w:val="both"/>
        <w:rPr>
          <w:rFonts w:ascii="Verdana" w:hAnsi="Verdana"/>
        </w:rPr>
      </w:pPr>
    </w:p>
    <w:p w14:paraId="59B4F613" w14:textId="77777777" w:rsidR="00A8051C" w:rsidRPr="00324A04" w:rsidRDefault="00A8051C" w:rsidP="00A8051C">
      <w:pPr>
        <w:spacing w:after="0" w:line="276" w:lineRule="auto"/>
        <w:jc w:val="both"/>
        <w:rPr>
          <w:rFonts w:ascii="Verdana" w:hAnsi="Verdana"/>
        </w:rPr>
      </w:pPr>
      <w:r w:rsidRPr="00324A04">
        <w:rPr>
          <w:rFonts w:ascii="Verdana" w:hAnsi="Verdana"/>
        </w:rPr>
        <w:t xml:space="preserve">Evalúa el servicio que ofrece la Agencia por el canal de atención de PQRSD en el siguiente enlace: </w:t>
      </w:r>
      <w:hyperlink r:id="rId18" w:history="1">
        <w:r w:rsidRPr="00324A04">
          <w:rPr>
            <w:rFonts w:ascii="Verdana" w:hAnsi="Verdana"/>
            <w:color w:val="0000FF"/>
            <w:u w:val="single"/>
          </w:rPr>
          <w:t>https://forms.office.com/r/pPHyWVs2SZ</w:t>
        </w:r>
      </w:hyperlink>
      <w:r w:rsidRPr="00324A04">
        <w:rPr>
          <w:rFonts w:ascii="Verdana" w:hAnsi="Verdana"/>
        </w:rPr>
        <w:t xml:space="preserve"> .¡Ayúdanos a mejorar porque el compromiso es de todos!</w:t>
      </w:r>
    </w:p>
    <w:p w14:paraId="0E5125F3" w14:textId="77777777" w:rsidR="00A8051C" w:rsidRPr="00324A04" w:rsidRDefault="00A8051C" w:rsidP="00A8051C">
      <w:pPr>
        <w:spacing w:after="0" w:line="240" w:lineRule="auto"/>
        <w:rPr>
          <w:rFonts w:ascii="Verdana" w:hAnsi="Verdana"/>
        </w:rPr>
      </w:pPr>
    </w:p>
    <w:p w14:paraId="5A299618" w14:textId="77777777" w:rsidR="00A8051C" w:rsidRPr="00324A04" w:rsidRDefault="00A8051C" w:rsidP="00A8051C">
      <w:pPr>
        <w:spacing w:after="0" w:line="240" w:lineRule="auto"/>
        <w:jc w:val="both"/>
        <w:rPr>
          <w:rFonts w:ascii="Verdana" w:hAnsi="Verdana"/>
        </w:rPr>
      </w:pPr>
      <w:r w:rsidRPr="00324A04">
        <w:rPr>
          <w:rFonts w:ascii="Verdana" w:hAnsi="Verdana"/>
        </w:rPr>
        <w:t xml:space="preserve">Por último, lo invitamos a seguirnos en las redes sociales en las cuales se difunde información institucional: </w:t>
      </w:r>
    </w:p>
    <w:p w14:paraId="0870071D" w14:textId="77777777" w:rsidR="00A8051C" w:rsidRPr="00324A04" w:rsidRDefault="00A8051C" w:rsidP="00A8051C">
      <w:pPr>
        <w:spacing w:after="0" w:line="240" w:lineRule="auto"/>
        <w:jc w:val="both"/>
        <w:rPr>
          <w:rFonts w:ascii="Verdana" w:hAnsi="Verdana"/>
        </w:rPr>
      </w:pPr>
    </w:p>
    <w:p w14:paraId="4CCDA8B2" w14:textId="77777777" w:rsidR="00A8051C" w:rsidRPr="00324A04" w:rsidRDefault="00A8051C" w:rsidP="00A8051C">
      <w:pPr>
        <w:spacing w:after="0" w:line="240" w:lineRule="auto"/>
        <w:jc w:val="both"/>
        <w:rPr>
          <w:rFonts w:ascii="Verdana" w:hAnsi="Verdana"/>
        </w:rPr>
      </w:pPr>
      <w:r w:rsidRPr="00324A04">
        <w:rPr>
          <w:rFonts w:ascii="Verdana" w:hAnsi="Verdana"/>
        </w:rPr>
        <w:t xml:space="preserve">Twitter: </w:t>
      </w:r>
      <w:r w:rsidRPr="00324A04">
        <w:rPr>
          <w:rFonts w:ascii="Verdana" w:hAnsi="Verdana"/>
          <w:color w:val="0000FF"/>
          <w:u w:val="single"/>
        </w:rPr>
        <w:t>@colombiacompra</w:t>
      </w:r>
      <w:r w:rsidRPr="00324A04">
        <w:rPr>
          <w:rFonts w:ascii="Verdana" w:hAnsi="Verdana"/>
        </w:rPr>
        <w:t xml:space="preserve"> </w:t>
      </w:r>
    </w:p>
    <w:p w14:paraId="08CD813F" w14:textId="77777777" w:rsidR="00A8051C" w:rsidRPr="00324A04" w:rsidRDefault="00A8051C" w:rsidP="00A8051C">
      <w:pPr>
        <w:spacing w:after="0" w:line="240" w:lineRule="auto"/>
        <w:jc w:val="both"/>
        <w:rPr>
          <w:rFonts w:ascii="Verdana" w:hAnsi="Verdana"/>
        </w:rPr>
      </w:pPr>
      <w:r w:rsidRPr="00324A04">
        <w:rPr>
          <w:rFonts w:ascii="Verdana" w:hAnsi="Verdana"/>
        </w:rPr>
        <w:t xml:space="preserve">Facebook: </w:t>
      </w:r>
      <w:proofErr w:type="spellStart"/>
      <w:r w:rsidRPr="00324A04">
        <w:rPr>
          <w:rFonts w:ascii="Verdana" w:hAnsi="Verdana"/>
          <w:color w:val="0000FF"/>
          <w:u w:val="single"/>
        </w:rPr>
        <w:t>ColombiaCompraEficiente</w:t>
      </w:r>
      <w:proofErr w:type="spellEnd"/>
    </w:p>
    <w:p w14:paraId="4EE3F36D" w14:textId="77777777" w:rsidR="00A8051C" w:rsidRPr="00324A04" w:rsidRDefault="00A8051C" w:rsidP="00A8051C">
      <w:pPr>
        <w:spacing w:after="0" w:line="240" w:lineRule="auto"/>
        <w:jc w:val="both"/>
        <w:rPr>
          <w:rFonts w:ascii="Verdana" w:hAnsi="Verdana"/>
        </w:rPr>
      </w:pPr>
      <w:r w:rsidRPr="00324A04">
        <w:rPr>
          <w:rFonts w:ascii="Verdana" w:hAnsi="Verdana"/>
        </w:rPr>
        <w:lastRenderedPageBreak/>
        <w:t xml:space="preserve">LinkedIn: </w:t>
      </w:r>
      <w:r w:rsidRPr="00324A04">
        <w:rPr>
          <w:rFonts w:ascii="Verdana" w:hAnsi="Verdana"/>
          <w:color w:val="0000FF"/>
          <w:u w:val="single"/>
        </w:rPr>
        <w:t>Agencia Nacional de Contratación Pública - Colombia Compra Eficiente</w:t>
      </w:r>
      <w:r w:rsidRPr="00324A04">
        <w:rPr>
          <w:rFonts w:ascii="Verdana" w:hAnsi="Verdana"/>
        </w:rPr>
        <w:t xml:space="preserve"> Instagram: </w:t>
      </w:r>
      <w:r w:rsidRPr="00324A04">
        <w:rPr>
          <w:rFonts w:ascii="Verdana" w:hAnsi="Verdana"/>
          <w:color w:val="0000FF"/>
          <w:u w:val="single"/>
        </w:rPr>
        <w:t>@colombiacompraeficiente_cce</w:t>
      </w:r>
    </w:p>
    <w:p w14:paraId="19FE7684" w14:textId="77777777" w:rsidR="00A8051C" w:rsidRPr="00324A04" w:rsidRDefault="00A8051C" w:rsidP="00A8051C">
      <w:pPr>
        <w:widowControl w:val="0"/>
        <w:autoSpaceDE w:val="0"/>
        <w:autoSpaceDN w:val="0"/>
        <w:spacing w:after="120" w:line="276" w:lineRule="auto"/>
        <w:jc w:val="both"/>
        <w:rPr>
          <w:rFonts w:ascii="Verdana" w:hAnsi="Verdana" w:cs="Arial"/>
          <w:color w:val="FF0000"/>
          <w:shd w:val="clear" w:color="auto" w:fill="FFFFFF"/>
          <w:lang w:val="es-ES_tradnl"/>
        </w:rPr>
      </w:pPr>
      <w:r w:rsidRPr="00324A04">
        <w:rPr>
          <w:rFonts w:ascii="Verdana" w:hAnsi="Verdana" w:cs="Arial"/>
          <w:color w:val="FF0000"/>
          <w:shd w:val="clear" w:color="auto" w:fill="FFFFFF"/>
          <w:lang w:val="es-ES_tradnl"/>
        </w:rPr>
        <w:t xml:space="preserve">        </w:t>
      </w:r>
    </w:p>
    <w:p w14:paraId="5215583B" w14:textId="77777777" w:rsidR="00A8051C" w:rsidRPr="003C17E7" w:rsidRDefault="00A8051C" w:rsidP="00A8051C">
      <w:pPr>
        <w:widowControl w:val="0"/>
        <w:autoSpaceDE w:val="0"/>
        <w:autoSpaceDN w:val="0"/>
        <w:spacing w:after="0" w:line="276" w:lineRule="auto"/>
        <w:jc w:val="both"/>
        <w:rPr>
          <w:rFonts w:ascii="Verdana" w:hAnsi="Verdana" w:cs="Arial"/>
          <w:lang w:val="es-ES_tradnl"/>
        </w:rPr>
      </w:pPr>
      <w:r w:rsidRPr="00324A04">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17E6A4B4" w14:textId="77777777" w:rsidR="00A8051C" w:rsidRPr="00F9120E" w:rsidRDefault="00A8051C" w:rsidP="00A8051C">
      <w:pPr>
        <w:spacing w:before="240" w:after="0" w:line="276" w:lineRule="auto"/>
        <w:rPr>
          <w:rFonts w:ascii="Verdana" w:hAnsi="Verdana" w:cs="Arial"/>
          <w:color w:val="000000" w:themeColor="text1"/>
          <w:lang w:val="es-ES" w:eastAsia="es-CO"/>
        </w:rPr>
      </w:pPr>
      <w:r w:rsidRPr="00F9120E">
        <w:rPr>
          <w:rFonts w:ascii="Verdana" w:eastAsia="Times New Roman" w:hAnsi="Verdana" w:cs="Arial"/>
          <w:color w:val="000000" w:themeColor="text1"/>
          <w:lang w:val="es-ES" w:eastAsia="es-CO"/>
        </w:rPr>
        <w:t>Atentamente,</w:t>
      </w:r>
      <w:r w:rsidRPr="00F9120E">
        <w:rPr>
          <w:rFonts w:ascii="Verdana" w:hAnsi="Verdana" w:cs="Arial"/>
          <w:color w:val="000000" w:themeColor="text1"/>
          <w:lang w:val="es-ES" w:eastAsia="es-CO"/>
        </w:rPr>
        <w:t xml:space="preserve"> </w:t>
      </w:r>
    </w:p>
    <w:bookmarkEnd w:id="0"/>
    <w:p w14:paraId="1711C8AB" w14:textId="77777777" w:rsidR="0076628B" w:rsidRPr="00F21F0B" w:rsidRDefault="0076628B" w:rsidP="0076628B">
      <w:pPr>
        <w:spacing w:line="276" w:lineRule="auto"/>
        <w:jc w:val="center"/>
        <w:rPr>
          <w:rFonts w:ascii="Verdana" w:eastAsia="Calibri" w:hAnsi="Verdana" w:cs="Arial"/>
          <w:color w:val="000000"/>
          <w:lang w:val="es-ES_tradnl" w:eastAsia="es-CO"/>
        </w:rPr>
      </w:pPr>
      <w:r w:rsidRPr="00F21F0B">
        <w:rPr>
          <w:rFonts w:ascii="Century Gothic" w:hAnsi="Century Gothic"/>
          <w:noProof/>
        </w:rPr>
        <w:drawing>
          <wp:inline distT="0" distB="0" distL="0" distR="0" wp14:anchorId="6CD4FE9E" wp14:editId="4238E271">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2"/>
        <w:tblW w:w="6521" w:type="dxa"/>
        <w:tblLook w:val="04A0" w:firstRow="1" w:lastRow="0" w:firstColumn="1" w:lastColumn="0" w:noHBand="0" w:noVBand="1"/>
      </w:tblPr>
      <w:tblGrid>
        <w:gridCol w:w="893"/>
        <w:gridCol w:w="5628"/>
      </w:tblGrid>
      <w:tr w:rsidR="0076628B" w:rsidRPr="00F21F0B" w14:paraId="6E90CEC9" w14:textId="77777777" w:rsidTr="00E615C0">
        <w:trPr>
          <w:trHeight w:val="315"/>
        </w:trPr>
        <w:tc>
          <w:tcPr>
            <w:tcW w:w="893" w:type="dxa"/>
            <w:vAlign w:val="center"/>
            <w:hideMark/>
          </w:tcPr>
          <w:p w14:paraId="204BF621" w14:textId="77777777" w:rsidR="0076628B" w:rsidRPr="00F21F0B" w:rsidRDefault="0076628B"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D2E17B2" w14:textId="77777777" w:rsidR="0076628B" w:rsidRPr="00F21F0B" w:rsidRDefault="0076628B" w:rsidP="00E615C0">
            <w:pPr>
              <w:spacing w:after="255" w:line="254" w:lineRule="auto"/>
              <w:contextualSpacing/>
              <w:rPr>
                <w:rFonts w:ascii="Verdana" w:eastAsia="Calibri" w:hAnsi="Verdana" w:cs="Times New Roman"/>
                <w:sz w:val="16"/>
                <w:szCs w:val="16"/>
              </w:rPr>
            </w:pPr>
            <w:r w:rsidRPr="00F21F0B">
              <w:rPr>
                <w:rFonts w:ascii="Verdana" w:eastAsia="Calibri" w:hAnsi="Verdana" w:cs="Times New Roman"/>
                <w:sz w:val="16"/>
                <w:szCs w:val="16"/>
              </w:rPr>
              <w:t>Tatiana Baquero Iguarán</w:t>
            </w:r>
          </w:p>
          <w:p w14:paraId="0C4FDAFD" w14:textId="77777777" w:rsidR="0076628B" w:rsidRPr="00F21F0B" w:rsidRDefault="0076628B" w:rsidP="00E615C0">
            <w:pPr>
              <w:spacing w:after="255" w:line="254" w:lineRule="auto"/>
              <w:contextualSpacing/>
              <w:rPr>
                <w:rFonts w:ascii="Verdana" w:hAnsi="Verdana"/>
                <w:sz w:val="16"/>
                <w:szCs w:val="16"/>
              </w:rPr>
            </w:pPr>
            <w:r w:rsidRPr="00F21F0B">
              <w:rPr>
                <w:rFonts w:ascii="Verdana" w:eastAsia="Calibri" w:hAnsi="Verdana" w:cs="Times New Roman"/>
                <w:sz w:val="16"/>
                <w:szCs w:val="16"/>
              </w:rPr>
              <w:t>Contratista de la Subdirección de Gestión Contractual</w:t>
            </w:r>
          </w:p>
        </w:tc>
      </w:tr>
      <w:tr w:rsidR="0076628B" w:rsidRPr="00F21F0B" w14:paraId="35648C5A" w14:textId="77777777" w:rsidTr="00E615C0">
        <w:trPr>
          <w:trHeight w:val="330"/>
        </w:trPr>
        <w:tc>
          <w:tcPr>
            <w:tcW w:w="893" w:type="dxa"/>
            <w:vAlign w:val="center"/>
            <w:hideMark/>
          </w:tcPr>
          <w:p w14:paraId="4459DBAC" w14:textId="77777777" w:rsidR="0076628B" w:rsidRPr="00F21F0B" w:rsidRDefault="0076628B"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64D29A1" w14:textId="77777777" w:rsidR="0076628B" w:rsidRPr="00F21F0B" w:rsidRDefault="0076628B" w:rsidP="00E615C0">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F21F0B">
              <w:rPr>
                <w:rFonts w:ascii="Verdana" w:eastAsia="Times New Roman" w:hAnsi="Verdana"/>
                <w:sz w:val="16"/>
                <w:szCs w:val="16"/>
                <w:lang w:eastAsia="es-ES_tradnl"/>
              </w:rPr>
              <w:t>Alejandro Sarmiento Cantillo</w:t>
            </w:r>
          </w:p>
          <w:p w14:paraId="1942DEA8" w14:textId="77777777" w:rsidR="0076628B" w:rsidRPr="00F21F0B" w:rsidRDefault="0076628B" w:rsidP="00E615C0">
            <w:pPr>
              <w:spacing w:after="255" w:line="254" w:lineRule="auto"/>
              <w:contextualSpacing/>
              <w:textAlignment w:val="baseline"/>
              <w:rPr>
                <w:rFonts w:ascii="Verdana" w:eastAsia="Times New Roman" w:hAnsi="Verdana" w:cs="Segoe UI"/>
                <w:sz w:val="16"/>
                <w:szCs w:val="16"/>
                <w:lang w:eastAsia="es-ES_tradnl"/>
              </w:rPr>
            </w:pPr>
            <w:r w:rsidRPr="00F21F0B">
              <w:rPr>
                <w:rFonts w:ascii="Verdana" w:eastAsia="Times New Roman" w:hAnsi="Verdana"/>
                <w:sz w:val="16"/>
                <w:szCs w:val="16"/>
                <w:lang w:eastAsia="es-ES_tradnl"/>
              </w:rPr>
              <w:t>Gestor T1 ‒ 15 de la Subdirección de Gestión Contractual </w:t>
            </w:r>
          </w:p>
        </w:tc>
      </w:tr>
      <w:tr w:rsidR="0076628B" w:rsidRPr="00F21F0B" w14:paraId="6FC8EB8E" w14:textId="77777777" w:rsidTr="00E615C0">
        <w:trPr>
          <w:trHeight w:val="300"/>
        </w:trPr>
        <w:tc>
          <w:tcPr>
            <w:tcW w:w="893" w:type="dxa"/>
            <w:vAlign w:val="center"/>
            <w:hideMark/>
          </w:tcPr>
          <w:p w14:paraId="6D6930CF" w14:textId="77777777" w:rsidR="0076628B" w:rsidRPr="00F21F0B" w:rsidRDefault="0076628B"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82666A" w14:textId="77777777" w:rsidR="0076628B" w:rsidRPr="00F21F0B" w:rsidRDefault="0076628B" w:rsidP="00E615C0">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val="pt-BR" w:eastAsia="es-ES"/>
              </w:rPr>
              <w:t xml:space="preserve">Carolina Quintero </w:t>
            </w:r>
            <w:proofErr w:type="spellStart"/>
            <w:r w:rsidRPr="00F21F0B">
              <w:rPr>
                <w:rFonts w:ascii="Verdana" w:eastAsia="Calibri" w:hAnsi="Verdana"/>
                <w:sz w:val="16"/>
                <w:szCs w:val="16"/>
                <w:lang w:val="pt-BR" w:eastAsia="es-ES"/>
              </w:rPr>
              <w:t>Gacharná</w:t>
            </w:r>
            <w:proofErr w:type="spellEnd"/>
          </w:p>
          <w:p w14:paraId="609FDC07" w14:textId="77777777" w:rsidR="0076628B" w:rsidRPr="00F21F0B" w:rsidRDefault="0076628B" w:rsidP="00E615C0">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eastAsia="es-ES"/>
              </w:rPr>
              <w:t>Subdirectora</w:t>
            </w:r>
            <w:r w:rsidRPr="00F21F0B">
              <w:rPr>
                <w:rFonts w:ascii="Verdana" w:eastAsia="Calibri" w:hAnsi="Verdana"/>
                <w:sz w:val="16"/>
                <w:szCs w:val="16"/>
                <w:lang w:val="pt-BR" w:eastAsia="es-ES"/>
              </w:rPr>
              <w:t xml:space="preserve"> de Gestión Contratual ANCP – CCE</w:t>
            </w:r>
          </w:p>
        </w:tc>
      </w:tr>
    </w:tbl>
    <w:p w14:paraId="0A019FD3" w14:textId="77777777" w:rsidR="0076628B" w:rsidRPr="00F21F0B" w:rsidRDefault="0076628B" w:rsidP="0076628B">
      <w:pPr>
        <w:spacing w:after="0" w:line="240" w:lineRule="auto"/>
        <w:rPr>
          <w:rFonts w:ascii="Verdana" w:eastAsia="Times New Roman" w:hAnsi="Verdana" w:cs="Arial"/>
          <w:sz w:val="24"/>
          <w:szCs w:val="24"/>
          <w:lang w:eastAsia="es-ES"/>
        </w:rPr>
      </w:pPr>
    </w:p>
    <w:p w14:paraId="7B5D113B" w14:textId="77777777" w:rsidR="0076628B" w:rsidRPr="00F21F0B" w:rsidRDefault="0076628B" w:rsidP="0076628B">
      <w:pPr>
        <w:spacing w:after="0"/>
        <w:rPr>
          <w:rFonts w:ascii="Verdana" w:hAnsi="Verdana"/>
        </w:rPr>
      </w:pPr>
    </w:p>
    <w:p w14:paraId="3C6AEB63" w14:textId="77777777" w:rsidR="0076628B" w:rsidRPr="00F21F0B" w:rsidRDefault="0076628B" w:rsidP="0076628B"/>
    <w:p w14:paraId="0CDA6C24" w14:textId="77777777" w:rsidR="007F3220" w:rsidRDefault="007F3220" w:rsidP="007F3220">
      <w:pPr>
        <w:spacing w:after="0" w:line="276" w:lineRule="auto"/>
        <w:rPr>
          <w:rFonts w:ascii="Verdana" w:eastAsia="Geomanist Light" w:hAnsi="Verdana" w:cs="Arial"/>
          <w:color w:val="000000" w:themeColor="text1"/>
          <w:lang w:val="es-MX"/>
        </w:rPr>
      </w:pPr>
    </w:p>
    <w:sectPr w:rsidR="007F3220"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78725" w14:textId="77777777" w:rsidR="009B4E81" w:rsidRDefault="009B4E81" w:rsidP="004A1847">
      <w:pPr>
        <w:spacing w:after="0" w:line="240" w:lineRule="auto"/>
      </w:pPr>
      <w:r>
        <w:separator/>
      </w:r>
    </w:p>
  </w:endnote>
  <w:endnote w:type="continuationSeparator" w:id="0">
    <w:p w14:paraId="5EB88E0B" w14:textId="77777777" w:rsidR="009B4E81" w:rsidRDefault="009B4E81" w:rsidP="004A1847">
      <w:pPr>
        <w:spacing w:after="0" w:line="240" w:lineRule="auto"/>
      </w:pPr>
      <w:r>
        <w:continuationSeparator/>
      </w:r>
    </w:p>
  </w:endnote>
  <w:endnote w:type="continuationNotice" w:id="1">
    <w:p w14:paraId="27F74531" w14:textId="77777777" w:rsidR="009B4E81" w:rsidRDefault="009B4E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25CE7" w14:textId="77777777" w:rsidR="009B4E81" w:rsidRDefault="009B4E81" w:rsidP="004A1847">
      <w:pPr>
        <w:spacing w:after="0" w:line="240" w:lineRule="auto"/>
      </w:pPr>
      <w:r>
        <w:separator/>
      </w:r>
    </w:p>
  </w:footnote>
  <w:footnote w:type="continuationSeparator" w:id="0">
    <w:p w14:paraId="44F9BFCE" w14:textId="77777777" w:rsidR="009B4E81" w:rsidRDefault="009B4E81" w:rsidP="004A1847">
      <w:pPr>
        <w:spacing w:after="0" w:line="240" w:lineRule="auto"/>
      </w:pPr>
      <w:r>
        <w:continuationSeparator/>
      </w:r>
    </w:p>
  </w:footnote>
  <w:footnote w:type="continuationNotice" w:id="1">
    <w:p w14:paraId="04BA1345" w14:textId="77777777" w:rsidR="009B4E81" w:rsidRDefault="009B4E81">
      <w:pPr>
        <w:spacing w:after="0" w:line="240" w:lineRule="auto"/>
      </w:pPr>
    </w:p>
  </w:footnote>
  <w:footnote w:id="2">
    <w:p w14:paraId="55E13793" w14:textId="77777777" w:rsidR="00A8051C" w:rsidRPr="00167C84" w:rsidRDefault="00A8051C" w:rsidP="00A8051C">
      <w:pPr>
        <w:pStyle w:val="Textonotapie"/>
        <w:ind w:firstLine="709"/>
        <w:contextualSpacing/>
        <w:jc w:val="both"/>
        <w:rPr>
          <w:rFonts w:ascii="Verdana" w:hAnsi="Verdana" w:cs="Arial"/>
          <w:color w:val="000000" w:themeColor="text1"/>
          <w:sz w:val="16"/>
          <w:szCs w:val="16"/>
          <w:lang w:val="es-ES"/>
        </w:rPr>
      </w:pPr>
      <w:r w:rsidRPr="00167C84">
        <w:rPr>
          <w:rStyle w:val="Refdenotaalpie"/>
          <w:rFonts w:ascii="Verdana" w:hAnsi="Verdana" w:cs="Arial"/>
          <w:color w:val="000000" w:themeColor="text1"/>
          <w:sz w:val="16"/>
          <w:szCs w:val="16"/>
        </w:rPr>
        <w:footnoteRef/>
      </w:r>
      <w:r w:rsidRPr="00167C84">
        <w:rPr>
          <w:rFonts w:ascii="Verdana" w:hAnsi="Verdana" w:cs="Arial"/>
          <w:color w:val="000000" w:themeColor="text1"/>
          <w:sz w:val="16"/>
          <w:szCs w:val="16"/>
        </w:rPr>
        <w:t xml:space="preserve"> </w:t>
      </w:r>
      <w:r w:rsidRPr="004779A0">
        <w:rPr>
          <w:rFonts w:ascii="Verdana" w:hAnsi="Verdana" w:cs="Arial"/>
          <w:color w:val="000000" w:themeColor="text1"/>
          <w:sz w:val="16"/>
          <w:szCs w:val="16"/>
        </w:rPr>
        <w:t xml:space="preserve">MARÍN CORTÉS, Fabian G., El precio. Serie: Las Cláusulas del Contrato Estatal, Ed. Jurídica Sánchez R. Bogotá, 2012. </w:t>
      </w:r>
      <w:r w:rsidRPr="00167C84">
        <w:rPr>
          <w:rFonts w:ascii="Verdana" w:hAnsi="Verdana" w:cs="Arial"/>
          <w:color w:val="000000" w:themeColor="text1"/>
          <w:sz w:val="16"/>
          <w:szCs w:val="16"/>
          <w:lang w:val="es-ES"/>
        </w:rPr>
        <w:t>pp. 64-65.</w:t>
      </w:r>
    </w:p>
  </w:footnote>
  <w:footnote w:id="3">
    <w:p w14:paraId="3C1DD6FF" w14:textId="77777777" w:rsidR="00A8051C" w:rsidRPr="00167C84" w:rsidRDefault="00A8051C" w:rsidP="00A8051C">
      <w:pPr>
        <w:pStyle w:val="Textonotapie"/>
        <w:ind w:firstLine="708"/>
        <w:contextualSpacing/>
        <w:jc w:val="both"/>
        <w:rPr>
          <w:rFonts w:ascii="Verdana" w:hAnsi="Verdana" w:cs="Arial"/>
          <w:sz w:val="16"/>
          <w:szCs w:val="16"/>
        </w:rPr>
      </w:pPr>
      <w:r w:rsidRPr="00167C84">
        <w:rPr>
          <w:rStyle w:val="Refdenotaalpie"/>
          <w:rFonts w:ascii="Verdana" w:hAnsi="Verdana" w:cs="Arial"/>
          <w:sz w:val="16"/>
          <w:szCs w:val="16"/>
        </w:rPr>
        <w:footnoteRef/>
      </w:r>
      <w:r w:rsidRPr="00167C84">
        <w:rPr>
          <w:rFonts w:ascii="Verdana" w:hAnsi="Verdana" w:cs="Arial"/>
          <w:sz w:val="16"/>
          <w:szCs w:val="16"/>
        </w:rPr>
        <w:t xml:space="preserve"> El factor multiplicador se encontraba regulado en los artículos 33, 34 y 35 del Decreto 1522 de 1983, “Por el cual se dictan normas sobre registro de proponentes y concurso de méritos”. No obstante, este reglamento fue posteriormente derogado por el Decreto 2326 de 1995, "Por el cual se reglamenta la Ley 80 de 1993 en cuanto a los Concursos para la selección de consultores de diseño, planos, anteproyectos y proyectos arquitectónicos, se hace una adición al Decreto 1584 de 1994 y se dictan otras disposiciones".</w:t>
      </w:r>
    </w:p>
  </w:footnote>
  <w:footnote w:id="4">
    <w:p w14:paraId="5FCDD13F" w14:textId="77777777" w:rsidR="00A8051C" w:rsidRPr="00167C84" w:rsidRDefault="00A8051C" w:rsidP="00A8051C">
      <w:pPr>
        <w:pStyle w:val="Textonotapie"/>
        <w:ind w:firstLine="708"/>
        <w:contextualSpacing/>
        <w:jc w:val="both"/>
        <w:rPr>
          <w:rFonts w:ascii="Verdana" w:hAnsi="Verdana"/>
          <w:sz w:val="16"/>
          <w:szCs w:val="16"/>
        </w:rPr>
      </w:pPr>
      <w:r w:rsidRPr="00167C84">
        <w:rPr>
          <w:rStyle w:val="Refdenotaalpie"/>
          <w:rFonts w:ascii="Verdana" w:hAnsi="Verdana"/>
          <w:sz w:val="16"/>
          <w:szCs w:val="16"/>
        </w:rPr>
        <w:footnoteRef/>
      </w:r>
      <w:r w:rsidRPr="00167C84">
        <w:rPr>
          <w:rFonts w:ascii="Verdana" w:hAnsi="Verdana"/>
          <w:sz w:val="16"/>
          <w:szCs w:val="16"/>
        </w:rPr>
        <w:t xml:space="preserve">Decreto 1523 de 1983: “Artículo 33. Costo del contrato de consultoría.  El costo total del contrato debe cubrir íntegramente los costos directos derivados de la ejecución de la consultoría y el estimado de los indirectos y la utilidad del consultor. </w:t>
      </w:r>
    </w:p>
    <w:p w14:paraId="75E14B34" w14:textId="77777777" w:rsidR="00A8051C" w:rsidRPr="00167C84" w:rsidRDefault="00A8051C" w:rsidP="00A8051C">
      <w:pPr>
        <w:pStyle w:val="Textonotapie"/>
        <w:ind w:firstLine="708"/>
        <w:contextualSpacing/>
        <w:jc w:val="both"/>
        <w:rPr>
          <w:rFonts w:ascii="Verdana" w:hAnsi="Verdana"/>
          <w:sz w:val="16"/>
          <w:szCs w:val="16"/>
        </w:rPr>
      </w:pPr>
      <w:r w:rsidRPr="00167C84">
        <w:rPr>
          <w:rFonts w:ascii="Verdana" w:hAnsi="Verdana"/>
          <w:sz w:val="16"/>
          <w:szCs w:val="16"/>
        </w:rPr>
        <w:t xml:space="preserve">Para definir el costo del contrato, los de operación del consultor se clasificarán así: </w:t>
      </w:r>
    </w:p>
    <w:p w14:paraId="5F0F0A9E" w14:textId="77777777" w:rsidR="00A8051C" w:rsidRPr="00167C84" w:rsidRDefault="00A8051C" w:rsidP="00A8051C">
      <w:pPr>
        <w:pStyle w:val="Textonotapie"/>
        <w:ind w:firstLine="708"/>
        <w:contextualSpacing/>
        <w:jc w:val="both"/>
        <w:rPr>
          <w:rFonts w:ascii="Verdana" w:hAnsi="Verdana"/>
          <w:sz w:val="16"/>
          <w:szCs w:val="16"/>
        </w:rPr>
      </w:pPr>
      <w:r w:rsidRPr="00167C84">
        <w:rPr>
          <w:rFonts w:ascii="Verdana" w:hAnsi="Verdana"/>
          <w:sz w:val="16"/>
          <w:szCs w:val="16"/>
        </w:rPr>
        <w:t xml:space="preserve">Costos directos del personal del proyecto. Los cuales están constituidos por los salarios del personal profesional, técnico y auxiliar asignado para ejecutar labores directamente en el contrato. </w:t>
      </w:r>
    </w:p>
    <w:p w14:paraId="5F172BA2" w14:textId="77777777" w:rsidR="00A8051C" w:rsidRPr="00167C84" w:rsidRDefault="00A8051C" w:rsidP="00A8051C">
      <w:pPr>
        <w:pStyle w:val="Textonotapie"/>
        <w:ind w:firstLine="708"/>
        <w:contextualSpacing/>
        <w:jc w:val="both"/>
        <w:rPr>
          <w:rFonts w:ascii="Verdana" w:hAnsi="Verdana"/>
          <w:sz w:val="16"/>
          <w:szCs w:val="16"/>
        </w:rPr>
      </w:pPr>
      <w:r w:rsidRPr="00167C84">
        <w:rPr>
          <w:rFonts w:ascii="Verdana" w:hAnsi="Verdana"/>
          <w:sz w:val="16"/>
          <w:szCs w:val="16"/>
        </w:rPr>
        <w:t xml:space="preserve">El personal aquí incluido debe tener vinculación laboral con el consultor; sus prestaciones sociales o laborales se presentarán en forma separada y se cubrirán con el factor multiplicador cuando se utilice este sistema de cálculo. </w:t>
      </w:r>
    </w:p>
    <w:p w14:paraId="16F1D6B2" w14:textId="77777777" w:rsidR="00A8051C" w:rsidRPr="00167C84" w:rsidRDefault="00A8051C" w:rsidP="00A8051C">
      <w:pPr>
        <w:pStyle w:val="Textonotapie"/>
        <w:ind w:firstLine="708"/>
        <w:contextualSpacing/>
        <w:jc w:val="both"/>
        <w:rPr>
          <w:rFonts w:ascii="Verdana" w:hAnsi="Verdana"/>
          <w:sz w:val="16"/>
          <w:szCs w:val="16"/>
        </w:rPr>
      </w:pPr>
      <w:r w:rsidRPr="00167C84">
        <w:rPr>
          <w:rFonts w:ascii="Verdana" w:hAnsi="Verdana"/>
          <w:sz w:val="16"/>
          <w:szCs w:val="16"/>
        </w:rPr>
        <w:t xml:space="preserve">Otros costos directos. En estos costos se incluyen el de otros insumos requeridos para la ejecución del contrato, tales como honorarios por servicios pagados por el consultor, gastos de viaje, acarreos y transportes, alquiler de equipos, suministros de material y los insumos que se presupuesten como necesarios para la normal ejecución del a contrato. </w:t>
      </w:r>
    </w:p>
    <w:p w14:paraId="56C63345" w14:textId="77777777" w:rsidR="00A8051C" w:rsidRPr="00167C84" w:rsidRDefault="00A8051C" w:rsidP="00A8051C">
      <w:pPr>
        <w:pStyle w:val="Textonotapie"/>
        <w:ind w:firstLine="708"/>
        <w:contextualSpacing/>
        <w:jc w:val="both"/>
        <w:rPr>
          <w:rFonts w:ascii="Verdana" w:hAnsi="Verdana"/>
          <w:sz w:val="16"/>
          <w:szCs w:val="16"/>
        </w:rPr>
      </w:pPr>
      <w:r w:rsidRPr="00167C84">
        <w:rPr>
          <w:rFonts w:ascii="Verdana" w:hAnsi="Verdana"/>
          <w:sz w:val="16"/>
          <w:szCs w:val="16"/>
        </w:rPr>
        <w:t xml:space="preserve">Costos indirectos. Corresponden a aquellos gastos que tiene la organización del consultor para poder ofrecer la disponibilidad de su servicio. </w:t>
      </w:r>
    </w:p>
    <w:p w14:paraId="0CA9B849" w14:textId="77777777" w:rsidR="00A8051C" w:rsidRPr="00167C84" w:rsidRDefault="00A8051C" w:rsidP="00A8051C">
      <w:pPr>
        <w:pStyle w:val="Textonotapie"/>
        <w:ind w:firstLine="708"/>
        <w:contextualSpacing/>
        <w:jc w:val="both"/>
        <w:rPr>
          <w:rFonts w:ascii="Verdana" w:hAnsi="Verdana"/>
          <w:sz w:val="16"/>
          <w:szCs w:val="16"/>
        </w:rPr>
      </w:pPr>
      <w:r w:rsidRPr="00167C84">
        <w:rPr>
          <w:rFonts w:ascii="Verdana" w:hAnsi="Verdana"/>
          <w:sz w:val="16"/>
          <w:szCs w:val="16"/>
        </w:rPr>
        <w:t>Utilidad. Es el beneficio económico que recibe el consultor por ejecutar el contrato”.</w:t>
      </w:r>
    </w:p>
  </w:footnote>
  <w:footnote w:id="5">
    <w:p w14:paraId="660F704E" w14:textId="77777777" w:rsidR="00A8051C" w:rsidRPr="00167C84" w:rsidRDefault="00A8051C" w:rsidP="00A8051C">
      <w:pPr>
        <w:pStyle w:val="Textonotapie"/>
        <w:ind w:firstLine="708"/>
        <w:contextualSpacing/>
        <w:jc w:val="both"/>
        <w:rPr>
          <w:rFonts w:ascii="Verdana" w:hAnsi="Verdana"/>
          <w:sz w:val="16"/>
          <w:szCs w:val="16"/>
        </w:rPr>
      </w:pPr>
      <w:r w:rsidRPr="00167C84">
        <w:rPr>
          <w:rStyle w:val="Refdenotaalpie"/>
          <w:rFonts w:ascii="Verdana" w:hAnsi="Verdana"/>
          <w:sz w:val="16"/>
          <w:szCs w:val="16"/>
        </w:rPr>
        <w:footnoteRef/>
      </w:r>
      <w:r w:rsidRPr="00167C84">
        <w:rPr>
          <w:rFonts w:ascii="Verdana" w:hAnsi="Verdana"/>
          <w:sz w:val="16"/>
          <w:szCs w:val="16"/>
        </w:rPr>
        <w:t xml:space="preserve"> Decreto 1523 de 1983: “Artículo 34. Factores y criterios sobre costos de la consultoría. En el cálculo de los costos directos se tendrá como guía, cuando éstas existan, las tarifas que con aprobación del Gobierno se hayan determinado por las asociaciones que tengan el carácter de cuerpo consultivo del mismo o, en defecto de aquellas, por las tarifas que determine la entidad delegada para tal efecto por el Gobierno. </w:t>
      </w:r>
    </w:p>
    <w:p w14:paraId="79544B7B" w14:textId="77777777" w:rsidR="00A8051C" w:rsidRPr="00167C84" w:rsidRDefault="00A8051C" w:rsidP="00A8051C">
      <w:pPr>
        <w:pStyle w:val="Textonotapie"/>
        <w:ind w:firstLine="708"/>
        <w:contextualSpacing/>
        <w:jc w:val="both"/>
        <w:rPr>
          <w:rFonts w:ascii="Verdana" w:hAnsi="Verdana"/>
          <w:sz w:val="16"/>
          <w:szCs w:val="16"/>
        </w:rPr>
      </w:pPr>
      <w:r w:rsidRPr="00167C84">
        <w:rPr>
          <w:rFonts w:ascii="Verdana" w:hAnsi="Verdana"/>
          <w:sz w:val="16"/>
          <w:szCs w:val="16"/>
        </w:rPr>
        <w:t xml:space="preserve">Para cubrir los costos de provisión laboral prestacional, los costos indirectos y la utilidad del consultor, podrá utilizarse el método del factor multiplicador. Este consiste en un factor que, aplicado a los costos directos de personal, arroja un monto que cubre los anteriormente mencionados. Adicionalmente, podrá reconocerse hasta un diez por ciento (10%) de los otros costos directos para cubrir los gastos de administración de los mismos. </w:t>
      </w:r>
    </w:p>
    <w:p w14:paraId="31E0A425" w14:textId="77777777" w:rsidR="00A8051C" w:rsidRPr="00167C84" w:rsidRDefault="00A8051C" w:rsidP="00A8051C">
      <w:pPr>
        <w:pStyle w:val="Textonotapie"/>
        <w:ind w:firstLine="708"/>
        <w:contextualSpacing/>
        <w:jc w:val="both"/>
        <w:rPr>
          <w:rFonts w:ascii="Verdana" w:hAnsi="Verdana"/>
          <w:sz w:val="16"/>
          <w:szCs w:val="16"/>
        </w:rPr>
      </w:pPr>
      <w:r w:rsidRPr="00167C84">
        <w:rPr>
          <w:rFonts w:ascii="Verdana" w:hAnsi="Verdana"/>
          <w:sz w:val="16"/>
          <w:szCs w:val="16"/>
        </w:rPr>
        <w:t xml:space="preserve">La entidad contratante podrá utilizar otros métodos técnicos que reflejen, sobre base cierta, el costo del contrato”.  </w:t>
      </w:r>
    </w:p>
  </w:footnote>
  <w:footnote w:id="6">
    <w:p w14:paraId="12060007" w14:textId="77777777" w:rsidR="00A8051C" w:rsidRPr="00167C84" w:rsidRDefault="00A8051C" w:rsidP="00A8051C">
      <w:pPr>
        <w:pStyle w:val="Textonotapie"/>
        <w:ind w:firstLine="708"/>
        <w:contextualSpacing/>
        <w:jc w:val="both"/>
        <w:rPr>
          <w:rFonts w:ascii="Verdana" w:hAnsi="Verdana" w:cs="Arial"/>
          <w:sz w:val="16"/>
          <w:szCs w:val="16"/>
          <w:lang w:val="es-ES"/>
        </w:rPr>
      </w:pPr>
      <w:r w:rsidRPr="00167C84">
        <w:rPr>
          <w:rStyle w:val="Refdenotaalpie"/>
          <w:rFonts w:ascii="Verdana" w:hAnsi="Verdana" w:cs="Arial"/>
          <w:sz w:val="16"/>
          <w:szCs w:val="16"/>
        </w:rPr>
        <w:footnoteRef/>
      </w:r>
      <w:r w:rsidRPr="00167C84">
        <w:rPr>
          <w:rFonts w:ascii="Verdana" w:hAnsi="Verdana" w:cs="Arial"/>
          <w:sz w:val="16"/>
          <w:szCs w:val="16"/>
        </w:rPr>
        <w:t xml:space="preserve">Frente a ello, esta Agencia en respuesta a consulta del 27 de septiembre de 2017, indicó, </w:t>
      </w:r>
      <w:r w:rsidRPr="00167C84">
        <w:rPr>
          <w:rFonts w:ascii="Verdana" w:eastAsia="Calibri" w:hAnsi="Verdana" w:cs="Arial"/>
          <w:sz w:val="16"/>
          <w:szCs w:val="16"/>
        </w:rPr>
        <w:t>«</w:t>
      </w:r>
      <w:r w:rsidRPr="00167C84">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167C84">
        <w:rPr>
          <w:rFonts w:ascii="Verdana" w:eastAsia="Calibri" w:hAnsi="Verdana" w:cs="Arial"/>
          <w:sz w:val="16"/>
          <w:szCs w:val="16"/>
        </w:rPr>
        <w:t>»</w:t>
      </w:r>
      <w:r w:rsidRPr="00167C84">
        <w:rPr>
          <w:rFonts w:ascii="Verdana" w:hAnsi="Verdana" w:cs="Arial"/>
          <w:sz w:val="16"/>
          <w:szCs w:val="16"/>
        </w:rPr>
        <w:t xml:space="preserve"> </w:t>
      </w:r>
      <w:r w:rsidRPr="00167C84">
        <w:rPr>
          <w:rFonts w:ascii="Verdana" w:hAnsi="Verdana" w:cs="Arial"/>
          <w:sz w:val="16"/>
          <w:szCs w:val="16"/>
          <w:lang w:val="es-ES"/>
        </w:rPr>
        <w:t xml:space="preserve">Radicación: Respuesta a consulta #4201714000006240 Temas: Contrato de consultoría Tipo de asunto consultado: Cómo se aplica y evalúa el factor multiplicador. Este concepto a su vez fue reiterado en los conceptos </w:t>
      </w:r>
    </w:p>
  </w:footnote>
  <w:footnote w:id="7">
    <w:p w14:paraId="0B3BC531" w14:textId="77777777" w:rsidR="00A8051C" w:rsidRPr="00167C84" w:rsidRDefault="00A8051C" w:rsidP="00A8051C">
      <w:pPr>
        <w:pStyle w:val="Textonotapie"/>
        <w:ind w:firstLine="708"/>
        <w:contextualSpacing/>
        <w:jc w:val="both"/>
        <w:rPr>
          <w:rFonts w:ascii="Verdana" w:hAnsi="Verdana" w:cs="Arial"/>
          <w:sz w:val="16"/>
          <w:szCs w:val="16"/>
          <w:lang w:val="es-ES"/>
        </w:rPr>
      </w:pPr>
      <w:r w:rsidRPr="00167C84">
        <w:rPr>
          <w:rStyle w:val="Refdenotaalpie"/>
          <w:rFonts w:ascii="Verdana" w:hAnsi="Verdana" w:cs="Arial"/>
          <w:sz w:val="16"/>
          <w:szCs w:val="16"/>
        </w:rPr>
        <w:footnoteRef/>
      </w:r>
      <w:r w:rsidRPr="00167C84">
        <w:rPr>
          <w:rFonts w:ascii="Verdana" w:hAnsi="Verdana" w:cs="Arial"/>
          <w:sz w:val="16"/>
          <w:szCs w:val="16"/>
        </w:rPr>
        <w:t xml:space="preserve">Frente a ello, esta Agencia en respuesta a consulta del 27 de septiembre de 2017, indicó, </w:t>
      </w:r>
      <w:r w:rsidRPr="00167C84">
        <w:rPr>
          <w:rFonts w:ascii="Verdana" w:eastAsia="Calibri" w:hAnsi="Verdana" w:cs="Arial"/>
          <w:sz w:val="16"/>
          <w:szCs w:val="16"/>
        </w:rPr>
        <w:t>«</w:t>
      </w:r>
      <w:r w:rsidRPr="00167C84">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167C84">
        <w:rPr>
          <w:rFonts w:ascii="Verdana" w:eastAsia="Calibri" w:hAnsi="Verdana" w:cs="Arial"/>
          <w:sz w:val="16"/>
          <w:szCs w:val="16"/>
        </w:rPr>
        <w:t>»</w:t>
      </w:r>
      <w:r w:rsidRPr="00167C84">
        <w:rPr>
          <w:rFonts w:ascii="Verdana" w:hAnsi="Verdana" w:cs="Arial"/>
          <w:sz w:val="16"/>
          <w:szCs w:val="16"/>
        </w:rPr>
        <w:t xml:space="preserve"> </w:t>
      </w:r>
      <w:r w:rsidRPr="00167C84">
        <w:rPr>
          <w:rFonts w:ascii="Verdana" w:hAnsi="Verdana" w:cs="Arial"/>
          <w:sz w:val="16"/>
          <w:szCs w:val="16"/>
          <w:lang w:val="es-ES"/>
        </w:rPr>
        <w:t>Radicación: Respuesta a consulta #4201714000006240 Temas: Contrato de consultoría Tipo de asunto consultado: Cómo se aplica y evalúa el factor multiplicador.</w:t>
      </w:r>
    </w:p>
    <w:p w14:paraId="0F08A891" w14:textId="77777777" w:rsidR="00A8051C" w:rsidRPr="00167C84" w:rsidRDefault="00A8051C" w:rsidP="00A8051C">
      <w:pPr>
        <w:pStyle w:val="Textonotapie"/>
        <w:ind w:firstLine="708"/>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416"/>
    <w:rsid w:val="00016F78"/>
    <w:rsid w:val="00046945"/>
    <w:rsid w:val="000527CA"/>
    <w:rsid w:val="00061B2A"/>
    <w:rsid w:val="00082362"/>
    <w:rsid w:val="00085F72"/>
    <w:rsid w:val="00087E81"/>
    <w:rsid w:val="000903D6"/>
    <w:rsid w:val="000A02F1"/>
    <w:rsid w:val="000A683E"/>
    <w:rsid w:val="000B19B9"/>
    <w:rsid w:val="000D0334"/>
    <w:rsid w:val="000D64A6"/>
    <w:rsid w:val="000F3838"/>
    <w:rsid w:val="000F6486"/>
    <w:rsid w:val="00114729"/>
    <w:rsid w:val="00125105"/>
    <w:rsid w:val="00127233"/>
    <w:rsid w:val="001511A0"/>
    <w:rsid w:val="00155AE5"/>
    <w:rsid w:val="00157DE6"/>
    <w:rsid w:val="001930D8"/>
    <w:rsid w:val="001E4177"/>
    <w:rsid w:val="001F7DC6"/>
    <w:rsid w:val="002121AF"/>
    <w:rsid w:val="002421BB"/>
    <w:rsid w:val="00245AE8"/>
    <w:rsid w:val="0025796E"/>
    <w:rsid w:val="002707A2"/>
    <w:rsid w:val="00271497"/>
    <w:rsid w:val="00292024"/>
    <w:rsid w:val="002951A0"/>
    <w:rsid w:val="00295D51"/>
    <w:rsid w:val="002962BC"/>
    <w:rsid w:val="002A093D"/>
    <w:rsid w:val="002A0DD0"/>
    <w:rsid w:val="002A49AC"/>
    <w:rsid w:val="002A64FD"/>
    <w:rsid w:val="002C7A84"/>
    <w:rsid w:val="002E4FD9"/>
    <w:rsid w:val="002F0A7A"/>
    <w:rsid w:val="00320B32"/>
    <w:rsid w:val="00322A85"/>
    <w:rsid w:val="00324168"/>
    <w:rsid w:val="0032554C"/>
    <w:rsid w:val="00335B2C"/>
    <w:rsid w:val="003375BF"/>
    <w:rsid w:val="003448F4"/>
    <w:rsid w:val="00365A60"/>
    <w:rsid w:val="003673D8"/>
    <w:rsid w:val="003712EE"/>
    <w:rsid w:val="00374F5E"/>
    <w:rsid w:val="00375E4E"/>
    <w:rsid w:val="00377E3E"/>
    <w:rsid w:val="00380B7A"/>
    <w:rsid w:val="003A02DC"/>
    <w:rsid w:val="003A779E"/>
    <w:rsid w:val="003A7FF4"/>
    <w:rsid w:val="003C17E7"/>
    <w:rsid w:val="003D0F4D"/>
    <w:rsid w:val="003D4A21"/>
    <w:rsid w:val="003D5B0D"/>
    <w:rsid w:val="003E0499"/>
    <w:rsid w:val="003F3941"/>
    <w:rsid w:val="003F5ED6"/>
    <w:rsid w:val="003F77E1"/>
    <w:rsid w:val="00406575"/>
    <w:rsid w:val="00414C74"/>
    <w:rsid w:val="0042722E"/>
    <w:rsid w:val="0044528D"/>
    <w:rsid w:val="004554CB"/>
    <w:rsid w:val="0047683C"/>
    <w:rsid w:val="0048349D"/>
    <w:rsid w:val="00491F09"/>
    <w:rsid w:val="004A1847"/>
    <w:rsid w:val="004A305D"/>
    <w:rsid w:val="004A3C6D"/>
    <w:rsid w:val="004F21C4"/>
    <w:rsid w:val="004F5D01"/>
    <w:rsid w:val="004F685F"/>
    <w:rsid w:val="00547737"/>
    <w:rsid w:val="005566E8"/>
    <w:rsid w:val="00557ECC"/>
    <w:rsid w:val="00574867"/>
    <w:rsid w:val="00583AB0"/>
    <w:rsid w:val="0058678F"/>
    <w:rsid w:val="00591460"/>
    <w:rsid w:val="005B3816"/>
    <w:rsid w:val="005C3777"/>
    <w:rsid w:val="005C5CDC"/>
    <w:rsid w:val="005C66B4"/>
    <w:rsid w:val="005D476C"/>
    <w:rsid w:val="006219F8"/>
    <w:rsid w:val="00623803"/>
    <w:rsid w:val="00625F6E"/>
    <w:rsid w:val="00627B6F"/>
    <w:rsid w:val="0063038E"/>
    <w:rsid w:val="00653F77"/>
    <w:rsid w:val="006647A6"/>
    <w:rsid w:val="00665D70"/>
    <w:rsid w:val="00675AF5"/>
    <w:rsid w:val="006900D9"/>
    <w:rsid w:val="006A54B1"/>
    <w:rsid w:val="00706C16"/>
    <w:rsid w:val="0071695D"/>
    <w:rsid w:val="00717B06"/>
    <w:rsid w:val="00756841"/>
    <w:rsid w:val="007649AB"/>
    <w:rsid w:val="0076628B"/>
    <w:rsid w:val="00771D0C"/>
    <w:rsid w:val="007833AC"/>
    <w:rsid w:val="007B268C"/>
    <w:rsid w:val="007B7171"/>
    <w:rsid w:val="007C0739"/>
    <w:rsid w:val="007C0C0F"/>
    <w:rsid w:val="007C3DC2"/>
    <w:rsid w:val="007D2B04"/>
    <w:rsid w:val="007E5497"/>
    <w:rsid w:val="007E5C76"/>
    <w:rsid w:val="007F3220"/>
    <w:rsid w:val="00806F5F"/>
    <w:rsid w:val="008076E2"/>
    <w:rsid w:val="00807CAB"/>
    <w:rsid w:val="0081625C"/>
    <w:rsid w:val="00820278"/>
    <w:rsid w:val="00844DD9"/>
    <w:rsid w:val="00850213"/>
    <w:rsid w:val="00867F95"/>
    <w:rsid w:val="008712BF"/>
    <w:rsid w:val="008843B6"/>
    <w:rsid w:val="00891928"/>
    <w:rsid w:val="008A446D"/>
    <w:rsid w:val="008D180B"/>
    <w:rsid w:val="008D4F1F"/>
    <w:rsid w:val="008F0EA7"/>
    <w:rsid w:val="008F2757"/>
    <w:rsid w:val="009101A4"/>
    <w:rsid w:val="00921498"/>
    <w:rsid w:val="00923EEF"/>
    <w:rsid w:val="009240E7"/>
    <w:rsid w:val="009274B4"/>
    <w:rsid w:val="009419F9"/>
    <w:rsid w:val="00942B51"/>
    <w:rsid w:val="00946E06"/>
    <w:rsid w:val="0095685E"/>
    <w:rsid w:val="00961053"/>
    <w:rsid w:val="00961B09"/>
    <w:rsid w:val="00965334"/>
    <w:rsid w:val="0097093E"/>
    <w:rsid w:val="00975B7F"/>
    <w:rsid w:val="00986AC5"/>
    <w:rsid w:val="009A0DFA"/>
    <w:rsid w:val="009B1C66"/>
    <w:rsid w:val="009B2D26"/>
    <w:rsid w:val="009B4E81"/>
    <w:rsid w:val="009C30EF"/>
    <w:rsid w:val="009C71FA"/>
    <w:rsid w:val="009C72E7"/>
    <w:rsid w:val="009D3058"/>
    <w:rsid w:val="009D31C4"/>
    <w:rsid w:val="009E7E8D"/>
    <w:rsid w:val="009F3A13"/>
    <w:rsid w:val="009F4D4A"/>
    <w:rsid w:val="00A122D3"/>
    <w:rsid w:val="00A17F13"/>
    <w:rsid w:val="00A20739"/>
    <w:rsid w:val="00A33C78"/>
    <w:rsid w:val="00A8051C"/>
    <w:rsid w:val="00A95FB1"/>
    <w:rsid w:val="00AA1FCE"/>
    <w:rsid w:val="00AB0ADB"/>
    <w:rsid w:val="00AC01E6"/>
    <w:rsid w:val="00AC2C6E"/>
    <w:rsid w:val="00AD5661"/>
    <w:rsid w:val="00B01B1A"/>
    <w:rsid w:val="00B41D10"/>
    <w:rsid w:val="00B66319"/>
    <w:rsid w:val="00B72CD3"/>
    <w:rsid w:val="00B72FFF"/>
    <w:rsid w:val="00B81B21"/>
    <w:rsid w:val="00B916B5"/>
    <w:rsid w:val="00BB7A27"/>
    <w:rsid w:val="00BC3D36"/>
    <w:rsid w:val="00BD7F72"/>
    <w:rsid w:val="00BE389D"/>
    <w:rsid w:val="00BE3FBB"/>
    <w:rsid w:val="00C01DCF"/>
    <w:rsid w:val="00C04FB3"/>
    <w:rsid w:val="00C330EB"/>
    <w:rsid w:val="00C41061"/>
    <w:rsid w:val="00C754BE"/>
    <w:rsid w:val="00C76B1C"/>
    <w:rsid w:val="00CB3F5C"/>
    <w:rsid w:val="00CB6357"/>
    <w:rsid w:val="00CC1B26"/>
    <w:rsid w:val="00CC6605"/>
    <w:rsid w:val="00CD70C0"/>
    <w:rsid w:val="00CF03C9"/>
    <w:rsid w:val="00D01CC5"/>
    <w:rsid w:val="00D17677"/>
    <w:rsid w:val="00D423A2"/>
    <w:rsid w:val="00D520D8"/>
    <w:rsid w:val="00D63AC2"/>
    <w:rsid w:val="00D716B3"/>
    <w:rsid w:val="00D7383B"/>
    <w:rsid w:val="00D74A00"/>
    <w:rsid w:val="00D80282"/>
    <w:rsid w:val="00D9770B"/>
    <w:rsid w:val="00DA231B"/>
    <w:rsid w:val="00DA3000"/>
    <w:rsid w:val="00DC39FC"/>
    <w:rsid w:val="00DF5254"/>
    <w:rsid w:val="00E00134"/>
    <w:rsid w:val="00E050EB"/>
    <w:rsid w:val="00E16408"/>
    <w:rsid w:val="00E16FA5"/>
    <w:rsid w:val="00E20894"/>
    <w:rsid w:val="00E245AB"/>
    <w:rsid w:val="00E2764C"/>
    <w:rsid w:val="00E27F2E"/>
    <w:rsid w:val="00E50AFE"/>
    <w:rsid w:val="00E72E67"/>
    <w:rsid w:val="00E75C92"/>
    <w:rsid w:val="00E771DC"/>
    <w:rsid w:val="00E81692"/>
    <w:rsid w:val="00E863E8"/>
    <w:rsid w:val="00E8772A"/>
    <w:rsid w:val="00E90F6B"/>
    <w:rsid w:val="00E92C27"/>
    <w:rsid w:val="00EA0E3D"/>
    <w:rsid w:val="00EC38A7"/>
    <w:rsid w:val="00ED44C6"/>
    <w:rsid w:val="00ED7384"/>
    <w:rsid w:val="00EE1AA8"/>
    <w:rsid w:val="00EE2BA7"/>
    <w:rsid w:val="00F072E7"/>
    <w:rsid w:val="00F15D9B"/>
    <w:rsid w:val="00F31EDC"/>
    <w:rsid w:val="00F462B3"/>
    <w:rsid w:val="00F56002"/>
    <w:rsid w:val="00F5664F"/>
    <w:rsid w:val="00F578D1"/>
    <w:rsid w:val="00F666C4"/>
    <w:rsid w:val="00F76AFC"/>
    <w:rsid w:val="00F77908"/>
    <w:rsid w:val="00F820EC"/>
    <w:rsid w:val="00F835EE"/>
    <w:rsid w:val="00FA47C0"/>
    <w:rsid w:val="00FA64C6"/>
    <w:rsid w:val="00FB5DD1"/>
    <w:rsid w:val="00FC2B5D"/>
    <w:rsid w:val="00FC3910"/>
    <w:rsid w:val="00FC7DD1"/>
    <w:rsid w:val="00FF1449"/>
    <w:rsid w:val="00FF7FB5"/>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034CBD9-535D-674D-AD26-FF3791159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C660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C6605"/>
    <w:rPr>
      <w:rFonts w:ascii="Geomanist Light" w:hAnsi="Geomanist Light"/>
      <w:lang w:val="es-ES"/>
    </w:rPr>
  </w:style>
  <w:style w:type="table" w:customStyle="1" w:styleId="Tablaconcuadrcula112">
    <w:name w:val="Tabla con cuadrícula112"/>
    <w:basedOn w:val="Tablanormal"/>
    <w:next w:val="Tablaconcuadrcula"/>
    <w:uiPriority w:val="39"/>
    <w:qFormat/>
    <w:rsid w:val="0076628B"/>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regoriogil96@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44675D6-C158-4B35-A50E-478B50C21CE0}"/>
</file>

<file path=docProps/app.xml><?xml version="1.0" encoding="utf-8"?>
<Properties xmlns="http://schemas.openxmlformats.org/officeDocument/2006/extended-properties" xmlns:vt="http://schemas.openxmlformats.org/officeDocument/2006/docPropsVTypes">
  <Template>Normal</Template>
  <TotalTime>6</TotalTime>
  <Pages>17</Pages>
  <Words>5691</Words>
  <Characters>31303</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36921</CharactersWithSpaces>
  <SharedDoc>false</SharedDoc>
  <HLinks>
    <vt:vector size="12" baseType="variant">
      <vt:variant>
        <vt:i4>8126526</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8</cp:revision>
  <cp:lastPrinted>2023-01-10T21:18:00Z</cp:lastPrinted>
  <dcterms:created xsi:type="dcterms:W3CDTF">2026-03-06T14:08:00Z</dcterms:created>
  <dcterms:modified xsi:type="dcterms:W3CDTF">2026-03-06T14:14:00Z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