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9E577" w14:textId="77777777" w:rsidR="005901C8" w:rsidRPr="00647611" w:rsidRDefault="005901C8" w:rsidP="005901C8">
      <w:pPr>
        <w:spacing w:after="0" w:line="240" w:lineRule="auto"/>
        <w:jc w:val="both"/>
        <w:rPr>
          <w:rFonts w:ascii="Verdana" w:eastAsia="Calibri" w:hAnsi="Verdana" w:cs="Arial"/>
          <w:sz w:val="20"/>
          <w:szCs w:val="20"/>
          <w:lang w:val="es-ES_tradnl" w:eastAsia="es-ES"/>
        </w:rPr>
      </w:pPr>
    </w:p>
    <w:p w14:paraId="49A504B6" w14:textId="77777777" w:rsidR="005901C8" w:rsidRPr="00647611" w:rsidRDefault="005901C8" w:rsidP="005901C8">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5AB284F8"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0DA4098B" w14:textId="77777777" w:rsidR="005901C8" w:rsidRPr="00647611" w:rsidRDefault="005901C8" w:rsidP="005901C8">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90EDF1A"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7A91DED4" w14:textId="77777777" w:rsidR="005901C8" w:rsidRPr="00647611" w:rsidRDefault="005901C8" w:rsidP="005901C8">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491E6AEB"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2EF8959C" w14:textId="77777777" w:rsidR="005901C8" w:rsidRPr="00647611" w:rsidRDefault="005901C8" w:rsidP="005901C8">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1904C27" w14:textId="77777777" w:rsidR="005901C8" w:rsidRPr="00647611" w:rsidRDefault="005901C8" w:rsidP="005901C8">
      <w:pPr>
        <w:spacing w:after="0" w:line="240" w:lineRule="auto"/>
        <w:jc w:val="both"/>
        <w:rPr>
          <w:rFonts w:ascii="Verdana" w:eastAsia="Calibri" w:hAnsi="Verdana" w:cs="Arial"/>
          <w:sz w:val="20"/>
          <w:szCs w:val="20"/>
        </w:rPr>
      </w:pPr>
    </w:p>
    <w:p w14:paraId="67C63CC5" w14:textId="77777777" w:rsidR="005901C8" w:rsidRPr="00647611" w:rsidRDefault="005901C8" w:rsidP="005901C8">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3B165225" w14:textId="77777777" w:rsidR="005901C8" w:rsidRPr="00647611" w:rsidRDefault="005901C8" w:rsidP="005901C8">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625A2397" w14:textId="77777777" w:rsidR="005901C8" w:rsidRPr="00647611" w:rsidRDefault="005901C8" w:rsidP="005901C8">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7144301"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1F5B4D77" w14:textId="77777777" w:rsidR="005901C8" w:rsidRPr="00647611" w:rsidRDefault="005901C8" w:rsidP="005901C8">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CB78861"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77F7A2EA" w14:textId="77777777" w:rsidR="005901C8" w:rsidRPr="00647611" w:rsidRDefault="005901C8" w:rsidP="005901C8">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231D541" w14:textId="77777777" w:rsidR="005901C8" w:rsidRPr="00647611" w:rsidRDefault="005901C8" w:rsidP="005901C8">
      <w:pPr>
        <w:spacing w:after="0" w:line="240" w:lineRule="auto"/>
        <w:jc w:val="both"/>
        <w:rPr>
          <w:rFonts w:ascii="Verdana" w:hAnsi="Verdana" w:cs="Arial"/>
          <w:b/>
          <w:sz w:val="20"/>
          <w:szCs w:val="20"/>
          <w:lang w:eastAsia="es-ES_tradnl"/>
        </w:rPr>
      </w:pPr>
    </w:p>
    <w:p w14:paraId="7CCF0E2E" w14:textId="77777777" w:rsidR="005901C8" w:rsidRPr="00647611" w:rsidRDefault="005901C8" w:rsidP="005901C8">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2E5FE662"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30161831" w14:textId="77777777" w:rsidR="005901C8" w:rsidRPr="00647611" w:rsidRDefault="005901C8" w:rsidP="005901C8">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AAADA6E" w14:textId="77777777" w:rsidR="005901C8" w:rsidRPr="00647611" w:rsidRDefault="005901C8" w:rsidP="005901C8">
      <w:pPr>
        <w:spacing w:after="0" w:line="240" w:lineRule="auto"/>
        <w:jc w:val="both"/>
        <w:rPr>
          <w:rFonts w:ascii="Verdana" w:hAnsi="Verdana" w:cs="Arial"/>
          <w:b/>
          <w:sz w:val="20"/>
          <w:szCs w:val="20"/>
          <w:lang w:val="es-MX" w:eastAsia="es-ES_tradnl"/>
        </w:rPr>
      </w:pPr>
    </w:p>
    <w:p w14:paraId="678A8480" w14:textId="77777777" w:rsidR="005901C8" w:rsidRPr="00647611" w:rsidRDefault="005901C8" w:rsidP="005901C8">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480A1AD6" w14:textId="77777777" w:rsidR="005901C8" w:rsidRPr="00647611" w:rsidRDefault="005901C8" w:rsidP="005901C8">
      <w:pPr>
        <w:spacing w:after="0" w:line="240" w:lineRule="auto"/>
        <w:rPr>
          <w:rFonts w:ascii="Verdana" w:hAnsi="Verdana" w:cs="Arial"/>
          <w:sz w:val="20"/>
          <w:szCs w:val="20"/>
          <w:lang w:val="es-MX" w:eastAsia="es-ES_tradnl"/>
        </w:rPr>
      </w:pPr>
    </w:p>
    <w:p w14:paraId="46B452A4" w14:textId="77777777" w:rsidR="005901C8" w:rsidRPr="00647611" w:rsidRDefault="005901C8" w:rsidP="005901C8">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0ED341B0" w14:textId="77777777" w:rsidR="005901C8" w:rsidRPr="00647611" w:rsidRDefault="005901C8" w:rsidP="005901C8">
      <w:pPr>
        <w:spacing w:after="0" w:line="240" w:lineRule="auto"/>
        <w:rPr>
          <w:rFonts w:ascii="Verdana" w:hAnsi="Verdana"/>
          <w:sz w:val="20"/>
          <w:szCs w:val="20"/>
        </w:rPr>
      </w:pPr>
    </w:p>
    <w:p w14:paraId="598BA3D3" w14:textId="77777777" w:rsidR="005901C8" w:rsidRPr="00647611" w:rsidRDefault="005901C8" w:rsidP="005901C8">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5D18B9E8" w14:textId="77777777" w:rsidR="005901C8" w:rsidRPr="00647611" w:rsidRDefault="005901C8" w:rsidP="005901C8">
      <w:pPr>
        <w:spacing w:after="0" w:line="240" w:lineRule="auto"/>
        <w:rPr>
          <w:rFonts w:ascii="Verdana" w:hAnsi="Verdana"/>
          <w:sz w:val="20"/>
          <w:szCs w:val="20"/>
        </w:rPr>
      </w:pPr>
    </w:p>
    <w:p w14:paraId="18A0D479" w14:textId="77777777" w:rsidR="005901C8" w:rsidRDefault="005901C8" w:rsidP="005901C8">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6D03DB9A" w14:textId="77777777" w:rsidR="005901C8" w:rsidRDefault="005901C8" w:rsidP="005901C8">
      <w:pPr>
        <w:spacing w:after="0" w:line="240" w:lineRule="auto"/>
        <w:jc w:val="both"/>
        <w:rPr>
          <w:rFonts w:ascii="Verdana" w:eastAsia="Times New Roman" w:hAnsi="Verdana" w:cs="Arial"/>
          <w:bCs/>
          <w:sz w:val="20"/>
          <w:szCs w:val="20"/>
          <w:lang w:val="es-MX" w:eastAsia="x-none"/>
        </w:rPr>
      </w:pPr>
    </w:p>
    <w:p w14:paraId="480CA53F" w14:textId="77777777" w:rsidR="005901C8" w:rsidRPr="006C2183" w:rsidRDefault="005901C8" w:rsidP="005901C8">
      <w:pPr>
        <w:spacing w:after="0" w:line="240" w:lineRule="auto"/>
        <w:jc w:val="both"/>
        <w:rPr>
          <w:rFonts w:ascii="Verdana" w:eastAsia="Times New Roman" w:hAnsi="Verdana" w:cs="Arial"/>
          <w:b/>
          <w:lang w:val="es-MX" w:eastAsia="x-none"/>
        </w:rPr>
      </w:pPr>
      <w:r w:rsidRPr="006C2183">
        <w:rPr>
          <w:rFonts w:ascii="Verdana" w:eastAsia="Times New Roman" w:hAnsi="Verdana" w:cs="Arial"/>
          <w:b/>
          <w:lang w:val="es-MX" w:eastAsia="x-none"/>
        </w:rPr>
        <w:t xml:space="preserve">CONTRATACIÓN DIRECTA – Peritos y asesores técnicos – Procesos judiciales </w:t>
      </w:r>
      <w:r>
        <w:rPr>
          <w:rFonts w:ascii="Verdana" w:eastAsia="Times New Roman" w:hAnsi="Verdana" w:cs="Arial"/>
          <w:b/>
          <w:lang w:val="es-MX" w:eastAsia="x-none"/>
        </w:rPr>
        <w:t>– Ley de garantías – Excepción</w:t>
      </w:r>
    </w:p>
    <w:p w14:paraId="282C36EF" w14:textId="77777777" w:rsidR="005901C8" w:rsidRDefault="005901C8" w:rsidP="005901C8">
      <w:pPr>
        <w:spacing w:after="0" w:line="240" w:lineRule="auto"/>
        <w:jc w:val="both"/>
        <w:rPr>
          <w:rFonts w:ascii="Verdana" w:eastAsia="Times New Roman" w:hAnsi="Verdana" w:cs="Arial"/>
          <w:bCs/>
          <w:sz w:val="20"/>
          <w:szCs w:val="20"/>
          <w:lang w:val="es-MX" w:eastAsia="x-none"/>
        </w:rPr>
      </w:pPr>
    </w:p>
    <w:p w14:paraId="43442885" w14:textId="77777777" w:rsidR="005901C8" w:rsidRDefault="005901C8" w:rsidP="005901C8">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Cs/>
          <w:sz w:val="20"/>
          <w:szCs w:val="20"/>
          <w:lang w:val="es-MX" w:eastAsia="x-none"/>
        </w:rPr>
        <w:t>P</w:t>
      </w:r>
      <w:r w:rsidRPr="006C2183">
        <w:rPr>
          <w:rFonts w:ascii="Verdana" w:eastAsia="Times New Roman" w:hAnsi="Verdana" w:cs="Arial"/>
          <w:bCs/>
          <w:sz w:val="20"/>
          <w:szCs w:val="20"/>
          <w:lang w:val="es-MX" w:eastAsia="x-none"/>
        </w:rPr>
        <w:t>or expresa disposición legal, la contratación directa de peritos y asesores técnicos comporta una excepción a la restricción de la contratación directa de las entidades estatales prevista en la Ley de Garantías Electorales. Es decir,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presidenciales y hasta la fecha al cual el presidente sea elegido. Ambos aspectos fueron introducidos por los artículos 58 y 82 de la Ley 2080 de 2021 al adicionar el literal k) del artículo 2.4 de la Ley 1150 de 2007 y modificar el artículo 222 de la Ley 1437 de 2011.</w:t>
      </w:r>
    </w:p>
    <w:p w14:paraId="28D34AEA" w14:textId="77777777" w:rsidR="005901C8" w:rsidRDefault="005901C8" w:rsidP="005901C8">
      <w:pPr>
        <w:spacing w:after="0" w:line="240" w:lineRule="auto"/>
        <w:jc w:val="both"/>
        <w:rPr>
          <w:rFonts w:ascii="Verdana" w:eastAsia="Times New Roman" w:hAnsi="Verdana" w:cs="Arial"/>
          <w:bCs/>
          <w:sz w:val="20"/>
          <w:szCs w:val="20"/>
          <w:lang w:val="es-MX" w:eastAsia="x-none"/>
        </w:rPr>
      </w:pPr>
    </w:p>
    <w:p w14:paraId="4CEDA941" w14:textId="77777777" w:rsidR="005901C8" w:rsidRDefault="005901C8" w:rsidP="005901C8">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
          <w:lang w:val="es-MX" w:eastAsia="x-none"/>
        </w:rPr>
        <w:t>LEY DE GARANTÍAS – C</w:t>
      </w:r>
      <w:r w:rsidRPr="006C2183">
        <w:rPr>
          <w:rFonts w:ascii="Verdana" w:eastAsia="Times New Roman" w:hAnsi="Verdana" w:cs="Arial"/>
          <w:b/>
          <w:lang w:val="es-MX" w:eastAsia="x-none"/>
        </w:rPr>
        <w:t>ontroversias internacionales de inversión</w:t>
      </w:r>
      <w:r>
        <w:rPr>
          <w:rFonts w:ascii="Verdana" w:eastAsia="Times New Roman" w:hAnsi="Verdana" w:cs="Arial"/>
          <w:b/>
          <w:lang w:val="es-MX" w:eastAsia="x-none"/>
        </w:rPr>
        <w:t xml:space="preserve"> – Procesos arbitrales – Inaplicabilidad de excepción – Interpretación estricta</w:t>
      </w:r>
    </w:p>
    <w:p w14:paraId="54830FEF" w14:textId="77777777" w:rsidR="005901C8" w:rsidRPr="006C2183" w:rsidRDefault="005901C8" w:rsidP="005901C8">
      <w:pPr>
        <w:spacing w:after="0" w:line="240" w:lineRule="auto"/>
        <w:jc w:val="both"/>
        <w:rPr>
          <w:rFonts w:ascii="Verdana" w:eastAsia="Times New Roman" w:hAnsi="Verdana" w:cs="Arial"/>
          <w:bCs/>
          <w:sz w:val="20"/>
          <w:szCs w:val="20"/>
          <w:lang w:val="es-MX" w:eastAsia="x-none"/>
        </w:rPr>
      </w:pPr>
    </w:p>
    <w:p w14:paraId="43071E30" w14:textId="77777777" w:rsidR="005901C8" w:rsidRDefault="005901C8" w:rsidP="005901C8">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Cs/>
          <w:sz w:val="20"/>
          <w:szCs w:val="20"/>
          <w:lang w:val="es-MX" w:eastAsia="x-none"/>
        </w:rPr>
        <w:t>La</w:t>
      </w:r>
      <w:r w:rsidRPr="006C2183">
        <w:rPr>
          <w:rFonts w:ascii="Verdana" w:eastAsia="Times New Roman" w:hAnsi="Verdana" w:cs="Arial"/>
          <w:bCs/>
          <w:sz w:val="20"/>
          <w:szCs w:val="20"/>
          <w:lang w:val="es-MX" w:eastAsia="x-none"/>
        </w:rPr>
        <w:t xml:space="preserve"> reforma</w:t>
      </w:r>
      <w:r>
        <w:rPr>
          <w:rFonts w:ascii="Verdana" w:eastAsia="Times New Roman" w:hAnsi="Verdana" w:cs="Arial"/>
          <w:bCs/>
          <w:sz w:val="20"/>
          <w:szCs w:val="20"/>
          <w:lang w:val="es-MX" w:eastAsia="x-none"/>
        </w:rPr>
        <w:t xml:space="preserve"> de la Ley 2080 de 2021</w:t>
      </w:r>
      <w:r w:rsidRPr="006C2183">
        <w:rPr>
          <w:rFonts w:ascii="Verdana" w:eastAsia="Times New Roman" w:hAnsi="Verdana" w:cs="Arial"/>
          <w:bCs/>
          <w:sz w:val="20"/>
          <w:szCs w:val="20"/>
          <w:lang w:val="es-MX" w:eastAsia="x-none"/>
        </w:rPr>
        <w:t xml:space="preserve"> tiene como objeto principal los procesos judiciales adelantados ante la jurisdicción de lo contencioso administrativo; razón por la cual, conforme a la literalidad de las normas citadas en el párrafo anterior, no se extienden a los procesos arbitrales derivados de controversias internacionales de inversión. Las excepciones a los procesos con pluralidad de oferentes, así como las excepciones a prohibición del artículo 33 de la Ley 996 de 2005, son de interpretación estricta. Luego, excluyen tanto la aplicación extensiva como analógica.</w:t>
      </w:r>
    </w:p>
    <w:p w14:paraId="031DF387" w14:textId="77777777" w:rsidR="005901C8" w:rsidRPr="00647611" w:rsidRDefault="005901C8" w:rsidP="005901C8">
      <w:pPr>
        <w:spacing w:after="0" w:line="240" w:lineRule="auto"/>
        <w:jc w:val="both"/>
        <w:rPr>
          <w:rFonts w:ascii="Verdana" w:eastAsia="Times New Roman" w:hAnsi="Verdana" w:cs="Arial"/>
          <w:bCs/>
          <w:sz w:val="20"/>
          <w:szCs w:val="20"/>
          <w:lang w:eastAsia="x-none"/>
        </w:rPr>
      </w:pPr>
    </w:p>
    <w:p w14:paraId="2F143E96" w14:textId="77777777" w:rsidR="005901C8" w:rsidRDefault="005901C8" w:rsidP="005901C8">
      <w:pPr>
        <w:spacing w:after="0" w:line="240" w:lineRule="auto"/>
        <w:jc w:val="both"/>
        <w:rPr>
          <w:rFonts w:ascii="Verdana" w:eastAsia="Geomanist Light" w:hAnsi="Verdana" w:cs="Arial"/>
          <w:color w:val="000000" w:themeColor="text1"/>
          <w:lang w:val="es-MX"/>
        </w:rPr>
      </w:pPr>
    </w:p>
    <w:p w14:paraId="36B1D158" w14:textId="77777777" w:rsidR="005901C8" w:rsidRDefault="005901C8" w:rsidP="005901C8">
      <w:pPr>
        <w:spacing w:after="0" w:line="240" w:lineRule="auto"/>
        <w:jc w:val="both"/>
        <w:rPr>
          <w:rFonts w:ascii="Verdana" w:eastAsia="Geomanist Light" w:hAnsi="Verdana" w:cs="Arial"/>
          <w:color w:val="000000" w:themeColor="text1"/>
          <w:lang w:val="es-MX"/>
        </w:rPr>
      </w:pPr>
    </w:p>
    <w:p w14:paraId="5EB8E712" w14:textId="77777777" w:rsidR="005901C8" w:rsidRDefault="005901C8" w:rsidP="005901C8">
      <w:pPr>
        <w:spacing w:after="0" w:line="240" w:lineRule="auto"/>
        <w:jc w:val="both"/>
        <w:rPr>
          <w:rFonts w:ascii="Verdana" w:eastAsia="Geomanist Light" w:hAnsi="Verdana" w:cs="Arial"/>
          <w:color w:val="000000" w:themeColor="text1"/>
          <w:lang w:val="es-MX"/>
        </w:rPr>
      </w:pPr>
    </w:p>
    <w:p w14:paraId="451CACEB" w14:textId="77777777" w:rsidR="005901C8" w:rsidRDefault="005901C8" w:rsidP="00D2570A">
      <w:pPr>
        <w:spacing w:after="0" w:line="240" w:lineRule="auto"/>
        <w:jc w:val="both"/>
        <w:rPr>
          <w:rFonts w:ascii="Verdana" w:eastAsia="Geomanist Light" w:hAnsi="Verdana" w:cs="Arial"/>
          <w:color w:val="000000" w:themeColor="text1"/>
          <w:lang w:val="es-MX"/>
        </w:rPr>
      </w:pPr>
    </w:p>
    <w:p w14:paraId="5FFFE3E2" w14:textId="05CA8353" w:rsidR="00D2570A" w:rsidRPr="009C7241" w:rsidRDefault="00D2570A" w:rsidP="00D2570A">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827983" w:rsidRPr="00827983">
        <w:rPr>
          <w:rFonts w:ascii="Verdana" w:eastAsia="Geomanist Light" w:hAnsi="Verdana" w:cs="Arial"/>
          <w:color w:val="000000" w:themeColor="text1"/>
          <w:lang w:val="es-MX"/>
        </w:rPr>
        <w:t>24 de Febrero de 2026</w:t>
      </w:r>
    </w:p>
    <w:p w14:paraId="76D62F76" w14:textId="77777777" w:rsidR="00D2570A" w:rsidRDefault="00D2570A" w:rsidP="00D2570A">
      <w:pPr>
        <w:spacing w:after="0" w:line="240" w:lineRule="auto"/>
        <w:jc w:val="both"/>
        <w:rPr>
          <w:rFonts w:ascii="Verdana" w:eastAsia="Calibri" w:hAnsi="Verdana" w:cs="Arial"/>
          <w:color w:val="000000"/>
          <w:lang w:val="es-ES"/>
        </w:rPr>
      </w:pPr>
    </w:p>
    <w:p w14:paraId="1A71D599" w14:textId="1BB421CE" w:rsidR="00827983" w:rsidRDefault="00827983" w:rsidP="00827983">
      <w:pPr>
        <w:spacing w:after="0" w:line="240" w:lineRule="auto"/>
        <w:jc w:val="right"/>
        <w:rPr>
          <w:rFonts w:ascii="Verdana" w:eastAsia="Calibri" w:hAnsi="Verdana" w:cs="Arial"/>
          <w:color w:val="000000"/>
          <w:lang w:val="es-ES"/>
        </w:rPr>
      </w:pPr>
      <w:r w:rsidRPr="00827983">
        <w:rPr>
          <w:rFonts w:ascii="Verdana" w:eastAsia="Calibri" w:hAnsi="Verdana" w:cs="Arial"/>
          <w:noProof/>
          <w:color w:val="000000"/>
          <w:lang w:val="es-ES"/>
        </w:rPr>
        <w:drawing>
          <wp:inline distT="0" distB="0" distL="0" distR="0" wp14:anchorId="6881A6C3" wp14:editId="50E784C2">
            <wp:extent cx="2400300" cy="622300"/>
            <wp:effectExtent l="0" t="0" r="0" b="0"/>
            <wp:docPr id="1552495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49500" name=""/>
                    <pic:cNvPicPr/>
                  </pic:nvPicPr>
                  <pic:blipFill>
                    <a:blip r:embed="rId10"/>
                    <a:stretch>
                      <a:fillRect/>
                    </a:stretch>
                  </pic:blipFill>
                  <pic:spPr>
                    <a:xfrm>
                      <a:off x="0" y="0"/>
                      <a:ext cx="2400300" cy="622300"/>
                    </a:xfrm>
                    <a:prstGeom prst="rect">
                      <a:avLst/>
                    </a:prstGeom>
                  </pic:spPr>
                </pic:pic>
              </a:graphicData>
            </a:graphic>
          </wp:inline>
        </w:drawing>
      </w:r>
    </w:p>
    <w:p w14:paraId="11E7C452" w14:textId="77777777" w:rsidR="00D2570A" w:rsidRPr="00593A5F" w:rsidRDefault="00D2570A" w:rsidP="00D2570A">
      <w:pPr>
        <w:spacing w:after="0" w:line="240" w:lineRule="auto"/>
        <w:jc w:val="both"/>
        <w:rPr>
          <w:rFonts w:ascii="Verdana" w:eastAsia="Calibri" w:hAnsi="Verdana" w:cs="Arial"/>
          <w:color w:val="000000"/>
          <w:lang w:val="es-ES"/>
        </w:rPr>
      </w:pPr>
    </w:p>
    <w:p w14:paraId="03633A69" w14:textId="77777777" w:rsidR="00D2570A" w:rsidRPr="00B96799" w:rsidRDefault="00D2570A" w:rsidP="00D2570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0C47F9A" w14:textId="77777777" w:rsidR="00D2570A" w:rsidRPr="0085423D" w:rsidRDefault="00D2570A" w:rsidP="00D2570A">
      <w:pPr>
        <w:spacing w:after="0" w:line="240" w:lineRule="auto"/>
        <w:rPr>
          <w:rFonts w:ascii="Verdana" w:eastAsia="Calibri" w:hAnsi="Verdana" w:cs="Arial"/>
          <w:b/>
          <w:lang w:val="es-ES_tradnl" w:eastAsia="es-ES_tradnl"/>
        </w:rPr>
      </w:pPr>
      <w:bookmarkStart w:id="0" w:name="OLE_LINK1"/>
      <w:r w:rsidRPr="00A57C7D">
        <w:rPr>
          <w:rFonts w:ascii="Verdana" w:eastAsia="Calibri" w:hAnsi="Verdana" w:cs="Arial"/>
          <w:b/>
          <w:lang w:val="es-ES_tradnl" w:eastAsia="es-ES_tradnl"/>
        </w:rPr>
        <w:t>William Fabi</w:t>
      </w:r>
      <w:r>
        <w:rPr>
          <w:rFonts w:ascii="Verdana" w:eastAsia="Calibri" w:hAnsi="Verdana" w:cs="Arial"/>
          <w:b/>
          <w:lang w:val="es-ES_tradnl" w:eastAsia="es-ES_tradnl"/>
        </w:rPr>
        <w:t>á</w:t>
      </w:r>
      <w:r w:rsidRPr="00A57C7D">
        <w:rPr>
          <w:rFonts w:ascii="Verdana" w:eastAsia="Calibri" w:hAnsi="Verdana" w:cs="Arial"/>
          <w:b/>
          <w:lang w:val="es-ES_tradnl" w:eastAsia="es-ES_tradnl"/>
        </w:rPr>
        <w:t>n Amaya Cárdenas</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5D5FE5ED" w14:textId="77777777" w:rsidR="00D2570A" w:rsidRDefault="00D2570A" w:rsidP="00D2570A">
      <w:pPr>
        <w:spacing w:after="0" w:line="240" w:lineRule="auto"/>
        <w:rPr>
          <w:rFonts w:ascii="Verdana" w:hAnsi="Verdana"/>
        </w:rPr>
      </w:pPr>
      <w:r>
        <w:rPr>
          <w:rFonts w:ascii="Verdana" w:hAnsi="Verdana"/>
        </w:rPr>
        <w:fldChar w:fldCharType="begin"/>
      </w:r>
      <w:r>
        <w:rPr>
          <w:rFonts w:ascii="Verdana" w:hAnsi="Verdana"/>
        </w:rPr>
        <w:instrText>HYPERLINK "mailto:</w:instrText>
      </w:r>
      <w:r w:rsidRPr="00A57C7D">
        <w:rPr>
          <w:rFonts w:ascii="Verdana" w:hAnsi="Verdana"/>
        </w:rPr>
        <w:instrText>fabianamaya26@hotmail.com</w:instrText>
      </w:r>
      <w:r>
        <w:rPr>
          <w:rFonts w:ascii="Verdana" w:hAnsi="Verdana"/>
        </w:rPr>
        <w:instrText>"</w:instrText>
      </w:r>
      <w:r>
        <w:rPr>
          <w:rFonts w:ascii="Verdana" w:hAnsi="Verdana"/>
        </w:rPr>
      </w:r>
      <w:r>
        <w:rPr>
          <w:rFonts w:ascii="Verdana" w:hAnsi="Verdana"/>
        </w:rPr>
        <w:fldChar w:fldCharType="separate"/>
      </w:r>
      <w:r w:rsidRPr="002422C1">
        <w:rPr>
          <w:rStyle w:val="Hipervnculo"/>
          <w:rFonts w:ascii="Verdana" w:hAnsi="Verdana"/>
        </w:rPr>
        <w:t>fabianamaya26@hotmail.com</w:t>
      </w:r>
      <w:r>
        <w:rPr>
          <w:rFonts w:ascii="Verdana" w:hAnsi="Verdana"/>
        </w:rPr>
        <w:fldChar w:fldCharType="end"/>
      </w:r>
      <w:r>
        <w:rPr>
          <w:rFonts w:ascii="Verdana" w:hAnsi="Verdana"/>
        </w:rPr>
        <w:t xml:space="preserve">  </w:t>
      </w:r>
    </w:p>
    <w:p w14:paraId="43048AAA" w14:textId="77777777" w:rsidR="00D2570A" w:rsidRDefault="00D2570A" w:rsidP="00D2570A">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2048863C" w14:textId="77777777" w:rsidR="00D2570A" w:rsidRPr="00593A5F" w:rsidRDefault="00D2570A" w:rsidP="00D2570A">
      <w:pPr>
        <w:spacing w:after="0" w:line="240" w:lineRule="auto"/>
        <w:rPr>
          <w:rFonts w:ascii="Verdana" w:eastAsia="Calibri" w:hAnsi="Verdana" w:cs="Arial"/>
          <w:b/>
          <w:bCs/>
          <w:color w:val="000000"/>
          <w:lang w:val="es-ES_tradnl" w:eastAsia="es-ES_tradnl"/>
        </w:rPr>
      </w:pPr>
    </w:p>
    <w:p w14:paraId="1952638C" w14:textId="77777777" w:rsidR="00D2570A" w:rsidRPr="00593A5F" w:rsidRDefault="00D2570A" w:rsidP="00D2570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2570A" w:rsidRPr="00593A5F" w14:paraId="39E7A387" w14:textId="77777777" w:rsidTr="002525EC">
        <w:trPr>
          <w:trHeight w:val="884"/>
        </w:trPr>
        <w:tc>
          <w:tcPr>
            <w:tcW w:w="2689" w:type="dxa"/>
          </w:tcPr>
          <w:p w14:paraId="08C1AABC" w14:textId="77777777" w:rsidR="00D2570A" w:rsidRPr="00C00976" w:rsidRDefault="00D2570A" w:rsidP="002525EC">
            <w:pPr>
              <w:jc w:val="both"/>
              <w:rPr>
                <w:rFonts w:ascii="Verdana" w:eastAsia="Calibri" w:hAnsi="Verdana" w:cs="Arial"/>
                <w:b/>
                <w:bCs/>
                <w:color w:val="7030A0"/>
                <w:lang w:val="es-ES_tradnl" w:eastAsia="es-ES_tradnl"/>
              </w:rPr>
            </w:pPr>
          </w:p>
        </w:tc>
        <w:tc>
          <w:tcPr>
            <w:tcW w:w="6100" w:type="dxa"/>
          </w:tcPr>
          <w:p w14:paraId="08BF9C9B" w14:textId="77777777" w:rsidR="00D2570A" w:rsidRPr="00C00976" w:rsidRDefault="00D2570A" w:rsidP="002525EC">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213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2570A" w:rsidRPr="00593A5F" w14:paraId="689618C3" w14:textId="77777777" w:rsidTr="002525EC">
        <w:trPr>
          <w:trHeight w:val="884"/>
        </w:trPr>
        <w:tc>
          <w:tcPr>
            <w:tcW w:w="2689" w:type="dxa"/>
          </w:tcPr>
          <w:p w14:paraId="067934E2" w14:textId="77777777" w:rsidR="00D2570A" w:rsidRPr="00593A5F" w:rsidRDefault="00D2570A" w:rsidP="002525E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2EE7679" w14:textId="77777777" w:rsidR="00D2570A" w:rsidRPr="00A11406" w:rsidRDefault="00D2570A" w:rsidP="002525EC">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 </w:t>
            </w:r>
            <w:r w:rsidRPr="006C2183">
              <w:rPr>
                <w:rFonts w:ascii="Verdana" w:eastAsia="Calibri" w:hAnsi="Verdana" w:cs="Arial"/>
                <w:lang w:val="es-ES" w:eastAsia="es-ES"/>
              </w:rPr>
              <w:t>CONTRATACIÓN DIRECTA – Peritos y asesores técnicos – Procesos judiciales – Ley de garantías – Excepción</w:t>
            </w:r>
            <w:r>
              <w:rPr>
                <w:rFonts w:ascii="Verdana" w:eastAsia="Calibri" w:hAnsi="Verdana" w:cs="Arial"/>
                <w:lang w:val="es-ES" w:eastAsia="es-ES"/>
              </w:rPr>
              <w:t xml:space="preserve"> / </w:t>
            </w:r>
            <w:r w:rsidRPr="006C2183">
              <w:rPr>
                <w:rFonts w:ascii="Verdana" w:eastAsia="Calibri" w:hAnsi="Verdana" w:cs="Arial"/>
                <w:lang w:val="es-ES" w:eastAsia="es-ES"/>
              </w:rPr>
              <w:t>LEY DE GARANTÍAS – Controversias internacionales de inversión – Procesos arbitrales – Inaplicabilidad de excepción – Interpretación estricta</w:t>
            </w:r>
            <w:r>
              <w:rPr>
                <w:rFonts w:ascii="Verdana" w:eastAsia="Calibri" w:hAnsi="Verdana" w:cs="Arial"/>
                <w:lang w:val="es-ES" w:eastAsia="es-ES"/>
              </w:rPr>
              <w:t xml:space="preserve"> </w:t>
            </w:r>
          </w:p>
          <w:p w14:paraId="4143FEE3" w14:textId="77777777" w:rsidR="00D2570A" w:rsidRPr="00593A5F" w:rsidRDefault="00D2570A" w:rsidP="002525EC">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2570A" w:rsidRPr="008E6AD9" w14:paraId="45DAA1E6" w14:textId="77777777" w:rsidTr="002525EC">
        <w:tc>
          <w:tcPr>
            <w:tcW w:w="2689" w:type="dxa"/>
          </w:tcPr>
          <w:p w14:paraId="6140E9EC" w14:textId="77777777" w:rsidR="00D2570A" w:rsidRPr="008E6AD9" w:rsidRDefault="00D2570A" w:rsidP="002525EC">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25AF0F5" w14:textId="77777777" w:rsidR="00D2570A" w:rsidRPr="00B92340" w:rsidRDefault="00D2570A" w:rsidP="002525EC">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E011DD">
              <w:rPr>
                <w:rFonts w:ascii="Verdana" w:eastAsia="Calibri" w:hAnsi="Verdana" w:cs="Arial"/>
                <w:lang w:val="es-ES_tradnl" w:eastAsia="es-ES_tradnl"/>
              </w:rPr>
              <w:t>1_2026_02_13_001887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F81C58D" w14:textId="77777777" w:rsidR="00D2570A" w:rsidRPr="00593A5F" w:rsidRDefault="00D2570A" w:rsidP="00D2570A">
      <w:pPr>
        <w:spacing w:after="0" w:line="240" w:lineRule="auto"/>
        <w:jc w:val="both"/>
        <w:rPr>
          <w:rFonts w:ascii="Verdana" w:eastAsia="Calibri" w:hAnsi="Verdana" w:cs="Arial"/>
          <w:color w:val="000000"/>
          <w:lang w:val="es-ES_tradnl" w:eastAsia="es-ES_tradnl"/>
        </w:rPr>
      </w:pPr>
    </w:p>
    <w:p w14:paraId="6084999F" w14:textId="77777777" w:rsidR="00D2570A" w:rsidRPr="00593A5F" w:rsidRDefault="00D2570A" w:rsidP="00D2570A">
      <w:pPr>
        <w:spacing w:after="0" w:line="240" w:lineRule="auto"/>
        <w:jc w:val="both"/>
        <w:rPr>
          <w:rFonts w:ascii="Verdana" w:eastAsia="Calibri" w:hAnsi="Verdana" w:cs="Arial"/>
          <w:color w:val="000000"/>
          <w:lang w:val="es-ES_tradnl" w:eastAsia="es-ES_tradnl"/>
        </w:rPr>
      </w:pPr>
    </w:p>
    <w:p w14:paraId="5A065C13" w14:textId="77777777" w:rsidR="00D2570A" w:rsidRPr="008E6AD9" w:rsidRDefault="00D2570A" w:rsidP="00D2570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E011DD">
        <w:rPr>
          <w:rFonts w:ascii="Verdana" w:eastAsia="Calibri" w:hAnsi="Verdana" w:cs="Arial"/>
          <w:lang w:val="es-ES" w:eastAsia="es-ES"/>
        </w:rPr>
        <w:t>Amaya Cárdenas</w:t>
      </w:r>
      <w:r w:rsidRPr="008E6AD9">
        <w:rPr>
          <w:rFonts w:ascii="Verdana" w:eastAsia="Calibri" w:hAnsi="Verdana" w:cs="Arial"/>
          <w:lang w:val="es-ES" w:eastAsia="es-ES"/>
        </w:rPr>
        <w:t xml:space="preserve">: </w:t>
      </w:r>
    </w:p>
    <w:p w14:paraId="410733A6" w14:textId="77777777" w:rsidR="00D2570A" w:rsidRDefault="00D2570A" w:rsidP="00D2570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552C9D" w14:textId="77777777" w:rsidR="00D2570A" w:rsidRPr="00593A5F" w:rsidRDefault="00D2570A" w:rsidP="00D2570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E011DD">
        <w:rPr>
          <w:rFonts w:ascii="Verdana" w:hAnsi="Verdana" w:cs="Arial"/>
        </w:rPr>
        <w:t xml:space="preserve">así como lo establecido en el artículo </w:t>
      </w:r>
      <w:r w:rsidRPr="00E011DD">
        <w:rPr>
          <w:rFonts w:ascii="Verdana" w:hAnsi="Verdana" w:cs="Arial"/>
        </w:rPr>
        <w:lastRenderedPageBreak/>
        <w:t>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febrero de 2026, en la cual –respecto al literal k) del artículo 2.4 de la Ley 1150 de 2007 y el artículo 222 de la Ley 1437 de 2011, en la relación con los límites a la contratación directa de acuerdo con el artículo 33 de la Ley 996 de 2005– </w:t>
      </w:r>
      <w:r w:rsidRPr="00A4233A">
        <w:rPr>
          <w:rFonts w:ascii="Verdana" w:eastAsia="Calibri" w:hAnsi="Verdana" w:cs="Arial"/>
          <w:lang w:val="es-ES" w:eastAsia="es-ES"/>
        </w:rPr>
        <w:t>realiza las siguientes preguntas</w:t>
      </w:r>
      <w:r>
        <w:rPr>
          <w:rFonts w:ascii="Verdana" w:eastAsia="Calibri" w:hAnsi="Verdana" w:cs="Arial"/>
          <w:lang w:val="es-ES" w:eastAsia="es-ES"/>
        </w:rPr>
        <w:t>:</w:t>
      </w:r>
      <w:r w:rsidRPr="008E6AD9">
        <w:rPr>
          <w:rFonts w:ascii="Verdana" w:eastAsia="Calibri" w:hAnsi="Verdana" w:cs="Arial"/>
          <w:lang w:val="es-ES" w:eastAsia="es-ES"/>
        </w:rPr>
        <w:t xml:space="preserve"> </w:t>
      </w:r>
    </w:p>
    <w:p w14:paraId="7A9D5D8C" w14:textId="77777777" w:rsidR="00D2570A" w:rsidRPr="00272A7B" w:rsidRDefault="00D2570A" w:rsidP="00D2570A">
      <w:pPr>
        <w:pStyle w:val="Prrafodelista"/>
        <w:tabs>
          <w:tab w:val="left" w:pos="142"/>
          <w:tab w:val="left" w:pos="284"/>
        </w:tabs>
        <w:spacing w:after="0" w:line="276" w:lineRule="auto"/>
        <w:ind w:left="0"/>
        <w:jc w:val="both"/>
        <w:rPr>
          <w:rFonts w:ascii="Verdana" w:eastAsia="Century Gothic" w:hAnsi="Verdana" w:cs="Century Gothic"/>
          <w:b/>
          <w:bCs/>
        </w:rPr>
      </w:pPr>
    </w:p>
    <w:p w14:paraId="021AADE3" w14:textId="77777777" w:rsidR="00D2570A" w:rsidRPr="009E457E" w:rsidRDefault="00D2570A" w:rsidP="00D2570A">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9E457E">
        <w:rPr>
          <w:rFonts w:ascii="Verdana" w:eastAsia="Century Gothic" w:hAnsi="Verdana" w:cs="Century Gothic"/>
          <w:sz w:val="20"/>
          <w:szCs w:val="20"/>
          <w:lang w:val="es-ES"/>
        </w:rPr>
        <w:t>1.</w:t>
      </w:r>
      <w:r>
        <w:rPr>
          <w:rFonts w:ascii="Verdana" w:eastAsia="Century Gothic" w:hAnsi="Verdana" w:cs="Century Gothic"/>
          <w:sz w:val="20"/>
          <w:szCs w:val="20"/>
          <w:lang w:val="es-ES"/>
        </w:rPr>
        <w:t xml:space="preserve"> </w:t>
      </w:r>
      <w:r w:rsidRPr="009E457E">
        <w:rPr>
          <w:rFonts w:ascii="Verdana" w:eastAsia="Century Gothic" w:hAnsi="Verdana" w:cs="Century Gothic"/>
          <w:sz w:val="20"/>
          <w:szCs w:val="20"/>
          <w:lang w:val="es-ES"/>
        </w:rPr>
        <w:t xml:space="preserve">¿Podrían las controversias internacionales de inversión ser consideradas como procesos judiciales? </w:t>
      </w:r>
    </w:p>
    <w:p w14:paraId="548D91D7" w14:textId="77777777" w:rsidR="00D2570A" w:rsidRPr="009E457E" w:rsidRDefault="00D2570A" w:rsidP="00D2570A">
      <w:pPr>
        <w:spacing w:after="120" w:line="240" w:lineRule="auto"/>
        <w:ind w:left="709" w:right="709"/>
        <w:jc w:val="both"/>
        <w:rPr>
          <w:rFonts w:ascii="Verdana" w:eastAsia="Century Gothic" w:hAnsi="Verdana" w:cs="Century Gothic"/>
          <w:sz w:val="20"/>
          <w:szCs w:val="20"/>
          <w:lang w:val="es-ES"/>
        </w:rPr>
      </w:pPr>
      <w:r w:rsidRPr="009E457E">
        <w:rPr>
          <w:rFonts w:ascii="Verdana" w:eastAsia="Century Gothic" w:hAnsi="Verdana" w:cs="Century Gothic"/>
          <w:sz w:val="20"/>
          <w:szCs w:val="20"/>
          <w:lang w:val="es-ES"/>
        </w:rPr>
        <w:t xml:space="preserve">2. ¿La contratación de asesores técnicos у peritos para presentar o contradecir dictámenes periciales en procesos judiciales, según lo previsto en el literal K) del numeral 4 del articulo 2 de la Ley 1150 de 2007, puede equipararse a la contratación de asesores expertos y peritos ante controversias internacionales de inversión donde asuma la representación la Agencia Nacional de Defensa Jurídica? </w:t>
      </w:r>
    </w:p>
    <w:p w14:paraId="5620BDAC" w14:textId="77777777" w:rsidR="00D2570A" w:rsidRPr="004B35AC" w:rsidRDefault="00D2570A" w:rsidP="00D2570A">
      <w:pPr>
        <w:spacing w:after="0" w:line="240" w:lineRule="auto"/>
        <w:ind w:left="709" w:right="709"/>
        <w:jc w:val="both"/>
        <w:rPr>
          <w:rFonts w:ascii="Verdana" w:eastAsia="Century Gothic" w:hAnsi="Verdana" w:cs="Century Gothic"/>
          <w:sz w:val="20"/>
          <w:szCs w:val="20"/>
          <w:lang w:val="es-ES"/>
        </w:rPr>
      </w:pPr>
      <w:r w:rsidRPr="009E457E">
        <w:rPr>
          <w:rFonts w:ascii="Verdana" w:eastAsia="Century Gothic" w:hAnsi="Verdana" w:cs="Century Gothic"/>
          <w:sz w:val="20"/>
          <w:szCs w:val="20"/>
          <w:lang w:val="es-ES"/>
        </w:rPr>
        <w:t>3. En caso de ser afirmativa la respuesta anterior, ¿la contratación de asesores técnicos y peritos ante controversias internacionales de inversión estaría exceptuada de la prohibición contenida en la Ley 996 de 2005 (Ley de Garantías Electorales), conforme a la excepción prevista en el numeral 1 del artículo 222 de la Ley 1437 de 2011, de acuerdo con la modificación introducida por el artículo 58 de la Ley 2080 de 2021?</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411954CA" w14:textId="77777777" w:rsidR="00D2570A" w:rsidRPr="008E6AD9" w:rsidRDefault="00D2570A" w:rsidP="00D2570A">
      <w:pPr>
        <w:pStyle w:val="Prrafodelista"/>
        <w:tabs>
          <w:tab w:val="left" w:pos="142"/>
          <w:tab w:val="left" w:pos="284"/>
        </w:tabs>
        <w:spacing w:after="0" w:line="276" w:lineRule="auto"/>
        <w:ind w:left="0"/>
        <w:jc w:val="both"/>
        <w:rPr>
          <w:rFonts w:ascii="Verdana" w:eastAsia="Century Gothic" w:hAnsi="Verdana" w:cs="Century Gothic"/>
          <w:b/>
          <w:bCs/>
        </w:rPr>
      </w:pPr>
    </w:p>
    <w:p w14:paraId="03D6930B" w14:textId="77777777" w:rsidR="00D2570A" w:rsidRPr="00A652FF" w:rsidRDefault="00D2570A" w:rsidP="00D2570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9D3AF50" w14:textId="77777777" w:rsidR="00D2570A" w:rsidRPr="00423BE7" w:rsidRDefault="00D2570A" w:rsidP="00D2570A">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8F9713F" w14:textId="77777777" w:rsidR="00D2570A" w:rsidRPr="00593A5F" w:rsidRDefault="00D2570A" w:rsidP="00D2570A">
      <w:pPr>
        <w:spacing w:after="0" w:line="276" w:lineRule="auto"/>
        <w:ind w:firstLine="709"/>
        <w:jc w:val="both"/>
        <w:rPr>
          <w:rFonts w:ascii="Verdana" w:eastAsia="Calibri" w:hAnsi="Verdana" w:cs="Arial"/>
          <w:color w:val="000000"/>
          <w:lang w:val="es-ES" w:eastAsia="es-ES"/>
        </w:rPr>
      </w:pPr>
    </w:p>
    <w:p w14:paraId="047A47EB" w14:textId="77777777" w:rsidR="00D2570A" w:rsidRPr="00593A5F" w:rsidRDefault="00D2570A" w:rsidP="00D2570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225C787" w14:textId="77777777" w:rsidR="00D2570A" w:rsidRPr="00593A5F" w:rsidRDefault="00D2570A" w:rsidP="00D2570A">
      <w:pPr>
        <w:tabs>
          <w:tab w:val="left" w:pos="426"/>
        </w:tabs>
        <w:spacing w:after="0" w:line="276" w:lineRule="auto"/>
        <w:jc w:val="both"/>
        <w:rPr>
          <w:rFonts w:ascii="Verdana" w:eastAsia="Century Gothic" w:hAnsi="Verdana" w:cs="Century Gothic"/>
          <w:lang w:val="es-ES"/>
        </w:rPr>
      </w:pPr>
    </w:p>
    <w:p w14:paraId="5E6478FB" w14:textId="30F07698" w:rsidR="00D2570A" w:rsidRPr="00593A5F" w:rsidRDefault="00D2570A" w:rsidP="00D2570A">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 </w:t>
      </w:r>
      <w:r w:rsidR="00AF7C09">
        <w:rPr>
          <w:rFonts w:ascii="Verdana" w:eastAsia="Century Gothic" w:hAnsi="Verdana" w:cs="Century Gothic"/>
        </w:rPr>
        <w:t>es</w:t>
      </w:r>
      <w:r>
        <w:rPr>
          <w:rFonts w:ascii="Verdana" w:eastAsia="Century Gothic" w:hAnsi="Verdana" w:cs="Century Gothic"/>
        </w:rPr>
        <w:t xml:space="preserve"> el ámbito de aplicación y las excepciones de la prohibición del artículo 33 de la Ley de Garantías en relación con las </w:t>
      </w:r>
      <w:r w:rsidRPr="001C25F7">
        <w:rPr>
          <w:rFonts w:ascii="Verdana" w:hAnsi="Verdana" w:cs="Arial"/>
          <w:color w:val="000000" w:themeColor="text1"/>
          <w:lang w:val="es-ES_tradnl"/>
        </w:rPr>
        <w:t>controversias internacionales de inversión</w:t>
      </w:r>
      <w:r>
        <w:rPr>
          <w:rFonts w:ascii="Verdana" w:hAnsi="Verdana" w:cs="Arial"/>
          <w:color w:val="000000" w:themeColor="text1"/>
          <w:lang w:val="es-ES_tradnl"/>
        </w:rPr>
        <w:t xml:space="preserve"> adelantados a través procesos arbitrales</w:t>
      </w:r>
      <w:r>
        <w:rPr>
          <w:rFonts w:ascii="Verdana" w:eastAsia="Times New Roman" w:hAnsi="Verdana" w:cs="Arial"/>
          <w:lang w:eastAsia="es-MX"/>
        </w:rPr>
        <w:t>?</w:t>
      </w:r>
    </w:p>
    <w:p w14:paraId="4F822773" w14:textId="77777777" w:rsidR="00D2570A" w:rsidRPr="004B140F" w:rsidRDefault="00D2570A" w:rsidP="00D2570A">
      <w:pPr>
        <w:spacing w:after="0" w:line="276" w:lineRule="auto"/>
        <w:jc w:val="both"/>
        <w:rPr>
          <w:rFonts w:ascii="Verdana" w:eastAsia="Calibri" w:hAnsi="Verdana" w:cs="Arial"/>
          <w:color w:val="7030A0"/>
        </w:rPr>
      </w:pPr>
    </w:p>
    <w:p w14:paraId="4F3040B1" w14:textId="77777777" w:rsidR="00D2570A" w:rsidRPr="00593A5F" w:rsidRDefault="00D2570A" w:rsidP="00D25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92E9EF2" w14:textId="77777777" w:rsidR="00D2570A" w:rsidRPr="00593A5F" w:rsidRDefault="00D2570A" w:rsidP="00D2570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2570A" w:rsidRPr="00593A5F" w14:paraId="24E5E94B" w14:textId="77777777" w:rsidTr="002525EC">
        <w:trPr>
          <w:jc w:val="center"/>
        </w:trPr>
        <w:tc>
          <w:tcPr>
            <w:tcW w:w="8828" w:type="dxa"/>
          </w:tcPr>
          <w:p w14:paraId="5C9458D1" w14:textId="77777777" w:rsidR="00D2570A" w:rsidRDefault="00D2570A" w:rsidP="002525EC">
            <w:pPr>
              <w:spacing w:after="120" w:line="276" w:lineRule="auto"/>
              <w:jc w:val="both"/>
              <w:rPr>
                <w:rFonts w:ascii="Verdana" w:eastAsia="Times New Roman" w:hAnsi="Verdana" w:cs="Arial"/>
                <w:bCs/>
                <w:lang w:val="es-MX" w:eastAsia="x-none"/>
              </w:rPr>
            </w:pPr>
            <w:bookmarkStart w:id="1" w:name="_Hlk171694685"/>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42203EE4" w14:textId="77777777" w:rsidR="00D2570A" w:rsidRDefault="00D2570A" w:rsidP="002525EC">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 xml:space="preserve">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w:t>
            </w:r>
            <w:r w:rsidRPr="00333EDB">
              <w:rPr>
                <w:rFonts w:ascii="Verdana" w:eastAsia="Times New Roman" w:hAnsi="Verdana" w:cs="Arial"/>
                <w:bCs/>
                <w:lang w:val="es-MX" w:eastAsia="x-none"/>
              </w:rPr>
              <w:lastRenderedPageBreak/>
              <w:t>mismas se enmarcan en alguna de las mencionadas excepciones, de manera que se le permita realizar la contratación que necesite en forma directa.</w:t>
            </w:r>
          </w:p>
          <w:p w14:paraId="6A19790F" w14:textId="66A01F57" w:rsidR="00D2570A" w:rsidRDefault="00D2570A" w:rsidP="002525EC">
            <w:pPr>
              <w:spacing w:after="120" w:line="276" w:lineRule="auto"/>
              <w:ind w:firstLine="737"/>
              <w:jc w:val="both"/>
              <w:rPr>
                <w:rFonts w:ascii="Verdana" w:eastAsia="Calibri" w:hAnsi="Verdana" w:cs="Arial"/>
                <w:lang w:val="es-ES" w:eastAsia="es-ES"/>
              </w:rPr>
            </w:pPr>
            <w:r>
              <w:rPr>
                <w:rFonts w:ascii="Verdana" w:hAnsi="Verdana" w:cs="Arial"/>
                <w:color w:val="000000" w:themeColor="text1"/>
                <w:lang w:val="es-ES_tradnl"/>
              </w:rPr>
              <w:t>En todo caso, por expresa disposición legal</w:t>
            </w:r>
            <w:r w:rsidRPr="00DE024F">
              <w:rPr>
                <w:rFonts w:ascii="Verdana" w:hAnsi="Verdana" w:cs="Arial"/>
                <w:color w:val="000000" w:themeColor="text1"/>
                <w:lang w:val="es-ES_tradnl"/>
              </w:rPr>
              <w:t xml:space="preserve">, la contratación directa de peritos y asesores técnicos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w:t>
            </w:r>
            <w:r>
              <w:rPr>
                <w:rFonts w:ascii="Verdana" w:hAnsi="Verdana" w:cs="Arial"/>
                <w:color w:val="000000" w:themeColor="text1"/>
                <w:lang w:val="es-ES_tradnl"/>
              </w:rPr>
              <w:t>. Es decir,</w:t>
            </w:r>
            <w:r w:rsidRPr="00DE024F">
              <w:rPr>
                <w:rFonts w:ascii="Verdana" w:hAnsi="Verdana" w:cs="Arial"/>
                <w:color w:val="000000" w:themeColor="text1"/>
                <w:lang w:val="es-ES_tradnl"/>
              </w:rPr>
              <w:t xml:space="preserve"> una entidad estatal que requiera aportar o contradecir un dictamen pericial, dentro de un proceso judicial, podrá contratar directamente al perito o asesor técnico que requiera, aun en vigencia</w:t>
            </w:r>
            <w:r>
              <w:rPr>
                <w:rFonts w:ascii="Verdana" w:hAnsi="Verdana" w:cs="Arial"/>
                <w:color w:val="000000" w:themeColor="text1"/>
                <w:lang w:val="es-ES_tradnl"/>
              </w:rPr>
              <w:t xml:space="preserve"> la 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w:t>
            </w:r>
            <w:r w:rsidR="0018569B">
              <w:rPr>
                <w:rFonts w:ascii="Verdana" w:hAnsi="Verdana" w:cs="Arial"/>
                <w:color w:val="000000" w:themeColor="text1"/>
                <w:lang w:val="es-ES_tradnl"/>
              </w:rPr>
              <w:t xml:space="preserve">en la </w:t>
            </w:r>
            <w:r w:rsidRPr="00DE024F">
              <w:rPr>
                <w:rFonts w:ascii="Verdana" w:hAnsi="Verdana" w:cs="Arial"/>
                <w:color w:val="000000" w:themeColor="text1"/>
                <w:lang w:val="es-ES_tradnl"/>
              </w:rPr>
              <w:t>cual el presidente sea elegido</w:t>
            </w:r>
            <w:r>
              <w:rPr>
                <w:rFonts w:ascii="Verdana" w:hAnsi="Verdana" w:cs="Arial"/>
                <w:color w:val="000000" w:themeColor="text1"/>
                <w:lang w:val="es-ES_tradnl"/>
              </w:rPr>
              <w:t xml:space="preserve">. Ambos aspectos fueron introducidos por los artículos 58 y 82 de la Ley 2080 de 2021 </w:t>
            </w:r>
            <w:r>
              <w:rPr>
                <w:rFonts w:ascii="Verdana" w:eastAsia="Calibri" w:hAnsi="Verdana" w:cs="Arial"/>
                <w:lang w:val="es-ES" w:eastAsia="es-ES"/>
              </w:rPr>
              <w:t>al adicionar el literal k) del artículo 2.4 de la Ley 1150 de 2007 y modificar el artículo 222 de la Ley 1437 de 2011.</w:t>
            </w:r>
          </w:p>
          <w:p w14:paraId="6E46122F" w14:textId="77777777" w:rsidR="00D2570A" w:rsidRPr="00073096" w:rsidRDefault="00D2570A" w:rsidP="002525EC">
            <w:pPr>
              <w:spacing w:after="120" w:line="276" w:lineRule="auto"/>
              <w:ind w:firstLine="737"/>
              <w:jc w:val="both"/>
              <w:rPr>
                <w:rFonts w:ascii="Verdana" w:eastAsia="Calibri" w:hAnsi="Verdana" w:cs="Arial"/>
                <w:lang w:val="es-MX"/>
              </w:rPr>
            </w:pPr>
            <w:r>
              <w:rPr>
                <w:rFonts w:ascii="Verdana" w:eastAsia="Calibri" w:hAnsi="Verdana" w:cs="Arial"/>
                <w:lang w:val="es-ES" w:eastAsia="es-ES"/>
              </w:rPr>
              <w:t xml:space="preserve">Dicha reforma tiene como objeto principal los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adelantados ante la jurisdicción de lo contencioso administrativo; razón por la cual, conforme a la literalidad de las normas citadas en el párrafo anterior, no se extienden a los </w:t>
            </w:r>
            <w:r w:rsidRPr="00E976D6">
              <w:rPr>
                <w:rFonts w:ascii="Verdana" w:eastAsia="Calibri" w:hAnsi="Verdana" w:cs="Arial"/>
                <w:i/>
                <w:iCs/>
                <w:lang w:val="es-ES" w:eastAsia="es-ES"/>
              </w:rPr>
              <w:t>procesos arbitrales</w:t>
            </w:r>
            <w:r>
              <w:rPr>
                <w:rFonts w:ascii="Verdana" w:eastAsia="Calibri" w:hAnsi="Verdana" w:cs="Arial"/>
                <w:lang w:val="es-ES" w:eastAsia="es-ES"/>
              </w:rPr>
              <w:t xml:space="preserve"> derivados de </w:t>
            </w:r>
            <w:r w:rsidRPr="001C25F7">
              <w:rPr>
                <w:rFonts w:ascii="Verdana" w:hAnsi="Verdana" w:cs="Arial"/>
                <w:color w:val="000000" w:themeColor="text1"/>
                <w:lang w:val="es-ES_tradnl"/>
              </w:rPr>
              <w:t>controversias internacionales de inversión</w:t>
            </w:r>
            <w:r>
              <w:rPr>
                <w:rFonts w:ascii="Verdana" w:hAnsi="Verdana" w:cs="Arial"/>
                <w:color w:val="000000" w:themeColor="text1"/>
                <w:lang w:val="es-ES_tradnl"/>
              </w:rPr>
              <w:t>. Las excepciones a los procesos con pluralidad de oferentes, así como las excepciones a prohibición del artículo 33 de la Ley 996 de 2005, son de interpretación estricta. Luego, excluyen tanto la aplicación extensiva como analógica.</w:t>
            </w:r>
          </w:p>
          <w:p w14:paraId="113477D5" w14:textId="77777777" w:rsidR="00D2570A" w:rsidRPr="001941FD" w:rsidRDefault="00D2570A" w:rsidP="002525EC">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3339D97" w14:textId="77777777" w:rsidR="00D2570A" w:rsidRPr="00593A5F" w:rsidRDefault="00D2570A" w:rsidP="00D2570A">
      <w:pPr>
        <w:tabs>
          <w:tab w:val="left" w:pos="142"/>
          <w:tab w:val="left" w:pos="284"/>
        </w:tabs>
        <w:spacing w:after="0" w:line="276" w:lineRule="auto"/>
        <w:jc w:val="both"/>
        <w:rPr>
          <w:rFonts w:ascii="Verdana" w:eastAsia="Century Gothic" w:hAnsi="Verdana" w:cs="Century Gothic"/>
          <w:b/>
          <w:bCs/>
          <w:lang w:val="es-ES"/>
        </w:rPr>
      </w:pPr>
    </w:p>
    <w:bookmarkEnd w:id="1"/>
    <w:p w14:paraId="0E317E4E" w14:textId="77777777" w:rsidR="00D2570A" w:rsidRPr="00593A5F" w:rsidRDefault="00D2570A" w:rsidP="00D25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BC71EA6" w14:textId="77777777" w:rsidR="00D2570A" w:rsidRPr="00593A5F" w:rsidRDefault="00D2570A" w:rsidP="00D2570A">
      <w:pPr>
        <w:spacing w:after="0" w:line="276" w:lineRule="auto"/>
        <w:jc w:val="both"/>
        <w:rPr>
          <w:rFonts w:ascii="Verdana" w:eastAsia="Calibri" w:hAnsi="Verdana" w:cs="Arial"/>
          <w:color w:val="7030A0"/>
          <w:lang w:val="es-ES"/>
        </w:rPr>
      </w:pPr>
    </w:p>
    <w:p w14:paraId="40EF9581" w14:textId="77777777" w:rsidR="00D2570A" w:rsidRDefault="00D2570A" w:rsidP="00D2570A">
      <w:pPr>
        <w:spacing w:after="0" w:line="276" w:lineRule="auto"/>
        <w:jc w:val="both"/>
        <w:rPr>
          <w:rFonts w:ascii="Verdana" w:eastAsia="Calibri" w:hAnsi="Verdana" w:cs="Arial"/>
          <w:lang w:val="es-ES"/>
        </w:rPr>
      </w:pPr>
      <w:r w:rsidRPr="00B96799">
        <w:rPr>
          <w:rFonts w:ascii="Verdana" w:eastAsia="Calibri" w:hAnsi="Verdana" w:cs="Arial"/>
          <w:lang w:val="es-ES"/>
        </w:rPr>
        <w:lastRenderedPageBreak/>
        <w:t>Lo anterior se sustenta en las siguientes consideraciones:</w:t>
      </w:r>
    </w:p>
    <w:p w14:paraId="42474F7A" w14:textId="77777777" w:rsidR="00D2570A" w:rsidRDefault="00D2570A" w:rsidP="00D2570A">
      <w:pPr>
        <w:spacing w:after="0" w:line="276" w:lineRule="auto"/>
        <w:jc w:val="both"/>
        <w:rPr>
          <w:rFonts w:ascii="Verdana" w:eastAsia="Calibri" w:hAnsi="Verdana" w:cs="Arial"/>
          <w:lang w:val="es-ES"/>
        </w:rPr>
      </w:pPr>
    </w:p>
    <w:p w14:paraId="44C0DE73" w14:textId="77777777" w:rsidR="00D2570A" w:rsidRPr="002D6B43" w:rsidRDefault="00D2570A" w:rsidP="00D2570A">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622C788" w14:textId="77777777" w:rsidR="00D2570A" w:rsidRPr="006B14B5" w:rsidRDefault="00D2570A" w:rsidP="00D2570A">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F4D7981" w14:textId="77777777" w:rsidR="00D2570A" w:rsidRPr="00E2397D" w:rsidRDefault="00D2570A" w:rsidP="00D2570A">
      <w:pPr>
        <w:spacing w:after="0" w:line="276" w:lineRule="auto"/>
        <w:ind w:right="709"/>
        <w:contextualSpacing/>
        <w:jc w:val="both"/>
        <w:rPr>
          <w:rFonts w:ascii="Verdana" w:eastAsia="Times New Roman" w:hAnsi="Verdana" w:cs="Arial"/>
          <w:lang w:val="es-ES" w:eastAsia="es-CO"/>
        </w:rPr>
      </w:pPr>
    </w:p>
    <w:p w14:paraId="0A3B468C" w14:textId="77777777" w:rsidR="00D2570A" w:rsidRPr="00E2397D" w:rsidRDefault="00D2570A" w:rsidP="00D2570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F0E25EE" w14:textId="77777777" w:rsidR="00D2570A" w:rsidRDefault="00D2570A" w:rsidP="00D2570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CD1D05B" w14:textId="77777777" w:rsidR="00D2570A" w:rsidRPr="000B35C5" w:rsidRDefault="00D2570A" w:rsidP="00D2570A">
      <w:pPr>
        <w:spacing w:after="0" w:line="240" w:lineRule="auto"/>
        <w:ind w:left="709" w:right="709"/>
        <w:contextualSpacing/>
        <w:jc w:val="both"/>
        <w:rPr>
          <w:rFonts w:ascii="Verdana" w:eastAsia="Times New Roman" w:hAnsi="Verdana" w:cs="Arial"/>
          <w:sz w:val="12"/>
          <w:szCs w:val="12"/>
          <w:lang w:val="es-MX" w:eastAsia="es-CO"/>
        </w:rPr>
      </w:pPr>
    </w:p>
    <w:p w14:paraId="18333C68" w14:textId="77777777" w:rsidR="00D2570A" w:rsidRPr="00E2397D" w:rsidRDefault="00D2570A" w:rsidP="00D2570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E2397D">
        <w:rPr>
          <w:rFonts w:ascii="Verdana" w:eastAsia="Times New Roman" w:hAnsi="Verdana" w:cs="Arial"/>
          <w:sz w:val="20"/>
          <w:szCs w:val="20"/>
          <w:lang w:val="es-MX"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00A11350" w14:textId="77777777" w:rsidR="00D2570A" w:rsidRPr="00E2397D" w:rsidRDefault="00D2570A" w:rsidP="00D2570A">
      <w:pPr>
        <w:spacing w:after="0" w:line="276" w:lineRule="auto"/>
        <w:ind w:firstLine="709"/>
        <w:jc w:val="both"/>
        <w:rPr>
          <w:rFonts w:ascii="Verdana" w:eastAsia="Times New Roman" w:hAnsi="Verdana" w:cs="Arial"/>
          <w:lang w:val="es-MX" w:eastAsia="es-CO"/>
        </w:rPr>
      </w:pPr>
      <w:bookmarkStart w:id="3" w:name="_Hlk78818186"/>
    </w:p>
    <w:p w14:paraId="3E6E9A03" w14:textId="77777777" w:rsidR="00D2570A" w:rsidRPr="00E2397D" w:rsidRDefault="00D2570A" w:rsidP="00D2570A">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417368A" w14:textId="77777777" w:rsidR="00D2570A" w:rsidRPr="00886C02" w:rsidRDefault="00D2570A" w:rsidP="00D2570A">
      <w:pPr>
        <w:spacing w:after="0" w:line="276" w:lineRule="auto"/>
        <w:ind w:firstLine="709"/>
        <w:jc w:val="both"/>
        <w:rPr>
          <w:rFonts w:ascii="Verdana" w:eastAsia="Times New Roman" w:hAnsi="Verdana" w:cs="Arial"/>
          <w:lang w:val="es-MX" w:eastAsia="es-CO"/>
        </w:rPr>
      </w:pPr>
    </w:p>
    <w:p w14:paraId="79941C14" w14:textId="77777777" w:rsidR="00D2570A" w:rsidRPr="00E2397D" w:rsidRDefault="00D2570A" w:rsidP="00D2570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062433" w14:textId="77777777" w:rsidR="00D2570A" w:rsidRPr="000B35C5" w:rsidRDefault="00D2570A" w:rsidP="00D2570A">
      <w:pPr>
        <w:spacing w:after="0" w:line="240" w:lineRule="auto"/>
        <w:ind w:right="709"/>
        <w:contextualSpacing/>
        <w:jc w:val="both"/>
        <w:rPr>
          <w:rFonts w:ascii="Verdana" w:eastAsia="Times New Roman" w:hAnsi="Verdana" w:cs="Arial"/>
          <w:sz w:val="12"/>
          <w:szCs w:val="12"/>
          <w:lang w:val="es-MX" w:eastAsia="es-CO"/>
        </w:rPr>
      </w:pPr>
    </w:p>
    <w:p w14:paraId="00A798D0" w14:textId="77777777" w:rsidR="00D2570A" w:rsidRPr="00E2397D" w:rsidRDefault="00D2570A" w:rsidP="00D2570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E2397D">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389E26B3" w14:textId="77777777" w:rsidR="00D2570A" w:rsidRPr="00E2397D" w:rsidRDefault="00D2570A" w:rsidP="00D2570A">
      <w:pPr>
        <w:spacing w:after="0" w:line="276" w:lineRule="auto"/>
        <w:jc w:val="both"/>
        <w:rPr>
          <w:rFonts w:ascii="Verdana" w:eastAsia="Calibri" w:hAnsi="Verdana" w:cs="Arial"/>
          <w:bCs/>
          <w:lang w:val="es-ES_tradnl"/>
        </w:rPr>
      </w:pPr>
    </w:p>
    <w:p w14:paraId="263F7147" w14:textId="77777777" w:rsidR="00D2570A" w:rsidRDefault="00D2570A" w:rsidP="00D2570A">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AE98456" w14:textId="77777777" w:rsidR="00D2570A" w:rsidRPr="00E2397D" w:rsidRDefault="00D2570A" w:rsidP="00D2570A">
      <w:pPr>
        <w:spacing w:after="0" w:line="276" w:lineRule="auto"/>
        <w:ind w:firstLine="709"/>
        <w:jc w:val="both"/>
        <w:rPr>
          <w:rFonts w:ascii="Verdana" w:eastAsia="Arial" w:hAnsi="Verdana" w:cs="Arial"/>
          <w:lang w:val="es-ES" w:eastAsia="es-ES" w:bidi="es-ES"/>
        </w:rPr>
      </w:pPr>
    </w:p>
    <w:p w14:paraId="1B86C564" w14:textId="77777777" w:rsidR="00D2570A" w:rsidRPr="00E2397D" w:rsidRDefault="00D2570A" w:rsidP="00D2570A">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1C4F4142" w14:textId="77777777" w:rsidR="00D2570A" w:rsidRPr="00E2397D" w:rsidRDefault="00D2570A" w:rsidP="00D2570A">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27872FBC" w14:textId="77777777" w:rsidR="00D2570A" w:rsidRDefault="00D2570A" w:rsidP="00D2570A">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w:t>
      </w:r>
      <w:r w:rsidRPr="00E2397D">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83EFFF7" w14:textId="77777777" w:rsidR="00D2570A" w:rsidRDefault="00D2570A" w:rsidP="00D2570A">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3EE50D6" w14:textId="77777777" w:rsidR="00D2570A" w:rsidRDefault="00D2570A" w:rsidP="00D2570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18A02518" w14:textId="77777777" w:rsidR="00D2570A" w:rsidRDefault="00D2570A" w:rsidP="00D2570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52BBCD3A" w14:textId="77777777" w:rsidR="00D2570A" w:rsidRPr="00894384" w:rsidRDefault="00D2570A" w:rsidP="00D2570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09BD1D2A" w14:textId="77777777" w:rsidR="00D2570A" w:rsidRPr="00E2397D" w:rsidRDefault="00D2570A" w:rsidP="00D2570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71487BC" w14:textId="77777777" w:rsidR="00D2570A" w:rsidRPr="00E2397D" w:rsidRDefault="00D2570A" w:rsidP="00D2570A">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9A808F8" w14:textId="77777777" w:rsidR="00D2570A" w:rsidRPr="00E2397D" w:rsidRDefault="00D2570A" w:rsidP="00D2570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2E6CEB7C" w14:textId="77777777" w:rsidR="00D2570A" w:rsidRPr="00E2397D" w:rsidRDefault="00D2570A" w:rsidP="00D2570A">
      <w:pPr>
        <w:widowControl w:val="0"/>
        <w:autoSpaceDE w:val="0"/>
        <w:autoSpaceDN w:val="0"/>
        <w:spacing w:after="0" w:line="276" w:lineRule="auto"/>
        <w:contextualSpacing/>
        <w:rPr>
          <w:rFonts w:ascii="Verdana" w:eastAsia="Arial" w:hAnsi="Verdana" w:cs="Arial"/>
          <w:lang w:val="es-ES" w:eastAsia="es-ES" w:bidi="es-ES"/>
        </w:rPr>
      </w:pPr>
    </w:p>
    <w:p w14:paraId="2392C246" w14:textId="77777777" w:rsidR="00D2570A" w:rsidRPr="00E2397D" w:rsidRDefault="00D2570A" w:rsidP="00D2570A">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E2397D">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5033C32E" w14:textId="77777777" w:rsidR="00D2570A" w:rsidRPr="00E2397D" w:rsidRDefault="00D2570A" w:rsidP="00D2570A">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6CD3AE0D" w14:textId="77777777" w:rsidR="00D2570A" w:rsidRDefault="00D2570A" w:rsidP="00D2570A">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FC9099C" w14:textId="77777777" w:rsidR="00D2570A" w:rsidRPr="00E2397D" w:rsidRDefault="00D2570A" w:rsidP="00D2570A">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2" w:name="_Hlk78820161"/>
    </w:p>
    <w:p w14:paraId="2E8253E7" w14:textId="77777777" w:rsidR="00D2570A" w:rsidRPr="0057193B" w:rsidRDefault="00D2570A" w:rsidP="00D2570A">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58D9A187" w14:textId="77777777" w:rsidR="00D2570A" w:rsidRPr="00D631B0" w:rsidRDefault="00D2570A" w:rsidP="00D2570A">
      <w:pPr>
        <w:spacing w:after="0" w:line="276" w:lineRule="auto"/>
        <w:ind w:left="708" w:right="709"/>
        <w:jc w:val="both"/>
        <w:rPr>
          <w:rFonts w:ascii="Verdana" w:eastAsia="Calibri" w:hAnsi="Verdana" w:cs="Arial"/>
          <w:lang w:val="es-MX"/>
        </w:rPr>
      </w:pPr>
    </w:p>
    <w:p w14:paraId="3016A55D" w14:textId="77777777" w:rsidR="00D2570A" w:rsidRPr="00BB5022" w:rsidRDefault="00D2570A" w:rsidP="00D2570A">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lastRenderedPageBreak/>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1"/>
      </w:r>
      <w:r w:rsidRPr="00BB5022">
        <w:rPr>
          <w:rFonts w:ascii="Verdana" w:eastAsia="Calibri" w:hAnsi="Verdana" w:cs="Arial"/>
          <w:sz w:val="20"/>
          <w:szCs w:val="20"/>
          <w:lang w:val="es-MX"/>
        </w:rPr>
        <w:t>.</w:t>
      </w:r>
    </w:p>
    <w:p w14:paraId="6FD2BB25" w14:textId="77777777" w:rsidR="00D2570A" w:rsidRPr="00BB5022" w:rsidRDefault="00D2570A" w:rsidP="00D2570A">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2"/>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02627CE5" w14:textId="77777777" w:rsidR="00D2570A" w:rsidRPr="0057193B" w:rsidRDefault="00D2570A" w:rsidP="00D2570A">
      <w:pPr>
        <w:shd w:val="clear" w:color="auto" w:fill="FFFFFF"/>
        <w:spacing w:after="0" w:line="276" w:lineRule="auto"/>
        <w:ind w:firstLine="709"/>
        <w:jc w:val="both"/>
        <w:rPr>
          <w:rFonts w:ascii="Verdana" w:eastAsia="Times New Roman" w:hAnsi="Verdana" w:cs="Arial"/>
          <w:lang w:eastAsia="x-none"/>
        </w:rPr>
      </w:pPr>
    </w:p>
    <w:p w14:paraId="175E19D0" w14:textId="77777777" w:rsidR="00D2570A" w:rsidRPr="0057193B" w:rsidRDefault="00D2570A" w:rsidP="00D2570A">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010F205" w14:textId="77777777" w:rsidR="00D2570A" w:rsidRPr="0057193B" w:rsidRDefault="00D2570A" w:rsidP="00D2570A">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w:t>
      </w:r>
      <w:r w:rsidRPr="0057193B">
        <w:rPr>
          <w:rFonts w:ascii="Verdana" w:eastAsia="Times New Roman" w:hAnsi="Verdana" w:cs="Arial"/>
          <w:lang w:eastAsia="x-none"/>
        </w:rPr>
        <w:lastRenderedPageBreak/>
        <w:t xml:space="preserve">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75216FCC" w14:textId="77777777" w:rsidR="00D2570A" w:rsidRPr="0057193B" w:rsidRDefault="00D2570A" w:rsidP="00D2570A">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1ECAD7FA" w14:textId="77777777" w:rsidR="00D2570A" w:rsidRPr="0057193B" w:rsidRDefault="00D2570A" w:rsidP="00D2570A">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66CC56D4" w14:textId="77777777" w:rsidR="00D2570A" w:rsidRPr="0057193B" w:rsidRDefault="00D2570A" w:rsidP="00D2570A">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w:t>
      </w:r>
      <w:r w:rsidRPr="0057193B">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482BE805" w14:textId="77777777" w:rsidR="00D2570A" w:rsidRPr="0057193B" w:rsidRDefault="00D2570A" w:rsidP="00D2570A">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770DBF6" w14:textId="77777777" w:rsidR="00D2570A" w:rsidRPr="00447D82" w:rsidRDefault="00D2570A" w:rsidP="00D2570A">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1FB34589" w14:textId="77777777" w:rsidR="00D2570A" w:rsidRPr="0057193B" w:rsidRDefault="00D2570A" w:rsidP="00D2570A">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w:t>
      </w:r>
      <w:r w:rsidRPr="0057193B">
        <w:rPr>
          <w:rFonts w:ascii="Verdana" w:eastAsia="Times New Roman" w:hAnsi="Verdana" w:cs="Arial"/>
          <w:bCs/>
          <w:lang w:val="es-MX" w:eastAsia="es-CO"/>
        </w:rPr>
        <w:lastRenderedPageBreak/>
        <w:t>adelanta y determinar si las mismas se enmarcan en alguna de las mencionadas excepciones, de manera que se le permita realizar la contratación que necesite en forma directa.</w:t>
      </w:r>
    </w:p>
    <w:p w14:paraId="3B7F5217" w14:textId="77777777" w:rsidR="00D2570A" w:rsidRPr="0057193B" w:rsidRDefault="00D2570A" w:rsidP="00D2570A">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E7D1479" w14:textId="77777777" w:rsidR="00D2570A" w:rsidRDefault="00D2570A" w:rsidP="00D2570A">
      <w:pPr>
        <w:spacing w:after="0" w:line="276" w:lineRule="auto"/>
        <w:jc w:val="both"/>
        <w:rPr>
          <w:rFonts w:ascii="Verdana" w:eastAsia="Times New Roman" w:hAnsi="Verdana" w:cs="Arial"/>
          <w:bCs/>
          <w:lang w:val="es-MX" w:eastAsia="x-none"/>
        </w:rPr>
      </w:pPr>
    </w:p>
    <w:p w14:paraId="3F8730D0" w14:textId="77777777" w:rsidR="00D2570A" w:rsidRPr="0057193B" w:rsidRDefault="00D2570A" w:rsidP="00D2570A">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iv.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06860A6" w14:textId="77777777" w:rsidR="00D2570A" w:rsidRPr="0057193B" w:rsidRDefault="00D2570A" w:rsidP="00D2570A">
      <w:pPr>
        <w:spacing w:after="0" w:line="276" w:lineRule="auto"/>
        <w:jc w:val="both"/>
        <w:rPr>
          <w:rFonts w:ascii="Verdana" w:eastAsia="Times New Roman" w:hAnsi="Verdana" w:cs="Arial"/>
          <w:bCs/>
          <w:lang w:val="es-MX" w:eastAsia="x-none"/>
        </w:rPr>
      </w:pPr>
    </w:p>
    <w:p w14:paraId="7F5085E9" w14:textId="77777777" w:rsidR="00D2570A" w:rsidRPr="00883B81" w:rsidRDefault="00D2570A" w:rsidP="00D2570A">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883B81">
        <w:rPr>
          <w:rFonts w:ascii="Verdana" w:eastAsia="Times New Roman" w:hAnsi="Verdana" w:cs="Arial"/>
          <w:bCs/>
          <w:sz w:val="20"/>
          <w:szCs w:val="20"/>
          <w:lang w:val="es-MX" w:eastAsia="x-none"/>
        </w:rPr>
        <w:lastRenderedPageBreak/>
        <w:t>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1"/>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4F2E3208" w14:textId="77777777" w:rsidR="00D2570A" w:rsidRPr="0057193B" w:rsidRDefault="00D2570A" w:rsidP="00D2570A">
      <w:pPr>
        <w:spacing w:after="0" w:line="276" w:lineRule="auto"/>
        <w:ind w:firstLine="708"/>
        <w:jc w:val="both"/>
        <w:rPr>
          <w:rFonts w:ascii="Verdana" w:eastAsia="Times New Roman" w:hAnsi="Verdana" w:cs="Arial"/>
          <w:bCs/>
          <w:lang w:val="es-MX" w:eastAsia="es-CO"/>
        </w:rPr>
      </w:pPr>
    </w:p>
    <w:p w14:paraId="3A423672" w14:textId="77777777" w:rsidR="00D2570A" w:rsidRPr="0057193B" w:rsidRDefault="00D2570A" w:rsidP="00D2570A">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192F8F94" w14:textId="77777777" w:rsidR="00D2570A" w:rsidRPr="0057193B" w:rsidRDefault="00D2570A" w:rsidP="00D2570A">
      <w:pPr>
        <w:spacing w:after="0" w:line="276" w:lineRule="auto"/>
        <w:jc w:val="both"/>
        <w:rPr>
          <w:rFonts w:ascii="Verdana" w:eastAsia="Calibri" w:hAnsi="Verdana" w:cs="Arial"/>
          <w:lang w:val="es-MX"/>
        </w:rPr>
      </w:pPr>
    </w:p>
    <w:p w14:paraId="50A3E446" w14:textId="77777777" w:rsidR="00D2570A" w:rsidRPr="001924B7" w:rsidRDefault="00D2570A" w:rsidP="00D2570A">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A794485" w14:textId="77777777" w:rsidR="00D2570A" w:rsidRPr="00883B81" w:rsidRDefault="00D2570A" w:rsidP="00D2570A">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59467C27" w14:textId="77777777" w:rsidR="00D2570A" w:rsidRPr="001924B7" w:rsidRDefault="00D2570A" w:rsidP="00D2570A">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w:t>
      </w:r>
      <w:r w:rsidRPr="001924B7">
        <w:rPr>
          <w:rFonts w:ascii="Verdana" w:eastAsia="Times New Roman" w:hAnsi="Verdana" w:cs="Arial"/>
          <w:bCs/>
          <w:sz w:val="20"/>
          <w:szCs w:val="20"/>
          <w:lang w:val="es-MX" w:eastAsia="x-none"/>
        </w:rPr>
        <w:lastRenderedPageBreak/>
        <w:t>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0015DC35" w14:textId="77777777" w:rsidR="00D2570A" w:rsidRPr="0057193B" w:rsidRDefault="00D2570A" w:rsidP="00D2570A">
      <w:pPr>
        <w:spacing w:after="0" w:line="276" w:lineRule="auto"/>
        <w:jc w:val="both"/>
        <w:rPr>
          <w:rFonts w:ascii="Verdana" w:eastAsia="Calibri" w:hAnsi="Verdana" w:cs="Arial"/>
          <w:lang w:val="es-MX"/>
        </w:rPr>
      </w:pPr>
    </w:p>
    <w:p w14:paraId="61AD9047" w14:textId="77777777" w:rsidR="00D2570A" w:rsidRPr="0057193B" w:rsidRDefault="00D2570A" w:rsidP="00D2570A">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5A84E862" w14:textId="77777777" w:rsidR="00D2570A" w:rsidRDefault="00D2570A" w:rsidP="00D2570A">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7D3D0FE" w14:textId="77777777" w:rsidR="00D2570A" w:rsidRPr="0086501B" w:rsidRDefault="00D2570A" w:rsidP="00D2570A">
      <w:pPr>
        <w:spacing w:after="0" w:line="276" w:lineRule="auto"/>
        <w:ind w:firstLine="709"/>
        <w:jc w:val="both"/>
        <w:rPr>
          <w:rFonts w:ascii="Verdana" w:eastAsia="Times New Roman" w:hAnsi="Verdana" w:cs="Arial"/>
          <w:bCs/>
          <w:lang w:val="es-MX" w:eastAsia="x-none"/>
        </w:rPr>
      </w:pPr>
    </w:p>
    <w:p w14:paraId="54056E7F" w14:textId="77777777" w:rsidR="00D2570A" w:rsidRPr="00753727" w:rsidRDefault="00D2570A" w:rsidP="00D2570A">
      <w:pPr>
        <w:spacing w:after="120" w:line="276" w:lineRule="auto"/>
        <w:jc w:val="both"/>
        <w:rPr>
          <w:rFonts w:ascii="Verdana" w:eastAsia="Arial" w:hAnsi="Verdana" w:cs="Arial"/>
          <w:lang w:val="es-ES" w:eastAsia="es-ES" w:bidi="es-ES"/>
        </w:rPr>
      </w:pPr>
      <w:r w:rsidRPr="00F4158D">
        <w:rPr>
          <w:rFonts w:ascii="Verdana" w:eastAsia="Calibri" w:hAnsi="Verdana" w:cs="Arial"/>
          <w:lang w:val="es-ES"/>
        </w:rPr>
        <w:t>v.</w:t>
      </w:r>
      <w:bookmarkEnd w:id="12"/>
      <w:r>
        <w:rPr>
          <w:rFonts w:ascii="Verdana" w:eastAsia="Times New Roman" w:hAnsi="Verdana" w:cs="Arial"/>
          <w:lang w:val="es-ES" w:eastAsia="es-MX"/>
        </w:rPr>
        <w:t xml:space="preserve"> Es necesario tener en cuenta que la Ley 2080 de 2021 modificó la Ley 1437 de 2011 para </w:t>
      </w:r>
      <w:r w:rsidRPr="00611C6D">
        <w:rPr>
          <w:rFonts w:ascii="Verdana" w:eastAsia="Times New Roman" w:hAnsi="Verdana" w:cs="Arial"/>
          <w:lang w:val="es-ES" w:eastAsia="es-MX"/>
        </w:rPr>
        <w:t xml:space="preserve">establecer disposiciones orientadas a la descongestión de la </w:t>
      </w:r>
      <w:r>
        <w:rPr>
          <w:rFonts w:ascii="Verdana" w:eastAsia="Times New Roman" w:hAnsi="Verdana" w:cs="Arial"/>
          <w:lang w:val="es-ES" w:eastAsia="es-MX"/>
        </w:rPr>
        <w:t>J</w:t>
      </w:r>
      <w:r w:rsidRPr="00611C6D">
        <w:rPr>
          <w:rFonts w:ascii="Verdana" w:eastAsia="Times New Roman" w:hAnsi="Verdana" w:cs="Arial"/>
          <w:lang w:val="es-ES" w:eastAsia="es-MX"/>
        </w:rPr>
        <w:t>urisdicción de lo Contencioso Administrativo</w:t>
      </w:r>
      <w:r>
        <w:rPr>
          <w:rFonts w:ascii="Verdana" w:eastAsia="Times New Roman" w:hAnsi="Verdana" w:cs="Arial"/>
          <w:lang w:val="es-ES" w:eastAsia="es-MX"/>
        </w:rPr>
        <w:t xml:space="preserve">. La </w:t>
      </w:r>
      <w:r w:rsidRPr="00C912E6">
        <w:rPr>
          <w:rFonts w:ascii="Verdana" w:eastAsia="Arial" w:hAnsi="Verdana" w:cs="Arial"/>
          <w:lang w:val="es-ES" w:eastAsia="es-ES" w:bidi="es-ES"/>
        </w:rPr>
        <w:t xml:space="preserve">reforma </w:t>
      </w:r>
      <w:r>
        <w:rPr>
          <w:rFonts w:ascii="Verdana" w:eastAsia="Arial" w:hAnsi="Verdana" w:cs="Arial"/>
          <w:lang w:val="es-ES" w:eastAsia="es-ES" w:bidi="es-ES"/>
        </w:rPr>
        <w:t>entró</w:t>
      </w:r>
      <w:r w:rsidRPr="00C912E6">
        <w:rPr>
          <w:rFonts w:ascii="Verdana" w:eastAsia="Arial" w:hAnsi="Verdana" w:cs="Arial"/>
          <w:lang w:val="es-ES" w:eastAsia="es-ES" w:bidi="es-ES"/>
        </w:rPr>
        <w:t xml:space="preserve"> en vigor desde la fecha de su publicación, </w:t>
      </w:r>
      <w:r>
        <w:rPr>
          <w:rFonts w:ascii="Verdana" w:eastAsia="Arial" w:hAnsi="Verdana" w:cs="Arial"/>
          <w:lang w:val="es-ES" w:eastAsia="es-ES" w:bidi="es-ES"/>
        </w:rPr>
        <w:t>esto es</w:t>
      </w:r>
      <w:r w:rsidRPr="00C912E6">
        <w:rPr>
          <w:rFonts w:ascii="Verdana" w:eastAsia="Arial" w:hAnsi="Verdana" w:cs="Arial"/>
          <w:lang w:val="es-ES" w:eastAsia="es-ES" w:bidi="es-ES"/>
        </w:rPr>
        <w:t xml:space="preserve">, </w:t>
      </w:r>
      <w:r>
        <w:rPr>
          <w:rFonts w:ascii="Verdana" w:eastAsia="Arial" w:hAnsi="Verdana" w:cs="Arial"/>
          <w:lang w:val="es-ES" w:eastAsia="es-ES" w:bidi="es-ES"/>
        </w:rPr>
        <w:t xml:space="preserve">desde </w:t>
      </w:r>
      <w:r w:rsidRPr="00C912E6">
        <w:rPr>
          <w:rFonts w:ascii="Verdana" w:eastAsia="Arial" w:hAnsi="Verdana" w:cs="Arial"/>
          <w:lang w:val="es-ES" w:eastAsia="es-ES" w:bidi="es-ES"/>
        </w:rPr>
        <w:t>el 25 de enero de 2021, salvo aquellas que modifican las competencias de los juzgados, tribunales administrativos y del Consejo de Estado. Estas últimas solo se aplican a las demandas presentadas un año después de la promulgación de la ley, conforme al régimen de vigencia y transición normat</w:t>
      </w:r>
      <w:r>
        <w:rPr>
          <w:rFonts w:ascii="Verdana" w:eastAsia="Arial" w:hAnsi="Verdana" w:cs="Arial"/>
          <w:lang w:val="es-ES" w:eastAsia="es-ES" w:bidi="es-ES"/>
        </w:rPr>
        <w:t xml:space="preserve">iva previsto en el artículo 86. </w:t>
      </w:r>
      <w:r w:rsidRPr="00C912E6">
        <w:rPr>
          <w:rFonts w:ascii="Verdana" w:eastAsia="Arial" w:hAnsi="Verdana" w:cs="Arial"/>
          <w:lang w:val="es-ES" w:eastAsia="es-ES" w:bidi="es-ES"/>
        </w:rPr>
        <w:t xml:space="preserve">En este contexto, </w:t>
      </w:r>
      <w:r>
        <w:rPr>
          <w:rFonts w:ascii="Verdana" w:eastAsia="Arial" w:hAnsi="Verdana" w:cs="Arial"/>
          <w:lang w:val="es-ES" w:eastAsia="es-ES" w:bidi="es-ES"/>
        </w:rPr>
        <w:t>se destaca</w:t>
      </w:r>
      <w:r w:rsidRPr="00C912E6">
        <w:rPr>
          <w:rFonts w:ascii="Verdana" w:eastAsia="Arial" w:hAnsi="Verdana" w:cs="Arial"/>
          <w:lang w:val="es-ES" w:eastAsia="es-ES" w:bidi="es-ES"/>
        </w:rPr>
        <w:t xml:space="preserve"> la inclusión de una nueva causal de contratación directa en el artículo 82 de la Ley 2080 de 2021, la cual se adiciona a las ya contempladas en el numeral 4° del ar</w:t>
      </w:r>
      <w:r>
        <w:rPr>
          <w:rFonts w:ascii="Verdana" w:eastAsia="Arial" w:hAnsi="Verdana" w:cs="Arial"/>
          <w:lang w:val="es-ES" w:eastAsia="es-ES" w:bidi="es-ES"/>
        </w:rPr>
        <w:t>tículo 2 de la Ley 1150 de 2007, cuyo tenor literal prescribe lo siguiente</w:t>
      </w:r>
      <w:r w:rsidRPr="009803D1">
        <w:rPr>
          <w:rFonts w:ascii="Verdana" w:hAnsi="Verdana" w:cs="Arial"/>
          <w:color w:val="000000" w:themeColor="text1"/>
          <w:lang w:val="es-ES_tradnl"/>
        </w:rPr>
        <w:t>:</w:t>
      </w:r>
    </w:p>
    <w:p w14:paraId="6F6CF040" w14:textId="77777777" w:rsidR="00D2570A" w:rsidRPr="00CD734E" w:rsidRDefault="00D2570A" w:rsidP="00D2570A">
      <w:pPr>
        <w:spacing w:after="0" w:line="240" w:lineRule="auto"/>
        <w:ind w:firstLine="708"/>
        <w:jc w:val="both"/>
        <w:rPr>
          <w:rFonts w:ascii="Verdana" w:hAnsi="Verdana" w:cs="Arial"/>
          <w:color w:val="000000" w:themeColor="text1"/>
          <w:sz w:val="20"/>
          <w:lang w:val="es-ES_tradnl"/>
        </w:rPr>
      </w:pPr>
    </w:p>
    <w:p w14:paraId="4149B997" w14:textId="77777777" w:rsidR="00D2570A" w:rsidRPr="00CD734E" w:rsidRDefault="00D2570A" w:rsidP="00D2570A">
      <w:pPr>
        <w:spacing w:after="120" w:line="240" w:lineRule="auto"/>
        <w:ind w:left="709" w:right="709"/>
        <w:jc w:val="both"/>
        <w:rPr>
          <w:rFonts w:ascii="Verdana" w:eastAsia="Calibri" w:hAnsi="Verdana" w:cs="Arial"/>
          <w:color w:val="000000" w:themeColor="text1"/>
          <w:sz w:val="20"/>
          <w:lang w:val="es-ES_tradnl"/>
        </w:rPr>
      </w:pPr>
      <w:r>
        <w:rPr>
          <w:rFonts w:ascii="Verdana" w:eastAsia="Calibri" w:hAnsi="Verdana" w:cs="Arial"/>
          <w:color w:val="000000" w:themeColor="text1"/>
          <w:sz w:val="20"/>
          <w:lang w:val="es-ES_tradnl"/>
        </w:rPr>
        <w:t>“</w:t>
      </w:r>
      <w:r w:rsidRPr="00CD734E">
        <w:rPr>
          <w:rFonts w:ascii="Verdana" w:eastAsia="Calibri" w:hAnsi="Verdana" w:cs="Arial"/>
          <w:color w:val="000000" w:themeColor="text1"/>
          <w:sz w:val="20"/>
          <w:lang w:val="es-ES_tradnl"/>
        </w:rPr>
        <w:t>Artículo 82. Adiciónese un literal k) al numeral cuarto del artículo 2o de la Ley 1150 de 2007, así:</w:t>
      </w:r>
    </w:p>
    <w:p w14:paraId="4461B6BD" w14:textId="77777777" w:rsidR="00D2570A" w:rsidRPr="00611C6D" w:rsidRDefault="00D2570A" w:rsidP="00D2570A">
      <w:pPr>
        <w:spacing w:after="120" w:line="240" w:lineRule="auto"/>
        <w:ind w:left="709" w:right="709"/>
        <w:jc w:val="both"/>
        <w:rPr>
          <w:rFonts w:ascii="Verdana" w:eastAsia="Calibri" w:hAnsi="Verdana" w:cs="Arial"/>
          <w:color w:val="000000" w:themeColor="text1"/>
          <w:sz w:val="20"/>
          <w:szCs w:val="20"/>
          <w:lang w:val="es-ES"/>
        </w:rPr>
      </w:pPr>
      <w:r w:rsidRPr="003920F0">
        <w:rPr>
          <w:rFonts w:ascii="Verdana" w:eastAsia="Calibri" w:hAnsi="Verdana" w:cs="Arial"/>
          <w:color w:val="000000" w:themeColor="text1"/>
          <w:sz w:val="20"/>
          <w:szCs w:val="20"/>
          <w:lang w:val="es-ES"/>
        </w:rPr>
        <w:t xml:space="preserve">4. Contratación directa. La modalidad de selección de contratación </w:t>
      </w:r>
      <w:proofErr w:type="gramStart"/>
      <w:r w:rsidRPr="003920F0">
        <w:rPr>
          <w:rFonts w:ascii="Verdana" w:eastAsia="Calibri" w:hAnsi="Verdana" w:cs="Arial"/>
          <w:color w:val="000000" w:themeColor="text1"/>
          <w:sz w:val="20"/>
          <w:szCs w:val="20"/>
          <w:lang w:val="es-ES"/>
        </w:rPr>
        <w:t>directa,</w:t>
      </w:r>
      <w:proofErr w:type="gramEnd"/>
      <w:r w:rsidRPr="003920F0">
        <w:rPr>
          <w:rFonts w:ascii="Verdana" w:eastAsia="Calibri" w:hAnsi="Verdana" w:cs="Arial"/>
          <w:color w:val="000000" w:themeColor="text1"/>
          <w:sz w:val="20"/>
          <w:szCs w:val="20"/>
          <w:lang w:val="es-ES"/>
        </w:rPr>
        <w:t xml:space="preserve"> solamente procederá en los siguientes casos:</w:t>
      </w:r>
    </w:p>
    <w:p w14:paraId="73AC452D" w14:textId="77777777" w:rsidR="00D2570A" w:rsidRPr="00CD734E" w:rsidRDefault="00D2570A" w:rsidP="00D2570A">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k) La selección de peritos expertos o asesores técnicos para presentar o contradecir el dictamen pericial en procesos judiciales</w:t>
      </w:r>
      <w:r>
        <w:rPr>
          <w:rFonts w:ascii="Verdana" w:eastAsia="Calibri" w:hAnsi="Verdana" w:cs="Arial"/>
          <w:color w:val="000000" w:themeColor="text1"/>
          <w:sz w:val="20"/>
          <w:lang w:val="es-ES_tradnl"/>
        </w:rPr>
        <w:t>”</w:t>
      </w:r>
      <w:r w:rsidRPr="00CD734E">
        <w:rPr>
          <w:rFonts w:ascii="Verdana" w:eastAsia="Calibri" w:hAnsi="Verdana" w:cs="Arial"/>
          <w:color w:val="000000" w:themeColor="text1"/>
          <w:sz w:val="20"/>
          <w:lang w:val="es-ES_tradnl"/>
        </w:rPr>
        <w:t>.</w:t>
      </w:r>
    </w:p>
    <w:p w14:paraId="32E6CB5B" w14:textId="77777777" w:rsidR="00D2570A" w:rsidRPr="009803D1" w:rsidRDefault="00D2570A" w:rsidP="00D2570A">
      <w:pPr>
        <w:spacing w:after="0" w:line="276" w:lineRule="auto"/>
        <w:ind w:firstLine="708"/>
        <w:jc w:val="both"/>
        <w:rPr>
          <w:rFonts w:ascii="Verdana" w:hAnsi="Verdana" w:cs="Arial"/>
          <w:color w:val="000000" w:themeColor="text1"/>
          <w:lang w:val="es-ES_tradnl"/>
        </w:rPr>
      </w:pPr>
    </w:p>
    <w:p w14:paraId="5B142D36" w14:textId="77777777" w:rsidR="00D2570A" w:rsidRPr="009803D1" w:rsidRDefault="00D2570A" w:rsidP="00D2570A">
      <w:pPr>
        <w:spacing w:after="120" w:line="276" w:lineRule="auto"/>
        <w:ind w:firstLine="709"/>
        <w:jc w:val="both"/>
        <w:rPr>
          <w:rFonts w:ascii="Verdana" w:hAnsi="Verdana" w:cs="Arial"/>
          <w:color w:val="000000" w:themeColor="text1"/>
          <w:lang w:val="es-ES"/>
        </w:rPr>
      </w:pPr>
      <w:r w:rsidRPr="003920F0">
        <w:rPr>
          <w:rFonts w:ascii="Verdana" w:hAnsi="Verdana" w:cs="Arial"/>
          <w:color w:val="000000" w:themeColor="text1"/>
          <w:lang w:val="es-ES"/>
        </w:rPr>
        <w:t>Como puede apreciarse,</w:t>
      </w:r>
      <w:r>
        <w:rPr>
          <w:rFonts w:ascii="Verdana" w:hAnsi="Verdana" w:cs="Arial"/>
          <w:color w:val="000000" w:themeColor="text1"/>
          <w:lang w:val="es-ES"/>
        </w:rPr>
        <w:t xml:space="preserve"> </w:t>
      </w:r>
      <w:r w:rsidRPr="003920F0">
        <w:rPr>
          <w:rFonts w:ascii="Verdana" w:hAnsi="Verdana" w:cs="Arial"/>
          <w:color w:val="000000" w:themeColor="text1"/>
          <w:lang w:val="es-ES"/>
        </w:rPr>
        <w:t xml:space="preserve">el artículo 82 de la Ley 2080 de 2021 insertó un literal al numeral 4° del artículo 2 de Ley 1150 de 2007 que enlista las causales que permiten a las entidades estatales seleccionar objetivamente al futuro contratista mediante el procedimiento excepcional de la contratación directa, lo que, a su vez, autoriza la contratación estatal, para los eventos contemplados en dichas causales, sin que medie convocatoria pública ni la obtención previa de varias ofertas. Ahora bien, la causal adicionada circunscribe el objeto del contrato para el cual fue autorizada, toda vez que señala que dicha causal podrá utilizarse cuando las entidades estatales tengan la necesidad de acudir a peritos expertos o asesores técnicos con la finalidad de presentar o contradecir un peritaje, que es una prueba técnica destinada a acreditar o comprobar hechos alegados por las partes o terceros en un proceso judicial. </w:t>
      </w:r>
    </w:p>
    <w:p w14:paraId="30175193" w14:textId="77777777" w:rsidR="00D2570A" w:rsidRPr="00611C6D" w:rsidRDefault="00D2570A" w:rsidP="00D2570A">
      <w:pPr>
        <w:spacing w:after="0" w:line="276" w:lineRule="auto"/>
        <w:ind w:firstLine="709"/>
        <w:jc w:val="both"/>
        <w:rPr>
          <w:rFonts w:ascii="Verdana" w:hAnsi="Verdana" w:cs="Arial"/>
          <w:color w:val="000000" w:themeColor="text1"/>
          <w:lang w:val="es-ES_tradnl"/>
        </w:rPr>
      </w:pPr>
      <w:r w:rsidRPr="009803D1">
        <w:rPr>
          <w:rFonts w:ascii="Verdana" w:hAnsi="Verdana" w:cs="Arial"/>
          <w:color w:val="000000" w:themeColor="text1"/>
          <w:lang w:val="es-ES_tradnl"/>
        </w:rPr>
        <w:t xml:space="preserve">Es así como la causal de contratación directa creada en el citado artículo 82 es consecuencia de la </w:t>
      </w:r>
      <w:r>
        <w:rPr>
          <w:rFonts w:ascii="Verdana" w:hAnsi="Verdana" w:cs="Arial"/>
          <w:color w:val="000000" w:themeColor="text1"/>
          <w:lang w:val="es-ES_tradnl"/>
        </w:rPr>
        <w:t>modificación</w:t>
      </w:r>
      <w:r w:rsidRPr="009803D1">
        <w:rPr>
          <w:rFonts w:ascii="Verdana" w:hAnsi="Verdana" w:cs="Arial"/>
          <w:color w:val="000000" w:themeColor="text1"/>
          <w:lang w:val="es-ES_tradnl"/>
        </w:rPr>
        <w:t xml:space="preserve"> de las normas procesales que gobiernan el decreto y la práctica de la prueba pericial en el proceso contencioso administrativo previsto en la Ley 1437 de 2011, </w:t>
      </w:r>
      <w:r>
        <w:rPr>
          <w:rFonts w:ascii="Verdana" w:hAnsi="Verdana" w:cs="Arial"/>
          <w:color w:val="000000" w:themeColor="text1"/>
          <w:lang w:val="es-ES_tradnl"/>
        </w:rPr>
        <w:t>reforma</w:t>
      </w:r>
      <w:r w:rsidRPr="009803D1">
        <w:rPr>
          <w:rFonts w:ascii="Verdana" w:hAnsi="Verdana" w:cs="Arial"/>
          <w:color w:val="000000" w:themeColor="text1"/>
          <w:lang w:val="es-ES_tradnl"/>
        </w:rPr>
        <w:t xml:space="preserve"> realizada en artículos </w:t>
      </w:r>
      <w:r w:rsidRPr="009803D1">
        <w:rPr>
          <w:rFonts w:ascii="Verdana" w:hAnsi="Verdana" w:cs="Arial"/>
          <w:color w:val="000000" w:themeColor="text1"/>
          <w:lang w:val="es-ES_tradnl"/>
        </w:rPr>
        <w:lastRenderedPageBreak/>
        <w:t xml:space="preserve">precedentes de la misma ley. </w:t>
      </w:r>
      <w:r>
        <w:rPr>
          <w:rFonts w:ascii="Verdana" w:hAnsi="Verdana" w:cs="Arial"/>
          <w:color w:val="000000" w:themeColor="text1"/>
          <w:lang w:val="es-ES_tradnl"/>
        </w:rPr>
        <w:t>N</w:t>
      </w:r>
      <w:proofErr w:type="spellStart"/>
      <w:r>
        <w:rPr>
          <w:rFonts w:ascii="Verdana" w:hAnsi="Verdana" w:cs="Arial"/>
          <w:color w:val="000000" w:themeColor="text1"/>
          <w:lang w:val="es-ES"/>
        </w:rPr>
        <w:t>ótese</w:t>
      </w:r>
      <w:proofErr w:type="spellEnd"/>
      <w:r w:rsidRPr="003920F0">
        <w:rPr>
          <w:rFonts w:ascii="Verdana" w:hAnsi="Verdana" w:cs="Arial"/>
          <w:color w:val="000000" w:themeColor="text1"/>
          <w:lang w:val="es-ES"/>
        </w:rPr>
        <w:t xml:space="preserve">, por ejemplo, que la Ley 2080 de 2021, al regular en los artículos 54 a 58 la prueba pericial en los procesos judiciales de la </w:t>
      </w:r>
      <w:r>
        <w:rPr>
          <w:rFonts w:ascii="Verdana" w:hAnsi="Verdana" w:cs="Arial"/>
          <w:color w:val="000000" w:themeColor="text1"/>
          <w:lang w:val="es-ES"/>
        </w:rPr>
        <w:t>J</w:t>
      </w:r>
      <w:r w:rsidRPr="003920F0">
        <w:rPr>
          <w:rFonts w:ascii="Verdana" w:hAnsi="Verdana" w:cs="Arial"/>
          <w:color w:val="000000" w:themeColor="text1"/>
          <w:lang w:val="es-ES"/>
        </w:rPr>
        <w:t xml:space="preserve">urisdicción de lo Contencioso </w:t>
      </w:r>
      <w:proofErr w:type="gramStart"/>
      <w:r w:rsidRPr="003920F0">
        <w:rPr>
          <w:rFonts w:ascii="Verdana" w:hAnsi="Verdana" w:cs="Arial"/>
          <w:color w:val="000000" w:themeColor="text1"/>
          <w:lang w:val="es-ES"/>
        </w:rPr>
        <w:t>Administrativo</w:t>
      </w:r>
      <w:r>
        <w:rPr>
          <w:rFonts w:ascii="Verdana" w:hAnsi="Verdana" w:cs="Arial"/>
          <w:color w:val="000000" w:themeColor="text1"/>
          <w:lang w:val="es-ES"/>
        </w:rPr>
        <w:t>,</w:t>
      </w:r>
      <w:proofErr w:type="gramEnd"/>
      <w:r w:rsidRPr="003920F0">
        <w:rPr>
          <w:rFonts w:ascii="Verdana" w:hAnsi="Verdana" w:cs="Arial"/>
          <w:color w:val="000000" w:themeColor="text1"/>
          <w:lang w:val="es-ES"/>
        </w:rPr>
        <w:t xml:space="preserve"> dispuso que </w:t>
      </w:r>
      <w:r>
        <w:rPr>
          <w:rFonts w:ascii="Verdana" w:hAnsi="Verdana" w:cs="Arial"/>
          <w:color w:val="000000" w:themeColor="text1"/>
          <w:lang w:val="es-ES"/>
        </w:rPr>
        <w:t>dicho medio probatorio</w:t>
      </w:r>
      <w:r w:rsidRPr="003920F0">
        <w:rPr>
          <w:rFonts w:ascii="Verdana" w:hAnsi="Verdana" w:cs="Arial"/>
          <w:color w:val="000000" w:themeColor="text1"/>
          <w:lang w:val="es-ES"/>
        </w:rPr>
        <w:t xml:space="preserve"> puede ser aportad</w:t>
      </w:r>
      <w:r>
        <w:rPr>
          <w:rFonts w:ascii="Verdana" w:hAnsi="Verdana" w:cs="Arial"/>
          <w:color w:val="000000" w:themeColor="text1"/>
          <w:lang w:val="es-ES"/>
        </w:rPr>
        <w:t>o</w:t>
      </w:r>
      <w:r w:rsidRPr="003920F0">
        <w:rPr>
          <w:rFonts w:ascii="Verdana" w:hAnsi="Verdana" w:cs="Arial"/>
          <w:color w:val="000000" w:themeColor="text1"/>
          <w:lang w:val="es-ES"/>
        </w:rPr>
        <w:t xml:space="preserve"> por las partes o decretad</w:t>
      </w:r>
      <w:r>
        <w:rPr>
          <w:rFonts w:ascii="Verdana" w:hAnsi="Verdana" w:cs="Arial"/>
          <w:color w:val="000000" w:themeColor="text1"/>
          <w:lang w:val="es-ES"/>
        </w:rPr>
        <w:t>o</w:t>
      </w:r>
      <w:r w:rsidRPr="003920F0">
        <w:rPr>
          <w:rFonts w:ascii="Verdana" w:hAnsi="Verdana" w:cs="Arial"/>
          <w:color w:val="000000" w:themeColor="text1"/>
          <w:lang w:val="es-ES"/>
        </w:rPr>
        <w:t xml:space="preserve"> por el juez dentro de las oportunidades procesales correspondientes</w:t>
      </w:r>
      <w:r>
        <w:rPr>
          <w:rFonts w:ascii="Verdana" w:hAnsi="Verdana" w:cs="Arial"/>
          <w:color w:val="000000" w:themeColor="text1"/>
          <w:lang w:val="es-ES"/>
        </w:rPr>
        <w:t>. Asimismo, r</w:t>
      </w:r>
      <w:r w:rsidRPr="003920F0">
        <w:rPr>
          <w:rFonts w:ascii="Verdana" w:hAnsi="Verdana" w:cs="Arial"/>
          <w:color w:val="000000" w:themeColor="text1"/>
          <w:lang w:val="es-ES"/>
        </w:rPr>
        <w:t xml:space="preserve">especto de entidades públicas cuando son parte en el proceso judicial, </w:t>
      </w:r>
      <w:r>
        <w:rPr>
          <w:rFonts w:ascii="Verdana" w:hAnsi="Verdana" w:cs="Arial"/>
          <w:color w:val="000000" w:themeColor="text1"/>
          <w:lang w:val="es-ES"/>
        </w:rPr>
        <w:t xml:space="preserve">dispuso </w:t>
      </w:r>
      <w:r w:rsidRPr="003920F0">
        <w:rPr>
          <w:rFonts w:ascii="Verdana" w:hAnsi="Verdana" w:cs="Arial"/>
          <w:color w:val="000000" w:themeColor="text1"/>
          <w:lang w:val="es-ES"/>
        </w:rPr>
        <w:t xml:space="preserve">las siguientes reglas especiales: </w:t>
      </w:r>
    </w:p>
    <w:p w14:paraId="09A14FE5" w14:textId="77777777" w:rsidR="00D2570A" w:rsidRPr="009803D1" w:rsidRDefault="00D2570A" w:rsidP="00D2570A">
      <w:pPr>
        <w:spacing w:after="0" w:line="276" w:lineRule="auto"/>
        <w:ind w:firstLine="708"/>
        <w:jc w:val="both"/>
        <w:rPr>
          <w:rFonts w:ascii="Verdana" w:hAnsi="Verdana" w:cs="Arial"/>
          <w:color w:val="000000" w:themeColor="text1"/>
          <w:lang w:val="es-ES_tradnl"/>
        </w:rPr>
      </w:pPr>
    </w:p>
    <w:p w14:paraId="0C82AF5B" w14:textId="77777777" w:rsidR="00D2570A" w:rsidRPr="00AB120C" w:rsidRDefault="00D2570A" w:rsidP="00D2570A">
      <w:pPr>
        <w:spacing w:after="120" w:line="240" w:lineRule="auto"/>
        <w:ind w:left="709" w:right="709"/>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w:t>
      </w:r>
      <w:r w:rsidRPr="00AB120C">
        <w:rPr>
          <w:rFonts w:ascii="Verdana" w:eastAsia="Calibri" w:hAnsi="Verdana" w:cs="Arial"/>
          <w:color w:val="000000" w:themeColor="text1"/>
          <w:sz w:val="20"/>
          <w:szCs w:val="20"/>
          <w:lang w:val="es-ES_tradnl"/>
        </w:rPr>
        <w:t>Artículo 58. Modifíquese el artículo 222 de la Ley 1437 de 2011, el cual quedará así:</w:t>
      </w:r>
    </w:p>
    <w:p w14:paraId="0C8DDB27" w14:textId="77777777" w:rsidR="00D2570A" w:rsidRPr="00AB120C" w:rsidRDefault="00D2570A" w:rsidP="00D2570A">
      <w:pPr>
        <w:spacing w:after="12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222. Reglas especiales para las entidades públicas.</w:t>
      </w:r>
    </w:p>
    <w:p w14:paraId="391D1746" w14:textId="77777777" w:rsidR="00D2570A" w:rsidRDefault="00D2570A" w:rsidP="00D2570A">
      <w:pPr>
        <w:spacing w:after="12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color w:val="000000" w:themeColor="text1"/>
          <w:sz w:val="20"/>
          <w:szCs w:val="20"/>
          <w:lang w:val="es-ES_tradnl"/>
        </w:rPr>
        <w:t xml:space="preserve">1. Para aportar el dictamen pericial o contradecirlo en los casos previstos en la ley, se faculta a las entidades públicas para que mediante contratación directa seleccionen los expertos que atenderán la prueba pericial requerida en un proceso judicial. </w:t>
      </w:r>
      <w:r w:rsidRPr="00AB120C">
        <w:rPr>
          <w:rFonts w:ascii="Verdana" w:eastAsia="Calibri" w:hAnsi="Verdana" w:cs="Arial"/>
          <w:i/>
          <w:color w:val="000000" w:themeColor="text1"/>
          <w:sz w:val="20"/>
          <w:szCs w:val="20"/>
          <w:lang w:val="es-ES_tradnl"/>
        </w:rPr>
        <w:t>Esta pericia también podrá ser contratada durante las restricciones establecidas en la Ley 996 de 2005.</w:t>
      </w:r>
      <w:r>
        <w:rPr>
          <w:rFonts w:ascii="Verdana" w:eastAsia="Calibri" w:hAnsi="Verdana" w:cs="Arial"/>
          <w:i/>
          <w:color w:val="000000" w:themeColor="text1"/>
          <w:sz w:val="20"/>
          <w:szCs w:val="20"/>
          <w:lang w:val="es-ES_tradnl"/>
        </w:rPr>
        <w:t xml:space="preserve"> </w:t>
      </w:r>
    </w:p>
    <w:p w14:paraId="2C12A36F" w14:textId="77777777" w:rsidR="00D2570A" w:rsidRPr="00AB120C" w:rsidRDefault="00D2570A" w:rsidP="00D2570A">
      <w:pPr>
        <w:spacing w:after="12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i/>
          <w:color w:val="000000" w:themeColor="text1"/>
          <w:sz w:val="20"/>
          <w:szCs w:val="20"/>
          <w:lang w:val="es-ES_tradnl"/>
        </w:rPr>
        <w:t>Con el mismo fin se podrán contratar asesorías técnicas.</w:t>
      </w:r>
    </w:p>
    <w:p w14:paraId="6214AC58" w14:textId="77777777" w:rsidR="00D2570A" w:rsidRPr="00AB120C" w:rsidRDefault="00D2570A" w:rsidP="00D2570A">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2. Cuando la experticia sea rendida por una entidad pública el juez deberá ordenar honorarios a favor de esta</w:t>
      </w:r>
      <w:r>
        <w:rPr>
          <w:rFonts w:ascii="Verdana" w:eastAsia="Calibri" w:hAnsi="Verdana" w:cs="Arial"/>
          <w:color w:val="000000" w:themeColor="text1"/>
          <w:sz w:val="20"/>
          <w:szCs w:val="20"/>
          <w:lang w:val="es-ES_tradnl"/>
        </w:rPr>
        <w:t>”</w:t>
      </w:r>
      <w:r w:rsidRPr="00AB120C">
        <w:rPr>
          <w:rFonts w:ascii="Verdana" w:eastAsia="Calibri" w:hAnsi="Verdana" w:cs="Arial"/>
          <w:color w:val="000000" w:themeColor="text1"/>
          <w:sz w:val="20"/>
          <w:szCs w:val="20"/>
          <w:lang w:val="es-ES_tradnl"/>
        </w:rPr>
        <w:t>.</w:t>
      </w:r>
      <w:r>
        <w:rPr>
          <w:rFonts w:ascii="Verdana" w:eastAsia="Calibri" w:hAnsi="Verdana" w:cs="Arial"/>
          <w:color w:val="000000" w:themeColor="text1"/>
          <w:sz w:val="20"/>
          <w:szCs w:val="20"/>
          <w:lang w:val="es-ES_tradnl"/>
        </w:rPr>
        <w:t xml:space="preserve"> (Énfasis fuera de texto). </w:t>
      </w:r>
    </w:p>
    <w:p w14:paraId="4E248FB3" w14:textId="77777777" w:rsidR="00D2570A" w:rsidRPr="009803D1" w:rsidRDefault="00D2570A" w:rsidP="00D2570A">
      <w:pPr>
        <w:spacing w:after="0" w:line="276" w:lineRule="auto"/>
        <w:ind w:firstLine="708"/>
        <w:jc w:val="both"/>
        <w:rPr>
          <w:rFonts w:ascii="Verdana" w:hAnsi="Verdana" w:cs="Arial"/>
          <w:color w:val="000000" w:themeColor="text1"/>
          <w:lang w:val="es-ES_tradnl"/>
        </w:rPr>
      </w:pPr>
    </w:p>
    <w:p w14:paraId="6BA996CC" w14:textId="77777777" w:rsidR="00D2570A" w:rsidRDefault="00D2570A" w:rsidP="00D2570A">
      <w:pPr>
        <w:spacing w:after="120" w:line="276" w:lineRule="auto"/>
        <w:ind w:firstLine="708"/>
        <w:jc w:val="both"/>
        <w:rPr>
          <w:rFonts w:ascii="Verdana" w:hAnsi="Verdana" w:cs="Arial"/>
          <w:color w:val="000000" w:themeColor="text1"/>
          <w:lang w:val="es-ES"/>
        </w:rPr>
      </w:pPr>
      <w:r w:rsidRPr="009803D1">
        <w:rPr>
          <w:rFonts w:ascii="Verdana" w:hAnsi="Verdana" w:cs="Arial"/>
          <w:color w:val="000000" w:themeColor="text1"/>
          <w:lang w:val="es-ES_tradnl"/>
        </w:rPr>
        <w:t xml:space="preserve">Véase entonces que la causal de contratación directa añadida al </w:t>
      </w:r>
      <w:r>
        <w:rPr>
          <w:rFonts w:ascii="Verdana" w:hAnsi="Verdana" w:cs="Arial"/>
          <w:color w:val="000000" w:themeColor="text1"/>
          <w:lang w:val="es-ES_tradnl"/>
        </w:rPr>
        <w:t xml:space="preserve">listado de la Ley 1150 de 2007 aplica </w:t>
      </w:r>
      <w:r w:rsidRPr="009803D1">
        <w:rPr>
          <w:rFonts w:ascii="Verdana" w:hAnsi="Verdana" w:cs="Arial"/>
          <w:color w:val="000000" w:themeColor="text1"/>
          <w:lang w:val="es-ES_tradnl"/>
        </w:rPr>
        <w:t>bajo ciertos supuestos de hecho previstos en las referidas normas procesales citadas, que condicionan su utilización y dan cuenta</w:t>
      </w:r>
      <w:r>
        <w:rPr>
          <w:rFonts w:ascii="Verdana" w:hAnsi="Verdana" w:cs="Arial"/>
          <w:color w:val="000000" w:themeColor="text1"/>
          <w:lang w:val="es-ES_tradnl"/>
        </w:rPr>
        <w:t xml:space="preserve"> </w:t>
      </w:r>
      <w:r w:rsidRPr="31BA1F88">
        <w:rPr>
          <w:rFonts w:ascii="Verdana" w:hAnsi="Verdana" w:cs="Arial"/>
          <w:color w:val="000000" w:themeColor="text1"/>
          <w:lang w:val="es-ES"/>
        </w:rPr>
        <w:t xml:space="preserve">es una causal de contratación que solo puede ser utilizada por la entidad estatal en el marco de un </w:t>
      </w:r>
      <w:r w:rsidRPr="31BA1F88">
        <w:rPr>
          <w:rFonts w:ascii="Verdana" w:hAnsi="Verdana" w:cs="Arial"/>
          <w:i/>
          <w:iCs/>
          <w:color w:val="000000" w:themeColor="text1"/>
          <w:lang w:val="es-ES"/>
        </w:rPr>
        <w:t>proceso judicial</w:t>
      </w:r>
      <w:r w:rsidRPr="31BA1F88">
        <w:rPr>
          <w:rFonts w:ascii="Verdana" w:hAnsi="Verdana" w:cs="Arial"/>
          <w:color w:val="000000" w:themeColor="text1"/>
          <w:lang w:val="es-ES"/>
        </w:rPr>
        <w:t xml:space="preserve">, o cuando sea la entidad la que vaya a promover el inicio del proceso, pues la necesidad que justifica la contratación de un perito o un asesor técnico es la de hacer valer una prueba técnica, como lo es el dictamen pericial, para acreditar o soportar los hechos que servirán a la defensa de los intereses de la entidad estatal involucrados en una controversia judicial. En este sentido, el contrato se celebraría con la finalidad de </w:t>
      </w:r>
      <w:r w:rsidRPr="31BA1F88">
        <w:rPr>
          <w:rFonts w:ascii="Verdana" w:eastAsia="Calibri" w:hAnsi="Verdana" w:cs="Arial"/>
          <w:color w:val="000000" w:themeColor="text1"/>
          <w:lang w:val="es-ES"/>
        </w:rPr>
        <w:t>presentar o contradecir el dictamen pericial en un proceso judicial.</w:t>
      </w:r>
      <w:r w:rsidRPr="31BA1F88">
        <w:rPr>
          <w:rFonts w:ascii="Verdana" w:hAnsi="Verdana" w:cs="Arial"/>
          <w:color w:val="000000" w:themeColor="text1"/>
          <w:lang w:val="es-ES"/>
        </w:rPr>
        <w:t xml:space="preserve"> </w:t>
      </w:r>
    </w:p>
    <w:p w14:paraId="640B08F8" w14:textId="77777777" w:rsidR="00D2570A" w:rsidRDefault="00D2570A" w:rsidP="00D2570A">
      <w:pPr>
        <w:spacing w:after="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Asimismo, p</w:t>
      </w:r>
      <w:r w:rsidRPr="00DE024F">
        <w:rPr>
          <w:rFonts w:ascii="Verdana" w:hAnsi="Verdana" w:cs="Arial"/>
          <w:color w:val="000000" w:themeColor="text1"/>
          <w:lang w:val="es-ES_tradnl"/>
        </w:rPr>
        <w:t xml:space="preserve">or expresa disposición legal, la contratación directa de peritos y asesores técnicos para la finalidad prevista en la nueva causal del literal k) del numeral 4° del artículo 2 de la Ley 1150 de 2007 comporta una </w:t>
      </w:r>
      <w:r w:rsidRPr="00DE024F">
        <w:rPr>
          <w:rFonts w:ascii="Verdana" w:hAnsi="Verdana" w:cs="Arial"/>
          <w:i/>
          <w:iCs/>
          <w:color w:val="000000" w:themeColor="text1"/>
          <w:lang w:val="es-ES_tradnl"/>
        </w:rPr>
        <w:t>excepción</w:t>
      </w:r>
      <w:r w:rsidRPr="00DE024F">
        <w:rPr>
          <w:rFonts w:ascii="Verdana" w:hAnsi="Verdana" w:cs="Arial"/>
          <w:color w:val="000000" w:themeColor="text1"/>
          <w:lang w:val="es-ES_tradnl"/>
        </w:rPr>
        <w:t xml:space="preserve"> a la restricción de la contratación directa de las entidades estatales prevista en la Ley de Garantías Electorales</w:t>
      </w:r>
      <w:r>
        <w:rPr>
          <w:rFonts w:ascii="Verdana" w:hAnsi="Verdana" w:cs="Arial"/>
          <w:color w:val="000000" w:themeColor="text1"/>
          <w:lang w:val="es-ES_tradnl"/>
        </w:rPr>
        <w:t>. Es decir,</w:t>
      </w:r>
      <w:r w:rsidRPr="00DE024F">
        <w:rPr>
          <w:rFonts w:ascii="Verdana" w:hAnsi="Verdana" w:cs="Arial"/>
          <w:color w:val="000000" w:themeColor="text1"/>
          <w:lang w:val="es-ES_tradnl"/>
        </w:rPr>
        <w:t xml:space="preserve"> una entidad estatal que requiera aportar o contradecir un dictamen pericial, dentro de un proceso judicial, podrá contratar </w:t>
      </w:r>
      <w:r w:rsidRPr="00DE024F">
        <w:rPr>
          <w:rFonts w:ascii="Verdana" w:hAnsi="Verdana" w:cs="Arial"/>
          <w:color w:val="000000" w:themeColor="text1"/>
          <w:lang w:val="es-ES_tradnl"/>
        </w:rPr>
        <w:lastRenderedPageBreak/>
        <w:t>directamente al perito o asesor técnico que requiera, aun en vigencia</w:t>
      </w:r>
      <w:r>
        <w:rPr>
          <w:rFonts w:ascii="Verdana" w:hAnsi="Verdana" w:cs="Arial"/>
          <w:color w:val="000000" w:themeColor="text1"/>
          <w:lang w:val="es-ES_tradnl"/>
        </w:rPr>
        <w:t xml:space="preserve"> la prohibición establecida en </w:t>
      </w:r>
      <w:r w:rsidRPr="00DE024F">
        <w:rPr>
          <w:rFonts w:ascii="Verdana" w:hAnsi="Verdana" w:cs="Arial"/>
          <w:color w:val="000000" w:themeColor="text1"/>
          <w:lang w:val="es-ES_tradnl"/>
        </w:rPr>
        <w:t xml:space="preserve">el artículo 33 de la Ley 996 de 2005, esto es, durante los cuatro meses anteriores a las elecciones presidenciales y hasta la fecha al cual el presidente sea elegido. Esta excepción se </w:t>
      </w:r>
      <w:r>
        <w:rPr>
          <w:rFonts w:ascii="Verdana" w:hAnsi="Verdana" w:cs="Arial"/>
          <w:color w:val="000000" w:themeColor="text1"/>
          <w:lang w:val="es-ES_tradnl"/>
        </w:rPr>
        <w:t xml:space="preserve">regula </w:t>
      </w:r>
      <w:r w:rsidRPr="00DE024F">
        <w:rPr>
          <w:rFonts w:ascii="Verdana" w:hAnsi="Verdana" w:cs="Arial"/>
          <w:color w:val="000000" w:themeColor="text1"/>
          <w:lang w:val="es-ES_tradnl"/>
        </w:rPr>
        <w:t>en el numeral 1 del artículo 222 de la Ley 1437 de 2011, de acuerdo co</w:t>
      </w:r>
      <w:r>
        <w:rPr>
          <w:rFonts w:ascii="Verdana" w:hAnsi="Verdana" w:cs="Arial"/>
          <w:color w:val="000000" w:themeColor="text1"/>
          <w:lang w:val="es-ES_tradnl"/>
        </w:rPr>
        <w:t>n la modificación d</w:t>
      </w:r>
      <w:r w:rsidRPr="00DE024F">
        <w:rPr>
          <w:rFonts w:ascii="Verdana" w:hAnsi="Verdana" w:cs="Arial"/>
          <w:color w:val="000000" w:themeColor="text1"/>
          <w:lang w:val="es-ES_tradnl"/>
        </w:rPr>
        <w:t>el artículo 58 de la Ley 2080 de 2021. En tal sentido, se encuentra que la contratación realizada por entidades públicas para la selección de peritos expertos o asesores técnicos para presentar o contradecir el dictamen pericial en procesos judiciales, sería una excepción adicional a las dispuestas en el inciso segundo del artículo 33 de la Ley 996 de 2005.</w:t>
      </w:r>
    </w:p>
    <w:p w14:paraId="1663EB7C" w14:textId="77777777" w:rsidR="00D2570A" w:rsidRPr="00DE024F" w:rsidRDefault="00D2570A" w:rsidP="00D2570A">
      <w:pPr>
        <w:spacing w:after="0" w:line="276" w:lineRule="auto"/>
        <w:ind w:firstLine="708"/>
        <w:jc w:val="both"/>
        <w:rPr>
          <w:rFonts w:ascii="Verdana" w:hAnsi="Verdana" w:cs="Arial"/>
          <w:color w:val="000000" w:themeColor="text1"/>
          <w:lang w:val="es-ES_tradnl"/>
        </w:rPr>
      </w:pPr>
      <w:r w:rsidRPr="00DE024F">
        <w:rPr>
          <w:rFonts w:ascii="Verdana" w:hAnsi="Verdana" w:cs="Arial"/>
          <w:color w:val="000000" w:themeColor="text1"/>
          <w:lang w:val="es-ES_tradnl"/>
        </w:rPr>
        <w:t xml:space="preserve"> </w:t>
      </w:r>
    </w:p>
    <w:p w14:paraId="124DC246" w14:textId="77777777" w:rsidR="00D2570A" w:rsidRDefault="00D2570A" w:rsidP="00D2570A">
      <w:pPr>
        <w:spacing w:after="120" w:line="276" w:lineRule="auto"/>
        <w:jc w:val="both"/>
        <w:rPr>
          <w:rFonts w:ascii="Verdana" w:hAnsi="Verdana" w:cs="Arial"/>
          <w:color w:val="000000" w:themeColor="text1"/>
          <w:lang w:val="es-ES"/>
        </w:rPr>
      </w:pPr>
      <w:r w:rsidRPr="4FCFDF2D">
        <w:rPr>
          <w:rFonts w:ascii="Verdana" w:hAnsi="Verdana" w:cs="Arial"/>
          <w:color w:val="000000" w:themeColor="text1"/>
          <w:lang w:val="es-ES"/>
        </w:rPr>
        <w:t xml:space="preserve">vi. Los acuerdos inversión extranjera tienen su fundamento en los artículos 9, 226 y 227 de la Constitución Política de 1991, los cuales permiten la suscripción de tratados para la internacionalización de la economía. De acuerdo con el Documento </w:t>
      </w:r>
      <w:proofErr w:type="spellStart"/>
      <w:r w:rsidRPr="4FCFDF2D">
        <w:rPr>
          <w:rFonts w:ascii="Verdana" w:hAnsi="Verdana" w:cs="Arial"/>
          <w:color w:val="000000" w:themeColor="text1"/>
          <w:lang w:val="es-ES"/>
        </w:rPr>
        <w:t>Conpes</w:t>
      </w:r>
      <w:proofErr w:type="spellEnd"/>
      <w:r w:rsidRPr="4FCFDF2D">
        <w:rPr>
          <w:rFonts w:ascii="Verdana" w:hAnsi="Verdana" w:cs="Arial"/>
          <w:color w:val="000000" w:themeColor="text1"/>
          <w:lang w:val="es-ES"/>
        </w:rPr>
        <w:t xml:space="preserve"> 3135 del 9 de octubre de 2011, “[…] los acuerdos internacionales para la promoción y protección de inversiones se establecen de forma bilateral o multilateral, y pueden ser parte de un acuerdo de integración o tratar exclusivamente de inversión extranjera […]”. </w:t>
      </w:r>
    </w:p>
    <w:p w14:paraId="4C22C32F" w14:textId="77777777" w:rsidR="00D2570A" w:rsidRDefault="00D2570A" w:rsidP="00D2570A">
      <w:pPr>
        <w:spacing w:after="0" w:line="276" w:lineRule="auto"/>
        <w:jc w:val="both"/>
        <w:rPr>
          <w:rFonts w:ascii="Verdana" w:hAnsi="Verdana" w:cs="Arial"/>
          <w:color w:val="000000" w:themeColor="text1"/>
          <w:lang w:val="es-ES_tradnl"/>
        </w:rPr>
      </w:pPr>
      <w:r>
        <w:rPr>
          <w:rFonts w:ascii="Verdana" w:hAnsi="Verdana" w:cs="Arial"/>
          <w:color w:val="000000" w:themeColor="text1"/>
          <w:lang w:val="es-ES_tradnl"/>
        </w:rPr>
        <w:tab/>
        <w:t xml:space="preserve">El artículo </w:t>
      </w:r>
      <w:r w:rsidRPr="00D50744">
        <w:rPr>
          <w:rFonts w:ascii="Verdana" w:hAnsi="Verdana" w:cs="Arial"/>
          <w:color w:val="000000" w:themeColor="text1"/>
          <w:lang w:val="es-ES_tradnl"/>
        </w:rPr>
        <w:t>2.2.3.2.1.1</w:t>
      </w:r>
      <w:r>
        <w:rPr>
          <w:rFonts w:ascii="Verdana" w:hAnsi="Verdana" w:cs="Arial"/>
          <w:color w:val="000000" w:themeColor="text1"/>
          <w:lang w:val="es-ES_tradnl"/>
        </w:rPr>
        <w:t xml:space="preserve"> del Decreto 1074 de 2015 definía las controversias internacionales de inversión como “[…] </w:t>
      </w:r>
      <w:r w:rsidRPr="00D50744">
        <w:rPr>
          <w:rFonts w:ascii="Verdana" w:hAnsi="Verdana" w:cs="Arial"/>
          <w:color w:val="000000" w:themeColor="text1"/>
          <w:lang w:val="es-ES_tradnl"/>
        </w:rPr>
        <w:t>aquellas surgidas entre inversionistas extranjeros y el Estado colombiano con motivo de la aplicación y/o interpretación de los Acuerdos Internacionales de Inversión</w:t>
      </w:r>
      <w:r>
        <w:rPr>
          <w:rFonts w:ascii="Verdana" w:hAnsi="Verdana" w:cs="Arial"/>
          <w:color w:val="000000" w:themeColor="text1"/>
          <w:lang w:val="es-ES_tradnl"/>
        </w:rPr>
        <w:t xml:space="preserve">”. Asimismo, el inciso primero del artículo </w:t>
      </w:r>
      <w:r w:rsidRPr="00D50744">
        <w:rPr>
          <w:rFonts w:ascii="Verdana" w:hAnsi="Verdana" w:cs="Arial"/>
          <w:color w:val="000000" w:themeColor="text1"/>
          <w:lang w:val="es-ES_tradnl"/>
        </w:rPr>
        <w:t>2.2.3.2.2.8</w:t>
      </w:r>
      <w:r>
        <w:rPr>
          <w:rFonts w:ascii="Verdana" w:hAnsi="Verdana" w:cs="Arial"/>
          <w:color w:val="000000" w:themeColor="text1"/>
          <w:lang w:val="es-ES_tradnl"/>
        </w:rPr>
        <w:t xml:space="preserve"> </w:t>
      </w:r>
      <w:r w:rsidRPr="00D50744">
        <w:rPr>
          <w:rFonts w:ascii="Verdana" w:hAnsi="Verdana" w:cs="Arial"/>
          <w:i/>
          <w:iCs/>
          <w:color w:val="000000" w:themeColor="text1"/>
          <w:lang w:val="es-ES_tradnl"/>
        </w:rPr>
        <w:t>ibidem</w:t>
      </w:r>
      <w:r>
        <w:rPr>
          <w:rFonts w:ascii="Verdana" w:hAnsi="Verdana" w:cs="Arial"/>
          <w:color w:val="000000" w:themeColor="text1"/>
          <w:lang w:val="es-ES_tradnl"/>
        </w:rPr>
        <w:t xml:space="preserve"> disponía lo siguiente: “</w:t>
      </w:r>
      <w:r w:rsidRPr="00D50744">
        <w:rPr>
          <w:rFonts w:ascii="Verdana" w:hAnsi="Verdana" w:cs="Arial"/>
          <w:color w:val="000000" w:themeColor="text1"/>
          <w:lang w:val="es-ES_tradnl"/>
        </w:rPr>
        <w:t>La defensa del Estado en el arbitraje internacional para la solución de las controversias internacionales de inversión será ejercida por el Ministerio de Comercio, Industria y Turismo, como ente encargado de la defensa del Estado en este tipo de controversias, con el apoyo de la Agencia Nacional de Defensa Jurídica del Estado y del Grupo de Apoyo Interinstitucional creado en virtud del artículo 2.2.3.2.2.7. del presente decreto</w:t>
      </w:r>
      <w:r>
        <w:rPr>
          <w:rFonts w:ascii="Verdana" w:hAnsi="Verdana" w:cs="Arial"/>
          <w:color w:val="000000" w:themeColor="text1"/>
          <w:lang w:val="es-ES_tradnl"/>
        </w:rPr>
        <w:t xml:space="preserve">”. Aunque estas normas fueron derogadas por el artículo 1 del Decreto 1696 de 2019, lo cierto es que gran parte de dichos acuerdos tienen pactos arbitrales, pues como explica la doctrina: </w:t>
      </w:r>
    </w:p>
    <w:p w14:paraId="6CA6AE0D" w14:textId="77777777" w:rsidR="00D2570A" w:rsidRPr="00611C6D" w:rsidRDefault="00D2570A" w:rsidP="00D2570A">
      <w:pPr>
        <w:spacing w:after="0" w:line="276" w:lineRule="auto"/>
        <w:jc w:val="both"/>
        <w:rPr>
          <w:rFonts w:ascii="Verdana" w:hAnsi="Verdana" w:cs="Arial"/>
          <w:color w:val="000000" w:themeColor="text1"/>
          <w:lang w:val="es-ES_tradnl"/>
        </w:rPr>
      </w:pPr>
    </w:p>
    <w:p w14:paraId="5170099B" w14:textId="77777777" w:rsidR="00D2570A" w:rsidRPr="003B2AD7" w:rsidRDefault="00D2570A" w:rsidP="00D2570A">
      <w:pPr>
        <w:spacing w:after="0" w:line="240" w:lineRule="auto"/>
        <w:ind w:left="709" w:right="709"/>
        <w:jc w:val="both"/>
        <w:rPr>
          <w:rFonts w:ascii="Verdana" w:eastAsia="Times New Roman" w:hAnsi="Verdana" w:cs="Arial"/>
          <w:sz w:val="20"/>
          <w:szCs w:val="20"/>
          <w:lang w:val="es-ES" w:eastAsia="es-MX"/>
        </w:rPr>
      </w:pPr>
      <w:r w:rsidRPr="003B2AD7">
        <w:rPr>
          <w:rFonts w:ascii="Verdana" w:eastAsia="Times New Roman" w:hAnsi="Verdana" w:cs="Arial"/>
          <w:sz w:val="20"/>
          <w:szCs w:val="20"/>
          <w:lang w:val="es-ES" w:eastAsia="es-MX"/>
        </w:rPr>
        <w:t xml:space="preserve">“Es pertinente precisar en materia de solución de diferencias que los actuales tratados bilaterales de inversión permiten que ciertas normas de tratamiento puedan ser ejecutadas a través de la solución obligatoria de controversias inversionista-Estado fuera del sistema jurídico nacional, e incluyen no solo una provisión de solución de controversias Estado-Estado </w:t>
      </w:r>
      <w:r w:rsidRPr="003B2AD7">
        <w:rPr>
          <w:rFonts w:ascii="Verdana" w:eastAsia="Times New Roman" w:hAnsi="Verdana" w:cs="Arial"/>
          <w:sz w:val="20"/>
          <w:szCs w:val="20"/>
          <w:lang w:val="es-ES" w:eastAsia="es-MX"/>
        </w:rPr>
        <w:lastRenderedPageBreak/>
        <w:t>sino también entre inversionista-Estado. El mecanismo de arbitraje frecuente consentido en los TBI es el Convenio del CIADI [Centro Internacional de Arreglo de Diferencias Relativas a Inversiones, aprobado mediante la Ley 267 de 1996] y su mecanismo complementario; mediante el primero, se tiene la posibilidad de recurrir a un mecanismo de conciliación y arbitramento internacional, especializado en las disputas entre inversionistas y los gobiernos receptores de las inversiones, y aquellos Estados que no hayan aceptado ni ratificado el Convenio del CIADI podrán presentar su solicitud de reclamación por la vía del mecanismo complementario. Seguido está el Reglamento de la Corte de Arbitraje de la Cámara Internacional de Comercio (CII o ICC, por sus siglas en inglés), de las Reglas de Arbitraje de la Comisión de las Naciones Unidas para el Derecho Mercantil Internacional (CNUDMI o UNCITRAL, por sus siglas en inglés) y del reglamento de la Corte de Londres de Arbitraje Internacional (LCIA, por sus siglas en inglés)”</w:t>
      </w:r>
      <w:r w:rsidRPr="003B2AD7">
        <w:rPr>
          <w:rStyle w:val="Refdenotaalpie"/>
          <w:rFonts w:ascii="Verdana" w:eastAsia="Times New Roman" w:hAnsi="Verdana" w:cs="Arial"/>
          <w:sz w:val="20"/>
          <w:szCs w:val="20"/>
          <w:lang w:val="es-ES" w:eastAsia="es-MX"/>
        </w:rPr>
        <w:footnoteReference w:id="25"/>
      </w:r>
      <w:r w:rsidRPr="003B2AD7">
        <w:rPr>
          <w:rFonts w:ascii="Verdana" w:eastAsia="Times New Roman" w:hAnsi="Verdana" w:cs="Arial"/>
          <w:sz w:val="20"/>
          <w:szCs w:val="20"/>
          <w:lang w:val="es-ES" w:eastAsia="es-MX"/>
        </w:rPr>
        <w:t>. (Corchetes fuera de texto)</w:t>
      </w:r>
    </w:p>
    <w:p w14:paraId="522D53E7" w14:textId="77777777" w:rsidR="00D2570A" w:rsidRDefault="00D2570A" w:rsidP="00D2570A">
      <w:pPr>
        <w:spacing w:after="0" w:line="276" w:lineRule="auto"/>
        <w:jc w:val="both"/>
        <w:rPr>
          <w:rFonts w:ascii="Verdana" w:eastAsia="Times New Roman" w:hAnsi="Verdana" w:cs="Arial"/>
          <w:lang w:val="es-ES" w:eastAsia="es-MX"/>
        </w:rPr>
      </w:pPr>
    </w:p>
    <w:p w14:paraId="2FF8A188" w14:textId="77777777" w:rsidR="00D2570A" w:rsidRDefault="00D2570A" w:rsidP="00D2570A">
      <w:pPr>
        <w:spacing w:after="120" w:line="276" w:lineRule="auto"/>
        <w:jc w:val="both"/>
        <w:rPr>
          <w:rFonts w:ascii="Verdana" w:eastAsia="Times New Roman" w:hAnsi="Verdana" w:cs="Arial"/>
          <w:lang w:val="es-ES" w:eastAsia="es-MX"/>
        </w:rPr>
      </w:pPr>
      <w:r>
        <w:rPr>
          <w:rFonts w:ascii="Verdana" w:eastAsia="Times New Roman" w:hAnsi="Verdana" w:cs="Arial"/>
          <w:lang w:val="es-ES" w:eastAsia="es-MX"/>
        </w:rPr>
        <w:tab/>
        <w:t>De acuerdo con las competencias previstas en los numerales (</w:t>
      </w:r>
      <w:proofErr w:type="spellStart"/>
      <w:r>
        <w:rPr>
          <w:rFonts w:ascii="Verdana" w:eastAsia="Times New Roman" w:hAnsi="Verdana" w:cs="Arial"/>
          <w:lang w:val="es-ES" w:eastAsia="es-MX"/>
        </w:rPr>
        <w:t>iii</w:t>
      </w:r>
      <w:proofErr w:type="spellEnd"/>
      <w:r>
        <w:rPr>
          <w:rFonts w:ascii="Verdana" w:eastAsia="Times New Roman" w:hAnsi="Verdana" w:cs="Arial"/>
          <w:lang w:val="es-ES" w:eastAsia="es-MX"/>
        </w:rPr>
        <w:t>) y (</w:t>
      </w:r>
      <w:proofErr w:type="spellStart"/>
      <w:r>
        <w:rPr>
          <w:rFonts w:ascii="Verdana" w:eastAsia="Times New Roman" w:hAnsi="Verdana" w:cs="Arial"/>
          <w:lang w:val="es-ES" w:eastAsia="es-MX"/>
        </w:rPr>
        <w:t>iv</w:t>
      </w:r>
      <w:proofErr w:type="spellEnd"/>
      <w:r>
        <w:rPr>
          <w:rFonts w:ascii="Verdana" w:eastAsia="Times New Roman" w:hAnsi="Verdana" w:cs="Arial"/>
          <w:lang w:val="es-ES" w:eastAsia="es-MX"/>
        </w:rPr>
        <w:t>) del artículo 6.3 del Decreto Ley 4085 de 2011, la articulación de la defensa en las</w:t>
      </w:r>
      <w:r w:rsidRPr="003B2AD7">
        <w:rPr>
          <w:rFonts w:ascii="Verdana" w:eastAsia="Times New Roman" w:hAnsi="Verdana" w:cs="Arial"/>
          <w:lang w:val="es-ES" w:eastAsia="es-MX"/>
        </w:rPr>
        <w:t xml:space="preserve"> controversias internacionales de inversión</w:t>
      </w:r>
      <w:r>
        <w:rPr>
          <w:rFonts w:ascii="Verdana" w:eastAsia="Times New Roman" w:hAnsi="Verdana" w:cs="Arial"/>
          <w:lang w:val="es-ES" w:eastAsia="es-MX"/>
        </w:rPr>
        <w:t xml:space="preserve"> corresponde a la Agencia Nacional de Defensa Jurídica del Estado. Por esta razón, el mencionado </w:t>
      </w:r>
      <w:r>
        <w:rPr>
          <w:rFonts w:ascii="Verdana" w:hAnsi="Verdana" w:cs="Arial"/>
          <w:color w:val="000000" w:themeColor="text1"/>
          <w:lang w:val="es-ES_tradnl"/>
        </w:rPr>
        <w:t xml:space="preserve">Decreto 1696 de 2019 se fundamentó en que “[…] </w:t>
      </w:r>
      <w:r w:rsidRPr="001C25F7">
        <w:rPr>
          <w:rFonts w:ascii="Verdana" w:hAnsi="Verdana" w:cs="Arial"/>
          <w:color w:val="000000" w:themeColor="text1"/>
          <w:lang w:val="es-ES_tradnl"/>
        </w:rPr>
        <w:t>por razones de eficiencia y oportunidad, atendiendo el objetivo, misión y funciones de la Agencia Nacional de Defensa Jurídica del Estado, en aras de promover un marco jurídico que le permita a esa entidad adelantar las acciones tendientes a salvaguardar los derechos de la nación y del Estado en las controversias internacionales de inversión, se hace necesario derogar el Capítulo 2, Título 3, Parte 2, Libro 2 del Decreto 1074 de 2015, Único Reglamentario del Sector Comercio, Industria y Turismo</w:t>
      </w:r>
      <w:r>
        <w:rPr>
          <w:rFonts w:ascii="Verdana" w:hAnsi="Verdana" w:cs="Arial"/>
          <w:color w:val="000000" w:themeColor="text1"/>
          <w:lang w:val="es-ES_tradnl"/>
        </w:rPr>
        <w:t>”.</w:t>
      </w:r>
      <w:r>
        <w:rPr>
          <w:rFonts w:ascii="Verdana" w:eastAsia="Times New Roman" w:hAnsi="Verdana" w:cs="Arial"/>
          <w:lang w:val="es-ES" w:eastAsia="es-MX"/>
        </w:rPr>
        <w:t xml:space="preserve"> </w:t>
      </w:r>
    </w:p>
    <w:p w14:paraId="7059A55C" w14:textId="77777777" w:rsidR="00D2570A" w:rsidRDefault="00D2570A" w:rsidP="00D2570A">
      <w:pPr>
        <w:spacing w:after="120" w:line="276" w:lineRule="auto"/>
        <w:jc w:val="both"/>
        <w:rPr>
          <w:rFonts w:ascii="Verdana" w:eastAsia="Times New Roman" w:hAnsi="Verdana" w:cs="Arial"/>
          <w:lang w:eastAsia="es-MX"/>
        </w:rPr>
      </w:pPr>
      <w:r>
        <w:rPr>
          <w:rFonts w:ascii="Verdana" w:eastAsia="Times New Roman" w:hAnsi="Verdana" w:cs="Arial"/>
          <w:lang w:val="es-ES" w:eastAsia="es-MX"/>
        </w:rPr>
        <w:tab/>
      </w:r>
      <w:r w:rsidRPr="4FCFDF2D">
        <w:rPr>
          <w:rFonts w:ascii="Verdana" w:eastAsia="Times New Roman" w:hAnsi="Verdana" w:cs="Arial"/>
          <w:lang w:eastAsia="es-MX"/>
        </w:rPr>
        <w:t xml:space="preserve">En la medida que dichas controversias deban resolverse a través terceros investidos por las partes para administrar justicia por convenio de los </w:t>
      </w:r>
      <w:r w:rsidRPr="4FCFDF2D">
        <w:rPr>
          <w:rFonts w:ascii="Verdana" w:eastAsia="Times New Roman" w:hAnsi="Verdana" w:cs="Arial"/>
          <w:lang w:eastAsia="es-MX"/>
        </w:rPr>
        <w:lastRenderedPageBreak/>
        <w:t xml:space="preserve">interesados, debe tenerse en cuenta que el inciso primero del artículo 1 de la Ley 1563 de 2012 dispone que “El arbitraje es un mecanismo alternativo de solución de conflictos mediante el cual las partes defieren a árbitros la solución de una controversia relativa a asuntos de libre disposición o aquellos que la ley autorice”. A pesar de ser un método </w:t>
      </w:r>
      <w:proofErr w:type="spellStart"/>
      <w:r w:rsidRPr="4FCFDF2D">
        <w:rPr>
          <w:rFonts w:ascii="Verdana" w:eastAsia="Times New Roman" w:hAnsi="Verdana" w:cs="Arial"/>
          <w:lang w:eastAsia="es-MX"/>
        </w:rPr>
        <w:t>heterocompositivo</w:t>
      </w:r>
      <w:proofErr w:type="spellEnd"/>
      <w:r w:rsidRPr="4FCFDF2D">
        <w:rPr>
          <w:rFonts w:ascii="Verdana" w:eastAsia="Times New Roman" w:hAnsi="Verdana" w:cs="Arial"/>
          <w:lang w:eastAsia="es-MX"/>
        </w:rPr>
        <w:t xml:space="preserve"> de solución de conflictos, tiene naturaleza extrajudicial, es decir, se orienta a “[…] derogar la competencia del juez jurisdiccional para el conocimiento del negocio y confiar tal decisión a árbitros […]”</w:t>
      </w:r>
      <w:r w:rsidRPr="4FCFDF2D">
        <w:rPr>
          <w:rStyle w:val="Refdenotaalpie"/>
          <w:rFonts w:ascii="Verdana" w:eastAsia="Times New Roman" w:hAnsi="Verdana" w:cs="Arial"/>
          <w:lang w:eastAsia="es-MX"/>
        </w:rPr>
        <w:footnoteReference w:id="26"/>
      </w:r>
      <w:r w:rsidRPr="4FCFDF2D">
        <w:rPr>
          <w:rFonts w:ascii="Verdana" w:eastAsia="Times New Roman" w:hAnsi="Verdana" w:cs="Arial"/>
          <w:lang w:eastAsia="es-MX"/>
        </w:rPr>
        <w:t xml:space="preserve">. </w:t>
      </w:r>
    </w:p>
    <w:p w14:paraId="3A29BB26" w14:textId="77777777" w:rsidR="00D2570A" w:rsidRDefault="00D2570A" w:rsidP="00D2570A">
      <w:pPr>
        <w:spacing w:after="120" w:line="276" w:lineRule="auto"/>
        <w:jc w:val="both"/>
        <w:rPr>
          <w:rFonts w:ascii="Verdana" w:eastAsia="Times New Roman" w:hAnsi="Verdana" w:cs="Arial"/>
          <w:lang w:val="es-ES" w:eastAsia="es-MX"/>
        </w:rPr>
      </w:pPr>
      <w:r>
        <w:rPr>
          <w:rFonts w:ascii="Verdana" w:eastAsia="Times New Roman" w:hAnsi="Verdana" w:cs="Arial"/>
          <w:lang w:val="es-ES" w:eastAsia="es-MX"/>
        </w:rPr>
        <w:tab/>
        <w:t>Ello hace que los procesos arbitrales sean sustancialmente distintos a los procesos judiciales. Ambos se</w:t>
      </w:r>
      <w:r w:rsidRPr="00E550FA">
        <w:rPr>
          <w:rFonts w:ascii="Verdana" w:eastAsia="Times New Roman" w:hAnsi="Verdana" w:cs="Arial"/>
          <w:lang w:val="es-ES" w:eastAsia="es-MX"/>
        </w:rPr>
        <w:t xml:space="preserve"> diferencian en su </w:t>
      </w:r>
      <w:r w:rsidRPr="00A02E4C">
        <w:rPr>
          <w:rFonts w:ascii="Verdana" w:eastAsia="Times New Roman" w:hAnsi="Verdana" w:cs="Arial"/>
          <w:i/>
          <w:iCs/>
          <w:lang w:val="es-ES" w:eastAsia="es-MX"/>
        </w:rPr>
        <w:t>origen</w:t>
      </w:r>
      <w:r w:rsidRPr="00E550FA">
        <w:rPr>
          <w:rFonts w:ascii="Verdana" w:eastAsia="Times New Roman" w:hAnsi="Verdana" w:cs="Arial"/>
          <w:lang w:val="es-ES" w:eastAsia="es-MX"/>
        </w:rPr>
        <w:t xml:space="preserve">, pues el primero surge de la voluntad de las partes y el segundo </w:t>
      </w:r>
      <w:r>
        <w:rPr>
          <w:rFonts w:ascii="Verdana" w:eastAsia="Times New Roman" w:hAnsi="Verdana" w:cs="Arial"/>
          <w:lang w:val="es-ES" w:eastAsia="es-MX"/>
        </w:rPr>
        <w:t>de la potestad del Estado para resolver conflictos</w:t>
      </w:r>
      <w:r w:rsidRPr="00E550FA">
        <w:rPr>
          <w:rFonts w:ascii="Verdana" w:eastAsia="Times New Roman" w:hAnsi="Verdana" w:cs="Arial"/>
          <w:lang w:val="es-ES" w:eastAsia="es-MX"/>
        </w:rPr>
        <w:t xml:space="preserve">; en </w:t>
      </w:r>
      <w:r w:rsidRPr="00A02E4C">
        <w:rPr>
          <w:rFonts w:ascii="Verdana" w:eastAsia="Times New Roman" w:hAnsi="Verdana" w:cs="Arial"/>
          <w:i/>
          <w:iCs/>
          <w:lang w:val="es-ES" w:eastAsia="es-MX"/>
        </w:rPr>
        <w:t>quién decide</w:t>
      </w:r>
      <w:r w:rsidRPr="00E550FA">
        <w:rPr>
          <w:rFonts w:ascii="Verdana" w:eastAsia="Times New Roman" w:hAnsi="Verdana" w:cs="Arial"/>
          <w:lang w:val="es-ES" w:eastAsia="es-MX"/>
        </w:rPr>
        <w:t>, ya que en el arbitraje las partes eligen a los árbitros</w:t>
      </w:r>
      <w:r>
        <w:rPr>
          <w:rFonts w:ascii="Verdana" w:eastAsia="Times New Roman" w:hAnsi="Verdana" w:cs="Arial"/>
          <w:lang w:val="es-ES" w:eastAsia="es-MX"/>
        </w:rPr>
        <w:t xml:space="preserve">, mientras </w:t>
      </w:r>
      <w:r w:rsidRPr="00E550FA">
        <w:rPr>
          <w:rFonts w:ascii="Verdana" w:eastAsia="Times New Roman" w:hAnsi="Verdana" w:cs="Arial"/>
          <w:lang w:val="es-ES" w:eastAsia="es-MX"/>
        </w:rPr>
        <w:t>el j</w:t>
      </w:r>
      <w:r>
        <w:rPr>
          <w:rFonts w:ascii="Verdana" w:eastAsia="Times New Roman" w:hAnsi="Verdana" w:cs="Arial"/>
          <w:lang w:val="es-ES" w:eastAsia="es-MX"/>
        </w:rPr>
        <w:t>uzgador</w:t>
      </w:r>
      <w:r w:rsidRPr="00E550FA">
        <w:rPr>
          <w:rFonts w:ascii="Verdana" w:eastAsia="Times New Roman" w:hAnsi="Verdana" w:cs="Arial"/>
          <w:lang w:val="es-ES" w:eastAsia="es-MX"/>
        </w:rPr>
        <w:t xml:space="preserve"> </w:t>
      </w:r>
      <w:r>
        <w:rPr>
          <w:rFonts w:ascii="Verdana" w:eastAsia="Times New Roman" w:hAnsi="Verdana" w:cs="Arial"/>
          <w:lang w:val="es-ES" w:eastAsia="es-MX"/>
        </w:rPr>
        <w:t>se define conforme a las normas de competencia</w:t>
      </w:r>
      <w:r w:rsidRPr="00E550FA">
        <w:rPr>
          <w:rFonts w:ascii="Verdana" w:eastAsia="Times New Roman" w:hAnsi="Verdana" w:cs="Arial"/>
          <w:lang w:val="es-ES" w:eastAsia="es-MX"/>
        </w:rPr>
        <w:t xml:space="preserve">; en su </w:t>
      </w:r>
      <w:r w:rsidRPr="00A02E4C">
        <w:rPr>
          <w:rFonts w:ascii="Verdana" w:eastAsia="Times New Roman" w:hAnsi="Verdana" w:cs="Arial"/>
          <w:i/>
          <w:iCs/>
          <w:lang w:val="es-ES" w:eastAsia="es-MX"/>
        </w:rPr>
        <w:t>dinámica</w:t>
      </w:r>
      <w:r w:rsidRPr="00E550FA">
        <w:rPr>
          <w:rFonts w:ascii="Verdana" w:eastAsia="Times New Roman" w:hAnsi="Verdana" w:cs="Arial"/>
          <w:lang w:val="es-ES" w:eastAsia="es-MX"/>
        </w:rPr>
        <w:t xml:space="preserve">, </w:t>
      </w:r>
      <w:r>
        <w:rPr>
          <w:rFonts w:ascii="Verdana" w:eastAsia="Times New Roman" w:hAnsi="Verdana" w:cs="Arial"/>
          <w:lang w:val="es-ES" w:eastAsia="es-MX"/>
        </w:rPr>
        <w:t>pues el</w:t>
      </w:r>
      <w:r w:rsidRPr="00E550FA">
        <w:rPr>
          <w:rFonts w:ascii="Verdana" w:eastAsia="Times New Roman" w:hAnsi="Verdana" w:cs="Arial"/>
          <w:lang w:val="es-ES" w:eastAsia="es-MX"/>
        </w:rPr>
        <w:t xml:space="preserve"> arbitraje más ágil, menos formal y confidencial; en los </w:t>
      </w:r>
      <w:r w:rsidRPr="00A02E4C">
        <w:rPr>
          <w:rFonts w:ascii="Verdana" w:eastAsia="Times New Roman" w:hAnsi="Verdana" w:cs="Arial"/>
          <w:i/>
          <w:iCs/>
          <w:lang w:val="es-ES" w:eastAsia="es-MX"/>
        </w:rPr>
        <w:t>recursos</w:t>
      </w:r>
      <w:r w:rsidRPr="00E550FA">
        <w:rPr>
          <w:rFonts w:ascii="Verdana" w:eastAsia="Times New Roman" w:hAnsi="Verdana" w:cs="Arial"/>
          <w:lang w:val="es-ES" w:eastAsia="es-MX"/>
        </w:rPr>
        <w:t>, porque el laudo arbitral es en principio definitivo</w:t>
      </w:r>
      <w:r>
        <w:rPr>
          <w:rFonts w:ascii="Verdana" w:eastAsia="Times New Roman" w:hAnsi="Verdana" w:cs="Arial"/>
          <w:lang w:val="es-ES" w:eastAsia="es-MX"/>
        </w:rPr>
        <w:t>,</w:t>
      </w:r>
      <w:r w:rsidRPr="00E550FA">
        <w:rPr>
          <w:rFonts w:ascii="Verdana" w:eastAsia="Times New Roman" w:hAnsi="Verdana" w:cs="Arial"/>
          <w:lang w:val="es-ES" w:eastAsia="es-MX"/>
        </w:rPr>
        <w:t xml:space="preserve"> mientras que la sentencia judicial admite </w:t>
      </w:r>
      <w:r>
        <w:rPr>
          <w:rFonts w:ascii="Verdana" w:eastAsia="Times New Roman" w:hAnsi="Verdana" w:cs="Arial"/>
          <w:lang w:val="es-ES" w:eastAsia="es-MX"/>
        </w:rPr>
        <w:t>la segunda instancia</w:t>
      </w:r>
      <w:r w:rsidRPr="00E550FA">
        <w:rPr>
          <w:rFonts w:ascii="Verdana" w:eastAsia="Times New Roman" w:hAnsi="Verdana" w:cs="Arial"/>
          <w:lang w:val="es-ES" w:eastAsia="es-MX"/>
        </w:rPr>
        <w:t xml:space="preserve">; </w:t>
      </w:r>
      <w:r>
        <w:rPr>
          <w:rFonts w:ascii="Verdana" w:eastAsia="Times New Roman" w:hAnsi="Verdana" w:cs="Arial"/>
          <w:lang w:val="es-ES" w:eastAsia="es-MX"/>
        </w:rPr>
        <w:t xml:space="preserve">así como </w:t>
      </w:r>
      <w:r w:rsidRPr="00E550FA">
        <w:rPr>
          <w:rFonts w:ascii="Verdana" w:eastAsia="Times New Roman" w:hAnsi="Verdana" w:cs="Arial"/>
          <w:lang w:val="es-ES" w:eastAsia="es-MX"/>
        </w:rPr>
        <w:t xml:space="preserve">en los </w:t>
      </w:r>
      <w:r w:rsidRPr="00A02E4C">
        <w:rPr>
          <w:rFonts w:ascii="Verdana" w:eastAsia="Times New Roman" w:hAnsi="Verdana" w:cs="Arial"/>
          <w:i/>
          <w:iCs/>
          <w:lang w:val="es-ES" w:eastAsia="es-MX"/>
        </w:rPr>
        <w:t>costos</w:t>
      </w:r>
      <w:r w:rsidRPr="00E550FA">
        <w:rPr>
          <w:rFonts w:ascii="Verdana" w:eastAsia="Times New Roman" w:hAnsi="Verdana" w:cs="Arial"/>
          <w:lang w:val="es-ES" w:eastAsia="es-MX"/>
        </w:rPr>
        <w:t>, generalmente más altos en el arbitraje.</w:t>
      </w:r>
      <w:r>
        <w:rPr>
          <w:rFonts w:ascii="Verdana" w:eastAsia="Times New Roman" w:hAnsi="Verdana" w:cs="Arial"/>
          <w:lang w:val="es-ES" w:eastAsia="es-MX"/>
        </w:rPr>
        <w:t xml:space="preserve"> </w:t>
      </w:r>
    </w:p>
    <w:p w14:paraId="6DFD7CE4" w14:textId="77777777" w:rsidR="00D2570A" w:rsidRDefault="00D2570A" w:rsidP="00D2570A">
      <w:pPr>
        <w:spacing w:after="12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De esta forma, el inciso segundo del artículo 3 de la Ley 1563 de 2012 dispone que “</w:t>
      </w:r>
      <w:r w:rsidRPr="00FE6CDF">
        <w:rPr>
          <w:rFonts w:ascii="Verdana" w:eastAsia="Times New Roman" w:hAnsi="Verdana" w:cs="Arial"/>
          <w:lang w:val="es-ES" w:eastAsia="es-MX"/>
        </w:rPr>
        <w:t>El pacto arbitral implica la renuncia de las partes a hacer valer sus pretensiones ante los jueces</w:t>
      </w:r>
      <w:r>
        <w:rPr>
          <w:rFonts w:ascii="Verdana" w:eastAsia="Times New Roman" w:hAnsi="Verdana" w:cs="Arial"/>
          <w:lang w:val="es-ES" w:eastAsia="es-MX"/>
        </w:rPr>
        <w:t xml:space="preserve">”; razón por la cual, un pacto arbitral en un </w:t>
      </w:r>
      <w:r>
        <w:rPr>
          <w:rFonts w:ascii="Verdana" w:hAnsi="Verdana" w:cs="Arial"/>
          <w:color w:val="000000" w:themeColor="text1"/>
          <w:lang w:val="es-ES_tradnl"/>
        </w:rPr>
        <w:t>acuerdo internacional de inversión</w:t>
      </w:r>
      <w:r>
        <w:rPr>
          <w:rFonts w:ascii="Verdana" w:eastAsia="Times New Roman" w:hAnsi="Verdana" w:cs="Arial"/>
          <w:lang w:val="es-ES" w:eastAsia="es-MX"/>
        </w:rPr>
        <w:t xml:space="preserve"> implica que la controversia no se resolverá dentro de un escenario de proceso judicial. Por ello, las reglas aplicables no son las de la Ley 1437 de 2011, sino las normas de la sección tercera de la Ley 1563 de 2012: éstas regirán </w:t>
      </w:r>
      <w:r w:rsidRPr="00835EC8">
        <w:rPr>
          <w:rFonts w:ascii="Verdana" w:eastAsia="Times New Roman" w:hAnsi="Verdana" w:cs="Arial"/>
          <w:lang w:val="es-ES" w:eastAsia="es-MX"/>
        </w:rPr>
        <w:t xml:space="preserve">sin perjuicio </w:t>
      </w:r>
      <w:r>
        <w:rPr>
          <w:rFonts w:ascii="Verdana" w:eastAsia="Times New Roman" w:hAnsi="Verdana" w:cs="Arial"/>
          <w:lang w:val="es-ES" w:eastAsia="es-MX"/>
        </w:rPr>
        <w:t>de los</w:t>
      </w:r>
      <w:r w:rsidRPr="00835EC8">
        <w:rPr>
          <w:rFonts w:ascii="Verdana" w:eastAsia="Times New Roman" w:hAnsi="Verdana" w:cs="Arial"/>
          <w:lang w:val="es-ES" w:eastAsia="es-MX"/>
        </w:rPr>
        <w:t xml:space="preserve"> tratado</w:t>
      </w:r>
      <w:r>
        <w:rPr>
          <w:rFonts w:ascii="Verdana" w:eastAsia="Times New Roman" w:hAnsi="Verdana" w:cs="Arial"/>
          <w:lang w:val="es-ES" w:eastAsia="es-MX"/>
        </w:rPr>
        <w:t>s</w:t>
      </w:r>
      <w:r w:rsidRPr="00835EC8">
        <w:rPr>
          <w:rFonts w:ascii="Verdana" w:eastAsia="Times New Roman" w:hAnsi="Verdana" w:cs="Arial"/>
          <w:lang w:val="es-ES" w:eastAsia="es-MX"/>
        </w:rPr>
        <w:t xml:space="preserve"> multilateral</w:t>
      </w:r>
      <w:r>
        <w:rPr>
          <w:rFonts w:ascii="Verdana" w:eastAsia="Times New Roman" w:hAnsi="Verdana" w:cs="Arial"/>
          <w:lang w:val="es-ES" w:eastAsia="es-MX"/>
        </w:rPr>
        <w:t>es</w:t>
      </w:r>
      <w:r w:rsidRPr="00835EC8">
        <w:rPr>
          <w:rFonts w:ascii="Verdana" w:eastAsia="Times New Roman" w:hAnsi="Verdana" w:cs="Arial"/>
          <w:lang w:val="es-ES" w:eastAsia="es-MX"/>
        </w:rPr>
        <w:t xml:space="preserve"> o bilateral</w:t>
      </w:r>
      <w:r>
        <w:rPr>
          <w:rFonts w:ascii="Verdana" w:eastAsia="Times New Roman" w:hAnsi="Verdana" w:cs="Arial"/>
          <w:lang w:val="es-ES" w:eastAsia="es-MX"/>
        </w:rPr>
        <w:t>es</w:t>
      </w:r>
      <w:r w:rsidRPr="00835EC8">
        <w:rPr>
          <w:rFonts w:ascii="Verdana" w:eastAsia="Times New Roman" w:hAnsi="Verdana" w:cs="Arial"/>
          <w:lang w:val="es-ES" w:eastAsia="es-MX"/>
        </w:rPr>
        <w:t xml:space="preserve"> </w:t>
      </w:r>
      <w:r>
        <w:rPr>
          <w:rFonts w:ascii="Verdana" w:eastAsia="Times New Roman" w:hAnsi="Verdana" w:cs="Arial"/>
          <w:lang w:val="es-ES" w:eastAsia="es-MX"/>
        </w:rPr>
        <w:t xml:space="preserve">suscritos por el Estado colombiano. </w:t>
      </w:r>
    </w:p>
    <w:p w14:paraId="30AD19BC" w14:textId="77777777" w:rsidR="00D2570A" w:rsidRDefault="00D2570A" w:rsidP="00D2570A">
      <w:pPr>
        <w:spacing w:after="0" w:line="276" w:lineRule="auto"/>
        <w:jc w:val="both"/>
        <w:rPr>
          <w:rFonts w:ascii="Verdana" w:hAnsi="Verdana" w:cs="Arial"/>
          <w:color w:val="000000" w:themeColor="text1"/>
          <w:lang w:val="es-ES_tradnl"/>
        </w:rPr>
      </w:pPr>
      <w:r>
        <w:rPr>
          <w:rFonts w:ascii="Verdana" w:eastAsia="Times New Roman" w:hAnsi="Verdana" w:cs="Arial"/>
          <w:lang w:val="es-ES" w:eastAsia="es-MX"/>
        </w:rPr>
        <w:tab/>
        <w:t xml:space="preserve">En este contexto, tanto la causal del </w:t>
      </w:r>
      <w:r>
        <w:rPr>
          <w:rFonts w:ascii="Verdana" w:eastAsia="Calibri" w:hAnsi="Verdana" w:cs="Arial"/>
          <w:lang w:val="es-ES" w:eastAsia="es-ES"/>
        </w:rPr>
        <w:t xml:space="preserve">literal k) del artículo 2.4 de la Ley 1150 de 2007 y como la excepción del artículo 222 de la Ley 1437 de 2011 se </w:t>
      </w:r>
      <w:r>
        <w:rPr>
          <w:rFonts w:ascii="Verdana" w:eastAsia="Calibri" w:hAnsi="Verdana" w:cs="Arial"/>
          <w:lang w:val="es-ES" w:eastAsia="es-ES"/>
        </w:rPr>
        <w:lastRenderedPageBreak/>
        <w:t xml:space="preserve">refieren a la posibilidad de contratar directamente </w:t>
      </w:r>
      <w:r w:rsidRPr="00E9374A">
        <w:rPr>
          <w:rFonts w:ascii="Verdana" w:eastAsia="Calibri" w:hAnsi="Verdana" w:cs="Arial"/>
          <w:lang w:val="es-ES" w:eastAsia="es-ES"/>
        </w:rPr>
        <w:t xml:space="preserve">peritos expertos o asesores técnicos para presentar o contradecir </w:t>
      </w:r>
      <w:r>
        <w:rPr>
          <w:rFonts w:ascii="Verdana" w:eastAsia="Calibri" w:hAnsi="Verdana" w:cs="Arial"/>
          <w:lang w:val="es-ES" w:eastAsia="es-ES"/>
        </w:rPr>
        <w:t>dictámenes</w:t>
      </w:r>
      <w:r w:rsidRPr="00E9374A">
        <w:rPr>
          <w:rFonts w:ascii="Verdana" w:eastAsia="Calibri" w:hAnsi="Verdana" w:cs="Arial"/>
          <w:lang w:val="es-ES" w:eastAsia="es-ES"/>
        </w:rPr>
        <w:t xml:space="preserve"> pericial</w:t>
      </w:r>
      <w:r>
        <w:rPr>
          <w:rFonts w:ascii="Verdana" w:eastAsia="Calibri" w:hAnsi="Verdana" w:cs="Arial"/>
          <w:lang w:val="es-ES" w:eastAsia="es-ES"/>
        </w:rPr>
        <w:t>es</w:t>
      </w:r>
      <w:r w:rsidRPr="00E9374A">
        <w:rPr>
          <w:rFonts w:ascii="Verdana" w:eastAsia="Calibri" w:hAnsi="Verdana" w:cs="Arial"/>
          <w:lang w:val="es-ES" w:eastAsia="es-ES"/>
        </w:rPr>
        <w:t xml:space="preserve"> en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incluso, bajo las restricciones establecidas en la Ley de Garantías. En el contexto de la Ley 2080 de 2021, la reforma tiene como objeto principal los </w:t>
      </w:r>
      <w:r w:rsidRPr="00E976D6">
        <w:rPr>
          <w:rFonts w:ascii="Verdana" w:eastAsia="Calibri" w:hAnsi="Verdana" w:cs="Arial"/>
          <w:i/>
          <w:iCs/>
          <w:lang w:val="es-ES" w:eastAsia="es-ES"/>
        </w:rPr>
        <w:t>procesos judiciales</w:t>
      </w:r>
      <w:r>
        <w:rPr>
          <w:rFonts w:ascii="Verdana" w:eastAsia="Calibri" w:hAnsi="Verdana" w:cs="Arial"/>
          <w:lang w:val="es-ES" w:eastAsia="es-ES"/>
        </w:rPr>
        <w:t xml:space="preserve"> adelantados ante la jurisdicción de lo contencioso administrativo; razón por la cual, conforme a la literalidad de las normas </w:t>
      </w:r>
      <w:r w:rsidRPr="007B5459">
        <w:rPr>
          <w:rFonts w:ascii="Verdana" w:eastAsia="Calibri" w:hAnsi="Verdana" w:cs="Arial"/>
          <w:i/>
          <w:iCs/>
          <w:lang w:val="es-ES" w:eastAsia="es-ES"/>
        </w:rPr>
        <w:t>sub examine</w:t>
      </w:r>
      <w:r>
        <w:rPr>
          <w:rFonts w:ascii="Verdana" w:eastAsia="Calibri" w:hAnsi="Verdana" w:cs="Arial"/>
          <w:lang w:val="es-ES" w:eastAsia="es-ES"/>
        </w:rPr>
        <w:t xml:space="preserve">, no se extienden a los </w:t>
      </w:r>
      <w:r w:rsidRPr="00E976D6">
        <w:rPr>
          <w:rFonts w:ascii="Verdana" w:eastAsia="Calibri" w:hAnsi="Verdana" w:cs="Arial"/>
          <w:i/>
          <w:iCs/>
          <w:lang w:val="es-ES" w:eastAsia="es-ES"/>
        </w:rPr>
        <w:t>procesos arbitrales</w:t>
      </w:r>
      <w:r>
        <w:rPr>
          <w:rFonts w:ascii="Verdana" w:eastAsia="Calibri" w:hAnsi="Verdana" w:cs="Arial"/>
          <w:lang w:val="es-ES" w:eastAsia="es-ES"/>
        </w:rPr>
        <w:t xml:space="preserve"> derivados de </w:t>
      </w:r>
      <w:r w:rsidRPr="001C25F7">
        <w:rPr>
          <w:rFonts w:ascii="Verdana" w:hAnsi="Verdana" w:cs="Arial"/>
          <w:color w:val="000000" w:themeColor="text1"/>
          <w:lang w:val="es-ES_tradnl"/>
        </w:rPr>
        <w:t>controversias internacionales de inversión</w:t>
      </w:r>
      <w:r>
        <w:rPr>
          <w:rFonts w:ascii="Verdana" w:hAnsi="Verdana" w:cs="Arial"/>
          <w:color w:val="000000" w:themeColor="text1"/>
          <w:lang w:val="es-ES_tradnl"/>
        </w:rPr>
        <w:t>. Las excepciones a los procesos con pluralidad de oferentes, así como las excepciones a prohibición del artículo 33 de la Ley 996 de 2005, son de interpretación estricta. Luego, excluyen tanto la aplicación extensiva como analógica.</w:t>
      </w:r>
    </w:p>
    <w:p w14:paraId="7BC11224" w14:textId="77777777" w:rsidR="00D2570A" w:rsidRPr="00E976D6" w:rsidRDefault="00D2570A" w:rsidP="00D2570A">
      <w:pPr>
        <w:spacing w:after="0" w:line="276" w:lineRule="auto"/>
        <w:jc w:val="both"/>
        <w:rPr>
          <w:rFonts w:ascii="Verdana" w:hAnsi="Verdana" w:cs="Arial"/>
          <w:color w:val="000000" w:themeColor="text1"/>
          <w:lang w:val="es-ES_tradnl"/>
        </w:rPr>
      </w:pPr>
    </w:p>
    <w:p w14:paraId="38E1EEE8" w14:textId="77777777" w:rsidR="00D2570A" w:rsidRPr="00F4158D" w:rsidRDefault="00D2570A" w:rsidP="00D2570A">
      <w:pPr>
        <w:spacing w:after="120" w:line="276" w:lineRule="auto"/>
        <w:jc w:val="both"/>
        <w:rPr>
          <w:rFonts w:ascii="Verdana" w:eastAsia="Calibri" w:hAnsi="Verdana" w:cs="Arial"/>
          <w:bCs/>
          <w:color w:val="000000" w:themeColor="text1"/>
        </w:rPr>
      </w:pPr>
      <w:proofErr w:type="spellStart"/>
      <w:r>
        <w:rPr>
          <w:rFonts w:ascii="Verdana" w:eastAsia="Times New Roman" w:hAnsi="Verdana" w:cs="Arial"/>
          <w:lang w:val="es-ES" w:eastAsia="es-MX"/>
        </w:rPr>
        <w:t>vii</w:t>
      </w:r>
      <w:proofErr w:type="spellEnd"/>
      <w:r>
        <w:rPr>
          <w:rFonts w:ascii="Verdana" w:eastAsia="Times New Roman" w:hAnsi="Verdana" w:cs="Arial"/>
          <w:lang w:val="es-ES" w:eastAsia="es-MX"/>
        </w:rPr>
        <w:t xml:space="preserve">.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970F79" w14:textId="77777777" w:rsidR="00D2570A" w:rsidRPr="00F4158D" w:rsidRDefault="00D2570A" w:rsidP="00D2570A">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43982F4" w14:textId="77777777" w:rsidR="00D2570A" w:rsidRPr="00F4158D" w:rsidRDefault="00D2570A" w:rsidP="00D2570A">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7D6196FD" w14:textId="77777777" w:rsidR="00D2570A" w:rsidRPr="00593A5F" w:rsidRDefault="00D2570A" w:rsidP="00D25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3EA6BA3" w14:textId="77777777" w:rsidR="00D2570A" w:rsidRPr="00593A5F" w:rsidRDefault="00D2570A" w:rsidP="00D2570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2570A" w:rsidRPr="002407CE" w14:paraId="42CBCCD7" w14:textId="77777777" w:rsidTr="002525EC">
        <w:trPr>
          <w:trHeight w:val="870"/>
          <w:jc w:val="center"/>
        </w:trPr>
        <w:tc>
          <w:tcPr>
            <w:tcW w:w="8647" w:type="dxa"/>
          </w:tcPr>
          <w:p w14:paraId="73300C20"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9, 127, 197, 226 y 227.</w:t>
            </w:r>
          </w:p>
          <w:p w14:paraId="154E2582"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7201A5B2"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443E83B7"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2D4FEC75"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222.</w:t>
            </w:r>
          </w:p>
          <w:p w14:paraId="6E2F0A56"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1563 de 2012, artículos 1 y 3.</w:t>
            </w:r>
          </w:p>
          <w:p w14:paraId="1DAC6A2C"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2080 de 2021, artículos 58, 82 y 86.</w:t>
            </w:r>
          </w:p>
          <w:p w14:paraId="7A71E73B"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4085 de 2011, artículo 6.</w:t>
            </w:r>
          </w:p>
          <w:p w14:paraId="7EC0CD0C" w14:textId="77777777" w:rsidR="00D2570A" w:rsidRPr="008B7701"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color w:val="000000" w:themeColor="text1"/>
                <w:lang w:val="es-ES_tradnl"/>
              </w:rPr>
              <w:t>Decreto 1696 de 2019, artículo 1.</w:t>
            </w:r>
          </w:p>
          <w:p w14:paraId="458746E9" w14:textId="77777777" w:rsidR="00D2570A" w:rsidRDefault="00D2570A" w:rsidP="002525EC">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 1501.</w:t>
            </w:r>
          </w:p>
          <w:p w14:paraId="71B834BB" w14:textId="77777777" w:rsidR="00D2570A" w:rsidRPr="003630EB" w:rsidRDefault="00D2570A" w:rsidP="002525EC">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color w:val="000000" w:themeColor="text1"/>
                <w:lang w:val="es-ES_tradnl"/>
              </w:rPr>
              <w:t xml:space="preserve">Documento </w:t>
            </w:r>
            <w:proofErr w:type="spellStart"/>
            <w:r>
              <w:rPr>
                <w:rFonts w:ascii="Verdana" w:hAnsi="Verdana" w:cs="Arial"/>
                <w:color w:val="000000" w:themeColor="text1"/>
                <w:lang w:val="es-ES_tradnl"/>
              </w:rPr>
              <w:t>Conpes</w:t>
            </w:r>
            <w:proofErr w:type="spellEnd"/>
            <w:r>
              <w:rPr>
                <w:rFonts w:ascii="Verdana" w:hAnsi="Verdana" w:cs="Arial"/>
                <w:color w:val="000000" w:themeColor="text1"/>
                <w:lang w:val="es-ES_tradnl"/>
              </w:rPr>
              <w:t xml:space="preserve"> 3135 del 9 de octubre de 2011.</w:t>
            </w:r>
          </w:p>
        </w:tc>
      </w:tr>
    </w:tbl>
    <w:p w14:paraId="1F7E24F5" w14:textId="77777777" w:rsidR="00D2570A" w:rsidRPr="002407CE" w:rsidRDefault="00D2570A" w:rsidP="00D2570A">
      <w:pPr>
        <w:widowControl w:val="0"/>
        <w:autoSpaceDE w:val="0"/>
        <w:autoSpaceDN w:val="0"/>
        <w:spacing w:after="0" w:line="276" w:lineRule="auto"/>
        <w:jc w:val="both"/>
        <w:rPr>
          <w:rFonts w:ascii="Verdana" w:hAnsi="Verdana" w:cs="Arial"/>
        </w:rPr>
      </w:pPr>
    </w:p>
    <w:p w14:paraId="455C7E1B" w14:textId="77777777" w:rsidR="00D2570A" w:rsidRPr="00593A5F" w:rsidRDefault="00D2570A" w:rsidP="00D257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85EA701" w14:textId="77777777" w:rsidR="00D2570A" w:rsidRPr="00593A5F" w:rsidRDefault="00D2570A" w:rsidP="00D2570A">
      <w:pPr>
        <w:widowControl w:val="0"/>
        <w:autoSpaceDE w:val="0"/>
        <w:autoSpaceDN w:val="0"/>
        <w:spacing w:after="0" w:line="276" w:lineRule="auto"/>
        <w:jc w:val="both"/>
        <w:rPr>
          <w:rFonts w:ascii="Verdana" w:hAnsi="Verdana" w:cs="Arial"/>
        </w:rPr>
      </w:pPr>
    </w:p>
    <w:p w14:paraId="323998FF" w14:textId="77777777" w:rsidR="00D2570A" w:rsidRPr="00ED0098" w:rsidRDefault="00D2570A" w:rsidP="00D2570A">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w:t>
      </w:r>
      <w:r>
        <w:rPr>
          <w:rFonts w:ascii="Verdana" w:hAnsi="Verdana" w:cs="Arial"/>
          <w:shd w:val="clear" w:color="auto" w:fill="FFFFFF"/>
        </w:rPr>
        <w:lastRenderedPageBreak/>
        <w:t xml:space="preserve">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6AF3AFD" w14:textId="77777777" w:rsidR="00D2570A" w:rsidRPr="00096788" w:rsidRDefault="00D2570A" w:rsidP="00D2570A">
      <w:pPr>
        <w:widowControl w:val="0"/>
        <w:autoSpaceDE w:val="0"/>
        <w:autoSpaceDN w:val="0"/>
        <w:spacing w:after="0" w:line="276" w:lineRule="auto"/>
        <w:jc w:val="both"/>
        <w:rPr>
          <w:rFonts w:ascii="Verdana" w:hAnsi="Verdana" w:cs="Arial"/>
          <w:color w:val="000000" w:themeColor="text1"/>
          <w:shd w:val="clear" w:color="auto" w:fill="FFFFFF"/>
        </w:rPr>
      </w:pPr>
    </w:p>
    <w:p w14:paraId="6B76D945" w14:textId="77777777" w:rsidR="00D2570A" w:rsidRDefault="00D2570A" w:rsidP="00D2570A">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97A1258" w14:textId="77777777" w:rsidR="00D2570A" w:rsidRDefault="00D2570A" w:rsidP="00D2570A">
      <w:pPr>
        <w:shd w:val="clear" w:color="auto" w:fill="FFFFFF"/>
        <w:spacing w:after="0" w:line="276" w:lineRule="auto"/>
        <w:jc w:val="both"/>
        <w:rPr>
          <w:rFonts w:ascii="Verdana" w:hAnsi="Verdana"/>
          <w:color w:val="000000"/>
          <w:u w:val="single"/>
        </w:rPr>
      </w:pPr>
    </w:p>
    <w:p w14:paraId="6B1E918F" w14:textId="77777777" w:rsidR="00D2570A" w:rsidRPr="0038088D" w:rsidRDefault="00D2570A" w:rsidP="00D2570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0EC301C1" w14:textId="77777777" w:rsidR="00D2570A" w:rsidRPr="0038088D" w:rsidRDefault="00D2570A" w:rsidP="00D2570A">
      <w:pPr>
        <w:spacing w:after="0"/>
        <w:jc w:val="both"/>
        <w:rPr>
          <w:rFonts w:ascii="Verdana" w:hAnsi="Verdana"/>
        </w:rPr>
      </w:pPr>
    </w:p>
    <w:p w14:paraId="6A2704AE" w14:textId="77777777" w:rsidR="00D2570A" w:rsidRPr="0038088D" w:rsidRDefault="00D2570A" w:rsidP="00D2570A">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75EB708F" w14:textId="77777777" w:rsidR="00D2570A" w:rsidRPr="0038088D" w:rsidRDefault="00D2570A" w:rsidP="00D2570A">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644A069F" w14:textId="77777777" w:rsidR="00D2570A" w:rsidRPr="0038088D" w:rsidRDefault="00D2570A" w:rsidP="00D2570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06ECF887" w14:textId="77777777" w:rsidR="00D2570A" w:rsidRPr="0038088D" w:rsidRDefault="00D2570A" w:rsidP="00D2570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4C0702B2" w14:textId="77777777" w:rsidR="00D2570A" w:rsidRPr="0038088D" w:rsidRDefault="00D2570A" w:rsidP="00D2570A">
      <w:pPr>
        <w:spacing w:after="0" w:line="240" w:lineRule="auto"/>
        <w:ind w:left="720"/>
        <w:jc w:val="both"/>
        <w:rPr>
          <w:rFonts w:ascii="Verdana" w:hAnsi="Verdana"/>
        </w:rPr>
      </w:pPr>
    </w:p>
    <w:p w14:paraId="43FF5495" w14:textId="77777777" w:rsidR="00D2570A" w:rsidRPr="0038088D" w:rsidRDefault="00D2570A" w:rsidP="00D2570A">
      <w:pPr>
        <w:spacing w:after="0" w:line="240" w:lineRule="auto"/>
        <w:rPr>
          <w:rFonts w:ascii="Verdana" w:hAnsi="Verdana"/>
        </w:rPr>
      </w:pPr>
      <w:r w:rsidRPr="0038088D">
        <w:rPr>
          <w:rFonts w:ascii="Verdana" w:hAnsi="Verdana"/>
        </w:rPr>
        <w:lastRenderedPageBreak/>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55CC3E0" w14:textId="77777777" w:rsidR="00D2570A" w:rsidRPr="0038088D" w:rsidRDefault="00D2570A" w:rsidP="00D2570A">
      <w:pPr>
        <w:spacing w:after="0" w:line="240" w:lineRule="auto"/>
        <w:rPr>
          <w:rFonts w:ascii="Verdana" w:hAnsi="Verdana"/>
        </w:rPr>
      </w:pPr>
    </w:p>
    <w:p w14:paraId="42D349DB" w14:textId="77777777" w:rsidR="00D2570A" w:rsidRPr="0038088D" w:rsidRDefault="00D2570A" w:rsidP="00D2570A">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EC53C76" w14:textId="77777777" w:rsidR="00D2570A" w:rsidRPr="00116940" w:rsidRDefault="00D2570A" w:rsidP="00D2570A">
      <w:pPr>
        <w:spacing w:after="0" w:line="240" w:lineRule="auto"/>
        <w:jc w:val="both"/>
        <w:rPr>
          <w:rFonts w:ascii="Verdana" w:hAnsi="Verdana"/>
        </w:rPr>
      </w:pPr>
    </w:p>
    <w:p w14:paraId="2FAD55E8" w14:textId="77777777" w:rsidR="00D2570A" w:rsidRPr="00116940" w:rsidRDefault="00D2570A" w:rsidP="00D2570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7C5735C" w14:textId="77777777" w:rsidR="00D2570A" w:rsidRPr="00116940" w:rsidRDefault="00D2570A" w:rsidP="00D2570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CE74E3C" w14:textId="77777777" w:rsidR="00D2570A" w:rsidRPr="00E22E6E" w:rsidRDefault="00D2570A" w:rsidP="00D2570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0B14E61" w14:textId="77777777" w:rsidR="00D2570A" w:rsidRPr="009C4035" w:rsidRDefault="00D2570A" w:rsidP="00D2570A">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D18BF60" w14:textId="77777777" w:rsidR="00D2570A" w:rsidRPr="00593A5F" w:rsidRDefault="00D2570A" w:rsidP="00D2570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59727B13" w14:textId="77777777" w:rsidR="00D2570A" w:rsidRPr="00593A5F" w:rsidRDefault="00D2570A" w:rsidP="00D2570A">
      <w:pPr>
        <w:widowControl w:val="0"/>
        <w:autoSpaceDE w:val="0"/>
        <w:autoSpaceDN w:val="0"/>
        <w:spacing w:after="0" w:line="276" w:lineRule="auto"/>
        <w:jc w:val="both"/>
        <w:rPr>
          <w:rFonts w:ascii="Verdana" w:hAnsi="Verdana" w:cs="Arial"/>
        </w:rPr>
      </w:pPr>
    </w:p>
    <w:p w14:paraId="17E86065" w14:textId="77777777" w:rsidR="00D2570A" w:rsidRPr="00593A5F" w:rsidRDefault="00D2570A" w:rsidP="00D2570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8C6CA06" w14:textId="30E77D67" w:rsidR="00D2570A" w:rsidRPr="00593A5F" w:rsidRDefault="00E46987" w:rsidP="00D2570A">
      <w:pPr>
        <w:spacing w:line="276" w:lineRule="auto"/>
        <w:jc w:val="center"/>
        <w:rPr>
          <w:rFonts w:ascii="Verdana" w:hAnsi="Verdana" w:cs="Arial"/>
          <w:color w:val="000000"/>
          <w:lang w:val="es-ES_tradnl" w:eastAsia="es-CO"/>
        </w:rPr>
      </w:pPr>
      <w:r>
        <w:rPr>
          <w:noProof/>
        </w:rPr>
        <w:drawing>
          <wp:inline distT="0" distB="0" distL="0" distR="0" wp14:anchorId="3BC29A6E" wp14:editId="33AB48C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2570A" w:rsidRPr="00593A5F" w14:paraId="3D394596" w14:textId="77777777" w:rsidTr="002525EC">
        <w:trPr>
          <w:trHeight w:val="315"/>
        </w:trPr>
        <w:tc>
          <w:tcPr>
            <w:tcW w:w="893" w:type="dxa"/>
            <w:vAlign w:val="center"/>
            <w:hideMark/>
          </w:tcPr>
          <w:p w14:paraId="0D411F06" w14:textId="77777777" w:rsidR="00D2570A" w:rsidRPr="003751C7" w:rsidRDefault="00D2570A" w:rsidP="002525E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4FF0AA" w14:textId="77777777" w:rsidR="00D2570A" w:rsidRPr="00254A7A" w:rsidRDefault="00D2570A" w:rsidP="002525EC">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3D0682D" w14:textId="77777777" w:rsidR="00D2570A" w:rsidRPr="00254A7A" w:rsidRDefault="00D2570A" w:rsidP="002525EC">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2570A" w:rsidRPr="00593A5F" w14:paraId="1ED47DE5" w14:textId="77777777" w:rsidTr="002525EC">
        <w:trPr>
          <w:trHeight w:val="330"/>
        </w:trPr>
        <w:tc>
          <w:tcPr>
            <w:tcW w:w="893" w:type="dxa"/>
            <w:vAlign w:val="center"/>
            <w:hideMark/>
          </w:tcPr>
          <w:p w14:paraId="592F7105" w14:textId="77777777" w:rsidR="00D2570A" w:rsidRPr="003751C7" w:rsidRDefault="00D2570A" w:rsidP="002525EC">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0FAB61" w14:textId="77777777" w:rsidR="00D2570A" w:rsidRPr="001B6B73" w:rsidRDefault="00D2570A" w:rsidP="002525EC">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02E648E" w14:textId="77777777" w:rsidR="00D2570A" w:rsidRPr="00254A7A" w:rsidRDefault="00D2570A" w:rsidP="002525EC">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2570A" w:rsidRPr="00593A5F" w14:paraId="50261862" w14:textId="77777777" w:rsidTr="002525EC">
        <w:trPr>
          <w:trHeight w:val="300"/>
        </w:trPr>
        <w:tc>
          <w:tcPr>
            <w:tcW w:w="893" w:type="dxa"/>
            <w:vAlign w:val="center"/>
          </w:tcPr>
          <w:p w14:paraId="58EE79A8" w14:textId="77777777" w:rsidR="00D2570A" w:rsidRPr="003751C7" w:rsidRDefault="00D2570A" w:rsidP="002525E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FBDF61A" w14:textId="77777777" w:rsidR="00D2570A" w:rsidRPr="003751C7" w:rsidRDefault="00D2570A" w:rsidP="002525EC">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59715A4" w14:textId="77777777" w:rsidR="00D2570A" w:rsidRPr="003751C7" w:rsidRDefault="00D2570A" w:rsidP="002525EC">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0823F57" w14:textId="77777777" w:rsidR="00D2570A" w:rsidRPr="00543BFE" w:rsidRDefault="00D2570A" w:rsidP="00D2570A"/>
    <w:p w14:paraId="7FC4E157" w14:textId="77777777" w:rsidR="00D2570A" w:rsidRPr="00B36323" w:rsidRDefault="00D2570A" w:rsidP="00D2570A">
      <w:r>
        <w:rPr>
          <w:noProof/>
        </w:rPr>
        <w:drawing>
          <wp:inline distT="0" distB="0" distL="0" distR="0" wp14:anchorId="180B847E" wp14:editId="0CE69F22">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47E66854" w:rsidR="00127233" w:rsidRPr="00D31CE4" w:rsidRDefault="00127233" w:rsidP="00D31CE4"/>
    <w:sectPr w:rsidR="00127233" w:rsidRPr="00D31CE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EF6C9" w14:textId="77777777" w:rsidR="00B43ABC" w:rsidRDefault="00B43ABC" w:rsidP="004A1847">
      <w:pPr>
        <w:spacing w:after="0" w:line="240" w:lineRule="auto"/>
      </w:pPr>
      <w:r>
        <w:separator/>
      </w:r>
    </w:p>
  </w:endnote>
  <w:endnote w:type="continuationSeparator" w:id="0">
    <w:p w14:paraId="3DB22BCE" w14:textId="77777777" w:rsidR="00B43ABC" w:rsidRDefault="00B43A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18569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18569B">
      <w:rPr>
        <w:rFonts w:ascii="Verdana" w:eastAsia="Verdana" w:hAnsi="Verdana" w:cs="Verdana"/>
        <w:b/>
        <w:color w:val="000000" w:themeColor="text1"/>
        <w:sz w:val="18"/>
        <w:szCs w:val="18"/>
        <w:lang w:val="pt-BR" w:eastAsia="es-CO"/>
      </w:rPr>
      <w:t xml:space="preserve">Código: </w:t>
    </w:r>
    <w:r w:rsidRPr="0018569B">
      <w:rPr>
        <w:rFonts w:ascii="Verdana" w:eastAsia="Verdana" w:hAnsi="Verdana" w:cs="Verdana"/>
        <w:color w:val="000000" w:themeColor="text1"/>
        <w:sz w:val="18"/>
        <w:szCs w:val="18"/>
        <w:lang w:val="pt-BR" w:eastAsia="es-CO"/>
      </w:rPr>
      <w:t xml:space="preserve">CCE-REC-FM-17 </w:t>
    </w:r>
    <w:r w:rsidRPr="0018569B">
      <w:rPr>
        <w:rFonts w:ascii="Verdana" w:eastAsia="Verdana" w:hAnsi="Verdana" w:cs="Verdana"/>
        <w:b/>
        <w:color w:val="000000" w:themeColor="text1"/>
        <w:sz w:val="18"/>
        <w:szCs w:val="18"/>
        <w:lang w:val="pt-BR" w:eastAsia="es-CO"/>
      </w:rPr>
      <w:t xml:space="preserve">V: </w:t>
    </w:r>
    <w:r w:rsidRPr="0018569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D863F" w14:textId="77777777" w:rsidR="00B43ABC" w:rsidRDefault="00B43ABC" w:rsidP="004A1847">
      <w:pPr>
        <w:spacing w:after="0" w:line="240" w:lineRule="auto"/>
      </w:pPr>
      <w:r>
        <w:separator/>
      </w:r>
    </w:p>
  </w:footnote>
  <w:footnote w:type="continuationSeparator" w:id="0">
    <w:p w14:paraId="562CC865" w14:textId="77777777" w:rsidR="00B43ABC" w:rsidRDefault="00B43ABC" w:rsidP="004A1847">
      <w:pPr>
        <w:spacing w:after="0" w:line="240" w:lineRule="auto"/>
      </w:pPr>
      <w:r>
        <w:continuationSeparator/>
      </w:r>
    </w:p>
  </w:footnote>
  <w:footnote w:id="1">
    <w:p w14:paraId="0673882A"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3B5833" w14:textId="77777777" w:rsidR="00D2570A" w:rsidRPr="004B35AC" w:rsidRDefault="00D2570A" w:rsidP="00D2570A">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4B36510"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3">
    <w:p w14:paraId="4138C3B2" w14:textId="77777777" w:rsidR="00D2570A" w:rsidRPr="004B35AC" w:rsidRDefault="00D2570A" w:rsidP="00D2570A">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4">
    <w:p w14:paraId="39B855F0" w14:textId="77777777" w:rsidR="00D2570A" w:rsidRPr="004B35AC" w:rsidRDefault="00D2570A" w:rsidP="00D2570A">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FC59C98" w14:textId="77777777" w:rsidR="00D2570A" w:rsidRPr="004B35AC" w:rsidRDefault="00D2570A" w:rsidP="00D2570A">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B156D35"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7">
    <w:p w14:paraId="500B32A4" w14:textId="77777777" w:rsidR="00D2570A" w:rsidRPr="004B35AC" w:rsidRDefault="00D2570A" w:rsidP="00D2570A">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6"/>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8A293BF" w14:textId="77777777" w:rsidR="00D2570A" w:rsidRPr="004B35AC" w:rsidRDefault="00D2570A" w:rsidP="00D2570A">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8">
    <w:p w14:paraId="700ADBE1" w14:textId="77777777" w:rsidR="00D2570A" w:rsidRPr="004B35AC" w:rsidRDefault="00D2570A" w:rsidP="00D2570A">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7"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7"/>
      <w:r w:rsidRPr="004B35AC">
        <w:rPr>
          <w:rFonts w:ascii="Verdana" w:hAnsi="Verdana" w:cs="Arial"/>
          <w:sz w:val="16"/>
          <w:szCs w:val="16"/>
          <w:lang w:val="es-MX"/>
        </w:rPr>
        <w:t xml:space="preserve"> […]</w:t>
      </w:r>
    </w:p>
    <w:p w14:paraId="6BA22A3E" w14:textId="77777777" w:rsidR="00D2570A" w:rsidRPr="004B35AC" w:rsidRDefault="00D2570A" w:rsidP="00D2570A">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9">
    <w:p w14:paraId="473B6EC1" w14:textId="77777777" w:rsidR="00D2570A" w:rsidRPr="004B35AC" w:rsidRDefault="00D2570A" w:rsidP="00D2570A">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0">
    <w:p w14:paraId="4E14C10C" w14:textId="77777777" w:rsidR="00D2570A" w:rsidRPr="004B35AC" w:rsidRDefault="00D2570A" w:rsidP="00D2570A">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D3EC886" w14:textId="77777777" w:rsidR="00D2570A" w:rsidRPr="004B35AC" w:rsidRDefault="00D2570A" w:rsidP="00D2570A">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2">
    <w:p w14:paraId="3C9F6405" w14:textId="77777777" w:rsidR="00D2570A" w:rsidRPr="004B35AC" w:rsidRDefault="00D2570A" w:rsidP="00D2570A">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3">
    <w:p w14:paraId="49CCD527"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521A21FE" w14:textId="77777777" w:rsidR="00D2570A" w:rsidRPr="004B35AC" w:rsidRDefault="00D2570A" w:rsidP="00D2570A">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5">
    <w:p w14:paraId="4F96EB88" w14:textId="77777777" w:rsidR="00D2570A" w:rsidRPr="004B35AC" w:rsidRDefault="00D2570A" w:rsidP="00D2570A">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6">
    <w:p w14:paraId="6BD6AD93" w14:textId="77777777" w:rsidR="00D2570A" w:rsidRPr="004B35AC" w:rsidRDefault="00D2570A" w:rsidP="00D2570A">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25CDD332" w14:textId="77777777" w:rsidR="00D2570A" w:rsidRPr="004B35AC" w:rsidRDefault="00D2570A" w:rsidP="00D2570A">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642BE321"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19">
    <w:p w14:paraId="02B54B26" w14:textId="77777777" w:rsidR="00D2570A" w:rsidRPr="004B35AC" w:rsidRDefault="00D2570A" w:rsidP="00D2570A">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0010A256" w14:textId="77777777" w:rsidR="00D2570A" w:rsidRPr="004B35AC" w:rsidRDefault="00D2570A" w:rsidP="00D2570A">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19307332" w14:textId="77777777" w:rsidR="00D2570A" w:rsidRPr="004B35AC" w:rsidRDefault="00D2570A" w:rsidP="00D2570A">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72C0073E" w14:textId="77777777" w:rsidR="00D2570A" w:rsidRPr="004B35AC" w:rsidRDefault="00D2570A" w:rsidP="00D2570A">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3">
    <w:p w14:paraId="4BE2CCB2" w14:textId="77777777" w:rsidR="00D2570A" w:rsidRPr="004B35AC" w:rsidRDefault="00D2570A" w:rsidP="00D2570A">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56D3B1CA" w14:textId="77777777" w:rsidR="00D2570A" w:rsidRPr="004B35AC" w:rsidRDefault="00D2570A" w:rsidP="00D2570A">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5">
    <w:p w14:paraId="12586628" w14:textId="77777777" w:rsidR="00D2570A" w:rsidRPr="00D50744" w:rsidRDefault="00D2570A" w:rsidP="00D2570A">
      <w:pPr>
        <w:pStyle w:val="Textonotapie"/>
        <w:ind w:firstLine="708"/>
        <w:jc w:val="both"/>
        <w:rPr>
          <w:rFonts w:ascii="Verdana" w:hAnsi="Verdana"/>
          <w:sz w:val="16"/>
          <w:szCs w:val="16"/>
        </w:rPr>
      </w:pPr>
      <w:r w:rsidRPr="00D50744">
        <w:rPr>
          <w:rStyle w:val="Refdenotaalpie"/>
          <w:rFonts w:ascii="Verdana" w:hAnsi="Verdana"/>
          <w:sz w:val="16"/>
          <w:szCs w:val="16"/>
        </w:rPr>
        <w:footnoteRef/>
      </w:r>
      <w:r w:rsidRPr="00D50744">
        <w:rPr>
          <w:rFonts w:ascii="Verdana" w:hAnsi="Verdana"/>
          <w:sz w:val="16"/>
          <w:szCs w:val="16"/>
        </w:rPr>
        <w:t xml:space="preserve"> </w:t>
      </w:r>
      <w:r>
        <w:rPr>
          <w:rFonts w:ascii="Verdana" w:hAnsi="Verdana"/>
          <w:sz w:val="16"/>
          <w:szCs w:val="16"/>
        </w:rPr>
        <w:t xml:space="preserve">BERNAL PÉREZ, Diana Carolina. </w:t>
      </w:r>
      <w:r w:rsidRPr="00D50744">
        <w:rPr>
          <w:rFonts w:ascii="Verdana" w:hAnsi="Verdana"/>
          <w:sz w:val="16"/>
          <w:szCs w:val="16"/>
        </w:rPr>
        <w:t>El Derecho internacional</w:t>
      </w:r>
      <w:r>
        <w:rPr>
          <w:rFonts w:ascii="Verdana" w:hAnsi="Verdana"/>
          <w:sz w:val="16"/>
          <w:szCs w:val="16"/>
        </w:rPr>
        <w:t xml:space="preserve"> </w:t>
      </w:r>
      <w:r w:rsidRPr="00D50744">
        <w:rPr>
          <w:rFonts w:ascii="Verdana" w:hAnsi="Verdana"/>
          <w:sz w:val="16"/>
          <w:szCs w:val="16"/>
        </w:rPr>
        <w:t>de inversión extranjera</w:t>
      </w:r>
      <w:r>
        <w:rPr>
          <w:rFonts w:ascii="Verdana" w:hAnsi="Verdana"/>
          <w:sz w:val="16"/>
          <w:szCs w:val="16"/>
        </w:rPr>
        <w:t xml:space="preserve"> </w:t>
      </w:r>
      <w:r w:rsidRPr="00D50744">
        <w:rPr>
          <w:rFonts w:ascii="Verdana" w:hAnsi="Verdana"/>
          <w:sz w:val="16"/>
          <w:szCs w:val="16"/>
        </w:rPr>
        <w:t>y la industria extractiva</w:t>
      </w:r>
      <w:r>
        <w:rPr>
          <w:rFonts w:ascii="Verdana" w:hAnsi="Verdana"/>
          <w:sz w:val="16"/>
          <w:szCs w:val="16"/>
        </w:rPr>
        <w:t xml:space="preserve">. Bogotá: Universidad Externado de Colombia, 2018. p. 195. De esta manera, es importante </w:t>
      </w:r>
      <w:r w:rsidRPr="00F54C9B">
        <w:rPr>
          <w:rFonts w:ascii="Verdana" w:hAnsi="Verdana"/>
          <w:sz w:val="16"/>
          <w:szCs w:val="16"/>
        </w:rPr>
        <w:t>es importante distinguir tres</w:t>
      </w:r>
      <w:r>
        <w:rPr>
          <w:rFonts w:ascii="Verdana" w:hAnsi="Verdana"/>
          <w:sz w:val="16"/>
          <w:szCs w:val="16"/>
        </w:rPr>
        <w:t xml:space="preserve"> (3)</w:t>
      </w:r>
      <w:r w:rsidRPr="00F54C9B">
        <w:rPr>
          <w:rFonts w:ascii="Verdana" w:hAnsi="Verdana"/>
          <w:sz w:val="16"/>
          <w:szCs w:val="16"/>
        </w:rPr>
        <w:t xml:space="preserve"> tipos de normas que deben tener en cuenta los árbitros</w:t>
      </w:r>
      <w:r>
        <w:rPr>
          <w:rFonts w:ascii="Verdana" w:hAnsi="Verdana"/>
          <w:sz w:val="16"/>
          <w:szCs w:val="16"/>
        </w:rPr>
        <w:t>: “</w:t>
      </w:r>
      <w:r w:rsidRPr="003B2AD7">
        <w:rPr>
          <w:rFonts w:ascii="Verdana" w:hAnsi="Verdana"/>
          <w:sz w:val="16"/>
          <w:szCs w:val="16"/>
        </w:rPr>
        <w:t>1. El derecho aplicable al fondo de la controversia (</w:t>
      </w:r>
      <w:r w:rsidRPr="003B2AD7">
        <w:rPr>
          <w:rFonts w:ascii="Verdana" w:hAnsi="Verdana"/>
          <w:i/>
          <w:iCs/>
          <w:sz w:val="16"/>
          <w:szCs w:val="16"/>
        </w:rPr>
        <w:t>lex causae</w:t>
      </w:r>
      <w:r w:rsidRPr="003B2AD7">
        <w:rPr>
          <w:rFonts w:ascii="Verdana" w:hAnsi="Verdana"/>
          <w:sz w:val="16"/>
          <w:szCs w:val="16"/>
        </w:rPr>
        <w:t>), esto es, las normas jurídicas aplicables para determinar el contenido de los derechos y obligaciones en disputa; se trata de los derechos que el inversionista pretende hacer efectivos, que nacen de una convención internacional (AII) y que son interpretados, en principio, por el derecho internacional público. 2. El derecho aplicable a los temas jurisdiccionales, esto es, las normas jurídicas aplicables para determinar la competencia y el alcance del convenio arbitral; se trata del derecho aplicable al convenio arbitral (compromiso o cláusula compromisoria), que, aunque no nace del tratado mismo, está sujeto en principio al derecho internacional público. 3. El derecho aplicable al procedimiento arbitral (</w:t>
      </w:r>
      <w:r w:rsidRPr="003B2AD7">
        <w:rPr>
          <w:rFonts w:ascii="Verdana" w:hAnsi="Verdana"/>
          <w:i/>
          <w:iCs/>
          <w:sz w:val="16"/>
          <w:szCs w:val="16"/>
        </w:rPr>
        <w:t>lex arbitri</w:t>
      </w:r>
      <w:r w:rsidRPr="003B2AD7">
        <w:rPr>
          <w:rFonts w:ascii="Verdana" w:hAnsi="Verdana"/>
          <w:sz w:val="16"/>
          <w:szCs w:val="16"/>
        </w:rPr>
        <w:t>), esto es, las normas jurídicas aplicables al proceso arbitral y a la validez, reconocimiento y ejecución del laudo arbitral”</w:t>
      </w:r>
      <w:r>
        <w:rPr>
          <w:rFonts w:ascii="Verdana" w:hAnsi="Verdana"/>
          <w:sz w:val="16"/>
          <w:szCs w:val="16"/>
        </w:rPr>
        <w:t xml:space="preserve"> (Cfr. </w:t>
      </w:r>
      <w:r w:rsidRPr="003B2AD7">
        <w:rPr>
          <w:rFonts w:ascii="Verdana" w:hAnsi="Verdana"/>
          <w:sz w:val="16"/>
          <w:szCs w:val="16"/>
        </w:rPr>
        <w:t>LINARES CANTILLO</w:t>
      </w:r>
      <w:r>
        <w:rPr>
          <w:rFonts w:ascii="Verdana" w:hAnsi="Verdana"/>
          <w:sz w:val="16"/>
          <w:szCs w:val="16"/>
        </w:rPr>
        <w:t xml:space="preserve">, Alejandro. </w:t>
      </w:r>
      <w:r w:rsidRPr="003B2AD7">
        <w:rPr>
          <w:rFonts w:ascii="Verdana" w:hAnsi="Verdana"/>
          <w:sz w:val="16"/>
          <w:szCs w:val="16"/>
        </w:rPr>
        <w:t>El derecho aplicable en el arbitraje de inversión</w:t>
      </w:r>
      <w:r>
        <w:rPr>
          <w:rFonts w:ascii="Verdana" w:hAnsi="Verdana"/>
          <w:sz w:val="16"/>
          <w:szCs w:val="16"/>
        </w:rPr>
        <w:t>. Bogotá: Universidad Externado de Colombia, 2019. Libro en formato EPUB).</w:t>
      </w:r>
    </w:p>
  </w:footnote>
  <w:footnote w:id="26">
    <w:p w14:paraId="6453C2DA" w14:textId="77777777" w:rsidR="00D2570A" w:rsidRPr="004B074C" w:rsidRDefault="00D2570A" w:rsidP="00D2570A">
      <w:pPr>
        <w:pStyle w:val="Textonotapie"/>
        <w:ind w:firstLine="708"/>
        <w:jc w:val="both"/>
        <w:rPr>
          <w:rFonts w:ascii="Verdana" w:hAnsi="Verdana"/>
          <w:sz w:val="16"/>
          <w:szCs w:val="16"/>
        </w:rPr>
      </w:pPr>
      <w:r w:rsidRPr="00723186">
        <w:rPr>
          <w:rStyle w:val="Refdenotaalpie"/>
          <w:rFonts w:ascii="Verdana" w:hAnsi="Verdana"/>
          <w:sz w:val="16"/>
          <w:szCs w:val="16"/>
        </w:rPr>
        <w:footnoteRef/>
      </w:r>
      <w:r w:rsidRPr="00723186">
        <w:rPr>
          <w:rFonts w:ascii="Verdana" w:hAnsi="Verdana"/>
          <w:sz w:val="16"/>
          <w:szCs w:val="16"/>
        </w:rPr>
        <w:t xml:space="preserve"> </w:t>
      </w:r>
      <w:r>
        <w:rPr>
          <w:rFonts w:ascii="Verdana" w:hAnsi="Verdana"/>
          <w:sz w:val="16"/>
          <w:szCs w:val="16"/>
        </w:rPr>
        <w:t>QUINTERO, Beatriz &amp; PRIETO, Eugenio. Teoría general del derecho procesal. Cuarta edición. Bogotá: Temis, 2008. p. 16. Por ello, “</w:t>
      </w:r>
      <w:r w:rsidRPr="004B074C">
        <w:rPr>
          <w:rFonts w:ascii="Verdana" w:hAnsi="Verdana"/>
          <w:sz w:val="16"/>
          <w:szCs w:val="16"/>
        </w:rPr>
        <w:t>Con respaldo en el principio de autonomía de la voluntad, instituido como valor supremo del ordenamiento jurídico, los ciudadanos van a contar con diferentes opciones para solventar sus controversias, por lo que podrán legalmente preferir la vía arbitral cuando ésta depare garantías similares o superiores al proceso jurisdiccional. Cuando se opta por la vía arbitral no se está renunciando al derecho a la tutela judicial efectiva, sino que se está sustituyendo, voluntariamente, el sujeto con el deber de prestarla. No resulta verosímil que, ‘por el hecho de someter voluntariamente determinada cuestión litigiosa al arbitraje de un tercero, quede menoscabado y padezca el derecho a la tutela judicial efectiva que la Constitución reconoce a todos’. El arbitraje debe considerarse, pues, como una manifestación del, igualmente constitucional, derecho de escoger la vía más conveniente para las partes por medio de la cual quieren resolver sus controversias”</w:t>
      </w:r>
      <w:r>
        <w:rPr>
          <w:rFonts w:ascii="Verdana" w:hAnsi="Verdana"/>
          <w:sz w:val="16"/>
          <w:szCs w:val="16"/>
        </w:rPr>
        <w:t xml:space="preserve"> (Cfr. FERNÁNDEZ PÉREZ, Ana. </w:t>
      </w:r>
      <w:r w:rsidRPr="004B074C">
        <w:rPr>
          <w:rFonts w:ascii="Verdana" w:hAnsi="Verdana"/>
          <w:sz w:val="16"/>
          <w:szCs w:val="16"/>
        </w:rPr>
        <w:t>El arbitraje entre</w:t>
      </w:r>
      <w:r>
        <w:rPr>
          <w:rFonts w:ascii="Verdana" w:hAnsi="Verdana"/>
          <w:sz w:val="16"/>
          <w:szCs w:val="16"/>
        </w:rPr>
        <w:t xml:space="preserve"> </w:t>
      </w:r>
      <w:r w:rsidRPr="004B074C">
        <w:rPr>
          <w:rFonts w:ascii="Verdana" w:hAnsi="Verdana"/>
          <w:sz w:val="16"/>
          <w:szCs w:val="16"/>
        </w:rPr>
        <w:t>la autonomía de la</w:t>
      </w:r>
      <w:r>
        <w:rPr>
          <w:rFonts w:ascii="Verdana" w:hAnsi="Verdana"/>
          <w:sz w:val="16"/>
          <w:szCs w:val="16"/>
        </w:rPr>
        <w:t xml:space="preserve"> </w:t>
      </w:r>
      <w:r w:rsidRPr="004B074C">
        <w:rPr>
          <w:rFonts w:ascii="Verdana" w:hAnsi="Verdana"/>
          <w:sz w:val="16"/>
          <w:szCs w:val="16"/>
        </w:rPr>
        <w:t>voluntad de las partes</w:t>
      </w:r>
      <w:r>
        <w:rPr>
          <w:rFonts w:ascii="Verdana" w:hAnsi="Verdana"/>
          <w:sz w:val="16"/>
          <w:szCs w:val="16"/>
        </w:rPr>
        <w:t xml:space="preserve"> </w:t>
      </w:r>
      <w:r w:rsidRPr="004B074C">
        <w:rPr>
          <w:rFonts w:ascii="Verdana" w:hAnsi="Verdana"/>
          <w:sz w:val="16"/>
          <w:szCs w:val="16"/>
        </w:rPr>
        <w:t>y el control judicial</w:t>
      </w:r>
      <w:r>
        <w:rPr>
          <w:rFonts w:ascii="Verdana" w:hAnsi="Verdana"/>
          <w:sz w:val="16"/>
          <w:szCs w:val="16"/>
        </w:rPr>
        <w:t>. Barcelona: Bosch, 2017. pp. 34-35).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CD7"/>
    <w:rsid w:val="000A683E"/>
    <w:rsid w:val="000B19B9"/>
    <w:rsid w:val="000D0334"/>
    <w:rsid w:val="000D5DA7"/>
    <w:rsid w:val="000F6486"/>
    <w:rsid w:val="00116940"/>
    <w:rsid w:val="00125105"/>
    <w:rsid w:val="00127233"/>
    <w:rsid w:val="0015699B"/>
    <w:rsid w:val="0018569B"/>
    <w:rsid w:val="001A33BF"/>
    <w:rsid w:val="001E4177"/>
    <w:rsid w:val="001F0B24"/>
    <w:rsid w:val="001F5255"/>
    <w:rsid w:val="001F7DC6"/>
    <w:rsid w:val="0022400B"/>
    <w:rsid w:val="002421BB"/>
    <w:rsid w:val="0025796E"/>
    <w:rsid w:val="002707A2"/>
    <w:rsid w:val="0028363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6785"/>
    <w:rsid w:val="0042722E"/>
    <w:rsid w:val="0044528D"/>
    <w:rsid w:val="00466E39"/>
    <w:rsid w:val="004A1847"/>
    <w:rsid w:val="004A305D"/>
    <w:rsid w:val="004F21C4"/>
    <w:rsid w:val="004F685F"/>
    <w:rsid w:val="005566E8"/>
    <w:rsid w:val="00574867"/>
    <w:rsid w:val="005901C8"/>
    <w:rsid w:val="00591460"/>
    <w:rsid w:val="005A65E0"/>
    <w:rsid w:val="005C3777"/>
    <w:rsid w:val="005C5CDC"/>
    <w:rsid w:val="005C6BE8"/>
    <w:rsid w:val="005D476C"/>
    <w:rsid w:val="005F7C22"/>
    <w:rsid w:val="006200BF"/>
    <w:rsid w:val="006219F8"/>
    <w:rsid w:val="006302F7"/>
    <w:rsid w:val="00646B9F"/>
    <w:rsid w:val="00665D70"/>
    <w:rsid w:val="006900D9"/>
    <w:rsid w:val="00706C16"/>
    <w:rsid w:val="007218F4"/>
    <w:rsid w:val="007340C3"/>
    <w:rsid w:val="00736DD5"/>
    <w:rsid w:val="0075235A"/>
    <w:rsid w:val="00756841"/>
    <w:rsid w:val="007649AB"/>
    <w:rsid w:val="00771D0C"/>
    <w:rsid w:val="00773834"/>
    <w:rsid w:val="007833AC"/>
    <w:rsid w:val="007B268C"/>
    <w:rsid w:val="007B7171"/>
    <w:rsid w:val="007C0C0F"/>
    <w:rsid w:val="007C3DC2"/>
    <w:rsid w:val="007E5497"/>
    <w:rsid w:val="00806F5F"/>
    <w:rsid w:val="00820278"/>
    <w:rsid w:val="008258C9"/>
    <w:rsid w:val="00827983"/>
    <w:rsid w:val="00844AE9"/>
    <w:rsid w:val="00867F95"/>
    <w:rsid w:val="008843B6"/>
    <w:rsid w:val="00891928"/>
    <w:rsid w:val="008A446D"/>
    <w:rsid w:val="008B25F1"/>
    <w:rsid w:val="008C42F7"/>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6BA0"/>
    <w:rsid w:val="009F3A13"/>
    <w:rsid w:val="00A11467"/>
    <w:rsid w:val="00A122D3"/>
    <w:rsid w:val="00A14468"/>
    <w:rsid w:val="00A17F13"/>
    <w:rsid w:val="00A20739"/>
    <w:rsid w:val="00A23AF9"/>
    <w:rsid w:val="00A25CB2"/>
    <w:rsid w:val="00A33C78"/>
    <w:rsid w:val="00AB0ADB"/>
    <w:rsid w:val="00AF7C09"/>
    <w:rsid w:val="00B00C0E"/>
    <w:rsid w:val="00B01B1A"/>
    <w:rsid w:val="00B0381D"/>
    <w:rsid w:val="00B43ABC"/>
    <w:rsid w:val="00B44A47"/>
    <w:rsid w:val="00B72CD3"/>
    <w:rsid w:val="00B72FFF"/>
    <w:rsid w:val="00BA7DA3"/>
    <w:rsid w:val="00BC3D36"/>
    <w:rsid w:val="00BC65A2"/>
    <w:rsid w:val="00BD54A6"/>
    <w:rsid w:val="00BD7F72"/>
    <w:rsid w:val="00BF5705"/>
    <w:rsid w:val="00BF7425"/>
    <w:rsid w:val="00C04FB3"/>
    <w:rsid w:val="00C11D8B"/>
    <w:rsid w:val="00C15139"/>
    <w:rsid w:val="00C330EB"/>
    <w:rsid w:val="00C50D69"/>
    <w:rsid w:val="00C5365C"/>
    <w:rsid w:val="00C754BE"/>
    <w:rsid w:val="00C76B1C"/>
    <w:rsid w:val="00C925AC"/>
    <w:rsid w:val="00CB6357"/>
    <w:rsid w:val="00CC1B26"/>
    <w:rsid w:val="00D2570A"/>
    <w:rsid w:val="00D3173C"/>
    <w:rsid w:val="00D31CE4"/>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6987"/>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4FCFDF2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2570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2570A"/>
    <w:rPr>
      <w:rFonts w:ascii="Geomanist Light" w:hAnsi="Geomanist Light"/>
      <w:lang w:val="es-ES"/>
    </w:rPr>
  </w:style>
  <w:style w:type="character" w:customStyle="1" w:styleId="s15">
    <w:name w:val="s15"/>
    <w:basedOn w:val="Fuentedeprrafopredeter"/>
    <w:rsid w:val="00D2570A"/>
  </w:style>
  <w:style w:type="character" w:customStyle="1" w:styleId="NormalWebCar">
    <w:name w:val="Normal (Web) Car"/>
    <w:link w:val="NormalWeb"/>
    <w:uiPriority w:val="99"/>
    <w:locked/>
    <w:rsid w:val="00D2570A"/>
    <w:rPr>
      <w:rFonts w:ascii="Times New Roman" w:eastAsia="Times New Roman" w:hAnsi="Times New Roman" w:cs="Times New Roman"/>
      <w:sz w:val="24"/>
      <w:szCs w:val="24"/>
      <w:lang w:eastAsia="es-CO"/>
    </w:rPr>
  </w:style>
  <w:style w:type="character" w:customStyle="1" w:styleId="baj">
    <w:name w:val="b_aj"/>
    <w:basedOn w:val="Fuentedeprrafopredeter"/>
    <w:rsid w:val="00D25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D929B95-3815-4B11-98C7-766011B33D0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28</Pages>
  <Words>9745</Words>
  <Characters>53603</Characters>
  <Application>Microsoft Office Word</Application>
  <DocSecurity>0</DocSecurity>
  <Lines>446</Lines>
  <Paragraphs>126</Paragraphs>
  <ScaleCrop>false</ScaleCrop>
  <Company/>
  <LinksUpToDate>false</LinksUpToDate>
  <CharactersWithSpaces>63222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2026-02-24T02:51:00Z</dcterms:created>
  <dcterms:modified xsi:type="dcterms:W3CDTF">2026-02-28T20:23:00Z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