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0E748" w14:textId="77777777" w:rsidR="00980915" w:rsidRPr="00A85210" w:rsidRDefault="00980915" w:rsidP="00A85210">
      <w:pPr>
        <w:snapToGrid w:val="0"/>
        <w:spacing w:after="0" w:line="240" w:lineRule="auto"/>
        <w:contextualSpacing/>
        <w:jc w:val="both"/>
        <w:rPr>
          <w:rFonts w:ascii="Verdana" w:hAnsi="Verdana"/>
          <w:b/>
        </w:rPr>
      </w:pPr>
      <w:r w:rsidRPr="00A85210">
        <w:rPr>
          <w:rFonts w:ascii="Verdana" w:hAnsi="Verdana" w:cs="Arial"/>
          <w:b/>
          <w:lang w:eastAsia="es-ES" w:bidi="es-ES"/>
        </w:rPr>
        <w:t>MODIFICACION DE LOS CONTRATOS ESTATALES – Carácter Excepcional</w:t>
      </w:r>
    </w:p>
    <w:p w14:paraId="65359523" w14:textId="77777777" w:rsidR="00980915" w:rsidRPr="00A85210" w:rsidRDefault="00980915" w:rsidP="00A85210">
      <w:pPr>
        <w:snapToGrid w:val="0"/>
        <w:spacing w:after="0" w:line="240" w:lineRule="auto"/>
        <w:contextualSpacing/>
        <w:jc w:val="both"/>
        <w:rPr>
          <w:rFonts w:ascii="Verdana" w:hAnsi="Verdana"/>
          <w:sz w:val="20"/>
          <w:szCs w:val="20"/>
        </w:rPr>
      </w:pPr>
    </w:p>
    <w:p w14:paraId="53A753B4" w14:textId="77777777" w:rsidR="00980915" w:rsidRPr="00A85210" w:rsidRDefault="00980915"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val="es-ES" w:eastAsia="es-ES" w:bidi="es-ES"/>
        </w:rPr>
      </w:pPr>
      <w:r w:rsidRPr="00A85210">
        <w:rPr>
          <w:rFonts w:ascii="Verdana" w:eastAsia="Arial" w:hAnsi="Verdana" w:cs="Arial"/>
          <w:color w:val="000000"/>
          <w:sz w:val="20"/>
          <w:szCs w:val="20"/>
          <w:lang w:val="es-ES" w:eastAsia="es-ES" w:bidi="es-ES"/>
        </w:rPr>
        <w:t xml:space="preserve">Es claro, entonces, que según el marco jurídico y los parámetros fijados por el Consejo de Estado y la Corte Constitucional, los cuales comparte esta Agencia, es viable jurídicamente modificar los contratos estatales, pero esta medida tienen </w:t>
      </w:r>
      <w:r w:rsidRPr="00A85210">
        <w:rPr>
          <w:rFonts w:ascii="Verdana" w:eastAsia="Arial" w:hAnsi="Verdana" w:cs="Arial"/>
          <w:i/>
          <w:iCs/>
          <w:color w:val="000000"/>
          <w:sz w:val="20"/>
          <w:szCs w:val="20"/>
          <w:lang w:val="es-ES" w:eastAsia="es-ES" w:bidi="es-ES"/>
        </w:rPr>
        <w:t>carácter excepcional</w:t>
      </w:r>
      <w:r w:rsidRPr="00A85210">
        <w:rPr>
          <w:rFonts w:ascii="Verdana" w:eastAsia="Arial" w:hAnsi="Verdana" w:cs="Arial"/>
          <w:color w:val="000000"/>
          <w:sz w:val="20"/>
          <w:szCs w:val="20"/>
          <w:lang w:val="es-ES" w:eastAsia="es-ES" w:bidi="es-ES"/>
        </w:rPr>
        <w:t xml:space="preserve"> y solo procede cuando: se pretenda garantizar el interés público, la entidad haya verificado y cualquiera pueda constatar que la causa de la modificación es real y cierta, y la modificación 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27739C51" w14:textId="77777777" w:rsidR="00980915" w:rsidRPr="00A85210" w:rsidRDefault="00980915" w:rsidP="00A85210">
      <w:pPr>
        <w:snapToGrid w:val="0"/>
        <w:spacing w:after="0" w:line="240" w:lineRule="auto"/>
        <w:contextualSpacing/>
        <w:jc w:val="both"/>
        <w:rPr>
          <w:rFonts w:ascii="Verdana" w:hAnsi="Verdana" w:cs="Arial"/>
          <w:b/>
          <w:sz w:val="20"/>
          <w:szCs w:val="20"/>
          <w:lang w:eastAsia="es-ES" w:bidi="es-ES"/>
        </w:rPr>
      </w:pPr>
    </w:p>
    <w:p w14:paraId="7C0FBCDF" w14:textId="02CDAD07" w:rsidR="00980915" w:rsidRPr="00A85210" w:rsidRDefault="00980915" w:rsidP="00A85210">
      <w:pPr>
        <w:snapToGrid w:val="0"/>
        <w:spacing w:after="0" w:line="240" w:lineRule="auto"/>
        <w:contextualSpacing/>
        <w:jc w:val="both"/>
        <w:rPr>
          <w:rFonts w:ascii="Verdana" w:hAnsi="Verdana" w:cs="Arial"/>
          <w:b/>
          <w:lang w:eastAsia="es-ES" w:bidi="es-ES"/>
        </w:rPr>
      </w:pPr>
      <w:r w:rsidRPr="00A85210">
        <w:rPr>
          <w:rFonts w:ascii="Verdana" w:hAnsi="Verdana" w:cs="Arial"/>
          <w:b/>
          <w:lang w:eastAsia="es-ES" w:bidi="es-ES"/>
        </w:rPr>
        <w:t>ADICIÓN – Concepto – Distintos supuestos – Prohibición – Adición en más del 50%</w:t>
      </w:r>
    </w:p>
    <w:p w14:paraId="70B8E7D9" w14:textId="77777777" w:rsidR="00980915" w:rsidRPr="00A85210" w:rsidRDefault="00980915" w:rsidP="00A85210">
      <w:pPr>
        <w:snapToGrid w:val="0"/>
        <w:spacing w:after="0" w:line="240" w:lineRule="auto"/>
        <w:contextualSpacing/>
        <w:jc w:val="both"/>
        <w:rPr>
          <w:rFonts w:ascii="Verdana" w:eastAsia="Arial" w:hAnsi="Verdana" w:cs="Arial"/>
          <w:color w:val="000000"/>
          <w:sz w:val="20"/>
          <w:szCs w:val="20"/>
          <w:lang w:val="es-ES" w:eastAsia="es-ES" w:bidi="es-ES"/>
        </w:rPr>
      </w:pPr>
    </w:p>
    <w:p w14:paraId="458DEF3A" w14:textId="5261103D" w:rsidR="00980915" w:rsidRDefault="00980915" w:rsidP="00A85210">
      <w:pPr>
        <w:snapToGrid w:val="0"/>
        <w:spacing w:after="0" w:line="240" w:lineRule="auto"/>
        <w:contextualSpacing/>
        <w:jc w:val="both"/>
        <w:rPr>
          <w:rFonts w:ascii="Verdana" w:eastAsia="Calibri" w:hAnsi="Verdana" w:cs="Arial"/>
          <w:color w:val="000000"/>
          <w:sz w:val="20"/>
          <w:szCs w:val="20"/>
          <w:lang w:eastAsia="es-ES_tradnl"/>
        </w:rPr>
      </w:pPr>
      <w:r w:rsidRPr="00A85210">
        <w:rPr>
          <w:rFonts w:ascii="Verdana" w:eastAsia="Calibri" w:hAnsi="Verdana" w:cs="Arial"/>
          <w:color w:val="000000"/>
          <w:sz w:val="20"/>
          <w:szCs w:val="20"/>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A85210">
        <w:rPr>
          <w:rFonts w:ascii="Verdana" w:eastAsia="Calibri" w:hAnsi="Verdana" w:cs="Arial"/>
          <w:color w:val="000000"/>
          <w:sz w:val="20"/>
          <w:szCs w:val="20"/>
          <w:lang w:eastAsia="es-ES_tradnl"/>
        </w:rPr>
        <w:t>ii</w:t>
      </w:r>
      <w:proofErr w:type="spellEnd"/>
      <w:r w:rsidRPr="00A85210">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79BAEFA4" w14:textId="77777777" w:rsidR="00A85210" w:rsidRPr="00A85210" w:rsidRDefault="00A85210" w:rsidP="00A85210">
      <w:pPr>
        <w:snapToGrid w:val="0"/>
        <w:spacing w:after="0" w:line="240" w:lineRule="auto"/>
        <w:contextualSpacing/>
        <w:jc w:val="both"/>
        <w:rPr>
          <w:rFonts w:ascii="Verdana" w:eastAsia="Calibri" w:hAnsi="Verdana" w:cs="Arial"/>
          <w:color w:val="000000"/>
          <w:sz w:val="20"/>
          <w:szCs w:val="20"/>
          <w:lang w:eastAsia="es-ES_tradnl"/>
        </w:rPr>
      </w:pPr>
    </w:p>
    <w:p w14:paraId="711F5D62" w14:textId="0DDF43DF" w:rsidR="00980915" w:rsidRPr="00A85210" w:rsidRDefault="00980915" w:rsidP="00A85210">
      <w:pPr>
        <w:snapToGrid w:val="0"/>
        <w:spacing w:after="0" w:line="240" w:lineRule="auto"/>
        <w:contextualSpacing/>
        <w:jc w:val="both"/>
        <w:rPr>
          <w:rFonts w:ascii="Verdana" w:eastAsia="Calibri" w:hAnsi="Verdana" w:cs="Arial"/>
          <w:color w:val="000000"/>
          <w:sz w:val="20"/>
          <w:szCs w:val="20"/>
          <w:lang w:eastAsia="es-ES_tradnl"/>
        </w:rPr>
      </w:pPr>
      <w:r w:rsidRPr="00A85210">
        <w:rPr>
          <w:rFonts w:ascii="Verdana" w:eastAsia="Calibri" w:hAnsi="Verdana" w:cs="Arial"/>
          <w:color w:val="000000"/>
          <w:sz w:val="20"/>
          <w:szCs w:val="20"/>
          <w:lang w:eastAsia="es-ES_tradnl"/>
        </w:rPr>
        <w:t xml:space="preserve">Lo importante es que, frente a </w:t>
      </w:r>
      <w:r w:rsidRPr="00A85210">
        <w:rPr>
          <w:rFonts w:ascii="Verdana" w:eastAsia="Calibri" w:hAnsi="Verdana" w:cs="Arial"/>
          <w:i/>
          <w:iCs/>
          <w:color w:val="000000"/>
          <w:sz w:val="20"/>
          <w:szCs w:val="20"/>
          <w:u w:val="single"/>
          <w:lang w:eastAsia="es-ES_tradnl"/>
        </w:rPr>
        <w:t>cualquier incremento del valor inicial</w:t>
      </w:r>
      <w:r w:rsidRPr="00A85210">
        <w:rPr>
          <w:rFonts w:ascii="Verdana" w:eastAsia="Calibri" w:hAnsi="Verdana" w:cs="Arial"/>
          <w:color w:val="000000"/>
          <w:sz w:val="20"/>
          <w:szCs w:val="20"/>
          <w:lang w:eastAsia="es-ES_tradnl"/>
        </w:rPr>
        <w:t xml:space="preserve"> del contrato</w:t>
      </w:r>
      <w:r w:rsidRPr="00A85210">
        <w:rPr>
          <w:rFonts w:ascii="Verdana" w:eastAsia="Calibri" w:hAnsi="Verdana" w:cs="Arial"/>
          <w:i/>
          <w:iCs/>
          <w:color w:val="000000"/>
          <w:sz w:val="20"/>
          <w:szCs w:val="20"/>
          <w:lang w:eastAsia="es-ES_tradnl"/>
        </w:rPr>
        <w:t xml:space="preserve"> </w:t>
      </w:r>
      <w:r w:rsidRPr="00A85210">
        <w:rPr>
          <w:rFonts w:ascii="Verdana" w:eastAsia="Calibri" w:hAnsi="Verdana" w:cs="Arial"/>
          <w:color w:val="000000"/>
          <w:sz w:val="20"/>
          <w:szCs w:val="20"/>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p>
    <w:p w14:paraId="04B8EDF8" w14:textId="77777777" w:rsidR="00980915" w:rsidRPr="00A85210" w:rsidRDefault="00980915"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val="es-ES" w:eastAsia="es-ES" w:bidi="es-ES"/>
        </w:rPr>
      </w:pPr>
    </w:p>
    <w:p w14:paraId="1D75EC0E" w14:textId="77777777" w:rsidR="00980915" w:rsidRPr="00A85210" w:rsidRDefault="00980915" w:rsidP="00A85210">
      <w:pPr>
        <w:snapToGrid w:val="0"/>
        <w:spacing w:after="0" w:line="240" w:lineRule="auto"/>
        <w:contextualSpacing/>
        <w:jc w:val="both"/>
        <w:rPr>
          <w:rFonts w:ascii="Verdana" w:eastAsia="Calibri" w:hAnsi="Verdana" w:cs="Arial"/>
          <w:b/>
          <w:bCs/>
          <w:lang w:val="es-ES" w:eastAsia="es-ES"/>
        </w:rPr>
      </w:pPr>
      <w:r w:rsidRPr="00A85210">
        <w:rPr>
          <w:rFonts w:ascii="Verdana" w:eastAsia="Calibri" w:hAnsi="Verdana" w:cs="Arial"/>
          <w:b/>
          <w:bCs/>
          <w:lang w:val="es-ES" w:eastAsia="es-ES"/>
        </w:rPr>
        <w:t>EQUILIBRIO ECONÓMICO – Contrato estatal – Concepto</w:t>
      </w:r>
    </w:p>
    <w:p w14:paraId="73FB4B78" w14:textId="77777777" w:rsidR="00A85210" w:rsidRDefault="00A85210" w:rsidP="00A85210">
      <w:pPr>
        <w:widowControl w:val="0"/>
        <w:autoSpaceDE w:val="0"/>
        <w:autoSpaceDN w:val="0"/>
        <w:snapToGrid w:val="0"/>
        <w:spacing w:after="0" w:line="240" w:lineRule="auto"/>
        <w:contextualSpacing/>
        <w:jc w:val="both"/>
        <w:rPr>
          <w:rFonts w:ascii="Verdana" w:eastAsia="Calibri" w:hAnsi="Verdana" w:cs="Arial"/>
          <w:b/>
          <w:bCs/>
          <w:sz w:val="20"/>
          <w:szCs w:val="20"/>
          <w:lang w:val="es-ES" w:eastAsia="es-ES"/>
        </w:rPr>
      </w:pPr>
    </w:p>
    <w:p w14:paraId="3B32E814" w14:textId="585E9B3D" w:rsidR="00980915" w:rsidRDefault="00980915"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r w:rsidRPr="00A85210">
        <w:rPr>
          <w:rFonts w:ascii="Verdana" w:eastAsia="Calibri" w:hAnsi="Verdana" w:cs="Arial"/>
          <w:sz w:val="20"/>
          <w:szCs w:val="20"/>
          <w:lang w:val="es-ES" w:eastAsia="es-ES"/>
        </w:rPr>
        <w:t>[…]</w:t>
      </w:r>
      <w:r w:rsidRPr="00A85210">
        <w:rPr>
          <w:rFonts w:ascii="Verdana" w:eastAsia="Calibri" w:hAnsi="Verdana" w:cs="Arial"/>
          <w:b/>
          <w:bCs/>
          <w:sz w:val="20"/>
          <w:szCs w:val="20"/>
          <w:lang w:val="es-ES" w:eastAsia="es-ES"/>
        </w:rPr>
        <w:t xml:space="preserve"> </w:t>
      </w:r>
      <w:r w:rsidRPr="00A85210">
        <w:rPr>
          <w:rFonts w:ascii="Verdana" w:eastAsia="Arial" w:hAnsi="Verdana" w:cs="Arial"/>
          <w:color w:val="000000" w:themeColor="text1"/>
          <w:sz w:val="20"/>
          <w:szCs w:val="20"/>
          <w:lang w:val="es-MX" w:eastAsia="es-ES" w:bidi="es-ES"/>
        </w:rPr>
        <w:t xml:space="preserve">Conforme a lo anterior el equilibrio financiero del contrato se constituye en un principio medular de la contratación estatal que </w:t>
      </w:r>
      <w:r w:rsidRPr="00A85210">
        <w:rPr>
          <w:rFonts w:ascii="Verdana" w:eastAsia="Arial" w:hAnsi="Verdana" w:cs="Arial"/>
          <w:color w:val="000000" w:themeColor="text1"/>
          <w:sz w:val="20"/>
          <w:szCs w:val="20"/>
          <w:lang w:eastAsia="es-ES" w:bidi="es-ES"/>
        </w:rPr>
        <w:t xml:space="preserve">busca, precisamente, mantener las mismas condiciones </w:t>
      </w:r>
      <w:r w:rsidRPr="00A85210">
        <w:rPr>
          <w:rFonts w:ascii="Verdana" w:eastAsia="Arial" w:hAnsi="Verdana" w:cs="Arial"/>
          <w:color w:val="000000" w:themeColor="text1"/>
          <w:sz w:val="20"/>
          <w:szCs w:val="20"/>
          <w:lang w:val="es-ES" w:eastAsia="es-ES" w:bidi="es-ES"/>
        </w:rPr>
        <w:t xml:space="preserve">existente al tiempo de su celebración, de tal suerte que las </w:t>
      </w:r>
      <w:r w:rsidRPr="00A85210">
        <w:rPr>
          <w:rFonts w:ascii="Verdana" w:eastAsia="Arial" w:hAnsi="Verdana" w:cs="Arial"/>
          <w:color w:val="000000" w:themeColor="text1"/>
          <w:sz w:val="20"/>
          <w:szCs w:val="20"/>
          <w:lang w:val="es-ES" w:eastAsia="es-ES" w:bidi="es-ES"/>
        </w:rPr>
        <w:lastRenderedPageBreak/>
        <w:t>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14C292B1" w14:textId="77777777"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p>
    <w:p w14:paraId="62935967" w14:textId="2AFE0B01" w:rsidR="00980915" w:rsidRDefault="00980915" w:rsidP="00A85210">
      <w:pPr>
        <w:snapToGrid w:val="0"/>
        <w:contextualSpacing/>
        <w:jc w:val="both"/>
        <w:rPr>
          <w:rFonts w:ascii="Verdana" w:eastAsia="Arial" w:hAnsi="Verdana" w:cs="Arial"/>
          <w:color w:val="000000" w:themeColor="text1"/>
          <w:sz w:val="20"/>
          <w:szCs w:val="20"/>
          <w:lang w:val="es-ES" w:eastAsia="es-ES" w:bidi="es-ES"/>
        </w:rPr>
      </w:pPr>
      <w:r w:rsidRPr="00A85210">
        <w:rPr>
          <w:rFonts w:ascii="Verdana" w:eastAsia="Arial" w:hAnsi="Verdana" w:cs="Arial"/>
          <w:color w:val="000000" w:themeColor="text1"/>
          <w:sz w:val="20"/>
          <w:szCs w:val="20"/>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A85210">
        <w:rPr>
          <w:rFonts w:ascii="Verdana" w:eastAsia="Arial" w:hAnsi="Verdana" w:cs="Arial"/>
          <w:i/>
          <w:iCs/>
          <w:color w:val="000000" w:themeColor="text1"/>
          <w:sz w:val="20"/>
          <w:szCs w:val="20"/>
          <w:lang w:val="es-ES" w:eastAsia="es-ES" w:bidi="es-ES"/>
        </w:rPr>
        <w:t>ibidem</w:t>
      </w:r>
      <w:r w:rsidRPr="00A85210">
        <w:rPr>
          <w:rFonts w:ascii="Verdana" w:eastAsia="Arial" w:hAnsi="Verdana" w:cs="Arial"/>
          <w:color w:val="000000" w:themeColor="text1"/>
          <w:sz w:val="20"/>
          <w:szCs w:val="20"/>
          <w:lang w:val="es-ES" w:eastAsia="es-ES" w:bidi="es-ES"/>
        </w:rPr>
        <w:t xml:space="preserve"> señala que las entidades estatales solicitarán la actualización o la revisión de los precios cuando se produzcan fenómenos que alteren en su contra </w:t>
      </w:r>
      <w:r w:rsidRPr="00A85210">
        <w:rPr>
          <w:rFonts w:ascii="Verdana" w:eastAsia="Arial" w:hAnsi="Verdana" w:cs="Arial"/>
          <w:i/>
          <w:iCs/>
          <w:color w:val="000000" w:themeColor="text1"/>
          <w:sz w:val="20"/>
          <w:szCs w:val="20"/>
          <w:lang w:val="es-ES" w:eastAsia="es-ES" w:bidi="es-ES"/>
        </w:rPr>
        <w:t>el equilibrio económico o financiero</w:t>
      </w:r>
      <w:r w:rsidRPr="00A85210">
        <w:rPr>
          <w:rFonts w:ascii="Verdana" w:eastAsia="Arial" w:hAnsi="Verdana" w:cs="Arial"/>
          <w:color w:val="000000" w:themeColor="text1"/>
          <w:sz w:val="20"/>
          <w:szCs w:val="20"/>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p>
    <w:p w14:paraId="2F295008" w14:textId="77777777" w:rsidR="00A85210" w:rsidRPr="00A85210" w:rsidRDefault="00A85210" w:rsidP="00A85210">
      <w:pPr>
        <w:snapToGrid w:val="0"/>
        <w:spacing w:after="0" w:line="240" w:lineRule="auto"/>
        <w:contextualSpacing/>
        <w:jc w:val="both"/>
        <w:rPr>
          <w:rFonts w:ascii="Verdana" w:eastAsia="Calibri" w:hAnsi="Verdana" w:cs="Arial"/>
          <w:b/>
          <w:bCs/>
          <w:sz w:val="20"/>
          <w:szCs w:val="20"/>
          <w:lang w:val="es-ES" w:eastAsia="es-ES"/>
        </w:rPr>
      </w:pPr>
    </w:p>
    <w:p w14:paraId="4AF2B5DC" w14:textId="77777777" w:rsidR="00980915" w:rsidRPr="00A71164" w:rsidRDefault="00980915" w:rsidP="00A85210">
      <w:pPr>
        <w:snapToGrid w:val="0"/>
        <w:spacing w:after="0" w:line="240" w:lineRule="auto"/>
        <w:contextualSpacing/>
        <w:jc w:val="both"/>
        <w:rPr>
          <w:rFonts w:ascii="Verdana" w:eastAsia="Calibri" w:hAnsi="Verdana" w:cs="Arial"/>
          <w:b/>
          <w:bCs/>
          <w:lang w:val="es-ES" w:eastAsia="es-ES"/>
        </w:rPr>
      </w:pPr>
      <w:r w:rsidRPr="00A71164">
        <w:rPr>
          <w:rFonts w:ascii="Verdana" w:eastAsia="Calibri" w:hAnsi="Verdana" w:cs="Arial"/>
          <w:b/>
          <w:bCs/>
          <w:lang w:val="es-ES" w:eastAsia="es-ES"/>
        </w:rPr>
        <w:t xml:space="preserve">EQUILIBRIO ECONÓMICO – Restablecimiento – Procedencia – Requisitos </w:t>
      </w:r>
    </w:p>
    <w:p w14:paraId="38A909CE" w14:textId="77777777" w:rsid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p>
    <w:p w14:paraId="7A3C77AE" w14:textId="5EF002D2"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r w:rsidRPr="00A85210">
        <w:rPr>
          <w:rFonts w:ascii="Verdana" w:eastAsia="Arial" w:hAnsi="Verdana" w:cs="Arial"/>
          <w:color w:val="000000" w:themeColor="text1"/>
          <w:sz w:val="20"/>
          <w:szCs w:val="20"/>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que estime adecuadas de manera que se pueda precaver las diferencias que se lleguen a presentar como consecuencia de la vulneración del principio del equilibrio económico del contrato y evitar una mayor onerosidad.</w:t>
      </w:r>
    </w:p>
    <w:p w14:paraId="779B9D2C" w14:textId="77777777" w:rsid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p>
    <w:p w14:paraId="4ACF5CD2" w14:textId="3B64538F" w:rsid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r w:rsidRPr="00A85210">
        <w:rPr>
          <w:rFonts w:ascii="Verdana" w:eastAsia="Arial" w:hAnsi="Verdana" w:cs="Arial"/>
          <w:color w:val="000000" w:themeColor="text1"/>
          <w:sz w:val="20"/>
          <w:szCs w:val="20"/>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“a) Actos o hechos de la entidad administrativa contratante, como cuando no cumple con las obligaciones derivadas del contrato o introduce modificaciones al mismo -ius variandi-, sean éstas abusivas o no. b) Actos generales de la administración como Estado, o ‘teoría del hecho del príncipe’, como cuando en ejercicio de sus potestades constitucionales y legales, cuya voluntad se manifiesta mediante leyes o actos administrativos de carácter general, afecta negativamente el contrato. c) Factores exógenos a las partes del negocio, o ‘teoría de la imprevisión’, o ‘sujeciones materiales imprevistas’, que involucran circunstancias no imputables al Estado y externas al </w:t>
      </w:r>
      <w:proofErr w:type="gramStart"/>
      <w:r w:rsidRPr="00A85210">
        <w:rPr>
          <w:rFonts w:ascii="Verdana" w:eastAsia="Arial" w:hAnsi="Verdana" w:cs="Arial"/>
          <w:color w:val="000000" w:themeColor="text1"/>
          <w:sz w:val="20"/>
          <w:szCs w:val="20"/>
          <w:lang w:val="es-ES" w:eastAsia="es-ES" w:bidi="es-ES"/>
        </w:rPr>
        <w:t>contrato</w:t>
      </w:r>
      <w:proofErr w:type="gramEnd"/>
      <w:r w:rsidRPr="00A85210">
        <w:rPr>
          <w:rFonts w:ascii="Verdana" w:eastAsia="Arial" w:hAnsi="Verdana" w:cs="Arial"/>
          <w:color w:val="000000" w:themeColor="text1"/>
          <w:sz w:val="20"/>
          <w:szCs w:val="20"/>
          <w:lang w:val="es-ES" w:eastAsia="es-ES" w:bidi="es-ES"/>
        </w:rPr>
        <w:t xml:space="preserve"> pero con incidencia en él.</w:t>
      </w:r>
      <w:r>
        <w:rPr>
          <w:rFonts w:ascii="Verdana" w:eastAsia="Arial" w:hAnsi="Verdana" w:cs="Arial"/>
          <w:color w:val="000000" w:themeColor="text1"/>
          <w:sz w:val="20"/>
          <w:szCs w:val="20"/>
          <w:lang w:val="es-ES" w:eastAsia="es-ES" w:bidi="es-ES"/>
        </w:rPr>
        <w:t xml:space="preserve"> </w:t>
      </w:r>
      <w:r w:rsidRPr="00A85210">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p>
    <w:p w14:paraId="056EF109" w14:textId="77777777" w:rsid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p>
    <w:p w14:paraId="52C30C9E" w14:textId="2D630AFD"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r w:rsidRPr="00A85210">
        <w:rPr>
          <w:rFonts w:ascii="Verdana" w:eastAsia="Arial" w:hAnsi="Verdana" w:cs="Arial"/>
          <w:color w:val="000000" w:themeColor="text1"/>
          <w:sz w:val="20"/>
          <w:szCs w:val="20"/>
          <w:lang w:val="es-ES" w:eastAsia="es-ES"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 Además, es necesario que las reclamaciones para el restablecimiento se realicen en la oportunidad debida, de manera que </w:t>
      </w:r>
      <w:r w:rsidRPr="00A85210">
        <w:rPr>
          <w:rFonts w:ascii="Verdana" w:eastAsia="Arial" w:hAnsi="Verdana" w:cs="Arial"/>
          <w:color w:val="000000" w:themeColor="text1"/>
          <w:sz w:val="20"/>
          <w:szCs w:val="20"/>
          <w:lang w:eastAsia="es-ES" w:bidi="es-ES"/>
        </w:rPr>
        <w:t xml:space="preserve">si las solicitudes, o salvedades </w:t>
      </w:r>
      <w:r w:rsidRPr="00A85210">
        <w:rPr>
          <w:rFonts w:ascii="Verdana" w:eastAsia="Arial" w:hAnsi="Verdana" w:cs="Arial"/>
          <w:color w:val="000000" w:themeColor="text1"/>
          <w:sz w:val="20"/>
          <w:szCs w:val="20"/>
          <w:lang w:val="es-MX" w:eastAsia="es-ES" w:bidi="es-ES"/>
        </w:rPr>
        <w:t>“</w:t>
      </w:r>
      <w:r w:rsidRPr="00A85210">
        <w:rPr>
          <w:rFonts w:ascii="Verdana" w:eastAsia="Arial" w:hAnsi="Verdana" w:cs="Arial"/>
          <w:color w:val="000000" w:themeColor="text1"/>
          <w:sz w:val="20"/>
          <w:szCs w:val="20"/>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sidRPr="00A85210">
        <w:rPr>
          <w:rFonts w:ascii="Verdana" w:eastAsia="Arial" w:hAnsi="Verdana" w:cs="Arial"/>
          <w:color w:val="000000" w:themeColor="text1"/>
          <w:sz w:val="20"/>
          <w:szCs w:val="20"/>
          <w:lang w:val="es-MX" w:eastAsia="es-ES" w:bidi="es-ES"/>
        </w:rPr>
        <w:t xml:space="preserve">”. </w:t>
      </w:r>
    </w:p>
    <w:p w14:paraId="6E13AEE8" w14:textId="77777777" w:rsidR="00980915" w:rsidRPr="00A85210" w:rsidRDefault="00980915" w:rsidP="00A85210">
      <w:pPr>
        <w:snapToGrid w:val="0"/>
        <w:spacing w:after="0" w:line="240" w:lineRule="auto"/>
        <w:contextualSpacing/>
        <w:jc w:val="both"/>
        <w:rPr>
          <w:rFonts w:ascii="Verdana" w:eastAsia="Calibri" w:hAnsi="Verdana" w:cs="Arial"/>
          <w:b/>
          <w:bCs/>
          <w:sz w:val="20"/>
          <w:szCs w:val="20"/>
          <w:lang w:val="es-ES" w:eastAsia="es-ES"/>
        </w:rPr>
      </w:pPr>
    </w:p>
    <w:p w14:paraId="63558FDC" w14:textId="77777777" w:rsidR="00A85210" w:rsidRPr="00A71164" w:rsidRDefault="00980915" w:rsidP="00A85210">
      <w:pPr>
        <w:snapToGrid w:val="0"/>
        <w:spacing w:after="0" w:line="240" w:lineRule="auto"/>
        <w:contextualSpacing/>
        <w:jc w:val="both"/>
        <w:rPr>
          <w:rFonts w:ascii="Verdana" w:eastAsia="Calibri" w:hAnsi="Verdana" w:cs="Arial"/>
          <w:b/>
          <w:bCs/>
          <w:lang w:val="es-ES" w:eastAsia="es-ES"/>
        </w:rPr>
      </w:pPr>
      <w:r w:rsidRPr="00A71164">
        <w:rPr>
          <w:rFonts w:ascii="Verdana" w:eastAsia="Calibri" w:hAnsi="Verdana" w:cs="Arial"/>
          <w:b/>
          <w:bCs/>
          <w:lang w:val="es-ES" w:eastAsia="es-ES"/>
        </w:rPr>
        <w:t>RESTABLECIMIENTO DE LA ECUACIÓN ECONÓMICA – Liquidación</w:t>
      </w:r>
    </w:p>
    <w:p w14:paraId="00B7DEB1" w14:textId="77777777" w:rsidR="00A85210" w:rsidRDefault="00A85210" w:rsidP="00A85210">
      <w:pPr>
        <w:snapToGrid w:val="0"/>
        <w:contextualSpacing/>
        <w:jc w:val="both"/>
        <w:rPr>
          <w:rFonts w:ascii="Verdana" w:eastAsia="Calibri" w:hAnsi="Verdana" w:cs="Arial"/>
          <w:b/>
          <w:bCs/>
          <w:sz w:val="20"/>
          <w:szCs w:val="20"/>
          <w:lang w:eastAsia="es-ES"/>
        </w:rPr>
      </w:pPr>
    </w:p>
    <w:p w14:paraId="30C9D252" w14:textId="0C219E05" w:rsidR="00A85210" w:rsidRDefault="00A85210" w:rsidP="00A85210">
      <w:pPr>
        <w:snapToGrid w:val="0"/>
        <w:contextualSpacing/>
        <w:jc w:val="both"/>
        <w:rPr>
          <w:rFonts w:ascii="Verdana" w:eastAsia="Calibri" w:hAnsi="Verdana" w:cs="Arial"/>
          <w:sz w:val="20"/>
          <w:szCs w:val="20"/>
          <w:lang w:eastAsia="es-ES"/>
        </w:rPr>
      </w:pPr>
      <w:r w:rsidRPr="00A85210">
        <w:rPr>
          <w:rFonts w:ascii="Verdana" w:eastAsia="Calibri" w:hAnsi="Verdana" w:cs="Arial"/>
          <w:sz w:val="20"/>
          <w:szCs w:val="20"/>
          <w:lang w:eastAsia="es-ES"/>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w:t>
      </w:r>
    </w:p>
    <w:p w14:paraId="79E15F53" w14:textId="77777777" w:rsidR="00A85210" w:rsidRPr="00A85210" w:rsidRDefault="00A85210" w:rsidP="00A85210">
      <w:pPr>
        <w:snapToGrid w:val="0"/>
        <w:spacing w:after="0" w:line="240" w:lineRule="auto"/>
        <w:contextualSpacing/>
        <w:jc w:val="both"/>
        <w:rPr>
          <w:rFonts w:ascii="Verdana" w:eastAsia="Calibri" w:hAnsi="Verdana" w:cs="Arial"/>
          <w:sz w:val="20"/>
          <w:szCs w:val="20"/>
          <w:lang w:eastAsia="es-ES"/>
        </w:rPr>
      </w:pPr>
    </w:p>
    <w:p w14:paraId="49965799" w14:textId="77777777" w:rsidR="00A85210" w:rsidRPr="00A85210" w:rsidRDefault="00A85210" w:rsidP="00A85210">
      <w:pPr>
        <w:snapToGrid w:val="0"/>
        <w:spacing w:after="0" w:line="240" w:lineRule="auto"/>
        <w:contextualSpacing/>
        <w:jc w:val="both"/>
        <w:rPr>
          <w:rFonts w:ascii="Verdana" w:eastAsia="Calibri" w:hAnsi="Verdana" w:cs="Arial"/>
          <w:sz w:val="20"/>
          <w:szCs w:val="20"/>
          <w:lang w:eastAsia="es-ES"/>
        </w:rPr>
      </w:pPr>
      <w:r w:rsidRPr="00A85210">
        <w:rPr>
          <w:rFonts w:ascii="Verdana" w:eastAsia="Calibri" w:hAnsi="Verdana" w:cs="Arial"/>
          <w:sz w:val="20"/>
          <w:szCs w:val="20"/>
          <w:lang w:eastAsia="es-ES"/>
        </w:rPr>
        <w:t>No obstante, de acuerdo con la Sentencia de Unificación del 19 de noviembre de 2012 de la Sala Plena del Consejo de Estado, por regla general,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 cara al artículo 10 del CPACA, considerando las tres (3) excepciones contempladas en dicha sentencia, en la actualidad está limitada la posibilidad de reconocer en la liquidación actividades no incluidas dentro del contrato. Así, su pago no sólo está sujeto al soporte probatorio, sino que la decisión también debe armonizarse con la doctrina fijada por el máximo órgano de la jurisdicción contenciosa administrativa.</w:t>
      </w:r>
    </w:p>
    <w:p w14:paraId="218F7EC6" w14:textId="77777777" w:rsidR="00A85210" w:rsidRPr="00A85210" w:rsidRDefault="00A85210" w:rsidP="00A85210">
      <w:pPr>
        <w:snapToGrid w:val="0"/>
        <w:spacing w:after="0" w:line="240" w:lineRule="auto"/>
        <w:contextualSpacing/>
        <w:jc w:val="both"/>
        <w:rPr>
          <w:rFonts w:ascii="Verdana" w:eastAsia="Calibri" w:hAnsi="Verdana" w:cs="Arial"/>
          <w:b/>
          <w:bCs/>
          <w:sz w:val="20"/>
          <w:szCs w:val="20"/>
          <w:lang w:val="es-ES" w:eastAsia="es-ES"/>
        </w:rPr>
      </w:pPr>
    </w:p>
    <w:p w14:paraId="4853049B" w14:textId="7DBAFB28" w:rsidR="00980915" w:rsidRPr="00A71164" w:rsidRDefault="00980915" w:rsidP="00A85210">
      <w:pPr>
        <w:snapToGrid w:val="0"/>
        <w:spacing w:after="0" w:line="240" w:lineRule="auto"/>
        <w:contextualSpacing/>
        <w:jc w:val="both"/>
        <w:rPr>
          <w:rFonts w:ascii="Verdana" w:hAnsi="Verdana" w:cs="Arial"/>
          <w:b/>
          <w:bCs/>
          <w:lang w:val="es-ES" w:eastAsia="es-ES"/>
        </w:rPr>
      </w:pPr>
      <w:r w:rsidRPr="00A71164">
        <w:rPr>
          <w:rFonts w:ascii="Verdana" w:hAnsi="Verdana" w:cs="Arial"/>
          <w:b/>
          <w:bCs/>
          <w:lang w:val="es-ES" w:eastAsia="es-ES"/>
        </w:rPr>
        <w:t>ENRIQUECIMIENTO SIN JUSTA CAUSA – Sentencia de Unificación del 19 de noviembre de 2012 – Alcance</w:t>
      </w:r>
    </w:p>
    <w:p w14:paraId="1FF891E0" w14:textId="77777777" w:rsidR="00A85210" w:rsidRPr="00A85210" w:rsidRDefault="00A85210" w:rsidP="00A85210">
      <w:pPr>
        <w:snapToGrid w:val="0"/>
        <w:spacing w:after="0" w:line="240" w:lineRule="auto"/>
        <w:contextualSpacing/>
        <w:jc w:val="both"/>
        <w:rPr>
          <w:rFonts w:ascii="Verdana" w:hAnsi="Verdana" w:cs="Arial"/>
          <w:b/>
          <w:bCs/>
          <w:sz w:val="20"/>
          <w:szCs w:val="20"/>
          <w:lang w:val="es-ES" w:eastAsia="es-ES"/>
        </w:rPr>
      </w:pPr>
    </w:p>
    <w:p w14:paraId="2A53E155" w14:textId="77777777" w:rsidR="00A85210" w:rsidRPr="00A85210" w:rsidRDefault="00A85210" w:rsidP="00A85210">
      <w:pPr>
        <w:snapToGrid w:val="0"/>
        <w:spacing w:after="0" w:line="240" w:lineRule="auto"/>
        <w:contextualSpacing/>
        <w:jc w:val="both"/>
        <w:rPr>
          <w:rFonts w:ascii="Verdana" w:hAnsi="Verdana" w:cs="Arial"/>
          <w:sz w:val="20"/>
          <w:szCs w:val="20"/>
          <w:lang w:eastAsia="es-ES"/>
        </w:rPr>
      </w:pPr>
      <w:r w:rsidRPr="00A85210">
        <w:rPr>
          <w:rFonts w:ascii="Verdana" w:hAnsi="Verdana" w:cs="Arial"/>
          <w:sz w:val="20"/>
          <w:szCs w:val="20"/>
          <w:lang w:eastAsia="es-ES"/>
        </w:rPr>
        <w:t xml:space="preserve">[…] la Sala Plena del Consejo de Estado en la Sentencia de Unificación del 19 de noviembre de 2012, por regla general, no es posible solicitar reconocimientos económicos por la ejecución de obras extras o adicionales, sin la previa suscripción de un contrato adicional que las justifique. Esto en la medida que los artículos 39 y 41 del </w:t>
      </w:r>
      <w:r w:rsidRPr="00A85210">
        <w:rPr>
          <w:rFonts w:ascii="Verdana" w:hAnsi="Verdana" w:cs="Arial"/>
          <w:sz w:val="20"/>
          <w:szCs w:val="20"/>
          <w:lang w:eastAsia="es-ES"/>
        </w:rPr>
        <w:lastRenderedPageBreak/>
        <w:t>EGCAP disponen que los contratos estatales son solemnes y, por tanto, requieren formalidad escrita, salvo que se presente una situación de urgencia manifiesta.</w:t>
      </w:r>
    </w:p>
    <w:p w14:paraId="6EF83C56" w14:textId="77777777" w:rsidR="00A85210" w:rsidRPr="00A85210" w:rsidRDefault="00A85210" w:rsidP="00A85210">
      <w:pPr>
        <w:snapToGrid w:val="0"/>
        <w:spacing w:after="0" w:line="240" w:lineRule="auto"/>
        <w:contextualSpacing/>
        <w:jc w:val="both"/>
        <w:rPr>
          <w:rFonts w:ascii="Verdana" w:hAnsi="Verdana" w:cs="Arial"/>
          <w:sz w:val="20"/>
          <w:szCs w:val="20"/>
          <w:lang w:eastAsia="es-ES"/>
        </w:rPr>
      </w:pPr>
      <w:r w:rsidRPr="00A85210">
        <w:rPr>
          <w:rFonts w:ascii="Verdana" w:hAnsi="Verdana" w:cs="Arial"/>
          <w:sz w:val="20"/>
          <w:szCs w:val="20"/>
          <w:lang w:eastAsia="es-ES"/>
        </w:rPr>
        <w:t>Excepcionalmente,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ii) que fueran urgentes para evitar una lesión inminente e irreversible al derecho a la salud; y iii) cuando se omite el decreto de la urgencia manifiesta y concurren las circunstancias para que ésta hubiera sido declarada.</w:t>
      </w:r>
    </w:p>
    <w:p w14:paraId="2A55AFCD" w14:textId="77777777" w:rsidR="00A85210" w:rsidRPr="00A85210" w:rsidRDefault="00A85210" w:rsidP="00A85210">
      <w:pPr>
        <w:snapToGrid w:val="0"/>
        <w:spacing w:after="0" w:line="240" w:lineRule="auto"/>
        <w:contextualSpacing/>
        <w:jc w:val="both"/>
        <w:rPr>
          <w:rFonts w:ascii="Verdana" w:hAnsi="Verdana" w:cs="Arial"/>
          <w:b/>
          <w:bCs/>
          <w:sz w:val="20"/>
          <w:szCs w:val="20"/>
          <w:lang w:val="es-ES" w:eastAsia="es-ES"/>
        </w:rPr>
      </w:pPr>
    </w:p>
    <w:p w14:paraId="58683A14" w14:textId="33E4921D" w:rsidR="00980915" w:rsidRPr="00A71164" w:rsidRDefault="00980915" w:rsidP="00A85210">
      <w:pPr>
        <w:snapToGrid w:val="0"/>
        <w:spacing w:after="0" w:line="240" w:lineRule="auto"/>
        <w:contextualSpacing/>
        <w:jc w:val="both"/>
        <w:rPr>
          <w:rFonts w:ascii="Verdana" w:eastAsia="Calibri" w:hAnsi="Verdana" w:cs="Arial"/>
          <w:b/>
          <w:bCs/>
          <w:lang w:val="es-ES" w:eastAsia="es-ES"/>
        </w:rPr>
      </w:pPr>
      <w:r w:rsidRPr="00A71164">
        <w:rPr>
          <w:rFonts w:ascii="Verdana" w:hAnsi="Verdana" w:cs="Arial"/>
          <w:b/>
          <w:bCs/>
          <w:lang w:val="es-ES" w:eastAsia="es-ES"/>
        </w:rPr>
        <w:t>ENRIQUECIMIENTO SIN JUSTA CAUSA – Nueva Postura – Sentencia de Unificación Jurisprudencial – Elementos – Prueba de la Actividad - Circunstancia Excepcional - Procedencia</w:t>
      </w:r>
    </w:p>
    <w:p w14:paraId="387E38CA" w14:textId="77777777" w:rsid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eastAsia="es-ES" w:bidi="es-ES"/>
        </w:rPr>
      </w:pPr>
    </w:p>
    <w:p w14:paraId="4B03F661" w14:textId="4BA949BA"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eastAsia="es-ES" w:bidi="es-ES"/>
        </w:rPr>
      </w:pPr>
      <w:r w:rsidRPr="00A85210">
        <w:rPr>
          <w:rFonts w:ascii="Verdana" w:eastAsia="Arial" w:hAnsi="Verdana" w:cs="Arial"/>
          <w:color w:val="000000"/>
          <w:sz w:val="20"/>
          <w:szCs w:val="20"/>
          <w:lang w:eastAsia="es-ES" w:bidi="es-ES"/>
        </w:rPr>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p>
    <w:p w14:paraId="720FD2FC" w14:textId="77777777"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eastAsia="es-ES" w:bidi="es-ES"/>
        </w:rPr>
      </w:pPr>
      <w:r w:rsidRPr="00A85210">
        <w:rPr>
          <w:rFonts w:ascii="Verdana" w:eastAsia="Arial" w:hAnsi="Verdana" w:cs="Arial"/>
          <w:color w:val="000000"/>
          <w:sz w:val="20"/>
          <w:szCs w:val="20"/>
          <w:lang w:eastAsia="es-ES" w:bidi="es-ES"/>
        </w:rPr>
        <w:t>[…]</w:t>
      </w:r>
    </w:p>
    <w:p w14:paraId="641DEF07" w14:textId="77777777"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eastAsia="es-ES" w:bidi="es-ES"/>
        </w:rPr>
      </w:pPr>
      <w:r w:rsidRPr="00A85210">
        <w:rPr>
          <w:rFonts w:ascii="Verdana" w:eastAsia="Arial" w:hAnsi="Verdana" w:cs="Arial"/>
          <w:color w:val="000000"/>
          <w:sz w:val="20"/>
          <w:szCs w:val="20"/>
          <w:lang w:eastAsia="es-ES" w:bidi="es-ES"/>
        </w:rPr>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p>
    <w:p w14:paraId="726763F5" w14:textId="77777777"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sz w:val="20"/>
          <w:szCs w:val="20"/>
          <w:lang w:eastAsia="es-ES" w:bidi="es-ES"/>
        </w:rPr>
      </w:pPr>
    </w:p>
    <w:p w14:paraId="40445705" w14:textId="6B923681" w:rsidR="00A85210" w:rsidRPr="00A71164" w:rsidRDefault="00A85210" w:rsidP="00A85210">
      <w:pPr>
        <w:snapToGrid w:val="0"/>
        <w:spacing w:after="0" w:line="240" w:lineRule="auto"/>
        <w:contextualSpacing/>
        <w:jc w:val="both"/>
        <w:rPr>
          <w:rFonts w:ascii="Verdana" w:eastAsia="Calibri" w:hAnsi="Verdana" w:cs="Arial"/>
          <w:b/>
          <w:bCs/>
          <w:lang w:val="es-ES" w:eastAsia="es-ES"/>
        </w:rPr>
      </w:pPr>
      <w:r w:rsidRPr="00A71164">
        <w:rPr>
          <w:rFonts w:ascii="Verdana" w:eastAsia="Calibri" w:hAnsi="Verdana" w:cs="Arial"/>
          <w:b/>
          <w:bCs/>
          <w:lang w:val="es-ES" w:eastAsia="es-ES"/>
        </w:rPr>
        <w:t>EQUILIBRIO ECONÓMICO – Restablecimiento – Limite de adiciones – Alcance</w:t>
      </w:r>
    </w:p>
    <w:p w14:paraId="33BD0C84" w14:textId="77777777" w:rsidR="00A85210" w:rsidRDefault="00A85210" w:rsidP="00A85210">
      <w:pPr>
        <w:widowControl w:val="0"/>
        <w:autoSpaceDE w:val="0"/>
        <w:autoSpaceDN w:val="0"/>
        <w:snapToGrid w:val="0"/>
        <w:contextualSpacing/>
        <w:jc w:val="both"/>
        <w:rPr>
          <w:rFonts w:ascii="Verdana" w:eastAsia="Arial" w:hAnsi="Verdana" w:cs="Arial"/>
          <w:color w:val="000000" w:themeColor="text1"/>
          <w:sz w:val="20"/>
          <w:szCs w:val="20"/>
          <w:lang w:val="es-ES" w:eastAsia="es-ES" w:bidi="es-ES"/>
        </w:rPr>
      </w:pPr>
    </w:p>
    <w:p w14:paraId="5A3688CF" w14:textId="5D557D84"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r w:rsidRPr="00A85210">
        <w:rPr>
          <w:rFonts w:ascii="Verdana" w:eastAsia="Arial" w:hAnsi="Verdana" w:cs="Arial"/>
          <w:color w:val="000000" w:themeColor="text1"/>
          <w:sz w:val="20"/>
          <w:szCs w:val="20"/>
          <w:lang w:val="es-ES" w:eastAsia="es-ES" w:bidi="es-ES"/>
        </w:rPr>
        <w:t xml:space="preserve">Cuando se presenten situaciones que generen el desequilibrio económico del contrato, y previa revisión de su procedencia conforme el análisis del caso concreto, la entidad deberá adoptar las medidas necesarias para su restablecimiento, si a ello hay lugar, para lo cual tiene la potestad para suscribir los acuerdos correspondientes sobre cuantía, condiciones, forma de pago, etc. En todo caso, cualquier modificación que realice deberá estar debidamente motivada y respetar las reglas y límites establecidos en el ordenamiento jurídico y los cuales se detallan en el presente concepto. </w:t>
      </w:r>
      <w:r w:rsidRPr="00A85210">
        <w:rPr>
          <w:rFonts w:ascii="Verdana" w:eastAsia="Arial" w:hAnsi="Verdana" w:cs="Arial"/>
          <w:color w:val="000000" w:themeColor="text1"/>
          <w:sz w:val="20"/>
          <w:szCs w:val="20"/>
          <w:lang w:eastAsia="es-ES" w:bidi="es-ES"/>
        </w:rPr>
        <w:t>En este sentido, cuando la medida adoptada para el restablecimiento económico del contrato implique un incremento del valor inicial, se configurará una adición y, por tanto, resultará aplicable el límite previsto en el artículo 40 de la Ley 80 de 1993.</w:t>
      </w:r>
    </w:p>
    <w:p w14:paraId="22B077C8" w14:textId="77777777" w:rsidR="00A85210" w:rsidRDefault="00A85210" w:rsidP="00A85210">
      <w:pPr>
        <w:snapToGrid w:val="0"/>
        <w:contextualSpacing/>
        <w:jc w:val="both"/>
        <w:rPr>
          <w:rFonts w:ascii="Verdana" w:eastAsia="Calibri" w:hAnsi="Verdana" w:cs="Arial"/>
          <w:b/>
          <w:bCs/>
          <w:sz w:val="20"/>
          <w:szCs w:val="20"/>
          <w:lang w:val="es-ES" w:eastAsia="es-ES"/>
        </w:rPr>
      </w:pPr>
    </w:p>
    <w:p w14:paraId="632B2A13" w14:textId="50AE2767" w:rsidR="00A85210" w:rsidRPr="00A85210" w:rsidRDefault="00A85210" w:rsidP="00A85210">
      <w:pPr>
        <w:snapToGrid w:val="0"/>
        <w:spacing w:after="0" w:line="240" w:lineRule="auto"/>
        <w:contextualSpacing/>
        <w:jc w:val="both"/>
        <w:rPr>
          <w:rFonts w:ascii="Verdana" w:eastAsia="Calibri" w:hAnsi="Verdana" w:cs="Arial"/>
          <w:b/>
          <w:bCs/>
          <w:sz w:val="20"/>
          <w:szCs w:val="20"/>
          <w:lang w:val="es-ES" w:eastAsia="es-ES"/>
        </w:rPr>
      </w:pPr>
      <w:r w:rsidRPr="00A85210">
        <w:rPr>
          <w:rFonts w:ascii="Verdana" w:eastAsia="Calibri" w:hAnsi="Verdana" w:cs="Arial"/>
          <w:sz w:val="20"/>
          <w:szCs w:val="20"/>
          <w:lang w:val="es-ES" w:eastAsia="es-ES"/>
        </w:rPr>
        <w:t xml:space="preserve">[…] </w:t>
      </w:r>
      <w:r w:rsidRPr="00A85210">
        <w:rPr>
          <w:rFonts w:ascii="Verdana" w:eastAsia="Arial" w:hAnsi="Verdana" w:cs="Arial"/>
          <w:color w:val="000000" w:themeColor="text1"/>
          <w:sz w:val="20"/>
          <w:szCs w:val="20"/>
          <w:lang w:eastAsia="es-ES" w:bidi="es-ES"/>
        </w:rPr>
        <w:t xml:space="preserve">corresponde a la entidad realizar un análisis detallado de cada caso, verificando las circunstancias fácticas y jurídicas que fundamentan el restablecimiento, así como las </w:t>
      </w:r>
      <w:r w:rsidRPr="00A85210">
        <w:rPr>
          <w:rFonts w:ascii="Verdana" w:eastAsia="Arial" w:hAnsi="Verdana" w:cs="Arial"/>
          <w:i/>
          <w:iCs/>
          <w:color w:val="000000" w:themeColor="text1"/>
          <w:sz w:val="20"/>
          <w:szCs w:val="20"/>
          <w:lang w:eastAsia="es-ES" w:bidi="es-ES"/>
        </w:rPr>
        <w:t>limitaciones legales</w:t>
      </w:r>
      <w:r w:rsidRPr="00A85210">
        <w:rPr>
          <w:rFonts w:ascii="Verdana" w:eastAsia="Arial" w:hAnsi="Verdana" w:cs="Arial"/>
          <w:color w:val="000000" w:themeColor="text1"/>
          <w:sz w:val="20"/>
          <w:szCs w:val="20"/>
          <w:lang w:eastAsia="es-ES" w:bidi="es-ES"/>
        </w:rPr>
        <w:t xml:space="preserve"> aplicables</w:t>
      </w:r>
      <w:r w:rsidRPr="00A85210">
        <w:rPr>
          <w:rFonts w:ascii="Verdana" w:eastAsia="Arial" w:hAnsi="Verdana" w:cs="Arial"/>
          <w:color w:val="000000" w:themeColor="text1"/>
          <w:sz w:val="20"/>
          <w:szCs w:val="20"/>
          <w:lang w:val="es-ES" w:eastAsia="es-ES" w:bidi="es-ES"/>
        </w:rPr>
        <w:t>. P</w:t>
      </w:r>
      <w:r w:rsidRPr="00A85210">
        <w:rPr>
          <w:rFonts w:ascii="Verdana" w:eastAsia="Arial" w:hAnsi="Verdana" w:cs="Arial"/>
          <w:color w:val="000000" w:themeColor="text1"/>
          <w:sz w:val="20"/>
          <w:szCs w:val="20"/>
          <w:lang w:eastAsia="es-ES" w:bidi="es-ES"/>
        </w:rPr>
        <w:t>ara tal efecto, deberá considerar, en primer lugar, si el supuesto de hecho corresponde a un evento que da lugar al restablecimiento del equilibrio económico o a un riesgo que debe ser asumido por el contratista. En caso de resultar procedente el restablecimiento, deberá definir las medidas adecuadas, respetando los límites convencionales y normativos establecidos. Así, deberá considerar los mecanismos contractuales previstos, tales como las cláusulas de reajuste o revisión de precios, o definir los que resulten adecuados en cada caso. Cuando las medidas adoptadas impliquen propiamente una adición al valor inicial del contrato, deberá observar el límite previsto en el artículo 40 de la Ley 80 de 1993, pues la restricción no estableció distinción con respecto a la causa que origine la modificación.</w:t>
      </w:r>
    </w:p>
    <w:p w14:paraId="2E52DBC7" w14:textId="77777777" w:rsidR="00A85210" w:rsidRDefault="00A85210" w:rsidP="00A85210">
      <w:pPr>
        <w:widowControl w:val="0"/>
        <w:autoSpaceDE w:val="0"/>
        <w:autoSpaceDN w:val="0"/>
        <w:snapToGrid w:val="0"/>
        <w:contextualSpacing/>
        <w:jc w:val="both"/>
        <w:rPr>
          <w:rFonts w:ascii="Verdana" w:eastAsia="Arial" w:hAnsi="Verdana" w:cs="Arial"/>
          <w:color w:val="000000" w:themeColor="text1"/>
          <w:sz w:val="20"/>
          <w:szCs w:val="20"/>
          <w:lang w:eastAsia="es-ES" w:bidi="es-ES"/>
        </w:rPr>
      </w:pPr>
    </w:p>
    <w:p w14:paraId="09FA1663" w14:textId="442A8591" w:rsidR="00A85210" w:rsidRPr="00A85210" w:rsidRDefault="00A85210" w:rsidP="00A85210">
      <w:pPr>
        <w:widowControl w:val="0"/>
        <w:autoSpaceDE w:val="0"/>
        <w:autoSpaceDN w:val="0"/>
        <w:snapToGrid w:val="0"/>
        <w:spacing w:after="0" w:line="240" w:lineRule="auto"/>
        <w:contextualSpacing/>
        <w:jc w:val="both"/>
        <w:rPr>
          <w:rFonts w:ascii="Verdana" w:eastAsia="Arial" w:hAnsi="Verdana" w:cs="Arial"/>
          <w:color w:val="000000" w:themeColor="text1"/>
          <w:sz w:val="20"/>
          <w:szCs w:val="20"/>
          <w:lang w:val="es-ES" w:eastAsia="es-ES" w:bidi="es-ES"/>
        </w:rPr>
      </w:pPr>
      <w:r w:rsidRPr="00A85210">
        <w:rPr>
          <w:rFonts w:ascii="Verdana" w:eastAsia="Arial" w:hAnsi="Verdana" w:cs="Arial"/>
          <w:color w:val="000000" w:themeColor="text1"/>
          <w:sz w:val="20"/>
          <w:szCs w:val="20"/>
          <w:lang w:eastAsia="es-ES" w:bidi="es-ES"/>
        </w:rPr>
        <w:t>En consecuencia, si bien las Entidades Estatales cuentan con la potestad de adoptar las medidas necesarias para restablecer el equilibrio económico del contrato, cuando estas se materialicen en una adición al valor inicial del contrato deberán observar el límite previsto en el artículo 40 de la Ley 80 de 1993</w:t>
      </w:r>
      <w:r w:rsidRPr="00A85210">
        <w:rPr>
          <w:rFonts w:ascii="Verdana" w:eastAsia="Arial" w:hAnsi="Verdana" w:cs="Arial"/>
          <w:color w:val="000000" w:themeColor="text1"/>
          <w:sz w:val="20"/>
          <w:szCs w:val="20"/>
          <w:lang w:val="es-ES" w:eastAsia="es-ES" w:bidi="es-ES"/>
        </w:rPr>
        <w:t xml:space="preserve">. </w:t>
      </w:r>
      <w:r w:rsidRPr="00A85210">
        <w:rPr>
          <w:rFonts w:ascii="Verdana" w:eastAsia="Arial" w:hAnsi="Verdana" w:cs="Arial"/>
          <w:color w:val="000000" w:themeColor="text1"/>
          <w:sz w:val="20"/>
          <w:szCs w:val="20"/>
          <w:lang w:eastAsia="es-ES" w:bidi="es-ES"/>
        </w:rPr>
        <w:t xml:space="preserve"> Sin embargo, es importante aclarar que si el contrato fue pactado bajo la modalidad de precios unitarios y el reconocimiento corresponde a mayores cantidades de obra o ítems ejecutados, no se estará ante un supuesto al que resulte aplicable dicho límite, conforme a los criterios jurisprudenciales expuestos en este concepto.</w:t>
      </w:r>
    </w:p>
    <w:p w14:paraId="4E6DBE52" w14:textId="77777777" w:rsidR="00A85210" w:rsidRDefault="00A85210" w:rsidP="00A85210">
      <w:pPr>
        <w:spacing w:line="276" w:lineRule="auto"/>
        <w:jc w:val="both"/>
        <w:rPr>
          <w:rFonts w:ascii="Verdana" w:eastAsia="Calibri" w:hAnsi="Verdana" w:cs="Arial"/>
          <w:b/>
          <w:bCs/>
          <w:lang w:val="es-ES" w:eastAsia="es-ES"/>
        </w:rPr>
      </w:pPr>
    </w:p>
    <w:p w14:paraId="5F89B07B" w14:textId="77777777" w:rsidR="00A85210" w:rsidRPr="00A85210" w:rsidRDefault="00A85210" w:rsidP="00A85210">
      <w:pPr>
        <w:widowControl w:val="0"/>
        <w:autoSpaceDE w:val="0"/>
        <w:autoSpaceDN w:val="0"/>
        <w:spacing w:after="0" w:line="240" w:lineRule="auto"/>
        <w:jc w:val="both"/>
        <w:rPr>
          <w:rFonts w:ascii="Verdana" w:eastAsia="Arial" w:hAnsi="Verdana" w:cs="Arial"/>
          <w:color w:val="000000"/>
          <w:sz w:val="20"/>
          <w:szCs w:val="20"/>
          <w:lang w:eastAsia="es-ES" w:bidi="es-ES"/>
        </w:rPr>
      </w:pPr>
    </w:p>
    <w:p w14:paraId="07AECFD8" w14:textId="77777777" w:rsidR="00980915" w:rsidRPr="0002306B" w:rsidRDefault="00980915" w:rsidP="00980915">
      <w:pPr>
        <w:widowControl w:val="0"/>
        <w:autoSpaceDE w:val="0"/>
        <w:autoSpaceDN w:val="0"/>
        <w:spacing w:after="0" w:line="240" w:lineRule="auto"/>
        <w:jc w:val="both"/>
        <w:rPr>
          <w:rFonts w:ascii="Verdana" w:eastAsia="Arial" w:hAnsi="Verdana" w:cs="Arial"/>
          <w:color w:val="000000"/>
          <w:sz w:val="20"/>
          <w:szCs w:val="20"/>
          <w:lang w:val="es-ES" w:eastAsia="es-ES" w:bidi="es-ES"/>
        </w:rPr>
      </w:pPr>
    </w:p>
    <w:p w14:paraId="28472C72" w14:textId="77777777" w:rsidR="00980915" w:rsidRDefault="00980915" w:rsidP="0014393F">
      <w:pPr>
        <w:spacing w:after="0"/>
        <w:rPr>
          <w:rFonts w:ascii="Verdana" w:hAnsi="Verdana"/>
          <w:lang w:val="es-ES"/>
        </w:rPr>
      </w:pPr>
    </w:p>
    <w:p w14:paraId="3AF58A44" w14:textId="77777777" w:rsidR="00A85210" w:rsidRDefault="00A85210" w:rsidP="0014393F">
      <w:pPr>
        <w:spacing w:after="0"/>
        <w:rPr>
          <w:rFonts w:ascii="Verdana" w:hAnsi="Verdana"/>
          <w:lang w:val="es-ES"/>
        </w:rPr>
      </w:pPr>
    </w:p>
    <w:p w14:paraId="64D2EBBC" w14:textId="77777777" w:rsidR="00A85210" w:rsidRDefault="00A85210" w:rsidP="0014393F">
      <w:pPr>
        <w:spacing w:after="0"/>
        <w:rPr>
          <w:rFonts w:ascii="Verdana" w:hAnsi="Verdana"/>
          <w:lang w:val="es-ES"/>
        </w:rPr>
      </w:pPr>
    </w:p>
    <w:p w14:paraId="4B5A834F" w14:textId="77777777" w:rsidR="00A85210" w:rsidRDefault="00A85210" w:rsidP="0014393F">
      <w:pPr>
        <w:spacing w:after="0"/>
        <w:rPr>
          <w:rFonts w:ascii="Verdana" w:hAnsi="Verdana"/>
          <w:lang w:val="es-ES"/>
        </w:rPr>
      </w:pPr>
    </w:p>
    <w:p w14:paraId="5973EE9C" w14:textId="77777777" w:rsidR="00A85210" w:rsidRDefault="00A85210" w:rsidP="0014393F">
      <w:pPr>
        <w:spacing w:after="0"/>
        <w:rPr>
          <w:rFonts w:ascii="Verdana" w:hAnsi="Verdana"/>
          <w:lang w:val="es-ES"/>
        </w:rPr>
      </w:pPr>
    </w:p>
    <w:p w14:paraId="3FE8BD80" w14:textId="77777777" w:rsidR="00A85210" w:rsidRDefault="00A85210" w:rsidP="0014393F">
      <w:pPr>
        <w:spacing w:after="0"/>
        <w:rPr>
          <w:rFonts w:ascii="Verdana" w:hAnsi="Verdana"/>
          <w:lang w:val="es-ES"/>
        </w:rPr>
      </w:pPr>
    </w:p>
    <w:p w14:paraId="3904815E" w14:textId="77777777" w:rsidR="00A85210" w:rsidRDefault="00A85210" w:rsidP="0014393F">
      <w:pPr>
        <w:spacing w:after="0"/>
        <w:rPr>
          <w:rFonts w:ascii="Verdana" w:hAnsi="Verdana"/>
          <w:lang w:val="es-ES"/>
        </w:rPr>
      </w:pPr>
    </w:p>
    <w:p w14:paraId="493EE2F6" w14:textId="77777777" w:rsidR="00A85210" w:rsidRDefault="00A85210" w:rsidP="0014393F">
      <w:pPr>
        <w:spacing w:after="0"/>
        <w:rPr>
          <w:rFonts w:ascii="Verdana" w:hAnsi="Verdana"/>
          <w:lang w:val="es-ES"/>
        </w:rPr>
      </w:pPr>
    </w:p>
    <w:p w14:paraId="6D171270" w14:textId="77777777" w:rsidR="00A85210" w:rsidRDefault="00A85210" w:rsidP="0014393F">
      <w:pPr>
        <w:spacing w:after="0"/>
        <w:rPr>
          <w:rFonts w:ascii="Verdana" w:hAnsi="Verdana"/>
          <w:lang w:val="es-ES"/>
        </w:rPr>
      </w:pPr>
    </w:p>
    <w:p w14:paraId="7B3227F0" w14:textId="77777777" w:rsidR="00A85210" w:rsidRDefault="00A85210" w:rsidP="0014393F">
      <w:pPr>
        <w:spacing w:after="0"/>
        <w:rPr>
          <w:rFonts w:ascii="Verdana" w:hAnsi="Verdana"/>
          <w:lang w:val="es-ES"/>
        </w:rPr>
      </w:pPr>
    </w:p>
    <w:p w14:paraId="1A118FA2" w14:textId="77777777" w:rsidR="00A85210" w:rsidRDefault="00A85210" w:rsidP="0014393F">
      <w:pPr>
        <w:spacing w:after="0"/>
        <w:rPr>
          <w:rFonts w:ascii="Verdana" w:hAnsi="Verdana"/>
          <w:lang w:val="es-ES"/>
        </w:rPr>
      </w:pPr>
    </w:p>
    <w:p w14:paraId="15E08B98" w14:textId="77777777" w:rsidR="00A85210" w:rsidRDefault="00A85210" w:rsidP="0014393F">
      <w:pPr>
        <w:spacing w:after="0"/>
        <w:rPr>
          <w:rFonts w:ascii="Verdana" w:hAnsi="Verdana"/>
          <w:lang w:val="es-ES"/>
        </w:rPr>
      </w:pPr>
    </w:p>
    <w:p w14:paraId="645AD01A" w14:textId="77777777" w:rsidR="00A85210" w:rsidRDefault="00A85210" w:rsidP="0014393F">
      <w:pPr>
        <w:spacing w:after="0"/>
        <w:rPr>
          <w:rFonts w:ascii="Verdana" w:hAnsi="Verdana"/>
          <w:lang w:val="es-ES"/>
        </w:rPr>
      </w:pPr>
    </w:p>
    <w:p w14:paraId="75220125" w14:textId="77777777" w:rsidR="00A85210" w:rsidRDefault="00A85210" w:rsidP="0014393F">
      <w:pPr>
        <w:spacing w:after="0"/>
        <w:rPr>
          <w:rFonts w:ascii="Verdana" w:hAnsi="Verdana"/>
          <w:lang w:val="es-ES"/>
        </w:rPr>
      </w:pPr>
    </w:p>
    <w:p w14:paraId="7F255F74" w14:textId="77777777" w:rsidR="00A85210" w:rsidRDefault="00A85210" w:rsidP="0014393F">
      <w:pPr>
        <w:spacing w:after="0"/>
        <w:rPr>
          <w:rFonts w:ascii="Verdana" w:hAnsi="Verdana"/>
          <w:lang w:val="es-ES"/>
        </w:rPr>
      </w:pPr>
    </w:p>
    <w:p w14:paraId="40BD7A3C" w14:textId="77777777" w:rsidR="00A85210" w:rsidRDefault="00A85210" w:rsidP="0014393F">
      <w:pPr>
        <w:spacing w:after="0"/>
        <w:rPr>
          <w:rFonts w:ascii="Verdana" w:hAnsi="Verdana"/>
          <w:lang w:val="es-ES"/>
        </w:rPr>
      </w:pPr>
    </w:p>
    <w:p w14:paraId="6DE39262" w14:textId="77777777" w:rsidR="00A71164" w:rsidRDefault="00A71164" w:rsidP="0014393F">
      <w:pPr>
        <w:spacing w:after="0"/>
        <w:rPr>
          <w:rFonts w:ascii="Verdana" w:hAnsi="Verdana"/>
          <w:lang w:val="es-ES"/>
        </w:rPr>
      </w:pPr>
    </w:p>
    <w:p w14:paraId="0AA1EFEA" w14:textId="76CB3CAC" w:rsidR="0014393F" w:rsidRPr="00FC6F34" w:rsidRDefault="0014393F" w:rsidP="0014393F">
      <w:pPr>
        <w:spacing w:after="0"/>
        <w:rPr>
          <w:rFonts w:ascii="Verdana" w:hAnsi="Verdana"/>
          <w:lang w:val="es-ES"/>
        </w:rPr>
      </w:pPr>
      <w:r w:rsidRPr="00FC6F34">
        <w:rPr>
          <w:rFonts w:ascii="Verdana" w:hAnsi="Verdana"/>
          <w:lang w:val="es-ES"/>
        </w:rPr>
        <w:lastRenderedPageBreak/>
        <w:t xml:space="preserve">Bogotá D.C., </w:t>
      </w:r>
      <w:r w:rsidR="00980915">
        <w:rPr>
          <w:rFonts w:ascii="Verdana" w:hAnsi="Verdana"/>
          <w:lang w:val="es-ES"/>
        </w:rPr>
        <w:t>25 de marzo de 2026</w:t>
      </w:r>
    </w:p>
    <w:p w14:paraId="017D9504" w14:textId="77777777" w:rsidR="0014393F" w:rsidRPr="00FC6F34" w:rsidRDefault="0014393F" w:rsidP="0014393F">
      <w:pPr>
        <w:spacing w:after="0"/>
        <w:rPr>
          <w:rFonts w:ascii="Verdana" w:hAnsi="Verdana"/>
          <w:lang w:val="es-ES"/>
        </w:rPr>
      </w:pPr>
    </w:p>
    <w:p w14:paraId="49CA65FC" w14:textId="338E3E9E" w:rsidR="0014393F" w:rsidRPr="00FC6F34" w:rsidRDefault="00980915" w:rsidP="0014393F">
      <w:pPr>
        <w:spacing w:after="0" w:line="240" w:lineRule="auto"/>
        <w:rPr>
          <w:rFonts w:ascii="Verdana" w:hAnsi="Verdana"/>
          <w:lang w:val="es-ES"/>
        </w:rPr>
      </w:pPr>
      <w:bookmarkStart w:id="0" w:name="_Hlk143780582"/>
      <w:r>
        <w:rPr>
          <w:rFonts w:ascii="Verdana" w:eastAsia="Calibri" w:hAnsi="Verdana" w:cs="Arial"/>
          <w:b/>
          <w:noProof/>
          <w:color w:val="000000" w:themeColor="text1"/>
          <w:lang w:eastAsia="es-ES"/>
        </w:rPr>
        <w:drawing>
          <wp:anchor distT="0" distB="0" distL="114300" distR="114300" simplePos="0" relativeHeight="251660288" behindDoc="0" locked="0" layoutInCell="1" allowOverlap="1" wp14:anchorId="692E9162" wp14:editId="0429DA7E">
            <wp:simplePos x="0" y="0"/>
            <wp:positionH relativeFrom="column">
              <wp:posOffset>2982902</wp:posOffset>
            </wp:positionH>
            <wp:positionV relativeFrom="paragraph">
              <wp:posOffset>169545</wp:posOffset>
            </wp:positionV>
            <wp:extent cx="2145665" cy="615950"/>
            <wp:effectExtent l="0" t="0" r="635" b="6350"/>
            <wp:wrapSquare wrapText="bothSides"/>
            <wp:docPr id="9307562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756277" name="Picture 93075627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45665" cy="615950"/>
                    </a:xfrm>
                    <a:prstGeom prst="rect">
                      <a:avLst/>
                    </a:prstGeom>
                  </pic:spPr>
                </pic:pic>
              </a:graphicData>
            </a:graphic>
            <wp14:sizeRelH relativeFrom="page">
              <wp14:pctWidth>0</wp14:pctWidth>
            </wp14:sizeRelH>
            <wp14:sizeRelV relativeFrom="page">
              <wp14:pctHeight>0</wp14:pctHeight>
            </wp14:sizeRelV>
          </wp:anchor>
        </w:drawing>
      </w:r>
      <w:r w:rsidR="0014393F" w:rsidRPr="00FC6F34">
        <w:rPr>
          <w:rFonts w:ascii="Verdana" w:eastAsia="Calibri" w:hAnsi="Verdana" w:cs="Arial"/>
          <w:color w:val="000000" w:themeColor="text1"/>
          <w:lang w:val="es-ES" w:eastAsia="es-ES"/>
        </w:rPr>
        <w:t>Señor</w:t>
      </w:r>
      <w:r w:rsidR="0014393F">
        <w:rPr>
          <w:rFonts w:ascii="Verdana" w:eastAsia="Calibri" w:hAnsi="Verdana" w:cs="Arial"/>
          <w:color w:val="000000" w:themeColor="text1"/>
          <w:lang w:val="es-ES" w:eastAsia="es-ES"/>
        </w:rPr>
        <w:t>a</w:t>
      </w:r>
    </w:p>
    <w:p w14:paraId="74B762D7" w14:textId="57820F35" w:rsidR="0014393F" w:rsidRDefault="0014393F" w:rsidP="0014393F">
      <w:pPr>
        <w:spacing w:after="0" w:line="240" w:lineRule="auto"/>
        <w:rPr>
          <w:rFonts w:ascii="Verdana" w:eastAsia="Calibri" w:hAnsi="Verdana" w:cs="Arial"/>
          <w:b/>
          <w:color w:val="000000" w:themeColor="text1"/>
          <w:lang w:eastAsia="es-ES"/>
        </w:rPr>
      </w:pPr>
      <w:r w:rsidRPr="00915727">
        <w:rPr>
          <w:rFonts w:ascii="Verdana" w:eastAsia="Calibri" w:hAnsi="Verdana" w:cs="Arial"/>
          <w:b/>
          <w:color w:val="000000" w:themeColor="text1"/>
          <w:lang w:eastAsia="es-ES"/>
        </w:rPr>
        <w:t>Luz Adriana Restrepo</w:t>
      </w:r>
    </w:p>
    <w:p w14:paraId="3A57C5CC" w14:textId="77777777" w:rsidR="0014393F" w:rsidRDefault="0014393F" w:rsidP="0014393F">
      <w:pPr>
        <w:spacing w:after="0" w:line="240" w:lineRule="auto"/>
        <w:rPr>
          <w:rFonts w:ascii="Verdana" w:eastAsia="Calibri" w:hAnsi="Verdana" w:cs="Arial"/>
          <w:bCs/>
          <w:color w:val="000000" w:themeColor="text1"/>
          <w:lang w:eastAsia="es-ES"/>
        </w:rPr>
      </w:pPr>
      <w:hyperlink r:id="rId12" w:history="1">
        <w:r w:rsidRPr="00BD72A3">
          <w:rPr>
            <w:rStyle w:val="Hipervnculo"/>
            <w:rFonts w:ascii="Verdana" w:eastAsia="Calibri" w:hAnsi="Verdana" w:cs="Arial"/>
            <w:bCs/>
            <w:lang w:eastAsia="es-ES"/>
          </w:rPr>
          <w:t>luzrestrepoabogada@gmail.com</w:t>
        </w:r>
      </w:hyperlink>
    </w:p>
    <w:p w14:paraId="544BE7F8" w14:textId="77777777" w:rsidR="0014393F" w:rsidRPr="00FC6F34" w:rsidRDefault="0014393F" w:rsidP="0014393F">
      <w:pPr>
        <w:spacing w:after="0" w:line="240" w:lineRule="auto"/>
        <w:rPr>
          <w:rFonts w:ascii="Verdana" w:eastAsia="Calibri" w:hAnsi="Verdana" w:cs="Arial"/>
          <w:b/>
          <w:bCs/>
          <w:color w:val="000000" w:themeColor="text1"/>
          <w:lang w:val="es-ES" w:eastAsia="es-ES"/>
        </w:rPr>
      </w:pPr>
      <w:r>
        <w:rPr>
          <w:rFonts w:ascii="Verdana" w:hAnsi="Verdana"/>
          <w:lang w:val="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4393F" w:rsidRPr="00FC6F34" w14:paraId="1411B1EE" w14:textId="77777777" w:rsidTr="0060787B">
        <w:trPr>
          <w:trHeight w:val="300"/>
        </w:trPr>
        <w:tc>
          <w:tcPr>
            <w:tcW w:w="2410" w:type="dxa"/>
          </w:tcPr>
          <w:p w14:paraId="7F0EEC28" w14:textId="77777777" w:rsidR="0014393F" w:rsidRPr="00FC6F34" w:rsidRDefault="0014393F" w:rsidP="0060787B">
            <w:pPr>
              <w:ind w:left="-142"/>
              <w:jc w:val="both"/>
              <w:rPr>
                <w:rFonts w:ascii="Verdana" w:eastAsia="Calibri" w:hAnsi="Verdana" w:cs="Arial"/>
                <w:b/>
                <w:bCs/>
                <w:color w:val="000000" w:themeColor="text1"/>
                <w:lang w:val="es-ES" w:eastAsia="es-ES_tradnl"/>
              </w:rPr>
            </w:pPr>
          </w:p>
        </w:tc>
        <w:tc>
          <w:tcPr>
            <w:tcW w:w="6100" w:type="dxa"/>
          </w:tcPr>
          <w:p w14:paraId="7A86BD47" w14:textId="77777777" w:rsidR="0014393F" w:rsidRDefault="0014393F" w:rsidP="0060787B">
            <w:pPr>
              <w:ind w:left="3"/>
              <w:jc w:val="both"/>
              <w:rPr>
                <w:rFonts w:ascii="Verdana" w:eastAsia="Calibri" w:hAnsi="Verdana" w:cs="Arial"/>
                <w:b/>
                <w:bCs/>
                <w:color w:val="000000" w:themeColor="text1"/>
                <w:lang w:val="es-ES" w:eastAsia="es-ES"/>
              </w:rPr>
            </w:pPr>
          </w:p>
          <w:p w14:paraId="1E184BA6" w14:textId="41E134FE" w:rsidR="0014393F" w:rsidRPr="00FC6F34" w:rsidRDefault="0014393F" w:rsidP="0060787B">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763F5F">
              <w:rPr>
                <w:rFonts w:ascii="Verdana" w:eastAsia="Calibri" w:hAnsi="Verdana" w:cs="Arial"/>
                <w:b/>
                <w:bCs/>
                <w:color w:val="000000" w:themeColor="text1"/>
                <w:lang w:val="es-ES" w:eastAsia="es-ES"/>
              </w:rPr>
              <w:t>216</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251AE6B7" w14:textId="77777777" w:rsidR="0014393F" w:rsidRPr="00FC6F34" w:rsidRDefault="0014393F" w:rsidP="0060787B">
            <w:pPr>
              <w:ind w:left="3"/>
              <w:jc w:val="both"/>
              <w:rPr>
                <w:rFonts w:ascii="Verdana" w:eastAsia="Calibri" w:hAnsi="Verdana" w:cs="Arial"/>
                <w:b/>
                <w:bCs/>
                <w:color w:val="000000" w:themeColor="text1"/>
                <w:lang w:val="es-ES" w:eastAsia="es-ES"/>
              </w:rPr>
            </w:pPr>
          </w:p>
        </w:tc>
      </w:tr>
      <w:tr w:rsidR="0014393F" w:rsidRPr="00FC6F34" w14:paraId="302D7D47" w14:textId="77777777" w:rsidTr="0060787B">
        <w:trPr>
          <w:trHeight w:val="300"/>
        </w:trPr>
        <w:tc>
          <w:tcPr>
            <w:tcW w:w="2410" w:type="dxa"/>
          </w:tcPr>
          <w:p w14:paraId="05E3BAD3" w14:textId="77777777" w:rsidR="0014393F" w:rsidRPr="00FC6F34" w:rsidRDefault="0014393F" w:rsidP="0060787B">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0C82EF72" w14:textId="5116C742" w:rsidR="0014393F" w:rsidRPr="004009DD" w:rsidRDefault="0014393F" w:rsidP="0060787B">
            <w:pPr>
              <w:spacing w:line="276" w:lineRule="auto"/>
              <w:jc w:val="both"/>
              <w:rPr>
                <w:rFonts w:ascii="Verdana" w:eastAsia="Calibri" w:hAnsi="Verdana" w:cs="Arial"/>
                <w:lang w:val="es-ES" w:eastAsia="es-ES"/>
              </w:rPr>
            </w:pPr>
            <w:r w:rsidRPr="00BC1639">
              <w:rPr>
                <w:rFonts w:ascii="Verdana" w:hAnsi="Verdana" w:cs="Arial"/>
                <w:bCs/>
                <w:lang w:eastAsia="es-ES" w:bidi="es-ES"/>
              </w:rPr>
              <w:t>MODIFICACION DE LOS CONTRATOS ESTATALES – Carácter Excepcional /</w:t>
            </w:r>
            <w:r>
              <w:rPr>
                <w:rFonts w:ascii="Verdana" w:hAnsi="Verdana" w:cs="Arial"/>
                <w:b/>
                <w:lang w:eastAsia="es-ES" w:bidi="es-ES"/>
              </w:rPr>
              <w:t xml:space="preserve"> </w:t>
            </w:r>
            <w:r w:rsidRPr="00B31C7B">
              <w:rPr>
                <w:rFonts w:ascii="Verdana" w:hAnsi="Verdana" w:cs="Arial"/>
                <w:bCs/>
                <w:lang w:eastAsia="es-ES" w:bidi="es-ES"/>
              </w:rPr>
              <w:t>ADICIÓN – Concepto – Distintos supuestos – Prohibición – Adición en más del 50%</w:t>
            </w:r>
            <w:r>
              <w:rPr>
                <w:rFonts w:ascii="Verdana" w:hAnsi="Verdana" w:cs="Arial"/>
                <w:bCs/>
                <w:lang w:eastAsia="es-ES" w:bidi="es-ES"/>
              </w:rPr>
              <w:t xml:space="preserve"> / </w:t>
            </w:r>
            <w:r w:rsidRPr="00660AA2">
              <w:rPr>
                <w:rFonts w:ascii="Verdana" w:eastAsia="Calibri" w:hAnsi="Verdana" w:cs="Arial"/>
                <w:lang w:val="es-ES" w:eastAsia="es-ES"/>
              </w:rPr>
              <w:t>EQUILIBRIO ECONÓMICO – Contrato estatal – Concepto / EQUILIBRIO ECONÓMICO –</w:t>
            </w:r>
            <w:r>
              <w:rPr>
                <w:rFonts w:ascii="Verdana" w:eastAsia="Calibri" w:hAnsi="Verdana" w:cs="Arial"/>
                <w:lang w:val="es-ES" w:eastAsia="es-ES"/>
              </w:rPr>
              <w:t xml:space="preserve"> </w:t>
            </w:r>
            <w:r w:rsidRPr="00660AA2">
              <w:rPr>
                <w:rFonts w:ascii="Verdana" w:eastAsia="Calibri" w:hAnsi="Verdana" w:cs="Arial"/>
                <w:lang w:val="es-ES" w:eastAsia="es-ES"/>
              </w:rPr>
              <w:t>Restablecimiento – Procedencia – Requisitos</w:t>
            </w:r>
            <w:r>
              <w:rPr>
                <w:rFonts w:ascii="Verdana" w:eastAsia="Calibri" w:hAnsi="Verdana" w:cs="Arial"/>
                <w:lang w:val="es-ES" w:eastAsia="es-ES"/>
              </w:rPr>
              <w:t xml:space="preserve"> / </w:t>
            </w:r>
            <w:r w:rsidRPr="00660AA2">
              <w:rPr>
                <w:rFonts w:ascii="Verdana" w:eastAsia="Calibri" w:hAnsi="Verdana" w:cs="Arial"/>
                <w:lang w:val="es-ES" w:eastAsia="es-ES"/>
              </w:rPr>
              <w:t xml:space="preserve">RESTABLECIMIENTO DE LA ECUACIÓN ECONÓMICA – Liquidación </w:t>
            </w:r>
            <w:r>
              <w:rPr>
                <w:rFonts w:ascii="Verdana" w:eastAsia="Calibri" w:hAnsi="Verdana" w:cs="Arial"/>
                <w:lang w:val="es-ES" w:eastAsia="es-ES"/>
              </w:rPr>
              <w:t xml:space="preserve">/ </w:t>
            </w:r>
            <w:r w:rsidRPr="00A04C35">
              <w:rPr>
                <w:rFonts w:ascii="Verdana" w:hAnsi="Verdana" w:cs="Arial"/>
                <w:lang w:val="es-ES" w:eastAsia="es-ES"/>
              </w:rPr>
              <w:t xml:space="preserve">ENRIQUECIMIENTO SIN JUSTA CAUSA – Sentencia de Unificación del 19 de noviembre de 2012 – Alcance / ENRIQUECIMIENTO SIN JUSTA CAUSA – Nueva Postura – Sentencia de Unificación Jurisprudencial – Elementos – Prueba de la Actividad - Circunstancia Excepcional </w:t>
            </w:r>
            <w:r w:rsidR="00450F5C">
              <w:rPr>
                <w:rFonts w:ascii="Verdana" w:hAnsi="Verdana" w:cs="Arial"/>
                <w:lang w:val="es-ES" w:eastAsia="es-ES"/>
              </w:rPr>
              <w:t>–</w:t>
            </w:r>
            <w:r w:rsidRPr="00A04C35">
              <w:rPr>
                <w:rFonts w:ascii="Verdana" w:hAnsi="Verdana" w:cs="Arial"/>
                <w:lang w:val="es-ES" w:eastAsia="es-ES"/>
              </w:rPr>
              <w:t xml:space="preserve"> Procedencia</w:t>
            </w:r>
            <w:r w:rsidR="00450F5C">
              <w:rPr>
                <w:rFonts w:ascii="Verdana" w:hAnsi="Verdana" w:cs="Arial"/>
                <w:lang w:val="es-ES" w:eastAsia="es-ES"/>
              </w:rPr>
              <w:t xml:space="preserve"> / </w:t>
            </w:r>
            <w:r w:rsidR="00450F5C" w:rsidRPr="00450F5C">
              <w:rPr>
                <w:rFonts w:ascii="Verdana" w:hAnsi="Verdana" w:cs="Arial"/>
                <w:lang w:val="es-ES" w:eastAsia="es-ES"/>
              </w:rPr>
              <w:t>EQUILIBRIO ECONÓMICO – Restablecimiento – Limite de adiciones – Alcance</w:t>
            </w:r>
          </w:p>
          <w:p w14:paraId="1628A423" w14:textId="77777777" w:rsidR="0014393F" w:rsidRPr="00FC6F34" w:rsidRDefault="0014393F" w:rsidP="0060787B">
            <w:pPr>
              <w:spacing w:line="276" w:lineRule="auto"/>
              <w:jc w:val="both"/>
              <w:rPr>
                <w:rFonts w:ascii="Verdana" w:eastAsia="Calibri" w:hAnsi="Verdana" w:cs="Arial"/>
                <w:color w:val="000000" w:themeColor="text1"/>
                <w:lang w:val="es-ES" w:eastAsia="es-ES"/>
              </w:rPr>
            </w:pPr>
          </w:p>
        </w:tc>
      </w:tr>
      <w:tr w:rsidR="0014393F" w:rsidRPr="00FC6F34" w14:paraId="35D0DA6E" w14:textId="77777777" w:rsidTr="0060787B">
        <w:tc>
          <w:tcPr>
            <w:tcW w:w="2410" w:type="dxa"/>
          </w:tcPr>
          <w:p w14:paraId="5C2BC6DC" w14:textId="77777777" w:rsidR="0014393F" w:rsidRPr="00FC6F34" w:rsidRDefault="0014393F" w:rsidP="0060787B">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1678DD5C" w14:textId="77777777" w:rsidR="0014393F" w:rsidRPr="006E19EE" w:rsidRDefault="0014393F" w:rsidP="0060787B">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 con radicado No.</w:t>
            </w:r>
            <w:r w:rsidRPr="006E19EE">
              <w:rPr>
                <w:rFonts w:ascii="Verdana" w:eastAsia="Calibri" w:hAnsi="Verdana" w:cs="Arial"/>
                <w:color w:val="000000" w:themeColor="text1"/>
                <w:lang w:val="es-ES" w:eastAsia="es-ES"/>
              </w:rPr>
              <w:t xml:space="preserve"> </w:t>
            </w:r>
            <w:r w:rsidRPr="00915727">
              <w:rPr>
                <w:rFonts w:ascii="Verdana" w:eastAsia="Calibri" w:hAnsi="Verdana" w:cs="Arial"/>
                <w:color w:val="000000" w:themeColor="text1"/>
                <w:lang w:eastAsia="es-ES"/>
              </w:rPr>
              <w:t>1_2026_02_13_001928</w:t>
            </w:r>
          </w:p>
        </w:tc>
      </w:tr>
    </w:tbl>
    <w:p w14:paraId="285876CB" w14:textId="77777777" w:rsidR="0014393F" w:rsidRPr="00FC6F34" w:rsidRDefault="0014393F" w:rsidP="0014393F">
      <w:pPr>
        <w:spacing w:after="0" w:line="276" w:lineRule="auto"/>
        <w:jc w:val="both"/>
        <w:rPr>
          <w:rFonts w:ascii="Verdana" w:eastAsia="Calibri" w:hAnsi="Verdana" w:cs="Arial"/>
          <w:color w:val="000000" w:themeColor="text1"/>
          <w:lang w:val="es-ES" w:eastAsia="es-ES"/>
        </w:rPr>
      </w:pPr>
    </w:p>
    <w:p w14:paraId="64D21280" w14:textId="77777777" w:rsidR="0014393F" w:rsidRPr="00FC6F34" w:rsidRDefault="0014393F" w:rsidP="0014393F">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 señora Restrepo</w:t>
      </w:r>
      <w:r w:rsidRPr="00FC6F34">
        <w:rPr>
          <w:rFonts w:ascii="Verdana" w:eastAsia="Calibri" w:hAnsi="Verdana" w:cs="Arial"/>
          <w:color w:val="000000" w:themeColor="text1"/>
          <w:lang w:val="es-ES" w:eastAsia="es-ES"/>
        </w:rPr>
        <w:t xml:space="preserve">: </w:t>
      </w:r>
    </w:p>
    <w:p w14:paraId="6A1CA0A6" w14:textId="77777777" w:rsidR="0014393F" w:rsidRPr="00FC6F34" w:rsidRDefault="0014393F" w:rsidP="0014393F">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674BEC93" w14:textId="77777777" w:rsidR="0014393F" w:rsidRDefault="0014393F" w:rsidP="0014393F">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12 de febrero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66BFAF4C" w14:textId="77777777" w:rsidR="0014393F" w:rsidRPr="00915727" w:rsidRDefault="0014393F" w:rsidP="0014393F">
      <w:pPr>
        <w:spacing w:after="0" w:line="276" w:lineRule="auto"/>
        <w:jc w:val="both"/>
        <w:rPr>
          <w:rFonts w:ascii="Verdana" w:eastAsia="Calibri" w:hAnsi="Verdana" w:cs="Arial"/>
          <w:color w:val="000000" w:themeColor="text1"/>
          <w:lang w:val="es-ES" w:eastAsia="es-ES"/>
        </w:rPr>
      </w:pPr>
    </w:p>
    <w:p w14:paraId="62B4E607" w14:textId="77777777" w:rsidR="0014393F" w:rsidRPr="00915727" w:rsidRDefault="0014393F" w:rsidP="0014393F">
      <w:pPr>
        <w:spacing w:after="0"/>
        <w:ind w:left="709" w:right="709"/>
        <w:jc w:val="both"/>
        <w:rPr>
          <w:rFonts w:ascii="Verdana" w:eastAsia="Century Gothic" w:hAnsi="Verdana" w:cs="Century Gothic"/>
          <w:i/>
          <w:color w:val="000000" w:themeColor="text1"/>
          <w:sz w:val="20"/>
          <w:szCs w:val="20"/>
          <w:lang/>
        </w:rPr>
      </w:pPr>
      <w:r>
        <w:rPr>
          <w:rFonts w:ascii="Verdana" w:eastAsia="Century Gothic" w:hAnsi="Verdana" w:cs="Century Gothic"/>
          <w:i/>
          <w:color w:val="000000" w:themeColor="text1"/>
          <w:sz w:val="20"/>
          <w:szCs w:val="20"/>
          <w:lang w:val="es-ES"/>
        </w:rPr>
        <w:lastRenderedPageBreak/>
        <w:t>“</w:t>
      </w:r>
      <w:r w:rsidRPr="00915727">
        <w:rPr>
          <w:rFonts w:ascii="Verdana" w:eastAsia="Century Gothic" w:hAnsi="Verdana" w:cs="Century Gothic"/>
          <w:i/>
          <w:color w:val="000000" w:themeColor="text1"/>
          <w:sz w:val="20"/>
          <w:szCs w:val="20"/>
          <w:lang/>
        </w:rPr>
        <w:t>En ejercicio del derecho de petición consagrado en el artículo 23 de la Constitución Política y en la Ley 1755 de 2015, me permito formular consulta relacionada con la aplicación del límite previsto en el parágrafo del artículo 40 de la Ley 80 de 1993, conforme al cual los contratos estatales no podrán adicionarse en más del cincuenta por ciento (50%) de su valor inicial.</w:t>
      </w:r>
    </w:p>
    <w:p w14:paraId="50E97834" w14:textId="77777777" w:rsidR="0014393F" w:rsidRPr="00915727" w:rsidRDefault="0014393F" w:rsidP="0014393F">
      <w:pPr>
        <w:spacing w:after="0"/>
        <w:ind w:left="709" w:right="709"/>
        <w:jc w:val="both"/>
        <w:rPr>
          <w:rFonts w:ascii="Verdana" w:eastAsia="Century Gothic" w:hAnsi="Verdana" w:cs="Century Gothic"/>
          <w:i/>
          <w:color w:val="000000" w:themeColor="text1"/>
          <w:sz w:val="20"/>
          <w:szCs w:val="20"/>
          <w:lang/>
        </w:rPr>
      </w:pPr>
      <w:r w:rsidRPr="00915727">
        <w:rPr>
          <w:rFonts w:ascii="Verdana" w:eastAsia="Century Gothic" w:hAnsi="Verdana" w:cs="Century Gothic"/>
          <w:i/>
          <w:color w:val="000000" w:themeColor="text1"/>
          <w:sz w:val="20"/>
          <w:szCs w:val="20"/>
          <w:lang/>
        </w:rPr>
        <w:t>El interrogante surge frente a la siguiente situación jurídica: cuando, durante la ejecución de un contrato estatal, se configura una ruptura de la ecuación económica contractual por circunstancias sobrevinientes, imprevisibles y no imputables al contratista, y la entidad procede a reconocer valores tendientes a restablecer el equilibrio económico del contrato, en los términos del artículo 5 numeral 1 de la Ley 80 de 1993, ¿dicho reconocimiento debe entenderse como una adición contractual sometida al límite del 50% del valor inicial del contrato previsto en el artículo 40 ibídem?</w:t>
      </w:r>
    </w:p>
    <w:p w14:paraId="27B53EAE" w14:textId="77777777" w:rsidR="0014393F" w:rsidRPr="00915727" w:rsidRDefault="0014393F" w:rsidP="0014393F">
      <w:pPr>
        <w:spacing w:after="0"/>
        <w:ind w:left="709" w:right="709"/>
        <w:jc w:val="both"/>
        <w:rPr>
          <w:rFonts w:ascii="Verdana" w:eastAsia="Century Gothic" w:hAnsi="Verdana" w:cs="Century Gothic"/>
          <w:i/>
          <w:color w:val="000000" w:themeColor="text1"/>
          <w:sz w:val="20"/>
          <w:szCs w:val="20"/>
          <w:lang/>
        </w:rPr>
      </w:pPr>
      <w:r w:rsidRPr="00915727">
        <w:rPr>
          <w:rFonts w:ascii="Verdana" w:eastAsia="Century Gothic" w:hAnsi="Verdana" w:cs="Century Gothic"/>
          <w:i/>
          <w:color w:val="000000" w:themeColor="text1"/>
          <w:sz w:val="20"/>
          <w:szCs w:val="20"/>
          <w:lang/>
        </w:rPr>
        <w:t>En otras palabras, se solicita concepto sobre si el restablecimiento del equilibrio económico constituye jurídicamente una “adición” al contrato , y por tanto se encuentra sujeto al límite cuantitativo señalado en la norma o si, por el contrario, se trata de un mecanismo legal autónomo destinado a preservar la equivalencia económica inicial del contrato, que no configura una modificación del valor contractual en los términos del artículo 40 de la Ley 80 de 1993.</w:t>
      </w:r>
    </w:p>
    <w:p w14:paraId="6F32603E" w14:textId="77777777" w:rsidR="0014393F" w:rsidRPr="00915727" w:rsidRDefault="0014393F" w:rsidP="0014393F">
      <w:pPr>
        <w:spacing w:after="0"/>
        <w:ind w:left="709" w:right="709"/>
        <w:jc w:val="both"/>
        <w:rPr>
          <w:rFonts w:ascii="Verdana" w:eastAsia="Century Gothic" w:hAnsi="Verdana" w:cs="Century Gothic"/>
          <w:i/>
          <w:color w:val="000000" w:themeColor="text1"/>
          <w:sz w:val="20"/>
          <w:szCs w:val="20"/>
          <w:lang/>
        </w:rPr>
      </w:pPr>
      <w:r w:rsidRPr="00915727">
        <w:rPr>
          <w:rFonts w:ascii="Verdana" w:eastAsia="Century Gothic" w:hAnsi="Verdana" w:cs="Century Gothic"/>
          <w:i/>
          <w:color w:val="000000" w:themeColor="text1"/>
          <w:sz w:val="20"/>
          <w:szCs w:val="20"/>
          <w:lang/>
        </w:rPr>
        <w:t>Lo anterior, teniendo en cuenta que el artículo 5 numeral 1 de la Ley 80 de 1993 reconoce expresamente el derecho del contratista a que la administración restablezca el equilibrio de la ecuación económica del contrato a un punto de no pérdida, cuando se presenten situaciones imprevistas que no le sean imputables, lo que podría implicar que dicho reconocimiento no tiene naturaleza de adición sino de ajuste compensatorio.</w:t>
      </w:r>
    </w:p>
    <w:p w14:paraId="7AA30BDA" w14:textId="77777777" w:rsidR="0014393F" w:rsidRDefault="0014393F" w:rsidP="0014393F">
      <w:pPr>
        <w:spacing w:after="0"/>
        <w:ind w:left="709" w:right="709"/>
        <w:jc w:val="both"/>
        <w:rPr>
          <w:rFonts w:ascii="Verdana" w:hAnsi="Verdana"/>
          <w:sz w:val="20"/>
          <w:szCs w:val="20"/>
        </w:rPr>
      </w:pPr>
      <w:r w:rsidRPr="00915727">
        <w:rPr>
          <w:rFonts w:ascii="Verdana" w:eastAsia="Century Gothic" w:hAnsi="Verdana" w:cs="Century Gothic"/>
          <w:i/>
          <w:color w:val="000000" w:themeColor="text1"/>
          <w:sz w:val="20"/>
          <w:szCs w:val="20"/>
          <w:lang/>
        </w:rPr>
        <w:t>Agradezco de antemano la orientación jurídica que esa Agencia pueda brindar sobre el alcance normativo del límite del 50% frente a los reconocimientos efectuados por concepto de restablecimiento del equilibrio económico contractual</w:t>
      </w:r>
      <w:r w:rsidRPr="00BF306B">
        <w:rPr>
          <w:rFonts w:ascii="Verdana" w:hAnsi="Verdana"/>
          <w:sz w:val="20"/>
          <w:szCs w:val="20"/>
        </w:rPr>
        <w:t>”</w:t>
      </w:r>
    </w:p>
    <w:p w14:paraId="5C0AA899" w14:textId="77777777" w:rsidR="0014393F" w:rsidRDefault="0014393F" w:rsidP="0014393F">
      <w:pPr>
        <w:spacing w:after="0"/>
        <w:ind w:left="709" w:right="709"/>
        <w:jc w:val="both"/>
        <w:rPr>
          <w:rFonts w:ascii="Verdana" w:eastAsia="Century Gothic" w:hAnsi="Verdana" w:cs="Century Gothic"/>
          <w:i/>
          <w:color w:val="000000" w:themeColor="text1"/>
          <w:sz w:val="20"/>
          <w:szCs w:val="20"/>
          <w:lang/>
        </w:rPr>
      </w:pPr>
    </w:p>
    <w:p w14:paraId="1FF2DFE8" w14:textId="77777777" w:rsidR="0014393F" w:rsidRPr="00FC6F34" w:rsidRDefault="0014393F" w:rsidP="0014393F">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FC6F34">
        <w:rPr>
          <w:rFonts w:ascii="Verdana" w:eastAsia="Calibri" w:hAnsi="Verdana" w:cs="Arial"/>
          <w:color w:val="000000" w:themeColor="text1"/>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43849774" w14:textId="77777777" w:rsidR="0014393F" w:rsidRPr="00C327DE" w:rsidRDefault="0014393F" w:rsidP="0014393F">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0B3249E" w14:textId="77777777" w:rsidR="0014393F" w:rsidRPr="00FC6F34" w:rsidRDefault="0014393F" w:rsidP="0014393F">
      <w:pPr>
        <w:spacing w:after="0" w:line="276" w:lineRule="auto"/>
        <w:jc w:val="both"/>
        <w:rPr>
          <w:rFonts w:ascii="Verdana" w:eastAsia="Calibri" w:hAnsi="Verdana" w:cs="Arial"/>
          <w:color w:val="000000" w:themeColor="text1"/>
          <w:lang w:val="es-ES" w:eastAsia="es-ES"/>
        </w:rPr>
      </w:pPr>
    </w:p>
    <w:p w14:paraId="03909552" w14:textId="77777777" w:rsidR="0014393F" w:rsidRPr="00FC6F34" w:rsidRDefault="0014393F" w:rsidP="0014393F">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5CBD2F0C" w14:textId="77777777" w:rsidR="0014393F" w:rsidRPr="00FC6F34" w:rsidRDefault="0014393F" w:rsidP="0014393F">
      <w:pPr>
        <w:tabs>
          <w:tab w:val="left" w:pos="426"/>
        </w:tabs>
        <w:spacing w:after="0" w:line="276" w:lineRule="auto"/>
        <w:jc w:val="both"/>
        <w:rPr>
          <w:rFonts w:ascii="Verdana" w:eastAsia="Century Gothic" w:hAnsi="Verdana" w:cs="Century Gothic"/>
          <w:color w:val="000000" w:themeColor="text1"/>
          <w:lang w:val="es-ES"/>
        </w:rPr>
      </w:pPr>
    </w:p>
    <w:p w14:paraId="60C2CB67" w14:textId="77777777" w:rsidR="0014393F" w:rsidRPr="00FC6F34" w:rsidRDefault="0014393F" w:rsidP="0014393F">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Pr>
          <w:rFonts w:ascii="Verdana" w:eastAsia="Century Gothic" w:hAnsi="Verdana" w:cs="Century Gothic"/>
        </w:rPr>
        <w:t>¿Cuál es el alcance del límite establecido en el artículo 40 de la Ley 80 de 1993 con respecto a las medidas que adopten las entidades para restablecer el equilibrio económico del contrato?</w:t>
      </w:r>
    </w:p>
    <w:p w14:paraId="2C022BC6" w14:textId="77777777" w:rsidR="0014393F" w:rsidRPr="00FC6F34" w:rsidRDefault="0014393F" w:rsidP="0014393F">
      <w:pPr>
        <w:spacing w:after="0" w:line="276" w:lineRule="auto"/>
        <w:jc w:val="both"/>
        <w:rPr>
          <w:rFonts w:ascii="Verdana" w:eastAsia="Calibri" w:hAnsi="Verdana" w:cs="Arial"/>
          <w:color w:val="000000" w:themeColor="text1"/>
          <w:lang w:val="es-ES"/>
        </w:rPr>
      </w:pPr>
    </w:p>
    <w:p w14:paraId="6A562058" w14:textId="77777777" w:rsidR="0014393F" w:rsidRPr="00FC6F34" w:rsidRDefault="0014393F" w:rsidP="0014393F">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0523D2DF" w14:textId="77777777" w:rsidR="0014393F" w:rsidRPr="00FC6F34" w:rsidRDefault="0014393F" w:rsidP="0014393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4393F" w:rsidRPr="00FC6F34" w14:paraId="03522640" w14:textId="77777777" w:rsidTr="0060787B">
        <w:tc>
          <w:tcPr>
            <w:tcW w:w="8828" w:type="dxa"/>
          </w:tcPr>
          <w:p w14:paraId="4A5D7500" w14:textId="77777777" w:rsidR="0014393F" w:rsidRPr="00B128F0" w:rsidRDefault="0014393F" w:rsidP="0060787B">
            <w:pPr>
              <w:widowControl w:val="0"/>
              <w:autoSpaceDE w:val="0"/>
              <w:autoSpaceDN w:val="0"/>
              <w:spacing w:before="120" w:line="276" w:lineRule="auto"/>
              <w:jc w:val="both"/>
              <w:rPr>
                <w:rFonts w:ascii="Verdana" w:eastAsia="Arial" w:hAnsi="Verdana" w:cs="Arial"/>
                <w:color w:val="000000" w:themeColor="text1"/>
                <w:lang w:val="es-ES" w:eastAsia="es-ES" w:bidi="es-ES"/>
              </w:rPr>
            </w:pPr>
            <w:r>
              <w:rPr>
                <w:rFonts w:ascii="Verdana" w:eastAsia="Arial" w:hAnsi="Verdana" w:cs="Arial"/>
                <w:color w:val="000000" w:themeColor="text1"/>
                <w:lang w:val="es-ES" w:eastAsia="es-ES" w:bidi="es-ES"/>
              </w:rPr>
              <w:t>C</w:t>
            </w:r>
            <w:r w:rsidRPr="00B128F0">
              <w:rPr>
                <w:rFonts w:ascii="Verdana" w:eastAsia="Arial" w:hAnsi="Verdana" w:cs="Arial"/>
                <w:color w:val="000000" w:themeColor="text1"/>
                <w:lang w:val="es-ES" w:eastAsia="es-ES" w:bidi="es-ES"/>
              </w:rPr>
              <w:t>uando se presenten situaciones que generen el desequilibrio económico del contrato</w:t>
            </w:r>
            <w:r>
              <w:rPr>
                <w:rFonts w:ascii="Verdana" w:eastAsia="Arial" w:hAnsi="Verdana" w:cs="Arial"/>
                <w:color w:val="000000" w:themeColor="text1"/>
                <w:lang w:val="es-ES" w:eastAsia="es-ES" w:bidi="es-ES"/>
              </w:rPr>
              <w:t>,</w:t>
            </w:r>
            <w:r w:rsidRPr="00B128F0">
              <w:rPr>
                <w:rFonts w:ascii="Verdana" w:eastAsia="Arial" w:hAnsi="Verdana" w:cs="Arial"/>
                <w:color w:val="000000" w:themeColor="text1"/>
                <w:lang w:val="es-ES" w:eastAsia="es-ES" w:bidi="es-ES"/>
              </w:rPr>
              <w:t xml:space="preserve"> y previa revisión de su procedencia conforme el análisis del caso concreto, la entidad deberá adoptar las medidas </w:t>
            </w:r>
            <w:r>
              <w:rPr>
                <w:rFonts w:ascii="Verdana" w:eastAsia="Arial" w:hAnsi="Verdana" w:cs="Arial"/>
                <w:color w:val="000000" w:themeColor="text1"/>
                <w:lang w:val="es-ES" w:eastAsia="es-ES" w:bidi="es-ES"/>
              </w:rPr>
              <w:t xml:space="preserve">necesarias </w:t>
            </w:r>
            <w:r w:rsidRPr="00B128F0">
              <w:rPr>
                <w:rFonts w:ascii="Verdana" w:eastAsia="Arial" w:hAnsi="Verdana" w:cs="Arial"/>
                <w:color w:val="000000" w:themeColor="text1"/>
                <w:lang w:val="es-ES" w:eastAsia="es-ES" w:bidi="es-ES"/>
              </w:rPr>
              <w:t xml:space="preserve">para su restablecimiento, si a ello hay lugar, para lo cual tiene la potestad </w:t>
            </w:r>
            <w:r>
              <w:rPr>
                <w:rFonts w:ascii="Verdana" w:eastAsia="Arial" w:hAnsi="Verdana" w:cs="Arial"/>
                <w:color w:val="000000" w:themeColor="text1"/>
                <w:lang w:val="es-ES" w:eastAsia="es-ES" w:bidi="es-ES"/>
              </w:rPr>
              <w:t>para</w:t>
            </w:r>
            <w:r w:rsidRPr="00B128F0">
              <w:rPr>
                <w:rFonts w:ascii="Verdana" w:eastAsia="Arial" w:hAnsi="Verdana" w:cs="Arial"/>
                <w:color w:val="000000" w:themeColor="text1"/>
                <w:lang w:val="es-ES" w:eastAsia="es-ES" w:bidi="es-ES"/>
              </w:rPr>
              <w:t xml:space="preserve"> suscribir los acuerdos </w:t>
            </w:r>
            <w:r>
              <w:rPr>
                <w:rFonts w:ascii="Verdana" w:eastAsia="Arial" w:hAnsi="Verdana" w:cs="Arial"/>
                <w:color w:val="000000" w:themeColor="text1"/>
                <w:lang w:val="es-ES" w:eastAsia="es-ES" w:bidi="es-ES"/>
              </w:rPr>
              <w:t xml:space="preserve">correspondientes </w:t>
            </w:r>
            <w:r w:rsidRPr="00B128F0">
              <w:rPr>
                <w:rFonts w:ascii="Verdana" w:eastAsia="Arial" w:hAnsi="Verdana" w:cs="Arial"/>
                <w:color w:val="000000" w:themeColor="text1"/>
                <w:lang w:val="es-ES" w:eastAsia="es-ES" w:bidi="es-ES"/>
              </w:rPr>
              <w:t xml:space="preserve">sobre cuantía, condiciones, forma de pago, etc. En todo caso, cualquier modificación que realice deberá estar debidamente motivada y respetar las reglas </w:t>
            </w:r>
            <w:r>
              <w:rPr>
                <w:rFonts w:ascii="Verdana" w:eastAsia="Arial" w:hAnsi="Verdana" w:cs="Arial"/>
                <w:color w:val="000000" w:themeColor="text1"/>
                <w:lang w:val="es-ES" w:eastAsia="es-ES" w:bidi="es-ES"/>
              </w:rPr>
              <w:t xml:space="preserve">y límites </w:t>
            </w:r>
            <w:r w:rsidRPr="00B128F0">
              <w:rPr>
                <w:rFonts w:ascii="Verdana" w:eastAsia="Arial" w:hAnsi="Verdana" w:cs="Arial"/>
                <w:color w:val="000000" w:themeColor="text1"/>
                <w:lang w:val="es-ES" w:eastAsia="es-ES" w:bidi="es-ES"/>
              </w:rPr>
              <w:t>establecid</w:t>
            </w:r>
            <w:r>
              <w:rPr>
                <w:rFonts w:ascii="Verdana" w:eastAsia="Arial" w:hAnsi="Verdana" w:cs="Arial"/>
                <w:color w:val="000000" w:themeColor="text1"/>
                <w:lang w:val="es-ES" w:eastAsia="es-ES" w:bidi="es-ES"/>
              </w:rPr>
              <w:t>o</w:t>
            </w:r>
            <w:r w:rsidRPr="00B128F0">
              <w:rPr>
                <w:rFonts w:ascii="Verdana" w:eastAsia="Arial" w:hAnsi="Verdana" w:cs="Arial"/>
                <w:color w:val="000000" w:themeColor="text1"/>
                <w:lang w:val="es-ES" w:eastAsia="es-ES" w:bidi="es-ES"/>
              </w:rPr>
              <w:t>s en el ordenamiento jurídico</w:t>
            </w:r>
            <w:r>
              <w:rPr>
                <w:rFonts w:ascii="Verdana" w:eastAsia="Arial" w:hAnsi="Verdana" w:cs="Arial"/>
                <w:color w:val="000000" w:themeColor="text1"/>
                <w:lang w:val="es-ES" w:eastAsia="es-ES" w:bidi="es-ES"/>
              </w:rPr>
              <w:t xml:space="preserve"> y los cuales se detallan en el presente concepto</w:t>
            </w:r>
            <w:r w:rsidRPr="00B128F0">
              <w:rPr>
                <w:rFonts w:ascii="Verdana" w:eastAsia="Arial" w:hAnsi="Verdana" w:cs="Arial"/>
                <w:color w:val="000000" w:themeColor="text1"/>
                <w:lang w:val="es-ES" w:eastAsia="es-ES" w:bidi="es-ES"/>
              </w:rPr>
              <w:t xml:space="preserve">. </w:t>
            </w:r>
            <w:r w:rsidRPr="00E94899">
              <w:rPr>
                <w:rFonts w:ascii="Verdana" w:eastAsia="Arial" w:hAnsi="Verdana" w:cs="Arial"/>
                <w:color w:val="000000" w:themeColor="text1"/>
                <w:lang w:eastAsia="es-ES" w:bidi="es-ES"/>
              </w:rPr>
              <w:t>En este sentido, cuando la medida adoptada para el restablecimiento económico del contrato implique un incremento del valor inicial, se configurará una adición y, por tanto, resultará aplicable el límite previsto en el artículo 40 de la Ley 80 de 1993.</w:t>
            </w:r>
          </w:p>
          <w:p w14:paraId="7E5E5F7B" w14:textId="77777777" w:rsidR="0014393F" w:rsidRPr="00B128F0" w:rsidRDefault="0014393F" w:rsidP="0060787B">
            <w:pPr>
              <w:widowControl w:val="0"/>
              <w:autoSpaceDE w:val="0"/>
              <w:autoSpaceDN w:val="0"/>
              <w:spacing w:before="120" w:line="276" w:lineRule="auto"/>
              <w:ind w:firstLine="709"/>
              <w:jc w:val="both"/>
              <w:rPr>
                <w:rFonts w:ascii="Verdana" w:eastAsia="Arial" w:hAnsi="Verdana" w:cs="Arial"/>
                <w:i/>
                <w:iCs/>
                <w:color w:val="000000" w:themeColor="text1"/>
                <w:lang w:val="es-ES" w:eastAsia="es-ES" w:bidi="es-ES"/>
              </w:rPr>
            </w:pPr>
            <w:r w:rsidRPr="00B128F0">
              <w:rPr>
                <w:rFonts w:ascii="Verdana" w:eastAsia="Arial" w:hAnsi="Verdana" w:cs="Arial"/>
                <w:color w:val="000000" w:themeColor="text1"/>
                <w:lang w:val="es-ES" w:eastAsia="es-ES" w:bidi="es-ES"/>
              </w:rPr>
              <w:t xml:space="preserve">Los artículos 4.8, 5.1 y 27 de la Ley 80 de 1993 imponen a la entidad el deber de adoptar las </w:t>
            </w:r>
            <w:r w:rsidRPr="00B128F0">
              <w:rPr>
                <w:rFonts w:ascii="Verdana" w:eastAsia="Arial" w:hAnsi="Verdana" w:cs="Arial"/>
                <w:i/>
                <w:iCs/>
                <w:color w:val="000000" w:themeColor="text1"/>
                <w:lang w:val="es-ES" w:eastAsia="es-ES" w:bidi="es-ES"/>
              </w:rPr>
              <w:t>medidas necesarias</w:t>
            </w:r>
            <w:r w:rsidRPr="00B128F0">
              <w:rPr>
                <w:rFonts w:ascii="Verdana" w:eastAsia="Arial" w:hAnsi="Verdana" w:cs="Arial"/>
                <w:color w:val="000000" w:themeColor="text1"/>
                <w:lang w:val="es-ES" w:eastAsia="es-ES" w:bidi="es-ES"/>
              </w:rPr>
              <w:t xml:space="preserve"> para mantener durante el desarrollo y ejecución del contrato las condiciones técnicas, económicas y </w:t>
            </w:r>
            <w:r w:rsidRPr="00B128F0">
              <w:rPr>
                <w:rFonts w:ascii="Verdana" w:eastAsia="Arial" w:hAnsi="Verdana" w:cs="Arial"/>
                <w:color w:val="000000" w:themeColor="text1"/>
                <w:lang w:val="es-ES" w:eastAsia="es-ES" w:bidi="es-ES"/>
              </w:rPr>
              <w:lastRenderedPageBreak/>
              <w:t>financieras existentes al momento de su celebración y restablecer la ecuación financiera del contrato cuando a ello haya lugar. Adicionalmente,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w:t>
            </w:r>
            <w:r w:rsidRPr="00B128F0">
              <w:rPr>
                <w:rFonts w:ascii="Verdana" w:eastAsia="Arial" w:hAnsi="Verdana" w:cs="Arial"/>
                <w:i/>
                <w:iCs/>
                <w:lang w:val="es-ES" w:eastAsia="es-ES" w:bidi="es-ES"/>
              </w:rPr>
              <w:t xml:space="preserve"> </w:t>
            </w:r>
          </w:p>
          <w:p w14:paraId="0581F3C3" w14:textId="77777777" w:rsidR="0014393F" w:rsidRPr="00E94899" w:rsidRDefault="0014393F" w:rsidP="0060787B">
            <w:pPr>
              <w:widowControl w:val="0"/>
              <w:autoSpaceDE w:val="0"/>
              <w:autoSpaceDN w:val="0"/>
              <w:spacing w:before="120" w:line="276" w:lineRule="auto"/>
              <w:ind w:firstLine="709"/>
              <w:jc w:val="both"/>
              <w:rPr>
                <w:rFonts w:ascii="Verdana" w:eastAsia="Arial" w:hAnsi="Verdana" w:cs="Arial"/>
                <w:color w:val="000000" w:themeColor="text1"/>
                <w:lang w:eastAsia="es-ES" w:bidi="es-ES"/>
              </w:rPr>
            </w:pPr>
            <w:r w:rsidRPr="00B128F0">
              <w:rPr>
                <w:rFonts w:ascii="Verdana" w:eastAsia="Arial" w:hAnsi="Verdana" w:cs="Arial"/>
                <w:color w:val="000000" w:themeColor="text1"/>
                <w:lang w:eastAsia="es-ES" w:bidi="es-ES"/>
              </w:rPr>
              <w:t>No obstante, dichas medidas no tienen carácter discrecional absoluto, pues corresponde a la entidad realizar un análisis detallado de cada caso</w:t>
            </w:r>
            <w:r>
              <w:rPr>
                <w:rFonts w:ascii="Verdana" w:eastAsia="Arial" w:hAnsi="Verdana" w:cs="Arial"/>
                <w:color w:val="000000" w:themeColor="text1"/>
                <w:lang w:eastAsia="es-ES" w:bidi="es-ES"/>
              </w:rPr>
              <w:t>, verificando</w:t>
            </w:r>
            <w:r w:rsidRPr="00B128F0">
              <w:rPr>
                <w:rFonts w:ascii="Verdana" w:eastAsia="Arial" w:hAnsi="Verdana" w:cs="Arial"/>
                <w:color w:val="000000" w:themeColor="text1"/>
                <w:lang w:eastAsia="es-ES" w:bidi="es-ES"/>
              </w:rPr>
              <w:t xml:space="preserve"> las circunstancias fácticas y jurídicas que fundamentan el restablecimiento, así como las </w:t>
            </w:r>
            <w:r w:rsidRPr="006C1AB7">
              <w:rPr>
                <w:rFonts w:ascii="Verdana" w:eastAsia="Arial" w:hAnsi="Verdana" w:cs="Arial"/>
                <w:i/>
                <w:iCs/>
                <w:color w:val="000000" w:themeColor="text1"/>
                <w:lang w:eastAsia="es-ES" w:bidi="es-ES"/>
              </w:rPr>
              <w:t>limitaciones legales</w:t>
            </w:r>
            <w:r w:rsidRPr="00B128F0">
              <w:rPr>
                <w:rFonts w:ascii="Verdana" w:eastAsia="Arial" w:hAnsi="Verdana" w:cs="Arial"/>
                <w:color w:val="000000" w:themeColor="text1"/>
                <w:lang w:eastAsia="es-ES" w:bidi="es-ES"/>
              </w:rPr>
              <w:t xml:space="preserve"> aplicables</w:t>
            </w:r>
            <w:r w:rsidRPr="00B128F0">
              <w:rPr>
                <w:rFonts w:ascii="Verdana" w:eastAsia="Arial" w:hAnsi="Verdana" w:cs="Arial"/>
                <w:color w:val="000000" w:themeColor="text1"/>
                <w:lang w:val="es-ES" w:eastAsia="es-ES" w:bidi="es-ES"/>
              </w:rPr>
              <w:t xml:space="preserve">. </w:t>
            </w:r>
            <w:r>
              <w:rPr>
                <w:rFonts w:ascii="Verdana" w:eastAsia="Arial" w:hAnsi="Verdana" w:cs="Arial"/>
                <w:color w:val="000000" w:themeColor="text1"/>
                <w:lang w:val="es-ES" w:eastAsia="es-ES" w:bidi="es-ES"/>
              </w:rPr>
              <w:t>P</w:t>
            </w:r>
            <w:r w:rsidRPr="00E94899">
              <w:rPr>
                <w:rFonts w:ascii="Verdana" w:eastAsia="Arial" w:hAnsi="Verdana" w:cs="Arial"/>
                <w:color w:val="000000" w:themeColor="text1"/>
                <w:lang w:eastAsia="es-ES" w:bidi="es-ES"/>
              </w:rPr>
              <w:t>ara tal efecto, deberá considerar, en primer lugar, si el supuesto de hecho corresponde a un evento que da lugar al restablecimiento del equilibrio económico o a un riesgo que debe ser asumido por el contratista</w:t>
            </w:r>
            <w:r>
              <w:rPr>
                <w:rFonts w:ascii="Verdana" w:eastAsia="Arial" w:hAnsi="Verdana" w:cs="Arial"/>
                <w:color w:val="000000" w:themeColor="text1"/>
                <w:lang w:eastAsia="es-ES" w:bidi="es-ES"/>
              </w:rPr>
              <w:t>.</w:t>
            </w:r>
            <w:r w:rsidRPr="00E94899">
              <w:rPr>
                <w:rFonts w:ascii="Verdana" w:eastAsia="Arial" w:hAnsi="Verdana" w:cs="Arial"/>
                <w:color w:val="000000" w:themeColor="text1"/>
                <w:lang w:eastAsia="es-ES" w:bidi="es-ES"/>
              </w:rPr>
              <w:t xml:space="preserve"> En caso de resultar procedente el restablecimiento, </w:t>
            </w:r>
            <w:r>
              <w:rPr>
                <w:rFonts w:ascii="Verdana" w:eastAsia="Arial" w:hAnsi="Verdana" w:cs="Arial"/>
                <w:color w:val="000000" w:themeColor="text1"/>
                <w:lang w:eastAsia="es-ES" w:bidi="es-ES"/>
              </w:rPr>
              <w:t xml:space="preserve">deberá </w:t>
            </w:r>
            <w:r w:rsidRPr="00E94899">
              <w:rPr>
                <w:rFonts w:ascii="Verdana" w:eastAsia="Arial" w:hAnsi="Verdana" w:cs="Arial"/>
                <w:color w:val="000000" w:themeColor="text1"/>
                <w:lang w:eastAsia="es-ES" w:bidi="es-ES"/>
              </w:rPr>
              <w:t xml:space="preserve">definir las medidas adecuadas, respetando los límites </w:t>
            </w:r>
            <w:r>
              <w:rPr>
                <w:rFonts w:ascii="Verdana" w:eastAsia="Arial" w:hAnsi="Verdana" w:cs="Arial"/>
                <w:color w:val="000000" w:themeColor="text1"/>
                <w:lang w:eastAsia="es-ES" w:bidi="es-ES"/>
              </w:rPr>
              <w:t xml:space="preserve">convencionales y normativos </w:t>
            </w:r>
            <w:r w:rsidRPr="00E94899">
              <w:rPr>
                <w:rFonts w:ascii="Verdana" w:eastAsia="Arial" w:hAnsi="Verdana" w:cs="Arial"/>
                <w:color w:val="000000" w:themeColor="text1"/>
                <w:lang w:eastAsia="es-ES" w:bidi="es-ES"/>
              </w:rPr>
              <w:t xml:space="preserve">establecidos. Así, deberá </w:t>
            </w:r>
            <w:r>
              <w:rPr>
                <w:rFonts w:ascii="Verdana" w:eastAsia="Arial" w:hAnsi="Verdana" w:cs="Arial"/>
                <w:color w:val="000000" w:themeColor="text1"/>
                <w:lang w:eastAsia="es-ES" w:bidi="es-ES"/>
              </w:rPr>
              <w:t xml:space="preserve">considerar </w:t>
            </w:r>
            <w:r w:rsidRPr="00E94899">
              <w:rPr>
                <w:rFonts w:ascii="Verdana" w:eastAsia="Arial" w:hAnsi="Verdana" w:cs="Arial"/>
                <w:color w:val="000000" w:themeColor="text1"/>
                <w:lang w:eastAsia="es-ES" w:bidi="es-ES"/>
              </w:rPr>
              <w:t>los mecanismos contractuales previstos, tales como las cláusulas de reajuste o revisión de precios</w:t>
            </w:r>
            <w:r>
              <w:rPr>
                <w:rFonts w:ascii="Verdana" w:eastAsia="Arial" w:hAnsi="Verdana" w:cs="Arial"/>
                <w:color w:val="000000" w:themeColor="text1"/>
                <w:lang w:eastAsia="es-ES" w:bidi="es-ES"/>
              </w:rPr>
              <w:t>, o definir los que resulten adecuados en cada caso. C</w:t>
            </w:r>
            <w:r w:rsidRPr="00E94899">
              <w:rPr>
                <w:rFonts w:ascii="Verdana" w:eastAsia="Arial" w:hAnsi="Verdana" w:cs="Arial"/>
                <w:color w:val="000000" w:themeColor="text1"/>
                <w:lang w:eastAsia="es-ES" w:bidi="es-ES"/>
              </w:rPr>
              <w:t xml:space="preserve">uando </w:t>
            </w:r>
            <w:r>
              <w:rPr>
                <w:rFonts w:ascii="Verdana" w:eastAsia="Arial" w:hAnsi="Verdana" w:cs="Arial"/>
                <w:color w:val="000000" w:themeColor="text1"/>
                <w:lang w:eastAsia="es-ES" w:bidi="es-ES"/>
              </w:rPr>
              <w:t xml:space="preserve">las </w:t>
            </w:r>
            <w:r w:rsidRPr="00E94899">
              <w:rPr>
                <w:rFonts w:ascii="Verdana" w:eastAsia="Arial" w:hAnsi="Verdana" w:cs="Arial"/>
                <w:color w:val="000000" w:themeColor="text1"/>
                <w:lang w:eastAsia="es-ES" w:bidi="es-ES"/>
              </w:rPr>
              <w:t>medidas</w:t>
            </w:r>
            <w:r>
              <w:rPr>
                <w:rFonts w:ascii="Verdana" w:eastAsia="Arial" w:hAnsi="Verdana" w:cs="Arial"/>
                <w:color w:val="000000" w:themeColor="text1"/>
                <w:lang w:eastAsia="es-ES" w:bidi="es-ES"/>
              </w:rPr>
              <w:t xml:space="preserve"> adoptadas</w:t>
            </w:r>
            <w:r w:rsidRPr="00E94899">
              <w:rPr>
                <w:rFonts w:ascii="Verdana" w:eastAsia="Arial" w:hAnsi="Verdana" w:cs="Arial"/>
                <w:color w:val="000000" w:themeColor="text1"/>
                <w:lang w:eastAsia="es-ES" w:bidi="es-ES"/>
              </w:rPr>
              <w:t xml:space="preserve"> impliquen </w:t>
            </w:r>
            <w:r>
              <w:rPr>
                <w:rFonts w:ascii="Verdana" w:eastAsia="Arial" w:hAnsi="Verdana" w:cs="Arial"/>
                <w:color w:val="000000" w:themeColor="text1"/>
                <w:lang w:eastAsia="es-ES" w:bidi="es-ES"/>
              </w:rPr>
              <w:t xml:space="preserve">propiamente </w:t>
            </w:r>
            <w:r w:rsidRPr="00E94899">
              <w:rPr>
                <w:rFonts w:ascii="Verdana" w:eastAsia="Arial" w:hAnsi="Verdana" w:cs="Arial"/>
                <w:color w:val="000000" w:themeColor="text1"/>
                <w:lang w:eastAsia="es-ES" w:bidi="es-ES"/>
              </w:rPr>
              <w:t xml:space="preserve">una adición al valor inicial del contrato, deberá observar el límite previsto en el artículo 40 de la Ley 80 de 1993, </w:t>
            </w:r>
            <w:r>
              <w:rPr>
                <w:rFonts w:ascii="Verdana" w:eastAsia="Arial" w:hAnsi="Verdana" w:cs="Arial"/>
                <w:color w:val="000000" w:themeColor="text1"/>
                <w:lang w:eastAsia="es-ES" w:bidi="es-ES"/>
              </w:rPr>
              <w:t xml:space="preserve">pues la restricción no estableció distinción con respecto a </w:t>
            </w:r>
            <w:r w:rsidRPr="00E94899">
              <w:rPr>
                <w:rFonts w:ascii="Verdana" w:eastAsia="Arial" w:hAnsi="Verdana" w:cs="Arial"/>
                <w:color w:val="000000" w:themeColor="text1"/>
                <w:lang w:eastAsia="es-ES" w:bidi="es-ES"/>
              </w:rPr>
              <w:t>la causa que origin</w:t>
            </w:r>
            <w:r>
              <w:rPr>
                <w:rFonts w:ascii="Verdana" w:eastAsia="Arial" w:hAnsi="Verdana" w:cs="Arial"/>
                <w:color w:val="000000" w:themeColor="text1"/>
                <w:lang w:eastAsia="es-ES" w:bidi="es-ES"/>
              </w:rPr>
              <w:t>e</w:t>
            </w:r>
            <w:r w:rsidRPr="00E94899">
              <w:rPr>
                <w:rFonts w:ascii="Verdana" w:eastAsia="Arial" w:hAnsi="Verdana" w:cs="Arial"/>
                <w:color w:val="000000" w:themeColor="text1"/>
                <w:lang w:eastAsia="es-ES" w:bidi="es-ES"/>
              </w:rPr>
              <w:t xml:space="preserve"> la modificación.</w:t>
            </w:r>
          </w:p>
          <w:p w14:paraId="65713FE7" w14:textId="77777777" w:rsidR="0014393F" w:rsidRPr="00B128F0" w:rsidRDefault="0014393F" w:rsidP="0060787B">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B128F0">
              <w:rPr>
                <w:rFonts w:ascii="Verdana" w:eastAsia="Arial" w:hAnsi="Verdana" w:cs="Arial"/>
                <w:color w:val="000000" w:themeColor="text1"/>
                <w:lang w:eastAsia="es-ES" w:bidi="es-ES"/>
              </w:rPr>
              <w:t xml:space="preserve">En consecuencia, si bien las </w:t>
            </w:r>
            <w:r>
              <w:rPr>
                <w:rFonts w:ascii="Verdana" w:eastAsia="Arial" w:hAnsi="Verdana" w:cs="Arial"/>
                <w:color w:val="000000" w:themeColor="text1"/>
                <w:lang w:eastAsia="es-ES" w:bidi="es-ES"/>
              </w:rPr>
              <w:t>E</w:t>
            </w:r>
            <w:r w:rsidRPr="00B128F0">
              <w:rPr>
                <w:rFonts w:ascii="Verdana" w:eastAsia="Arial" w:hAnsi="Verdana" w:cs="Arial"/>
                <w:color w:val="000000" w:themeColor="text1"/>
                <w:lang w:eastAsia="es-ES" w:bidi="es-ES"/>
              </w:rPr>
              <w:t xml:space="preserve">ntidades </w:t>
            </w:r>
            <w:r>
              <w:rPr>
                <w:rFonts w:ascii="Verdana" w:eastAsia="Arial" w:hAnsi="Verdana" w:cs="Arial"/>
                <w:color w:val="000000" w:themeColor="text1"/>
                <w:lang w:eastAsia="es-ES" w:bidi="es-ES"/>
              </w:rPr>
              <w:t>E</w:t>
            </w:r>
            <w:r w:rsidRPr="00B128F0">
              <w:rPr>
                <w:rFonts w:ascii="Verdana" w:eastAsia="Arial" w:hAnsi="Verdana" w:cs="Arial"/>
                <w:color w:val="000000" w:themeColor="text1"/>
                <w:lang w:eastAsia="es-ES" w:bidi="es-ES"/>
              </w:rPr>
              <w:t>statales cuentan con la potestad de adoptar las medidas necesarias para restablecer el equilibrio económico del contrato, cuando estas se materialicen en una adición al valor inicial del contrato deberán observar el límite previsto en el artículo 40 de la Ley 80 de 1993</w:t>
            </w:r>
            <w:r>
              <w:rPr>
                <w:rFonts w:ascii="Verdana" w:eastAsia="Arial" w:hAnsi="Verdana" w:cs="Arial"/>
                <w:color w:val="000000" w:themeColor="text1"/>
                <w:lang w:val="es-ES" w:eastAsia="es-ES" w:bidi="es-ES"/>
              </w:rPr>
              <w:t>.</w:t>
            </w:r>
            <w:r w:rsidRPr="00B128F0">
              <w:rPr>
                <w:rFonts w:ascii="Verdana" w:eastAsia="Arial" w:hAnsi="Verdana" w:cs="Arial"/>
                <w:color w:val="000000" w:themeColor="text1"/>
                <w:lang w:val="es-ES" w:eastAsia="es-ES" w:bidi="es-ES"/>
              </w:rPr>
              <w:t xml:space="preserve"> </w:t>
            </w:r>
            <w:r>
              <w:rPr>
                <w:rFonts w:ascii="Verdana" w:eastAsia="Arial" w:hAnsi="Verdana" w:cs="Arial"/>
                <w:color w:val="000000" w:themeColor="text1"/>
                <w:lang w:eastAsia="es-ES" w:bidi="es-ES"/>
              </w:rPr>
              <w:t xml:space="preserve"> Sin embargo, es importante aclarar que si el contrato fue </w:t>
            </w:r>
            <w:r w:rsidRPr="00E94899">
              <w:rPr>
                <w:rFonts w:ascii="Verdana" w:eastAsia="Arial" w:hAnsi="Verdana" w:cs="Arial"/>
                <w:color w:val="000000" w:themeColor="text1"/>
                <w:lang w:eastAsia="es-ES" w:bidi="es-ES"/>
              </w:rPr>
              <w:t>pactado bajo la modalidad de precios unitarios y el reconocimiento correspond</w:t>
            </w:r>
            <w:r>
              <w:rPr>
                <w:rFonts w:ascii="Verdana" w:eastAsia="Arial" w:hAnsi="Verdana" w:cs="Arial"/>
                <w:color w:val="000000" w:themeColor="text1"/>
                <w:lang w:eastAsia="es-ES" w:bidi="es-ES"/>
              </w:rPr>
              <w:t>e</w:t>
            </w:r>
            <w:r w:rsidRPr="00E94899">
              <w:rPr>
                <w:rFonts w:ascii="Verdana" w:eastAsia="Arial" w:hAnsi="Verdana" w:cs="Arial"/>
                <w:color w:val="000000" w:themeColor="text1"/>
                <w:lang w:eastAsia="es-ES" w:bidi="es-ES"/>
              </w:rPr>
              <w:t xml:space="preserve"> a mayores cantidades de obra o ítems ejecutados, no se estará ante un supuesto al que resulte aplicable dicho límite, conforme a los criterios jurisprudenciales expuestos en este concepto</w:t>
            </w:r>
            <w:r>
              <w:rPr>
                <w:rFonts w:ascii="Verdana" w:eastAsia="Arial" w:hAnsi="Verdana" w:cs="Arial"/>
                <w:color w:val="000000" w:themeColor="text1"/>
                <w:lang w:eastAsia="es-ES" w:bidi="es-ES"/>
              </w:rPr>
              <w:t>.</w:t>
            </w:r>
          </w:p>
          <w:p w14:paraId="44AD665F" w14:textId="77777777" w:rsidR="0014393F" w:rsidRPr="00B128F0" w:rsidRDefault="0014393F" w:rsidP="0060787B">
            <w:pPr>
              <w:widowControl w:val="0"/>
              <w:autoSpaceDE w:val="0"/>
              <w:autoSpaceDN w:val="0"/>
              <w:spacing w:line="276" w:lineRule="auto"/>
              <w:ind w:firstLine="708"/>
              <w:jc w:val="both"/>
              <w:rPr>
                <w:rFonts w:ascii="Verdana" w:hAnsi="Verdana"/>
              </w:rPr>
            </w:pPr>
            <w:r w:rsidRPr="00B128F0">
              <w:rPr>
                <w:rFonts w:ascii="Verdana" w:hAnsi="Verdana" w:cs="Arial"/>
                <w:lang w:eastAsia="es-ES"/>
              </w:rPr>
              <w:t xml:space="preserve">Al margen de la explicación precedente debe advertirse que el análisis requerido para resolver problemas específicos en torno a los reconocimientos </w:t>
            </w:r>
            <w:r w:rsidRPr="00B128F0">
              <w:rPr>
                <w:rFonts w:ascii="Verdana" w:hAnsi="Verdana" w:cs="Arial"/>
                <w:lang w:eastAsia="es-ES"/>
              </w:rPr>
              <w:lastRenderedPageBreak/>
              <w:t xml:space="preserve">económicos derivados del desequilibrio en el contrato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sidRPr="00B128F0">
              <w:rPr>
                <w:rStyle w:val="s15"/>
                <w:rFonts w:ascii="Verdana" w:hAnsi="Verdana"/>
                <w:color w:val="000000"/>
              </w:rPr>
              <w:t>Por lo anterior, previo</w:t>
            </w:r>
            <w:r w:rsidRPr="00B128F0">
              <w:rPr>
                <w:rStyle w:val="apple-converted-space"/>
                <w:rFonts w:ascii="Verdana" w:hAnsi="Verdana"/>
                <w:color w:val="000000"/>
              </w:rPr>
              <w:t> </w:t>
            </w:r>
            <w:r w:rsidRPr="00B128F0">
              <w:rPr>
                <w:rStyle w:val="s15"/>
                <w:rFonts w:ascii="Verdana" w:hAnsi="Verdana"/>
                <w:color w:val="000000"/>
              </w:rPr>
              <w:t xml:space="preserve">concepto de sus </w:t>
            </w:r>
            <w:proofErr w:type="gramStart"/>
            <w:r w:rsidRPr="00B128F0">
              <w:rPr>
                <w:rStyle w:val="s15"/>
                <w:rFonts w:ascii="Verdana" w:hAnsi="Verdana"/>
                <w:color w:val="000000"/>
              </w:rPr>
              <w:t>asesores,</w:t>
            </w:r>
            <w:proofErr w:type="gramEnd"/>
            <w:r w:rsidRPr="00B128F0">
              <w:rPr>
                <w:rStyle w:val="s15"/>
                <w:rFonts w:ascii="Verdana" w:hAnsi="Verdana"/>
                <w:color w:val="000000"/>
              </w:rPr>
              <w:t xml:space="preserve"> corresponde a las partes del contrato definir los mecanismos adecuados para el restablecimiento del equilibrio económico del contrato, así como los límites legales y jurisprudenciales aplicables; motivo por el cual, en caso de conflicto, intervendrán las autoridades judiciales, fiscales y disciplinarias.</w:t>
            </w:r>
          </w:p>
          <w:p w14:paraId="4B3D221A" w14:textId="77777777" w:rsidR="0014393F" w:rsidRPr="006C1AB7" w:rsidRDefault="0014393F" w:rsidP="0060787B">
            <w:pPr>
              <w:spacing w:before="120" w:after="120" w:line="276" w:lineRule="auto"/>
              <w:ind w:firstLine="709"/>
              <w:jc w:val="both"/>
              <w:rPr>
                <w:rFonts w:ascii="Verdana" w:hAnsi="Verdana" w:cs="Arial"/>
                <w:lang w:eastAsia="es-ES"/>
              </w:rPr>
            </w:pPr>
            <w:r w:rsidRPr="00B128F0">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19220D2" w14:textId="77777777" w:rsidR="0014393F" w:rsidRPr="00FC6F34" w:rsidRDefault="0014393F" w:rsidP="0014393F">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E01DB47" w14:textId="77777777" w:rsidR="0014393F" w:rsidRPr="00FC6F34" w:rsidRDefault="0014393F" w:rsidP="0014393F">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08460C1B" w14:textId="77777777" w:rsidR="0014393F" w:rsidRPr="00FC6F34" w:rsidRDefault="0014393F" w:rsidP="0014393F">
      <w:pPr>
        <w:spacing w:after="0" w:line="276" w:lineRule="auto"/>
        <w:jc w:val="both"/>
        <w:rPr>
          <w:rFonts w:ascii="Verdana" w:eastAsia="Calibri" w:hAnsi="Verdana" w:cs="Arial"/>
          <w:color w:val="000000" w:themeColor="text1"/>
          <w:lang w:val="es-ES"/>
        </w:rPr>
      </w:pPr>
    </w:p>
    <w:p w14:paraId="024B1BF6" w14:textId="77777777" w:rsidR="0014393F" w:rsidRDefault="0014393F" w:rsidP="0014393F">
      <w:pPr>
        <w:tabs>
          <w:tab w:val="left" w:pos="284"/>
        </w:tabs>
        <w:spacing w:line="276" w:lineRule="auto"/>
        <w:jc w:val="both"/>
        <w:rPr>
          <w:rFonts w:ascii="Verdana" w:eastAsia="Calibri" w:hAnsi="Verdana" w:cs="Arial"/>
          <w:color w:val="000000"/>
        </w:rPr>
      </w:pPr>
      <w:bookmarkStart w:id="1" w:name="_Hlk102983874"/>
      <w:bookmarkStart w:id="2" w:name="_Hlk102388095"/>
      <w:r w:rsidRPr="0018282A">
        <w:rPr>
          <w:rFonts w:ascii="Verdana" w:eastAsia="Calibri" w:hAnsi="Verdana" w:cs="Arial"/>
          <w:b/>
          <w:bCs/>
          <w:color w:val="000000" w:themeColor="text1"/>
          <w:lang w:val="es-ES"/>
        </w:rPr>
        <w:t>i)</w:t>
      </w:r>
      <w:r w:rsidRPr="00FC6F34">
        <w:rPr>
          <w:rFonts w:ascii="Verdana" w:eastAsia="Verdana" w:hAnsi="Verdana" w:cs="Verdana"/>
          <w:lang w:val="es-ES"/>
        </w:rPr>
        <w:t xml:space="preserve"> </w:t>
      </w:r>
      <w:r w:rsidRPr="00B31C7B">
        <w:rPr>
          <w:rFonts w:ascii="Verdana" w:eastAsia="Calibri" w:hAnsi="Verdana" w:cs="Arial"/>
          <w:color w:val="000000"/>
        </w:rPr>
        <w:t xml:space="preserve">El </w:t>
      </w:r>
      <w:r w:rsidRPr="00A106E8">
        <w:rPr>
          <w:rFonts w:ascii="Verdana" w:eastAsia="Calibri" w:hAnsi="Verdana" w:cs="Arial"/>
          <w:color w:val="000000" w:themeColor="text1"/>
        </w:rPr>
        <w:t>Estatuto General de Contratación de la Administración Pública</w:t>
      </w:r>
      <w:r>
        <w:rPr>
          <w:rFonts w:ascii="Verdana" w:eastAsia="Calibri" w:hAnsi="Verdana" w:cs="Arial"/>
          <w:color w:val="000000" w:themeColor="text1"/>
        </w:rPr>
        <w:t xml:space="preserve"> (en adelante EGCAP) </w:t>
      </w:r>
      <w:r w:rsidRPr="00B31C7B">
        <w:rPr>
          <w:rFonts w:ascii="Verdana" w:eastAsia="Calibri" w:hAnsi="Verdana" w:cs="Arial"/>
          <w:color w:val="000000"/>
        </w:rPr>
        <w:t xml:space="preserve">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w:t>
      </w:r>
      <w:r>
        <w:rPr>
          <w:rFonts w:ascii="Verdana" w:eastAsia="Calibri" w:hAnsi="Verdana" w:cs="Arial"/>
          <w:color w:val="000000"/>
        </w:rPr>
        <w:t>es el caso d</w:t>
      </w:r>
      <w:r w:rsidRPr="00B31C7B">
        <w:rPr>
          <w:rFonts w:ascii="Verdana" w:eastAsia="Calibri" w:hAnsi="Verdana" w:cs="Arial"/>
          <w:color w:val="000000"/>
        </w:rPr>
        <w:t>el artículo 40 de la Ley 80 de 1993</w:t>
      </w:r>
      <w:r w:rsidRPr="00B31C7B">
        <w:rPr>
          <w:rFonts w:ascii="Verdana" w:eastAsia="Calibri" w:hAnsi="Verdana" w:cs="Arial"/>
          <w:color w:val="000000"/>
          <w:vertAlign w:val="superscript"/>
          <w:lang w:val="es-MX"/>
        </w:rPr>
        <w:footnoteReference w:id="1"/>
      </w:r>
      <w:r w:rsidRPr="00B31C7B">
        <w:rPr>
          <w:rFonts w:ascii="Verdana" w:eastAsia="Calibri" w:hAnsi="Verdana" w:cs="Arial"/>
          <w:color w:val="000000"/>
        </w:rPr>
        <w:t xml:space="preserve">. </w:t>
      </w:r>
    </w:p>
    <w:p w14:paraId="167C7008" w14:textId="77777777" w:rsidR="0014393F" w:rsidRPr="00B31C7B" w:rsidRDefault="0014393F" w:rsidP="0014393F">
      <w:pPr>
        <w:tabs>
          <w:tab w:val="left" w:pos="284"/>
        </w:tabs>
        <w:spacing w:line="276" w:lineRule="auto"/>
        <w:ind w:firstLine="284"/>
        <w:jc w:val="both"/>
        <w:rPr>
          <w:rFonts w:ascii="Verdana" w:eastAsia="Calibri" w:hAnsi="Verdana" w:cs="Arial"/>
          <w:color w:val="000000"/>
        </w:rPr>
      </w:pPr>
      <w:r>
        <w:rPr>
          <w:rFonts w:ascii="Verdana" w:eastAsia="Calibri" w:hAnsi="Verdana" w:cs="Arial"/>
          <w:color w:val="000000"/>
        </w:rPr>
        <w:tab/>
      </w: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w:t>
      </w:r>
      <w:r w:rsidRPr="00B31C7B">
        <w:rPr>
          <w:rFonts w:ascii="Verdana" w:eastAsia="Calibri" w:hAnsi="Verdana" w:cs="Arial"/>
          <w:color w:val="000000"/>
        </w:rPr>
        <w:lastRenderedPageBreak/>
        <w:t xml:space="preserve">responsabilidad, así como los demás principios de la función administrativa aplicables al proceso de gestión contractual. </w:t>
      </w:r>
    </w:p>
    <w:p w14:paraId="3EE29735" w14:textId="77777777" w:rsidR="0014393F" w:rsidRPr="00B31C7B" w:rsidRDefault="0014393F" w:rsidP="0014393F">
      <w:pPr>
        <w:tabs>
          <w:tab w:val="left" w:pos="284"/>
        </w:tabs>
        <w:spacing w:line="276" w:lineRule="auto"/>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t>Ahora bien, no existe restricción expresa para modificar los contratos estatales y los principios antes referidos puede</w:t>
      </w:r>
      <w:r>
        <w:rPr>
          <w:rFonts w:ascii="Verdana" w:eastAsia="Calibri" w:hAnsi="Verdana" w:cs="Arial"/>
          <w:color w:val="000000"/>
        </w:rPr>
        <w:t>n</w:t>
      </w:r>
      <w:r w:rsidRPr="00B31C7B">
        <w:rPr>
          <w:rFonts w:ascii="Verdana" w:eastAsia="Calibri" w:hAnsi="Verdana" w:cs="Arial"/>
          <w:color w:val="000000"/>
        </w:rPr>
        <w:t xml:space="preserv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 En</w:t>
      </w:r>
      <w:r>
        <w:rPr>
          <w:rFonts w:ascii="Verdana" w:eastAsia="Calibri" w:hAnsi="Verdana" w:cs="Arial"/>
          <w:color w:val="000000"/>
        </w:rPr>
        <w:t xml:space="preserve"> este contexto</w:t>
      </w:r>
      <w:r w:rsidRPr="00B31C7B">
        <w:rPr>
          <w:rFonts w:ascii="Verdana" w:eastAsia="Calibri" w:hAnsi="Verdana" w:cs="Arial"/>
          <w:color w:val="000000"/>
        </w:rPr>
        <w:t>, la jurisprudencia ha fijado pautas generales conforme a las cuales la Administración Pública debe evaluar</w:t>
      </w:r>
      <w:r>
        <w:rPr>
          <w:rFonts w:ascii="Verdana" w:eastAsia="Calibri" w:hAnsi="Verdana" w:cs="Arial"/>
          <w:color w:val="000000"/>
        </w:rPr>
        <w:t xml:space="preserve"> si es procedente modificar</w:t>
      </w:r>
      <w:r w:rsidRPr="00B31C7B">
        <w:rPr>
          <w:rFonts w:ascii="Verdana" w:eastAsia="Calibri" w:hAnsi="Verdana" w:cs="Arial"/>
          <w:color w:val="000000"/>
        </w:rPr>
        <w:t xml:space="preserve"> los contratos que ha celebrado</w:t>
      </w:r>
      <w:r>
        <w:rPr>
          <w:rFonts w:ascii="Verdana" w:eastAsia="Calibri" w:hAnsi="Verdana" w:cs="Arial"/>
          <w:color w:val="000000"/>
        </w:rPr>
        <w:t xml:space="preserve"> según </w:t>
      </w:r>
      <w:r w:rsidRPr="00B31C7B">
        <w:rPr>
          <w:rFonts w:ascii="Verdana" w:eastAsia="Calibri" w:hAnsi="Verdana" w:cs="Arial"/>
          <w:color w:val="000000"/>
        </w:rPr>
        <w:t>las particularidades de cada caso. Al respecto, la Corte Constitucional, mediante sentencia C–300 de 2012</w:t>
      </w:r>
      <w:r w:rsidRPr="00B31C7B">
        <w:rPr>
          <w:rFonts w:ascii="Verdana" w:eastAsia="Calibri" w:hAnsi="Verdana" w:cs="Arial"/>
          <w:color w:val="000000"/>
          <w:vertAlign w:val="superscript"/>
        </w:rPr>
        <w:footnoteReference w:id="2"/>
      </w:r>
      <w:r w:rsidRPr="00B31C7B">
        <w:rPr>
          <w:rFonts w:ascii="Verdana" w:eastAsia="Calibri" w:hAnsi="Verdana" w:cs="Arial"/>
          <w:color w:val="000000"/>
        </w:rPr>
        <w:t xml:space="preserve">, </w:t>
      </w:r>
      <w:r>
        <w:rPr>
          <w:rFonts w:ascii="Verdana" w:eastAsia="Calibri" w:hAnsi="Verdana" w:cs="Arial"/>
          <w:color w:val="000000"/>
        </w:rPr>
        <w:t xml:space="preserve">se refirió a </w:t>
      </w:r>
      <w:r w:rsidRPr="00B31C7B">
        <w:rPr>
          <w:rFonts w:ascii="Verdana" w:eastAsia="Calibri" w:hAnsi="Verdana" w:cs="Arial"/>
          <w:color w:val="000000"/>
        </w:rPr>
        <w:t>la posibilidad de modificar los contratos estatales</w:t>
      </w:r>
      <w:r>
        <w:rPr>
          <w:rFonts w:ascii="Verdana" w:eastAsia="Calibri" w:hAnsi="Verdana" w:cs="Arial"/>
          <w:color w:val="000000"/>
        </w:rPr>
        <w:t xml:space="preserve"> así</w:t>
      </w:r>
      <w:r w:rsidRPr="00B31C7B">
        <w:rPr>
          <w:rFonts w:ascii="Verdana" w:eastAsia="Calibri" w:hAnsi="Verdana" w:cs="Arial"/>
          <w:color w:val="000000"/>
        </w:rPr>
        <w:t>:</w:t>
      </w:r>
    </w:p>
    <w:p w14:paraId="15CFB4DB" w14:textId="77777777" w:rsidR="0014393F" w:rsidRPr="006864B6" w:rsidRDefault="0014393F" w:rsidP="0014393F">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6864B6">
        <w:rPr>
          <w:rFonts w:ascii="Verdana" w:eastAsia="Calibri" w:hAnsi="Verdana" w:cs="Arial"/>
          <w:b/>
          <w:bCs/>
          <w:color w:val="000000"/>
          <w:sz w:val="20"/>
          <w:szCs w:val="20"/>
          <w:lang w:val="es-ES"/>
        </w:rPr>
        <w:t>los contratos estatales pueden ser modificados cuando sea necesario para lograr su finalidad y en aras de la realización de los fines del Estado</w:t>
      </w:r>
      <w:r w:rsidRPr="006864B6">
        <w:rPr>
          <w:rFonts w:ascii="Verdana" w:eastAsia="Calibri" w:hAnsi="Verdana" w:cs="Arial"/>
          <w:bCs/>
          <w:color w:val="000000"/>
          <w:sz w:val="20"/>
          <w:szCs w:val="20"/>
          <w:lang w:val="es-ES"/>
        </w:rPr>
        <w:t>, a los cuales sirve el contrato.</w:t>
      </w:r>
      <w:r w:rsidRPr="006864B6">
        <w:rPr>
          <w:rFonts w:ascii="Verdana" w:eastAsia="Calibri" w:hAnsi="Verdana" w:cs="Arial"/>
          <w:bCs/>
          <w:color w:val="000000"/>
          <w:sz w:val="20"/>
          <w:szCs w:val="20"/>
          <w:vertAlign w:val="superscript"/>
          <w:lang w:val="es-ES"/>
        </w:rPr>
        <w:footnoteReference w:id="3"/>
      </w:r>
      <w:r w:rsidRPr="006864B6">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6864B6">
        <w:rPr>
          <w:rFonts w:ascii="Verdana" w:eastAsia="Calibri" w:hAnsi="Verdana" w:cs="Arial"/>
          <w:b/>
          <w:bCs/>
          <w:color w:val="000000"/>
          <w:sz w:val="20"/>
          <w:szCs w:val="20"/>
          <w:lang w:val="es-ES"/>
        </w:rPr>
        <w:t>sentencia C-949 de 2001</w:t>
      </w:r>
      <w:r w:rsidRPr="006864B6">
        <w:rPr>
          <w:rFonts w:ascii="Verdana" w:eastAsia="Calibri" w:hAnsi="Verdana" w:cs="Arial"/>
          <w:bCs/>
          <w:color w:val="000000"/>
          <w:sz w:val="20"/>
          <w:szCs w:val="20"/>
          <w:vertAlign w:val="superscript"/>
          <w:lang w:val="es-ES"/>
        </w:rPr>
        <w:footnoteReference w:id="4"/>
      </w:r>
      <w:r w:rsidRPr="006864B6">
        <w:rPr>
          <w:rFonts w:ascii="Verdana" w:eastAsia="Calibri" w:hAnsi="Verdana" w:cs="Arial"/>
          <w:bCs/>
          <w:color w:val="000000"/>
          <w:sz w:val="20"/>
          <w:szCs w:val="20"/>
          <w:lang w:val="es-ES"/>
        </w:rPr>
        <w:t>, la Corte Constitucional señaló que las prórrogas de los 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5"/>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 xml:space="preserve"> </w:t>
      </w:r>
    </w:p>
    <w:p w14:paraId="5C59FEE9" w14:textId="77777777" w:rsidR="0014393F" w:rsidRPr="006864B6" w:rsidRDefault="0014393F" w:rsidP="0014393F">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03952A2F" w14:textId="77777777" w:rsidR="0014393F" w:rsidRPr="006864B6" w:rsidRDefault="0014393F" w:rsidP="0014393F">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p>
    <w:p w14:paraId="0C7FF204" w14:textId="77777777" w:rsidR="0014393F" w:rsidRDefault="0014393F" w:rsidP="0014393F">
      <w:pPr>
        <w:tabs>
          <w:tab w:val="left" w:pos="284"/>
        </w:tabs>
        <w:spacing w:after="0" w:line="240" w:lineRule="auto"/>
        <w:ind w:left="709" w:right="709"/>
        <w:jc w:val="both"/>
        <w:rPr>
          <w:rFonts w:ascii="Verdana" w:eastAsia="Calibri" w:hAnsi="Verdana" w:cs="Arial"/>
          <w:bCs/>
          <w:color w:val="000000"/>
          <w:sz w:val="20"/>
          <w:szCs w:val="20"/>
          <w:lang w:val="es-ES"/>
        </w:rPr>
      </w:pPr>
    </w:p>
    <w:p w14:paraId="23744BFC" w14:textId="77777777" w:rsidR="0014393F" w:rsidRPr="006864B6" w:rsidRDefault="0014393F" w:rsidP="0014393F">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 xml:space="preserve">La modificación de los contratos estatales es especialmente importante en aquellos por naturaleza </w:t>
      </w:r>
      <w:r w:rsidRPr="006864B6">
        <w:rPr>
          <w:rFonts w:ascii="Verdana" w:eastAsia="Calibri" w:hAnsi="Verdana" w:cs="Arial"/>
          <w:b/>
          <w:color w:val="000000"/>
          <w:sz w:val="20"/>
          <w:szCs w:val="20"/>
          <w:lang w:val="es-ES"/>
        </w:rPr>
        <w:t>incompletos</w:t>
      </w:r>
      <w:r w:rsidRPr="006864B6">
        <w:rPr>
          <w:rFonts w:ascii="Verdana" w:eastAsia="Calibri" w:hAnsi="Verdana" w:cs="Arial"/>
          <w:bCs/>
          <w:color w:val="000000"/>
          <w:sz w:val="20"/>
          <w:szCs w:val="20"/>
          <w:lang w:val="es-ES"/>
        </w:rPr>
        <w:t xml:space="preserve">, es decir, </w:t>
      </w:r>
      <w:r w:rsidRPr="006864B6">
        <w:rPr>
          <w:rFonts w:ascii="Verdana" w:eastAsia="Calibri" w:hAnsi="Verdana" w:cs="Arial"/>
          <w:b/>
          <w:color w:val="000000"/>
          <w:sz w:val="20"/>
          <w:szCs w:val="20"/>
          <w:lang w:val="es-ES"/>
        </w:rPr>
        <w:t xml:space="preserve">(i) </w:t>
      </w:r>
      <w:r w:rsidRPr="006864B6">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6864B6">
        <w:rPr>
          <w:rFonts w:ascii="Verdana" w:eastAsia="Calibri" w:hAnsi="Verdana" w:cs="Arial"/>
          <w:b/>
          <w:color w:val="000000"/>
          <w:sz w:val="20"/>
          <w:szCs w:val="20"/>
          <w:lang w:val="es-ES"/>
        </w:rPr>
        <w:t>(</w:t>
      </w:r>
      <w:proofErr w:type="spellStart"/>
      <w:r w:rsidRPr="006864B6">
        <w:rPr>
          <w:rFonts w:ascii="Verdana" w:eastAsia="Calibri" w:hAnsi="Verdana" w:cs="Arial"/>
          <w:b/>
          <w:color w:val="000000"/>
          <w:sz w:val="20"/>
          <w:szCs w:val="20"/>
          <w:lang w:val="es-ES"/>
        </w:rPr>
        <w:t>ii</w:t>
      </w:r>
      <w:proofErr w:type="spellEnd"/>
      <w:r w:rsidRPr="006864B6">
        <w:rPr>
          <w:rFonts w:ascii="Verdana" w:eastAsia="Calibri" w:hAnsi="Verdana" w:cs="Arial"/>
          <w:b/>
          <w:color w:val="000000"/>
          <w:sz w:val="20"/>
          <w:szCs w:val="20"/>
          <w:lang w:val="es-ES"/>
        </w:rPr>
        <w:t xml:space="preserve">)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los remedios necesarios para afrontar tales contingencias, como ocurre por lo general con los contratos de largo plazo.</w:t>
      </w:r>
      <w:r w:rsidRPr="006864B6">
        <w:rPr>
          <w:rFonts w:ascii="Verdana" w:eastAsia="Calibri" w:hAnsi="Verdana" w:cs="Arial"/>
          <w:bCs/>
          <w:color w:val="000000"/>
          <w:sz w:val="20"/>
          <w:szCs w:val="20"/>
          <w:vertAlign w:val="superscript"/>
          <w:lang w:val="es-ES"/>
        </w:rPr>
        <w:footnoteReference w:id="6"/>
      </w:r>
      <w:r w:rsidRPr="006864B6">
        <w:rPr>
          <w:rFonts w:ascii="Verdana" w:eastAsia="Calibri" w:hAnsi="Verdana" w:cs="Arial"/>
          <w:bCs/>
          <w:color w:val="000000"/>
          <w:sz w:val="20"/>
          <w:szCs w:val="20"/>
          <w:lang w:val="es-ES"/>
        </w:rPr>
        <w:t xml:space="preserve"> En efecto, con el paso del tiempo, </w:t>
      </w:r>
      <w:r w:rsidRPr="006864B6">
        <w:rPr>
          <w:rFonts w:ascii="Verdana" w:eastAsia="Calibri" w:hAnsi="Verdana" w:cs="Arial"/>
          <w:bCs/>
          <w:color w:val="000000"/>
          <w:sz w:val="20"/>
          <w:szCs w:val="20"/>
          <w:lang w:val="es-ES"/>
        </w:rPr>
        <w:lastRenderedPageBreak/>
        <w:t xml:space="preserve">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énfasis dentro del texto</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w:t>
      </w:r>
    </w:p>
    <w:p w14:paraId="3F93D5CB" w14:textId="77777777" w:rsidR="0014393F" w:rsidRPr="00E54E87" w:rsidRDefault="0014393F" w:rsidP="0014393F">
      <w:pPr>
        <w:tabs>
          <w:tab w:val="left" w:pos="284"/>
        </w:tabs>
        <w:spacing w:after="0" w:line="240" w:lineRule="auto"/>
        <w:ind w:left="1049" w:right="709"/>
        <w:jc w:val="both"/>
        <w:rPr>
          <w:rFonts w:ascii="Verdana" w:eastAsia="Arial MT" w:hAnsi="Verdana" w:cs="Arial"/>
          <w:color w:val="000000"/>
        </w:rPr>
      </w:pPr>
    </w:p>
    <w:p w14:paraId="257D9F05" w14:textId="77777777" w:rsidR="0014393F" w:rsidRPr="00B31C7B" w:rsidRDefault="0014393F" w:rsidP="0014393F">
      <w:pPr>
        <w:widowControl w:val="0"/>
        <w:autoSpaceDE w:val="0"/>
        <w:autoSpaceDN w:val="0"/>
        <w:spacing w:after="0" w:line="276" w:lineRule="auto"/>
        <w:ind w:right="-2"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7"/>
      </w:r>
      <w:r w:rsidRPr="00B31C7B">
        <w:rPr>
          <w:rFonts w:ascii="Verdana" w:eastAsia="Calibri" w:hAnsi="Verdana" w:cs="Arial"/>
          <w:color w:val="000000"/>
        </w:rPr>
        <w:t>, ha</w:t>
      </w:r>
      <w:r>
        <w:rPr>
          <w:rFonts w:ascii="Verdana" w:eastAsia="Calibri" w:hAnsi="Verdana" w:cs="Arial"/>
          <w:color w:val="000000"/>
        </w:rPr>
        <w:t xml:space="preserve"> resaltado que la necesidad de modificar los contratos estatales persigue el cumplimiento de ciertos fines. De esta manera, aunque estos contratos se puedan modificar por acuerdo de la voluntad de las partes, este no puede ser el único fundamento. Señala entonces que las modificaciones deben obedecer a causas reales y ciertas derivadas de la ley y no únicamente de la voluntad de las partes</w:t>
      </w:r>
      <w:r w:rsidRPr="00B31C7B">
        <w:rPr>
          <w:rFonts w:ascii="Verdana" w:eastAsia="Calibri" w:hAnsi="Verdana" w:cs="Arial"/>
          <w:color w:val="000000"/>
        </w:rPr>
        <w:t>:</w:t>
      </w:r>
    </w:p>
    <w:p w14:paraId="5F4A4739" w14:textId="77777777" w:rsidR="0014393F" w:rsidRPr="00B31C7B" w:rsidRDefault="0014393F" w:rsidP="0014393F">
      <w:pPr>
        <w:widowControl w:val="0"/>
        <w:autoSpaceDE w:val="0"/>
        <w:autoSpaceDN w:val="0"/>
        <w:spacing w:after="0" w:line="240" w:lineRule="auto"/>
        <w:ind w:firstLine="709"/>
        <w:jc w:val="both"/>
        <w:rPr>
          <w:rFonts w:ascii="Verdana" w:eastAsia="Calibri" w:hAnsi="Verdana" w:cs="Arial"/>
          <w:color w:val="000000"/>
        </w:rPr>
      </w:pPr>
    </w:p>
    <w:p w14:paraId="444D080D" w14:textId="066D56E9" w:rsidR="0014393F" w:rsidRDefault="0014393F" w:rsidP="006548AD">
      <w:pPr>
        <w:tabs>
          <w:tab w:val="left" w:pos="284"/>
        </w:tabs>
        <w:snapToGrid w:val="0"/>
        <w:spacing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w:t>
      </w:r>
      <w:r w:rsidR="000D200D">
        <w:rPr>
          <w:rFonts w:ascii="Verdana" w:eastAsia="Calibri" w:hAnsi="Verdana" w:cs="Arial"/>
          <w:color w:val="000000"/>
          <w:sz w:val="20"/>
          <w:szCs w:val="20"/>
        </w:rPr>
        <w:t>[</w:t>
      </w:r>
      <w:r>
        <w:rPr>
          <w:rFonts w:ascii="Verdana" w:eastAsia="Calibri" w:hAnsi="Verdana" w:cs="Arial"/>
          <w:color w:val="000000"/>
          <w:sz w:val="20"/>
          <w:szCs w:val="20"/>
        </w:rPr>
        <w:t>…</w:t>
      </w:r>
      <w:r w:rsidR="000D200D">
        <w:rPr>
          <w:rFonts w:ascii="Verdana" w:eastAsia="Calibri" w:hAnsi="Verdana" w:cs="Arial"/>
          <w:color w:val="000000"/>
          <w:sz w:val="20"/>
          <w:szCs w:val="20"/>
        </w:rPr>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 xml:space="preserve">la posibilidad de modificar los contratos estatales es una especial forma de hacer prevalecer la finalidad del contrato sobre los restantes elementos </w:t>
      </w:r>
      <w:proofErr w:type="gramStart"/>
      <w:r w:rsidRPr="006864B6">
        <w:rPr>
          <w:rFonts w:ascii="Verdana" w:eastAsia="Calibri" w:hAnsi="Verdana" w:cs="Arial"/>
          <w:color w:val="000000"/>
          <w:sz w:val="20"/>
          <w:szCs w:val="20"/>
        </w:rPr>
        <w:t>del mismo</w:t>
      </w:r>
      <w:proofErr w:type="gramEnd"/>
      <w:r w:rsidRPr="006864B6">
        <w:rPr>
          <w:rFonts w:ascii="Verdana" w:eastAsia="Calibri" w:hAnsi="Verdana" w:cs="Arial"/>
          <w:color w:val="000000"/>
          <w:sz w:val="20"/>
          <w:szCs w:val="20"/>
        </w:rPr>
        <w:t>.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18A0F053" w14:textId="27B1F3DE" w:rsidR="0014393F" w:rsidRDefault="000D200D" w:rsidP="006548AD">
      <w:pPr>
        <w:tabs>
          <w:tab w:val="left" w:pos="284"/>
        </w:tabs>
        <w:snapToGrid w:val="0"/>
        <w:spacing w:before="120" w:after="12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0014393F">
        <w:rPr>
          <w:rFonts w:ascii="Verdana" w:eastAsia="Calibri" w:hAnsi="Verdana" w:cs="Arial"/>
          <w:color w:val="000000"/>
          <w:sz w:val="20"/>
          <w:szCs w:val="20"/>
        </w:rPr>
        <w:t>…</w:t>
      </w:r>
      <w:r>
        <w:rPr>
          <w:rFonts w:ascii="Verdana" w:eastAsia="Calibri" w:hAnsi="Verdana" w:cs="Arial"/>
          <w:color w:val="000000"/>
          <w:sz w:val="20"/>
          <w:szCs w:val="20"/>
        </w:rPr>
        <w:t>]</w:t>
      </w:r>
    </w:p>
    <w:p w14:paraId="6777E87A" w14:textId="02015217" w:rsidR="0014393F" w:rsidRPr="006864B6" w:rsidRDefault="0014393F" w:rsidP="006548AD">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w:t>
      </w:r>
      <w:r>
        <w:rPr>
          <w:rFonts w:ascii="Verdana" w:eastAsia="Calibri" w:hAnsi="Verdana" w:cs="Arial"/>
          <w:color w:val="000000"/>
          <w:sz w:val="20"/>
          <w:szCs w:val="20"/>
        </w:rPr>
        <w:t xml:space="preserve"> </w:t>
      </w:r>
      <w:r w:rsidR="000D200D">
        <w:rPr>
          <w:rFonts w:ascii="Verdana" w:eastAsia="Calibri" w:hAnsi="Verdana" w:cs="Arial"/>
          <w:color w:val="000000"/>
          <w:sz w:val="20"/>
          <w:szCs w:val="20"/>
        </w:rPr>
        <w:t>[</w:t>
      </w:r>
      <w:r>
        <w:rPr>
          <w:rFonts w:ascii="Verdana" w:eastAsia="Calibri" w:hAnsi="Verdana" w:cs="Arial"/>
          <w:color w:val="000000"/>
          <w:sz w:val="20"/>
          <w:szCs w:val="20"/>
        </w:rPr>
        <w:t>…</w:t>
      </w:r>
      <w:r w:rsidR="000D200D">
        <w:rPr>
          <w:rFonts w:ascii="Verdana" w:eastAsia="Calibri" w:hAnsi="Verdana" w:cs="Arial"/>
          <w:color w:val="000000"/>
          <w:sz w:val="20"/>
          <w:szCs w:val="20"/>
        </w:rPr>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Nótese que, sin embargo, en ellas van inmersas las ideas de una causa cierta y unos fines públicos que hay que salvaguardar.</w:t>
      </w:r>
    </w:p>
    <w:p w14:paraId="27B87B75" w14:textId="77777777" w:rsidR="006548AD" w:rsidRDefault="0014393F" w:rsidP="006548AD">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Puede adicionarse una razón a las expuestas para justificar que </w:t>
      </w:r>
      <w:r w:rsidRPr="000B0886">
        <w:rPr>
          <w:rFonts w:ascii="Verdana" w:eastAsia="Calibri" w:hAnsi="Verdana" w:cs="Arial"/>
          <w:i/>
          <w:iCs/>
          <w:color w:val="000000"/>
          <w:sz w:val="20"/>
          <w:szCs w:val="20"/>
          <w:u w:val="single"/>
        </w:rPr>
        <w:t>la simple voluntad de las partes no es causa de modificación de los contratos estatales, la cual consiste en el respeto por el principio de igualdad de los oferentes</w:t>
      </w:r>
      <w:r w:rsidRPr="006864B6">
        <w:rPr>
          <w:rFonts w:ascii="Verdana" w:eastAsia="Calibri" w:hAnsi="Verdana" w:cs="Arial"/>
          <w:color w:val="000000"/>
          <w:sz w:val="20"/>
          <w:szCs w:val="20"/>
        </w:rPr>
        <w:t xml:space="preserve">. Si se acepta que los contratos pueden modificarse por el simple </w:t>
      </w:r>
      <w:r w:rsidRPr="006864B6">
        <w:rPr>
          <w:rFonts w:ascii="Verdana" w:eastAsia="Calibri" w:hAnsi="Verdana" w:cs="Arial"/>
          <w:color w:val="000000"/>
          <w:sz w:val="20"/>
          <w:szCs w:val="20"/>
        </w:rPr>
        <w:lastRenderedPageBreak/>
        <w:t xml:space="preserve">común acuerdo, fácilmente se podría licitar determinado objeto con el fin de adjudicárselo a cierta persona, a sabiendas de que se cambiarán las obligaciones, una vez celebrado. </w:t>
      </w:r>
    </w:p>
    <w:p w14:paraId="1C614CC8" w14:textId="479B3120" w:rsidR="0014393F" w:rsidRPr="006864B6" w:rsidRDefault="0014393F" w:rsidP="006548AD">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w:t>
      </w:r>
      <w:r w:rsidRPr="000B0886">
        <w:rPr>
          <w:rFonts w:ascii="Verdana" w:eastAsia="Calibri" w:hAnsi="Verdana" w:cs="Arial"/>
          <w:i/>
          <w:iCs/>
          <w:color w:val="000000"/>
          <w:sz w:val="20"/>
          <w:szCs w:val="20"/>
          <w:u w:val="single"/>
        </w:rPr>
        <w:t>toda modificación debe tener una causa real y cierta, contemplada en la ley, diferente de la mera voluntad de los contratantes</w:t>
      </w:r>
      <w:r w:rsidRPr="006864B6">
        <w:rPr>
          <w:rFonts w:ascii="Verdana" w:eastAsia="Calibri" w:hAnsi="Verdana" w:cs="Arial"/>
          <w:color w:val="000000"/>
          <w:sz w:val="20"/>
          <w:szCs w:val="20"/>
        </w:rPr>
        <w:t>”.</w:t>
      </w:r>
    </w:p>
    <w:p w14:paraId="5BCB6401" w14:textId="77777777" w:rsidR="0014393F" w:rsidRPr="00E54E87" w:rsidRDefault="0014393F" w:rsidP="0014393F">
      <w:pPr>
        <w:tabs>
          <w:tab w:val="left" w:pos="284"/>
        </w:tabs>
        <w:spacing w:after="0" w:line="276" w:lineRule="auto"/>
        <w:ind w:left="709" w:right="709"/>
        <w:jc w:val="both"/>
        <w:rPr>
          <w:rFonts w:ascii="Verdana" w:eastAsia="Calibri" w:hAnsi="Verdana" w:cs="Arial"/>
          <w:color w:val="000000"/>
        </w:rPr>
      </w:pPr>
    </w:p>
    <w:p w14:paraId="24C861EB" w14:textId="77777777" w:rsidR="0014393F" w:rsidRPr="000E3F53" w:rsidRDefault="0014393F" w:rsidP="0014393F">
      <w:pPr>
        <w:widowControl w:val="0"/>
        <w:autoSpaceDE w:val="0"/>
        <w:autoSpaceDN w:val="0"/>
        <w:ind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 xml:space="preserve">la regla general es la no modificación del contrato, y la vía excepcional su modificación, sometida a </w:t>
      </w:r>
      <w:r>
        <w:rPr>
          <w:rFonts w:ascii="Verdana" w:eastAsia="Arial" w:hAnsi="Verdana" w:cs="Arial"/>
          <w:color w:val="000000"/>
          <w:lang w:val="es-MX" w:eastAsia="es-ES" w:bidi="es-ES"/>
        </w:rPr>
        <w:t xml:space="preserve">los siguientes </w:t>
      </w:r>
      <w:r w:rsidRPr="00B31C7B">
        <w:rPr>
          <w:rFonts w:ascii="Verdana" w:eastAsia="Arial" w:hAnsi="Verdana" w:cs="Arial"/>
          <w:color w:val="000000"/>
          <w:lang w:val="es-MX" w:eastAsia="es-ES" w:bidi="es-ES"/>
        </w:rPr>
        <w:t>límites legales:</w:t>
      </w:r>
    </w:p>
    <w:p w14:paraId="486ABFB1" w14:textId="3E047547" w:rsidR="0014393F" w:rsidRDefault="0014393F" w:rsidP="005323BE">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7F3BEDAC" w14:textId="3F04D6C2" w:rsidR="0014393F" w:rsidRPr="00B31C7B" w:rsidRDefault="0014393F" w:rsidP="005323BE">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32A6DDAA" w14:textId="2FF3B495" w:rsidR="0014393F" w:rsidRPr="00B31C7B" w:rsidRDefault="0014393F" w:rsidP="005323BE">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01D64806" w14:textId="01D87014" w:rsidR="0014393F" w:rsidRDefault="0014393F" w:rsidP="005323BE">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2.Límites de orden temporal, entre los que están comprendidos: i) la vigencia del contrato, pues no podría modificarse un contrato cuyo plazo ha culminado y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prohibición de consagrar prórrogas automáticas, sucesivas o indefinidas, en tanto resultan contrarias al derecho esencial de la libertad de competencia.</w:t>
      </w:r>
    </w:p>
    <w:p w14:paraId="51F0A7A9" w14:textId="6C352C0F" w:rsidR="0014393F" w:rsidRPr="00B31C7B" w:rsidRDefault="0014393F" w:rsidP="005323BE">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3. Límites de orden formal, que comprenden: i) La solemnidad del contrato de modificación, derivada del carácter solemne del contrato estatal, que </w:t>
      </w:r>
      <w:r w:rsidRPr="00B31C7B">
        <w:rPr>
          <w:rFonts w:ascii="Verdana" w:eastAsia="Calibri" w:hAnsi="Verdana" w:cs="Arial"/>
          <w:color w:val="000000"/>
          <w:sz w:val="20"/>
          <w:szCs w:val="20"/>
        </w:rPr>
        <w:lastRenderedPageBreak/>
        <w:t>exige que la modificación de los contratos conste por escrito</w:t>
      </w:r>
      <w:r w:rsidRPr="00B31C7B">
        <w:rPr>
          <w:rFonts w:ascii="Verdana" w:eastAsia="Calibri" w:hAnsi="Verdana" w:cs="Arial"/>
          <w:color w:val="000000"/>
          <w:sz w:val="20"/>
          <w:szCs w:val="20"/>
          <w:vertAlign w:val="superscript"/>
        </w:rPr>
        <w:footnoteReference w:id="8"/>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motivación y justificación de la modificación, la cual constituye un elemento esencial que permite determinar la juridicidad y la necesidad de una modificación determinada; así como su racionalidad y la proporcionalidad de su contenido.</w:t>
      </w:r>
    </w:p>
    <w:p w14:paraId="185CD5D7" w14:textId="77777777" w:rsidR="0014393F" w:rsidRPr="00AD53BB" w:rsidRDefault="0014393F" w:rsidP="005323BE">
      <w:pPr>
        <w:tabs>
          <w:tab w:val="left" w:pos="284"/>
        </w:tabs>
        <w:snapToGrid w:val="0"/>
        <w:spacing w:before="120" w:after="12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3C844B9C" w14:textId="77777777" w:rsidR="0014393F" w:rsidRPr="00E54E87" w:rsidRDefault="0014393F" w:rsidP="0014393F">
      <w:pPr>
        <w:tabs>
          <w:tab w:val="left" w:pos="284"/>
        </w:tabs>
        <w:spacing w:after="0" w:line="240" w:lineRule="auto"/>
        <w:ind w:left="709" w:right="709"/>
        <w:jc w:val="both"/>
        <w:rPr>
          <w:rFonts w:ascii="Verdana" w:eastAsia="Calibri" w:hAnsi="Verdana" w:cs="Arial"/>
          <w:color w:val="000000"/>
        </w:rPr>
      </w:pPr>
    </w:p>
    <w:p w14:paraId="3A55637C" w14:textId="77777777" w:rsidR="0014393F" w:rsidRPr="00B31C7B" w:rsidRDefault="0014393F" w:rsidP="0014393F">
      <w:pPr>
        <w:widowControl w:val="0"/>
        <w:autoSpaceDE w:val="0"/>
        <w:autoSpaceDN w:val="0"/>
        <w:ind w:right="102" w:firstLine="709"/>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9"/>
      </w:r>
      <w:r w:rsidRPr="00B31C7B">
        <w:rPr>
          <w:rFonts w:ascii="Verdana" w:eastAsia="Arial" w:hAnsi="Verdana" w:cs="Arial"/>
          <w:color w:val="000000"/>
          <w:lang w:val="es-MX" w:eastAsia="es-ES" w:bidi="es-ES"/>
        </w:rPr>
        <w:t>:</w:t>
      </w:r>
    </w:p>
    <w:p w14:paraId="5073D849" w14:textId="0EFA02BF" w:rsidR="005323BE" w:rsidRPr="00B31C7B"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412BC109" w14:textId="57FACDDB"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7F6CF8D4" w14:textId="4AF8C404"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2594123C" w14:textId="31F41734"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w:t>
      </w:r>
      <w:r w:rsidRPr="00B31C7B">
        <w:rPr>
          <w:rFonts w:ascii="Verdana" w:eastAsia="Arial" w:hAnsi="Verdana" w:cs="Arial"/>
          <w:bCs/>
          <w:iCs/>
          <w:color w:val="000000"/>
          <w:sz w:val="20"/>
          <w:szCs w:val="20"/>
          <w:lang w:val="es-MX" w:eastAsia="es-ES" w:bidi="es-ES"/>
        </w:rPr>
        <w:lastRenderedPageBreak/>
        <w:t xml:space="preserve">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6B2F5993" w14:textId="6EF797E6"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 xml:space="preserve">[…] </w:t>
      </w:r>
    </w:p>
    <w:p w14:paraId="295A0B11" w14:textId="69CA2E67"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5C456289" w14:textId="7507601E"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-El cumplimiento del límite cuantitativo consagrado en la ley para los contratos adicionales. </w:t>
      </w:r>
    </w:p>
    <w:p w14:paraId="33E32854" w14:textId="5D148D01"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2C8EF044" w14:textId="77777777" w:rsidR="0014393F" w:rsidRDefault="0014393F" w:rsidP="005323BE">
      <w:pPr>
        <w:widowControl w:val="0"/>
        <w:autoSpaceDE w:val="0"/>
        <w:autoSpaceDN w:val="0"/>
        <w:snapToGrid w:val="0"/>
        <w:spacing w:before="120" w:after="12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Pr>
          <w:rFonts w:ascii="Verdana" w:eastAsia="Arial" w:hAnsi="Verdana" w:cs="Arial"/>
          <w:bCs/>
          <w:iCs/>
          <w:color w:val="000000"/>
          <w:sz w:val="20"/>
          <w:szCs w:val="20"/>
          <w:lang w:val="es-MX" w:eastAsia="es-ES" w:bidi="es-ES"/>
        </w:rPr>
        <w:t>”</w:t>
      </w:r>
      <w:r w:rsidRPr="00B31C7B">
        <w:rPr>
          <w:rFonts w:ascii="Verdana" w:eastAsia="Arial" w:hAnsi="Verdana" w:cs="Arial"/>
          <w:bCs/>
          <w:iCs/>
          <w:color w:val="000000"/>
          <w:sz w:val="20"/>
          <w:szCs w:val="20"/>
          <w:lang w:val="es-ES_tradnl" w:eastAsia="es-ES" w:bidi="es-ES"/>
        </w:rPr>
        <w:t>.</w:t>
      </w:r>
    </w:p>
    <w:p w14:paraId="02A41AB4" w14:textId="77777777" w:rsidR="0014393F" w:rsidRDefault="0014393F" w:rsidP="0014393F">
      <w:pPr>
        <w:widowControl w:val="0"/>
        <w:autoSpaceDE w:val="0"/>
        <w:autoSpaceDN w:val="0"/>
        <w:spacing w:after="0" w:line="276" w:lineRule="auto"/>
        <w:ind w:right="49" w:firstLine="708"/>
        <w:jc w:val="both"/>
        <w:rPr>
          <w:rFonts w:ascii="Verdana" w:eastAsia="Arial" w:hAnsi="Verdana" w:cs="Arial"/>
          <w:lang w:val="es-MX" w:eastAsia="es-ES" w:bidi="es-ES"/>
        </w:rPr>
      </w:pPr>
    </w:p>
    <w:p w14:paraId="6CA10F21" w14:textId="77777777" w:rsidR="0014393F" w:rsidRPr="00AD53BB" w:rsidRDefault="0014393F" w:rsidP="0014393F">
      <w:pPr>
        <w:widowControl w:val="0"/>
        <w:autoSpaceDE w:val="0"/>
        <w:autoSpaceDN w:val="0"/>
        <w:spacing w:line="276" w:lineRule="auto"/>
        <w:ind w:right="51" w:firstLine="709"/>
        <w:jc w:val="both"/>
        <w:rPr>
          <w:rFonts w:ascii="Verdana" w:eastAsia="Arial" w:hAnsi="Verdana" w:cs="Arial"/>
          <w:lang w:val="es-MX" w:eastAsia="es-ES" w:bidi="es-ES"/>
        </w:rPr>
      </w:pP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0"/>
      </w:r>
      <w:r w:rsidRPr="00AD53BB">
        <w:rPr>
          <w:rFonts w:ascii="Verdana" w:eastAsia="Arial" w:hAnsi="Verdana" w:cs="Arial"/>
          <w:lang w:val="es-MX" w:eastAsia="es-ES" w:bidi="es-ES"/>
        </w:rPr>
        <w:t xml:space="preserve">. </w:t>
      </w:r>
    </w:p>
    <w:p w14:paraId="79CE577A" w14:textId="77777777" w:rsidR="0014393F" w:rsidRDefault="0014393F" w:rsidP="0014393F">
      <w:pPr>
        <w:widowControl w:val="0"/>
        <w:autoSpaceDE w:val="0"/>
        <w:autoSpaceDN w:val="0"/>
        <w:spacing w:line="276" w:lineRule="auto"/>
        <w:ind w:firstLine="709"/>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i) la vigencia del contrato, pues no podría modificarse un contrato cuyo plazo ha culminado y; ii)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7BFEE937" w14:textId="77777777" w:rsidR="0014393F" w:rsidRPr="000E3F53" w:rsidRDefault="0014393F" w:rsidP="0014393F">
      <w:pPr>
        <w:widowControl w:val="0"/>
        <w:autoSpaceDE w:val="0"/>
        <w:autoSpaceDN w:val="0"/>
        <w:spacing w:line="276" w:lineRule="auto"/>
        <w:ind w:firstLine="709"/>
        <w:jc w:val="both"/>
        <w:rPr>
          <w:rFonts w:ascii="Verdana" w:eastAsia="Calibri" w:hAnsi="Verdana" w:cs="Arial"/>
        </w:rPr>
      </w:pPr>
      <w:r w:rsidRPr="00B31C7B">
        <w:rPr>
          <w:rFonts w:ascii="Verdana" w:eastAsia="Calibri" w:hAnsi="Verdana" w:cs="Arial"/>
        </w:rPr>
        <w:lastRenderedPageBreak/>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1"/>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2"/>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7D45D398" w14:textId="77777777" w:rsidR="0014393F" w:rsidRPr="00B31C7B" w:rsidRDefault="0014393F" w:rsidP="0014393F">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7AD36EB8" w14:textId="77777777" w:rsidR="0014393F" w:rsidRPr="00B31C7B" w:rsidRDefault="0014393F" w:rsidP="0014393F">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1C4B7677" w14:textId="77777777" w:rsidR="0014393F" w:rsidRDefault="0014393F" w:rsidP="0014393F">
      <w:pPr>
        <w:spacing w:after="0" w:line="240" w:lineRule="auto"/>
        <w:ind w:left="709" w:right="709"/>
        <w:jc w:val="both"/>
        <w:rPr>
          <w:rFonts w:ascii="Verdana" w:hAnsi="Verdana"/>
          <w:sz w:val="20"/>
          <w:szCs w:val="20"/>
        </w:rPr>
      </w:pPr>
    </w:p>
    <w:p w14:paraId="160C832F" w14:textId="77777777" w:rsidR="0014393F" w:rsidRPr="00B31C7B" w:rsidRDefault="0014393F" w:rsidP="0014393F">
      <w:pPr>
        <w:spacing w:after="0" w:line="240" w:lineRule="auto"/>
        <w:ind w:left="709" w:right="709"/>
        <w:jc w:val="both"/>
        <w:rPr>
          <w:rFonts w:ascii="Verdana" w:hAnsi="Verdana"/>
          <w:sz w:val="20"/>
          <w:szCs w:val="20"/>
        </w:rPr>
      </w:pPr>
      <w:r w:rsidRPr="00B31C7B">
        <w:rPr>
          <w:rFonts w:ascii="Verdana" w:hAnsi="Verdana"/>
          <w:sz w:val="20"/>
          <w:szCs w:val="20"/>
        </w:rPr>
        <w:t xml:space="preserve">La modificación no es una facultad discrecional, cuyo ejercicio penda de criterios de mera conveniencia o de utilidad para la entidad estatal o para su contratista, ni puede servir como instrumento ilegal para mejorar o </w:t>
      </w:r>
      <w:r w:rsidRPr="00B31C7B">
        <w:rPr>
          <w:rFonts w:ascii="Verdana" w:hAnsi="Verdana"/>
          <w:sz w:val="20"/>
          <w:szCs w:val="20"/>
        </w:rPr>
        <w:lastRenderedPageBreak/>
        <w:t>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3"/>
      </w:r>
      <w:r w:rsidRPr="00B31C7B">
        <w:rPr>
          <w:rFonts w:ascii="Verdana" w:hAnsi="Verdana"/>
          <w:sz w:val="20"/>
          <w:szCs w:val="20"/>
        </w:rPr>
        <w:t>.</w:t>
      </w:r>
    </w:p>
    <w:p w14:paraId="79114E47" w14:textId="77777777" w:rsidR="0014393F" w:rsidRPr="00B31C7B" w:rsidRDefault="0014393F" w:rsidP="0014393F">
      <w:pPr>
        <w:widowControl w:val="0"/>
        <w:autoSpaceDE w:val="0"/>
        <w:autoSpaceDN w:val="0"/>
        <w:spacing w:after="0" w:line="276" w:lineRule="auto"/>
        <w:jc w:val="both"/>
        <w:rPr>
          <w:rFonts w:ascii="Verdana" w:eastAsia="Calibri" w:hAnsi="Verdana" w:cs="Arial"/>
        </w:rPr>
      </w:pPr>
    </w:p>
    <w:p w14:paraId="27F50071" w14:textId="77777777" w:rsidR="0014393F" w:rsidRDefault="0014393F" w:rsidP="0014393F">
      <w:pPr>
        <w:widowControl w:val="0"/>
        <w:autoSpaceDE w:val="0"/>
        <w:autoSpaceDN w:val="0"/>
        <w:spacing w:line="276" w:lineRule="auto"/>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14"/>
      </w:r>
      <w:r w:rsidRPr="00B31C7B">
        <w:rPr>
          <w:rFonts w:ascii="Verdana" w:eastAsia="Arial" w:hAnsi="Verdana" w:cs="Arial"/>
          <w:i/>
          <w:lang w:val="es-MX" w:eastAsia="es-ES" w:bidi="es-ES"/>
        </w:rPr>
        <w:t xml:space="preserve">. </w:t>
      </w:r>
    </w:p>
    <w:p w14:paraId="7D1EB242" w14:textId="77777777" w:rsidR="0014393F" w:rsidRPr="0018282A" w:rsidRDefault="0014393F" w:rsidP="0014393F">
      <w:pPr>
        <w:widowControl w:val="0"/>
        <w:autoSpaceDE w:val="0"/>
        <w:autoSpaceDN w:val="0"/>
        <w:spacing w:line="276" w:lineRule="auto"/>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 xml:space="preserve">Lo anterior, con la finalidad de realizar la escogencia diligente de la mejor oferta, para beneficiar los intereses y fines públicos inmersos en la contratación de las entidades estatales. </w:t>
      </w: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1DA98B8F" w14:textId="77777777" w:rsidR="0014393F" w:rsidRPr="00B31C7B" w:rsidRDefault="0014393F" w:rsidP="0014393F">
      <w:pPr>
        <w:widowControl w:val="0"/>
        <w:autoSpaceDE w:val="0"/>
        <w:autoSpaceDN w:val="0"/>
        <w:spacing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w:t>
      </w:r>
      <w:r>
        <w:rPr>
          <w:rFonts w:ascii="Verdana" w:eastAsia="Arial" w:hAnsi="Verdana" w:cs="Arial"/>
          <w:color w:val="000000"/>
          <w:lang w:val="es-ES" w:eastAsia="es-ES" w:bidi="es-ES"/>
        </w:rPr>
        <w:t xml:space="preserve">según el marco jurídico </w:t>
      </w:r>
      <w:r w:rsidRPr="00B31C7B">
        <w:rPr>
          <w:rFonts w:ascii="Verdana" w:eastAsia="Arial" w:hAnsi="Verdana" w:cs="Arial"/>
          <w:color w:val="000000"/>
          <w:lang w:val="es-ES" w:eastAsia="es-ES" w:bidi="es-ES"/>
        </w:rPr>
        <w:t>y</w:t>
      </w:r>
      <w:r>
        <w:rPr>
          <w:rFonts w:ascii="Verdana" w:eastAsia="Arial" w:hAnsi="Verdana" w:cs="Arial"/>
          <w:color w:val="000000"/>
          <w:lang w:val="es-ES" w:eastAsia="es-ES" w:bidi="es-ES"/>
        </w:rPr>
        <w:t xml:space="preserve"> los parámetros fijados por el </w:t>
      </w:r>
      <w:r w:rsidRPr="00B31C7B">
        <w:rPr>
          <w:rFonts w:ascii="Verdana" w:eastAsia="Arial" w:hAnsi="Verdana" w:cs="Arial"/>
          <w:color w:val="000000"/>
          <w:lang w:val="es-ES" w:eastAsia="es-ES" w:bidi="es-ES"/>
        </w:rPr>
        <w:t>Consejo de Estado y la Corte Constitucional, l</w:t>
      </w:r>
      <w:r>
        <w:rPr>
          <w:rFonts w:ascii="Verdana" w:eastAsia="Arial" w:hAnsi="Verdana" w:cs="Arial"/>
          <w:color w:val="000000"/>
          <w:lang w:val="es-ES" w:eastAsia="es-ES" w:bidi="es-ES"/>
        </w:rPr>
        <w:t>os</w:t>
      </w:r>
      <w:r w:rsidRPr="00B31C7B">
        <w:rPr>
          <w:rFonts w:ascii="Verdana" w:eastAsia="Arial" w:hAnsi="Verdana" w:cs="Arial"/>
          <w:color w:val="000000"/>
          <w:lang w:val="es-ES" w:eastAsia="es-ES" w:bidi="es-ES"/>
        </w:rPr>
        <w:t xml:space="preserve"> cual</w:t>
      </w:r>
      <w:r>
        <w:rPr>
          <w:rFonts w:ascii="Verdana" w:eastAsia="Arial" w:hAnsi="Verdana" w:cs="Arial"/>
          <w:color w:val="000000"/>
          <w:lang w:val="es-ES" w:eastAsia="es-ES" w:bidi="es-ES"/>
        </w:rPr>
        <w:t>es</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comparte </w:t>
      </w:r>
      <w:r w:rsidRPr="00B31C7B">
        <w:rPr>
          <w:rFonts w:ascii="Verdana" w:eastAsia="Arial" w:hAnsi="Verdana" w:cs="Arial"/>
          <w:color w:val="000000"/>
          <w:lang w:val="es-ES" w:eastAsia="es-ES" w:bidi="es-ES"/>
        </w:rPr>
        <w:t xml:space="preserve">esta Agencia, es viable jurídicamente modificar los contratos estatales, pero esta medida tienen </w:t>
      </w:r>
      <w:r w:rsidRPr="002C3F7C">
        <w:rPr>
          <w:rFonts w:ascii="Verdana" w:eastAsia="Arial" w:hAnsi="Verdana" w:cs="Arial"/>
          <w:i/>
          <w:iCs/>
          <w:color w:val="000000"/>
          <w:lang w:val="es-ES" w:eastAsia="es-ES" w:bidi="es-ES"/>
        </w:rPr>
        <w:t>carácter excepcional</w:t>
      </w:r>
      <w:r w:rsidRPr="00B31C7B">
        <w:rPr>
          <w:rFonts w:ascii="Verdana" w:eastAsia="Arial" w:hAnsi="Verdana" w:cs="Arial"/>
          <w:color w:val="000000"/>
          <w:lang w:val="es-ES" w:eastAsia="es-ES" w:bidi="es-ES"/>
        </w:rPr>
        <w:t xml:space="preserve"> y solo procede cuando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se pretenda </w:t>
      </w:r>
      <w:r w:rsidRPr="00B31C7B">
        <w:rPr>
          <w:rFonts w:ascii="Verdana" w:eastAsia="Arial" w:hAnsi="Verdana" w:cs="Arial"/>
          <w:color w:val="000000"/>
          <w:lang w:val="es-ES" w:eastAsia="es-ES" w:bidi="es-ES"/>
        </w:rPr>
        <w:t xml:space="preserve">garantizar el interés público, la entidad haya verificado y </w:t>
      </w:r>
      <w:r>
        <w:rPr>
          <w:rFonts w:ascii="Verdana" w:eastAsia="Arial" w:hAnsi="Verdana" w:cs="Arial"/>
          <w:color w:val="000000"/>
          <w:lang w:val="es-ES" w:eastAsia="es-ES" w:bidi="es-ES"/>
        </w:rPr>
        <w:t xml:space="preserve">cualquiera </w:t>
      </w:r>
      <w:r w:rsidRPr="00B31C7B">
        <w:rPr>
          <w:rFonts w:ascii="Verdana" w:eastAsia="Arial" w:hAnsi="Verdana" w:cs="Arial"/>
          <w:color w:val="000000"/>
          <w:lang w:val="es-ES" w:eastAsia="es-ES" w:bidi="es-ES"/>
        </w:rPr>
        <w:t xml:space="preserve">pueda constatar que la causa de la modificación es real y cierta, y </w:t>
      </w:r>
      <w:r>
        <w:rPr>
          <w:rFonts w:ascii="Verdana" w:eastAsia="Arial" w:hAnsi="Verdana" w:cs="Arial"/>
          <w:color w:val="000000"/>
          <w:lang w:val="es-ES" w:eastAsia="es-ES" w:bidi="es-ES"/>
        </w:rPr>
        <w:t xml:space="preserve">la modificación </w:t>
      </w:r>
      <w:r w:rsidRPr="00B31C7B">
        <w:rPr>
          <w:rFonts w:ascii="Verdana" w:eastAsia="Arial" w:hAnsi="Verdana" w:cs="Arial"/>
          <w:color w:val="000000"/>
          <w:lang w:val="es-ES" w:eastAsia="es-ES" w:bidi="es-ES"/>
        </w:rPr>
        <w:t xml:space="preserve">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0C5BB0EA" w14:textId="77777777" w:rsidR="0014393F" w:rsidRDefault="0014393F" w:rsidP="0014393F">
      <w:pPr>
        <w:widowControl w:val="0"/>
        <w:autoSpaceDE w:val="0"/>
        <w:autoSpaceDN w:val="0"/>
        <w:spacing w:after="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w:t>
      </w:r>
      <w:r>
        <w:rPr>
          <w:rFonts w:ascii="Verdana" w:eastAsia="Arial" w:hAnsi="Verdana" w:cs="Arial"/>
          <w:color w:val="000000"/>
          <w:lang w:val="es-ES" w:eastAsia="es-ES" w:bidi="es-ES"/>
        </w:rPr>
        <w:t xml:space="preserve">las </w:t>
      </w:r>
      <w:r w:rsidRPr="00B31C7B">
        <w:rPr>
          <w:rFonts w:ascii="Verdana" w:eastAsia="Arial" w:hAnsi="Verdana" w:cs="Arial"/>
          <w:color w:val="000000"/>
          <w:lang w:val="es-ES" w:eastAsia="es-ES" w:bidi="es-ES"/>
        </w:rPr>
        <w:t>modificacione</w:t>
      </w:r>
      <w:r>
        <w:rPr>
          <w:rFonts w:ascii="Verdana" w:eastAsia="Arial" w:hAnsi="Verdana" w:cs="Arial"/>
          <w:color w:val="000000"/>
          <w:lang w:val="es-ES" w:eastAsia="es-ES" w:bidi="es-ES"/>
        </w:rPr>
        <w:t xml:space="preserve">s </w:t>
      </w:r>
      <w:r w:rsidRPr="00B31C7B">
        <w:rPr>
          <w:rFonts w:ascii="Verdana" w:eastAsia="Arial" w:hAnsi="Verdana" w:cs="Arial"/>
          <w:color w:val="000000"/>
          <w:lang w:val="es-ES" w:eastAsia="es-ES" w:bidi="es-ES"/>
        </w:rPr>
        <w:t xml:space="preserve">se refieren a alteraciones, variaciones, </w:t>
      </w:r>
      <w:r w:rsidRPr="00B31C7B">
        <w:rPr>
          <w:rFonts w:ascii="Verdana" w:eastAsia="Arial" w:hAnsi="Verdana" w:cs="Arial"/>
          <w:color w:val="000000"/>
          <w:lang w:val="es-ES" w:eastAsia="es-ES" w:bidi="es-ES"/>
        </w:rPr>
        <w:lastRenderedPageBreak/>
        <w:t>cambios, correcciones en las condiciones y cláusulas del contrato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Estas </w:t>
      </w:r>
      <w:r w:rsidRPr="00B31C7B">
        <w:rPr>
          <w:rFonts w:ascii="Verdana" w:eastAsia="Arial" w:hAnsi="Verdana" w:cs="Arial"/>
          <w:color w:val="000000"/>
          <w:lang w:val="es-ES" w:eastAsia="es-ES" w:bidi="es-ES"/>
        </w:rPr>
        <w:t xml:space="preserve">deben ser suscritas por las partes, sujetándose a lo previsto en la ley, esto es, que </w:t>
      </w:r>
      <w:r w:rsidRPr="000E6A15">
        <w:rPr>
          <w:rFonts w:ascii="Verdana" w:eastAsia="Arial" w:hAnsi="Verdana" w:cs="Arial"/>
          <w:i/>
          <w:iCs/>
          <w:color w:val="000000"/>
          <w:lang w:val="es-ES" w:eastAsia="es-ES" w:bidi="es-ES"/>
        </w:rPr>
        <w:t>se encuentren debidamente justificadas</w:t>
      </w:r>
      <w:r w:rsidRPr="00B31C7B">
        <w:rPr>
          <w:rFonts w:ascii="Verdana" w:eastAsia="Arial" w:hAnsi="Verdana" w:cs="Arial"/>
          <w:color w:val="000000"/>
          <w:lang w:val="es-ES" w:eastAsia="es-ES" w:bidi="es-ES"/>
        </w:rPr>
        <w:t xml:space="preserve">, que </w:t>
      </w:r>
      <w:r w:rsidRPr="000E6A15">
        <w:rPr>
          <w:rFonts w:ascii="Verdana" w:eastAsia="Arial" w:hAnsi="Verdana" w:cs="Arial"/>
          <w:i/>
          <w:iCs/>
          <w:color w:val="000000"/>
          <w:lang w:val="es-ES" w:eastAsia="es-ES" w:bidi="es-ES"/>
        </w:rPr>
        <w:t>no sean el resultado de una indebida planeación</w:t>
      </w:r>
      <w:r w:rsidRPr="00B31C7B">
        <w:rPr>
          <w:rFonts w:ascii="Verdana" w:eastAsia="Arial" w:hAnsi="Verdana" w:cs="Arial"/>
          <w:color w:val="000000"/>
          <w:lang w:val="es-ES" w:eastAsia="es-ES" w:bidi="es-ES"/>
        </w:rPr>
        <w:t xml:space="preserve"> y que consten por escrito, de tal manera que de las mismas se predique su existencia, validez y eficacia. </w:t>
      </w:r>
    </w:p>
    <w:p w14:paraId="349EAAD2" w14:textId="77777777" w:rsidR="0014393F" w:rsidRPr="00B31C7B" w:rsidRDefault="0014393F" w:rsidP="0014393F">
      <w:pPr>
        <w:widowControl w:val="0"/>
        <w:autoSpaceDE w:val="0"/>
        <w:autoSpaceDN w:val="0"/>
        <w:spacing w:after="0" w:line="276" w:lineRule="auto"/>
        <w:ind w:firstLine="709"/>
        <w:jc w:val="both"/>
        <w:rPr>
          <w:rFonts w:ascii="Verdana" w:eastAsia="Arial" w:hAnsi="Verdana" w:cs="Arial"/>
          <w:color w:val="000000"/>
          <w:lang w:val="es-ES" w:eastAsia="es-ES" w:bidi="es-ES"/>
        </w:rPr>
      </w:pPr>
    </w:p>
    <w:p w14:paraId="460BFB67" w14:textId="77777777" w:rsidR="0014393F" w:rsidRPr="00B31C7B" w:rsidRDefault="0014393F" w:rsidP="0014393F">
      <w:pPr>
        <w:tabs>
          <w:tab w:val="left" w:pos="284"/>
        </w:tabs>
        <w:spacing w:line="276" w:lineRule="auto"/>
        <w:jc w:val="both"/>
        <w:rPr>
          <w:rFonts w:ascii="Verdana" w:eastAsia="Arial" w:hAnsi="Verdana" w:cs="Arial"/>
          <w:color w:val="000000"/>
          <w:lang w:eastAsia="es-ES" w:bidi="es-ES"/>
        </w:rPr>
      </w:pPr>
      <w:proofErr w:type="spellStart"/>
      <w:r w:rsidRPr="00B07490">
        <w:rPr>
          <w:rFonts w:ascii="Verdana" w:hAnsi="Verdana" w:cs="Arial"/>
          <w:b/>
          <w:szCs w:val="24"/>
          <w:lang w:val="es-ES" w:eastAsia="es-ES_tradnl"/>
        </w:rPr>
        <w:t>ii</w:t>
      </w:r>
      <w:proofErr w:type="spellEnd"/>
      <w:r w:rsidRPr="00B07490">
        <w:rPr>
          <w:rFonts w:ascii="Verdana" w:hAnsi="Verdana" w:cs="Arial"/>
          <w:b/>
          <w:szCs w:val="24"/>
          <w:lang w:val="es-ES" w:eastAsia="es-ES_tradnl"/>
        </w:rPr>
        <w:t>)</w:t>
      </w:r>
      <w:r>
        <w:rPr>
          <w:rFonts w:ascii="Verdana" w:hAnsi="Verdana" w:cs="Arial"/>
          <w:bCs/>
          <w:szCs w:val="24"/>
          <w:lang w:val="es-ES" w:eastAsia="es-ES_tradnl"/>
        </w:rPr>
        <w:t xml:space="preserve"> </w:t>
      </w:r>
      <w:r w:rsidRPr="00B31C7B">
        <w:rPr>
          <w:rFonts w:ascii="Verdana" w:eastAsia="Arial" w:hAnsi="Verdana" w:cs="Arial"/>
          <w:color w:val="000000"/>
          <w:lang w:eastAsia="es-ES" w:bidi="es-ES"/>
        </w:rPr>
        <w:t xml:space="preserve">Una de las manifestaciones de modificación de los contratos es mediante la adición. Al respecto, es oportuno explicar que la palabra </w:t>
      </w:r>
      <w:r w:rsidRPr="00B31C7B">
        <w:rPr>
          <w:rFonts w:ascii="Verdana" w:eastAsia="Arial" w:hAnsi="Verdana" w:cs="Arial"/>
          <w:i/>
          <w:iCs/>
          <w:color w:val="000000"/>
          <w:lang w:eastAsia="es-ES" w:bidi="es-ES"/>
        </w:rPr>
        <w:t xml:space="preserve">adición </w:t>
      </w:r>
      <w:r w:rsidRPr="00B31C7B">
        <w:rPr>
          <w:rFonts w:ascii="Verdana" w:eastAsia="Arial" w:hAnsi="Verdana" w:cs="Arial"/>
          <w:color w:val="00000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54B87256" w14:textId="77777777" w:rsidR="0014393F" w:rsidRPr="00B31C7B" w:rsidRDefault="0014393F" w:rsidP="0014393F">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430737DE" w14:textId="77777777" w:rsidR="0014393F" w:rsidRPr="00B31C7B" w:rsidRDefault="0014393F" w:rsidP="0014393F">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Lo importante es que, frente a </w:t>
      </w:r>
      <w:r w:rsidRPr="00805B8B">
        <w:rPr>
          <w:rFonts w:ascii="Verdana" w:eastAsia="Calibri" w:hAnsi="Verdana" w:cs="Arial"/>
          <w:i/>
          <w:iCs/>
          <w:color w:val="000000"/>
          <w:szCs w:val="24"/>
          <w:u w:val="single"/>
          <w:lang w:eastAsia="es-ES_tradnl"/>
        </w:rPr>
        <w:t>cualquier i</w:t>
      </w:r>
      <w:r w:rsidRPr="00936EA7">
        <w:rPr>
          <w:rFonts w:ascii="Verdana" w:eastAsia="Calibri" w:hAnsi="Verdana" w:cs="Arial"/>
          <w:i/>
          <w:iCs/>
          <w:color w:val="000000"/>
          <w:szCs w:val="24"/>
          <w:u w:val="single"/>
          <w:lang w:eastAsia="es-ES_tradnl"/>
        </w:rPr>
        <w:t>ncremento del valor inicial</w:t>
      </w:r>
      <w:r w:rsidRPr="00B31C7B">
        <w:rPr>
          <w:rFonts w:ascii="Verdana" w:eastAsia="Calibri" w:hAnsi="Verdana" w:cs="Arial"/>
          <w:color w:val="000000"/>
          <w:szCs w:val="24"/>
          <w:lang w:eastAsia="es-ES_tradnl"/>
        </w:rPr>
        <w:t xml:space="preserve"> del contrato</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 xml:space="preserve">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w:t>
      </w:r>
      <w:r w:rsidRPr="00B31C7B">
        <w:rPr>
          <w:rFonts w:ascii="Verdana" w:eastAsia="Calibri" w:hAnsi="Verdana" w:cs="Arial"/>
          <w:color w:val="000000"/>
          <w:szCs w:val="24"/>
          <w:lang w:eastAsia="es-ES_tradnl"/>
        </w:rPr>
        <w:lastRenderedPageBreak/>
        <w:t>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r w:rsidRPr="00B31C7B">
        <w:rPr>
          <w:rFonts w:ascii="Verdana" w:eastAsia="Calibri" w:hAnsi="Verdana" w:cs="Arial"/>
          <w:color w:val="000000"/>
          <w:szCs w:val="24"/>
          <w:vertAlign w:val="superscript"/>
          <w:lang w:eastAsia="es-ES_tradnl"/>
        </w:rPr>
        <w:footnoteReference w:id="15"/>
      </w:r>
      <w:r w:rsidRPr="00B31C7B">
        <w:rPr>
          <w:rFonts w:ascii="Verdana" w:eastAsia="Calibri" w:hAnsi="Verdana" w:cs="Arial"/>
          <w:color w:val="000000"/>
          <w:szCs w:val="24"/>
          <w:lang w:eastAsia="es-ES_tradnl"/>
        </w:rPr>
        <w:t>.</w:t>
      </w:r>
    </w:p>
    <w:p w14:paraId="06F70556" w14:textId="77777777" w:rsidR="0014393F" w:rsidRPr="00B31C7B" w:rsidRDefault="0014393F" w:rsidP="0014393F">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dos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4D9464DF" w14:textId="77777777" w:rsidR="0014393F" w:rsidRDefault="0014393F" w:rsidP="0014393F">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expresada en SMLMV</w:t>
      </w:r>
      <w:r w:rsidRPr="00B31C7B">
        <w:rPr>
          <w:rFonts w:ascii="Verdana" w:eastAsia="Calibri" w:hAnsi="Verdana" w:cs="Arial"/>
          <w:color w:val="000000"/>
          <w:szCs w:val="24"/>
          <w:lang w:eastAsia="es-ES_tradnl"/>
        </w:rPr>
        <w:t xml:space="preserve">, y valga la redundancia, el valor inicial es el contemplado en el contrato originario y cualquier alteración a ese valor constituirá, técnicamente, una adición, independientemente de cuál sea su causa. </w:t>
      </w:r>
    </w:p>
    <w:p w14:paraId="50EE946E" w14:textId="77777777" w:rsidR="0014393F" w:rsidRDefault="0014393F" w:rsidP="0014393F">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Sin perjuicio de lo anterior, actualmente existe una posibilidad para adicionar contratos en más del cincuenta por ciento (50%)</w:t>
      </w:r>
      <w:r>
        <w:rPr>
          <w:rFonts w:ascii="Verdana" w:eastAsia="Calibri" w:hAnsi="Verdana" w:cs="Arial"/>
          <w:color w:val="000000"/>
          <w:szCs w:val="24"/>
          <w:lang w:eastAsia="es-ES_tradnl"/>
        </w:rPr>
        <w:t xml:space="preserve"> del valor inicial del </w:t>
      </w:r>
      <w:r>
        <w:rPr>
          <w:rFonts w:ascii="Verdana" w:eastAsia="Calibri" w:hAnsi="Verdana" w:cs="Arial"/>
          <w:color w:val="000000"/>
          <w:szCs w:val="24"/>
          <w:lang w:eastAsia="es-ES_tradnl"/>
        </w:rPr>
        <w:lastRenderedPageBreak/>
        <w:t>contrato expresado en SMLMV</w:t>
      </w:r>
      <w:r w:rsidRPr="00B31C7B">
        <w:rPr>
          <w:rFonts w:ascii="Verdana" w:eastAsia="Calibri" w:hAnsi="Verdana" w:cs="Arial"/>
          <w:color w:val="000000"/>
          <w:szCs w:val="24"/>
          <w:lang w:eastAsia="es-ES_tradnl"/>
        </w:rPr>
        <w:t xml:space="preserve"> 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6BC11C7F" w14:textId="77777777" w:rsidR="0014393F" w:rsidRPr="00612B6B" w:rsidRDefault="0014393F" w:rsidP="0014393F">
      <w:pPr>
        <w:spacing w:after="120" w:line="276" w:lineRule="auto"/>
        <w:ind w:firstLine="709"/>
        <w:jc w:val="both"/>
        <w:rPr>
          <w:rFonts w:ascii="Verdana" w:hAnsi="Verdana" w:cs="Arial"/>
          <w:lang w:eastAsia="es-ES_tradnl"/>
        </w:rPr>
      </w:pPr>
      <w:r>
        <w:rPr>
          <w:rFonts w:ascii="Verdana" w:eastAsia="Calibri" w:hAnsi="Verdana" w:cs="Arial"/>
          <w:color w:val="000000"/>
          <w:szCs w:val="24"/>
          <w:lang w:eastAsia="es-ES_tradnl"/>
        </w:rPr>
        <w:t xml:space="preserve">Igualmente, </w:t>
      </w:r>
      <w:r w:rsidRPr="00612B6B">
        <w:rPr>
          <w:rFonts w:ascii="Verdana" w:hAnsi="Verdana" w:cs="Arial"/>
          <w:szCs w:val="24"/>
          <w:lang w:eastAsia="es-ES_tradnl"/>
        </w:rPr>
        <w:t xml:space="preserve">conforme </w:t>
      </w:r>
      <w:r>
        <w:rPr>
          <w:rFonts w:ascii="Verdana" w:hAnsi="Verdana" w:cs="Arial"/>
          <w:szCs w:val="24"/>
          <w:lang w:eastAsia="es-ES_tradnl"/>
        </w:rPr>
        <w:t xml:space="preserve">ha precisado </w:t>
      </w:r>
      <w:r w:rsidRPr="00612B6B">
        <w:rPr>
          <w:rFonts w:ascii="Verdana" w:hAnsi="Verdana" w:cs="Arial"/>
          <w:szCs w:val="24"/>
          <w:lang w:eastAsia="es-ES_tradnl"/>
        </w:rPr>
        <w:t>esta Subdirección</w:t>
      </w:r>
      <w:r>
        <w:rPr>
          <w:rFonts w:ascii="Verdana" w:hAnsi="Verdana" w:cs="Arial"/>
          <w:szCs w:val="24"/>
          <w:lang w:eastAsia="es-ES_tradnl"/>
        </w:rPr>
        <w:t xml:space="preserve">, en línea con lo dispuesto por la jurisprudencia del Consejo de Estado, </w:t>
      </w:r>
      <w:r w:rsidRPr="00612B6B">
        <w:rPr>
          <w:rFonts w:ascii="Verdana" w:hAnsi="Verdana" w:cs="Arial"/>
          <w:szCs w:val="24"/>
          <w:lang w:eastAsia="es-ES_tradnl"/>
        </w:rPr>
        <w:t xml:space="preserve">el límite a la adición previsto en segundo inciso del parágrafo del artículo 40 de la Ley 80 de 1993, no resulta </w:t>
      </w:r>
      <w:r>
        <w:rPr>
          <w:rFonts w:ascii="Verdana" w:hAnsi="Verdana" w:cs="Arial"/>
          <w:szCs w:val="24"/>
          <w:lang w:eastAsia="es-ES_tradnl"/>
        </w:rPr>
        <w:t xml:space="preserve">aplicable </w:t>
      </w:r>
      <w:r w:rsidRPr="00612B6B">
        <w:rPr>
          <w:rFonts w:ascii="Verdana" w:hAnsi="Verdana" w:cs="Arial"/>
          <w:szCs w:val="24"/>
          <w:lang w:eastAsia="es-ES_tradnl"/>
        </w:rPr>
        <w:t>a</w:t>
      </w:r>
      <w:r w:rsidRPr="00612B6B">
        <w:rPr>
          <w:rFonts w:ascii="Verdana" w:hAnsi="Verdana" w:cs="Arial"/>
          <w:lang w:eastAsia="es-ES_tradnl"/>
        </w:rPr>
        <w:t xml:space="preserve"> las mayores cantidades que deban ejecutarse en el marco de contratos cuya contraprestación se haya pactado bajo la modalidad de precios unitarios</w:t>
      </w:r>
      <w:r w:rsidRPr="00612B6B">
        <w:rPr>
          <w:rStyle w:val="Refdenotaalpie"/>
          <w:rFonts w:ascii="Verdana" w:hAnsi="Verdana" w:cs="Arial"/>
          <w:lang w:eastAsia="es-ES_tradnl"/>
        </w:rPr>
        <w:footnoteReference w:id="16"/>
      </w:r>
      <w:r w:rsidRPr="00612B6B">
        <w:rPr>
          <w:rFonts w:ascii="Verdana" w:hAnsi="Verdana" w:cs="Arial"/>
          <w:lang w:eastAsia="es-ES_tradnl"/>
        </w:rPr>
        <w:t xml:space="preserve">. </w:t>
      </w:r>
      <w:r w:rsidRPr="00612B6B">
        <w:rPr>
          <w:rFonts w:ascii="Verdana" w:eastAsia="Calibri" w:hAnsi="Verdana" w:cs="Arial"/>
        </w:rPr>
        <w:t xml:space="preserve">De acuerdo con la jurisprudencia reciente, esta limitación no es aplicable a dichos contratos, </w:t>
      </w:r>
      <w:r w:rsidRPr="00612B6B">
        <w:rPr>
          <w:rFonts w:ascii="Verdana" w:hAnsi="Verdana" w:cs="Arial"/>
          <w:lang w:eastAsia="es-ES_tradnl"/>
        </w:rPr>
        <w:t>por cuanto en estos contratos el valor estipulado es estimativo y está sujeto a multiplicar las cantidades de obra ejecutadas por el precio de cada una de ellas</w:t>
      </w:r>
      <w:r w:rsidRPr="00612B6B">
        <w:rPr>
          <w:rStyle w:val="Refdenotaalpie"/>
          <w:rFonts w:ascii="Verdana" w:hAnsi="Verdana" w:cs="Arial"/>
          <w:lang w:eastAsia="es-ES_tradnl"/>
        </w:rPr>
        <w:footnoteReference w:id="17"/>
      </w:r>
      <w:r w:rsidRPr="00612B6B">
        <w:rPr>
          <w:rFonts w:ascii="Verdana" w:hAnsi="Verdana" w:cs="Arial"/>
          <w:lang w:eastAsia="es-ES_tradnl"/>
        </w:rPr>
        <w:t>.</w:t>
      </w:r>
    </w:p>
    <w:p w14:paraId="6A6F1A7D" w14:textId="77777777" w:rsidR="0014393F" w:rsidRPr="007C0B10" w:rsidRDefault="0014393F" w:rsidP="00203811">
      <w:pPr>
        <w:spacing w:after="120" w:line="276" w:lineRule="auto"/>
        <w:ind w:firstLine="708"/>
        <w:jc w:val="both"/>
        <w:rPr>
          <w:rFonts w:ascii="Verdana" w:hAnsi="Verdana"/>
        </w:rPr>
      </w:pPr>
      <w:r w:rsidRPr="00B31C7B">
        <w:rPr>
          <w:rFonts w:ascii="Verdana" w:eastAsia="Calibri" w:hAnsi="Verdana" w:cs="Arial"/>
        </w:rPr>
        <w:t xml:space="preserve">Sin perjuicio de lo expuesto, </w:t>
      </w:r>
      <w:r w:rsidRPr="00B31C7B">
        <w:rPr>
          <w:rFonts w:ascii="Verdana" w:hAnsi="Verdana"/>
        </w:rPr>
        <w:t>fuera</w:t>
      </w:r>
      <w:r>
        <w:rPr>
          <w:rFonts w:ascii="Verdana" w:hAnsi="Verdana"/>
        </w:rPr>
        <w:t xml:space="preserve"> de los límites cuantitativos establecidos</w:t>
      </w:r>
      <w:r w:rsidRPr="00B31C7B">
        <w:rPr>
          <w:rFonts w:ascii="Verdana" w:hAnsi="Verdana"/>
        </w:rPr>
        <w:t xml:space="preserve"> en el parágrafo del artículo 40 de la Ley 80 de 1993 y de la cláusula excepcional de modificación de los contratos estatales, no existe un desarrollo legal o reglamentario sobre las reglas aplicables a la modificación del contrato estatales.</w:t>
      </w:r>
      <w:r>
        <w:rPr>
          <w:rFonts w:ascii="Verdana" w:hAnsi="Verdana"/>
        </w:rPr>
        <w:t xml:space="preserve"> </w:t>
      </w:r>
      <w:r w:rsidRPr="00B31C7B">
        <w:rPr>
          <w:rFonts w:ascii="Verdana" w:eastAsia="Calibri" w:hAnsi="Verdana" w:cs="Arial"/>
          <w:lang w:val="es-MX" w:eastAsia="es-ES_tradnl"/>
        </w:rPr>
        <w:t>E</w:t>
      </w:r>
      <w:r w:rsidRPr="00B31C7B">
        <w:rPr>
          <w:rFonts w:ascii="Verdana" w:eastAsia="Arial" w:hAnsi="Verdana" w:cs="Arial"/>
          <w:lang w:val="es-MX" w:eastAsia="es-ES" w:bidi="es-ES"/>
        </w:rPr>
        <w:t>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B31C7B">
        <w:rPr>
          <w:rFonts w:ascii="Verdana" w:eastAsia="Arial" w:hAnsi="Verdana" w:cs="Arial"/>
          <w:lang w:val="es-ES_tradnl" w:eastAsia="es-ES" w:bidi="es-ES"/>
        </w:rPr>
        <w:t>.</w:t>
      </w:r>
      <w:r w:rsidRPr="00B31C7B">
        <w:rPr>
          <w:rFonts w:ascii="Verdana" w:eastAsia="Calibri" w:hAnsi="Verdana" w:cs="Arial"/>
          <w:bCs/>
          <w:lang w:eastAsia="es-ES_tradnl"/>
        </w:rPr>
        <w:t xml:space="preserve"> </w:t>
      </w:r>
    </w:p>
    <w:p w14:paraId="43580C0B" w14:textId="77777777" w:rsidR="0014393F" w:rsidRDefault="0014393F" w:rsidP="0014393F">
      <w:pPr>
        <w:widowControl w:val="0"/>
        <w:tabs>
          <w:tab w:val="left" w:pos="709"/>
        </w:tabs>
        <w:autoSpaceDE w:val="0"/>
        <w:autoSpaceDN w:val="0"/>
        <w:spacing w:after="0" w:line="276" w:lineRule="auto"/>
        <w:jc w:val="both"/>
        <w:rPr>
          <w:rFonts w:ascii="Verdana" w:hAnsi="Verdana"/>
        </w:rPr>
      </w:pPr>
      <w:r w:rsidRPr="00B31C7B">
        <w:rPr>
          <w:rFonts w:ascii="Verdana" w:eastAsia="Calibri" w:hAnsi="Verdana" w:cs="Arial"/>
          <w:bCs/>
          <w:lang w:eastAsia="es-ES_tradnl"/>
        </w:rPr>
        <w:tab/>
      </w:r>
      <w:r w:rsidRPr="00B31C7B">
        <w:rPr>
          <w:rFonts w:ascii="Verdana" w:eastAsia="Calibri" w:hAnsi="Verdana" w:cs="Arial"/>
          <w:lang w:eastAsia="es-ES_tradnl"/>
        </w:rPr>
        <w:t xml:space="preserve">Sumado a lo anterior, la posibilidad de ejecutar por encima del valor inicialmente estimado un contrato estructurado en el marco del sistema precios unitarios no puede usarse para desconocer la modalidad de selección aplicable </w:t>
      </w:r>
      <w:r w:rsidRPr="00B31C7B">
        <w:rPr>
          <w:rFonts w:ascii="Verdana" w:eastAsia="Calibri" w:hAnsi="Verdana" w:cs="Arial"/>
          <w:lang w:eastAsia="es-ES_tradnl"/>
        </w:rPr>
        <w:lastRenderedPageBreak/>
        <w:t>al caso, de acuerdo con la cuantía del Proceso de Contratación, con miras a garantizar la transparencia, la selección objetiva y el principio de planeación en la actividad contractual.</w:t>
      </w:r>
      <w:r w:rsidRPr="00B31C7B">
        <w:rPr>
          <w:rFonts w:ascii="Verdana" w:eastAsia="Calibri" w:hAnsi="Verdana" w:cs="Arial"/>
        </w:rPr>
        <w:t xml:space="preserve"> Si bien en los contratos pactados en la </w:t>
      </w:r>
      <w:r w:rsidRPr="00B31C7B">
        <w:rPr>
          <w:rFonts w:ascii="Verdana" w:hAnsi="Verdana"/>
        </w:rPr>
        <w:t>modalidad de precios unitarios el valor inicial es estimativo, mientras que el valor real es el que resulta una vez se ha terminado la ejecución del contrato, lo cierto es que el valor estimado debe obedecer a estudios previos que determinen de la manera más exacta posible las cantidades de obra. Esto además es el presupuesto sobre el cual la Entidad Estatal contratante genera las apropiaciones presupuestales para ejecutar el contrato.</w:t>
      </w:r>
    </w:p>
    <w:p w14:paraId="23D2EBA6" w14:textId="77777777" w:rsidR="0014393F" w:rsidRDefault="0014393F" w:rsidP="0014393F">
      <w:pPr>
        <w:widowControl w:val="0"/>
        <w:tabs>
          <w:tab w:val="left" w:pos="709"/>
        </w:tabs>
        <w:autoSpaceDE w:val="0"/>
        <w:autoSpaceDN w:val="0"/>
        <w:spacing w:after="0" w:line="276" w:lineRule="auto"/>
        <w:jc w:val="both"/>
        <w:rPr>
          <w:rFonts w:ascii="Verdana" w:hAnsi="Verdana"/>
        </w:rPr>
      </w:pPr>
    </w:p>
    <w:p w14:paraId="6DA6F720" w14:textId="77777777" w:rsidR="0014393F" w:rsidRPr="00E97A27" w:rsidRDefault="0014393F" w:rsidP="0014393F">
      <w:pPr>
        <w:widowControl w:val="0"/>
        <w:autoSpaceDE w:val="0"/>
        <w:autoSpaceDN w:val="0"/>
        <w:spacing w:after="0" w:line="276" w:lineRule="auto"/>
        <w:jc w:val="both"/>
        <w:rPr>
          <w:rFonts w:ascii="Verdana" w:eastAsia="Arial" w:hAnsi="Verdana" w:cs="Arial"/>
          <w:color w:val="000000" w:themeColor="text1"/>
          <w:lang w:eastAsia="es-ES" w:bidi="es-ES"/>
        </w:rPr>
      </w:pPr>
      <w:proofErr w:type="spellStart"/>
      <w:r w:rsidRPr="00B07490">
        <w:rPr>
          <w:rFonts w:ascii="Verdana" w:eastAsia="Arial" w:hAnsi="Verdana" w:cs="Arial"/>
          <w:b/>
          <w:bCs/>
          <w:lang w:val="es-ES" w:eastAsia="es-ES" w:bidi="es-ES"/>
        </w:rPr>
        <w:t>iii</w:t>
      </w:r>
      <w:proofErr w:type="spellEnd"/>
      <w:r w:rsidRPr="00B07490">
        <w:rPr>
          <w:rFonts w:ascii="Verdana" w:eastAsia="Arial" w:hAnsi="Verdana" w:cs="Arial"/>
          <w:b/>
          <w:bCs/>
          <w:lang w:val="es-ES" w:eastAsia="es-ES" w:bidi="es-ES"/>
        </w:rPr>
        <w:t>)</w:t>
      </w:r>
      <w:r>
        <w:rPr>
          <w:rFonts w:ascii="Verdana" w:eastAsia="Arial" w:hAnsi="Verdana" w:cs="Arial"/>
          <w:lang w:val="es-ES" w:eastAsia="es-ES" w:bidi="es-ES"/>
        </w:rPr>
        <w:t xml:space="preserve"> Por otra parte, </w:t>
      </w: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39636CD4" w14:textId="77777777" w:rsidR="0014393F" w:rsidRPr="00E97A27" w:rsidRDefault="0014393F" w:rsidP="0014393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652D191" w14:textId="77777777" w:rsidR="0014393F" w:rsidRPr="00AA6517" w:rsidRDefault="0014393F" w:rsidP="0014393F">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3"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223E6545" w14:textId="77777777" w:rsidR="0014393F" w:rsidRPr="00E97A27" w:rsidRDefault="0014393F" w:rsidP="0014393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EBFC761" w14:textId="77777777" w:rsidR="0014393F" w:rsidRPr="00E97A27" w:rsidRDefault="0014393F" w:rsidP="0014393F">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 xml:space="preserve">en garantizar el mantenimiento de la igualdad </w:t>
      </w:r>
      <w:r w:rsidRPr="00E97A27">
        <w:rPr>
          <w:rFonts w:ascii="Verdana" w:eastAsia="Arial" w:hAnsi="Verdana" w:cs="Arial"/>
          <w:color w:val="000000" w:themeColor="text1"/>
          <w:lang w:eastAsia="es-ES" w:bidi="es-ES"/>
        </w:rPr>
        <w:lastRenderedPageBreak/>
        <w:t>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8"/>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19"/>
      </w:r>
      <w:r w:rsidRPr="00E97A27">
        <w:rPr>
          <w:rFonts w:ascii="Verdana" w:hAnsi="Verdana" w:cs="Arial"/>
        </w:rPr>
        <w:t xml:space="preserve">.  </w:t>
      </w:r>
    </w:p>
    <w:p w14:paraId="2E50C0BC"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6AFEC6BC" w14:textId="77777777" w:rsidR="0014393F"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w:t>
      </w:r>
      <w:r w:rsidRPr="00E97A27">
        <w:rPr>
          <w:rFonts w:ascii="Verdana" w:eastAsia="Arial" w:hAnsi="Verdana" w:cs="Arial"/>
          <w:color w:val="000000" w:themeColor="text1"/>
          <w:lang w:val="es-ES" w:eastAsia="es-ES" w:bidi="es-ES"/>
        </w:rPr>
        <w:lastRenderedPageBreak/>
        <w:t xml:space="preserve">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4B1AFD5A" w14:textId="77777777" w:rsidR="0014393F" w:rsidRDefault="0014393F" w:rsidP="0014393F">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657644A1" w14:textId="77777777" w:rsidR="0014393F" w:rsidRPr="000E4887" w:rsidRDefault="0014393F" w:rsidP="0014393F">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0533B3A7" w14:textId="77777777" w:rsidR="0014393F" w:rsidRDefault="0014393F" w:rsidP="0014393F">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20"/>
      </w:r>
      <w:r w:rsidRPr="000E4887">
        <w:rPr>
          <w:rFonts w:ascii="Verdana" w:eastAsia="Arial" w:hAnsi="Verdana" w:cs="Arial"/>
          <w:color w:val="000000" w:themeColor="text1"/>
          <w:sz w:val="20"/>
          <w:szCs w:val="20"/>
          <w:lang w:val="es-ES" w:eastAsia="es-ES" w:bidi="es-ES"/>
        </w:rPr>
        <w:t>.</w:t>
      </w:r>
    </w:p>
    <w:p w14:paraId="2B7FB502" w14:textId="77777777" w:rsidR="0014393F" w:rsidRPr="000E4887" w:rsidRDefault="0014393F" w:rsidP="0014393F">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5D4FCF10" w14:textId="77777777" w:rsidR="0014393F" w:rsidRPr="00E97A27" w:rsidRDefault="0014393F" w:rsidP="0014393F">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w:t>
      </w:r>
      <w:r w:rsidRPr="000F1B82">
        <w:rPr>
          <w:rFonts w:ascii="Verdana" w:eastAsia="Arial" w:hAnsi="Verdana" w:cs="Arial"/>
          <w:i/>
          <w:iCs/>
          <w:color w:val="000000" w:themeColor="text1"/>
          <w:lang w:val="es-ES" w:eastAsia="es-ES" w:bidi="es-ES"/>
        </w:rPr>
        <w:t>En consecuencia, tendrán derecho, previa solicitud, a que la administración les restablezca el equilibrio de la ecuación económica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59C781A3" w14:textId="77777777" w:rsidR="0014393F" w:rsidRPr="00B22FB7" w:rsidRDefault="0014393F" w:rsidP="0014393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w:t>
      </w:r>
      <w:r w:rsidRPr="00E97A27">
        <w:rPr>
          <w:rFonts w:ascii="Verdana" w:eastAsia="Arial" w:hAnsi="Verdana" w:cs="Arial"/>
          <w:color w:val="000000" w:themeColor="text1"/>
          <w:lang w:val="es-ES" w:eastAsia="es-ES" w:bidi="es-ES"/>
        </w:rPr>
        <w:lastRenderedPageBreak/>
        <w:t xml:space="preserve">lugar, todo ello con el fin de </w:t>
      </w:r>
      <w:r w:rsidRPr="00B22FB7">
        <w:rPr>
          <w:rFonts w:ascii="Verdana" w:eastAsia="Arial" w:hAnsi="Verdana" w:cs="Arial"/>
          <w:color w:val="000000" w:themeColor="text1"/>
          <w:lang w:val="es-ES" w:eastAsia="es-ES" w:bidi="es-ES"/>
        </w:rPr>
        <w:t>mantener la ecuación o equilibrio inicial.</w:t>
      </w:r>
    </w:p>
    <w:p w14:paraId="55C52879" w14:textId="77777777" w:rsidR="0014393F" w:rsidRDefault="0014393F" w:rsidP="0014393F">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w:t>
      </w:r>
      <w:r>
        <w:rPr>
          <w:rFonts w:ascii="Verdana" w:eastAsia="Arial" w:hAnsi="Verdana" w:cs="Arial"/>
          <w:color w:val="000000" w:themeColor="text1"/>
          <w:lang w:val="es-ES" w:eastAsia="es-ES" w:bidi="es-ES"/>
        </w:rPr>
        <w:t xml:space="preserve">que estime adecuadas </w:t>
      </w:r>
      <w:r w:rsidRPr="00E97A27">
        <w:rPr>
          <w:rFonts w:ascii="Verdana" w:eastAsia="Arial" w:hAnsi="Verdana" w:cs="Arial"/>
          <w:color w:val="000000" w:themeColor="text1"/>
          <w:lang w:val="es-ES" w:eastAsia="es-ES" w:bidi="es-ES"/>
        </w:rPr>
        <w:t>de manera que se pueda precaver las diferencias que se lleguen a presentar como consecuencia de la vulneración del principio del equilibrio económico del contrato y evitar una mayor onerosidad.</w:t>
      </w:r>
    </w:p>
    <w:p w14:paraId="07AE9722" w14:textId="77777777" w:rsidR="0014393F" w:rsidRPr="00E97A27" w:rsidRDefault="0014393F" w:rsidP="0014393F">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ampliamente la materia. En tal sentido, ha manifestado reiteradamente que el desequilibrio económico del contrato se puede presentar por diferentes situaciones: </w:t>
      </w:r>
    </w:p>
    <w:p w14:paraId="4FE8996A" w14:textId="77777777" w:rsidR="0014393F" w:rsidRPr="00E97A27" w:rsidRDefault="0014393F" w:rsidP="0014393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29525BD7" w14:textId="77777777" w:rsidR="0014393F" w:rsidRPr="00AA6517" w:rsidRDefault="0014393F" w:rsidP="0014393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579A02E6" w14:textId="77777777" w:rsidR="0014393F" w:rsidRPr="00AA6517" w:rsidRDefault="0014393F" w:rsidP="0014393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4A6E0972" w14:textId="77777777" w:rsidR="0014393F" w:rsidRPr="00AA6517" w:rsidRDefault="0014393F" w:rsidP="0014393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c) Factores exógenos a las partes del negocio, o ‘teoría de la imprevisión’, o ‘sujeciones materiales imprevistas’, que involucran circunstancias no imputables al Estado y externas al </w:t>
      </w:r>
      <w:proofErr w:type="gramStart"/>
      <w:r w:rsidRPr="00AA6517">
        <w:rPr>
          <w:rFonts w:ascii="Verdana" w:eastAsia="Arial" w:hAnsi="Verdana" w:cs="Arial"/>
          <w:color w:val="000000" w:themeColor="text1"/>
          <w:sz w:val="20"/>
          <w:szCs w:val="20"/>
          <w:lang w:val="es-ES" w:eastAsia="es-ES" w:bidi="es-ES"/>
        </w:rPr>
        <w:t>contrato</w:t>
      </w:r>
      <w:proofErr w:type="gramEnd"/>
      <w:r w:rsidRPr="00AA6517">
        <w:rPr>
          <w:rFonts w:ascii="Verdana" w:eastAsia="Arial" w:hAnsi="Verdana" w:cs="Arial"/>
          <w:color w:val="000000" w:themeColor="text1"/>
          <w:sz w:val="20"/>
          <w:szCs w:val="20"/>
          <w:lang w:val="es-ES" w:eastAsia="es-ES" w:bidi="es-ES"/>
        </w:rPr>
        <w:t xml:space="preserve"> pero con incidencia en él.</w:t>
      </w:r>
    </w:p>
    <w:p w14:paraId="7A6D36B9" w14:textId="77777777" w:rsidR="0014393F" w:rsidRPr="00E97A27" w:rsidRDefault="0014393F" w:rsidP="0014393F">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21"/>
      </w:r>
      <w:r w:rsidRPr="00AA6517">
        <w:rPr>
          <w:rFonts w:ascii="Verdana" w:eastAsia="Arial" w:hAnsi="Verdana" w:cs="Arial"/>
          <w:color w:val="000000" w:themeColor="text1"/>
          <w:sz w:val="20"/>
          <w:szCs w:val="20"/>
          <w:lang w:val="es-ES" w:eastAsia="es-ES" w:bidi="es-ES"/>
        </w:rPr>
        <w:t>.</w:t>
      </w:r>
    </w:p>
    <w:p w14:paraId="4AD94F04" w14:textId="77777777" w:rsidR="0014393F" w:rsidRPr="00E97A27" w:rsidRDefault="0014393F" w:rsidP="0014393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0DB93761" w14:textId="77777777" w:rsidR="0014393F" w:rsidRPr="00E97A27" w:rsidRDefault="0014393F" w:rsidP="0014393F">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lo que atañe a la procedencia del restablecimiento del equilibrio financiero del contrato cuando este se vulnera, la jurisprudencia ha señalado </w:t>
      </w:r>
      <w:r w:rsidRPr="00E97A27">
        <w:rPr>
          <w:rFonts w:ascii="Verdana" w:eastAsia="Arial" w:hAnsi="Verdana" w:cs="Arial"/>
          <w:color w:val="000000" w:themeColor="text1"/>
          <w:lang w:val="es-ES" w:eastAsia="es-ES" w:bidi="es-ES"/>
        </w:rPr>
        <w:lastRenderedPageBreak/>
        <w:t>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22"/>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3"/>
      </w:r>
      <w:r w:rsidRPr="00E97A27">
        <w:rPr>
          <w:rFonts w:ascii="Verdana" w:eastAsia="Arial" w:hAnsi="Verdana" w:cs="Arial"/>
          <w:color w:val="000000" w:themeColor="text1"/>
          <w:lang w:val="es-MX" w:eastAsia="es-ES" w:bidi="es-ES"/>
        </w:rPr>
        <w:t xml:space="preserve">. </w:t>
      </w:r>
    </w:p>
    <w:p w14:paraId="158E3F6F"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0D244BD6"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24"/>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 xml:space="preserve">la denegatoria de tales pretensiones, es el hecho de que el acuerdo suscrito haya servido, precisamente, para solventar situaciones que se hayan presentado durante la ejecución del contrato, por lo que no se entendería que, de considerar que subsistía un </w:t>
      </w:r>
      <w:r w:rsidRPr="00E97A27">
        <w:rPr>
          <w:rFonts w:ascii="Verdana" w:eastAsia="Arial" w:hAnsi="Verdana" w:cs="Arial"/>
          <w:color w:val="000000" w:themeColor="text1"/>
          <w:lang w:eastAsia="es-ES" w:bidi="es-ES"/>
        </w:rPr>
        <w:lastRenderedPageBreak/>
        <w:t>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447E014C"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Bajo estas consideraciones y más allá de las distintas posturas que se han generado al interior del Consejo de Estado en torno a la oportunidad de la reclamación del restablecimiento del equilibrio económico del contrato, lo relevante de lo expuesto</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 xml:space="preserve">es que </w:t>
      </w:r>
      <w:r>
        <w:rPr>
          <w:rFonts w:ascii="Verdana" w:eastAsia="Arial" w:hAnsi="Verdana" w:cs="Arial"/>
          <w:color w:val="000000" w:themeColor="text1"/>
          <w:lang w:val="es-ES" w:eastAsia="es-ES" w:bidi="es-ES"/>
        </w:rPr>
        <w:t xml:space="preserve">la Administración podrá realizar directamente </w:t>
      </w:r>
      <w:r w:rsidRPr="00E97A27">
        <w:rPr>
          <w:rFonts w:ascii="Verdana" w:eastAsia="Arial" w:hAnsi="Verdana" w:cs="Arial"/>
          <w:color w:val="000000" w:themeColor="text1"/>
          <w:lang w:val="es-ES" w:eastAsia="es-ES" w:bidi="es-ES"/>
        </w:rPr>
        <w:t xml:space="preserve">este restablecimiento durante la ejecución del contrato adoptando las </w:t>
      </w:r>
      <w:r w:rsidRPr="008404EA">
        <w:rPr>
          <w:rFonts w:ascii="Verdana" w:eastAsia="Arial" w:hAnsi="Verdana" w:cs="Arial"/>
          <w:i/>
          <w:iCs/>
          <w:color w:val="000000" w:themeColor="text1"/>
          <w:lang w:val="es-ES" w:eastAsia="es-ES" w:bidi="es-ES"/>
        </w:rPr>
        <w:t>medidas necesarias</w:t>
      </w:r>
      <w:r w:rsidRPr="00E97A27">
        <w:rPr>
          <w:rFonts w:ascii="Verdana" w:eastAsia="Arial" w:hAnsi="Verdana" w:cs="Arial"/>
          <w:color w:val="000000" w:themeColor="text1"/>
          <w:lang w:val="es-ES" w:eastAsia="es-ES" w:bidi="es-ES"/>
        </w:rPr>
        <w:t xml:space="preserve"> que aseguren la efectividad de los pagos y reconocimientos al contratista que haya lugar. </w:t>
      </w:r>
      <w:r w:rsidRPr="00B51A91">
        <w:rPr>
          <w:rFonts w:ascii="Verdana" w:eastAsia="Arial" w:hAnsi="Verdana" w:cs="Arial"/>
          <w:i/>
          <w:iCs/>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w:t>
      </w:r>
      <w:r w:rsidRPr="00E97A27">
        <w:rPr>
          <w:rFonts w:ascii="Verdana" w:eastAsia="Arial" w:hAnsi="Verdana" w:cs="Arial"/>
          <w:color w:val="000000" w:themeColor="text1"/>
          <w:lang w:val="es-ES" w:eastAsia="es-ES" w:bidi="es-ES"/>
        </w:rPr>
        <w:t xml:space="preserve">. Igualmente, podrá efectuarse dicho reconocimiento por parte del juez mediante el ejercicio de la acción judicial correspondiente. </w:t>
      </w:r>
    </w:p>
    <w:p w14:paraId="31048F0F"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w:t>
      </w:r>
      <w:r w:rsidRPr="00371B33">
        <w:rPr>
          <w:rFonts w:ascii="Verdana" w:eastAsia="Arial" w:hAnsi="Verdana" w:cs="Arial"/>
          <w:i/>
          <w:iCs/>
          <w:color w:val="000000" w:themeColor="text1"/>
          <w:lang w:val="es-ES" w:eastAsia="es-ES" w:bidi="es-ES"/>
        </w:rPr>
        <w:t>y las limitaciones legales sobre el particular</w:t>
      </w:r>
      <w:r w:rsidRPr="00E97A27">
        <w:rPr>
          <w:rFonts w:ascii="Verdana" w:eastAsia="Arial" w:hAnsi="Verdana" w:cs="Arial"/>
          <w:color w:val="000000" w:themeColor="text1"/>
          <w:lang w:val="es-ES" w:eastAsia="es-ES" w:bidi="es-ES"/>
        </w:rPr>
        <w:t>, de manera que mediante los acuerdos que se celebren se autorregulen los intereses de las partes.</w:t>
      </w:r>
    </w:p>
    <w:p w14:paraId="16F1131C"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5"/>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3976D8C9" w14:textId="77777777" w:rsidR="0014393F" w:rsidRPr="00E97A27" w:rsidRDefault="0014393F" w:rsidP="0014393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lastRenderedPageBreak/>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26"/>
      </w:r>
      <w:r w:rsidRPr="00E97A27">
        <w:rPr>
          <w:rFonts w:ascii="Verdana" w:eastAsia="Arial" w:hAnsi="Verdana" w:cs="Arial"/>
          <w:color w:val="000000" w:themeColor="text1"/>
          <w:lang w:val="es-ES" w:eastAsia="es-ES" w:bidi="es-ES"/>
        </w:rPr>
        <w:t xml:space="preserve">. </w:t>
      </w:r>
    </w:p>
    <w:p w14:paraId="1F677907" w14:textId="77777777" w:rsidR="0014393F" w:rsidRDefault="0014393F" w:rsidP="0014393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 </w:t>
      </w:r>
    </w:p>
    <w:p w14:paraId="5F9ACB7F" w14:textId="77777777" w:rsidR="0014393F"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De esta manera: </w:t>
      </w:r>
    </w:p>
    <w:p w14:paraId="507DABB1" w14:textId="77777777" w:rsidR="0014393F"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0307601" w14:textId="77777777" w:rsidR="0014393F" w:rsidRPr="00AA6517" w:rsidRDefault="0014393F" w:rsidP="0014393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 xml:space="preserve">“A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w:t>
      </w:r>
      <w:r w:rsidRPr="00AA6517">
        <w:rPr>
          <w:rFonts w:ascii="Verdana" w:eastAsia="Times New Roman" w:hAnsi="Verdana" w:cs="Arial"/>
          <w:color w:val="000000"/>
          <w:sz w:val="20"/>
          <w:szCs w:val="20"/>
          <w:bdr w:val="none" w:sz="0" w:space="0" w:color="auto" w:frame="1"/>
          <w:shd w:val="clear" w:color="auto" w:fill="FFFFFF"/>
          <w:lang w:eastAsia="es-ES_tradnl"/>
        </w:rPr>
        <w:lastRenderedPageBreak/>
        <w:t>de la relación jurídica, con el propósito de que el negocio finalmente sea equivalente entre las partes”</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27"/>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5E2BA987" w14:textId="77777777" w:rsidR="0014393F"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4C137D7B" w14:textId="77777777" w:rsidR="0014393F"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 xml:space="preserve">De acuerdo con la Sentencia de Unificación del 19 de noviembre de 2012 de la Sala Plena del Consejo de Estado, </w:t>
      </w:r>
      <w:r>
        <w:rPr>
          <w:rFonts w:ascii="Verdana" w:eastAsia="Times New Roman" w:hAnsi="Verdana" w:cs="Arial"/>
          <w:i/>
          <w:iCs/>
          <w:color w:val="000000"/>
          <w:bdr w:val="none" w:sz="0" w:space="0" w:color="auto" w:frame="1"/>
          <w:shd w:val="clear" w:color="auto" w:fill="FFFFFF"/>
          <w:lang w:eastAsia="es-ES_tradnl"/>
        </w:rPr>
        <w:t>por regla general,</w:t>
      </w:r>
      <w:r>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Dentro de esta línea:</w:t>
      </w:r>
    </w:p>
    <w:p w14:paraId="22C1ACF4" w14:textId="77777777" w:rsidR="0014393F"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B14DB3D" w14:textId="77777777" w:rsidR="0014393F" w:rsidRPr="00AA6517" w:rsidRDefault="0014393F" w:rsidP="0014393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28"/>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6A2BA1C1" w14:textId="77777777" w:rsidR="0014393F" w:rsidRPr="00A04C35"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6E946DA" w14:textId="77777777" w:rsidR="0014393F" w:rsidRPr="00A04C35" w:rsidRDefault="0014393F" w:rsidP="0014393F">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9"/>
      </w:r>
      <w:r w:rsidRPr="00A04C35">
        <w:rPr>
          <w:rFonts w:ascii="Verdana" w:eastAsia="Times New Roman" w:hAnsi="Verdana" w:cs="Arial"/>
          <w:color w:val="000000"/>
          <w:bdr w:val="none" w:sz="0" w:space="0" w:color="auto" w:frame="1"/>
          <w:shd w:val="clear" w:color="auto" w:fill="FFFFFF"/>
          <w:lang w:eastAsia="es-ES_tradnl"/>
        </w:rPr>
        <w:t xml:space="preserve">.  </w:t>
      </w:r>
    </w:p>
    <w:p w14:paraId="5E4FD596" w14:textId="77777777" w:rsidR="0014393F" w:rsidRPr="00A04C35"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En todo caso, esta postura jurisprudencial consolidada cambió con la Sentencia de Unificación del 31 de julio de 2025, en la que se expresó la </w:t>
      </w:r>
      <w:r w:rsidRPr="00A04C35">
        <w:rPr>
          <w:rFonts w:ascii="Verdana" w:eastAsia="Times New Roman" w:hAnsi="Verdana" w:cs="Arial"/>
          <w:color w:val="000000"/>
          <w:bdr w:val="none" w:sz="0" w:space="0" w:color="auto" w:frame="1"/>
          <w:shd w:val="clear" w:color="auto" w:fill="FFFFFF"/>
          <w:lang w:eastAsia="es-ES_tradnl"/>
        </w:rPr>
        <w:lastRenderedPageBreak/>
        <w:t>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30"/>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37C1C4C4" w14:textId="77777777" w:rsidR="0014393F" w:rsidRPr="00A04C35"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FA674E9" w14:textId="77777777" w:rsidR="0014393F" w:rsidRPr="00A04C35" w:rsidRDefault="0014393F" w:rsidP="0014393F">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un empobrecimiento correlativo sufrido por el demandante, el cual pueda atribuirse al acrecimiento mencionado;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la ausencia de causa jurídica en el desequilibrio producido, en cuanto a que no haya sido generada por un hecho o un acto jurídico, como tampoco por una disposición expresa de la ley;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iv</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31"/>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4FDFE317" w14:textId="77777777" w:rsidR="0014393F" w:rsidRPr="00A04C35"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B17B807" w14:textId="77777777" w:rsidR="0014393F" w:rsidRPr="00A04C35"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32"/>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37FBDA1B" w14:textId="77777777" w:rsidR="0014393F" w:rsidRPr="00A04C35"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3EB176C" w14:textId="77777777" w:rsidR="0014393F" w:rsidRPr="00A04C35" w:rsidRDefault="0014393F" w:rsidP="0014393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 xml:space="preserve">“Sobre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mecanismo para reclamar, debe cumplir los presupuestos procesales de la reparación directa (incluso cuando se ha celebrado un contrato cuyo objeto se haya agotado para el momento de la extinción del plazo previsto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33"/>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7CEE6D5C" w14:textId="77777777" w:rsidR="0014393F" w:rsidRPr="00A04C35" w:rsidRDefault="0014393F" w:rsidP="0014393F">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61E66E89" w14:textId="77777777" w:rsidR="0014393F" w:rsidRPr="00B128F0" w:rsidRDefault="0014393F" w:rsidP="0014393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xml:space="preserve">”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w:t>
      </w:r>
      <w:r w:rsidRPr="00B128F0">
        <w:rPr>
          <w:rFonts w:ascii="Verdana" w:eastAsia="Times New Roman" w:hAnsi="Verdana" w:cs="Arial"/>
          <w:color w:val="000000"/>
          <w:bdr w:val="none" w:sz="0" w:space="0" w:color="auto" w:frame="1"/>
          <w:shd w:val="clear" w:color="auto" w:fill="FFFFFF"/>
          <w:lang w:eastAsia="es-ES_tradnl"/>
        </w:rPr>
        <w:t xml:space="preserve">que se configuren los elementos del enriquecimiento sin justa causa, la prueba de la actividad, sumado a la circunstancia excepcional que se invoca.  </w:t>
      </w:r>
    </w:p>
    <w:p w14:paraId="602B7162" w14:textId="77777777" w:rsidR="0014393F" w:rsidRPr="00B128F0" w:rsidRDefault="0014393F" w:rsidP="0014393F">
      <w:pPr>
        <w:spacing w:after="0" w:line="276" w:lineRule="auto"/>
        <w:jc w:val="both"/>
        <w:rPr>
          <w:rFonts w:ascii="Verdana" w:eastAsia="Arial" w:hAnsi="Verdana" w:cs="Arial"/>
          <w:lang w:val="es-ES" w:eastAsia="es-ES" w:bidi="es-ES"/>
        </w:rPr>
      </w:pPr>
    </w:p>
    <w:p w14:paraId="7DA9A0DA" w14:textId="77777777" w:rsidR="0014393F" w:rsidRPr="00B128F0" w:rsidRDefault="0014393F" w:rsidP="0014393F">
      <w:pPr>
        <w:widowControl w:val="0"/>
        <w:autoSpaceDE w:val="0"/>
        <w:autoSpaceDN w:val="0"/>
        <w:spacing w:line="276" w:lineRule="auto"/>
        <w:jc w:val="both"/>
        <w:rPr>
          <w:rFonts w:ascii="Verdana" w:eastAsia="Arial" w:hAnsi="Verdana" w:cs="Arial"/>
          <w:color w:val="000000" w:themeColor="text1"/>
          <w:lang w:val="es-ES" w:eastAsia="es-ES" w:bidi="es-ES"/>
        </w:rPr>
      </w:pPr>
      <w:proofErr w:type="spellStart"/>
      <w:r w:rsidRPr="00B07490">
        <w:rPr>
          <w:rFonts w:ascii="Verdana" w:hAnsi="Verdana" w:cs="Arial"/>
          <w:b/>
          <w:bCs/>
        </w:rPr>
        <w:t>i</w:t>
      </w:r>
      <w:r>
        <w:rPr>
          <w:rFonts w:ascii="Verdana" w:hAnsi="Verdana" w:cs="Arial"/>
          <w:b/>
          <w:bCs/>
        </w:rPr>
        <w:t>v</w:t>
      </w:r>
      <w:proofErr w:type="spellEnd"/>
      <w:r w:rsidRPr="00B07490">
        <w:rPr>
          <w:rFonts w:ascii="Verdana" w:hAnsi="Verdana" w:cs="Arial"/>
          <w:b/>
          <w:bCs/>
        </w:rPr>
        <w:t>)</w:t>
      </w:r>
      <w:r w:rsidRPr="00B128F0">
        <w:rPr>
          <w:rFonts w:ascii="Verdana" w:hAnsi="Verdana" w:cs="Arial"/>
        </w:rPr>
        <w:t xml:space="preserve"> </w:t>
      </w:r>
      <w:r w:rsidRPr="00E94899">
        <w:rPr>
          <w:rFonts w:ascii="Verdana" w:hAnsi="Verdana" w:cs="Arial"/>
        </w:rPr>
        <w:t>De acuerdo con las consideraciones expuestas en este concepto y con fundamento en el Estatuto General de Contratación de la Administración Pública, la jurisprudencia y la doctrina, se concluye que,</w:t>
      </w:r>
      <w:r w:rsidRPr="00E94899">
        <w:rPr>
          <w:rFonts w:ascii="Verdana" w:hAnsi="Verdana" w:cs="Arial"/>
          <w:lang w:bidi="es-ES"/>
        </w:rPr>
        <w:t xml:space="preserve"> </w:t>
      </w:r>
      <w:r w:rsidRPr="00B128F0">
        <w:rPr>
          <w:rFonts w:ascii="Verdana" w:eastAsia="Arial" w:hAnsi="Verdana" w:cs="Arial"/>
          <w:color w:val="000000" w:themeColor="text1"/>
          <w:lang w:val="es-ES" w:eastAsia="es-ES" w:bidi="es-ES"/>
        </w:rPr>
        <w:t>cuando se presenten situaciones que generen el desequilibrio económico del contrato</w:t>
      </w:r>
      <w:r>
        <w:rPr>
          <w:rFonts w:ascii="Verdana" w:eastAsia="Arial" w:hAnsi="Verdana" w:cs="Arial"/>
          <w:color w:val="000000" w:themeColor="text1"/>
          <w:lang w:val="es-ES" w:eastAsia="es-ES" w:bidi="es-ES"/>
        </w:rPr>
        <w:t>,</w:t>
      </w:r>
      <w:r w:rsidRPr="00B128F0">
        <w:rPr>
          <w:rFonts w:ascii="Verdana" w:eastAsia="Arial" w:hAnsi="Verdana" w:cs="Arial"/>
          <w:color w:val="000000" w:themeColor="text1"/>
          <w:lang w:val="es-ES" w:eastAsia="es-ES" w:bidi="es-ES"/>
        </w:rPr>
        <w:t xml:space="preserve"> y previa revisión de su procedencia conforme el análisis del caso concreto, la entidad deberá adoptar las medidas </w:t>
      </w:r>
      <w:r>
        <w:rPr>
          <w:rFonts w:ascii="Verdana" w:eastAsia="Arial" w:hAnsi="Verdana" w:cs="Arial"/>
          <w:color w:val="000000" w:themeColor="text1"/>
          <w:lang w:val="es-ES" w:eastAsia="es-ES" w:bidi="es-ES"/>
        </w:rPr>
        <w:t xml:space="preserve">necesarias </w:t>
      </w:r>
      <w:r w:rsidRPr="00B128F0">
        <w:rPr>
          <w:rFonts w:ascii="Verdana" w:eastAsia="Arial" w:hAnsi="Verdana" w:cs="Arial"/>
          <w:color w:val="000000" w:themeColor="text1"/>
          <w:lang w:val="es-ES" w:eastAsia="es-ES" w:bidi="es-ES"/>
        </w:rPr>
        <w:t xml:space="preserve">para su restablecimiento, si a ello hay lugar, para lo cual tiene la potestad para suscribir los acuerdos </w:t>
      </w:r>
      <w:r>
        <w:rPr>
          <w:rFonts w:ascii="Verdana" w:eastAsia="Arial" w:hAnsi="Verdana" w:cs="Arial"/>
          <w:color w:val="000000" w:themeColor="text1"/>
          <w:lang w:val="es-ES" w:eastAsia="es-ES" w:bidi="es-ES"/>
        </w:rPr>
        <w:t xml:space="preserve">correspondientes </w:t>
      </w:r>
      <w:r w:rsidRPr="00B128F0">
        <w:rPr>
          <w:rFonts w:ascii="Verdana" w:eastAsia="Arial" w:hAnsi="Verdana" w:cs="Arial"/>
          <w:color w:val="000000" w:themeColor="text1"/>
          <w:lang w:val="es-ES" w:eastAsia="es-ES" w:bidi="es-ES"/>
        </w:rPr>
        <w:t xml:space="preserve">sobre cuantía, </w:t>
      </w:r>
      <w:r w:rsidRPr="00B128F0">
        <w:rPr>
          <w:rFonts w:ascii="Verdana" w:eastAsia="Arial" w:hAnsi="Verdana" w:cs="Arial"/>
          <w:color w:val="000000" w:themeColor="text1"/>
          <w:lang w:val="es-ES" w:eastAsia="es-ES" w:bidi="es-ES"/>
        </w:rPr>
        <w:lastRenderedPageBreak/>
        <w:t xml:space="preserve">condiciones, forma de pago, etc. En todo caso, cualquier modificación que realice deberá estar debidamente motivada y respetar las reglas </w:t>
      </w:r>
      <w:r>
        <w:rPr>
          <w:rFonts w:ascii="Verdana" w:eastAsia="Arial" w:hAnsi="Verdana" w:cs="Arial"/>
          <w:color w:val="000000" w:themeColor="text1"/>
          <w:lang w:val="es-ES" w:eastAsia="es-ES" w:bidi="es-ES"/>
        </w:rPr>
        <w:t xml:space="preserve">y límites </w:t>
      </w:r>
      <w:r w:rsidRPr="00B128F0">
        <w:rPr>
          <w:rFonts w:ascii="Verdana" w:eastAsia="Arial" w:hAnsi="Verdana" w:cs="Arial"/>
          <w:color w:val="000000" w:themeColor="text1"/>
          <w:lang w:val="es-ES" w:eastAsia="es-ES" w:bidi="es-ES"/>
        </w:rPr>
        <w:t>establecid</w:t>
      </w:r>
      <w:r>
        <w:rPr>
          <w:rFonts w:ascii="Verdana" w:eastAsia="Arial" w:hAnsi="Verdana" w:cs="Arial"/>
          <w:color w:val="000000" w:themeColor="text1"/>
          <w:lang w:val="es-ES" w:eastAsia="es-ES" w:bidi="es-ES"/>
        </w:rPr>
        <w:t>o</w:t>
      </w:r>
      <w:r w:rsidRPr="00B128F0">
        <w:rPr>
          <w:rFonts w:ascii="Verdana" w:eastAsia="Arial" w:hAnsi="Verdana" w:cs="Arial"/>
          <w:color w:val="000000" w:themeColor="text1"/>
          <w:lang w:val="es-ES" w:eastAsia="es-ES" w:bidi="es-ES"/>
        </w:rPr>
        <w:t xml:space="preserve">s en el ordenamiento jurídico. </w:t>
      </w:r>
      <w:r w:rsidRPr="00E94899">
        <w:rPr>
          <w:rFonts w:ascii="Verdana" w:eastAsia="Arial" w:hAnsi="Verdana" w:cs="Arial"/>
          <w:color w:val="000000" w:themeColor="text1"/>
          <w:lang w:eastAsia="es-ES" w:bidi="es-ES"/>
        </w:rPr>
        <w:t>En este sentido, cuando la medida adoptada para el restablecimiento económico del contrato implique un incremento del valor inicial, se configurará una adición y, por tanto, resultará aplicable el límite previsto en el artículo 40 de la Ley 80 de 1993.</w:t>
      </w:r>
    </w:p>
    <w:p w14:paraId="6F8CCCBE" w14:textId="77777777" w:rsidR="0014393F" w:rsidRPr="00B128F0" w:rsidRDefault="0014393F" w:rsidP="0014393F">
      <w:pPr>
        <w:widowControl w:val="0"/>
        <w:autoSpaceDE w:val="0"/>
        <w:autoSpaceDN w:val="0"/>
        <w:spacing w:before="120" w:line="276" w:lineRule="auto"/>
        <w:ind w:firstLine="709"/>
        <w:jc w:val="both"/>
        <w:rPr>
          <w:rFonts w:ascii="Verdana" w:eastAsia="Arial" w:hAnsi="Verdana" w:cs="Arial"/>
          <w:i/>
          <w:iCs/>
          <w:color w:val="000000" w:themeColor="text1"/>
          <w:lang w:val="es-ES" w:eastAsia="es-ES" w:bidi="es-ES"/>
        </w:rPr>
      </w:pPr>
      <w:r w:rsidRPr="00B128F0">
        <w:rPr>
          <w:rFonts w:ascii="Verdana" w:eastAsia="Arial" w:hAnsi="Verdana" w:cs="Arial"/>
          <w:color w:val="000000" w:themeColor="text1"/>
          <w:lang w:val="es-ES" w:eastAsia="es-ES" w:bidi="es-ES"/>
        </w:rPr>
        <w:t xml:space="preserve">Los artículos 4.8, 5.1 y 27 de la Ley 80 de 1993 imponen a la entidad el deber de adoptar las </w:t>
      </w:r>
      <w:r w:rsidRPr="00B128F0">
        <w:rPr>
          <w:rFonts w:ascii="Verdana" w:eastAsia="Arial" w:hAnsi="Verdana" w:cs="Arial"/>
          <w:i/>
          <w:iCs/>
          <w:color w:val="000000" w:themeColor="text1"/>
          <w:lang w:val="es-ES" w:eastAsia="es-ES" w:bidi="es-ES"/>
        </w:rPr>
        <w:t>medidas necesarias</w:t>
      </w:r>
      <w:r w:rsidRPr="00B128F0">
        <w:rPr>
          <w:rFonts w:ascii="Verdana" w:eastAsia="Arial" w:hAnsi="Verdana" w:cs="Arial"/>
          <w:color w:val="000000" w:themeColor="text1"/>
          <w:lang w:val="es-ES" w:eastAsia="es-ES" w:bidi="es-ES"/>
        </w:rPr>
        <w:t xml:space="preserve"> para mantener durante el desarrollo y ejecución del contrato las condiciones técnicas, económicas y financieras existentes al momento de su celebración y restablecer la ecuación financiera del contrato cuando a ello haya lugar. Adicionalmente,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w:t>
      </w:r>
      <w:r w:rsidRPr="00B128F0">
        <w:rPr>
          <w:rFonts w:ascii="Verdana" w:eastAsia="Arial" w:hAnsi="Verdana" w:cs="Arial"/>
          <w:i/>
          <w:iCs/>
          <w:lang w:val="es-ES" w:eastAsia="es-ES" w:bidi="es-ES"/>
        </w:rPr>
        <w:t xml:space="preserve"> </w:t>
      </w:r>
    </w:p>
    <w:p w14:paraId="0797977A" w14:textId="77777777" w:rsidR="0014393F" w:rsidRPr="00E94899" w:rsidRDefault="0014393F" w:rsidP="0014393F">
      <w:pPr>
        <w:widowControl w:val="0"/>
        <w:autoSpaceDE w:val="0"/>
        <w:autoSpaceDN w:val="0"/>
        <w:spacing w:before="120" w:line="276" w:lineRule="auto"/>
        <w:ind w:firstLine="709"/>
        <w:jc w:val="both"/>
        <w:rPr>
          <w:rFonts w:ascii="Verdana" w:eastAsia="Arial" w:hAnsi="Verdana" w:cs="Arial"/>
          <w:color w:val="000000" w:themeColor="text1"/>
          <w:lang w:eastAsia="es-ES" w:bidi="es-ES"/>
        </w:rPr>
      </w:pPr>
      <w:r w:rsidRPr="00B128F0">
        <w:rPr>
          <w:rFonts w:ascii="Verdana" w:eastAsia="Arial" w:hAnsi="Verdana" w:cs="Arial"/>
          <w:color w:val="000000" w:themeColor="text1"/>
          <w:lang w:eastAsia="es-ES" w:bidi="es-ES"/>
        </w:rPr>
        <w:t>No obstante, dichas medidas no tienen carácter discrecional absoluto, pues corresponde a la entidad realizar un análisis detallado de cada caso</w:t>
      </w:r>
      <w:r>
        <w:rPr>
          <w:rFonts w:ascii="Verdana" w:eastAsia="Arial" w:hAnsi="Verdana" w:cs="Arial"/>
          <w:color w:val="000000" w:themeColor="text1"/>
          <w:lang w:eastAsia="es-ES" w:bidi="es-ES"/>
        </w:rPr>
        <w:t>, verificando</w:t>
      </w:r>
      <w:r w:rsidRPr="00B128F0">
        <w:rPr>
          <w:rFonts w:ascii="Verdana" w:eastAsia="Arial" w:hAnsi="Verdana" w:cs="Arial"/>
          <w:color w:val="000000" w:themeColor="text1"/>
          <w:lang w:eastAsia="es-ES" w:bidi="es-ES"/>
        </w:rPr>
        <w:t xml:space="preserve"> las circunstancias fácticas y jurídicas que fundamentan el restablecimiento, así como las limitaciones legales aplicables</w:t>
      </w:r>
      <w:r w:rsidRPr="00B128F0">
        <w:rPr>
          <w:rFonts w:ascii="Verdana" w:eastAsia="Arial" w:hAnsi="Verdana" w:cs="Arial"/>
          <w:color w:val="000000" w:themeColor="text1"/>
          <w:lang w:val="es-ES" w:eastAsia="es-ES" w:bidi="es-ES"/>
        </w:rPr>
        <w:t xml:space="preserve">. </w:t>
      </w:r>
      <w:r>
        <w:rPr>
          <w:rFonts w:ascii="Verdana" w:eastAsia="Arial" w:hAnsi="Verdana" w:cs="Arial"/>
          <w:color w:val="000000" w:themeColor="text1"/>
          <w:lang w:val="es-ES" w:eastAsia="es-ES" w:bidi="es-ES"/>
        </w:rPr>
        <w:t>P</w:t>
      </w:r>
      <w:r w:rsidRPr="00E94899">
        <w:rPr>
          <w:rFonts w:ascii="Verdana" w:eastAsia="Arial" w:hAnsi="Verdana" w:cs="Arial"/>
          <w:color w:val="000000" w:themeColor="text1"/>
          <w:lang w:eastAsia="es-ES" w:bidi="es-ES"/>
        </w:rPr>
        <w:t>ara tal efecto, deberá considerar, en primer lugar, si el supuesto de hecho corresponde a un evento que da lugar al restablecimiento del equilibrio económico o a un riesgo que debe ser asumido por el contratista</w:t>
      </w:r>
      <w:r>
        <w:rPr>
          <w:rFonts w:ascii="Verdana" w:eastAsia="Arial" w:hAnsi="Verdana" w:cs="Arial"/>
          <w:color w:val="000000" w:themeColor="text1"/>
          <w:lang w:eastAsia="es-ES" w:bidi="es-ES"/>
        </w:rPr>
        <w:t>.</w:t>
      </w:r>
      <w:r w:rsidRPr="00E94899">
        <w:rPr>
          <w:rFonts w:ascii="Verdana" w:eastAsia="Arial" w:hAnsi="Verdana" w:cs="Arial"/>
          <w:color w:val="000000" w:themeColor="text1"/>
          <w:lang w:eastAsia="es-ES" w:bidi="es-ES"/>
        </w:rPr>
        <w:t xml:space="preserve"> En caso de resultar procedente el restablecimiento, </w:t>
      </w:r>
      <w:r>
        <w:rPr>
          <w:rFonts w:ascii="Verdana" w:eastAsia="Arial" w:hAnsi="Verdana" w:cs="Arial"/>
          <w:color w:val="000000" w:themeColor="text1"/>
          <w:lang w:eastAsia="es-ES" w:bidi="es-ES"/>
        </w:rPr>
        <w:t xml:space="preserve">deberá </w:t>
      </w:r>
      <w:r w:rsidRPr="00E94899">
        <w:rPr>
          <w:rFonts w:ascii="Verdana" w:eastAsia="Arial" w:hAnsi="Verdana" w:cs="Arial"/>
          <w:color w:val="000000" w:themeColor="text1"/>
          <w:lang w:eastAsia="es-ES" w:bidi="es-ES"/>
        </w:rPr>
        <w:t xml:space="preserve">definir las medidas adecuadas, respetando los límites </w:t>
      </w:r>
      <w:r>
        <w:rPr>
          <w:rFonts w:ascii="Verdana" w:eastAsia="Arial" w:hAnsi="Verdana" w:cs="Arial"/>
          <w:color w:val="000000" w:themeColor="text1"/>
          <w:lang w:eastAsia="es-ES" w:bidi="es-ES"/>
        </w:rPr>
        <w:t xml:space="preserve">normativos </w:t>
      </w:r>
      <w:r w:rsidRPr="00E94899">
        <w:rPr>
          <w:rFonts w:ascii="Verdana" w:eastAsia="Arial" w:hAnsi="Verdana" w:cs="Arial"/>
          <w:color w:val="000000" w:themeColor="text1"/>
          <w:lang w:eastAsia="es-ES" w:bidi="es-ES"/>
        </w:rPr>
        <w:t xml:space="preserve">establecidos. Así, deberá </w:t>
      </w:r>
      <w:r>
        <w:rPr>
          <w:rFonts w:ascii="Verdana" w:eastAsia="Arial" w:hAnsi="Verdana" w:cs="Arial"/>
          <w:color w:val="000000" w:themeColor="text1"/>
          <w:lang w:eastAsia="es-ES" w:bidi="es-ES"/>
        </w:rPr>
        <w:t xml:space="preserve">considerar </w:t>
      </w:r>
      <w:r w:rsidRPr="00E94899">
        <w:rPr>
          <w:rFonts w:ascii="Verdana" w:eastAsia="Arial" w:hAnsi="Verdana" w:cs="Arial"/>
          <w:color w:val="000000" w:themeColor="text1"/>
          <w:lang w:eastAsia="es-ES" w:bidi="es-ES"/>
        </w:rPr>
        <w:t>los mecanismos contractuales previstos, tales como las cláusulas de reajuste o revisión de precios</w:t>
      </w:r>
      <w:r>
        <w:rPr>
          <w:rFonts w:ascii="Verdana" w:eastAsia="Arial" w:hAnsi="Verdana" w:cs="Arial"/>
          <w:color w:val="000000" w:themeColor="text1"/>
          <w:lang w:eastAsia="es-ES" w:bidi="es-ES"/>
        </w:rPr>
        <w:t>, o definirlos conforme al marco jurídico antes explicado. C</w:t>
      </w:r>
      <w:r w:rsidRPr="00E94899">
        <w:rPr>
          <w:rFonts w:ascii="Verdana" w:eastAsia="Arial" w:hAnsi="Verdana" w:cs="Arial"/>
          <w:color w:val="000000" w:themeColor="text1"/>
          <w:lang w:eastAsia="es-ES" w:bidi="es-ES"/>
        </w:rPr>
        <w:t xml:space="preserve">uando </w:t>
      </w:r>
      <w:r>
        <w:rPr>
          <w:rFonts w:ascii="Verdana" w:eastAsia="Arial" w:hAnsi="Verdana" w:cs="Arial"/>
          <w:color w:val="000000" w:themeColor="text1"/>
          <w:lang w:eastAsia="es-ES" w:bidi="es-ES"/>
        </w:rPr>
        <w:t xml:space="preserve">las </w:t>
      </w:r>
      <w:r w:rsidRPr="00E94899">
        <w:rPr>
          <w:rFonts w:ascii="Verdana" w:eastAsia="Arial" w:hAnsi="Verdana" w:cs="Arial"/>
          <w:color w:val="000000" w:themeColor="text1"/>
          <w:lang w:eastAsia="es-ES" w:bidi="es-ES"/>
        </w:rPr>
        <w:t>medidas</w:t>
      </w:r>
      <w:r>
        <w:rPr>
          <w:rFonts w:ascii="Verdana" w:eastAsia="Arial" w:hAnsi="Verdana" w:cs="Arial"/>
          <w:color w:val="000000" w:themeColor="text1"/>
          <w:lang w:eastAsia="es-ES" w:bidi="es-ES"/>
        </w:rPr>
        <w:t xml:space="preserve"> adoptadas</w:t>
      </w:r>
      <w:r w:rsidRPr="00E94899">
        <w:rPr>
          <w:rFonts w:ascii="Verdana" w:eastAsia="Arial" w:hAnsi="Verdana" w:cs="Arial"/>
          <w:color w:val="000000" w:themeColor="text1"/>
          <w:lang w:eastAsia="es-ES" w:bidi="es-ES"/>
        </w:rPr>
        <w:t xml:space="preserve"> impliquen una adición al valor inicial del contrato, deberá observarse el límite previsto en el artículo 40 de la Ley 80 de 1993, </w:t>
      </w:r>
      <w:r>
        <w:rPr>
          <w:rFonts w:ascii="Verdana" w:eastAsia="Arial" w:hAnsi="Verdana" w:cs="Arial"/>
          <w:color w:val="000000" w:themeColor="text1"/>
          <w:lang w:eastAsia="es-ES" w:bidi="es-ES"/>
        </w:rPr>
        <w:t xml:space="preserve">pues la restricción no estableció distinción con respecto a </w:t>
      </w:r>
      <w:r w:rsidRPr="00E94899">
        <w:rPr>
          <w:rFonts w:ascii="Verdana" w:eastAsia="Arial" w:hAnsi="Verdana" w:cs="Arial"/>
          <w:color w:val="000000" w:themeColor="text1"/>
          <w:lang w:eastAsia="es-ES" w:bidi="es-ES"/>
        </w:rPr>
        <w:t>la causa que origina la modificación.</w:t>
      </w:r>
    </w:p>
    <w:p w14:paraId="5D9ADFF0" w14:textId="34C262CD" w:rsidR="0014393F" w:rsidRPr="00B128F0" w:rsidRDefault="0014393F" w:rsidP="0014393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B128F0">
        <w:rPr>
          <w:rFonts w:ascii="Verdana" w:eastAsia="Arial" w:hAnsi="Verdana" w:cs="Arial"/>
          <w:color w:val="000000" w:themeColor="text1"/>
          <w:lang w:eastAsia="es-ES" w:bidi="es-ES"/>
        </w:rPr>
        <w:t>En consecuencia, si bien las entidades estatales cuentan con la potestad de adoptar las medidas necesarias para restablecer el equilibrio económico del contrato, cuando estas se materialicen en una adición al valor inicial del contrato deberán observar el límite previsto en el artículo 40 de la Ley 80 de 1993</w:t>
      </w:r>
      <w:r>
        <w:rPr>
          <w:rFonts w:ascii="Verdana" w:eastAsia="Arial" w:hAnsi="Verdana" w:cs="Arial"/>
          <w:color w:val="000000" w:themeColor="text1"/>
          <w:lang w:val="es-ES" w:eastAsia="es-ES" w:bidi="es-ES"/>
        </w:rPr>
        <w:t>.</w:t>
      </w:r>
      <w:r w:rsidRPr="00B128F0">
        <w:rPr>
          <w:rFonts w:ascii="Verdana" w:eastAsia="Arial" w:hAnsi="Verdana" w:cs="Arial"/>
          <w:color w:val="000000" w:themeColor="text1"/>
          <w:lang w:val="es-ES" w:eastAsia="es-ES" w:bidi="es-ES"/>
        </w:rPr>
        <w:t xml:space="preserve"> </w:t>
      </w:r>
      <w:r>
        <w:rPr>
          <w:rFonts w:ascii="Verdana" w:eastAsia="Arial" w:hAnsi="Verdana" w:cs="Arial"/>
          <w:color w:val="000000" w:themeColor="text1"/>
          <w:lang w:eastAsia="es-ES" w:bidi="es-ES"/>
        </w:rPr>
        <w:t xml:space="preserve"> Sin </w:t>
      </w:r>
      <w:r>
        <w:rPr>
          <w:rFonts w:ascii="Verdana" w:eastAsia="Arial" w:hAnsi="Verdana" w:cs="Arial"/>
          <w:color w:val="000000" w:themeColor="text1"/>
          <w:lang w:eastAsia="es-ES" w:bidi="es-ES"/>
        </w:rPr>
        <w:lastRenderedPageBreak/>
        <w:t xml:space="preserve">embargo, </w:t>
      </w:r>
      <w:r w:rsidRPr="00E94899">
        <w:rPr>
          <w:rFonts w:ascii="Verdana" w:eastAsia="Arial" w:hAnsi="Verdana" w:cs="Arial"/>
          <w:color w:val="000000" w:themeColor="text1"/>
          <w:lang w:eastAsia="es-ES" w:bidi="es-ES"/>
        </w:rPr>
        <w:t>cuando el contrato haya sido pactado bajo la modalidad de precios unitarios y el reconocimiento corresponda a mayores cantidades de obra o ítems ejecutados, no se estará ante un supuesto al que resulte aplicable dicho límite, conforme a los criterios jurisprudenciales expuestos en este concepto</w:t>
      </w:r>
      <w:r w:rsidR="0040599A">
        <w:rPr>
          <w:rFonts w:ascii="Verdana" w:eastAsia="Arial" w:hAnsi="Verdana" w:cs="Arial"/>
          <w:color w:val="000000" w:themeColor="text1"/>
          <w:lang w:eastAsia="es-ES" w:bidi="es-ES"/>
        </w:rPr>
        <w:t>.</w:t>
      </w:r>
    </w:p>
    <w:p w14:paraId="198DD202" w14:textId="77777777" w:rsidR="0014393F" w:rsidRPr="00B128F0" w:rsidRDefault="0014393F" w:rsidP="0014393F">
      <w:pPr>
        <w:widowControl w:val="0"/>
        <w:autoSpaceDE w:val="0"/>
        <w:autoSpaceDN w:val="0"/>
        <w:spacing w:after="0" w:line="276" w:lineRule="auto"/>
        <w:ind w:firstLine="708"/>
        <w:jc w:val="both"/>
        <w:rPr>
          <w:rFonts w:ascii="Verdana" w:hAnsi="Verdana"/>
        </w:rPr>
      </w:pPr>
      <w:r w:rsidRPr="00B128F0">
        <w:rPr>
          <w:rFonts w:ascii="Verdana" w:hAnsi="Verdana" w:cs="Arial"/>
          <w:lang w:eastAsia="es-ES"/>
        </w:rPr>
        <w:t xml:space="preserve">Al margen de la explicación precedente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sidRPr="00B128F0">
        <w:rPr>
          <w:rStyle w:val="s15"/>
          <w:rFonts w:ascii="Verdana" w:hAnsi="Verdana"/>
          <w:color w:val="000000"/>
        </w:rPr>
        <w:t>Por lo anterior, previo</w:t>
      </w:r>
      <w:r w:rsidRPr="00B128F0">
        <w:rPr>
          <w:rStyle w:val="apple-converted-space"/>
          <w:rFonts w:ascii="Verdana" w:hAnsi="Verdana"/>
          <w:color w:val="000000"/>
        </w:rPr>
        <w:t> </w:t>
      </w:r>
      <w:r w:rsidRPr="00B128F0">
        <w:rPr>
          <w:rStyle w:val="s15"/>
          <w:rFonts w:ascii="Verdana" w:hAnsi="Verdana"/>
          <w:color w:val="000000"/>
        </w:rPr>
        <w:t xml:space="preserve">concepto de sus </w:t>
      </w:r>
      <w:proofErr w:type="gramStart"/>
      <w:r w:rsidRPr="00B128F0">
        <w:rPr>
          <w:rStyle w:val="s15"/>
          <w:rFonts w:ascii="Verdana" w:hAnsi="Verdana"/>
          <w:color w:val="000000"/>
        </w:rPr>
        <w:t>asesores,</w:t>
      </w:r>
      <w:proofErr w:type="gramEnd"/>
      <w:r w:rsidRPr="00B128F0">
        <w:rPr>
          <w:rStyle w:val="s15"/>
          <w:rFonts w:ascii="Verdana" w:hAnsi="Verdana"/>
          <w:color w:val="000000"/>
        </w:rPr>
        <w:t xml:space="preserve"> corresponde a las partes del contrato definir los mecanismos adecuados para el restablecimiento del equilibrio económico del contrato, así como los límites legales y jurisprudenciales aplicables; motivo por el cual, en caso de conflicto, intervendrán las autoridades judiciales, fiscales y disciplinarias.</w:t>
      </w:r>
    </w:p>
    <w:p w14:paraId="70BE45B4" w14:textId="77777777" w:rsidR="0014393F" w:rsidRPr="00B128F0" w:rsidRDefault="0014393F" w:rsidP="0014393F">
      <w:pPr>
        <w:spacing w:before="120" w:after="0" w:line="276" w:lineRule="auto"/>
        <w:ind w:firstLine="709"/>
        <w:jc w:val="both"/>
        <w:rPr>
          <w:rFonts w:ascii="Verdana" w:hAnsi="Verdana" w:cs="Arial"/>
          <w:lang w:eastAsia="es-ES"/>
        </w:rPr>
      </w:pPr>
      <w:r w:rsidRPr="00B128F0">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E850652" w14:textId="77777777" w:rsidR="0014393F" w:rsidRPr="00FC6F34" w:rsidRDefault="0014393F" w:rsidP="0014393F">
      <w:pPr>
        <w:spacing w:after="0" w:line="276" w:lineRule="auto"/>
        <w:jc w:val="both"/>
        <w:rPr>
          <w:rFonts w:ascii="Verdana" w:eastAsia="Calibri" w:hAnsi="Verdana" w:cs="Arial"/>
          <w:lang w:val="es-ES"/>
        </w:rPr>
      </w:pPr>
    </w:p>
    <w:bookmarkEnd w:id="1"/>
    <w:bookmarkEnd w:id="2"/>
    <w:p w14:paraId="60506269" w14:textId="77777777" w:rsidR="0014393F" w:rsidRPr="00FC6F34" w:rsidRDefault="0014393F" w:rsidP="0014393F">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06DC4232" w14:textId="77777777" w:rsidR="0014393F" w:rsidRPr="00FC6F34" w:rsidRDefault="0014393F" w:rsidP="0014393F">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4393F" w:rsidRPr="00FC6F34" w14:paraId="1E8799E9" w14:textId="77777777" w:rsidTr="0060787B">
        <w:trPr>
          <w:trHeight w:val="870"/>
        </w:trPr>
        <w:tc>
          <w:tcPr>
            <w:tcW w:w="8647" w:type="dxa"/>
          </w:tcPr>
          <w:p w14:paraId="4AE428CB" w14:textId="77777777" w:rsidR="0014393F" w:rsidRDefault="0014393F" w:rsidP="0060787B">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Pr>
                <w:rFonts w:ascii="Verdana" w:hAnsi="Verdana" w:cs="Arial"/>
              </w:rPr>
              <w:t>Ley 80 de 1993, artículos 3, 4, 5, 13, 14, 27, 32, 39, 40, 41 y 60.</w:t>
            </w:r>
          </w:p>
          <w:p w14:paraId="2DFDC92A" w14:textId="77777777" w:rsidR="0014393F" w:rsidRDefault="0014393F" w:rsidP="0060787B">
            <w:pPr>
              <w:pStyle w:val="Prrafodelista"/>
              <w:widowControl w:val="0"/>
              <w:numPr>
                <w:ilvl w:val="0"/>
                <w:numId w:val="16"/>
              </w:numPr>
              <w:autoSpaceDE w:val="0"/>
              <w:autoSpaceDN w:val="0"/>
              <w:spacing w:after="120" w:line="276" w:lineRule="auto"/>
              <w:contextualSpacing w:val="0"/>
              <w:jc w:val="both"/>
              <w:rPr>
                <w:rFonts w:ascii="Verdana" w:hAnsi="Verdana" w:cs="Arial"/>
              </w:rPr>
            </w:pPr>
            <w:r>
              <w:rPr>
                <w:rFonts w:ascii="Verdana" w:hAnsi="Verdana" w:cs="Arial"/>
              </w:rPr>
              <w:t>Ley 1437 de 2011, artículo 10.</w:t>
            </w:r>
          </w:p>
          <w:p w14:paraId="7C1B2CCA" w14:textId="77777777" w:rsidR="0014393F" w:rsidRDefault="0014393F" w:rsidP="0060787B">
            <w:pPr>
              <w:widowControl w:val="0"/>
              <w:numPr>
                <w:ilvl w:val="0"/>
                <w:numId w:val="16"/>
              </w:numPr>
              <w:autoSpaceDE w:val="0"/>
              <w:autoSpaceDN w:val="0"/>
              <w:spacing w:after="120"/>
              <w:jc w:val="both"/>
              <w:rPr>
                <w:rFonts w:ascii="Verdana" w:hAnsi="Verdana" w:cs="Arial"/>
              </w:rPr>
            </w:pPr>
            <w:r>
              <w:rPr>
                <w:rFonts w:ascii="Verdana" w:hAnsi="Verdana" w:cs="Arial"/>
              </w:rPr>
              <w:t>Código Civil, artículo 1602.</w:t>
            </w:r>
          </w:p>
          <w:p w14:paraId="39924E19"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cs="Arial"/>
              </w:rPr>
              <w:t xml:space="preserve">Ley 80 de 1993, artículos 13, 32 y 40.  </w:t>
            </w:r>
          </w:p>
          <w:p w14:paraId="3CCAF3B8"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lang w:val="es-CO"/>
              </w:rPr>
              <w:t>Consejo de Estado. Sección Tercera. Sentencia del 29 de enero de 2004. Rad. 10779. C.P. ALIER Eduardo Hernández Enríquez</w:t>
            </w:r>
          </w:p>
          <w:p w14:paraId="50F49D21"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rPr>
              <w:lastRenderedPageBreak/>
              <w:t xml:space="preserve">Consejo de Estado. </w:t>
            </w:r>
            <w:r>
              <w:rPr>
                <w:rFonts w:ascii="Verdana" w:eastAsia="Calibri" w:hAnsi="Verdana" w:cs="Arial"/>
                <w:lang w:val="es-ES_tradnl" w:eastAsia="es-ES_tradnl"/>
              </w:rPr>
              <w:t xml:space="preserve">Sección Tercera. Subsección B. Sentencia del 14 de octubre de 2011. </w:t>
            </w:r>
            <w:proofErr w:type="spellStart"/>
            <w:r>
              <w:rPr>
                <w:rFonts w:ascii="Verdana" w:eastAsia="Calibri" w:hAnsi="Verdana" w:cs="Arial"/>
                <w:lang w:val="es-ES_tradnl" w:eastAsia="es-ES_tradnl"/>
              </w:rPr>
              <w:t>Exp</w:t>
            </w:r>
            <w:proofErr w:type="spellEnd"/>
            <w:r>
              <w:rPr>
                <w:rFonts w:ascii="Verdana" w:eastAsia="Calibri" w:hAnsi="Verdana" w:cs="Arial"/>
                <w:lang w:val="es-ES_tradnl" w:eastAsia="es-ES_tradnl"/>
              </w:rPr>
              <w:t>. 20811, C.P. Ruth Stella Correa Palacio.</w:t>
            </w:r>
          </w:p>
          <w:p w14:paraId="533CD92C"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 xml:space="preserve">Sección Tercera. Subsección B. Sentencia del 29 de febrero de 2012. </w:t>
            </w:r>
            <w:proofErr w:type="spellStart"/>
            <w:r>
              <w:rPr>
                <w:rFonts w:ascii="Verdana" w:eastAsia="Calibri" w:hAnsi="Verdana" w:cs="Arial"/>
                <w:lang w:val="es-ES_tradnl" w:eastAsia="es-ES_tradnl"/>
              </w:rPr>
              <w:t>Exp</w:t>
            </w:r>
            <w:proofErr w:type="spellEnd"/>
            <w:r>
              <w:rPr>
                <w:rFonts w:ascii="Verdana" w:eastAsia="Calibri" w:hAnsi="Verdana" w:cs="Arial"/>
                <w:lang w:val="es-ES_tradnl" w:eastAsia="es-ES_tradnl"/>
              </w:rPr>
              <w:t>. 16371, C.P. Danilo Rojas Betancourth.</w:t>
            </w:r>
          </w:p>
          <w:p w14:paraId="6064532F"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rPr>
              <w:t xml:space="preserve">Consejo de Estado. </w:t>
            </w:r>
            <w:r>
              <w:rPr>
                <w:rFonts w:ascii="Verdana" w:eastAsia="Calibri" w:hAnsi="Verdana" w:cs="Arial"/>
                <w:lang w:val="es-ES_tradnl" w:eastAsia="es-ES_tradnl"/>
              </w:rPr>
              <w:t>Sala de Consulta y Servicio Civil. Concepto del 5 de septiembre de 2018, radicado No. 11001-03-06-000-2018-00124-00 C.P. Édgar González López.</w:t>
            </w:r>
          </w:p>
          <w:p w14:paraId="03D828FD"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rPr>
              <w:t>Consejo de Estado. Sección Tercera. Sentencia del veintiocho (28) de febrero de dos mil veintidós (2022). C.P. Nicolás Yepes Corrales. Rad. 65483.</w:t>
            </w:r>
          </w:p>
          <w:p w14:paraId="16A92F81"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rPr>
              <w:t>Consejo de Estado. Sala de lo Contencioso Administrativo. Sección Tercera Subsección A. C.P.: María Adriana Marín. Sentencia del 22 de agosto de 2023. Rad: 85001-23-33-000-2015-00211-01 (58.634).</w:t>
            </w:r>
          </w:p>
          <w:p w14:paraId="7390272D" w14:textId="77777777" w:rsidR="0014393F" w:rsidRDefault="0014393F" w:rsidP="0060787B">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Consejo de Estado. Sección Tercera. Subsección A. Sentencia del 6 de julio de 2022. </w:t>
            </w:r>
            <w:proofErr w:type="spellStart"/>
            <w:r>
              <w:rPr>
                <w:rFonts w:ascii="Verdana" w:hAnsi="Verdana" w:cs="Arial"/>
                <w:color w:val="000000" w:themeColor="text1"/>
              </w:rPr>
              <w:t>Exp</w:t>
            </w:r>
            <w:proofErr w:type="spellEnd"/>
            <w:r>
              <w:rPr>
                <w:rFonts w:ascii="Verdana" w:hAnsi="Verdana" w:cs="Arial"/>
                <w:color w:val="000000" w:themeColor="text1"/>
              </w:rPr>
              <w:t xml:space="preserve">. 54.319 CP.: María Adriana Marín. Ver también: Consejo de Estado. Sección Tercera. Subsección A. Sentencia del 3 de junio de 2022. </w:t>
            </w:r>
            <w:proofErr w:type="spellStart"/>
            <w:r>
              <w:rPr>
                <w:rFonts w:ascii="Verdana" w:hAnsi="Verdana" w:cs="Arial"/>
                <w:color w:val="000000" w:themeColor="text1"/>
              </w:rPr>
              <w:t>Exp</w:t>
            </w:r>
            <w:proofErr w:type="spellEnd"/>
            <w:r>
              <w:rPr>
                <w:rFonts w:ascii="Verdana" w:hAnsi="Verdana" w:cs="Arial"/>
                <w:color w:val="000000" w:themeColor="text1"/>
              </w:rPr>
              <w:t>. 53299. C.P.: José Roberto Sáchica Méndez</w:t>
            </w:r>
          </w:p>
          <w:p w14:paraId="7C3BD5D7" w14:textId="77777777" w:rsidR="0014393F" w:rsidRPr="00FC6F34" w:rsidRDefault="0014393F" w:rsidP="0060787B">
            <w:pPr>
              <w:widowControl w:val="0"/>
              <w:numPr>
                <w:ilvl w:val="0"/>
                <w:numId w:val="16"/>
              </w:numPr>
              <w:autoSpaceDE w:val="0"/>
              <w:autoSpaceDN w:val="0"/>
              <w:spacing w:after="120"/>
              <w:jc w:val="both"/>
              <w:rPr>
                <w:rFonts w:ascii="Verdana" w:hAnsi="Verdana" w:cs="Arial"/>
              </w:rPr>
            </w:pPr>
            <w:r>
              <w:rPr>
                <w:rFonts w:ascii="Verdana" w:hAnsi="Verdana" w:cs="Arial"/>
                <w:color w:val="000000" w:themeColor="text1"/>
              </w:rPr>
              <w:t>Corte Constitucional. Sentencia C-416 de 2012. M.P. Adriana María Guillén Arango.</w:t>
            </w:r>
          </w:p>
        </w:tc>
      </w:tr>
    </w:tbl>
    <w:p w14:paraId="53283C69" w14:textId="77777777" w:rsidR="0014393F" w:rsidRPr="00FC6F34" w:rsidRDefault="0014393F" w:rsidP="0014393F">
      <w:pPr>
        <w:widowControl w:val="0"/>
        <w:autoSpaceDE w:val="0"/>
        <w:autoSpaceDN w:val="0"/>
        <w:spacing w:after="0" w:line="276" w:lineRule="auto"/>
        <w:jc w:val="both"/>
        <w:rPr>
          <w:rFonts w:ascii="Verdana" w:hAnsi="Verdana" w:cs="Arial"/>
          <w:color w:val="000000" w:themeColor="text1"/>
          <w:lang w:val="es-ES"/>
        </w:rPr>
      </w:pPr>
    </w:p>
    <w:p w14:paraId="49A26DE6" w14:textId="77777777" w:rsidR="0014393F" w:rsidRPr="00FC6F34" w:rsidRDefault="0014393F" w:rsidP="0014393F">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775EDDA7" w14:textId="77777777" w:rsidR="0014393F" w:rsidRPr="00FC6F34" w:rsidRDefault="0014393F" w:rsidP="0014393F">
      <w:pPr>
        <w:widowControl w:val="0"/>
        <w:autoSpaceDE w:val="0"/>
        <w:autoSpaceDN w:val="0"/>
        <w:spacing w:after="0" w:line="276" w:lineRule="auto"/>
        <w:jc w:val="both"/>
        <w:rPr>
          <w:rFonts w:ascii="Verdana" w:hAnsi="Verdana" w:cs="Arial"/>
          <w:color w:val="000000" w:themeColor="text1"/>
          <w:lang w:val="es-ES"/>
        </w:rPr>
      </w:pPr>
    </w:p>
    <w:p w14:paraId="0D6A4C5A" w14:textId="77777777" w:rsidR="0014393F" w:rsidRPr="00982071" w:rsidRDefault="0014393F" w:rsidP="0014393F">
      <w:pPr>
        <w:jc w:val="both"/>
        <w:rPr>
          <w:rFonts w:ascii="Arial" w:eastAsia="Calibri" w:hAnsi="Arial" w:cs="Arial"/>
          <w:b/>
          <w:bCs/>
          <w:color w:val="000000" w:themeColor="text1"/>
          <w:lang w:val="es-ES_tradnl"/>
        </w:rPr>
      </w:pPr>
      <w:r w:rsidRPr="00923420">
        <w:rPr>
          <w:rFonts w:ascii="Verdana" w:hAnsi="Verdana"/>
          <w:lang w:val="es-ES"/>
        </w:rPr>
        <w:t>La Agencia Nacional de Contratación Pública – Colombia Compra Eficiente se ha referido sobre sobre el equilibrio económico del contrato estatal en los Conceptos C-938 del 27 de diciembre de 2022, C-774 del 20 de noviembre de 2024, C-565 del 10 de junio de 2025, C-1029 del 31 de julio de 2025, C-1035 del 8 de septiembre de 2025 y C-1429 del 21 de octubre de 2025, entre otros.</w:t>
      </w:r>
      <w:r w:rsidRPr="0041032A">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w:t>
      </w:r>
      <w:r>
        <w:rPr>
          <w:rStyle w:val="normaltextrun"/>
          <w:rFonts w:ascii="Verdana" w:hAnsi="Verdana" w:cs="Arial"/>
          <w:shd w:val="clear" w:color="auto" w:fill="FFFFFF"/>
          <w:lang w:val="es-ES"/>
        </w:rPr>
        <w:lastRenderedPageBreak/>
        <w:t xml:space="preserve">de marzo de 2021, C-613 del 6 de octubre de 2022, C-716 de 15 de noviembre de 2022, C-802 de 23 de noviembre de 2022, C-854 del 9 de diciembre de 2022, C-914 del 27 de diciembre de 2022, C-361 de septiembre de 2023, C-401 del 27 de septiembre de 2023, C-455 del 18 de septiembre de 2024 y C-248 de 2025, </w:t>
      </w:r>
      <w:r>
        <w:rPr>
          <w:rFonts w:ascii="Verdana" w:eastAsia="Calibri" w:hAnsi="Verdana" w:cs="Arial"/>
          <w:lang w:val="es-ES" w:eastAsia="es-ES"/>
        </w:rPr>
        <w:t>entre otros.</w:t>
      </w:r>
      <w:r w:rsidRPr="00923420">
        <w:rPr>
          <w:rFonts w:ascii="Verdana" w:hAnsi="Verdana"/>
          <w:lang w:val="es-ES"/>
        </w:rPr>
        <w:t xml:space="preserve">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1FFD5C3" w14:textId="77777777" w:rsidR="0014393F" w:rsidRPr="003E2460" w:rsidRDefault="0014393F" w:rsidP="0014393F">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0EB8751B" w14:textId="77777777" w:rsidR="0014393F" w:rsidRPr="003E2460" w:rsidRDefault="0014393F" w:rsidP="0014393F">
      <w:pPr>
        <w:spacing w:after="0" w:line="276" w:lineRule="auto"/>
        <w:jc w:val="both"/>
        <w:rPr>
          <w:rFonts w:ascii="Verdana" w:hAnsi="Verdana"/>
        </w:rPr>
      </w:pPr>
    </w:p>
    <w:p w14:paraId="5571496D" w14:textId="77777777" w:rsidR="0014393F" w:rsidRPr="003E2460" w:rsidRDefault="0014393F" w:rsidP="0014393F">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761AB269" w14:textId="77777777" w:rsidR="0014393F" w:rsidRPr="003E2460" w:rsidRDefault="0014393F" w:rsidP="0014393F">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793B61D9" w14:textId="77777777" w:rsidR="0014393F" w:rsidRPr="003E2460" w:rsidRDefault="0014393F" w:rsidP="0014393F">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7625BDD6" w14:textId="77777777" w:rsidR="0014393F" w:rsidRDefault="0014393F" w:rsidP="0014393F">
      <w:pPr>
        <w:widowControl w:val="0"/>
        <w:autoSpaceDE w:val="0"/>
        <w:autoSpaceDN w:val="0"/>
        <w:spacing w:after="0" w:line="276" w:lineRule="auto"/>
        <w:jc w:val="both"/>
        <w:rPr>
          <w:rFonts w:ascii="Verdana" w:hAnsi="Verdana" w:cs="Arial"/>
          <w:lang w:val="es-ES"/>
        </w:rPr>
      </w:pPr>
    </w:p>
    <w:p w14:paraId="20F0AC43" w14:textId="77777777" w:rsidR="0014393F" w:rsidRPr="00FC6F34" w:rsidRDefault="0014393F" w:rsidP="0014393F">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C0D4102" w14:textId="77777777" w:rsidR="0014393F" w:rsidRPr="00FC6F34" w:rsidRDefault="0014393F" w:rsidP="0014393F">
      <w:pPr>
        <w:widowControl w:val="0"/>
        <w:autoSpaceDE w:val="0"/>
        <w:autoSpaceDN w:val="0"/>
        <w:spacing w:after="0" w:line="276" w:lineRule="auto"/>
        <w:jc w:val="both"/>
        <w:rPr>
          <w:rFonts w:ascii="Verdana" w:hAnsi="Verdana" w:cs="Arial"/>
          <w:lang w:val="es-ES"/>
        </w:rPr>
      </w:pPr>
    </w:p>
    <w:p w14:paraId="3383CC2F" w14:textId="737196D4" w:rsidR="0014393F" w:rsidRPr="00FC6F34" w:rsidRDefault="00980915" w:rsidP="0014393F">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2336" behindDoc="0" locked="0" layoutInCell="1" allowOverlap="1" wp14:anchorId="44F0FBDC" wp14:editId="612F1E2C">
            <wp:simplePos x="0" y="0"/>
            <wp:positionH relativeFrom="column">
              <wp:posOffset>1216742</wp:posOffset>
            </wp:positionH>
            <wp:positionV relativeFrom="page">
              <wp:posOffset>5776513</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r w:rsidR="0014393F" w:rsidRPr="00FC6F34">
        <w:rPr>
          <w:rFonts w:ascii="Verdana" w:eastAsia="Times New Roman" w:hAnsi="Verdana" w:cs="Arial"/>
          <w:color w:val="000000" w:themeColor="text1"/>
          <w:lang w:val="es-ES" w:eastAsia="es-CO"/>
        </w:rPr>
        <w:t>Atentamente,</w:t>
      </w:r>
      <w:r w:rsidR="0014393F" w:rsidRPr="00FC6F34">
        <w:rPr>
          <w:rFonts w:ascii="Verdana" w:hAnsi="Verdana" w:cs="Arial"/>
          <w:color w:val="000000" w:themeColor="text1"/>
          <w:lang w:val="es-ES" w:eastAsia="es-CO"/>
        </w:rPr>
        <w:t xml:space="preserve"> </w:t>
      </w:r>
    </w:p>
    <w:p w14:paraId="623CF479" w14:textId="0438FAAB" w:rsidR="0014393F" w:rsidRPr="00FC6F34" w:rsidRDefault="0014393F" w:rsidP="0014393F">
      <w:pPr>
        <w:spacing w:after="0" w:line="276" w:lineRule="auto"/>
        <w:rPr>
          <w:rFonts w:ascii="Verdana" w:hAnsi="Verdana" w:cs="Arial"/>
          <w:color w:val="000000" w:themeColor="text1"/>
          <w:lang w:val="es-ES" w:eastAsia="es-CO"/>
        </w:rPr>
      </w:pPr>
    </w:p>
    <w:p w14:paraId="577BB826" w14:textId="195F2DED" w:rsidR="0014393F" w:rsidRPr="00FC6F34" w:rsidRDefault="0014393F" w:rsidP="0014393F">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4393F" w:rsidRPr="00FC6F34" w14:paraId="333E433F" w14:textId="77777777" w:rsidTr="0060787B">
        <w:trPr>
          <w:trHeight w:val="315"/>
        </w:trPr>
        <w:tc>
          <w:tcPr>
            <w:tcW w:w="893" w:type="dxa"/>
            <w:vAlign w:val="center"/>
            <w:hideMark/>
          </w:tcPr>
          <w:p w14:paraId="40545CC0" w14:textId="77777777" w:rsidR="0014393F" w:rsidRPr="00FC6F34" w:rsidRDefault="0014393F" w:rsidP="0060787B">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770E82" w14:textId="77777777" w:rsidR="0014393F" w:rsidRPr="00FC6F34" w:rsidRDefault="0014393F" w:rsidP="0060787B">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15748C7D" w14:textId="77777777" w:rsidR="0014393F" w:rsidRPr="00FC6F34" w:rsidRDefault="0014393F" w:rsidP="0060787B">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14393F" w:rsidRPr="00FC6F34" w14:paraId="0D97156E" w14:textId="77777777" w:rsidTr="0060787B">
        <w:trPr>
          <w:trHeight w:val="330"/>
        </w:trPr>
        <w:tc>
          <w:tcPr>
            <w:tcW w:w="893" w:type="dxa"/>
            <w:vAlign w:val="center"/>
            <w:hideMark/>
          </w:tcPr>
          <w:p w14:paraId="76A68553" w14:textId="77777777" w:rsidR="0014393F" w:rsidRPr="00FC6F34" w:rsidRDefault="0014393F" w:rsidP="0060787B">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BD4B3B" w14:textId="77777777" w:rsidR="00B422EA" w:rsidRPr="00953C5C" w:rsidRDefault="00B422EA" w:rsidP="00B422EA">
            <w:pPr>
              <w:spacing w:line="276" w:lineRule="auto"/>
              <w:contextualSpacing/>
              <w:textAlignment w:val="baseline"/>
              <w:rPr>
                <w:rStyle w:val="normaltextrun"/>
                <w:rFonts w:ascii="Verdana" w:eastAsia="Arial" w:hAnsi="Verdana"/>
                <w:color w:val="000000" w:themeColor="text1"/>
                <w:sz w:val="16"/>
                <w:szCs w:val="16"/>
                <w:lang w:val="es-ES"/>
              </w:rPr>
            </w:pPr>
            <w:r w:rsidRPr="00953C5C">
              <w:rPr>
                <w:rStyle w:val="normaltextrun"/>
                <w:rFonts w:ascii="Verdana" w:eastAsia="Arial" w:hAnsi="Verdana"/>
                <w:color w:val="000000" w:themeColor="text1"/>
                <w:sz w:val="16"/>
                <w:szCs w:val="16"/>
                <w:lang w:val="es-ES"/>
              </w:rPr>
              <w:t>Alejandro Sarmiento Cantillo</w:t>
            </w:r>
          </w:p>
          <w:p w14:paraId="6D55BF41" w14:textId="17FBCFD5" w:rsidR="0014393F" w:rsidRPr="00FC6F34" w:rsidRDefault="00B422EA" w:rsidP="00B422EA">
            <w:pPr>
              <w:pStyle w:val="paragraph"/>
              <w:spacing w:before="0" w:beforeAutospacing="0" w:after="0" w:afterAutospacing="0"/>
              <w:contextualSpacing/>
              <w:textAlignment w:val="baseline"/>
              <w:rPr>
                <w:rFonts w:ascii="Verdana" w:hAnsi="Verdana" w:cs="Segoe UI"/>
                <w:sz w:val="16"/>
                <w:szCs w:val="16"/>
                <w:lang w:val="es-ES"/>
              </w:rPr>
            </w:pPr>
            <w:r w:rsidRPr="00953C5C">
              <w:rPr>
                <w:rStyle w:val="normaltextrun"/>
                <w:rFonts w:ascii="Verdana" w:eastAsia="Arial" w:hAnsi="Verdana"/>
                <w:color w:val="000000" w:themeColor="text1"/>
                <w:sz w:val="16"/>
                <w:szCs w:val="16"/>
                <w:lang w:val="es-ES" w:eastAsia="en-US"/>
              </w:rPr>
              <w:t xml:space="preserve">Gestor T1 – 15 </w:t>
            </w:r>
            <w:r w:rsidRPr="00953C5C">
              <w:rPr>
                <w:rStyle w:val="normaltextrun"/>
                <w:rFonts w:ascii="Verdana" w:eastAsia="Arial" w:hAnsi="Verdana" w:cs="Arial"/>
                <w:color w:val="000000" w:themeColor="text1"/>
                <w:sz w:val="16"/>
                <w:szCs w:val="16"/>
                <w:lang w:val="es-ES" w:eastAsia="en-US"/>
              </w:rPr>
              <w:t>de la Subdirección de Gestión Contractual</w:t>
            </w:r>
            <w:r w:rsidRPr="00953C5C">
              <w:rPr>
                <w:rStyle w:val="eop"/>
                <w:rFonts w:ascii="Verdana" w:hAnsi="Verdana" w:cs="Arial"/>
                <w:sz w:val="15"/>
                <w:szCs w:val="15"/>
                <w:lang w:val="es-ES"/>
              </w:rPr>
              <w:t> </w:t>
            </w:r>
          </w:p>
        </w:tc>
      </w:tr>
      <w:tr w:rsidR="0014393F" w:rsidRPr="00FC6F34" w14:paraId="355C602F" w14:textId="77777777" w:rsidTr="0060787B">
        <w:trPr>
          <w:trHeight w:val="300"/>
        </w:trPr>
        <w:tc>
          <w:tcPr>
            <w:tcW w:w="893" w:type="dxa"/>
            <w:vAlign w:val="center"/>
          </w:tcPr>
          <w:p w14:paraId="781DD754" w14:textId="77777777" w:rsidR="0014393F" w:rsidRPr="00FC6F34" w:rsidRDefault="0014393F" w:rsidP="0060787B">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DA9E77" w14:textId="77777777" w:rsidR="0014393F" w:rsidRPr="00FC6F34" w:rsidRDefault="0014393F" w:rsidP="0060787B">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7CFDF2E6" w14:textId="77777777" w:rsidR="0014393F" w:rsidRPr="00FC6F34" w:rsidRDefault="0014393F" w:rsidP="0060787B">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33E2C404" w14:textId="4211B38A" w:rsidR="0014393F" w:rsidRPr="00FC6F34" w:rsidRDefault="0014393F" w:rsidP="0014393F">
      <w:pPr>
        <w:spacing w:after="0" w:line="276" w:lineRule="auto"/>
        <w:jc w:val="center"/>
        <w:rPr>
          <w:lang w:val="es-ES"/>
        </w:rPr>
      </w:pPr>
    </w:p>
    <w:bookmarkEnd w:id="0"/>
    <w:p w14:paraId="0F293BF4" w14:textId="71ED3E19" w:rsidR="00127233" w:rsidRPr="0014393F" w:rsidRDefault="00127233" w:rsidP="0014393F"/>
    <w:sectPr w:rsidR="00127233" w:rsidRPr="0014393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376FB" w14:textId="77777777" w:rsidR="00501E66" w:rsidRDefault="00501E66" w:rsidP="004A1847">
      <w:pPr>
        <w:spacing w:after="0" w:line="240" w:lineRule="auto"/>
      </w:pPr>
      <w:r>
        <w:separator/>
      </w:r>
    </w:p>
  </w:endnote>
  <w:endnote w:type="continuationSeparator" w:id="0">
    <w:p w14:paraId="1F77B4F5" w14:textId="77777777" w:rsidR="00501E66" w:rsidRDefault="00501E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5175E" w14:textId="77777777" w:rsidR="00501E66" w:rsidRDefault="00501E66" w:rsidP="004A1847">
      <w:pPr>
        <w:spacing w:after="0" w:line="240" w:lineRule="auto"/>
      </w:pPr>
      <w:r>
        <w:separator/>
      </w:r>
    </w:p>
  </w:footnote>
  <w:footnote w:type="continuationSeparator" w:id="0">
    <w:p w14:paraId="51DB4CD3" w14:textId="77777777" w:rsidR="00501E66" w:rsidRDefault="00501E66" w:rsidP="004A1847">
      <w:pPr>
        <w:spacing w:after="0" w:line="240" w:lineRule="auto"/>
      </w:pPr>
      <w:r>
        <w:continuationSeparator/>
      </w:r>
    </w:p>
  </w:footnote>
  <w:footnote w:id="1">
    <w:p w14:paraId="695A19F2" w14:textId="77777777" w:rsidR="0014393F" w:rsidRPr="00FB6631" w:rsidRDefault="0014393F" w:rsidP="00FB6631">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sz w:val="14"/>
          <w:szCs w:val="14"/>
          <w:lang w:val="es-CO"/>
        </w:rPr>
        <w:t>El artículo 40 de la Ley 80 de 1993 dispone que los contratos no podrán adicionarse en más del 50% de su valor inicial, expresado en SMLMV.</w:t>
      </w:r>
    </w:p>
  </w:footnote>
  <w:footnote w:id="2">
    <w:p w14:paraId="29E68EB9" w14:textId="4FD149BC" w:rsidR="0014393F" w:rsidRPr="00FB6631" w:rsidRDefault="0014393F" w:rsidP="00FB6631">
      <w:pPr>
        <w:pStyle w:val="Textonotapie"/>
        <w:snapToGrid w:val="0"/>
        <w:ind w:firstLine="708"/>
        <w:contextualSpacing/>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lang w:val="pt-BR"/>
        </w:rPr>
        <w:t xml:space="preserve"> Corte Constitucional. Sentencia C-300 de 2012. M.P: Jorge Ignacio Pretelt Chaljub. </w:t>
      </w:r>
    </w:p>
  </w:footnote>
  <w:footnote w:id="3">
    <w:p w14:paraId="0D9641BE" w14:textId="5B656139" w:rsidR="0014393F" w:rsidRPr="00FB6631" w:rsidRDefault="0014393F" w:rsidP="00FB6631">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Sobre la naturaleza instrumental del contrato para alcanzar los fines propios del estado social de derecho, ver la sentencia C-932 de 2007, M.P: Marco Gerardo Monroy Cabra.</w:t>
      </w:r>
    </w:p>
  </w:footnote>
  <w:footnote w:id="4">
    <w:p w14:paraId="2D148ADD" w14:textId="7F0EED21" w:rsidR="0014393F" w:rsidRPr="00FB6631" w:rsidRDefault="0014393F" w:rsidP="00FB6631">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M.P: Clara Inés Vargas Hernández.</w:t>
      </w:r>
    </w:p>
  </w:footnote>
  <w:footnote w:id="5">
    <w:p w14:paraId="50F3622D" w14:textId="2D6198E1" w:rsidR="0014393F" w:rsidRPr="00FB6631" w:rsidRDefault="0014393F" w:rsidP="00FB6631">
      <w:pPr>
        <w:pStyle w:val="Textonotapie"/>
        <w:snapToGrid w:val="0"/>
        <w:ind w:firstLine="708"/>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Ver también la sentencia C-068 de 2009, M.P: Mauricio González Cuervo</w:t>
      </w:r>
      <w:r w:rsidRPr="00FB6631">
        <w:rPr>
          <w:rFonts w:ascii="Verdana" w:hAnsi="Verdana"/>
          <w:b/>
          <w:sz w:val="14"/>
          <w:szCs w:val="14"/>
        </w:rPr>
        <w:t xml:space="preserve">, </w:t>
      </w:r>
      <w:r w:rsidRPr="00FB6631">
        <w:rPr>
          <w:rFonts w:ascii="Verdana" w:hAnsi="Verdana"/>
          <w:sz w:val="14"/>
          <w:szCs w:val="14"/>
        </w:rPr>
        <w:t>sobre la constitucional</w:t>
      </w:r>
      <w:r w:rsidRPr="00FB6631">
        <w:rPr>
          <w:rFonts w:ascii="Verdana" w:hAnsi="Verdana"/>
          <w:b/>
          <w:sz w:val="14"/>
          <w:szCs w:val="14"/>
        </w:rPr>
        <w:t xml:space="preserve"> </w:t>
      </w:r>
      <w:r w:rsidRPr="00FB6631">
        <w:rPr>
          <w:rFonts w:ascii="Verdana" w:hAnsi="Verdana"/>
          <w:sz w:val="14"/>
          <w:szCs w:val="14"/>
          <w:lang w:val="es-CO"/>
        </w:rPr>
        <w:t>de la posibilidad de prorrogar los contratos de concesión portuaria (artículo 8º de la ley 1º de 1991).</w:t>
      </w:r>
    </w:p>
  </w:footnote>
  <w:footnote w:id="6">
    <w:p w14:paraId="240A4BF7" w14:textId="77777777" w:rsidR="0014393F" w:rsidRPr="00FB6631" w:rsidRDefault="0014393F" w:rsidP="00FB6631">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Esta clasificación es tomada de la literatura del análisis económico del derecho. </w:t>
      </w:r>
      <w:r w:rsidRPr="00FB6631">
        <w:rPr>
          <w:rFonts w:ascii="Verdana" w:hAnsi="Verdana"/>
          <w:sz w:val="14"/>
          <w:szCs w:val="14"/>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FB6631">
        <w:rPr>
          <w:rFonts w:ascii="Verdana" w:hAnsi="Verdana"/>
          <w:sz w:val="14"/>
          <w:szCs w:val="14"/>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footnote>
  <w:footnote w:id="7">
    <w:p w14:paraId="3A11009F" w14:textId="77777777" w:rsidR="0014393F" w:rsidRPr="00FB6631" w:rsidRDefault="0014393F" w:rsidP="00FB6631">
      <w:pPr>
        <w:pStyle w:val="Textonotapie"/>
        <w:snapToGrid w:val="0"/>
        <w:ind w:firstLine="708"/>
        <w:contextualSpacing/>
        <w:jc w:val="both"/>
        <w:rPr>
          <w:rFonts w:ascii="Verdana" w:hAnsi="Verdana" w:cs="Arial"/>
          <w:sz w:val="14"/>
          <w:szCs w:val="14"/>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i/>
          <w:sz w:val="14"/>
          <w:szCs w:val="14"/>
        </w:rPr>
        <w:t xml:space="preserve">Cfr. </w:t>
      </w:r>
      <w:r w:rsidRPr="00FB6631">
        <w:rPr>
          <w:rFonts w:ascii="Verdana" w:hAnsi="Verdana" w:cs="Arial"/>
          <w:sz w:val="14"/>
          <w:szCs w:val="14"/>
        </w:rPr>
        <w:t>Consejo de Estado. Sala de Consulta y Servicio Civil. Concepto del 13 de agosto de 2009. Radicado: 11001-03-06-000-2009-00033-00 (</w:t>
      </w:r>
      <w:r w:rsidRPr="00FB6631">
        <w:rPr>
          <w:rFonts w:ascii="Verdana" w:hAnsi="Verdana" w:cs="Arial"/>
          <w:bCs/>
          <w:sz w:val="14"/>
          <w:szCs w:val="14"/>
        </w:rPr>
        <w:t>1952), C.P. Enrique José Arboleda Perdomo. En este concepto la Sala de Consulta se ocupó, entre otras preguntas, de la siguiente formulada por el Ministerio de Transporte: “</w:t>
      </w:r>
      <w:r w:rsidRPr="00FB6631">
        <w:rPr>
          <w:rFonts w:ascii="Verdana" w:hAnsi="Verdana" w:cs="Arial"/>
          <w:bCs/>
          <w:iCs/>
          <w:sz w:val="14"/>
          <w:szCs w:val="14"/>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8">
    <w:p w14:paraId="3951AEF3" w14:textId="77777777" w:rsidR="0014393F" w:rsidRPr="00FB6631" w:rsidRDefault="0014393F" w:rsidP="00FB6631">
      <w:pPr>
        <w:pStyle w:val="Textonotapie"/>
        <w:snapToGrid w:val="0"/>
        <w:ind w:firstLine="708"/>
        <w:contextualSpacing/>
        <w:jc w:val="both"/>
        <w:rPr>
          <w:rFonts w:ascii="Verdana" w:hAnsi="Verdana" w:cs="Arial"/>
          <w:bCs/>
          <w:iCs/>
          <w:sz w:val="14"/>
          <w:szCs w:val="14"/>
          <w:lang w:val="es-ES_tradnl"/>
        </w:rPr>
      </w:pPr>
      <w:r w:rsidRPr="00FB6631">
        <w:rPr>
          <w:rStyle w:val="Refdenotaalpie"/>
          <w:rFonts w:ascii="Verdana" w:hAnsi="Verdana" w:cs="Arial"/>
          <w:sz w:val="14"/>
          <w:szCs w:val="14"/>
        </w:rPr>
        <w:footnoteRef/>
      </w:r>
      <w:r w:rsidRPr="00FB6631">
        <w:rPr>
          <w:rFonts w:ascii="Verdana" w:hAnsi="Verdana" w:cs="Arial"/>
          <w:sz w:val="14"/>
          <w:szCs w:val="14"/>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FB6631">
        <w:rPr>
          <w:rFonts w:ascii="Verdana" w:hAnsi="Verdana" w:cs="Arial"/>
          <w:bCs/>
          <w:iCs/>
          <w:sz w:val="14"/>
          <w:szCs w:val="14"/>
          <w:lang w:val="es-ES_tradnl"/>
        </w:rPr>
        <w:t>”.</w:t>
      </w:r>
    </w:p>
  </w:footnote>
  <w:footnote w:id="9">
    <w:p w14:paraId="0DB17C4B" w14:textId="77777777" w:rsidR="0014393F" w:rsidRPr="00FB6631" w:rsidRDefault="0014393F" w:rsidP="00FB6631">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Ibídem.</w:t>
      </w:r>
    </w:p>
  </w:footnote>
  <w:footnote w:id="10">
    <w:p w14:paraId="6CF9FED1" w14:textId="77777777" w:rsidR="0014393F" w:rsidRPr="00FB6631" w:rsidRDefault="0014393F" w:rsidP="00FB6631">
      <w:pPr>
        <w:snapToGrid w:val="0"/>
        <w:spacing w:after="0" w:line="240" w:lineRule="auto"/>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Consejo de Estado. Sala de Consulta y Servicio Civil.</w:t>
      </w:r>
      <w:r w:rsidRPr="00FB6631">
        <w:rPr>
          <w:rFonts w:ascii="Verdana" w:hAnsi="Verdana"/>
          <w:i/>
          <w:iCs/>
          <w:sz w:val="14"/>
          <w:szCs w:val="14"/>
        </w:rPr>
        <w:t xml:space="preserve"> </w:t>
      </w:r>
      <w:r w:rsidRPr="00FB6631">
        <w:rPr>
          <w:rFonts w:ascii="Verdana" w:hAnsi="Verdana"/>
          <w:sz w:val="14"/>
          <w:szCs w:val="14"/>
        </w:rPr>
        <w:t>Concepto del 06 de junio 2018. Radicado: 2369. C.P: Óscar Darío Amaya Navas.</w:t>
      </w:r>
    </w:p>
  </w:footnote>
  <w:footnote w:id="11">
    <w:p w14:paraId="4DB19342"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w:t>
      </w:r>
      <w:r w:rsidRPr="00FB6631">
        <w:rPr>
          <w:rFonts w:ascii="Verdana" w:hAnsi="Verdana"/>
          <w:bCs/>
          <w:sz w:val="14"/>
          <w:szCs w:val="14"/>
          <w:lang w:val="es-CO"/>
        </w:rPr>
        <w:t>ARTICULO 11. DE LA COMPETENCIA PARA DIRIGIR LICITACIONES O CONCURSOS Y PARA CELEBRAR CONTRATOS ESTATALES. </w:t>
      </w:r>
      <w:r w:rsidRPr="00FB6631">
        <w:rPr>
          <w:rFonts w:ascii="Verdana" w:hAnsi="Verdana"/>
          <w:sz w:val="14"/>
          <w:szCs w:val="14"/>
          <w:lang w:val="es-CO"/>
        </w:rPr>
        <w:t>En las entidades estatales a que se refiere el artículo 2o.: </w:t>
      </w:r>
    </w:p>
    <w:p w14:paraId="306B2438"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195938A3"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2o. Tiene competencia para celebrar contratos a nombre de la Nación, el Presidente de la República. </w:t>
      </w:r>
    </w:p>
    <w:p w14:paraId="0EDE72D9"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3o. Tienen competencia para celebrar contratos a nombre de la entidad respectiva: </w:t>
      </w:r>
    </w:p>
    <w:p w14:paraId="06E8BA10"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2936B960"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48226F6B" w14:textId="311C097D" w:rsidR="0014393F" w:rsidRPr="00FB6631" w:rsidRDefault="0014393F" w:rsidP="0020381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c) Los representantes legales de las entidades descentralizadas en todos los órdenes y niveles. </w:t>
      </w:r>
      <w:bookmarkStart w:id="3" w:name="ver_30161404"/>
      <w:bookmarkStart w:id="4" w:name="ver_1790120"/>
      <w:bookmarkEnd w:id="3"/>
      <w:bookmarkEnd w:id="4"/>
    </w:p>
  </w:footnote>
  <w:footnote w:id="12">
    <w:p w14:paraId="6C194A2A"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w:t>
      </w:r>
      <w:r w:rsidRPr="00FB6631">
        <w:rPr>
          <w:rFonts w:ascii="Verdana" w:hAnsi="Verdana"/>
          <w:bCs/>
          <w:sz w:val="14"/>
          <w:szCs w:val="14"/>
          <w:lang w:val="es-CO"/>
        </w:rPr>
        <w:t>ARTICULO 12. DE LA DELEGACION PARA CONTRATAR.</w:t>
      </w:r>
      <w:r w:rsidRPr="00FB6631">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213F157C" w14:textId="77777777" w:rsidR="0014393F" w:rsidRPr="00FB6631" w:rsidRDefault="0014393F" w:rsidP="00FB6631">
      <w:pPr>
        <w:pStyle w:val="Textonotapie"/>
        <w:snapToGrid w:val="0"/>
        <w:ind w:firstLine="709"/>
        <w:contextualSpacing/>
        <w:jc w:val="both"/>
        <w:rPr>
          <w:rFonts w:ascii="Verdana" w:hAnsi="Verdana"/>
          <w:sz w:val="14"/>
          <w:szCs w:val="14"/>
          <w:lang w:val="es-CO"/>
        </w:rPr>
      </w:pPr>
      <w:r w:rsidRPr="00FB6631">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0C280300" w14:textId="77777777" w:rsidR="0014393F" w:rsidRPr="00FB6631" w:rsidRDefault="0014393F" w:rsidP="00FB6631">
      <w:pPr>
        <w:pStyle w:val="Textonotapie"/>
        <w:snapToGrid w:val="0"/>
        <w:ind w:firstLine="708"/>
        <w:contextualSpacing/>
        <w:jc w:val="both"/>
        <w:rPr>
          <w:rFonts w:ascii="Verdana" w:hAnsi="Verdana"/>
          <w:sz w:val="14"/>
          <w:szCs w:val="14"/>
          <w:lang w:val="es-ES"/>
        </w:rPr>
      </w:pPr>
      <w:r w:rsidRPr="00FB6631">
        <w:rPr>
          <w:rFonts w:ascii="Verdana" w:hAnsi="Verdana"/>
          <w:bCs/>
          <w:sz w:val="14"/>
          <w:szCs w:val="14"/>
          <w:lang w:val="es-CO"/>
        </w:rPr>
        <w:t>Parágrafo. </w:t>
      </w:r>
      <w:r w:rsidRPr="00FB6631">
        <w:rPr>
          <w:rFonts w:ascii="Verdana" w:hAnsi="Verdana"/>
          <w:sz w:val="14"/>
          <w:szCs w:val="14"/>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3">
    <w:p w14:paraId="7607DF61" w14:textId="77777777" w:rsidR="0014393F" w:rsidRPr="00FB6631" w:rsidRDefault="0014393F" w:rsidP="00FB6631">
      <w:pPr>
        <w:snapToGrid w:val="0"/>
        <w:spacing w:after="0" w:line="240" w:lineRule="auto"/>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Consejo de Estado. Sala de Consulta y Servicio Civil. C.P.: Óscar Darío Amaya Navas. Concepto del 6 de junio de 2018. Radicación número: 2369.</w:t>
      </w:r>
    </w:p>
  </w:footnote>
  <w:footnote w:id="14">
    <w:p w14:paraId="271177E9" w14:textId="77777777" w:rsidR="0014393F" w:rsidRPr="00FB6631" w:rsidRDefault="0014393F" w:rsidP="00FB6631">
      <w:pPr>
        <w:pStyle w:val="Textonotapie"/>
        <w:snapToGrid w:val="0"/>
        <w:ind w:firstLine="708"/>
        <w:contextualSpacing/>
        <w:jc w:val="both"/>
        <w:rPr>
          <w:rFonts w:ascii="Verdana" w:hAnsi="Verdana"/>
          <w:sz w:val="14"/>
          <w:szCs w:val="14"/>
        </w:rPr>
      </w:pPr>
      <w:r w:rsidRPr="00FB6631">
        <w:rPr>
          <w:rStyle w:val="Refdenotaalpie"/>
          <w:rFonts w:ascii="Verdana" w:hAnsi="Verdana"/>
          <w:sz w:val="14"/>
          <w:szCs w:val="14"/>
        </w:rPr>
        <w:footnoteRef/>
      </w:r>
      <w:r w:rsidRPr="00FB6631">
        <w:rPr>
          <w:rFonts w:ascii="Verdana" w:hAnsi="Verdana"/>
          <w:sz w:val="14"/>
          <w:szCs w:val="14"/>
        </w:rPr>
        <w:t xml:space="preserve"> Ibidem. </w:t>
      </w:r>
    </w:p>
  </w:footnote>
  <w:footnote w:id="15">
    <w:p w14:paraId="6432003B" w14:textId="77777777" w:rsidR="0014393F" w:rsidRPr="00FB6631" w:rsidRDefault="0014393F" w:rsidP="00FB6631">
      <w:pPr>
        <w:pStyle w:val="Textonotapie"/>
        <w:snapToGrid w:val="0"/>
        <w:ind w:firstLine="708"/>
        <w:contextualSpacing/>
        <w:jc w:val="both"/>
        <w:rPr>
          <w:rFonts w:ascii="Verdana" w:hAnsi="Verdana" w:cs="Arial"/>
          <w:color w:val="000000" w:themeColor="text1"/>
          <w:sz w:val="14"/>
          <w:szCs w:val="14"/>
        </w:rPr>
      </w:pPr>
      <w:r w:rsidRPr="00FB6631">
        <w:rPr>
          <w:rStyle w:val="Refdenotaalpie"/>
          <w:rFonts w:ascii="Verdana" w:hAnsi="Verdana" w:cs="Arial"/>
          <w:color w:val="000000" w:themeColor="text1"/>
          <w:sz w:val="14"/>
          <w:szCs w:val="14"/>
        </w:rPr>
        <w:footnoteRef/>
      </w:r>
      <w:r w:rsidRPr="00FB6631">
        <w:rPr>
          <w:rFonts w:ascii="Verdana" w:hAnsi="Verdana" w:cs="Arial"/>
          <w:color w:val="000000" w:themeColor="text1"/>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6D3FC86C" w14:textId="77777777" w:rsidR="0014393F" w:rsidRPr="00FB6631" w:rsidRDefault="0014393F" w:rsidP="00FB6631">
      <w:pPr>
        <w:pStyle w:val="Textonotapie"/>
        <w:snapToGrid w:val="0"/>
        <w:ind w:firstLine="708"/>
        <w:contextualSpacing/>
        <w:jc w:val="both"/>
        <w:rPr>
          <w:rFonts w:ascii="Verdana" w:hAnsi="Verdana" w:cs="Arial"/>
          <w:color w:val="000000" w:themeColor="text1"/>
          <w:sz w:val="14"/>
          <w:szCs w:val="14"/>
          <w:lang w:val="es-CO"/>
        </w:rPr>
      </w:pPr>
    </w:p>
  </w:footnote>
  <w:footnote w:id="16">
    <w:p w14:paraId="42F8D424" w14:textId="77777777" w:rsidR="0014393F" w:rsidRPr="00FB6631" w:rsidRDefault="0014393F" w:rsidP="00FB6631">
      <w:pPr>
        <w:pStyle w:val="Textonotapie"/>
        <w:snapToGrid w:val="0"/>
        <w:ind w:firstLine="708"/>
        <w:contextualSpacing/>
        <w:jc w:val="both"/>
        <w:rPr>
          <w:rFonts w:ascii="Verdana" w:hAnsi="Verdana"/>
          <w:color w:val="000000" w:themeColor="text1"/>
          <w:sz w:val="14"/>
          <w:szCs w:val="14"/>
        </w:rPr>
      </w:pPr>
      <w:r w:rsidRPr="00FB6631">
        <w:rPr>
          <w:rStyle w:val="Refdenotaalpie"/>
          <w:rFonts w:ascii="Verdana" w:hAnsi="Verdana"/>
          <w:color w:val="000000" w:themeColor="text1"/>
          <w:sz w:val="14"/>
          <w:szCs w:val="14"/>
        </w:rPr>
        <w:footnoteRef/>
      </w:r>
      <w:r w:rsidRPr="00FB6631">
        <w:rPr>
          <w:rFonts w:ascii="Verdana" w:hAnsi="Verdana"/>
          <w:color w:val="000000" w:themeColor="text1"/>
          <w:sz w:val="14"/>
          <w:szCs w:val="14"/>
        </w:rPr>
        <w:t xml:space="preserve"> Agencia Nacional de Contratación Pública. Concepto C-466 de 23 de septiembre de 2024. Radicado de salida No. </w:t>
      </w:r>
      <w:r w:rsidRPr="00FB6631">
        <w:rPr>
          <w:rFonts w:ascii="Verdana" w:hAnsi="Verdana"/>
          <w:color w:val="000000" w:themeColor="text1"/>
          <w:sz w:val="14"/>
          <w:szCs w:val="14"/>
          <w:lang w:val="es-CO"/>
        </w:rPr>
        <w:t xml:space="preserve">RS20240923013372. Disponible en: </w:t>
      </w:r>
      <w:hyperlink r:id="rId1" w:history="1">
        <w:r w:rsidRPr="00FB6631">
          <w:rPr>
            <w:rStyle w:val="Hipervnculo"/>
            <w:rFonts w:ascii="Verdana" w:hAnsi="Verdana"/>
            <w:color w:val="000000" w:themeColor="text1"/>
            <w:sz w:val="14"/>
            <w:szCs w:val="14"/>
          </w:rPr>
          <w:t>https://relatoria.colombiacompra.gov.co/conceptos/c-466-de-2024/</w:t>
        </w:r>
      </w:hyperlink>
      <w:r w:rsidRPr="00FB6631">
        <w:rPr>
          <w:rFonts w:ascii="Verdana" w:hAnsi="Verdana"/>
          <w:color w:val="000000" w:themeColor="text1"/>
          <w:sz w:val="14"/>
          <w:szCs w:val="14"/>
        </w:rPr>
        <w:t xml:space="preserve"> </w:t>
      </w:r>
    </w:p>
  </w:footnote>
  <w:footnote w:id="17">
    <w:p w14:paraId="5EEF3B1F" w14:textId="77777777" w:rsidR="0014393F" w:rsidRPr="00FB6631" w:rsidRDefault="0014393F" w:rsidP="00FB6631">
      <w:pPr>
        <w:pStyle w:val="Textonotapie"/>
        <w:snapToGrid w:val="0"/>
        <w:ind w:firstLine="708"/>
        <w:contextualSpacing/>
        <w:jc w:val="both"/>
        <w:rPr>
          <w:rFonts w:ascii="Verdana" w:hAnsi="Verdana"/>
          <w:color w:val="000000" w:themeColor="text1"/>
          <w:sz w:val="14"/>
          <w:szCs w:val="14"/>
          <w:lang w:val="es-CO"/>
        </w:rPr>
      </w:pPr>
      <w:r w:rsidRPr="00FB6631">
        <w:rPr>
          <w:rStyle w:val="Refdenotaalpie"/>
          <w:rFonts w:ascii="Verdana" w:hAnsi="Verdana"/>
          <w:color w:val="000000" w:themeColor="text1"/>
          <w:sz w:val="14"/>
          <w:szCs w:val="14"/>
        </w:rPr>
        <w:footnoteRef/>
      </w:r>
      <w:r w:rsidRPr="00FB6631">
        <w:rPr>
          <w:rFonts w:ascii="Verdana" w:hAnsi="Verdana"/>
          <w:color w:val="000000" w:themeColor="text1"/>
          <w:sz w:val="14"/>
          <w:szCs w:val="14"/>
        </w:rPr>
        <w:t xml:space="preserve"> CONSEJO DE ESTADO, Sección Tercera, Subsección A, Sentencia del 22 de agosto de 2023. Exp. No. 58634. </w:t>
      </w:r>
      <w:r w:rsidRPr="00FB6631">
        <w:rPr>
          <w:rFonts w:ascii="Verdana" w:hAnsi="Verdana"/>
          <w:color w:val="000000" w:themeColor="text1"/>
          <w:sz w:val="14"/>
          <w:szCs w:val="14"/>
          <w:lang w:val="es-CO"/>
        </w:rPr>
        <w:t>Consejero ponente: María Adriana Marín; Subsección C. Sentencia del 19 de septiembre de 2022. Exp. No. 54714. Consejero ponente: Jaime Enrique Rodríguez Navas;</w:t>
      </w:r>
      <w:r w:rsidRPr="00FB6631">
        <w:rPr>
          <w:rFonts w:ascii="Verdana" w:hAnsi="Verdana"/>
          <w:color w:val="000000" w:themeColor="text1"/>
          <w:sz w:val="14"/>
          <w:szCs w:val="14"/>
        </w:rPr>
        <w:t xml:space="preserve"> Subsección C</w:t>
      </w:r>
      <w:bookmarkStart w:id="5" w:name="_Hlk176969946"/>
      <w:r w:rsidRPr="00FB6631">
        <w:rPr>
          <w:rFonts w:ascii="Verdana" w:hAnsi="Verdana"/>
          <w:color w:val="000000" w:themeColor="text1"/>
          <w:sz w:val="14"/>
          <w:szCs w:val="14"/>
        </w:rPr>
        <w:t>, Sentencia del 24 de abril de 2024</w:t>
      </w:r>
      <w:bookmarkEnd w:id="5"/>
      <w:r w:rsidRPr="00FB6631">
        <w:rPr>
          <w:rFonts w:ascii="Verdana" w:hAnsi="Verdana"/>
          <w:color w:val="000000" w:themeColor="text1"/>
          <w:sz w:val="14"/>
          <w:szCs w:val="14"/>
        </w:rPr>
        <w:t xml:space="preserve">. Exp. No. 67095. </w:t>
      </w:r>
      <w:r w:rsidRPr="00FB6631">
        <w:rPr>
          <w:rFonts w:ascii="Verdana" w:hAnsi="Verdana"/>
          <w:color w:val="000000" w:themeColor="text1"/>
          <w:sz w:val="14"/>
          <w:szCs w:val="14"/>
          <w:lang w:val="es-CO"/>
        </w:rPr>
        <w:t>Consejero ponente: Nicolás Yepes Corrales.</w:t>
      </w:r>
      <w:r w:rsidRPr="00FB6631">
        <w:rPr>
          <w:rFonts w:ascii="Verdana" w:hAnsi="Verdana"/>
          <w:color w:val="000000" w:themeColor="text1"/>
          <w:sz w:val="14"/>
          <w:szCs w:val="14"/>
        </w:rPr>
        <w:t xml:space="preserve"> </w:t>
      </w:r>
    </w:p>
  </w:footnote>
  <w:footnote w:id="18">
    <w:p w14:paraId="1ABC107F" w14:textId="77777777" w:rsidR="0014393F" w:rsidRPr="00FB6631" w:rsidRDefault="0014393F" w:rsidP="00FB6631">
      <w:pPr>
        <w:pStyle w:val="Textonotapie"/>
        <w:snapToGrid w:val="0"/>
        <w:ind w:firstLine="709"/>
        <w:contextualSpacing/>
        <w:jc w:val="both"/>
        <w:rPr>
          <w:rFonts w:ascii="Verdana" w:hAnsi="Verdana" w:cs="Arial"/>
          <w:color w:val="000000" w:themeColor="text1"/>
          <w:sz w:val="14"/>
          <w:szCs w:val="14"/>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color w:val="000000" w:themeColor="text1"/>
          <w:sz w:val="14"/>
          <w:szCs w:val="14"/>
        </w:rPr>
        <w:t xml:space="preserve">Consejo de Estado. Sentencia del 28 de junio de 2012. Rad. Nro. 21990. C.P: Ruth Stella Correa Palacio. </w:t>
      </w:r>
    </w:p>
  </w:footnote>
  <w:footnote w:id="19">
    <w:p w14:paraId="3BD191C2" w14:textId="77777777" w:rsidR="0014393F" w:rsidRPr="00FB6631" w:rsidRDefault="0014393F" w:rsidP="00FB6631">
      <w:pPr>
        <w:pStyle w:val="Textonotapie"/>
        <w:snapToGrid w:val="0"/>
        <w:ind w:firstLine="709"/>
        <w:contextualSpacing/>
        <w:jc w:val="both"/>
        <w:rPr>
          <w:rFonts w:ascii="Verdana" w:hAnsi="Verdana" w:cs="Arial"/>
          <w:iCs/>
          <w:sz w:val="14"/>
          <w:szCs w:val="14"/>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iCs/>
          <w:sz w:val="14"/>
          <w:szCs w:val="14"/>
          <w:lang w:val="es-CO"/>
        </w:rPr>
        <w:t xml:space="preserve">IBAÑEZ NAJAR, Jorge Enrique. </w:t>
      </w:r>
      <w:r w:rsidRPr="00FB6631">
        <w:rPr>
          <w:rFonts w:ascii="Verdana" w:hAnsi="Verdana" w:cs="Arial"/>
          <w:iCs/>
          <w:sz w:val="14"/>
          <w:szCs w:val="14"/>
        </w:rPr>
        <w:t xml:space="preserve">La conmutatividad del contrato estatal y su equilibrio económico y financiero. La obligación de conservarlo, su ruptura y la obligación de restablecerlo según la ley </w:t>
      </w:r>
      <w:r w:rsidRPr="00FB6631">
        <w:rPr>
          <w:rFonts w:ascii="Verdana" w:hAnsi="Verdana" w:cs="Arial"/>
          <w:iCs/>
          <w:sz w:val="14"/>
          <w:szCs w:val="14"/>
          <w:lang w:val="es-CO"/>
        </w:rPr>
        <w:t>y la jurisprudencia. En: PALACIO JARAMILLO, María Teresa (editora académica). Contratos Estatales. Tomo II. 2022. Bogotá: Universidad del Rosario. P. 630</w:t>
      </w:r>
    </w:p>
  </w:footnote>
  <w:footnote w:id="20">
    <w:p w14:paraId="71D18D19" w14:textId="77777777" w:rsidR="0014393F" w:rsidRPr="00FB6631" w:rsidRDefault="0014393F" w:rsidP="00FB6631">
      <w:pPr>
        <w:pStyle w:val="Textonotapie"/>
        <w:snapToGrid w:val="0"/>
        <w:ind w:firstLine="708"/>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CONSEJO DE ESTADO. Sección Tercera. Subsección C. Sentencia del 20 de abril de 2022. Exp. 56508. C.P. Nicolás Yepes Corrales.</w:t>
      </w:r>
    </w:p>
  </w:footnote>
  <w:footnote w:id="21">
    <w:p w14:paraId="0F1EFF2E" w14:textId="77777777" w:rsidR="0014393F" w:rsidRPr="00FB6631" w:rsidRDefault="0014393F" w:rsidP="00FB6631">
      <w:pPr>
        <w:pStyle w:val="Textonotapie"/>
        <w:snapToGrid w:val="0"/>
        <w:ind w:firstLine="709"/>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Consejo de Estado. Sección Tercera. Sentencia del 31 de agosto de 2011. Exp. 18.080. CP.: Ruth Stella Correa Palacio. Reiterada en </w:t>
      </w:r>
      <w:r w:rsidRPr="00FB6631">
        <w:rPr>
          <w:rFonts w:ascii="Verdana" w:hAnsi="Verdana" w:cs="Arial"/>
          <w:sz w:val="14"/>
          <w:szCs w:val="14"/>
          <w:lang w:val="es-CO"/>
        </w:rPr>
        <w:t xml:space="preserve">Sentencia del 8 de febrero de 2012. Exp. 20344. </w:t>
      </w:r>
      <w:r w:rsidRPr="00FB6631">
        <w:rPr>
          <w:rFonts w:ascii="Verdana" w:hAnsi="Verdana" w:cs="Arial"/>
          <w:sz w:val="14"/>
          <w:szCs w:val="14"/>
        </w:rPr>
        <w:t>También ver: Consejo de Estado, Sección Tercera, sentencia de 9 de mayo de 1996, exp. 10.151, reiterada en sentencias de 29 de abril y 21 de julio de 1999, exp. 14.885 y exp. 14.943, C.P. Daniel Suárez Hernández.</w:t>
      </w:r>
    </w:p>
  </w:footnote>
  <w:footnote w:id="22">
    <w:p w14:paraId="33304E5F" w14:textId="77777777" w:rsidR="0014393F" w:rsidRPr="00FB6631" w:rsidRDefault="0014393F" w:rsidP="00FB6631">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Consejo de Estado. Sección Tercera. Sentencia del 29 de enero de 2018. Exp. 52.666 CP.: Jaime Orlando Santofimio Gamboa.</w:t>
      </w:r>
    </w:p>
  </w:footnote>
  <w:footnote w:id="23">
    <w:p w14:paraId="5F3B5100" w14:textId="77777777" w:rsidR="0014393F" w:rsidRPr="00FB6631" w:rsidRDefault="0014393F" w:rsidP="00FB6631">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Ibidem </w:t>
      </w:r>
    </w:p>
  </w:footnote>
  <w:footnote w:id="24">
    <w:p w14:paraId="019F5993" w14:textId="77777777" w:rsidR="0014393F" w:rsidRPr="00FB6631" w:rsidRDefault="0014393F" w:rsidP="00FB6631">
      <w:pPr>
        <w:pStyle w:val="Textonotapie"/>
        <w:snapToGrid w:val="0"/>
        <w:ind w:firstLine="708"/>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Consejo de Estado. Sección Tercera.</w:t>
      </w:r>
      <w:r w:rsidRPr="00FB6631">
        <w:rPr>
          <w:rFonts w:ascii="Verdana" w:hAnsi="Verdana" w:cs="Arial"/>
          <w:sz w:val="14"/>
          <w:szCs w:val="14"/>
          <w:lang w:val="es-CO"/>
        </w:rPr>
        <w:t xml:space="preserve"> Subsección A.</w:t>
      </w:r>
      <w:r w:rsidRPr="00FB6631">
        <w:rPr>
          <w:rFonts w:ascii="Verdana" w:hAnsi="Verdana" w:cs="Arial"/>
          <w:sz w:val="14"/>
          <w:szCs w:val="14"/>
        </w:rPr>
        <w:t xml:space="preserve"> Sentencia del 6 de julio de 2022. Exp. 54.319 CP.: María Adriana Marín. Ver también: </w:t>
      </w:r>
      <w:r w:rsidRPr="00FB6631">
        <w:rPr>
          <w:rFonts w:ascii="Verdana" w:hAnsi="Verdana" w:cs="Arial"/>
          <w:sz w:val="14"/>
          <w:szCs w:val="14"/>
          <w:lang w:val="es-CO"/>
        </w:rPr>
        <w:t>Consejo de Estado. Sección Tercera. Subsección A. Sentencia del 3 de junio de 2022. Exp. 53299. C.P.: José Roberto Sáchica Méndez</w:t>
      </w:r>
    </w:p>
  </w:footnote>
  <w:footnote w:id="25">
    <w:p w14:paraId="593C1772" w14:textId="77777777" w:rsidR="0014393F" w:rsidRPr="00FB6631" w:rsidRDefault="0014393F" w:rsidP="00FB6631">
      <w:pPr>
        <w:pStyle w:val="Textonotapie"/>
        <w:snapToGrid w:val="0"/>
        <w:ind w:firstLine="709"/>
        <w:contextualSpacing/>
        <w:jc w:val="both"/>
        <w:rPr>
          <w:rFonts w:ascii="Verdana" w:hAnsi="Verdana" w:cs="Arial"/>
          <w:sz w:val="14"/>
          <w:szCs w:val="14"/>
          <w:lang w:bidi="es-ES"/>
        </w:rPr>
      </w:pPr>
      <w:r w:rsidRPr="00FB6631">
        <w:rPr>
          <w:rStyle w:val="Refdenotaalpie"/>
          <w:rFonts w:ascii="Verdana" w:hAnsi="Verdana" w:cs="Arial"/>
          <w:sz w:val="14"/>
          <w:szCs w:val="14"/>
        </w:rPr>
        <w:footnoteRef/>
      </w:r>
      <w:r w:rsidRPr="00FB6631">
        <w:rPr>
          <w:rFonts w:ascii="Verdana" w:hAnsi="Verdana" w:cs="Arial"/>
          <w:sz w:val="14"/>
          <w:szCs w:val="14"/>
        </w:rPr>
        <w:t xml:space="preserve"> </w:t>
      </w:r>
      <w:r w:rsidRPr="00FB6631">
        <w:rPr>
          <w:rFonts w:ascii="Verdana" w:hAnsi="Verdana" w:cs="Arial"/>
          <w:sz w:val="14"/>
          <w:szCs w:val="14"/>
          <w:lang w:bidi="es-ES"/>
        </w:rPr>
        <w:t xml:space="preserve">Corte Constitucional. Sentencia C-416 de 2012. </w:t>
      </w:r>
    </w:p>
  </w:footnote>
  <w:footnote w:id="26">
    <w:p w14:paraId="715C4F59" w14:textId="77777777" w:rsidR="0014393F" w:rsidRPr="00FB6631" w:rsidRDefault="0014393F" w:rsidP="00FB6631">
      <w:pPr>
        <w:pStyle w:val="Textonotapie"/>
        <w:snapToGrid w:val="0"/>
        <w:ind w:firstLine="709"/>
        <w:contextualSpacing/>
        <w:jc w:val="both"/>
        <w:rPr>
          <w:rFonts w:ascii="Verdana" w:hAnsi="Verdana" w:cs="Arial"/>
          <w:sz w:val="14"/>
          <w:szCs w:val="14"/>
          <w:lang w:val="es-CO"/>
        </w:rPr>
      </w:pPr>
      <w:r w:rsidRPr="00FB6631">
        <w:rPr>
          <w:rStyle w:val="Refdenotaalpie"/>
          <w:rFonts w:ascii="Verdana" w:hAnsi="Verdana" w:cs="Arial"/>
          <w:sz w:val="14"/>
          <w:szCs w:val="14"/>
        </w:rPr>
        <w:footnoteRef/>
      </w:r>
      <w:r w:rsidRPr="00FB6631">
        <w:rPr>
          <w:rFonts w:ascii="Verdana" w:hAnsi="Verdana" w:cs="Arial"/>
          <w:sz w:val="14"/>
          <w:szCs w:val="14"/>
        </w:rPr>
        <w:t xml:space="preserve"> EXPÓSITO VÉLEZ, Juan Carlos. </w:t>
      </w:r>
      <w:r w:rsidRPr="00FB6631">
        <w:rPr>
          <w:rFonts w:ascii="Verdana" w:hAnsi="Verdana" w:cs="Arial"/>
          <w:sz w:val="14"/>
          <w:szCs w:val="14"/>
          <w:lang w:val="es-CO"/>
        </w:rPr>
        <w:t xml:space="preserve">Formas, formalidades y contenido del contrato estatal. Serie de derecho administrativo Nro. 34. Universidad Externado de Colombia. 2020. </w:t>
      </w:r>
    </w:p>
  </w:footnote>
  <w:footnote w:id="27">
    <w:p w14:paraId="7D5CF3F4" w14:textId="77777777" w:rsidR="0014393F" w:rsidRPr="00FB6631" w:rsidRDefault="0014393F" w:rsidP="00FB6631">
      <w:pPr>
        <w:pStyle w:val="Textonotapie"/>
        <w:snapToGrid w:val="0"/>
        <w:ind w:firstLine="708"/>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SANTOFIMIO GAMBOA, Jaime Orlando. Tratado de derecho administrativo: contratación indebida. Tomo IV. Bogotá: Universidad Externado de Colombia, 2004. pp. 388-389.</w:t>
      </w:r>
    </w:p>
  </w:footnote>
  <w:footnote w:id="28">
    <w:p w14:paraId="7207C3C2" w14:textId="77777777" w:rsidR="0014393F" w:rsidRPr="00FB6631" w:rsidRDefault="0014393F" w:rsidP="00FB6631">
      <w:pPr>
        <w:pStyle w:val="Textonotapie"/>
        <w:snapToGrid w:val="0"/>
        <w:ind w:firstLine="708"/>
        <w:contextualSpacing/>
        <w:jc w:val="both"/>
        <w:rPr>
          <w:rFonts w:ascii="Verdana" w:hAnsi="Verdana"/>
          <w:sz w:val="14"/>
          <w:szCs w:val="14"/>
          <w:lang w:val="es-CO"/>
        </w:rPr>
      </w:pPr>
      <w:r w:rsidRPr="00FB6631">
        <w:rPr>
          <w:rStyle w:val="Refdenotaalpie"/>
          <w:rFonts w:ascii="Verdana" w:hAnsi="Verdana"/>
          <w:sz w:val="14"/>
          <w:szCs w:val="14"/>
        </w:rPr>
        <w:footnoteRef/>
      </w:r>
      <w:r w:rsidRPr="00FB6631">
        <w:rPr>
          <w:rFonts w:ascii="Verdana" w:hAnsi="Verdana"/>
          <w:sz w:val="14"/>
          <w:szCs w:val="14"/>
        </w:rPr>
        <w:t xml:space="preserve"> PINO RICCI, Jorge. El régimen jurídico de los contratos estatales. Bogotá: Universidad Externado de Colombia, 2005. pp. 376-377.</w:t>
      </w:r>
    </w:p>
  </w:footnote>
  <w:footnote w:id="29">
    <w:p w14:paraId="2EEDEDE0" w14:textId="77777777" w:rsidR="0014393F" w:rsidRPr="00FB6631" w:rsidRDefault="0014393F" w:rsidP="00FB6631">
      <w:pPr>
        <w:pStyle w:val="Textonotapie"/>
        <w:snapToGrid w:val="0"/>
        <w:ind w:firstLine="708"/>
        <w:contextualSpacing/>
        <w:jc w:val="both"/>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rPr>
        <w:t xml:space="preserve"> </w:t>
      </w:r>
      <w:r w:rsidRPr="00FB6631">
        <w:rPr>
          <w:rFonts w:ascii="Verdana" w:hAnsi="Verdana"/>
          <w:sz w:val="14"/>
          <w:szCs w:val="14"/>
          <w:lang w:val="es-CO"/>
        </w:rPr>
        <w:t xml:space="preserve">CONSEJO DE ESTADO. Sala Plena. Sección Tercera. Sentencia de Unificación del 19 de noviembre de 2012. </w:t>
      </w:r>
      <w:r w:rsidRPr="00FB6631">
        <w:rPr>
          <w:rFonts w:ascii="Verdana" w:hAnsi="Verdana"/>
          <w:sz w:val="14"/>
          <w:szCs w:val="14"/>
          <w:lang w:val="pt-BR"/>
        </w:rPr>
        <w:t>C.P. Jaime Orlando Santofimio Gamboa. Exp. 24987.</w:t>
      </w:r>
    </w:p>
  </w:footnote>
  <w:footnote w:id="30">
    <w:p w14:paraId="78CB82B6" w14:textId="77777777" w:rsidR="0014393F" w:rsidRPr="00FB6631" w:rsidRDefault="0014393F" w:rsidP="00FB6631">
      <w:pPr>
        <w:pStyle w:val="Textonotapie"/>
        <w:snapToGrid w:val="0"/>
        <w:ind w:firstLine="708"/>
        <w:contextualSpacing/>
        <w:jc w:val="both"/>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lang w:val="pt-BR"/>
        </w:rPr>
        <w:t xml:space="preserve"> CONSEJO DE ESTADO. </w:t>
      </w:r>
      <w:r w:rsidRPr="00FB6631">
        <w:rPr>
          <w:rFonts w:ascii="Verdana" w:hAnsi="Verdana"/>
          <w:sz w:val="14"/>
          <w:szCs w:val="14"/>
        </w:rPr>
        <w:t xml:space="preserve">Sala Plena. Sección Tercera. Sentencia de Unificación del 31 de julio de 2025. </w:t>
      </w:r>
      <w:r w:rsidRPr="00FB6631">
        <w:rPr>
          <w:rFonts w:ascii="Verdana" w:hAnsi="Verdana"/>
          <w:sz w:val="14"/>
          <w:szCs w:val="14"/>
          <w:lang w:val="pt-BR"/>
        </w:rPr>
        <w:t xml:space="preserve">C.P. Fernando Alexei Pardo Flórez. Exp. 57464. </w:t>
      </w:r>
    </w:p>
  </w:footnote>
  <w:footnote w:id="31">
    <w:p w14:paraId="3262863D" w14:textId="77777777" w:rsidR="0014393F" w:rsidRPr="00FB6631" w:rsidRDefault="0014393F" w:rsidP="00FB6631">
      <w:pPr>
        <w:pStyle w:val="Textonotapie"/>
        <w:snapToGrid w:val="0"/>
        <w:ind w:firstLine="708"/>
        <w:contextualSpacing/>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lang w:val="pt-BR"/>
        </w:rPr>
        <w:t xml:space="preserve"> </w:t>
      </w:r>
      <w:r w:rsidRPr="00FB6631">
        <w:rPr>
          <w:rFonts w:ascii="Verdana" w:hAnsi="Verdana"/>
          <w:i/>
          <w:iCs/>
          <w:sz w:val="14"/>
          <w:szCs w:val="14"/>
          <w:lang w:val="pt-BR"/>
        </w:rPr>
        <w:t>Ibidem</w:t>
      </w:r>
      <w:r w:rsidRPr="00FB6631">
        <w:rPr>
          <w:rFonts w:ascii="Verdana" w:hAnsi="Verdana"/>
          <w:sz w:val="14"/>
          <w:szCs w:val="14"/>
          <w:lang w:val="pt-BR"/>
        </w:rPr>
        <w:t xml:space="preserve">. </w:t>
      </w:r>
    </w:p>
  </w:footnote>
  <w:footnote w:id="32">
    <w:p w14:paraId="08C4B166" w14:textId="77777777" w:rsidR="0014393F" w:rsidRPr="00FB6631" w:rsidRDefault="0014393F" w:rsidP="00FB6631">
      <w:pPr>
        <w:pStyle w:val="Textonotapie"/>
        <w:snapToGrid w:val="0"/>
        <w:ind w:firstLine="708"/>
        <w:contextualSpacing/>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lang w:val="pt-BR"/>
        </w:rPr>
        <w:t xml:space="preserve"> </w:t>
      </w:r>
      <w:r w:rsidRPr="00FB6631">
        <w:rPr>
          <w:rFonts w:ascii="Verdana" w:hAnsi="Verdana"/>
          <w:i/>
          <w:iCs/>
          <w:sz w:val="14"/>
          <w:szCs w:val="14"/>
          <w:lang w:val="pt-BR"/>
        </w:rPr>
        <w:t>Ibidem</w:t>
      </w:r>
      <w:r w:rsidRPr="00FB6631">
        <w:rPr>
          <w:rFonts w:ascii="Verdana" w:hAnsi="Verdana"/>
          <w:sz w:val="14"/>
          <w:szCs w:val="14"/>
          <w:lang w:val="pt-BR"/>
        </w:rPr>
        <w:t xml:space="preserve">.  </w:t>
      </w:r>
    </w:p>
  </w:footnote>
  <w:footnote w:id="33">
    <w:p w14:paraId="7CD6445B" w14:textId="77777777" w:rsidR="0014393F" w:rsidRPr="00FB6631" w:rsidRDefault="0014393F" w:rsidP="00FB6631">
      <w:pPr>
        <w:pStyle w:val="Textonotapie"/>
        <w:snapToGrid w:val="0"/>
        <w:ind w:firstLine="708"/>
        <w:contextualSpacing/>
        <w:rPr>
          <w:rFonts w:ascii="Verdana" w:hAnsi="Verdana"/>
          <w:sz w:val="14"/>
          <w:szCs w:val="14"/>
          <w:lang w:val="pt-BR"/>
        </w:rPr>
      </w:pPr>
      <w:r w:rsidRPr="00FB6631">
        <w:rPr>
          <w:rStyle w:val="Refdenotaalpie"/>
          <w:rFonts w:ascii="Verdana" w:hAnsi="Verdana"/>
          <w:sz w:val="14"/>
          <w:szCs w:val="14"/>
        </w:rPr>
        <w:footnoteRef/>
      </w:r>
      <w:r w:rsidRPr="00FB6631">
        <w:rPr>
          <w:rFonts w:ascii="Verdana" w:hAnsi="Verdana"/>
          <w:sz w:val="14"/>
          <w:szCs w:val="14"/>
          <w:lang w:val="pt-BR"/>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200D"/>
    <w:rsid w:val="000D5DA7"/>
    <w:rsid w:val="000F6486"/>
    <w:rsid w:val="00116940"/>
    <w:rsid w:val="00125105"/>
    <w:rsid w:val="00127233"/>
    <w:rsid w:val="0014393F"/>
    <w:rsid w:val="0015699B"/>
    <w:rsid w:val="001A33BF"/>
    <w:rsid w:val="001E4177"/>
    <w:rsid w:val="001F0B24"/>
    <w:rsid w:val="001F7DC6"/>
    <w:rsid w:val="00203811"/>
    <w:rsid w:val="0022400B"/>
    <w:rsid w:val="002421BB"/>
    <w:rsid w:val="0025796E"/>
    <w:rsid w:val="002707A2"/>
    <w:rsid w:val="002951A0"/>
    <w:rsid w:val="002962BC"/>
    <w:rsid w:val="002A093D"/>
    <w:rsid w:val="002A0DD0"/>
    <w:rsid w:val="002A49AC"/>
    <w:rsid w:val="002A64FD"/>
    <w:rsid w:val="002C7A84"/>
    <w:rsid w:val="002E2BF8"/>
    <w:rsid w:val="002E4FD9"/>
    <w:rsid w:val="002F655C"/>
    <w:rsid w:val="0030657A"/>
    <w:rsid w:val="00317AF5"/>
    <w:rsid w:val="00322A85"/>
    <w:rsid w:val="00324168"/>
    <w:rsid w:val="00330834"/>
    <w:rsid w:val="003448F4"/>
    <w:rsid w:val="00374F5E"/>
    <w:rsid w:val="00377E3E"/>
    <w:rsid w:val="003A779E"/>
    <w:rsid w:val="003B70C1"/>
    <w:rsid w:val="003D0F4D"/>
    <w:rsid w:val="003D5B0D"/>
    <w:rsid w:val="003E0499"/>
    <w:rsid w:val="003E4F80"/>
    <w:rsid w:val="003E6439"/>
    <w:rsid w:val="003F3941"/>
    <w:rsid w:val="0040599A"/>
    <w:rsid w:val="00406575"/>
    <w:rsid w:val="00414C74"/>
    <w:rsid w:val="0042722E"/>
    <w:rsid w:val="0044528D"/>
    <w:rsid w:val="00450F5C"/>
    <w:rsid w:val="00466E39"/>
    <w:rsid w:val="004752A1"/>
    <w:rsid w:val="004A1847"/>
    <w:rsid w:val="004A305D"/>
    <w:rsid w:val="004C705C"/>
    <w:rsid w:val="004F21C4"/>
    <w:rsid w:val="004F6161"/>
    <w:rsid w:val="004F685F"/>
    <w:rsid w:val="00501E66"/>
    <w:rsid w:val="005214B6"/>
    <w:rsid w:val="005323BE"/>
    <w:rsid w:val="005566E8"/>
    <w:rsid w:val="00574867"/>
    <w:rsid w:val="00591460"/>
    <w:rsid w:val="005A65E0"/>
    <w:rsid w:val="005C3777"/>
    <w:rsid w:val="005C5CDC"/>
    <w:rsid w:val="005D476C"/>
    <w:rsid w:val="006200BF"/>
    <w:rsid w:val="006219F8"/>
    <w:rsid w:val="006302F7"/>
    <w:rsid w:val="00646B9F"/>
    <w:rsid w:val="006548AD"/>
    <w:rsid w:val="00665D70"/>
    <w:rsid w:val="006900D9"/>
    <w:rsid w:val="006F3964"/>
    <w:rsid w:val="006F52CB"/>
    <w:rsid w:val="00706C16"/>
    <w:rsid w:val="007340C3"/>
    <w:rsid w:val="0075235A"/>
    <w:rsid w:val="00756841"/>
    <w:rsid w:val="00763F5F"/>
    <w:rsid w:val="007649AB"/>
    <w:rsid w:val="00771D0C"/>
    <w:rsid w:val="007833AC"/>
    <w:rsid w:val="007975D6"/>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673C"/>
    <w:rsid w:val="00980915"/>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1164"/>
    <w:rsid w:val="00A85210"/>
    <w:rsid w:val="00AB0ADB"/>
    <w:rsid w:val="00B00C0E"/>
    <w:rsid w:val="00B01B1A"/>
    <w:rsid w:val="00B0381D"/>
    <w:rsid w:val="00B422EA"/>
    <w:rsid w:val="00B44A47"/>
    <w:rsid w:val="00B72CD3"/>
    <w:rsid w:val="00B72FFF"/>
    <w:rsid w:val="00BC3D36"/>
    <w:rsid w:val="00BD54A6"/>
    <w:rsid w:val="00BD7F72"/>
    <w:rsid w:val="00BF7425"/>
    <w:rsid w:val="00C04FB3"/>
    <w:rsid w:val="00C11D8B"/>
    <w:rsid w:val="00C15139"/>
    <w:rsid w:val="00C330EB"/>
    <w:rsid w:val="00C50D69"/>
    <w:rsid w:val="00C5365C"/>
    <w:rsid w:val="00C704B5"/>
    <w:rsid w:val="00C754BE"/>
    <w:rsid w:val="00C76B1C"/>
    <w:rsid w:val="00C925AC"/>
    <w:rsid w:val="00CB6357"/>
    <w:rsid w:val="00CC1B26"/>
    <w:rsid w:val="00CD144D"/>
    <w:rsid w:val="00CF456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B6631"/>
    <w:rsid w:val="00FC2B5D"/>
    <w:rsid w:val="00FC7E7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4393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4393F"/>
    <w:rPr>
      <w:rFonts w:ascii="Geomanist Light" w:hAnsi="Geomanist Light"/>
      <w:lang w:val="es-ES"/>
    </w:rPr>
  </w:style>
  <w:style w:type="character" w:customStyle="1" w:styleId="s15">
    <w:name w:val="s15"/>
    <w:basedOn w:val="Fuentedeprrafopredeter"/>
    <w:rsid w:val="0014393F"/>
  </w:style>
  <w:style w:type="character" w:customStyle="1" w:styleId="apple-converted-space">
    <w:name w:val="apple-converted-space"/>
    <w:basedOn w:val="Fuentedeprrafopredeter"/>
    <w:rsid w:val="001439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228576">
      <w:bodyDiv w:val="1"/>
      <w:marLeft w:val="0"/>
      <w:marRight w:val="0"/>
      <w:marTop w:val="0"/>
      <w:marBottom w:val="0"/>
      <w:divBdr>
        <w:top w:val="none" w:sz="0" w:space="0" w:color="auto"/>
        <w:left w:val="none" w:sz="0" w:space="0" w:color="auto"/>
        <w:bottom w:val="none" w:sz="0" w:space="0" w:color="auto"/>
        <w:right w:val="none" w:sz="0" w:space="0" w:color="auto"/>
      </w:divBdr>
    </w:div>
    <w:div w:id="289282562">
      <w:bodyDiv w:val="1"/>
      <w:marLeft w:val="0"/>
      <w:marRight w:val="0"/>
      <w:marTop w:val="0"/>
      <w:marBottom w:val="0"/>
      <w:divBdr>
        <w:top w:val="none" w:sz="0" w:space="0" w:color="auto"/>
        <w:left w:val="none" w:sz="0" w:space="0" w:color="auto"/>
        <w:bottom w:val="none" w:sz="0" w:space="0" w:color="auto"/>
        <w:right w:val="none" w:sz="0" w:space="0" w:color="auto"/>
      </w:divBdr>
    </w:div>
    <w:div w:id="30154447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52175968">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9800040">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29953048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080_1993.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zrestrepoabogada@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20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466-de-2024/%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3C584-EB5C-42C2-8E48-920F590467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B405A1C-7CFD-2244-912F-ABBFA7FD1C33}">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32</TotalTime>
  <Pages>34</Pages>
  <Words>12464</Words>
  <Characters>68430</Characters>
  <Application>Microsoft Office Word</Application>
  <DocSecurity>0</DocSecurity>
  <Lines>1244</Lines>
  <Paragraphs>204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2026-03-26T22:17:00Z</dcterms:created>
  <dcterms:modified xsi:type="dcterms:W3CDTF">2026-03-27T14:23:00Z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