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19BCB" w14:textId="77777777" w:rsidR="009E0DB9" w:rsidRPr="009E0DB9" w:rsidRDefault="009E0DB9" w:rsidP="009E0DB9">
      <w:pPr>
        <w:spacing w:after="0" w:line="240" w:lineRule="auto"/>
        <w:jc w:val="both"/>
        <w:rPr>
          <w:rFonts w:ascii="Verdana" w:eastAsia="Calibri" w:hAnsi="Verdana" w:cs="Arial"/>
          <w:b/>
          <w:color w:val="000000"/>
          <w:kern w:val="0"/>
          <w:lang w:val="es-ES"/>
          <w14:ligatures w14:val="none"/>
        </w:rPr>
      </w:pPr>
      <w:bookmarkStart w:id="0" w:name="_Hlk143780582"/>
      <w:r w:rsidRPr="009E0DB9">
        <w:rPr>
          <w:rFonts w:ascii="Verdana" w:eastAsia="Calibri" w:hAnsi="Verdana" w:cs="Arial"/>
          <w:b/>
          <w:color w:val="000000"/>
          <w:kern w:val="0"/>
          <w:lang w:val="es-ES"/>
          <w14:ligatures w14:val="none"/>
        </w:rPr>
        <w:t>LEY DE GARANTÍAS ELECTORALES – Finalidad - Ley 996 de 2005 – Comicios aplicables</w:t>
      </w:r>
    </w:p>
    <w:p w14:paraId="4E82A8AA" w14:textId="77777777" w:rsidR="009E0DB9" w:rsidRPr="009E0DB9" w:rsidRDefault="009E0DB9" w:rsidP="009E0DB9">
      <w:pPr>
        <w:spacing w:after="0" w:line="240" w:lineRule="auto"/>
        <w:jc w:val="both"/>
        <w:rPr>
          <w:rFonts w:ascii="Verdana" w:eastAsia="Calibri" w:hAnsi="Verdana" w:cs="Arial"/>
          <w:bCs/>
          <w:color w:val="000000"/>
          <w:kern w:val="0"/>
          <w:sz w:val="20"/>
          <w:szCs w:val="20"/>
          <w:lang w:val="es-ES"/>
          <w14:ligatures w14:val="none"/>
        </w:rPr>
      </w:pPr>
    </w:p>
    <w:p w14:paraId="058D6D95" w14:textId="77777777" w:rsidR="009E0DB9" w:rsidRPr="009E0DB9" w:rsidRDefault="009E0DB9" w:rsidP="009E0DB9">
      <w:pPr>
        <w:spacing w:after="0" w:line="240" w:lineRule="auto"/>
        <w:jc w:val="both"/>
        <w:rPr>
          <w:rFonts w:ascii="Verdana" w:eastAsia="Calibri" w:hAnsi="Verdana" w:cs="Arial"/>
          <w:color w:val="000000"/>
          <w:kern w:val="0"/>
          <w:sz w:val="20"/>
          <w:szCs w:val="20"/>
          <w:lang w:val="es-ES_tradnl" w:eastAsia="es-ES_tradnl"/>
          <w14:ligatures w14:val="none"/>
        </w:rPr>
      </w:pPr>
      <w:r w:rsidRPr="009E0DB9">
        <w:rPr>
          <w:rFonts w:ascii="Verdana" w:eastAsia="Calibri" w:hAnsi="Verdana" w:cs="Arial"/>
          <w:color w:val="000000"/>
          <w:kern w:val="0"/>
          <w:sz w:val="20"/>
          <w:szCs w:val="20"/>
          <w:lang w:val="es-ES_tradnl" w:eastAsia="es-ES_tradnl"/>
          <w14:ligatures w14:val="none"/>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 Ley introduce limitaciones para realizar nombramientos, postulaciones, contrataciones o cualquier otro tipo de actividad que implique destinación de recursos públicos bajo el devenir propio de las entidades estatales.</w:t>
      </w:r>
    </w:p>
    <w:p w14:paraId="1DB1AF38" w14:textId="77777777" w:rsidR="009E0DB9" w:rsidRPr="009E0DB9" w:rsidRDefault="009E0DB9" w:rsidP="009E0DB9">
      <w:pPr>
        <w:spacing w:after="0" w:line="240" w:lineRule="auto"/>
        <w:jc w:val="both"/>
        <w:rPr>
          <w:rFonts w:ascii="Verdana" w:eastAsia="Calibri" w:hAnsi="Verdana" w:cs="Arial"/>
          <w:color w:val="000000"/>
          <w:kern w:val="0"/>
          <w:sz w:val="20"/>
          <w:szCs w:val="20"/>
          <w:lang w:val="es-ES_tradnl" w:eastAsia="es-ES_tradnl"/>
          <w14:ligatures w14:val="none"/>
        </w:rPr>
      </w:pPr>
      <w:r w:rsidRPr="009E0DB9">
        <w:rPr>
          <w:rFonts w:ascii="Verdana" w:eastAsia="Calibri" w:hAnsi="Verdana" w:cs="Arial"/>
          <w:color w:val="000000"/>
          <w:kern w:val="0"/>
          <w:sz w:val="20"/>
          <w:szCs w:val="20"/>
          <w:lang w:val="es-ES_tradnl" w:eastAsia="es-ES_tradnl"/>
          <w14:ligatures w14:val="none"/>
        </w:rPr>
        <w:t>[…]</w:t>
      </w:r>
    </w:p>
    <w:p w14:paraId="449BB2C3" w14:textId="77777777" w:rsidR="009E0DB9" w:rsidRPr="009E0DB9" w:rsidRDefault="009E0DB9" w:rsidP="009E0DB9">
      <w:pPr>
        <w:spacing w:after="0" w:line="240" w:lineRule="auto"/>
        <w:jc w:val="both"/>
        <w:rPr>
          <w:rFonts w:ascii="Verdana" w:eastAsia="Calibri" w:hAnsi="Verdana" w:cs="Arial"/>
          <w:color w:val="000000"/>
          <w:kern w:val="0"/>
          <w:sz w:val="20"/>
          <w:szCs w:val="20"/>
          <w:lang w:val="es-ES"/>
          <w14:ligatures w14:val="none"/>
        </w:rPr>
      </w:pPr>
      <w:r w:rsidRPr="009E0DB9">
        <w:rPr>
          <w:rFonts w:ascii="Verdana" w:eastAsia="Calibri" w:hAnsi="Verdana" w:cs="Arial"/>
          <w:color w:val="000000"/>
          <w:kern w:val="0"/>
          <w:sz w:val="20"/>
          <w:szCs w:val="20"/>
          <w:lang w:val="es-ES"/>
          <w14:ligatures w14:val="none"/>
        </w:rPr>
        <w:t>[…]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2425BE41" w14:textId="77777777" w:rsidR="009E0DB9" w:rsidRPr="009E0DB9" w:rsidRDefault="009E0DB9" w:rsidP="009E0DB9">
      <w:pPr>
        <w:spacing w:after="0" w:line="240" w:lineRule="auto"/>
        <w:rPr>
          <w:rFonts w:ascii="Verdana" w:eastAsia="Geomanist Light" w:hAnsi="Verdana" w:cs="Arial"/>
          <w:color w:val="000000"/>
          <w:kern w:val="0"/>
          <w:sz w:val="20"/>
          <w:szCs w:val="20"/>
          <w:lang w:val="es-ES_tradnl"/>
          <w14:ligatures w14:val="none"/>
        </w:rPr>
      </w:pPr>
    </w:p>
    <w:p w14:paraId="57008E2A" w14:textId="77777777" w:rsidR="009E0DB9" w:rsidRPr="009E0DB9" w:rsidRDefault="009E0DB9" w:rsidP="009E0DB9">
      <w:pPr>
        <w:spacing w:after="0" w:line="240" w:lineRule="auto"/>
        <w:jc w:val="both"/>
        <w:rPr>
          <w:rFonts w:ascii="Verdana" w:eastAsia="Calibri" w:hAnsi="Verdana" w:cs="Arial"/>
          <w:b/>
          <w:kern w:val="0"/>
          <w:lang w:val="es-ES"/>
          <w14:ligatures w14:val="none"/>
        </w:rPr>
      </w:pPr>
      <w:r w:rsidRPr="009E0DB9">
        <w:rPr>
          <w:rFonts w:ascii="Verdana" w:eastAsia="Calibri" w:hAnsi="Verdana" w:cs="Arial"/>
          <w:b/>
          <w:kern w:val="0"/>
          <w:lang w:val="es-ES"/>
          <w14:ligatures w14:val="none"/>
        </w:rPr>
        <w:t>LEY DE GARANTÍAS ELECTORALES – Restricciones contractuales – Comicios aplicables - Destinatarios</w:t>
      </w:r>
    </w:p>
    <w:p w14:paraId="4B5AD732" w14:textId="77777777" w:rsidR="009E0DB9" w:rsidRPr="009E0DB9" w:rsidRDefault="009E0DB9" w:rsidP="009E0DB9">
      <w:pPr>
        <w:spacing w:after="0" w:line="240" w:lineRule="auto"/>
        <w:jc w:val="both"/>
        <w:rPr>
          <w:rFonts w:ascii="Verdana" w:eastAsia="Calibri" w:hAnsi="Verdana" w:cs="Arial"/>
          <w:b/>
          <w:kern w:val="0"/>
          <w:sz w:val="20"/>
          <w:szCs w:val="20"/>
          <w:lang w:val="es-ES"/>
          <w14:ligatures w14:val="none"/>
        </w:rPr>
      </w:pPr>
    </w:p>
    <w:p w14:paraId="76FE6F41" w14:textId="77777777" w:rsidR="009E0DB9" w:rsidRPr="009E0DB9" w:rsidRDefault="009E0DB9" w:rsidP="009E0DB9">
      <w:pPr>
        <w:spacing w:after="0"/>
        <w:jc w:val="both"/>
        <w:rPr>
          <w:rFonts w:ascii="Verdana" w:eastAsia="Calibri" w:hAnsi="Verdana" w:cs="Arial"/>
          <w:bCs/>
          <w:kern w:val="0"/>
          <w:sz w:val="20"/>
          <w:szCs w:val="20"/>
          <w:lang w:val="es-ES"/>
          <w14:ligatures w14:val="none"/>
        </w:rPr>
      </w:pPr>
      <w:r w:rsidRPr="009E0DB9">
        <w:rPr>
          <w:rFonts w:ascii="Verdana" w:eastAsia="Calibri" w:hAnsi="Verdana" w:cs="Arial"/>
          <w:bCs/>
          <w:kern w:val="0"/>
          <w:sz w:val="20"/>
          <w:szCs w:val="20"/>
          <w:lang w:val="es-ES"/>
          <w14:ligatures w14:val="none"/>
        </w:rPr>
        <w:t>[…] el artículo 33 de la Ley 966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19FF0581" w14:textId="77777777" w:rsidR="009E0DB9" w:rsidRPr="009E0DB9" w:rsidRDefault="009E0DB9" w:rsidP="009E0DB9">
      <w:pPr>
        <w:spacing w:after="0"/>
        <w:jc w:val="both"/>
        <w:rPr>
          <w:rFonts w:ascii="Verdana" w:eastAsia="Calibri" w:hAnsi="Verdana" w:cs="Arial"/>
          <w:bCs/>
          <w:kern w:val="0"/>
          <w:sz w:val="20"/>
          <w:szCs w:val="20"/>
          <w:lang w:val="es-ES"/>
          <w14:ligatures w14:val="none"/>
        </w:rPr>
      </w:pPr>
    </w:p>
    <w:p w14:paraId="6782E720" w14:textId="77777777" w:rsidR="009E0DB9" w:rsidRPr="009E0DB9" w:rsidRDefault="009E0DB9" w:rsidP="009E0DB9">
      <w:pPr>
        <w:spacing w:after="0"/>
        <w:jc w:val="both"/>
        <w:rPr>
          <w:rFonts w:ascii="Aptos" w:eastAsia="Aptos" w:hAnsi="Aptos" w:cs="Arial"/>
          <w:kern w:val="0"/>
          <w14:ligatures w14:val="none"/>
        </w:rPr>
      </w:pPr>
      <w:r w:rsidRPr="009E0DB9">
        <w:rPr>
          <w:rFonts w:ascii="Verdana" w:eastAsia="Calibri" w:hAnsi="Verdana" w:cs="Arial"/>
          <w:bCs/>
          <w:kern w:val="0"/>
          <w:sz w:val="20"/>
          <w:szCs w:val="20"/>
          <w:lang w:val="es-ES"/>
          <w14:ligatures w14:val="none"/>
        </w:rPr>
        <w:t>[…], el parágrafo del artículo 38 de la precitada ley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p>
    <w:p w14:paraId="23E9987C" w14:textId="77777777" w:rsidR="009E0DB9" w:rsidRPr="009E0DB9" w:rsidRDefault="009E0DB9" w:rsidP="009E0DB9">
      <w:pPr>
        <w:spacing w:after="0" w:line="276" w:lineRule="auto"/>
        <w:jc w:val="both"/>
        <w:rPr>
          <w:rFonts w:ascii="Aptos" w:eastAsia="Aptos" w:hAnsi="Aptos" w:cs="Arial"/>
          <w:kern w:val="0"/>
          <w14:ligatures w14:val="none"/>
        </w:rPr>
      </w:pPr>
    </w:p>
    <w:p w14:paraId="538B8910" w14:textId="77777777" w:rsidR="009E0DB9" w:rsidRPr="009E0DB9" w:rsidRDefault="009E0DB9" w:rsidP="009E0DB9">
      <w:pPr>
        <w:spacing w:after="0" w:line="240" w:lineRule="auto"/>
        <w:rPr>
          <w:rFonts w:ascii="Verdana" w:eastAsia="Aptos" w:hAnsi="Verdana" w:cs="Times New Roman"/>
          <w:kern w:val="0"/>
          <w:sz w:val="20"/>
          <w:szCs w:val="20"/>
          <w14:ligatures w14:val="none"/>
        </w:rPr>
      </w:pPr>
    </w:p>
    <w:p w14:paraId="2B16179C" w14:textId="6560457C" w:rsidR="009E0DB9" w:rsidRPr="009E0DB9" w:rsidRDefault="009E0DB9" w:rsidP="009E0DB9">
      <w:pPr>
        <w:spacing w:after="0" w:line="240" w:lineRule="auto"/>
        <w:rPr>
          <w:rFonts w:ascii="Verdana" w:eastAsia="Geomanist Light" w:hAnsi="Verdana" w:cs="Arial"/>
          <w:kern w:val="0"/>
          <w:lang w:val="es-MX"/>
          <w14:ligatures w14:val="none"/>
        </w:rPr>
      </w:pPr>
      <w:r w:rsidRPr="009E0DB9">
        <w:rPr>
          <w:rFonts w:ascii="Verdana" w:eastAsia="Geomanist Light" w:hAnsi="Verdana" w:cs="Arial"/>
          <w:kern w:val="0"/>
          <w:lang w:val="es-MX"/>
          <w14:ligatures w14:val="none"/>
        </w:rPr>
        <w:t>Bogotá D.C., </w:t>
      </w:r>
      <w:r w:rsidR="00905D4E">
        <w:rPr>
          <w:rFonts w:ascii="Verdana" w:eastAsia="Geomanist Light" w:hAnsi="Verdana" w:cs="Arial"/>
          <w:kern w:val="0"/>
          <w:lang w:val="es-MX"/>
          <w14:ligatures w14:val="none"/>
        </w:rPr>
        <w:t>26 de marzo de 2026</w:t>
      </w:r>
    </w:p>
    <w:p w14:paraId="09948BA0" w14:textId="77777777" w:rsidR="009E0DB9" w:rsidRPr="009E0DB9" w:rsidRDefault="009E0DB9" w:rsidP="009E0DB9">
      <w:pPr>
        <w:spacing w:after="0" w:line="240" w:lineRule="auto"/>
        <w:jc w:val="both"/>
        <w:rPr>
          <w:rFonts w:ascii="Verdana" w:eastAsia="Calibri" w:hAnsi="Verdana" w:cs="Arial"/>
          <w:kern w:val="0"/>
          <w:lang w:val="es-ES"/>
          <w14:ligatures w14:val="none"/>
        </w:rPr>
      </w:pPr>
    </w:p>
    <w:p w14:paraId="22BD2556" w14:textId="37CF347E" w:rsidR="009E0DB9" w:rsidRPr="009E0DB9" w:rsidRDefault="008E6168" w:rsidP="009E0DB9">
      <w:pPr>
        <w:spacing w:after="0" w:line="240" w:lineRule="auto"/>
        <w:jc w:val="right"/>
        <w:rPr>
          <w:rFonts w:ascii="Verdana" w:eastAsia="Calibri" w:hAnsi="Verdana" w:cs="Arial"/>
          <w:kern w:val="0"/>
          <w:lang w:val="es-ES"/>
          <w14:ligatures w14:val="none"/>
        </w:rPr>
      </w:pPr>
      <w:r w:rsidRPr="008E6168">
        <w:rPr>
          <w:rFonts w:ascii="Verdana" w:eastAsia="Calibri" w:hAnsi="Verdana" w:cs="Arial"/>
          <w:kern w:val="0"/>
          <w:lang w:val="es-ES"/>
          <w14:ligatures w14:val="none"/>
        </w:rPr>
        <w:drawing>
          <wp:inline distT="0" distB="0" distL="0" distR="0" wp14:anchorId="231D8ED5" wp14:editId="66749B25">
            <wp:extent cx="1847850" cy="580753"/>
            <wp:effectExtent l="0" t="0" r="0" b="0"/>
            <wp:docPr id="1320455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45594" name=""/>
                    <pic:cNvPicPr/>
                  </pic:nvPicPr>
                  <pic:blipFill>
                    <a:blip r:embed="rId10"/>
                    <a:stretch>
                      <a:fillRect/>
                    </a:stretch>
                  </pic:blipFill>
                  <pic:spPr>
                    <a:xfrm>
                      <a:off x="0" y="0"/>
                      <a:ext cx="1853660" cy="582579"/>
                    </a:xfrm>
                    <a:prstGeom prst="rect">
                      <a:avLst/>
                    </a:prstGeom>
                  </pic:spPr>
                </pic:pic>
              </a:graphicData>
            </a:graphic>
          </wp:inline>
        </w:drawing>
      </w:r>
    </w:p>
    <w:p w14:paraId="4D4E0E29" w14:textId="77777777" w:rsidR="009E0DB9" w:rsidRPr="009E0DB9" w:rsidRDefault="009E0DB9" w:rsidP="009E0DB9">
      <w:pPr>
        <w:spacing w:after="0" w:line="240" w:lineRule="auto"/>
        <w:jc w:val="both"/>
        <w:rPr>
          <w:rFonts w:ascii="Verdana" w:eastAsia="Calibri" w:hAnsi="Verdana" w:cs="Arial"/>
          <w:kern w:val="0"/>
          <w:lang w:val="es-ES" w:eastAsia="es-ES"/>
          <w14:ligatures w14:val="none"/>
        </w:rPr>
      </w:pPr>
      <w:r w:rsidRPr="009E0DB9">
        <w:rPr>
          <w:rFonts w:ascii="Verdana" w:eastAsia="Calibri" w:hAnsi="Verdana" w:cs="Arial"/>
          <w:kern w:val="0"/>
          <w:lang w:val="es-ES" w:eastAsia="es-ES"/>
          <w14:ligatures w14:val="none"/>
        </w:rPr>
        <w:t>Señor</w:t>
      </w:r>
    </w:p>
    <w:p w14:paraId="46822465" w14:textId="77777777" w:rsidR="009E0DB9" w:rsidRPr="009E0DB9" w:rsidRDefault="009E0DB9" w:rsidP="009E0DB9">
      <w:pPr>
        <w:spacing w:after="0" w:line="240" w:lineRule="auto"/>
        <w:rPr>
          <w:rFonts w:ascii="Verdana" w:eastAsia="Calibri" w:hAnsi="Verdana" w:cs="Arial"/>
          <w:b/>
          <w:kern w:val="0"/>
          <w:lang w:val="es-ES" w:eastAsia="es-ES"/>
          <w14:ligatures w14:val="none"/>
        </w:rPr>
      </w:pPr>
      <w:r w:rsidRPr="009E0DB9">
        <w:rPr>
          <w:rFonts w:ascii="Verdana" w:eastAsia="Calibri" w:hAnsi="Verdana" w:cs="Arial"/>
          <w:b/>
          <w:kern w:val="0"/>
          <w:lang w:val="es-ES" w:eastAsia="es-ES"/>
          <w14:ligatures w14:val="none"/>
        </w:rPr>
        <w:t>Wilson Eduardo Mayorga Cangrejo</w:t>
      </w:r>
    </w:p>
    <w:p w14:paraId="09BB06F1" w14:textId="77777777" w:rsidR="009E0DB9" w:rsidRPr="009E0DB9" w:rsidRDefault="009E0DB9" w:rsidP="009E0DB9">
      <w:pPr>
        <w:spacing w:after="0" w:line="240" w:lineRule="auto"/>
        <w:rPr>
          <w:rFonts w:ascii="Verdana" w:eastAsia="Aptos" w:hAnsi="Verdana" w:cs="Times New Roman"/>
          <w:kern w:val="0"/>
          <w14:ligatures w14:val="none"/>
        </w:rPr>
      </w:pPr>
      <w:hyperlink r:id="rId11" w:history="1">
        <w:r w:rsidRPr="009E0DB9">
          <w:rPr>
            <w:rFonts w:ascii="Verdana" w:eastAsia="Aptos" w:hAnsi="Verdana" w:cs="Arial"/>
            <w:color w:val="467886"/>
            <w:kern w:val="0"/>
            <w:u w:val="single"/>
            <w14:ligatures w14:val="none"/>
          </w:rPr>
          <w:t>wilmayo31@gmail.com</w:t>
        </w:r>
      </w:hyperlink>
      <w:r w:rsidRPr="009E0DB9">
        <w:rPr>
          <w:rFonts w:ascii="Verdana" w:eastAsia="Aptos" w:hAnsi="Verdana" w:cs="Arial"/>
          <w:kern w:val="0"/>
          <w14:ligatures w14:val="none"/>
        </w:rPr>
        <w:t xml:space="preserve"> </w:t>
      </w:r>
    </w:p>
    <w:p w14:paraId="670613A1" w14:textId="77777777" w:rsidR="009E0DB9" w:rsidRPr="009E0DB9" w:rsidRDefault="009E0DB9" w:rsidP="009E0DB9">
      <w:pPr>
        <w:spacing w:after="0" w:line="240" w:lineRule="auto"/>
        <w:rPr>
          <w:rFonts w:ascii="Verdana" w:eastAsia="Calibri" w:hAnsi="Verdana" w:cs="Arial"/>
          <w:b/>
          <w:bCs/>
          <w:kern w:val="0"/>
          <w:lang w:val="es-ES" w:eastAsia="es-ES"/>
          <w14:ligatures w14:val="none"/>
        </w:rPr>
      </w:pPr>
      <w:r w:rsidRPr="009E0DB9">
        <w:rPr>
          <w:rFonts w:ascii="Verdana" w:eastAsia="Calibri" w:hAnsi="Verdana" w:cs="Arial"/>
          <w:kern w:val="0"/>
          <w:lang w:val="es-ES" w:eastAsia="es-ES"/>
          <w14:ligatures w14:val="none"/>
        </w:rPr>
        <w:t>Cereté, Córdoba</w:t>
      </w:r>
    </w:p>
    <w:p w14:paraId="6F2BFDA6" w14:textId="77777777" w:rsidR="009E0DB9" w:rsidRPr="009E0DB9" w:rsidRDefault="009E0DB9" w:rsidP="009E0DB9">
      <w:pPr>
        <w:spacing w:after="0" w:line="240" w:lineRule="auto"/>
        <w:rPr>
          <w:rFonts w:ascii="Verdana" w:eastAsia="Calibri" w:hAnsi="Verdana" w:cs="Arial"/>
          <w:b/>
          <w:bCs/>
          <w:kern w:val="0"/>
          <w:lang w:val="es-ES_tradnl" w:eastAsia="es-ES_tradnl"/>
          <w14:ligatures w14:val="none"/>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E0DB9" w:rsidRPr="009E0DB9" w14:paraId="50FCAEE3" w14:textId="77777777" w:rsidTr="00DB4B0A">
        <w:trPr>
          <w:trHeight w:val="884"/>
        </w:trPr>
        <w:tc>
          <w:tcPr>
            <w:tcW w:w="2689" w:type="dxa"/>
          </w:tcPr>
          <w:p w14:paraId="05AEB44E" w14:textId="77777777" w:rsidR="009E0DB9" w:rsidRPr="009E0DB9" w:rsidRDefault="009E0DB9" w:rsidP="009E0DB9">
            <w:pPr>
              <w:jc w:val="both"/>
              <w:rPr>
                <w:rFonts w:ascii="Verdana" w:eastAsia="Calibri" w:hAnsi="Verdana" w:cs="Arial"/>
                <w:b/>
                <w:bCs/>
                <w:lang w:val="es-ES_tradnl" w:eastAsia="es-ES_tradnl"/>
              </w:rPr>
            </w:pPr>
          </w:p>
        </w:tc>
        <w:tc>
          <w:tcPr>
            <w:tcW w:w="6100" w:type="dxa"/>
          </w:tcPr>
          <w:p w14:paraId="1A47D680" w14:textId="77777777" w:rsidR="009E0DB9" w:rsidRPr="009E0DB9" w:rsidRDefault="009E0DB9" w:rsidP="009E0DB9">
            <w:pPr>
              <w:jc w:val="both"/>
              <w:rPr>
                <w:rFonts w:ascii="Verdana" w:eastAsia="Calibri" w:hAnsi="Verdana" w:cs="Arial"/>
                <w:b/>
                <w:bCs/>
                <w:lang w:val="es-ES" w:eastAsia="es-ES"/>
              </w:rPr>
            </w:pPr>
            <w:r w:rsidRPr="009E0DB9">
              <w:rPr>
                <w:rFonts w:ascii="Verdana" w:eastAsia="Calibri" w:hAnsi="Verdana" w:cs="Arial"/>
                <w:b/>
                <w:bCs/>
                <w:lang w:val="es-ES" w:eastAsia="es-ES"/>
              </w:rPr>
              <w:t>Concepto C-219 de 2026</w:t>
            </w:r>
          </w:p>
        </w:tc>
      </w:tr>
      <w:tr w:rsidR="009E0DB9" w:rsidRPr="009E0DB9" w14:paraId="7637EA3A" w14:textId="77777777" w:rsidTr="00DB4B0A">
        <w:trPr>
          <w:trHeight w:val="884"/>
        </w:trPr>
        <w:tc>
          <w:tcPr>
            <w:tcW w:w="2689" w:type="dxa"/>
          </w:tcPr>
          <w:p w14:paraId="08CE11C3" w14:textId="77777777" w:rsidR="009E0DB9" w:rsidRPr="009E0DB9" w:rsidRDefault="009E0DB9" w:rsidP="009E0DB9">
            <w:pPr>
              <w:jc w:val="both"/>
              <w:rPr>
                <w:rFonts w:ascii="Verdana" w:eastAsia="Calibri" w:hAnsi="Verdana" w:cs="Arial"/>
                <w:lang w:val="es-ES_tradnl" w:eastAsia="es-ES_tradnl"/>
              </w:rPr>
            </w:pPr>
            <w:r w:rsidRPr="009E0DB9">
              <w:rPr>
                <w:rFonts w:ascii="Verdana" w:eastAsia="Calibri" w:hAnsi="Verdana" w:cs="Arial"/>
                <w:b/>
                <w:lang w:val="es-ES_tradnl" w:eastAsia="es-ES_tradnl"/>
              </w:rPr>
              <w:t>Temas:</w:t>
            </w:r>
            <w:r w:rsidRPr="009E0DB9">
              <w:rPr>
                <w:rFonts w:ascii="Verdana" w:eastAsia="Calibri" w:hAnsi="Verdana" w:cs="Arial"/>
                <w:lang w:val="es-ES_tradnl" w:eastAsia="es-ES_tradnl"/>
              </w:rPr>
              <w:t xml:space="preserve">                   </w:t>
            </w:r>
          </w:p>
        </w:tc>
        <w:tc>
          <w:tcPr>
            <w:tcW w:w="6100" w:type="dxa"/>
          </w:tcPr>
          <w:p w14:paraId="648C0A67" w14:textId="77777777" w:rsidR="009E0DB9" w:rsidRPr="009E0DB9" w:rsidRDefault="009E0DB9" w:rsidP="009E0DB9">
            <w:pPr>
              <w:spacing w:line="276" w:lineRule="auto"/>
              <w:jc w:val="both"/>
              <w:rPr>
                <w:rFonts w:ascii="Verdana" w:eastAsia="Calibri" w:hAnsi="Verdana" w:cs="Arial"/>
                <w:lang w:val="es-ES" w:eastAsia="es-ES"/>
              </w:rPr>
            </w:pPr>
            <w:r w:rsidRPr="009E0DB9">
              <w:rPr>
                <w:rFonts w:ascii="Verdana" w:eastAsia="Calibri" w:hAnsi="Verdana" w:cs="Arial"/>
                <w:lang w:val="es-ES" w:eastAsia="es-ES"/>
              </w:rPr>
              <w:t>LEY DE GARANTÍAS ELECTORALES – Finalidad - Ley 996 de 2005 – Comicios aplicables / LEY DE GARANTÍAS ELECTORALES – Restricciones contractuales – Comicios aplicables - Destinatarios</w:t>
            </w:r>
          </w:p>
          <w:p w14:paraId="6B7803D5" w14:textId="77777777" w:rsidR="009E0DB9" w:rsidRPr="009E0DB9" w:rsidRDefault="009E0DB9" w:rsidP="009E0DB9">
            <w:pPr>
              <w:spacing w:line="276" w:lineRule="auto"/>
              <w:jc w:val="both"/>
              <w:rPr>
                <w:rFonts w:ascii="Verdana" w:eastAsia="Calibri" w:hAnsi="Verdana" w:cs="Arial"/>
                <w:lang w:val="es-ES" w:eastAsia="es-ES"/>
              </w:rPr>
            </w:pPr>
          </w:p>
        </w:tc>
      </w:tr>
    </w:tbl>
    <w:p w14:paraId="5A21A9FB" w14:textId="77777777" w:rsidR="009E0DB9" w:rsidRPr="009E0DB9" w:rsidRDefault="009E0DB9" w:rsidP="009E0DB9">
      <w:pPr>
        <w:spacing w:after="0" w:line="240" w:lineRule="auto"/>
        <w:rPr>
          <w:rFonts w:ascii="Verdana" w:eastAsia="Calibri" w:hAnsi="Verdana" w:cs="Arial"/>
          <w:b/>
          <w:bCs/>
          <w:kern w:val="0"/>
          <w:lang w:val="es-ES_tradnl" w:eastAsia="es-ES_tradnl"/>
          <w14:ligatures w14:val="none"/>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E0DB9" w:rsidRPr="009E0DB9" w14:paraId="4CE5FCB7" w14:textId="77777777" w:rsidTr="00DB4B0A">
        <w:tc>
          <w:tcPr>
            <w:tcW w:w="2689" w:type="dxa"/>
          </w:tcPr>
          <w:p w14:paraId="5882E636" w14:textId="77777777" w:rsidR="009E0DB9" w:rsidRPr="009E0DB9" w:rsidRDefault="009E0DB9" w:rsidP="009E0DB9">
            <w:pPr>
              <w:jc w:val="both"/>
              <w:rPr>
                <w:rFonts w:ascii="Verdana" w:eastAsia="Calibri" w:hAnsi="Verdana" w:cs="Arial"/>
                <w:b/>
                <w:lang w:val="es-ES_tradnl" w:eastAsia="es-ES_tradnl"/>
              </w:rPr>
            </w:pPr>
            <w:r w:rsidRPr="009E0DB9">
              <w:rPr>
                <w:rFonts w:ascii="Verdana" w:eastAsia="Calibri" w:hAnsi="Verdana" w:cs="Arial"/>
                <w:b/>
                <w:lang w:val="es-ES_tradnl" w:eastAsia="es-ES_tradnl"/>
              </w:rPr>
              <w:t>Radicación:</w:t>
            </w:r>
            <w:r w:rsidRPr="009E0DB9">
              <w:rPr>
                <w:rFonts w:ascii="Verdana" w:eastAsia="Calibri" w:hAnsi="Verdana" w:cs="Arial"/>
                <w:lang w:val="es-ES_tradnl" w:eastAsia="es-ES_tradnl"/>
              </w:rPr>
              <w:t xml:space="preserve">               </w:t>
            </w:r>
          </w:p>
        </w:tc>
        <w:tc>
          <w:tcPr>
            <w:tcW w:w="6100" w:type="dxa"/>
          </w:tcPr>
          <w:p w14:paraId="30C69244" w14:textId="77777777" w:rsidR="009E0DB9" w:rsidRPr="009E0DB9" w:rsidRDefault="009E0DB9" w:rsidP="009E0DB9">
            <w:pPr>
              <w:jc w:val="both"/>
              <w:rPr>
                <w:rFonts w:ascii="Verdana" w:eastAsia="Calibri" w:hAnsi="Verdana" w:cs="Arial"/>
                <w:lang w:val="es-ES_tradnl" w:eastAsia="es-ES_tradnl"/>
              </w:rPr>
            </w:pPr>
            <w:r w:rsidRPr="009E0DB9">
              <w:rPr>
                <w:rFonts w:ascii="Verdana" w:eastAsia="Calibri" w:hAnsi="Verdana" w:cs="Arial"/>
                <w:lang w:val="es-ES_tradnl" w:eastAsia="es-ES_tradnl"/>
              </w:rPr>
              <w:t>Respuesta a consulta con radicado No. 1_2026_02_14_001944</w:t>
            </w:r>
          </w:p>
        </w:tc>
      </w:tr>
    </w:tbl>
    <w:p w14:paraId="2E1CD34C" w14:textId="77777777" w:rsidR="009E0DB9" w:rsidRPr="009E0DB9" w:rsidRDefault="009E0DB9" w:rsidP="009E0DB9">
      <w:pPr>
        <w:spacing w:after="0" w:line="240" w:lineRule="auto"/>
        <w:jc w:val="both"/>
        <w:rPr>
          <w:rFonts w:ascii="Verdana" w:eastAsia="Calibri" w:hAnsi="Verdana" w:cs="Arial"/>
          <w:kern w:val="0"/>
          <w:lang w:val="es-ES_tradnl" w:eastAsia="es-ES_tradnl"/>
          <w14:ligatures w14:val="none"/>
        </w:rPr>
      </w:pPr>
    </w:p>
    <w:p w14:paraId="22E2C3C8" w14:textId="77777777" w:rsidR="009E0DB9" w:rsidRPr="009E0DB9" w:rsidRDefault="009E0DB9" w:rsidP="009E0DB9">
      <w:pPr>
        <w:spacing w:after="0" w:line="240" w:lineRule="auto"/>
        <w:jc w:val="both"/>
        <w:rPr>
          <w:rFonts w:ascii="Verdana" w:eastAsia="Calibri" w:hAnsi="Verdana" w:cs="Arial"/>
          <w:kern w:val="0"/>
          <w:lang w:val="es-ES_tradnl" w:eastAsia="es-ES_tradnl"/>
          <w14:ligatures w14:val="none"/>
        </w:rPr>
      </w:pPr>
    </w:p>
    <w:p w14:paraId="707D99D5" w14:textId="77777777" w:rsidR="009E0DB9" w:rsidRPr="009E0DB9" w:rsidRDefault="009E0DB9" w:rsidP="009E0DB9">
      <w:pPr>
        <w:spacing w:after="0" w:line="276" w:lineRule="auto"/>
        <w:jc w:val="both"/>
        <w:rPr>
          <w:rFonts w:ascii="Verdana" w:eastAsia="Calibri" w:hAnsi="Verdana" w:cs="Arial"/>
          <w:kern w:val="0"/>
          <w:lang w:val="es-ES" w:eastAsia="es-ES"/>
          <w14:ligatures w14:val="none"/>
        </w:rPr>
      </w:pPr>
      <w:r w:rsidRPr="009E0DB9">
        <w:rPr>
          <w:rFonts w:ascii="Verdana" w:eastAsia="Calibri" w:hAnsi="Verdana" w:cs="Arial"/>
          <w:kern w:val="0"/>
          <w:lang w:val="es-ES" w:eastAsia="es-ES"/>
          <w14:ligatures w14:val="none"/>
        </w:rPr>
        <w:t xml:space="preserve">Estimando Señor Mayorga: </w:t>
      </w:r>
    </w:p>
    <w:p w14:paraId="1D8379D7" w14:textId="77777777" w:rsidR="009E0DB9" w:rsidRPr="009E0DB9" w:rsidRDefault="009E0DB9" w:rsidP="009E0DB9">
      <w:pPr>
        <w:tabs>
          <w:tab w:val="left" w:pos="3768"/>
        </w:tabs>
        <w:spacing w:after="0" w:line="276" w:lineRule="auto"/>
        <w:jc w:val="both"/>
        <w:rPr>
          <w:rFonts w:ascii="Verdana" w:eastAsia="Calibri" w:hAnsi="Verdana" w:cs="Arial"/>
          <w:kern w:val="0"/>
          <w:lang w:val="es-ES" w:eastAsia="es-ES"/>
          <w14:ligatures w14:val="none"/>
        </w:rPr>
      </w:pPr>
    </w:p>
    <w:p w14:paraId="57E5F184" w14:textId="77777777" w:rsidR="009E0DB9" w:rsidRPr="009E0DB9" w:rsidRDefault="009E0DB9" w:rsidP="009E0DB9">
      <w:pPr>
        <w:spacing w:after="0" w:line="276" w:lineRule="auto"/>
        <w:jc w:val="both"/>
        <w:rPr>
          <w:rFonts w:ascii="Verdana" w:eastAsia="Calibri" w:hAnsi="Verdana" w:cs="Arial"/>
          <w:kern w:val="0"/>
          <w:lang w:val="es-ES" w:eastAsia="es-ES"/>
          <w14:ligatures w14:val="none"/>
        </w:rPr>
      </w:pPr>
      <w:r w:rsidRPr="009E0DB9">
        <w:rPr>
          <w:rFonts w:ascii="Verdana" w:eastAsia="Calibri" w:hAnsi="Verdana" w:cs="Arial"/>
          <w:kern w:val="0"/>
          <w:lang w:val="es-ES" w:eastAsia="es-ES"/>
          <w14:ligatures w14:val="none"/>
        </w:rPr>
        <w:t>En ejercicio de la competencia otorgada por los artículos 3, numeral 5º, y 11, numeral 8º, del Decreto Ley 4170 de 2011,</w:t>
      </w:r>
      <w:r w:rsidRPr="009E0DB9">
        <w:rPr>
          <w:rFonts w:ascii="Verdana" w:eastAsia="Arial MT" w:hAnsi="Verdana" w:cs="Arial MT"/>
          <w:kern w:val="0"/>
          <w:lang w:val="es-ES" w:eastAsia="es-ES"/>
          <w14:ligatures w14:val="none"/>
        </w:rPr>
        <w:t xml:space="preserve"> </w:t>
      </w:r>
      <w:r w:rsidRPr="009E0DB9">
        <w:rPr>
          <w:rFonts w:ascii="Verdana" w:eastAsia="Aptos" w:hAnsi="Verdana" w:cs="Arial"/>
          <w:kern w:val="0"/>
          <w14:ligatures w14:val="none"/>
        </w:rPr>
        <w:t xml:space="preserve">así como lo establecido en el artículo 4 de la Resolución 1707 de 2018 expedida por esta Entidad, </w:t>
      </w:r>
      <w:r w:rsidRPr="009E0DB9">
        <w:rPr>
          <w:rFonts w:ascii="Verdana" w:eastAsia="Calibri" w:hAnsi="Verdana" w:cs="Arial"/>
          <w:kern w:val="0"/>
          <w:lang w:val="es-ES" w:eastAsia="es-ES"/>
          <w14:ligatures w14:val="none"/>
        </w:rPr>
        <w:t xml:space="preserve">la Agencia Nacional de Contratación Pública – Colombia Compra Eficiente– responde su petición del 14 de febrero de 2026, en la que realiza la siguiente consulta: </w:t>
      </w:r>
    </w:p>
    <w:p w14:paraId="2B6F2893" w14:textId="77777777" w:rsidR="009E0DB9" w:rsidRPr="009E0DB9" w:rsidRDefault="009E0DB9" w:rsidP="009E0DB9">
      <w:pPr>
        <w:spacing w:after="0" w:line="276" w:lineRule="auto"/>
        <w:jc w:val="both"/>
        <w:rPr>
          <w:rFonts w:ascii="Verdana" w:eastAsia="Calibri" w:hAnsi="Verdana" w:cs="Arial"/>
          <w:kern w:val="0"/>
          <w:lang w:val="es-ES" w:eastAsia="es-ES"/>
          <w14:ligatures w14:val="none"/>
        </w:rPr>
      </w:pPr>
    </w:p>
    <w:p w14:paraId="62745E26" w14:textId="77777777" w:rsidR="009E0DB9" w:rsidRPr="009E0DB9" w:rsidRDefault="009E0DB9" w:rsidP="009E0DB9">
      <w:pPr>
        <w:spacing w:after="0" w:line="240" w:lineRule="auto"/>
        <w:ind w:left="709" w:right="709"/>
        <w:jc w:val="both"/>
        <w:rPr>
          <w:rFonts w:ascii="Verdana" w:eastAsia="Calibri" w:hAnsi="Verdana" w:cs="Arial"/>
          <w:kern w:val="0"/>
          <w:sz w:val="20"/>
          <w:szCs w:val="20"/>
          <w:lang w:val="es-MX"/>
          <w14:ligatures w14:val="none"/>
        </w:rPr>
      </w:pPr>
      <w:r w:rsidRPr="009E0DB9">
        <w:rPr>
          <w:rFonts w:ascii="Verdana" w:eastAsia="Calibri" w:hAnsi="Verdana" w:cs="Arial"/>
          <w:kern w:val="0"/>
          <w:sz w:val="20"/>
          <w:szCs w:val="20"/>
          <w:lang w:val="es-MX"/>
          <w14:ligatures w14:val="none"/>
        </w:rPr>
        <w:t xml:space="preserve">“Cuál es la viabilidad </w:t>
      </w:r>
      <w:proofErr w:type="spellStart"/>
      <w:r w:rsidRPr="009E0DB9">
        <w:rPr>
          <w:rFonts w:ascii="Verdana" w:eastAsia="Calibri" w:hAnsi="Verdana" w:cs="Arial"/>
          <w:kern w:val="0"/>
          <w:sz w:val="20"/>
          <w:szCs w:val="20"/>
          <w:lang w:val="es-MX"/>
          <w14:ligatures w14:val="none"/>
        </w:rPr>
        <w:t>deadelantar</w:t>
      </w:r>
      <w:proofErr w:type="spellEnd"/>
      <w:r w:rsidRPr="009E0DB9">
        <w:rPr>
          <w:rFonts w:ascii="Verdana" w:eastAsia="Calibri" w:hAnsi="Verdana" w:cs="Arial"/>
          <w:kern w:val="0"/>
          <w:sz w:val="20"/>
          <w:szCs w:val="20"/>
          <w:lang w:val="es-MX"/>
          <w14:ligatures w14:val="none"/>
        </w:rPr>
        <w:t xml:space="preserve"> un proceso contractual con cargo al porcentaje de recursos </w:t>
      </w:r>
      <w:proofErr w:type="spellStart"/>
      <w:r w:rsidRPr="009E0DB9">
        <w:rPr>
          <w:rFonts w:ascii="Verdana" w:eastAsia="Calibri" w:hAnsi="Verdana" w:cs="Arial"/>
          <w:kern w:val="0"/>
          <w:sz w:val="20"/>
          <w:szCs w:val="20"/>
          <w:lang w:val="es-MX"/>
          <w14:ligatures w14:val="none"/>
        </w:rPr>
        <w:t>delSGP</w:t>
      </w:r>
      <w:proofErr w:type="spellEnd"/>
      <w:r w:rsidRPr="009E0DB9">
        <w:rPr>
          <w:rFonts w:ascii="Verdana" w:eastAsia="Calibri" w:hAnsi="Verdana" w:cs="Arial"/>
          <w:kern w:val="0"/>
          <w:sz w:val="20"/>
          <w:szCs w:val="20"/>
          <w:lang w:val="es-MX"/>
          <w14:ligatures w14:val="none"/>
        </w:rPr>
        <w:t xml:space="preserve"> Salud Pública, en el marco de la restricciones de la Ley 996 de 2005. La solicitud se presenta de carácter urgente, en razón a la necesidad </w:t>
      </w:r>
      <w:proofErr w:type="spellStart"/>
      <w:r w:rsidRPr="009E0DB9">
        <w:rPr>
          <w:rFonts w:ascii="Verdana" w:eastAsia="Calibri" w:hAnsi="Verdana" w:cs="Arial"/>
          <w:kern w:val="0"/>
          <w:sz w:val="20"/>
          <w:szCs w:val="20"/>
          <w:lang w:val="es-MX"/>
          <w14:ligatures w14:val="none"/>
        </w:rPr>
        <w:t>degarantizar</w:t>
      </w:r>
      <w:proofErr w:type="spellEnd"/>
      <w:r w:rsidRPr="009E0DB9">
        <w:rPr>
          <w:rFonts w:ascii="Verdana" w:eastAsia="Calibri" w:hAnsi="Verdana" w:cs="Arial"/>
          <w:kern w:val="0"/>
          <w:sz w:val="20"/>
          <w:szCs w:val="20"/>
          <w:lang w:val="es-MX"/>
          <w14:ligatures w14:val="none"/>
        </w:rPr>
        <w:t xml:space="preserve"> la continuidad de los programas de salud pública en el Municipio y contar con la plena seguridad jurídica en la ejecución de </w:t>
      </w:r>
      <w:proofErr w:type="spellStart"/>
      <w:r w:rsidRPr="009E0DB9">
        <w:rPr>
          <w:rFonts w:ascii="Verdana" w:eastAsia="Calibri" w:hAnsi="Verdana" w:cs="Arial"/>
          <w:kern w:val="0"/>
          <w:sz w:val="20"/>
          <w:szCs w:val="20"/>
          <w:lang w:val="es-MX"/>
          <w14:ligatures w14:val="none"/>
        </w:rPr>
        <w:t>losrecursos</w:t>
      </w:r>
      <w:proofErr w:type="spellEnd"/>
      <w:r w:rsidRPr="009E0DB9">
        <w:rPr>
          <w:rFonts w:ascii="Verdana" w:eastAsia="Calibri" w:hAnsi="Verdana" w:cs="Arial"/>
          <w:kern w:val="0"/>
          <w:sz w:val="20"/>
          <w:szCs w:val="20"/>
          <w:lang w:val="es-MX"/>
          <w14:ligatures w14:val="none"/>
        </w:rPr>
        <w:t xml:space="preserve">. […]”. [sic] </w:t>
      </w:r>
    </w:p>
    <w:p w14:paraId="254CD456" w14:textId="77777777" w:rsidR="009E0DB9" w:rsidRPr="009E0DB9" w:rsidRDefault="009E0DB9" w:rsidP="009E0DB9">
      <w:pPr>
        <w:spacing w:after="0" w:line="276" w:lineRule="auto"/>
        <w:jc w:val="both"/>
        <w:rPr>
          <w:rFonts w:ascii="Verdana" w:eastAsia="Calibri" w:hAnsi="Verdana" w:cs="Arial"/>
          <w:kern w:val="0"/>
          <w:lang w:val="es-ES" w:eastAsia="es-ES"/>
          <w14:ligatures w14:val="none"/>
        </w:rPr>
      </w:pPr>
    </w:p>
    <w:p w14:paraId="0F7ABCBD" w14:textId="77777777" w:rsidR="009E0DB9" w:rsidRPr="009E0DB9" w:rsidRDefault="009E0DB9" w:rsidP="009E0DB9">
      <w:pPr>
        <w:spacing w:after="120" w:line="276" w:lineRule="auto"/>
        <w:jc w:val="both"/>
        <w:rPr>
          <w:rFonts w:ascii="Verdana" w:eastAsia="Calibri" w:hAnsi="Verdana" w:cs="Arial"/>
          <w:kern w:val="0"/>
          <w:szCs w:val="24"/>
          <w:lang w:val="es-ES_tradnl" w:eastAsia="es-ES_tradnl"/>
          <w14:ligatures w14:val="none"/>
        </w:rPr>
      </w:pPr>
      <w:r w:rsidRPr="009E0DB9">
        <w:rPr>
          <w:rFonts w:ascii="Verdana" w:eastAsia="Calibri" w:hAnsi="Verdana" w:cs="Arial"/>
          <w:kern w:val="0"/>
          <w:lang w:val="es-ES" w:eastAsia="es-ES"/>
          <w14:ligatures w14:val="none"/>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2A75BCD" w14:textId="77777777" w:rsidR="009E0DB9" w:rsidRPr="009E0DB9" w:rsidRDefault="009E0DB9" w:rsidP="009E0DB9">
      <w:pPr>
        <w:spacing w:after="0" w:line="276" w:lineRule="auto"/>
        <w:ind w:firstLine="709"/>
        <w:jc w:val="both"/>
        <w:rPr>
          <w:rFonts w:ascii="Verdana" w:eastAsia="Calibri" w:hAnsi="Verdana" w:cs="Arial"/>
          <w:kern w:val="0"/>
          <w:lang w:val="es-ES" w:eastAsia="es-ES"/>
          <w14:ligatures w14:val="none"/>
        </w:rPr>
      </w:pPr>
      <w:r w:rsidRPr="009E0DB9">
        <w:rPr>
          <w:rFonts w:ascii="Verdana" w:eastAsia="Calibri" w:hAnsi="Verdana" w:cs="Arial"/>
          <w:kern w:val="0"/>
          <w:lang w:val="es-ES" w:eastAsia="es-ES"/>
          <w14:ligatures w14:val="none"/>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979A9B5" w14:textId="77777777" w:rsidR="009E0DB9" w:rsidRPr="009E0DB9" w:rsidRDefault="009E0DB9" w:rsidP="009E0DB9">
      <w:pPr>
        <w:spacing w:after="0" w:line="276" w:lineRule="auto"/>
        <w:ind w:firstLine="709"/>
        <w:jc w:val="both"/>
        <w:rPr>
          <w:rFonts w:ascii="Verdana" w:eastAsia="Calibri" w:hAnsi="Verdana" w:cs="Arial"/>
          <w:kern w:val="0"/>
          <w:lang w:val="es-ES" w:eastAsia="es-ES"/>
          <w14:ligatures w14:val="none"/>
        </w:rPr>
      </w:pPr>
    </w:p>
    <w:p w14:paraId="6B703D53" w14:textId="77777777" w:rsidR="009E0DB9" w:rsidRPr="009E0DB9" w:rsidRDefault="009E0DB9" w:rsidP="009E0DB9">
      <w:pPr>
        <w:widowControl w:val="0"/>
        <w:autoSpaceDE w:val="0"/>
        <w:autoSpaceDN w:val="0"/>
        <w:spacing w:before="1" w:after="0" w:line="240" w:lineRule="auto"/>
        <w:ind w:left="360" w:hanging="360"/>
        <w:jc w:val="both"/>
        <w:outlineLvl w:val="0"/>
        <w:rPr>
          <w:rFonts w:ascii="Verdana" w:eastAsia="Arial" w:hAnsi="Verdana" w:cs="Arial"/>
          <w:b/>
          <w:bCs/>
          <w:kern w:val="0"/>
          <w:lang w:val="es-ES"/>
          <w14:ligatures w14:val="none"/>
        </w:rPr>
      </w:pPr>
      <w:r w:rsidRPr="009E0DB9">
        <w:rPr>
          <w:rFonts w:ascii="Verdana" w:eastAsia="Arial" w:hAnsi="Verdana" w:cs="Arial"/>
          <w:b/>
          <w:bCs/>
          <w:kern w:val="0"/>
          <w:lang w:val="es-ES"/>
          <w14:ligatures w14:val="none"/>
        </w:rPr>
        <w:t>1. Problema planteado:</w:t>
      </w:r>
    </w:p>
    <w:p w14:paraId="4BED7850" w14:textId="77777777" w:rsidR="009E0DB9" w:rsidRPr="009E0DB9" w:rsidRDefault="009E0DB9" w:rsidP="009E0DB9">
      <w:pPr>
        <w:tabs>
          <w:tab w:val="left" w:pos="426"/>
        </w:tabs>
        <w:spacing w:after="0" w:line="276" w:lineRule="auto"/>
        <w:jc w:val="both"/>
        <w:rPr>
          <w:rFonts w:ascii="Verdana" w:eastAsia="Century Gothic" w:hAnsi="Verdana" w:cs="Century Gothic"/>
          <w:kern w:val="0"/>
          <w:lang w:val="es-ES"/>
          <w14:ligatures w14:val="none"/>
        </w:rPr>
      </w:pPr>
    </w:p>
    <w:p w14:paraId="702D62E9" w14:textId="77777777" w:rsidR="009E0DB9" w:rsidRPr="009E0DB9" w:rsidRDefault="009E0DB9" w:rsidP="009E0DB9">
      <w:pPr>
        <w:spacing w:after="0" w:line="276" w:lineRule="auto"/>
        <w:jc w:val="both"/>
        <w:rPr>
          <w:rFonts w:ascii="Verdana" w:eastAsia="Century Gothic" w:hAnsi="Verdana" w:cs="Century Gothic"/>
          <w:kern w:val="0"/>
          <w14:ligatures w14:val="none"/>
        </w:rPr>
      </w:pPr>
      <w:r w:rsidRPr="009E0DB9">
        <w:rPr>
          <w:rFonts w:ascii="Verdana" w:eastAsia="Century Gothic" w:hAnsi="Verdana" w:cs="Century Gothic"/>
          <w:kern w:val="0"/>
          <w14:ligatures w14:val="none"/>
        </w:rPr>
        <w:t xml:space="preserve">De acuerdo con el contenido de su solicitud, le informamos que la misma se resolverá desde el siguiente </w:t>
      </w:r>
      <w:bookmarkStart w:id="1" w:name="_Hlk171070029"/>
      <w:r w:rsidRPr="009E0DB9">
        <w:rPr>
          <w:rFonts w:ascii="Verdana" w:eastAsia="Century Gothic" w:hAnsi="Verdana" w:cs="Century Gothic"/>
          <w:kern w:val="0"/>
          <w14:ligatures w14:val="none"/>
        </w:rPr>
        <w:t>interrogante: Con el fin de garantizar la prestación del servicio de salud, ¿las Entidades Estatales pueden celebrar contratos en vigencia de las restricciones contractuales contenidas en la Ley de Garantías Electorales –Ley 996 de 2005?</w:t>
      </w:r>
    </w:p>
    <w:p w14:paraId="18387A49" w14:textId="77777777" w:rsidR="009E0DB9" w:rsidRPr="009E0DB9" w:rsidRDefault="009E0DB9" w:rsidP="009E0DB9">
      <w:pPr>
        <w:spacing w:after="0" w:line="276" w:lineRule="auto"/>
        <w:jc w:val="both"/>
        <w:rPr>
          <w:rFonts w:ascii="Verdana" w:eastAsia="Calibri" w:hAnsi="Verdana" w:cs="Arial"/>
          <w:kern w:val="0"/>
          <w:lang w:val="es-ES"/>
          <w14:ligatures w14:val="none"/>
        </w:rPr>
      </w:pPr>
    </w:p>
    <w:bookmarkEnd w:id="1"/>
    <w:p w14:paraId="49B7FCE3" w14:textId="77777777" w:rsidR="009E0DB9" w:rsidRPr="009E0DB9" w:rsidRDefault="009E0DB9" w:rsidP="009E0DB9">
      <w:pPr>
        <w:widowControl w:val="0"/>
        <w:autoSpaceDE w:val="0"/>
        <w:autoSpaceDN w:val="0"/>
        <w:spacing w:before="1" w:after="0" w:line="240" w:lineRule="auto"/>
        <w:jc w:val="both"/>
        <w:outlineLvl w:val="0"/>
        <w:rPr>
          <w:rFonts w:ascii="Verdana" w:eastAsia="Arial" w:hAnsi="Verdana" w:cs="Arial"/>
          <w:b/>
          <w:bCs/>
          <w:kern w:val="0"/>
          <w:lang w:val="es-ES"/>
          <w14:ligatures w14:val="none"/>
        </w:rPr>
      </w:pPr>
      <w:r w:rsidRPr="009E0DB9">
        <w:rPr>
          <w:rFonts w:ascii="Verdana" w:eastAsia="Arial" w:hAnsi="Verdana" w:cs="Arial"/>
          <w:b/>
          <w:bCs/>
          <w:kern w:val="0"/>
          <w:lang w:val="es-ES"/>
          <w14:ligatures w14:val="none"/>
        </w:rPr>
        <w:t>2. Respuesta:</w:t>
      </w:r>
    </w:p>
    <w:p w14:paraId="326D7D69" w14:textId="77777777" w:rsidR="009E0DB9" w:rsidRPr="009E0DB9" w:rsidRDefault="009E0DB9" w:rsidP="009E0DB9">
      <w:pPr>
        <w:spacing w:after="0"/>
        <w:rPr>
          <w:rFonts w:ascii="Verdana" w:eastAsia="Aptos" w:hAnsi="Verdana" w:cs="Times New Roman"/>
          <w:kern w:val="0"/>
          <w14:ligatures w14:val="none"/>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E0DB9" w:rsidRPr="009E0DB9" w14:paraId="42280149" w14:textId="77777777" w:rsidTr="00DB4B0A">
        <w:tc>
          <w:tcPr>
            <w:tcW w:w="8828" w:type="dxa"/>
          </w:tcPr>
          <w:p w14:paraId="2D710308" w14:textId="77777777" w:rsidR="009E0DB9" w:rsidRPr="009E0DB9" w:rsidRDefault="009E0DB9" w:rsidP="009E0DB9">
            <w:pPr>
              <w:spacing w:after="120" w:line="276" w:lineRule="auto"/>
              <w:jc w:val="both"/>
              <w:rPr>
                <w:rFonts w:ascii="Verdana" w:eastAsia="Arial" w:hAnsi="Verdana" w:cs="Arial"/>
                <w:lang w:eastAsia="es-ES" w:bidi="es-ES"/>
              </w:rPr>
            </w:pPr>
            <w:bookmarkStart w:id="2" w:name="_Hlk171067516"/>
            <w:r w:rsidRPr="009E0DB9">
              <w:rPr>
                <w:rFonts w:ascii="Verdana" w:eastAsia="Arial" w:hAnsi="Verdana" w:cs="Arial"/>
                <w:lang w:eastAsia="es-ES" w:bidi="es-ES"/>
              </w:rPr>
              <w:t xml:space="preserve">La Ley de Garantías se dirigen a dos (2) tipos de campañas electorales diferenciadas: i)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w:t>
            </w:r>
            <w:r w:rsidRPr="009E0DB9">
              <w:rPr>
                <w:rFonts w:ascii="Verdana" w:eastAsia="Arial" w:hAnsi="Verdana" w:cs="Arial"/>
                <w:lang w:eastAsia="es-ES" w:bidi="es-ES"/>
              </w:rPr>
              <w:lastRenderedPageBreak/>
              <w:t xml:space="preserve">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roofErr w:type="spellStart"/>
            <w:r w:rsidRPr="009E0DB9">
              <w:rPr>
                <w:rFonts w:ascii="Verdana" w:eastAsia="Arial" w:hAnsi="Verdana" w:cs="Arial"/>
                <w:lang w:eastAsia="es-ES" w:bidi="es-ES"/>
              </w:rPr>
              <w:t>ii</w:t>
            </w:r>
            <w:proofErr w:type="spellEnd"/>
            <w:r w:rsidRPr="009E0DB9">
              <w:rPr>
                <w:rFonts w:ascii="Verdana" w:eastAsia="Arial" w:hAnsi="Verdana" w:cs="Arial"/>
                <w:lang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38E143C" w14:textId="77777777" w:rsidR="009E0DB9" w:rsidRPr="009E0DB9" w:rsidRDefault="009E0DB9" w:rsidP="009E0DB9">
            <w:pPr>
              <w:spacing w:after="120" w:line="276" w:lineRule="auto"/>
              <w:ind w:firstLine="709"/>
              <w:jc w:val="both"/>
              <w:rPr>
                <w:rFonts w:ascii="Verdana" w:eastAsia="Arial" w:hAnsi="Verdana" w:cs="Arial"/>
                <w:lang w:eastAsia="es-ES" w:bidi="es-ES"/>
              </w:rPr>
            </w:pPr>
            <w:r w:rsidRPr="009E0DB9">
              <w:rPr>
                <w:rFonts w:ascii="Verdana" w:eastAsia="Arial" w:hAnsi="Verdana" w:cs="Arial"/>
                <w:lang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5CAB22D4" w14:textId="77777777" w:rsidR="009E0DB9" w:rsidRPr="009E0DB9" w:rsidRDefault="009E0DB9" w:rsidP="009E0DB9">
            <w:pPr>
              <w:spacing w:after="120" w:line="276" w:lineRule="auto"/>
              <w:ind w:firstLine="709"/>
              <w:jc w:val="both"/>
              <w:rPr>
                <w:rFonts w:ascii="Verdana" w:eastAsia="Times New Roman" w:hAnsi="Verdana" w:cs="Arial"/>
              </w:rPr>
            </w:pPr>
            <w:r w:rsidRPr="009E0DB9">
              <w:rPr>
                <w:rFonts w:ascii="Verdana" w:eastAsia="Arial" w:hAnsi="Verdana" w:cs="Arial"/>
                <w:lang w:eastAsia="es-ES" w:bidi="es-ES"/>
              </w:rPr>
              <w:t xml:space="preserve">Ahora bien, </w:t>
            </w:r>
            <w:r w:rsidRPr="009E0DB9">
              <w:rPr>
                <w:rFonts w:ascii="Verdana" w:eastAsia="Calibri" w:hAnsi="Verdana" w:cs="Arial"/>
                <w:lang w:eastAsia="es-ES" w:bidi="es-ES"/>
              </w:rPr>
              <w:t xml:space="preserve">es necesario precisar el alcance de la prohibición </w:t>
            </w:r>
            <w:r w:rsidRPr="009E0DB9">
              <w:rPr>
                <w:rFonts w:ascii="Verdana" w:eastAsia="Arial" w:hAnsi="Verdana" w:cs="Arial"/>
                <w:lang w:eastAsia="es-ES" w:bidi="es-ES"/>
              </w:rPr>
              <w:t>establecida en e</w:t>
            </w:r>
            <w:r w:rsidRPr="009E0DB9">
              <w:rPr>
                <w:rFonts w:ascii="Verdana" w:eastAsia="Calibri" w:hAnsi="Verdana" w:cs="Arial"/>
              </w:rPr>
              <w:t xml:space="preserve">l </w:t>
            </w:r>
            <w:r w:rsidRPr="009E0DB9">
              <w:rPr>
                <w:rFonts w:ascii="Verdana" w:eastAsia="Times New Roman" w:hAnsi="Verdana" w:cs="Arial"/>
              </w:rPr>
              <w:t xml:space="preserve">artículo 33 de la Ley 996 de 2005. Esta restricción </w:t>
            </w:r>
            <w:r w:rsidRPr="009E0DB9">
              <w:rPr>
                <w:rFonts w:ascii="Verdana" w:eastAsia="Times New Roman" w:hAnsi="Verdana" w:cs="Arial"/>
                <w:bCs/>
                <w:lang w:eastAsia="es-CO"/>
              </w:rPr>
              <w:t>no solo aplica frente a las entidades sometidas al Estatuto general de Contratación de la Administración Pública</w:t>
            </w:r>
            <w:r w:rsidRPr="009E0DB9">
              <w:rPr>
                <w:rFonts w:ascii="Verdana" w:eastAsia="Times New Roman" w:hAnsi="Verdana" w:cs="Arial"/>
                <w:bCs/>
                <w:i/>
                <w:iCs/>
                <w:lang w:eastAsia="es-CO"/>
              </w:rPr>
              <w:t>, sino también frente a las entidades que tengan un régimen especial de contratación</w:t>
            </w:r>
            <w:r w:rsidRPr="009E0DB9">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9E0DB9">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2C640179" w14:textId="77777777" w:rsidR="009E0DB9" w:rsidRPr="009E0DB9" w:rsidRDefault="009E0DB9" w:rsidP="009E0DB9">
            <w:pPr>
              <w:spacing w:after="120" w:line="276" w:lineRule="auto"/>
              <w:ind w:firstLine="709"/>
              <w:jc w:val="both"/>
              <w:rPr>
                <w:rFonts w:ascii="Verdana" w:eastAsia="Calibri" w:hAnsi="Verdana" w:cs="Arial"/>
                <w:lang w:bidi="es-ES"/>
              </w:rPr>
            </w:pPr>
            <w:r w:rsidRPr="009E0DB9">
              <w:rPr>
                <w:rFonts w:ascii="Verdana" w:eastAsia="Times New Roman" w:hAnsi="Verdana" w:cs="Arial"/>
                <w:bCs/>
                <w:lang w:eastAsia="x-none"/>
              </w:rPr>
              <w:t xml:space="preserve">En cuanto a la prohibición </w:t>
            </w:r>
            <w:r w:rsidRPr="009E0DB9">
              <w:rPr>
                <w:rFonts w:ascii="Verdana" w:eastAsia="Arial" w:hAnsi="Verdana" w:cs="Arial"/>
                <w:lang w:val="es-ES" w:eastAsia="es-ES" w:bidi="es-ES"/>
              </w:rPr>
              <w:t>establecida en e</w:t>
            </w:r>
            <w:r w:rsidRPr="009E0DB9">
              <w:rPr>
                <w:rFonts w:ascii="Verdana" w:eastAsia="Calibri" w:hAnsi="Verdana" w:cs="Arial"/>
              </w:rPr>
              <w:t xml:space="preserve">l parágrafo del artículo 38 de la Ley 996 de 2005, </w:t>
            </w:r>
            <w:r w:rsidRPr="009E0DB9">
              <w:rPr>
                <w:rFonts w:ascii="Verdana" w:eastAsia="Times New Roman" w:hAnsi="Verdana" w:cs="Arial"/>
                <w:lang w:val="es-MX" w:eastAsia="x-none"/>
              </w:rPr>
              <w:t xml:space="preserve">es importante señalar que esta Subdirección, en los conceptos emitidos sobre la aplicación de la Ley de Garantías Electorales, ha defendido y mantenido la postura acerca de que la prohibición señalada en </w:t>
            </w:r>
            <w:r w:rsidRPr="009E0DB9">
              <w:rPr>
                <w:rFonts w:ascii="Verdana" w:eastAsia="Arial" w:hAnsi="Verdana" w:cs="Arial"/>
                <w:lang w:val="es-ES" w:eastAsia="es-ES" w:bidi="es-ES"/>
              </w:rPr>
              <w:t>e</w:t>
            </w:r>
            <w:r w:rsidRPr="009E0DB9">
              <w:rPr>
                <w:rFonts w:ascii="Verdana" w:eastAsia="Calibri" w:hAnsi="Verdana" w:cs="Arial"/>
              </w:rPr>
              <w:t xml:space="preserve">l parágrafo del artículo 38 cobija tanto a los convenios como a los contratos interadministrativos. Esta tesis se fundamenta en que </w:t>
            </w:r>
            <w:r w:rsidRPr="009E0DB9">
              <w:rPr>
                <w:rFonts w:ascii="Verdana" w:eastAsia="Calibri" w:hAnsi="Verdana" w:cs="Arial"/>
                <w:lang w:bidi="es-ES"/>
              </w:rPr>
              <w:t xml:space="preserve">si bien actualmente el Estatuto General de Contratación de la Administración Pública – en adelante EGCAP – se refiere de manera expresa al contrato interadministrativo o en </w:t>
            </w:r>
            <w:r w:rsidRPr="009E0DB9">
              <w:rPr>
                <w:rFonts w:ascii="Verdana" w:eastAsia="Calibri" w:hAnsi="Verdana" w:cs="Arial"/>
                <w:lang w:bidi="es-ES"/>
              </w:rPr>
              <w:lastRenderedPageBreak/>
              <w:t xml:space="preserve">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13994C5C" w14:textId="77777777" w:rsidR="009E0DB9" w:rsidRPr="009E0DB9" w:rsidRDefault="009E0DB9" w:rsidP="009E0DB9">
            <w:pPr>
              <w:tabs>
                <w:tab w:val="left" w:pos="426"/>
              </w:tabs>
              <w:spacing w:before="120" w:line="276" w:lineRule="auto"/>
              <w:ind w:firstLine="709"/>
              <w:jc w:val="both"/>
              <w:rPr>
                <w:rFonts w:ascii="Verdana" w:eastAsia="Calibri" w:hAnsi="Verdana" w:cs="Arial"/>
                <w:bCs/>
                <w:color w:val="000000"/>
              </w:rPr>
            </w:pPr>
            <w:proofErr w:type="spellStart"/>
            <w:r w:rsidRPr="009E0DB9">
              <w:rPr>
                <w:rFonts w:ascii="Verdana" w:eastAsia="Calibri" w:hAnsi="Verdana" w:cs="Arial"/>
                <w:bCs/>
                <w:color w:val="000000"/>
              </w:rPr>
              <w:t>ii</w:t>
            </w:r>
            <w:proofErr w:type="spellEnd"/>
            <w:r w:rsidRPr="009E0DB9">
              <w:rPr>
                <w:rFonts w:ascii="Verdana" w:eastAsia="Calibri" w:hAnsi="Verdana" w:cs="Arial"/>
                <w:bCs/>
                <w:color w:val="000000"/>
              </w:rPr>
              <w:t xml:space="preserve">) Ahora bien, es pertinente 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7B13313F" w14:textId="77777777" w:rsidR="009E0DB9" w:rsidRPr="009E0DB9" w:rsidRDefault="009E0DB9" w:rsidP="009E0DB9">
            <w:pPr>
              <w:tabs>
                <w:tab w:val="left" w:pos="426"/>
              </w:tabs>
              <w:spacing w:before="120" w:line="276" w:lineRule="auto"/>
              <w:ind w:firstLine="709"/>
              <w:jc w:val="both"/>
              <w:rPr>
                <w:rFonts w:ascii="Verdana" w:eastAsia="Calibri" w:hAnsi="Verdana" w:cs="Arial"/>
                <w:color w:val="000000"/>
              </w:rPr>
            </w:pPr>
            <w:r w:rsidRPr="009E0DB9">
              <w:rPr>
                <w:rFonts w:ascii="Verdana" w:eastAsia="Calibri" w:hAnsi="Verdana" w:cs="Arial"/>
                <w:color w:val="000000"/>
              </w:rPr>
              <w:t>De lo anterior se desprende que, bajo la Ley 100 de 1993, dentro de la estructura de la administración pública las Empresas Sociales del Estado, según lo dispuesto en el artículo 194 de la Ley 100 de 1993, son las entidades encargadas de prestar el servicio de salud de manera directa.</w:t>
            </w:r>
          </w:p>
          <w:p w14:paraId="2A553733" w14:textId="77777777" w:rsidR="009E0DB9" w:rsidRPr="009E0DB9" w:rsidRDefault="009E0DB9" w:rsidP="009E0DB9">
            <w:pPr>
              <w:spacing w:before="120" w:after="120" w:line="276" w:lineRule="auto"/>
              <w:ind w:firstLine="709"/>
              <w:jc w:val="both"/>
              <w:rPr>
                <w:rFonts w:ascii="Verdana" w:eastAsia="Arial" w:hAnsi="Verdana" w:cs="Arial"/>
                <w:bCs/>
                <w:color w:val="000000"/>
              </w:rPr>
            </w:pPr>
            <w:r w:rsidRPr="009E0DB9">
              <w:rPr>
                <w:rFonts w:ascii="Verdana" w:eastAsia="Arial" w:hAnsi="Verdana" w:cs="Arial"/>
                <w:bCs/>
                <w:color w:val="000000"/>
              </w:rPr>
              <w:t xml:space="preserve">De otro lado, el artículo 2.8.8.1.1.3 del Decreto 780 de 2016, “Por medio del cual se expide el Decreto Único Reglamentario del Sector Salud y Protección Social”, definió a las </w:t>
            </w:r>
            <w:r w:rsidRPr="009E0DB9">
              <w:rPr>
                <w:rFonts w:ascii="Verdana" w:eastAsia="Arial" w:hAnsi="Verdana" w:cs="Arial"/>
                <w:bCs/>
                <w:i/>
                <w:iCs/>
                <w:color w:val="000000"/>
              </w:rPr>
              <w:t>entidades sanitarias</w:t>
            </w:r>
            <w:r w:rsidRPr="009E0DB9">
              <w:rPr>
                <w:rFonts w:ascii="Verdana" w:eastAsia="Arial" w:hAnsi="Verdana" w:cs="Arial"/>
                <w:bCs/>
                <w:color w:val="000000"/>
              </w:rPr>
              <w:t xml:space="preserve"> como las “Entidades del Estado que prestan servicios sanitarios o de sanidad con el propósito de preservar la salud humana y la salud pública”. El artículo citado también define las </w:t>
            </w:r>
            <w:r w:rsidRPr="009E0DB9">
              <w:rPr>
                <w:rFonts w:ascii="Verdana" w:eastAsia="Arial" w:hAnsi="Verdana" w:cs="Arial"/>
                <w:bCs/>
                <w:i/>
                <w:iCs/>
                <w:color w:val="000000"/>
              </w:rPr>
              <w:t>autoridades sanitarias</w:t>
            </w:r>
            <w:r w:rsidRPr="009E0DB9">
              <w:rPr>
                <w:rFonts w:ascii="Verdana" w:eastAsia="Arial" w:hAnsi="Verdana" w:cs="Arial"/>
                <w:bCs/>
                <w:color w:val="000000"/>
              </w:rPr>
              <w:t xml:space="preserve"> como las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para efectos de la aplicación de la excepción, se debe verificar que se cumplan los requisitos del artículo 33 de la Ley 996 de 2005. </w:t>
            </w:r>
          </w:p>
          <w:p w14:paraId="22335601" w14:textId="77777777" w:rsidR="009E0DB9" w:rsidRPr="009E0DB9" w:rsidRDefault="009E0DB9" w:rsidP="009E0DB9">
            <w:pPr>
              <w:spacing w:after="120" w:line="276" w:lineRule="auto"/>
              <w:ind w:firstLine="709"/>
              <w:jc w:val="both"/>
              <w:rPr>
                <w:rFonts w:ascii="Verdana" w:eastAsia="Arial" w:hAnsi="Verdana" w:cs="Arial"/>
                <w:bCs/>
                <w:color w:val="000000"/>
              </w:rPr>
            </w:pPr>
            <w:r w:rsidRPr="009E0DB9">
              <w:rPr>
                <w:rFonts w:ascii="Verdana" w:eastAsia="Arial" w:hAnsi="Verdana" w:cs="Arial"/>
                <w:bCs/>
                <w:color w:val="000000"/>
              </w:rPr>
              <w:t xml:space="preserve">Conforme con lo expuesto, las entidades que requieran adelantar procesos de contratación directa durante el periodo de garantías electorales deberán analizar, primero, si se configuran los supuestos establecidos en </w:t>
            </w:r>
            <w:r w:rsidRPr="009E0DB9">
              <w:rPr>
                <w:rFonts w:ascii="Verdana" w:eastAsia="Arial" w:hAnsi="Verdana" w:cs="Arial"/>
                <w:bCs/>
                <w:i/>
                <w:iCs/>
                <w:color w:val="000000"/>
              </w:rPr>
              <w:t>el artículo 33</w:t>
            </w:r>
            <w:r w:rsidRPr="009E0DB9">
              <w:rPr>
                <w:rFonts w:ascii="Verdana" w:eastAsia="Arial" w:hAnsi="Verdana" w:cs="Arial"/>
                <w:bCs/>
                <w:color w:val="000000"/>
              </w:rPr>
              <w:t xml:space="preserve"> de la Ley 996 de 2005, es decir, si se trata de cualquier entidad pública que pretenda adelantar un proceso no competitivo. Adicionalmente, </w:t>
            </w:r>
            <w:r w:rsidRPr="009E0DB9">
              <w:rPr>
                <w:rFonts w:ascii="Verdana" w:eastAsia="Arial" w:hAnsi="Verdana" w:cs="Arial"/>
                <w:bCs/>
                <w:color w:val="000000"/>
              </w:rPr>
              <w:lastRenderedPageBreak/>
              <w:t>será pertinente analizar si se configura alguna de las excepciones previstas en la norma. En este caso, será relevante determinar si la contratación del Plan de Salud Pública de Intervenciones Colectivas se realiza con ocasión a una “emergencia sanitaria” o si es llevada a cabo por “entidades sanitarias u hospitalarias”. De ser así, la entidad, previo análisis de las excepciones, podrá proceder en tal sentido y contratar directamente a pesar de que haya iniciado el periodo de garantías electorales correspondiente al artículo 33 de la Ley 996 de 2005.</w:t>
            </w:r>
          </w:p>
          <w:p w14:paraId="267719DD" w14:textId="77777777" w:rsidR="009E0DB9" w:rsidRPr="009E0DB9" w:rsidRDefault="009E0DB9" w:rsidP="009E0DB9">
            <w:pPr>
              <w:spacing w:before="120" w:line="276" w:lineRule="auto"/>
              <w:ind w:firstLine="708"/>
              <w:jc w:val="both"/>
              <w:rPr>
                <w:rFonts w:ascii="Verdana" w:eastAsia="Times New Roman" w:hAnsi="Verdana" w:cs="Arial"/>
                <w:color w:val="000000"/>
                <w:bdr w:val="none" w:sz="0" w:space="0" w:color="auto" w:frame="1"/>
                <w:shd w:val="clear" w:color="auto" w:fill="FFFFFF"/>
                <w:lang w:val="es-ES" w:eastAsia="es-ES_tradnl"/>
              </w:rPr>
            </w:pPr>
            <w:r w:rsidRPr="009E0DB9">
              <w:rPr>
                <w:rFonts w:ascii="Verdana" w:eastAsia="Calibri" w:hAnsi="Verdana" w:cs="Arial"/>
              </w:rPr>
              <w:t xml:space="preserve">   Finalmente es preciso indicar que la mención de las ESE en la Circular Externa 006 de 2025 tiene un propósito aclaratorio: reafirmar que su condición de entidad descentralizada con un régimen contractual de derecho privado no las excluye de la restricción general. </w:t>
            </w:r>
          </w:p>
        </w:tc>
      </w:tr>
      <w:bookmarkEnd w:id="2"/>
    </w:tbl>
    <w:p w14:paraId="13C62ABC" w14:textId="77777777" w:rsidR="009E0DB9" w:rsidRPr="009E0DB9" w:rsidRDefault="009E0DB9" w:rsidP="009E0DB9">
      <w:pPr>
        <w:widowControl w:val="0"/>
        <w:autoSpaceDE w:val="0"/>
        <w:autoSpaceDN w:val="0"/>
        <w:spacing w:before="1" w:after="0" w:line="240" w:lineRule="auto"/>
        <w:ind w:left="360" w:hanging="360"/>
        <w:outlineLvl w:val="0"/>
        <w:rPr>
          <w:rFonts w:ascii="Verdana" w:eastAsia="Arial" w:hAnsi="Verdana" w:cs="Arial"/>
          <w:b/>
          <w:kern w:val="0"/>
          <w14:ligatures w14:val="none"/>
        </w:rPr>
      </w:pPr>
    </w:p>
    <w:p w14:paraId="34622046" w14:textId="77777777" w:rsidR="009E0DB9" w:rsidRPr="009E0DB9" w:rsidRDefault="009E0DB9" w:rsidP="009E0DB9">
      <w:pPr>
        <w:widowControl w:val="0"/>
        <w:autoSpaceDE w:val="0"/>
        <w:autoSpaceDN w:val="0"/>
        <w:spacing w:before="1" w:after="0" w:line="240" w:lineRule="auto"/>
        <w:ind w:left="360" w:hanging="360"/>
        <w:outlineLvl w:val="0"/>
        <w:rPr>
          <w:rFonts w:ascii="Verdana" w:eastAsia="Arial" w:hAnsi="Verdana" w:cs="Arial"/>
          <w:b/>
          <w:bCs/>
          <w:kern w:val="0"/>
          <w:lang w:val="es-ES"/>
          <w14:ligatures w14:val="none"/>
        </w:rPr>
      </w:pPr>
      <w:r w:rsidRPr="009E0DB9">
        <w:rPr>
          <w:rFonts w:ascii="Verdana" w:eastAsia="Arial" w:hAnsi="Verdana" w:cs="Arial"/>
          <w:b/>
          <w:bCs/>
          <w:kern w:val="0"/>
          <w:lang w:val="es-ES"/>
          <w14:ligatures w14:val="none"/>
        </w:rPr>
        <w:t>3. Razones de la respuesta</w:t>
      </w:r>
    </w:p>
    <w:p w14:paraId="337CFD30" w14:textId="77777777" w:rsidR="009E0DB9" w:rsidRPr="009E0DB9" w:rsidRDefault="009E0DB9" w:rsidP="009E0DB9">
      <w:pPr>
        <w:spacing w:after="0" w:line="276" w:lineRule="auto"/>
        <w:jc w:val="both"/>
        <w:rPr>
          <w:rFonts w:ascii="Verdana" w:eastAsia="Calibri" w:hAnsi="Verdana" w:cs="Arial"/>
          <w:kern w:val="0"/>
          <w:lang w:val="es-ES"/>
          <w14:ligatures w14:val="none"/>
        </w:rPr>
      </w:pPr>
    </w:p>
    <w:p w14:paraId="5D09F985" w14:textId="77777777" w:rsidR="009E0DB9" w:rsidRPr="009E0DB9" w:rsidRDefault="009E0DB9" w:rsidP="009E0DB9">
      <w:pPr>
        <w:spacing w:after="0" w:line="276" w:lineRule="auto"/>
        <w:jc w:val="both"/>
        <w:rPr>
          <w:rFonts w:ascii="Verdana" w:eastAsia="Calibri" w:hAnsi="Verdana" w:cs="Arial"/>
          <w:kern w:val="0"/>
          <w:lang w:val="es-ES"/>
          <w14:ligatures w14:val="none"/>
        </w:rPr>
      </w:pPr>
      <w:r w:rsidRPr="009E0DB9">
        <w:rPr>
          <w:rFonts w:ascii="Verdana" w:eastAsia="Calibri" w:hAnsi="Verdana" w:cs="Arial"/>
          <w:kern w:val="0"/>
          <w:lang w:val="es-ES"/>
          <w14:ligatures w14:val="none"/>
        </w:rPr>
        <w:t xml:space="preserve">Las respuestas anteriores se sustentan en las siguientes consideraciones: </w:t>
      </w:r>
    </w:p>
    <w:p w14:paraId="62B65069" w14:textId="77777777" w:rsidR="009E0DB9" w:rsidRPr="009E0DB9" w:rsidRDefault="009E0DB9" w:rsidP="009E0DB9">
      <w:pPr>
        <w:spacing w:after="0" w:line="276" w:lineRule="auto"/>
        <w:jc w:val="both"/>
        <w:rPr>
          <w:rFonts w:ascii="Verdana" w:eastAsia="Calibri" w:hAnsi="Verdana" w:cs="Arial"/>
          <w:kern w:val="0"/>
          <w:lang w:val="es-ES"/>
          <w14:ligatures w14:val="none"/>
        </w:rPr>
      </w:pPr>
    </w:p>
    <w:p w14:paraId="0737B7F8" w14:textId="77777777" w:rsidR="009E0DB9" w:rsidRPr="009E0DB9" w:rsidRDefault="009E0DB9" w:rsidP="009E0DB9">
      <w:pPr>
        <w:tabs>
          <w:tab w:val="left" w:pos="426"/>
        </w:tabs>
        <w:spacing w:after="120" w:line="276" w:lineRule="auto"/>
        <w:jc w:val="both"/>
        <w:rPr>
          <w:rFonts w:ascii="Verdana" w:eastAsia="Times New Roman" w:hAnsi="Verdana" w:cs="Arial"/>
          <w:kern w:val="0"/>
          <w:lang w:eastAsia="es-CO"/>
          <w14:ligatures w14:val="none"/>
        </w:rPr>
      </w:pPr>
      <w:bookmarkStart w:id="3" w:name="_Hlk209416551"/>
      <w:r w:rsidRPr="009E0DB9">
        <w:rPr>
          <w:rFonts w:ascii="Verdana" w:eastAsia="Calibri" w:hAnsi="Verdana" w:cs="Arial"/>
          <w:color w:val="000000"/>
          <w:kern w:val="0"/>
          <w14:ligatures w14:val="none"/>
        </w:rPr>
        <w:t>i)</w:t>
      </w:r>
      <w:r w:rsidRPr="009E0DB9">
        <w:rPr>
          <w:rFonts w:ascii="Verdana" w:eastAsia="Verdana" w:hAnsi="Verdana" w:cs="Verdana"/>
          <w:kern w:val="0"/>
          <w14:ligatures w14:val="none"/>
        </w:rPr>
        <w:t xml:space="preserve"> </w:t>
      </w:r>
      <w:r w:rsidRPr="009E0DB9">
        <w:rPr>
          <w:rFonts w:ascii="Verdana" w:eastAsia="Calibri" w:hAnsi="Verdana" w:cs="Arial"/>
          <w:kern w:val="0"/>
          <w14:ligatures w14:val="none"/>
        </w:rPr>
        <w:t>El ordenamiento jurídico colombiano contempla medidas para evitar la obtención de beneficios personales en asuntos propios de la administración pública</w:t>
      </w:r>
      <w:r w:rsidRPr="009E0DB9">
        <w:rPr>
          <w:rFonts w:ascii="Verdana" w:eastAsia="Calibri" w:hAnsi="Verdana" w:cs="Arial"/>
          <w:i/>
          <w:kern w:val="0"/>
          <w14:ligatures w14:val="none"/>
        </w:rPr>
        <w:t xml:space="preserve">. </w:t>
      </w:r>
      <w:r w:rsidRPr="009E0DB9">
        <w:rPr>
          <w:rFonts w:ascii="Verdana" w:eastAsia="Calibri" w:hAnsi="Verdana" w:cs="Arial"/>
          <w:kern w:val="0"/>
          <w14:ligatures w14:val="none"/>
        </w:rPr>
        <w:t>Por ejemplo, el artículo 127 de la Constitución Política establece una prohibición contractual a los servidores públicos y, en cuanto a aspectos políticos, señala restricciones a ciertos empleados del Estado, incluso en época no electoral</w:t>
      </w:r>
      <w:r w:rsidRPr="009E0DB9">
        <w:rPr>
          <w:rFonts w:ascii="Verdana" w:eastAsia="Calibri" w:hAnsi="Verdana" w:cs="Times New Roman"/>
          <w:kern w:val="0"/>
          <w:vertAlign w:val="superscript"/>
          <w14:ligatures w14:val="none"/>
        </w:rPr>
        <w:footnoteReference w:id="1"/>
      </w:r>
      <w:r w:rsidRPr="009E0DB9">
        <w:rPr>
          <w:rFonts w:ascii="Verdana" w:eastAsia="Calibri" w:hAnsi="Verdana" w:cs="Arial"/>
          <w:kern w:val="0"/>
          <w14:ligatures w14:val="none"/>
        </w:rPr>
        <w:t xml:space="preserve">. </w:t>
      </w:r>
    </w:p>
    <w:p w14:paraId="7F99672D" w14:textId="77777777" w:rsidR="009E0DB9" w:rsidRPr="009E0DB9" w:rsidRDefault="009E0DB9" w:rsidP="009E0DB9">
      <w:pPr>
        <w:tabs>
          <w:tab w:val="left" w:pos="426"/>
        </w:tabs>
        <w:spacing w:after="120" w:line="276" w:lineRule="auto"/>
        <w:ind w:firstLine="709"/>
        <w:jc w:val="both"/>
        <w:rPr>
          <w:rFonts w:ascii="Verdana" w:eastAsia="Calibri" w:hAnsi="Verdana" w:cs="Arial"/>
          <w:kern w:val="0"/>
          <w14:ligatures w14:val="none"/>
        </w:rPr>
      </w:pPr>
      <w:r w:rsidRPr="009E0DB9">
        <w:rPr>
          <w:rFonts w:ascii="Verdana" w:eastAsia="Times New Roman" w:hAnsi="Verdana" w:cs="Arial"/>
          <w:kern w:val="0"/>
          <w:lang w:eastAsia="es-CO"/>
          <w14:ligatures w14:val="none"/>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9E0DB9">
        <w:rPr>
          <w:rFonts w:ascii="Verdana" w:eastAsia="Times New Roman" w:hAnsi="Verdana" w:cs="Arial"/>
          <w:kern w:val="0"/>
          <w:vertAlign w:val="superscript"/>
          <w:lang w:eastAsia="es-CO"/>
          <w14:ligatures w14:val="none"/>
        </w:rPr>
        <w:footnoteReference w:id="2"/>
      </w:r>
      <w:r w:rsidRPr="009E0DB9">
        <w:rPr>
          <w:rFonts w:ascii="Verdana" w:eastAsia="Times New Roman" w:hAnsi="Verdana" w:cs="Arial"/>
          <w:kern w:val="0"/>
          <w:lang w:eastAsia="es-CO"/>
          <w14:ligatures w14:val="none"/>
        </w:rPr>
        <w:t xml:space="preserve">. En esta medida, introduce </w:t>
      </w:r>
      <w:r w:rsidRPr="009E0DB9">
        <w:rPr>
          <w:rFonts w:ascii="Verdana" w:eastAsia="Times New Roman" w:hAnsi="Verdana" w:cs="Arial"/>
          <w:kern w:val="0"/>
          <w:lang w:eastAsia="es-CO"/>
          <w14:ligatures w14:val="none"/>
        </w:rPr>
        <w:lastRenderedPageBreak/>
        <w:t>limitaciones para realizar nombramientos, postulaciones, contrataciones o cualquier otro tipo de actividad que implique destinación de recursos públicos bajo el devenir propio de las Entidades Estatales.</w:t>
      </w:r>
      <w:r w:rsidRPr="009E0DB9">
        <w:rPr>
          <w:rFonts w:ascii="Verdana" w:eastAsia="Calibri" w:hAnsi="Verdana" w:cs="Arial"/>
          <w:kern w:val="0"/>
          <w14:ligatures w14:val="none"/>
        </w:rPr>
        <w:t xml:space="preserve"> </w:t>
      </w:r>
    </w:p>
    <w:p w14:paraId="3B18317E" w14:textId="77777777" w:rsidR="009E0DB9" w:rsidRPr="009E0DB9" w:rsidRDefault="009E0DB9" w:rsidP="009E0DB9">
      <w:pPr>
        <w:tabs>
          <w:tab w:val="left" w:pos="426"/>
        </w:tabs>
        <w:spacing w:after="120" w:line="276" w:lineRule="auto"/>
        <w:ind w:firstLine="709"/>
        <w:jc w:val="both"/>
        <w:rPr>
          <w:rFonts w:ascii="Verdana" w:eastAsia="Calibri" w:hAnsi="Verdana" w:cs="Arial"/>
          <w:kern w:val="0"/>
          <w14:ligatures w14:val="none"/>
        </w:rPr>
      </w:pPr>
      <w:r w:rsidRPr="009E0DB9">
        <w:rPr>
          <w:rFonts w:ascii="Verdana" w:eastAsia="Times New Roman" w:hAnsi="Verdana" w:cs="Arial"/>
          <w:kern w:val="0"/>
          <w:lang w:eastAsia="es-CO"/>
          <w14:ligatures w14:val="none"/>
        </w:rPr>
        <w:t>En armonía con lo anterior, la Corte Constitucional ha abordado la definición de la Ley de Garantías Electorales. De esta manera, explica que tiene como propósito:</w:t>
      </w:r>
    </w:p>
    <w:p w14:paraId="2A2F8A43" w14:textId="77777777" w:rsidR="009E0DB9" w:rsidRPr="009E0DB9" w:rsidRDefault="009E0DB9" w:rsidP="009E0DB9">
      <w:pPr>
        <w:spacing w:after="0" w:line="240" w:lineRule="auto"/>
        <w:ind w:left="709" w:right="616"/>
        <w:contextualSpacing/>
        <w:jc w:val="both"/>
        <w:rPr>
          <w:rFonts w:ascii="Verdana" w:eastAsia="Times New Roman" w:hAnsi="Verdana" w:cs="Arial"/>
          <w:kern w:val="0"/>
          <w:sz w:val="20"/>
          <w:szCs w:val="20"/>
          <w:lang w:eastAsia="es-CO"/>
          <w14:ligatures w14:val="none"/>
        </w:rPr>
      </w:pPr>
      <w:r w:rsidRPr="009E0DB9">
        <w:rPr>
          <w:rFonts w:ascii="Verdana" w:eastAsia="Times New Roman" w:hAnsi="Verdana" w:cs="Arial"/>
          <w:kern w:val="0"/>
          <w:sz w:val="20"/>
          <w:szCs w:val="20"/>
          <w:lang w:eastAsia="es-CO"/>
          <w14:ligatures w14:val="none"/>
        </w:rPr>
        <w:t>“(…) la definición de reglas claras que permitan acceder a los canales de expresión democrática de manera efectiva e igualitaria. El objetivo de una ley de garantías es definir esas reglas.</w:t>
      </w:r>
    </w:p>
    <w:p w14:paraId="7CD7FDDC" w14:textId="77777777" w:rsidR="009E0DB9" w:rsidRPr="009E0DB9" w:rsidRDefault="009E0DB9" w:rsidP="009E0DB9">
      <w:pPr>
        <w:spacing w:after="0" w:line="240" w:lineRule="auto"/>
        <w:ind w:left="709" w:right="616"/>
        <w:contextualSpacing/>
        <w:jc w:val="both"/>
        <w:rPr>
          <w:rFonts w:ascii="Verdana" w:eastAsia="Times New Roman" w:hAnsi="Verdana" w:cs="Arial"/>
          <w:kern w:val="0"/>
          <w:sz w:val="20"/>
          <w:szCs w:val="20"/>
          <w:lang w:eastAsia="es-CO"/>
          <w14:ligatures w14:val="none"/>
        </w:rPr>
      </w:pPr>
    </w:p>
    <w:p w14:paraId="0532D2BE" w14:textId="77777777" w:rsidR="009E0DB9" w:rsidRPr="009E0DB9" w:rsidRDefault="009E0DB9" w:rsidP="009E0DB9">
      <w:pPr>
        <w:spacing w:after="0" w:line="240" w:lineRule="auto"/>
        <w:ind w:left="709" w:right="616"/>
        <w:contextualSpacing/>
        <w:jc w:val="both"/>
        <w:rPr>
          <w:rFonts w:ascii="Verdana" w:eastAsia="Times New Roman" w:hAnsi="Verdana" w:cs="Arial"/>
          <w:kern w:val="0"/>
          <w:sz w:val="20"/>
          <w:szCs w:val="20"/>
          <w:lang w:eastAsia="es-CO"/>
          <w14:ligatures w14:val="none"/>
        </w:rPr>
      </w:pPr>
      <w:r w:rsidRPr="009E0DB9">
        <w:rPr>
          <w:rFonts w:ascii="Verdana" w:eastAsia="Times New Roman" w:hAnsi="Verdana" w:cs="Arial"/>
          <w:kern w:val="0"/>
          <w:sz w:val="20"/>
          <w:szCs w:val="20"/>
          <w:lang w:eastAsia="es-CO"/>
          <w14:ligatures w14:val="none"/>
        </w:rPr>
        <w:t>(…)</w:t>
      </w:r>
    </w:p>
    <w:p w14:paraId="09CB7335" w14:textId="77777777" w:rsidR="009E0DB9" w:rsidRPr="009E0DB9" w:rsidRDefault="009E0DB9" w:rsidP="009E0DB9">
      <w:pPr>
        <w:spacing w:after="0" w:line="240" w:lineRule="auto"/>
        <w:ind w:left="709" w:right="616"/>
        <w:contextualSpacing/>
        <w:jc w:val="both"/>
        <w:rPr>
          <w:rFonts w:ascii="Verdana" w:eastAsia="Times New Roman" w:hAnsi="Verdana" w:cs="Arial"/>
          <w:kern w:val="0"/>
          <w:sz w:val="20"/>
          <w:szCs w:val="20"/>
          <w:lang w:eastAsia="es-CO"/>
          <w14:ligatures w14:val="none"/>
        </w:rPr>
      </w:pPr>
    </w:p>
    <w:p w14:paraId="5D0F63DC" w14:textId="77777777" w:rsidR="009E0DB9" w:rsidRPr="009E0DB9" w:rsidRDefault="009E0DB9" w:rsidP="009E0DB9">
      <w:pPr>
        <w:spacing w:after="0" w:line="240" w:lineRule="auto"/>
        <w:ind w:left="709" w:right="616"/>
        <w:contextualSpacing/>
        <w:jc w:val="both"/>
        <w:rPr>
          <w:rFonts w:ascii="Verdana" w:eastAsia="Times New Roman" w:hAnsi="Verdana" w:cs="Arial"/>
          <w:kern w:val="0"/>
          <w:sz w:val="20"/>
          <w:szCs w:val="20"/>
          <w:lang w:eastAsia="es-CO"/>
          <w14:ligatures w14:val="none"/>
        </w:rPr>
      </w:pPr>
      <w:r w:rsidRPr="009E0DB9">
        <w:rPr>
          <w:rFonts w:ascii="Verdana" w:eastAsia="Times New Roman" w:hAnsi="Verdana" w:cs="Arial"/>
          <w:kern w:val="0"/>
          <w:sz w:val="20"/>
          <w:szCs w:val="20"/>
          <w:lang w:eastAsia="es-CO"/>
          <w14:ligatures w14:val="none"/>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E0DB9">
        <w:rPr>
          <w:rFonts w:ascii="Verdana" w:eastAsia="Calibri" w:hAnsi="Verdana" w:cs="Arial"/>
          <w:kern w:val="0"/>
          <w:sz w:val="20"/>
          <w:szCs w:val="20"/>
          <w:vertAlign w:val="superscript"/>
          <w14:ligatures w14:val="none"/>
        </w:rPr>
        <w:footnoteReference w:id="3"/>
      </w:r>
      <w:r w:rsidRPr="009E0DB9">
        <w:rPr>
          <w:rFonts w:ascii="Verdana" w:eastAsia="Times New Roman" w:hAnsi="Verdana" w:cs="Arial"/>
          <w:kern w:val="0"/>
          <w:sz w:val="20"/>
          <w:szCs w:val="20"/>
          <w:lang w:eastAsia="es-CO"/>
          <w14:ligatures w14:val="none"/>
        </w:rPr>
        <w:t>.</w:t>
      </w:r>
    </w:p>
    <w:p w14:paraId="3276E430" w14:textId="77777777" w:rsidR="009E0DB9" w:rsidRPr="009E0DB9" w:rsidRDefault="009E0DB9" w:rsidP="009E0DB9">
      <w:pPr>
        <w:spacing w:after="0" w:line="240" w:lineRule="auto"/>
        <w:ind w:left="709" w:right="616"/>
        <w:contextualSpacing/>
        <w:jc w:val="both"/>
        <w:rPr>
          <w:rFonts w:ascii="Verdana" w:eastAsia="Times New Roman" w:hAnsi="Verdana" w:cs="Arial"/>
          <w:kern w:val="0"/>
          <w:sz w:val="20"/>
          <w:szCs w:val="20"/>
          <w:lang w:eastAsia="es-CO"/>
          <w14:ligatures w14:val="none"/>
        </w:rPr>
      </w:pPr>
    </w:p>
    <w:p w14:paraId="161CC32E" w14:textId="77777777" w:rsidR="009E0DB9" w:rsidRPr="009E0DB9" w:rsidRDefault="009E0DB9" w:rsidP="009E0DB9">
      <w:pPr>
        <w:spacing w:after="120" w:line="276" w:lineRule="auto"/>
        <w:ind w:firstLine="709"/>
        <w:jc w:val="both"/>
        <w:rPr>
          <w:rFonts w:ascii="Verdana" w:eastAsia="Times New Roman" w:hAnsi="Verdana" w:cs="Arial"/>
          <w:kern w:val="0"/>
          <w:lang w:eastAsia="es-CO"/>
          <w14:ligatures w14:val="none"/>
        </w:rPr>
      </w:pPr>
      <w:r w:rsidRPr="009E0DB9">
        <w:rPr>
          <w:rFonts w:ascii="Verdana" w:eastAsia="Times New Roman" w:hAnsi="Verdana" w:cs="Arial"/>
          <w:kern w:val="0"/>
          <w:lang w:eastAsia="es-CO"/>
          <w14:ligatures w14:val="none"/>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87888F6" w14:textId="77777777" w:rsidR="009E0DB9" w:rsidRPr="009E0DB9" w:rsidRDefault="009E0DB9" w:rsidP="009E0DB9">
      <w:pPr>
        <w:spacing w:after="0" w:line="240" w:lineRule="auto"/>
        <w:ind w:left="709" w:right="616"/>
        <w:jc w:val="both"/>
        <w:rPr>
          <w:rFonts w:ascii="Verdana" w:eastAsia="Times New Roman" w:hAnsi="Verdana" w:cs="Arial"/>
          <w:kern w:val="0"/>
          <w:sz w:val="20"/>
          <w:szCs w:val="20"/>
          <w:lang w:eastAsia="es-CO"/>
          <w14:ligatures w14:val="none"/>
        </w:rPr>
      </w:pPr>
      <w:r w:rsidRPr="009E0DB9">
        <w:rPr>
          <w:rFonts w:ascii="Verdana" w:eastAsia="Times New Roman" w:hAnsi="Verdana" w:cs="Arial"/>
          <w:kern w:val="0"/>
          <w:sz w:val="20"/>
          <w:szCs w:val="20"/>
          <w:lang w:eastAsia="es-CO"/>
          <w14:ligatures w14:val="none"/>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E0DB9">
        <w:rPr>
          <w:rFonts w:ascii="Verdana" w:eastAsia="Times New Roman" w:hAnsi="Verdana" w:cs="Arial"/>
          <w:kern w:val="0"/>
          <w:sz w:val="20"/>
          <w:szCs w:val="20"/>
          <w:lang w:eastAsia="es-CO"/>
          <w14:ligatures w14:val="none"/>
        </w:rPr>
        <w:t>legis</w:t>
      </w:r>
      <w:proofErr w:type="spellEnd"/>
      <w:r w:rsidRPr="009E0DB9">
        <w:rPr>
          <w:rFonts w:ascii="Verdana" w:eastAsia="Times New Roman" w:hAnsi="Verdana" w:cs="Arial"/>
          <w:kern w:val="0"/>
          <w:sz w:val="20"/>
          <w:szCs w:val="20"/>
          <w:lang w:eastAsia="es-CO"/>
          <w14:ligatures w14:val="none"/>
        </w:rPr>
        <w:t xml:space="preserve"> o iuris y la interpretación extensiva. Las normas legales de contenido prohibitivo hacen parte de un conjunto de disposiciones que integran un régimen jurídico imperativo y de orden público, razón por la cual no son </w:t>
      </w:r>
      <w:r w:rsidRPr="009E0DB9">
        <w:rPr>
          <w:rFonts w:ascii="Verdana" w:eastAsia="Times New Roman" w:hAnsi="Verdana" w:cs="Arial"/>
          <w:kern w:val="0"/>
          <w:sz w:val="20"/>
          <w:szCs w:val="20"/>
          <w:lang w:eastAsia="es-CO"/>
          <w14:ligatures w14:val="none"/>
        </w:rPr>
        <w:lastRenderedPageBreak/>
        <w:t>disponibles ni pueden ser derogadas, modificadas, ampliadas o adicionadas por acuerdo o convenio o acto unilateral.</w:t>
      </w:r>
    </w:p>
    <w:p w14:paraId="732B299E" w14:textId="77777777" w:rsidR="009E0DB9" w:rsidRPr="009E0DB9" w:rsidRDefault="009E0DB9" w:rsidP="009E0DB9">
      <w:pPr>
        <w:spacing w:after="0" w:line="240" w:lineRule="auto"/>
        <w:ind w:left="709" w:right="616"/>
        <w:jc w:val="both"/>
        <w:rPr>
          <w:rFonts w:ascii="Verdana" w:eastAsia="Times New Roman" w:hAnsi="Verdana" w:cs="Arial"/>
          <w:kern w:val="0"/>
          <w:sz w:val="20"/>
          <w:szCs w:val="20"/>
          <w:lang w:eastAsia="es-CO"/>
          <w14:ligatures w14:val="none"/>
        </w:rPr>
      </w:pPr>
    </w:p>
    <w:p w14:paraId="59E893F3" w14:textId="77777777" w:rsidR="009E0DB9" w:rsidRPr="009E0DB9" w:rsidRDefault="009E0DB9" w:rsidP="009E0DB9">
      <w:pPr>
        <w:spacing w:after="0" w:line="240" w:lineRule="auto"/>
        <w:ind w:left="709" w:right="616"/>
        <w:jc w:val="both"/>
        <w:rPr>
          <w:rFonts w:ascii="Verdana" w:eastAsia="Times New Roman" w:hAnsi="Verdana" w:cs="Arial"/>
          <w:kern w:val="0"/>
          <w:sz w:val="20"/>
          <w:szCs w:val="20"/>
          <w:lang w:eastAsia="es-CO"/>
          <w14:ligatures w14:val="none"/>
        </w:rPr>
      </w:pPr>
      <w:r w:rsidRPr="009E0DB9">
        <w:rPr>
          <w:rFonts w:ascii="Verdana" w:eastAsia="Times New Roman" w:hAnsi="Verdana" w:cs="Arial"/>
          <w:kern w:val="0"/>
          <w:sz w:val="20"/>
          <w:szCs w:val="20"/>
          <w:lang w:eastAsia="es-CO"/>
          <w14:ligatures w14:val="none"/>
        </w:rPr>
        <w:t>La jurisprudencia de la Corte Constitucional</w:t>
      </w:r>
      <w:r w:rsidRPr="009E0DB9">
        <w:rPr>
          <w:rFonts w:ascii="Verdana" w:eastAsia="Times New Roman" w:hAnsi="Verdana" w:cs="Arial"/>
          <w:kern w:val="0"/>
          <w:sz w:val="20"/>
          <w:szCs w:val="20"/>
          <w:vertAlign w:val="superscript"/>
          <w:lang w:eastAsia="es-CO"/>
          <w14:ligatures w14:val="none"/>
        </w:rPr>
        <w:footnoteReference w:id="4"/>
      </w:r>
      <w:r w:rsidRPr="009E0DB9">
        <w:rPr>
          <w:rFonts w:ascii="Verdana" w:eastAsia="Times New Roman" w:hAnsi="Verdana" w:cs="Arial"/>
          <w:kern w:val="0"/>
          <w:sz w:val="20"/>
          <w:szCs w:val="20"/>
          <w:lang w:eastAsia="es-CO"/>
          <w14:ligatures w14:val="none"/>
        </w:rPr>
        <w:t> y del Consejo de Estado</w:t>
      </w:r>
      <w:r w:rsidRPr="009E0DB9">
        <w:rPr>
          <w:rFonts w:ascii="Verdana" w:eastAsia="Times New Roman" w:hAnsi="Verdana" w:cs="Arial"/>
          <w:kern w:val="0"/>
          <w:sz w:val="20"/>
          <w:szCs w:val="20"/>
          <w:vertAlign w:val="superscript"/>
          <w:lang w:eastAsia="es-CO"/>
          <w14:ligatures w14:val="none"/>
        </w:rPr>
        <w:footnoteReference w:id="5"/>
      </w:r>
      <w:r w:rsidRPr="009E0DB9">
        <w:rPr>
          <w:rFonts w:ascii="Verdana" w:eastAsia="Times New Roman" w:hAnsi="Verdana" w:cs="Arial"/>
          <w:kern w:val="0"/>
          <w:sz w:val="20"/>
          <w:szCs w:val="20"/>
          <w:lang w:eastAsia="es-CO"/>
          <w14:ligatures w14:val="none"/>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E0DB9">
        <w:rPr>
          <w:rFonts w:ascii="Verdana" w:eastAsia="Times New Roman" w:hAnsi="Verdana" w:cs="Arial"/>
          <w:kern w:val="0"/>
          <w:sz w:val="20"/>
          <w:szCs w:val="20"/>
          <w:vertAlign w:val="superscript"/>
          <w:lang w:eastAsia="es-CO"/>
          <w14:ligatures w14:val="none"/>
        </w:rPr>
        <w:footnoteReference w:id="6"/>
      </w:r>
      <w:r w:rsidRPr="009E0DB9">
        <w:rPr>
          <w:rFonts w:ascii="Verdana" w:eastAsia="Times New Roman" w:hAnsi="Verdana" w:cs="Arial"/>
          <w:kern w:val="0"/>
          <w:sz w:val="20"/>
          <w:szCs w:val="20"/>
          <w:lang w:eastAsia="es-CO"/>
          <w14:ligatures w14:val="none"/>
        </w:rPr>
        <w:t>.</w:t>
      </w:r>
    </w:p>
    <w:p w14:paraId="4A80AD5D" w14:textId="77777777" w:rsidR="009E0DB9" w:rsidRPr="009E0DB9" w:rsidRDefault="009E0DB9" w:rsidP="009E0DB9">
      <w:pPr>
        <w:spacing w:after="0" w:line="276" w:lineRule="auto"/>
        <w:jc w:val="both"/>
        <w:rPr>
          <w:rFonts w:ascii="Verdana" w:eastAsia="Calibri" w:hAnsi="Verdana" w:cs="Arial"/>
          <w:bCs/>
          <w:kern w:val="0"/>
          <w14:ligatures w14:val="none"/>
        </w:rPr>
      </w:pPr>
    </w:p>
    <w:p w14:paraId="4587ABB1" w14:textId="77777777" w:rsidR="009E0DB9" w:rsidRPr="009E0DB9" w:rsidRDefault="009E0DB9" w:rsidP="009E0DB9">
      <w:pPr>
        <w:spacing w:after="0" w:line="276" w:lineRule="auto"/>
        <w:ind w:firstLine="709"/>
        <w:jc w:val="both"/>
        <w:rPr>
          <w:rFonts w:ascii="Verdana" w:eastAsia="Arial" w:hAnsi="Verdana" w:cs="Arial"/>
          <w:kern w:val="0"/>
          <w:lang w:eastAsia="es-ES" w:bidi="es-ES"/>
          <w14:ligatures w14:val="none"/>
        </w:rPr>
      </w:pPr>
      <w:r w:rsidRPr="009E0DB9">
        <w:rPr>
          <w:rFonts w:ascii="Verdana" w:eastAsia="Times New Roman" w:hAnsi="Verdana" w:cs="Arial"/>
          <w:kern w:val="0"/>
          <w:lang w:eastAsia="es-CO"/>
          <w14:ligatures w14:val="none"/>
        </w:rPr>
        <w:t>De</w:t>
      </w:r>
      <w:r w:rsidRPr="009E0DB9">
        <w:rPr>
          <w:rFonts w:ascii="Verdana" w:eastAsia="Arial" w:hAnsi="Verdana" w:cs="Arial"/>
          <w:kern w:val="0"/>
          <w:lang w:eastAsia="es-ES" w:bidi="es-ES"/>
          <w14:ligatures w14:val="none"/>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00D27627" w14:textId="77777777" w:rsidR="009E0DB9" w:rsidRPr="009E0DB9" w:rsidRDefault="009E0DB9" w:rsidP="009E0DB9">
      <w:pPr>
        <w:spacing w:after="0" w:line="240" w:lineRule="auto"/>
        <w:ind w:firstLine="709"/>
        <w:jc w:val="both"/>
        <w:rPr>
          <w:rFonts w:ascii="Verdana" w:eastAsia="Arial" w:hAnsi="Verdana" w:cs="Arial"/>
          <w:kern w:val="0"/>
          <w:lang w:eastAsia="es-ES" w:bidi="es-ES"/>
          <w14:ligatures w14:val="none"/>
        </w:rPr>
      </w:pPr>
    </w:p>
    <w:p w14:paraId="250B6945" w14:textId="77777777" w:rsidR="009E0DB9" w:rsidRPr="009E0DB9" w:rsidRDefault="009E0DB9" w:rsidP="009E0DB9">
      <w:pPr>
        <w:spacing w:after="120" w:line="276" w:lineRule="auto"/>
        <w:ind w:firstLine="709"/>
        <w:jc w:val="both"/>
        <w:rPr>
          <w:rFonts w:ascii="Verdana" w:eastAsia="Arial" w:hAnsi="Verdana" w:cs="Arial"/>
          <w:kern w:val="0"/>
          <w:lang w:eastAsia="es-ES" w:bidi="es-ES"/>
          <w14:ligatures w14:val="none"/>
        </w:rPr>
      </w:pPr>
      <w:r w:rsidRPr="009E0DB9">
        <w:rPr>
          <w:rFonts w:ascii="Verdana" w:eastAsia="Arial" w:hAnsi="Verdana" w:cs="Arial"/>
          <w:kern w:val="0"/>
          <w:lang w:eastAsia="es-ES" w:bidi="es-ES"/>
          <w14:ligatures w14:val="none"/>
        </w:rPr>
        <w:t>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41D25143" w14:textId="77777777" w:rsidR="009E0DB9" w:rsidRPr="009E0DB9" w:rsidRDefault="009E0DB9" w:rsidP="009E0DB9">
      <w:pPr>
        <w:spacing w:after="120" w:line="276" w:lineRule="auto"/>
        <w:ind w:firstLine="708"/>
        <w:jc w:val="both"/>
        <w:rPr>
          <w:rFonts w:ascii="Verdana" w:eastAsia="Calibri" w:hAnsi="Verdana" w:cs="Arial"/>
          <w:kern w:val="0"/>
          <w14:ligatures w14:val="none"/>
        </w:rPr>
      </w:pPr>
      <w:r w:rsidRPr="009E0DB9">
        <w:rPr>
          <w:rFonts w:ascii="Verdana" w:eastAsia="Calibri" w:hAnsi="Verdana" w:cs="Arial"/>
          <w:kern w:val="0"/>
          <w14:ligatures w14:val="none"/>
        </w:rPr>
        <w:t xml:space="preserve">Por un lado, el </w:t>
      </w:r>
      <w:r w:rsidRPr="009E0DB9">
        <w:rPr>
          <w:rFonts w:ascii="Verdana" w:eastAsia="Calibri" w:hAnsi="Verdana" w:cs="Arial"/>
          <w:i/>
          <w:iCs/>
          <w:kern w:val="0"/>
          <w14:ligatures w14:val="none"/>
        </w:rPr>
        <w:t xml:space="preserve">artículo 33 </w:t>
      </w:r>
      <w:r w:rsidRPr="009E0DB9">
        <w:rPr>
          <w:rFonts w:ascii="Verdana" w:eastAsia="Calibri" w:hAnsi="Verdana" w:cs="Arial"/>
          <w:kern w:val="0"/>
          <w14:ligatures w14:val="none"/>
        </w:rPr>
        <w:t xml:space="preserve">de la Ley 996 de 2005 prohíbe “(…) la </w:t>
      </w:r>
      <w:r w:rsidRPr="009E0DB9">
        <w:rPr>
          <w:rFonts w:ascii="Verdana" w:eastAsia="Calibri" w:hAnsi="Verdana" w:cs="Arial"/>
          <w:b/>
          <w:bCs/>
          <w:kern w:val="0"/>
          <w:u w:val="single"/>
          <w14:ligatures w14:val="none"/>
        </w:rPr>
        <w:t>contratación directa</w:t>
      </w:r>
      <w:r w:rsidRPr="009E0DB9">
        <w:rPr>
          <w:rFonts w:ascii="Verdana" w:eastAsia="Calibri" w:hAnsi="Verdana" w:cs="Arial"/>
          <w:kern w:val="0"/>
          <w14:ligatures w14:val="none"/>
        </w:rPr>
        <w:t xml:space="preserve"> por parte de </w:t>
      </w:r>
      <w:r w:rsidRPr="009E0DB9">
        <w:rPr>
          <w:rFonts w:ascii="Verdana" w:eastAsia="Calibri" w:hAnsi="Verdana" w:cs="Arial"/>
          <w:i/>
          <w:iCs/>
          <w:kern w:val="0"/>
          <w14:ligatures w14:val="none"/>
        </w:rPr>
        <w:t>todos los entes del Estado</w:t>
      </w:r>
      <w:r w:rsidRPr="009E0DB9">
        <w:rPr>
          <w:rFonts w:ascii="Verdana" w:eastAsia="Calibri" w:hAnsi="Verdana" w:cs="Arial"/>
          <w:kern w:val="0"/>
          <w14:ligatures w14:val="none"/>
        </w:rPr>
        <w:t xml:space="preserve">” durante los cuatro (4) meses anteriores a las </w:t>
      </w:r>
      <w:r w:rsidRPr="009E0DB9">
        <w:rPr>
          <w:rFonts w:ascii="Verdana" w:eastAsia="Calibri" w:hAnsi="Verdana" w:cs="Arial"/>
          <w:i/>
          <w:iCs/>
          <w:kern w:val="0"/>
          <w14:ligatures w14:val="none"/>
        </w:rPr>
        <w:t>elecciones presidenciales</w:t>
      </w:r>
      <w:r w:rsidRPr="009E0DB9">
        <w:rPr>
          <w:rFonts w:ascii="Verdana" w:eastAsia="Calibri" w:hAnsi="Verdana" w:cs="Arial"/>
          <w:kern w:val="0"/>
          <w14:ligatures w14:val="none"/>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w:t>
      </w:r>
      <w:r w:rsidRPr="009E0DB9">
        <w:rPr>
          <w:rFonts w:ascii="Verdana" w:eastAsia="Calibri" w:hAnsi="Verdana" w:cs="Arial"/>
          <w:kern w:val="0"/>
          <w14:ligatures w14:val="none"/>
        </w:rPr>
        <w:lastRenderedPageBreak/>
        <w:t>hayan sido objeto de atentados, acciones terroristas, desastres naturales o casos de fuerza mayor, y los que deban realizar las entidades sanitarias y hospitalarias”</w:t>
      </w:r>
      <w:r w:rsidRPr="009E0DB9">
        <w:rPr>
          <w:rFonts w:ascii="Verdana" w:eastAsia="Calibri" w:hAnsi="Verdana" w:cs="Arial"/>
          <w:kern w:val="0"/>
          <w:vertAlign w:val="superscript"/>
          <w14:ligatures w14:val="none"/>
        </w:rPr>
        <w:footnoteReference w:id="7"/>
      </w:r>
      <w:r w:rsidRPr="009E0DB9">
        <w:rPr>
          <w:rFonts w:ascii="Verdana" w:eastAsia="Calibri" w:hAnsi="Verdana" w:cs="Arial"/>
          <w:kern w:val="0"/>
          <w14:ligatures w14:val="none"/>
        </w:rPr>
        <w:t>.</w:t>
      </w:r>
    </w:p>
    <w:p w14:paraId="3C844A79" w14:textId="77777777" w:rsidR="009E0DB9" w:rsidRPr="009E0DB9" w:rsidRDefault="009E0DB9" w:rsidP="009E0DB9">
      <w:pPr>
        <w:widowControl w:val="0"/>
        <w:autoSpaceDE w:val="0"/>
        <w:autoSpaceDN w:val="0"/>
        <w:spacing w:after="120" w:line="276" w:lineRule="auto"/>
        <w:ind w:right="113" w:firstLine="709"/>
        <w:jc w:val="both"/>
        <w:rPr>
          <w:rFonts w:ascii="Verdana" w:eastAsia="Arial" w:hAnsi="Verdana" w:cs="Arial"/>
          <w:kern w:val="0"/>
          <w:lang w:eastAsia="es-ES" w:bidi="es-ES"/>
          <w14:ligatures w14:val="none"/>
        </w:rPr>
      </w:pPr>
      <w:r w:rsidRPr="009E0DB9">
        <w:rPr>
          <w:rFonts w:ascii="Verdana" w:eastAsia="Calibri" w:hAnsi="Verdana" w:cs="Arial"/>
          <w:kern w:val="0"/>
          <w14:ligatures w14:val="none"/>
        </w:rPr>
        <w:t xml:space="preserve">Por otro lado, </w:t>
      </w:r>
      <w:r w:rsidRPr="009E0DB9">
        <w:rPr>
          <w:rFonts w:ascii="Verdana" w:eastAsia="Calibri" w:hAnsi="Verdana" w:cs="Arial"/>
          <w:b/>
          <w:bCs/>
          <w:i/>
          <w:iCs/>
          <w:kern w:val="0"/>
          <w:u w:val="single"/>
          <w14:ligatures w14:val="none"/>
        </w:rPr>
        <w:t>el parágrafo del artículo 38</w:t>
      </w:r>
      <w:r w:rsidRPr="009E0DB9">
        <w:rPr>
          <w:rFonts w:ascii="Verdana" w:eastAsia="Calibri" w:hAnsi="Verdana" w:cs="Arial"/>
          <w:i/>
          <w:iCs/>
          <w:kern w:val="0"/>
          <w14:ligatures w14:val="none"/>
        </w:rPr>
        <w:t xml:space="preserve"> </w:t>
      </w:r>
      <w:r w:rsidRPr="009E0DB9">
        <w:rPr>
          <w:rFonts w:ascii="Verdana" w:eastAsia="Calibri" w:hAnsi="Verdana" w:cs="Arial"/>
          <w:kern w:val="0"/>
          <w14:ligatures w14:val="none"/>
        </w:rPr>
        <w:t>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0DB9">
        <w:rPr>
          <w:rFonts w:ascii="Verdana" w:eastAsia="Calibri" w:hAnsi="Verdana" w:cs="Arial"/>
          <w:kern w:val="0"/>
          <w:vertAlign w:val="superscript"/>
          <w14:ligatures w14:val="none"/>
        </w:rPr>
        <w:footnoteReference w:id="8"/>
      </w:r>
      <w:r w:rsidRPr="009E0DB9">
        <w:rPr>
          <w:rFonts w:ascii="Verdana" w:eastAsia="Calibri" w:hAnsi="Verdana" w:cs="Arial"/>
          <w:kern w:val="0"/>
          <w14:ligatures w14:val="none"/>
        </w:rPr>
        <w:t>.</w:t>
      </w:r>
      <w:r w:rsidRPr="009E0DB9">
        <w:rPr>
          <w:rFonts w:ascii="Verdana" w:eastAsia="Arial" w:hAnsi="Verdana" w:cs="Arial"/>
          <w:kern w:val="0"/>
          <w:lang w:eastAsia="es-ES" w:bidi="es-ES"/>
          <w14:ligatures w14:val="none"/>
        </w:rPr>
        <w:t xml:space="preserve"> </w:t>
      </w:r>
    </w:p>
    <w:p w14:paraId="3A29DEEC" w14:textId="77777777" w:rsidR="009E0DB9" w:rsidRPr="009E0DB9" w:rsidRDefault="009E0DB9" w:rsidP="009E0DB9">
      <w:pPr>
        <w:widowControl w:val="0"/>
        <w:autoSpaceDE w:val="0"/>
        <w:autoSpaceDN w:val="0"/>
        <w:spacing w:after="0" w:line="276" w:lineRule="auto"/>
        <w:ind w:right="113" w:firstLine="708"/>
        <w:contextualSpacing/>
        <w:jc w:val="both"/>
        <w:rPr>
          <w:rFonts w:ascii="Verdana" w:eastAsia="Arial" w:hAnsi="Verdana" w:cs="Arial"/>
          <w:kern w:val="0"/>
          <w:lang w:eastAsia="es-ES" w:bidi="es-ES"/>
          <w14:ligatures w14:val="none"/>
        </w:rPr>
      </w:pPr>
      <w:r w:rsidRPr="009E0DB9">
        <w:rPr>
          <w:rFonts w:ascii="Verdana" w:eastAsia="Arial" w:hAnsi="Verdana" w:cs="Arial"/>
          <w:kern w:val="0"/>
          <w:lang w:eastAsia="es-ES" w:bidi="es-ES"/>
          <w14:ligatures w14:val="none"/>
        </w:rPr>
        <w:t>La Sala de Consulta y Servicio Civil del Consejo de Estado ha aclarado la distinción en la aplicación de las prohibiciones de la Ley 996 de 2005, dependiendo del tipo de elección que se trate. Al respecto, señala:</w:t>
      </w:r>
    </w:p>
    <w:p w14:paraId="7359CAD7" w14:textId="77777777" w:rsidR="009E0DB9" w:rsidRPr="009E0DB9" w:rsidRDefault="009E0DB9" w:rsidP="009E0DB9">
      <w:pPr>
        <w:widowControl w:val="0"/>
        <w:autoSpaceDE w:val="0"/>
        <w:autoSpaceDN w:val="0"/>
        <w:spacing w:after="0" w:line="240" w:lineRule="auto"/>
        <w:ind w:left="709" w:right="709"/>
        <w:jc w:val="both"/>
        <w:rPr>
          <w:rFonts w:ascii="Verdana" w:eastAsia="Arial" w:hAnsi="Verdana" w:cs="Arial"/>
          <w:kern w:val="0"/>
          <w:sz w:val="20"/>
          <w:szCs w:val="20"/>
          <w:lang w:eastAsia="es-ES" w:bidi="es-ES"/>
          <w14:ligatures w14:val="none"/>
        </w:rPr>
      </w:pPr>
    </w:p>
    <w:p w14:paraId="56C78268" w14:textId="77777777" w:rsidR="009E0DB9" w:rsidRPr="009E0DB9" w:rsidRDefault="009E0DB9" w:rsidP="009E0DB9">
      <w:pPr>
        <w:widowControl w:val="0"/>
        <w:autoSpaceDE w:val="0"/>
        <w:autoSpaceDN w:val="0"/>
        <w:spacing w:after="0" w:line="240" w:lineRule="auto"/>
        <w:ind w:left="709" w:right="709"/>
        <w:jc w:val="both"/>
        <w:rPr>
          <w:rFonts w:ascii="Verdana" w:eastAsia="Arial" w:hAnsi="Verdana" w:cs="Arial"/>
          <w:kern w:val="0"/>
          <w:sz w:val="20"/>
          <w:szCs w:val="20"/>
          <w:lang w:eastAsia="es-ES" w:bidi="es-ES"/>
          <w14:ligatures w14:val="none"/>
        </w:rPr>
      </w:pPr>
      <w:r w:rsidRPr="009E0DB9">
        <w:rPr>
          <w:rFonts w:ascii="Verdana" w:eastAsia="Arial" w:hAnsi="Verdana" w:cs="Arial"/>
          <w:kern w:val="0"/>
          <w:sz w:val="20"/>
          <w:szCs w:val="20"/>
          <w:lang w:eastAsia="es-ES" w:bidi="es-ES"/>
          <w14:ligatures w14:val="none"/>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w:t>
      </w:r>
      <w:r w:rsidRPr="009E0DB9">
        <w:rPr>
          <w:rFonts w:ascii="Verdana" w:eastAsia="Arial" w:hAnsi="Verdana" w:cs="Arial"/>
          <w:kern w:val="0"/>
          <w:sz w:val="20"/>
          <w:szCs w:val="20"/>
          <w:lang w:eastAsia="es-ES" w:bidi="es-ES"/>
          <w14:ligatures w14:val="none"/>
        </w:rPr>
        <w:lastRenderedPageBreak/>
        <w:t>contenidas en el parágrafo del artículo 38”</w:t>
      </w:r>
      <w:r w:rsidRPr="009E0DB9">
        <w:rPr>
          <w:rFonts w:ascii="Verdana" w:eastAsia="Arial" w:hAnsi="Verdana" w:cs="Arial"/>
          <w:kern w:val="0"/>
          <w:sz w:val="20"/>
          <w:szCs w:val="20"/>
          <w:vertAlign w:val="superscript"/>
          <w:lang w:eastAsia="es-ES" w:bidi="es-ES"/>
          <w14:ligatures w14:val="none"/>
        </w:rPr>
        <w:footnoteReference w:id="9"/>
      </w:r>
      <w:r w:rsidRPr="009E0DB9">
        <w:rPr>
          <w:rFonts w:ascii="Verdana" w:eastAsia="Arial" w:hAnsi="Verdana" w:cs="Arial"/>
          <w:kern w:val="0"/>
          <w:sz w:val="20"/>
          <w:szCs w:val="20"/>
          <w:lang w:eastAsia="es-ES" w:bidi="es-ES"/>
          <w14:ligatures w14:val="none"/>
        </w:rPr>
        <w:t>.</w:t>
      </w:r>
    </w:p>
    <w:p w14:paraId="3EE2A3A0" w14:textId="77777777" w:rsidR="009E0DB9" w:rsidRPr="009E0DB9" w:rsidRDefault="009E0DB9" w:rsidP="009E0DB9">
      <w:pPr>
        <w:widowControl w:val="0"/>
        <w:autoSpaceDE w:val="0"/>
        <w:autoSpaceDN w:val="0"/>
        <w:spacing w:after="0" w:line="276" w:lineRule="auto"/>
        <w:contextualSpacing/>
        <w:rPr>
          <w:rFonts w:ascii="Verdana" w:eastAsia="Arial" w:hAnsi="Verdana" w:cs="Arial"/>
          <w:kern w:val="0"/>
          <w:lang w:eastAsia="es-ES" w:bidi="es-ES"/>
          <w14:ligatures w14:val="none"/>
        </w:rPr>
      </w:pPr>
    </w:p>
    <w:p w14:paraId="17AC14C8" w14:textId="77777777" w:rsidR="009E0DB9" w:rsidRPr="009E0DB9" w:rsidRDefault="009E0DB9" w:rsidP="009E0DB9">
      <w:pPr>
        <w:spacing w:after="120" w:line="276" w:lineRule="auto"/>
        <w:ind w:firstLine="709"/>
        <w:jc w:val="both"/>
        <w:rPr>
          <w:rFonts w:ascii="Verdana" w:eastAsia="Arial" w:hAnsi="Verdana" w:cs="Arial"/>
          <w:kern w:val="0"/>
          <w:lang w:eastAsia="es-ES" w:bidi="es-ES"/>
          <w14:ligatures w14:val="none"/>
        </w:rPr>
      </w:pPr>
      <w:r w:rsidRPr="009E0DB9">
        <w:rPr>
          <w:rFonts w:ascii="Verdana" w:eastAsia="Arial" w:hAnsi="Verdana" w:cs="Arial"/>
          <w:kern w:val="0"/>
          <w:lang w:eastAsia="es-ES" w:bidi="es-ES"/>
          <w14:ligatures w14:val="none"/>
        </w:rPr>
        <w:t xml:space="preserve">De conformidad con lo anterior, la Ley 996 de 2005 establece dos (2) tipos de restricciones en materia de contratación, las cuales coinciden parcialmente. </w:t>
      </w:r>
    </w:p>
    <w:p w14:paraId="3FA60676" w14:textId="77777777" w:rsidR="009E0DB9" w:rsidRPr="009E0DB9" w:rsidRDefault="009E0DB9" w:rsidP="009E0DB9">
      <w:pPr>
        <w:spacing w:after="120" w:line="276" w:lineRule="auto"/>
        <w:ind w:firstLine="709"/>
        <w:jc w:val="both"/>
        <w:rPr>
          <w:rFonts w:ascii="Verdana" w:eastAsia="Arial" w:hAnsi="Verdana" w:cs="Arial"/>
          <w:kern w:val="0"/>
          <w:lang w:eastAsia="es-ES" w:bidi="es-ES"/>
          <w14:ligatures w14:val="none"/>
        </w:rPr>
      </w:pPr>
      <w:r w:rsidRPr="009E0DB9">
        <w:rPr>
          <w:rFonts w:ascii="Verdana" w:eastAsia="Arial" w:hAnsi="Verdana" w:cs="Arial"/>
          <w:i/>
          <w:kern w:val="0"/>
          <w:lang w:eastAsia="es-ES" w:bidi="es-ES"/>
          <w14:ligatures w14:val="none"/>
        </w:rPr>
        <w:t>En primer lugar</w:t>
      </w:r>
      <w:r w:rsidRPr="009E0DB9">
        <w:rPr>
          <w:rFonts w:ascii="Verdana" w:eastAsia="Arial" w:hAnsi="Verdana" w:cs="Arial"/>
          <w:kern w:val="0"/>
          <w:lang w:eastAsia="es-ES" w:bidi="es-ES"/>
          <w14:ligatures w14:val="none"/>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5F52B37C" w14:textId="77777777" w:rsidR="009E0DB9" w:rsidRPr="009E0DB9" w:rsidRDefault="009E0DB9" w:rsidP="009E0DB9">
      <w:pPr>
        <w:spacing w:after="120" w:line="276" w:lineRule="auto"/>
        <w:ind w:firstLine="709"/>
        <w:jc w:val="both"/>
        <w:rPr>
          <w:rFonts w:ascii="Verdana" w:eastAsia="Arial" w:hAnsi="Verdana" w:cs="Arial"/>
          <w:kern w:val="0"/>
          <w:lang w:eastAsia="es-ES" w:bidi="es-ES"/>
          <w14:ligatures w14:val="none"/>
        </w:rPr>
      </w:pPr>
      <w:r w:rsidRPr="009E0DB9">
        <w:rPr>
          <w:rFonts w:ascii="Verdana" w:eastAsia="Arial" w:hAnsi="Verdana" w:cs="Arial"/>
          <w:i/>
          <w:kern w:val="0"/>
          <w:lang w:eastAsia="es-ES" w:bidi="es-ES"/>
          <w14:ligatures w14:val="none"/>
        </w:rPr>
        <w:t>En segundo lugar</w:t>
      </w:r>
      <w:r w:rsidRPr="009E0DB9">
        <w:rPr>
          <w:rFonts w:ascii="Verdana" w:eastAsia="Arial" w:hAnsi="Verdana" w:cs="Arial"/>
          <w:kern w:val="0"/>
          <w:lang w:eastAsia="es-ES" w:bidi="es-ES"/>
          <w14:ligatures w14:val="none"/>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2BC74FE" w14:textId="77777777" w:rsidR="009E0DB9" w:rsidRPr="009E0DB9" w:rsidRDefault="009E0DB9" w:rsidP="009E0DB9">
      <w:pPr>
        <w:spacing w:after="120" w:line="276" w:lineRule="auto"/>
        <w:ind w:firstLine="709"/>
        <w:jc w:val="both"/>
        <w:rPr>
          <w:rFonts w:ascii="Verdana" w:eastAsia="Arial" w:hAnsi="Verdana" w:cs="Arial"/>
          <w:kern w:val="0"/>
          <w:lang w:eastAsia="es-ES" w:bidi="es-ES"/>
          <w14:ligatures w14:val="none"/>
        </w:rPr>
      </w:pPr>
      <w:r w:rsidRPr="009E0DB9">
        <w:rPr>
          <w:rFonts w:ascii="Verdana" w:eastAsia="Arial" w:hAnsi="Verdana" w:cs="Arial"/>
          <w:kern w:val="0"/>
          <w:lang w:eastAsia="es-ES" w:bidi="es-ES"/>
          <w14:ligatures w14:val="none"/>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12E0D8B1" w14:textId="77777777" w:rsidR="009E0DB9" w:rsidRPr="009E0DB9" w:rsidRDefault="009E0DB9" w:rsidP="009E0DB9">
      <w:pPr>
        <w:spacing w:after="0" w:line="276" w:lineRule="auto"/>
        <w:ind w:firstLine="709"/>
        <w:jc w:val="both"/>
        <w:rPr>
          <w:rFonts w:ascii="Verdana" w:eastAsia="Arial" w:hAnsi="Verdana" w:cs="Arial"/>
          <w:kern w:val="0"/>
          <w:lang w:eastAsia="es-ES" w:bidi="es-ES"/>
          <w14:ligatures w14:val="none"/>
        </w:rPr>
      </w:pPr>
      <w:r w:rsidRPr="009E0DB9">
        <w:rPr>
          <w:rFonts w:ascii="Verdana" w:eastAsia="Arial" w:hAnsi="Verdana" w:cs="Arial"/>
          <w:kern w:val="0"/>
          <w:lang w:eastAsia="es-ES" w:bidi="es-ES"/>
          <w14:ligatures w14:val="none"/>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sidRPr="009E0DB9">
        <w:rPr>
          <w:rFonts w:ascii="Verdana" w:eastAsia="Arial" w:hAnsi="Verdana" w:cs="Arial"/>
          <w:kern w:val="0"/>
          <w:lang w:eastAsia="es-ES" w:bidi="es-ES"/>
          <w14:ligatures w14:val="none"/>
        </w:rPr>
        <w:lastRenderedPageBreak/>
        <w:t xml:space="preserve">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6E5BC6B" w14:textId="77777777" w:rsidR="009E0DB9" w:rsidRPr="009E0DB9" w:rsidRDefault="009E0DB9" w:rsidP="009E0DB9">
      <w:pPr>
        <w:spacing w:after="120" w:line="276" w:lineRule="auto"/>
        <w:ind w:firstLine="709"/>
        <w:jc w:val="both"/>
        <w:rPr>
          <w:rFonts w:ascii="Verdana" w:eastAsia="Times New Roman" w:hAnsi="Verdana" w:cs="Arial"/>
          <w:bCs/>
          <w:kern w:val="0"/>
          <w:lang w:eastAsia="es-CO"/>
          <w14:ligatures w14:val="none"/>
        </w:rPr>
      </w:pPr>
      <w:r w:rsidRPr="009E0DB9">
        <w:rPr>
          <w:rFonts w:ascii="Verdana" w:eastAsia="Arial" w:hAnsi="Verdana" w:cs="Arial"/>
          <w:kern w:val="0"/>
          <w:lang w:eastAsia="es-ES" w:bidi="es-ES"/>
          <w14:ligatures w14:val="none"/>
        </w:rPr>
        <w:t xml:space="preserve">Ahora bien, </w:t>
      </w:r>
      <w:r w:rsidRPr="009E0DB9">
        <w:rPr>
          <w:rFonts w:ascii="Verdana" w:eastAsia="Calibri" w:hAnsi="Verdana" w:cs="Arial"/>
          <w:kern w:val="0"/>
          <w:lang w:eastAsia="es-ES" w:bidi="es-ES"/>
          <w14:ligatures w14:val="none"/>
        </w:rPr>
        <w:t xml:space="preserve">es necesario precisar el alcance de la prohibición </w:t>
      </w:r>
      <w:r w:rsidRPr="009E0DB9">
        <w:rPr>
          <w:rFonts w:ascii="Verdana" w:eastAsia="Arial" w:hAnsi="Verdana" w:cs="Arial"/>
          <w:kern w:val="0"/>
          <w:lang w:eastAsia="es-ES" w:bidi="es-ES"/>
          <w14:ligatures w14:val="none"/>
        </w:rPr>
        <w:t>establecida en e</w:t>
      </w:r>
      <w:r w:rsidRPr="009E0DB9">
        <w:rPr>
          <w:rFonts w:ascii="Verdana" w:eastAsia="Calibri" w:hAnsi="Verdana" w:cs="Arial"/>
          <w:kern w:val="0"/>
          <w14:ligatures w14:val="none"/>
        </w:rPr>
        <w:t xml:space="preserve">l </w:t>
      </w:r>
      <w:r w:rsidRPr="009E0DB9">
        <w:rPr>
          <w:rFonts w:ascii="Verdana" w:eastAsia="Times New Roman" w:hAnsi="Verdana" w:cs="Arial"/>
          <w:kern w:val="0"/>
          <w14:ligatures w14:val="none"/>
        </w:rPr>
        <w:t xml:space="preserve">artículo 33 de la Ley 996 de 2005. El ámbito material de esta prohibición está delimitado por la expresión </w:t>
      </w:r>
      <w:r w:rsidRPr="009E0DB9">
        <w:rPr>
          <w:rFonts w:ascii="Verdana" w:eastAsia="Calibri" w:hAnsi="Verdana" w:cs="Arial"/>
          <w:bCs/>
          <w:kern w:val="0"/>
          <w14:ligatures w14:val="none"/>
        </w:rPr>
        <w:t>“</w:t>
      </w:r>
      <w:r w:rsidRPr="009E0DB9">
        <w:rPr>
          <w:rFonts w:ascii="Verdana" w:eastAsia="Times New Roman" w:hAnsi="Verdana" w:cs="Arial"/>
          <w:kern w:val="0"/>
          <w14:ligatures w14:val="none"/>
        </w:rPr>
        <w:t>queda prohibida la contratación directa</w:t>
      </w:r>
      <w:r w:rsidRPr="009E0DB9">
        <w:rPr>
          <w:rFonts w:ascii="Verdana" w:eastAsia="Calibri" w:hAnsi="Verdana" w:cs="Arial"/>
          <w:kern w:val="0"/>
          <w14:ligatures w14:val="none"/>
        </w:rPr>
        <w:t>”</w:t>
      </w:r>
      <w:r w:rsidRPr="009E0DB9">
        <w:rPr>
          <w:rFonts w:ascii="Verdana" w:eastAsia="Times New Roman" w:hAnsi="Verdana" w:cs="Arial"/>
          <w:kern w:val="0"/>
          <w14:ligatures w14:val="none"/>
        </w:rPr>
        <w:t xml:space="preserve">. </w:t>
      </w:r>
      <w:r w:rsidRPr="009E0DB9">
        <w:rPr>
          <w:rFonts w:ascii="Verdana" w:eastAsia="Times New Roman" w:hAnsi="Verdana" w:cs="Arial"/>
          <w:kern w:val="0"/>
          <w:lang w:eastAsia="es-CO"/>
          <w14:ligatures w14:val="none"/>
        </w:rPr>
        <w:t>A propósito de esta restricción de la Ley de Garantías Electorales, la Sala de Consulta y Servicio Civil del Consejo de Estado ha considerado que:</w:t>
      </w:r>
    </w:p>
    <w:p w14:paraId="467A359A" w14:textId="77777777" w:rsidR="009E0DB9" w:rsidRPr="009E0DB9" w:rsidRDefault="009E0DB9" w:rsidP="009E0DB9">
      <w:pPr>
        <w:spacing w:after="0" w:line="240" w:lineRule="auto"/>
        <w:ind w:left="709" w:right="709"/>
        <w:jc w:val="both"/>
        <w:rPr>
          <w:rFonts w:ascii="Verdana" w:eastAsia="Calibri" w:hAnsi="Verdana" w:cs="Arial"/>
          <w:kern w:val="0"/>
          <w:sz w:val="20"/>
          <w:szCs w:val="20"/>
          <w14:ligatures w14:val="none"/>
        </w:rPr>
      </w:pPr>
      <w:r w:rsidRPr="009E0DB9">
        <w:rPr>
          <w:rFonts w:ascii="Verdana" w:eastAsia="Calibri" w:hAnsi="Verdana" w:cs="Arial"/>
          <w:kern w:val="0"/>
          <w:sz w:val="20"/>
          <w:szCs w:val="20"/>
          <w14:ligatures w14:val="none"/>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9E0DB9">
        <w:rPr>
          <w:rFonts w:ascii="Verdana" w:eastAsia="Times New Roman" w:hAnsi="Verdana" w:cs="Arial"/>
          <w:kern w:val="0"/>
          <w:sz w:val="20"/>
          <w:szCs w:val="20"/>
          <w:vertAlign w:val="superscript"/>
          <w14:ligatures w14:val="none"/>
        </w:rPr>
        <w:footnoteReference w:id="10"/>
      </w:r>
      <w:r w:rsidRPr="009E0DB9">
        <w:rPr>
          <w:rFonts w:ascii="Verdana" w:eastAsia="Times New Roman" w:hAnsi="Verdana" w:cs="Arial"/>
          <w:kern w:val="0"/>
          <w:sz w:val="20"/>
          <w:szCs w:val="20"/>
          <w:vertAlign w:val="superscript"/>
          <w14:ligatures w14:val="none"/>
        </w:rPr>
        <w:t>.</w:t>
      </w:r>
      <w:r w:rsidRPr="009E0DB9">
        <w:rPr>
          <w:rFonts w:ascii="Verdana" w:eastAsia="Calibri" w:hAnsi="Verdana" w:cs="Arial"/>
          <w:kern w:val="0"/>
          <w:sz w:val="20"/>
          <w:szCs w:val="20"/>
          <w14:ligatures w14:val="none"/>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9E0DB9">
        <w:rPr>
          <w:rFonts w:ascii="Verdana" w:eastAsia="Times New Roman" w:hAnsi="Verdana" w:cs="Arial"/>
          <w:kern w:val="0"/>
          <w:sz w:val="20"/>
          <w:szCs w:val="20"/>
          <w:vertAlign w:val="superscript"/>
          <w:lang w:eastAsia="es-CO"/>
          <w14:ligatures w14:val="none"/>
        </w:rPr>
        <w:footnoteReference w:id="11"/>
      </w:r>
      <w:r w:rsidRPr="009E0DB9">
        <w:rPr>
          <w:rFonts w:ascii="Verdana" w:eastAsia="Calibri" w:hAnsi="Verdana" w:cs="Arial"/>
          <w:kern w:val="0"/>
          <w:sz w:val="20"/>
          <w:szCs w:val="20"/>
          <w14:ligatures w14:val="none"/>
        </w:rPr>
        <w:t>.</w:t>
      </w:r>
    </w:p>
    <w:p w14:paraId="596741E4" w14:textId="77777777" w:rsidR="009E0DB9" w:rsidRPr="009E0DB9" w:rsidRDefault="009E0DB9" w:rsidP="009E0DB9">
      <w:pPr>
        <w:spacing w:after="0" w:line="240" w:lineRule="auto"/>
        <w:ind w:firstLine="709"/>
        <w:jc w:val="both"/>
        <w:rPr>
          <w:rFonts w:ascii="Verdana" w:eastAsia="Times New Roman" w:hAnsi="Verdana" w:cs="Arial"/>
          <w:kern w:val="0"/>
          <w:lang w:eastAsia="x-none"/>
          <w14:ligatures w14:val="none"/>
        </w:rPr>
      </w:pPr>
    </w:p>
    <w:p w14:paraId="6957A5B6" w14:textId="77777777" w:rsidR="009E0DB9" w:rsidRPr="009E0DB9" w:rsidRDefault="009E0DB9" w:rsidP="009E0DB9">
      <w:pPr>
        <w:spacing w:after="120" w:line="276" w:lineRule="auto"/>
        <w:ind w:firstLine="708"/>
        <w:jc w:val="both"/>
        <w:rPr>
          <w:rFonts w:ascii="Verdana" w:eastAsia="Times New Roman" w:hAnsi="Verdana" w:cs="Arial"/>
          <w:bCs/>
          <w:kern w:val="0"/>
          <w:lang w:eastAsia="x-none"/>
          <w14:ligatures w14:val="none"/>
        </w:rPr>
      </w:pPr>
      <w:r w:rsidRPr="009E0DB9">
        <w:rPr>
          <w:rFonts w:ascii="Verdana" w:eastAsia="Times New Roman" w:hAnsi="Verdana" w:cs="Arial"/>
          <w:kern w:val="0"/>
          <w:lang w:eastAsia="x-none"/>
          <w14:ligatures w14:val="none"/>
        </w:rPr>
        <w:t xml:space="preserve">De acuerdo con este concepto, la prohibición del artículo 33 de la Ley de Garantías Electorales se refiere a </w:t>
      </w:r>
      <w:r w:rsidRPr="009E0DB9">
        <w:rPr>
          <w:rFonts w:ascii="Verdana" w:eastAsia="Times New Roman" w:hAnsi="Verdana" w:cs="Arial"/>
          <w:kern w:val="0"/>
          <w:sz w:val="19"/>
          <w:szCs w:val="19"/>
          <w:lang w:eastAsia="en-GB"/>
          <w14:ligatures w14:val="none"/>
        </w:rPr>
        <w:t>“</w:t>
      </w:r>
      <w:r w:rsidRPr="009E0DB9">
        <w:rPr>
          <w:rFonts w:ascii="Verdana" w:eastAsia="Times New Roman" w:hAnsi="Verdana" w:cs="Arial"/>
          <w:kern w:val="0"/>
          <w:lang w:eastAsia="x-none"/>
          <w14:ligatures w14:val="none"/>
        </w:rPr>
        <w:t>cualquier sistema que no implique convocatoria pública y posibilidad de pluralidad de oferentes</w:t>
      </w:r>
      <w:r w:rsidRPr="009E0DB9">
        <w:rPr>
          <w:rFonts w:ascii="Verdana" w:eastAsia="Times New Roman" w:hAnsi="Verdana" w:cs="Arial"/>
          <w:kern w:val="0"/>
          <w:lang w:eastAsia="en-GB"/>
          <w14:ligatures w14:val="none"/>
        </w:rPr>
        <w:t>”</w:t>
      </w:r>
      <w:r w:rsidRPr="009E0DB9">
        <w:rPr>
          <w:rFonts w:ascii="Verdana" w:eastAsia="Times New Roman" w:hAnsi="Verdana" w:cs="Arial"/>
          <w:kern w:val="0"/>
          <w:lang w:eastAsia="x-none"/>
          <w14:ligatures w14:val="none"/>
        </w:rPr>
        <w:t xml:space="preserve">, por lo que excluye las demás modalidades de contratación previstas en la Ley 1150 de 2007, es decir, la licitación pública, la selección abreviada, el concurso de méritos </w:t>
      </w:r>
      <w:r w:rsidRPr="009E0DB9">
        <w:rPr>
          <w:rFonts w:ascii="Verdana" w:eastAsia="Times New Roman" w:hAnsi="Verdana" w:cs="Arial"/>
          <w:kern w:val="0"/>
          <w14:ligatures w14:val="none"/>
        </w:rPr>
        <w:t>y la mínima cuantía</w:t>
      </w:r>
      <w:r w:rsidRPr="009E0DB9" w:rsidDel="00A85D9F">
        <w:rPr>
          <w:rFonts w:ascii="Verdana" w:eastAsia="Times New Roman" w:hAnsi="Verdana" w:cs="Arial"/>
          <w:kern w:val="0"/>
          <w:lang w:eastAsia="x-none"/>
          <w14:ligatures w14:val="none"/>
        </w:rPr>
        <w:t xml:space="preserve"> </w:t>
      </w:r>
      <w:r w:rsidRPr="009E0DB9">
        <w:rPr>
          <w:rFonts w:ascii="Verdana" w:eastAsia="Times New Roman" w:hAnsi="Verdana" w:cs="Arial"/>
          <w:kern w:val="0"/>
          <w14:ligatures w14:val="none"/>
        </w:rPr>
        <w:t xml:space="preserve">u otros previstos en normas especiales. </w:t>
      </w:r>
      <w:r w:rsidRPr="009E0DB9">
        <w:rPr>
          <w:rFonts w:ascii="Verdana" w:eastAsia="Times New Roman" w:hAnsi="Verdana" w:cs="Arial"/>
          <w:kern w:val="0"/>
          <w:lang w:eastAsia="x-none"/>
          <w14:ligatures w14:val="none"/>
        </w:rPr>
        <w:t>Esta posición es congruente con la expedición de la Ley 1150 de 2007 que, entre otras reformas, introdujo la selección abreviada, rediseñó el concurso de méritos</w:t>
      </w:r>
      <w:r w:rsidRPr="009E0DB9">
        <w:rPr>
          <w:rFonts w:ascii="Verdana" w:eastAsia="Times New Roman" w:hAnsi="Verdana" w:cs="Arial"/>
          <w:kern w:val="0"/>
          <w:vertAlign w:val="superscript"/>
          <w:lang w:eastAsia="x-none"/>
          <w14:ligatures w14:val="none"/>
        </w:rPr>
        <w:footnoteReference w:id="12"/>
      </w:r>
      <w:r w:rsidRPr="009E0DB9">
        <w:rPr>
          <w:rFonts w:ascii="Verdana" w:eastAsia="Times New Roman" w:hAnsi="Verdana" w:cs="Arial"/>
          <w:kern w:val="0"/>
          <w:lang w:eastAsia="x-none"/>
          <w14:ligatures w14:val="none"/>
        </w:rPr>
        <w:t xml:space="preserve"> y sistematizó las causales de contratación directa</w:t>
      </w:r>
      <w:r w:rsidRPr="009E0DB9">
        <w:rPr>
          <w:rFonts w:ascii="Verdana" w:eastAsia="Times New Roman" w:hAnsi="Verdana" w:cs="Arial"/>
          <w:kern w:val="0"/>
          <w:vertAlign w:val="superscript"/>
          <w:lang w:eastAsia="x-none"/>
          <w14:ligatures w14:val="none"/>
        </w:rPr>
        <w:footnoteReference w:id="13"/>
      </w:r>
      <w:r w:rsidRPr="009E0DB9">
        <w:rPr>
          <w:rFonts w:ascii="Verdana" w:eastAsia="Times New Roman" w:hAnsi="Verdana" w:cs="Arial"/>
          <w:kern w:val="0"/>
          <w:lang w:eastAsia="x-none"/>
          <w14:ligatures w14:val="none"/>
        </w:rPr>
        <w:t xml:space="preserve">, </w:t>
      </w:r>
      <w:r w:rsidRPr="009E0DB9">
        <w:rPr>
          <w:rFonts w:ascii="Verdana" w:eastAsia="Calibri" w:hAnsi="Verdana" w:cs="Arial"/>
          <w:kern w:val="0"/>
          <w:lang w:eastAsia="x-none"/>
          <w14:ligatures w14:val="none"/>
        </w:rPr>
        <w:t xml:space="preserve">además lo es con la posterior creación de </w:t>
      </w:r>
      <w:r w:rsidRPr="009E0DB9">
        <w:rPr>
          <w:rFonts w:ascii="Verdana" w:eastAsia="Calibri" w:hAnsi="Verdana" w:cs="Arial"/>
          <w:kern w:val="0"/>
          <w:lang w:eastAsia="x-none"/>
          <w14:ligatures w14:val="none"/>
        </w:rPr>
        <w:lastRenderedPageBreak/>
        <w:t>la modalidad de mínima cuantía establecida actualmente en el numeral 5 del artículo 2 de la Ley 1150 de 2007, de acuerdo con las modificaciones realizadas por leyes posteriores.</w:t>
      </w:r>
    </w:p>
    <w:p w14:paraId="627D27CF" w14:textId="77777777" w:rsidR="009E0DB9" w:rsidRPr="009E0DB9" w:rsidRDefault="009E0DB9" w:rsidP="009E0DB9">
      <w:pPr>
        <w:spacing w:after="120" w:line="276" w:lineRule="auto"/>
        <w:ind w:firstLine="708"/>
        <w:jc w:val="both"/>
        <w:rPr>
          <w:rFonts w:ascii="Verdana" w:eastAsia="Times New Roman" w:hAnsi="Verdana" w:cs="Arial"/>
          <w:bCs/>
          <w:kern w:val="0"/>
          <w:lang w:eastAsia="es-CO"/>
          <w14:ligatures w14:val="none"/>
        </w:rPr>
      </w:pPr>
      <w:r w:rsidRPr="009E0DB9">
        <w:rPr>
          <w:rFonts w:ascii="Verdana" w:eastAsia="Times New Roman" w:hAnsi="Verdana" w:cs="Arial"/>
          <w:bCs/>
          <w:kern w:val="0"/>
          <w:lang w:eastAsia="es-CO"/>
          <w14:ligatures w14:val="none"/>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9E0DB9">
        <w:rPr>
          <w:rFonts w:ascii="Verdana" w:eastAsia="Times New Roman" w:hAnsi="Verdana" w:cs="Arial"/>
          <w:bCs/>
          <w:i/>
          <w:iCs/>
          <w:kern w:val="0"/>
          <w:lang w:eastAsia="es-CO"/>
          <w14:ligatures w14:val="none"/>
        </w:rPr>
        <w:t>, sino también frente a las entidades que tengan un régimen especial de contratación</w:t>
      </w:r>
      <w:r w:rsidRPr="009E0DB9">
        <w:rPr>
          <w:rFonts w:ascii="Verdana" w:eastAsia="Times New Roman" w:hAnsi="Verdana" w:cs="Arial"/>
          <w:bCs/>
          <w:kern w:val="0"/>
          <w:lang w:eastAsia="es-CO"/>
          <w14:ligatures w14:val="none"/>
        </w:rPr>
        <w:t xml:space="preserve">. No obstante, también se observa que luego de la expedición de Ley 1150 de 2007, el Consejo de Estado comenzó a delimitar con mayor precisión el término de “contratación directa”. </w:t>
      </w:r>
      <w:r w:rsidRPr="009E0DB9">
        <w:rPr>
          <w:rFonts w:ascii="Verdana" w:eastAsia="Times New Roman" w:hAnsi="Verdana" w:cs="Arial"/>
          <w:kern w:val="0"/>
          <w14:ligatures w14:val="none"/>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9E0DB9">
        <w:rPr>
          <w:rFonts w:ascii="Verdana" w:eastAsia="Times New Roman" w:hAnsi="Verdana" w:cs="Arial"/>
          <w:kern w:val="0"/>
          <w:vertAlign w:val="superscript"/>
          <w:lang w:eastAsia="x-none"/>
          <w14:ligatures w14:val="none"/>
        </w:rPr>
        <w:footnoteReference w:id="14"/>
      </w:r>
      <w:r w:rsidRPr="009E0DB9">
        <w:rPr>
          <w:rFonts w:ascii="Verdana" w:eastAsia="Times New Roman" w:hAnsi="Verdana" w:cs="Arial"/>
          <w:kern w:val="0"/>
          <w14:ligatures w14:val="none"/>
        </w:rPr>
        <w:t>.</w:t>
      </w:r>
      <w:r w:rsidRPr="009E0DB9">
        <w:rPr>
          <w:rFonts w:ascii="Verdana" w:eastAsia="Times New Roman" w:hAnsi="Verdana" w:cs="Arial"/>
          <w:kern w:val="0"/>
          <w:vertAlign w:val="superscript"/>
          <w:lang w:eastAsia="x-none"/>
          <w14:ligatures w14:val="none"/>
        </w:rPr>
        <w:t xml:space="preserve"> </w:t>
      </w:r>
    </w:p>
    <w:p w14:paraId="766D113A" w14:textId="77777777" w:rsidR="009E0DB9" w:rsidRPr="009E0DB9" w:rsidRDefault="009E0DB9" w:rsidP="009E0DB9">
      <w:pPr>
        <w:spacing w:after="0" w:line="276" w:lineRule="auto"/>
        <w:ind w:firstLine="708"/>
        <w:jc w:val="both"/>
        <w:rPr>
          <w:rFonts w:ascii="Verdana" w:eastAsia="Times New Roman" w:hAnsi="Verdana" w:cs="Arial"/>
          <w:kern w:val="0"/>
          <w14:ligatures w14:val="none"/>
        </w:rPr>
      </w:pPr>
      <w:r w:rsidRPr="009E0DB9">
        <w:rPr>
          <w:rFonts w:ascii="Verdana" w:eastAsia="Times New Roman" w:hAnsi="Verdana" w:cs="Arial"/>
          <w:kern w:val="0"/>
          <w14:ligatures w14:val="none"/>
        </w:rPr>
        <w:t xml:space="preserve">De lo anterior se desprende que la restricción aplica, sin perjuicio de las excepciones establecidas en la misma ley, para celebrar </w:t>
      </w:r>
      <w:r w:rsidRPr="009E0DB9">
        <w:rPr>
          <w:rFonts w:ascii="Verdana" w:eastAsia="Times New Roman" w:hAnsi="Verdana" w:cs="Arial"/>
          <w:i/>
          <w:iCs/>
          <w:kern w:val="0"/>
          <w14:ligatures w14:val="none"/>
        </w:rPr>
        <w:t>cualquier contrato de forma directa</w:t>
      </w:r>
      <w:r w:rsidRPr="009E0DB9">
        <w:rPr>
          <w:rFonts w:ascii="Verdana" w:eastAsia="Times New Roman" w:hAnsi="Verdana" w:cs="Arial"/>
          <w:kern w:val="0"/>
          <w14:ligatures w14:val="none"/>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bookmarkStart w:id="4" w:name="_Hlk77237094"/>
    </w:p>
    <w:p w14:paraId="513AE6E3" w14:textId="77777777" w:rsidR="009E0DB9" w:rsidRPr="009E0DB9" w:rsidRDefault="009E0DB9" w:rsidP="009E0DB9">
      <w:pPr>
        <w:spacing w:after="0" w:line="240" w:lineRule="auto"/>
        <w:ind w:firstLine="709"/>
        <w:jc w:val="both"/>
        <w:rPr>
          <w:rFonts w:ascii="Verdana" w:eastAsia="Times New Roman" w:hAnsi="Verdana" w:cs="Arial"/>
          <w:kern w:val="0"/>
          <w14:ligatures w14:val="none"/>
        </w:rPr>
      </w:pPr>
    </w:p>
    <w:p w14:paraId="5BB88661" w14:textId="77777777" w:rsidR="009E0DB9" w:rsidRPr="009E0DB9" w:rsidRDefault="009E0DB9" w:rsidP="009E0DB9">
      <w:pPr>
        <w:spacing w:after="0" w:line="276" w:lineRule="auto"/>
        <w:ind w:firstLine="708"/>
        <w:jc w:val="both"/>
        <w:rPr>
          <w:rFonts w:ascii="Verdana" w:eastAsia="Times New Roman" w:hAnsi="Verdana" w:cs="Arial"/>
          <w:kern w:val="0"/>
          <w14:ligatures w14:val="none"/>
        </w:rPr>
      </w:pPr>
      <w:r w:rsidRPr="009E0DB9">
        <w:rPr>
          <w:rFonts w:ascii="Verdana" w:eastAsia="Times New Roman" w:hAnsi="Verdana" w:cs="Arial"/>
          <w:kern w:val="0"/>
          <w14:ligatures w14:val="none"/>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Electorales, sin que ello haga nugatoria la restricción de la contratación directa y siempre que</w:t>
      </w:r>
      <w:r w:rsidRPr="009E0DB9">
        <w:rPr>
          <w:rFonts w:ascii="Verdana" w:eastAsia="Times New Roman" w:hAnsi="Verdana" w:cs="Arial"/>
          <w:bCs/>
          <w:kern w:val="0"/>
          <w:lang w:eastAsia="es-CO"/>
          <w14:ligatures w14:val="none"/>
        </w:rPr>
        <w:t xml:space="preserve"> cumplan los principios de planeación, transparencia y responsabilidad.</w:t>
      </w:r>
      <w:bookmarkEnd w:id="4"/>
    </w:p>
    <w:p w14:paraId="51081100" w14:textId="77777777" w:rsidR="009E0DB9" w:rsidRPr="009E0DB9" w:rsidRDefault="009E0DB9" w:rsidP="009E0DB9">
      <w:pPr>
        <w:spacing w:after="0" w:line="276" w:lineRule="auto"/>
        <w:ind w:firstLine="709"/>
        <w:jc w:val="both"/>
        <w:rPr>
          <w:rFonts w:ascii="Verdana" w:eastAsia="Times New Roman" w:hAnsi="Verdana" w:cs="Arial"/>
          <w:kern w:val="0"/>
          <w14:ligatures w14:val="none"/>
        </w:rPr>
      </w:pPr>
      <w:r w:rsidRPr="009E0DB9">
        <w:rPr>
          <w:rFonts w:ascii="Verdana" w:eastAsia="Times New Roman" w:hAnsi="Verdana" w:cs="Arial"/>
          <w:bCs/>
          <w:kern w:val="0"/>
          <w:lang w:eastAsia="es-CO"/>
          <w14:ligatures w14:val="none"/>
        </w:rPr>
        <w:t xml:space="preserve">Con respecto a los </w:t>
      </w:r>
      <w:r w:rsidRPr="009E0DB9">
        <w:rPr>
          <w:rFonts w:ascii="Verdana" w:eastAsia="Times New Roman" w:hAnsi="Verdana" w:cs="Arial"/>
          <w:bCs/>
          <w:i/>
          <w:iCs/>
          <w:kern w:val="0"/>
          <w:lang w:eastAsia="es-CO"/>
          <w14:ligatures w14:val="none"/>
        </w:rPr>
        <w:t>sujetos</w:t>
      </w:r>
      <w:r w:rsidRPr="009E0DB9">
        <w:rPr>
          <w:rFonts w:ascii="Verdana" w:eastAsia="Times New Roman" w:hAnsi="Verdana" w:cs="Arial"/>
          <w:bCs/>
          <w:kern w:val="0"/>
          <w:lang w:eastAsia="es-CO"/>
          <w14:ligatures w14:val="none"/>
        </w:rPr>
        <w:t xml:space="preserve"> que se encuentran enmarcados en la prohibición del artículo 33, </w:t>
      </w:r>
      <w:r w:rsidRPr="009E0DB9">
        <w:rPr>
          <w:rFonts w:ascii="Verdana" w:eastAsia="Times New Roman" w:hAnsi="Verdana" w:cs="Arial"/>
          <w:kern w:val="0"/>
          <w14:ligatures w14:val="none"/>
        </w:rPr>
        <w:t xml:space="preserve">la Ley 996 de 2005 señala expresamente que son </w:t>
      </w:r>
      <w:r w:rsidRPr="009E0DB9">
        <w:rPr>
          <w:rFonts w:ascii="Verdana" w:eastAsia="Times New Roman" w:hAnsi="Verdana" w:cs="Arial"/>
          <w:kern w:val="0"/>
          <w14:ligatures w14:val="none"/>
        </w:rPr>
        <w:lastRenderedPageBreak/>
        <w:t>“</w:t>
      </w:r>
      <w:r w:rsidRPr="009E0DB9">
        <w:rPr>
          <w:rFonts w:ascii="Verdana" w:eastAsia="Times New Roman" w:hAnsi="Verdana" w:cs="Arial"/>
          <w:i/>
          <w:iCs/>
          <w:kern w:val="0"/>
          <w:u w:val="single"/>
          <w14:ligatures w14:val="none"/>
        </w:rPr>
        <w:t>todos</w:t>
      </w:r>
      <w:r w:rsidRPr="009E0DB9">
        <w:rPr>
          <w:rFonts w:ascii="Verdana" w:eastAsia="Times New Roman" w:hAnsi="Verdana" w:cs="Arial"/>
          <w:i/>
          <w:iCs/>
          <w:kern w:val="0"/>
          <w14:ligatures w14:val="none"/>
        </w:rPr>
        <w:t xml:space="preserve"> los entes del Estado</w:t>
      </w:r>
      <w:r w:rsidRPr="009E0DB9">
        <w:rPr>
          <w:rFonts w:ascii="Verdana" w:eastAsia="Times New Roman" w:hAnsi="Verdana" w:cs="Arial"/>
          <w:kern w:val="0"/>
          <w14:ligatures w14:val="none"/>
        </w:rPr>
        <w:t>” (énfasis propio). Al respecto la Sala De Consulta y Servicio Civil del Consejo de Estado señaló lo siguiente:</w:t>
      </w:r>
    </w:p>
    <w:p w14:paraId="3D811E11" w14:textId="77777777" w:rsidR="009E0DB9" w:rsidRPr="009E0DB9" w:rsidRDefault="009E0DB9" w:rsidP="009E0DB9">
      <w:pPr>
        <w:spacing w:after="0" w:line="276" w:lineRule="auto"/>
        <w:ind w:firstLine="708"/>
        <w:jc w:val="both"/>
        <w:rPr>
          <w:rFonts w:ascii="Verdana" w:eastAsia="Times New Roman" w:hAnsi="Verdana" w:cs="Arial"/>
          <w:kern w:val="0"/>
          <w14:ligatures w14:val="none"/>
        </w:rPr>
      </w:pPr>
    </w:p>
    <w:p w14:paraId="1D6B4FB0" w14:textId="77777777" w:rsidR="009E0DB9" w:rsidRPr="009E0DB9" w:rsidRDefault="009E0DB9" w:rsidP="009E0DB9">
      <w:pPr>
        <w:spacing w:after="0" w:line="240" w:lineRule="auto"/>
        <w:ind w:left="709" w:right="709"/>
        <w:jc w:val="both"/>
        <w:rPr>
          <w:rFonts w:ascii="Verdana" w:eastAsia="Times New Roman" w:hAnsi="Verdana" w:cs="Arial"/>
          <w:bCs/>
          <w:kern w:val="0"/>
          <w:lang w:eastAsia="es-CO"/>
          <w14:ligatures w14:val="none"/>
        </w:rPr>
      </w:pPr>
      <w:r w:rsidRPr="009E0DB9">
        <w:rPr>
          <w:rFonts w:ascii="Verdana" w:eastAsia="Times New Roman" w:hAnsi="Verdana" w:cs="Arial"/>
          <w:bCs/>
          <w:kern w:val="0"/>
          <w:sz w:val="20"/>
          <w:szCs w:val="20"/>
          <w:lang w:eastAsia="es-CO"/>
          <w14:ligatures w14:val="none"/>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9E0DB9">
        <w:rPr>
          <w:rFonts w:ascii="Verdana" w:eastAsia="Times New Roman" w:hAnsi="Verdana" w:cs="Arial"/>
          <w:bCs/>
          <w:kern w:val="0"/>
          <w:sz w:val="20"/>
          <w:szCs w:val="20"/>
          <w:vertAlign w:val="superscript"/>
          <w:lang w:eastAsia="es-CO"/>
          <w14:ligatures w14:val="none"/>
        </w:rPr>
        <w:footnoteReference w:id="15"/>
      </w:r>
      <w:r w:rsidRPr="009E0DB9">
        <w:rPr>
          <w:rFonts w:ascii="Verdana" w:eastAsia="Times New Roman" w:hAnsi="Verdana" w:cs="Arial"/>
          <w:bCs/>
          <w:kern w:val="0"/>
          <w:sz w:val="20"/>
          <w:szCs w:val="20"/>
          <w:lang w:eastAsia="es-CO"/>
          <w14:ligatures w14:val="none"/>
        </w:rPr>
        <w:t>.</w:t>
      </w:r>
    </w:p>
    <w:p w14:paraId="38DCE0CA" w14:textId="77777777" w:rsidR="009E0DB9" w:rsidRPr="009E0DB9" w:rsidRDefault="009E0DB9" w:rsidP="009E0DB9">
      <w:pPr>
        <w:spacing w:before="240" w:line="276" w:lineRule="auto"/>
        <w:ind w:firstLine="708"/>
        <w:jc w:val="both"/>
        <w:rPr>
          <w:rFonts w:ascii="Verdana" w:eastAsia="Calibri" w:hAnsi="Verdana" w:cs="Arial"/>
          <w:bCs/>
          <w:kern w:val="0"/>
          <w:sz w:val="20"/>
          <w:szCs w:val="20"/>
          <w:lang w:eastAsia="es-CO"/>
          <w14:ligatures w14:val="none"/>
        </w:rPr>
      </w:pPr>
      <w:r w:rsidRPr="009E0DB9">
        <w:rPr>
          <w:rFonts w:ascii="Verdana" w:eastAsia="Calibri" w:hAnsi="Verdana" w:cs="Arial"/>
          <w:bCs/>
          <w:kern w:val="0"/>
          <w:lang w:eastAsia="x-none"/>
          <w14:ligatures w14:val="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9E0DB9">
        <w:rPr>
          <w:rFonts w:ascii="Verdana" w:eastAsia="Calibri" w:hAnsi="Verdana" w:cs="Times New Roman"/>
          <w:kern w:val="0"/>
          <w14:ligatures w14:val="none"/>
        </w:rPr>
        <w:t xml:space="preserve"> </w:t>
      </w:r>
      <w:r w:rsidRPr="009E0DB9">
        <w:rPr>
          <w:rFonts w:ascii="Verdana" w:eastAsia="Calibri" w:hAnsi="Verdana" w:cs="Arial"/>
          <w:bCs/>
          <w:kern w:val="0"/>
          <w:lang w:eastAsia="x-none"/>
          <w14:ligatures w14:val="none"/>
        </w:rPr>
        <w:t>En efecto, tal como lo ha sostenido el Consejo de Estado, el vocablo “todos” utilizado por el legislador comprende</w:t>
      </w:r>
      <w:r w:rsidRPr="009E0DB9">
        <w:rPr>
          <w:rFonts w:ascii="Verdana" w:eastAsia="Calibri" w:hAnsi="Verdana" w:cs="Times New Roman"/>
          <w:kern w:val="0"/>
          <w14:ligatures w14:val="none"/>
        </w:rPr>
        <w:t xml:space="preserve"> </w:t>
      </w:r>
      <w:r w:rsidRPr="009E0DB9">
        <w:rPr>
          <w:rFonts w:ascii="Verdana" w:eastAsia="Calibri" w:hAnsi="Verdana" w:cs="Arial"/>
          <w:bCs/>
          <w:kern w:val="0"/>
          <w:lang w:eastAsia="x-none"/>
          <w14:ligatures w14:val="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9E0DB9">
        <w:rPr>
          <w:rFonts w:ascii="Verdana" w:eastAsia="Calibri" w:hAnsi="Verdana" w:cs="Arial"/>
          <w:bCs/>
          <w:kern w:val="0"/>
          <w:sz w:val="20"/>
          <w:szCs w:val="20"/>
          <w:vertAlign w:val="superscript"/>
          <w:lang w:eastAsia="x-none"/>
          <w14:ligatures w14:val="none"/>
        </w:rPr>
        <w:footnoteReference w:id="16"/>
      </w:r>
      <w:r w:rsidRPr="009E0DB9">
        <w:rPr>
          <w:rFonts w:ascii="Verdana" w:eastAsia="Calibri" w:hAnsi="Verdana" w:cs="Arial"/>
          <w:bCs/>
          <w:kern w:val="0"/>
          <w:sz w:val="20"/>
          <w:szCs w:val="20"/>
          <w:lang w:eastAsia="x-none"/>
          <w14:ligatures w14:val="none"/>
        </w:rPr>
        <w:t>.</w:t>
      </w:r>
    </w:p>
    <w:p w14:paraId="0CA874A9" w14:textId="77777777" w:rsidR="009E0DB9" w:rsidRPr="009E0DB9" w:rsidRDefault="009E0DB9" w:rsidP="009E0DB9">
      <w:pPr>
        <w:spacing w:line="276" w:lineRule="auto"/>
        <w:ind w:firstLine="709"/>
        <w:jc w:val="both"/>
        <w:rPr>
          <w:rFonts w:ascii="Verdana" w:eastAsia="Arial" w:hAnsi="Verdana" w:cs="Arial"/>
          <w:bCs/>
          <w:color w:val="000000"/>
          <w:kern w:val="0"/>
          <w14:ligatures w14:val="none"/>
        </w:rPr>
      </w:pPr>
      <w:r w:rsidRPr="009E0DB9">
        <w:rPr>
          <w:rFonts w:ascii="Verdana" w:eastAsia="Arial" w:hAnsi="Verdana" w:cs="Arial"/>
          <w:color w:val="000000"/>
          <w:kern w:val="0"/>
          <w14:ligatures w14:val="none"/>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3590319D" w14:textId="77777777" w:rsidR="009E0DB9" w:rsidRPr="009E0DB9" w:rsidRDefault="009E0DB9" w:rsidP="009E0DB9">
      <w:pPr>
        <w:spacing w:before="120" w:line="276" w:lineRule="auto"/>
        <w:ind w:firstLine="709"/>
        <w:jc w:val="both"/>
        <w:rPr>
          <w:rFonts w:ascii="Verdana" w:eastAsia="Calibri" w:hAnsi="Verdana" w:cs="Arial"/>
          <w:bCs/>
          <w:color w:val="000000"/>
          <w:kern w:val="0"/>
          <w14:ligatures w14:val="none"/>
        </w:rPr>
      </w:pPr>
      <w:r w:rsidRPr="009E0DB9">
        <w:rPr>
          <w:rFonts w:ascii="Verdana" w:eastAsia="Arial" w:hAnsi="Verdana" w:cs="Arial"/>
          <w:bCs/>
          <w:color w:val="000000"/>
          <w:kern w:val="0"/>
          <w14:ligatures w14:val="none"/>
        </w:rPr>
        <w:t xml:space="preserve">En este punto, debe tenerse en cuenta que, en principio, todos los entes del Estado están cobijados por la prohibición para contratar directamente </w:t>
      </w:r>
      <w:r w:rsidRPr="009E0DB9">
        <w:rPr>
          <w:rFonts w:ascii="Verdana" w:eastAsia="Arial" w:hAnsi="Verdana" w:cs="Arial"/>
          <w:bCs/>
          <w:color w:val="000000"/>
          <w:kern w:val="0"/>
          <w14:ligatures w14:val="none"/>
        </w:rPr>
        <w:lastRenderedPageBreak/>
        <w:t xml:space="preserve">establecida en el artículo 33 de la Ley de Garantías Electorales. Sin embargo, es importante reiterar que </w:t>
      </w:r>
      <w:r w:rsidRPr="009E0DB9">
        <w:rPr>
          <w:rFonts w:ascii="Verdana" w:eastAsia="Calibri" w:hAnsi="Verdana" w:cs="Arial"/>
          <w:bCs/>
          <w:color w:val="000000"/>
          <w:kern w:val="0"/>
          <w14:ligatures w14:val="none"/>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77CC330B" w14:textId="77777777" w:rsidR="009E0DB9" w:rsidRPr="009E0DB9" w:rsidRDefault="009E0DB9" w:rsidP="009E0DB9">
      <w:pPr>
        <w:tabs>
          <w:tab w:val="left" w:pos="709"/>
        </w:tabs>
        <w:spacing w:before="120" w:line="276" w:lineRule="auto"/>
        <w:jc w:val="both"/>
        <w:rPr>
          <w:rFonts w:ascii="Verdana" w:eastAsia="Calibri" w:hAnsi="Verdana" w:cs="Arial"/>
          <w:bCs/>
          <w:color w:val="000000"/>
          <w:kern w:val="0"/>
          <w14:ligatures w14:val="none"/>
        </w:rPr>
      </w:pPr>
      <w:r w:rsidRPr="009E0DB9">
        <w:rPr>
          <w:rFonts w:ascii="Verdana" w:eastAsia="Calibri" w:hAnsi="Verdana" w:cs="Arial"/>
          <w:bCs/>
          <w:color w:val="000000"/>
          <w:kern w:val="0"/>
          <w14:ligatures w14:val="none"/>
        </w:rPr>
        <w:tab/>
        <w:t>i) La contratación referente a la defensa y seguridad del Estado;</w:t>
      </w:r>
    </w:p>
    <w:p w14:paraId="6FCF131F" w14:textId="77777777" w:rsidR="009E0DB9" w:rsidRPr="009E0DB9" w:rsidRDefault="009E0DB9" w:rsidP="009E0DB9">
      <w:pPr>
        <w:tabs>
          <w:tab w:val="left" w:pos="709"/>
        </w:tabs>
        <w:spacing w:before="120" w:line="276" w:lineRule="auto"/>
        <w:jc w:val="both"/>
        <w:rPr>
          <w:rFonts w:ascii="Verdana" w:eastAsia="Calibri" w:hAnsi="Verdana" w:cs="Arial"/>
          <w:bCs/>
          <w:color w:val="000000"/>
          <w:kern w:val="0"/>
          <w14:ligatures w14:val="none"/>
        </w:rPr>
      </w:pPr>
      <w:r w:rsidRPr="009E0DB9">
        <w:rPr>
          <w:rFonts w:ascii="Verdana" w:eastAsia="Calibri" w:hAnsi="Verdana" w:cs="Arial"/>
          <w:bCs/>
          <w:color w:val="000000"/>
          <w:kern w:val="0"/>
          <w14:ligatures w14:val="none"/>
        </w:rPr>
        <w:tab/>
      </w:r>
      <w:proofErr w:type="spellStart"/>
      <w:r w:rsidRPr="009E0DB9">
        <w:rPr>
          <w:rFonts w:ascii="Verdana" w:eastAsia="Calibri" w:hAnsi="Verdana" w:cs="Arial"/>
          <w:bCs/>
          <w:color w:val="000000"/>
          <w:kern w:val="0"/>
          <w14:ligatures w14:val="none"/>
        </w:rPr>
        <w:t>ii</w:t>
      </w:r>
      <w:proofErr w:type="spellEnd"/>
      <w:r w:rsidRPr="009E0DB9">
        <w:rPr>
          <w:rFonts w:ascii="Verdana" w:eastAsia="Calibri" w:hAnsi="Verdana" w:cs="Arial"/>
          <w:bCs/>
          <w:color w:val="000000"/>
          <w:kern w:val="0"/>
          <w14:ligatures w14:val="none"/>
        </w:rPr>
        <w:t>) Los contratos de crédito público;</w:t>
      </w:r>
    </w:p>
    <w:p w14:paraId="761D7C47" w14:textId="77777777" w:rsidR="009E0DB9" w:rsidRPr="009E0DB9" w:rsidRDefault="009E0DB9" w:rsidP="009E0DB9">
      <w:pPr>
        <w:tabs>
          <w:tab w:val="left" w:pos="709"/>
        </w:tabs>
        <w:spacing w:before="120" w:line="276" w:lineRule="auto"/>
        <w:jc w:val="both"/>
        <w:rPr>
          <w:rFonts w:ascii="Verdana" w:eastAsia="Calibri" w:hAnsi="Verdana" w:cs="Arial"/>
          <w:bCs/>
          <w:color w:val="000000"/>
          <w:kern w:val="0"/>
          <w14:ligatures w14:val="none"/>
        </w:rPr>
      </w:pPr>
      <w:r w:rsidRPr="009E0DB9">
        <w:rPr>
          <w:rFonts w:ascii="Verdana" w:eastAsia="Calibri" w:hAnsi="Verdana" w:cs="Arial"/>
          <w:bCs/>
          <w:color w:val="000000"/>
          <w:kern w:val="0"/>
          <w14:ligatures w14:val="none"/>
        </w:rPr>
        <w:tab/>
      </w:r>
      <w:proofErr w:type="spellStart"/>
      <w:r w:rsidRPr="009E0DB9">
        <w:rPr>
          <w:rFonts w:ascii="Verdana" w:eastAsia="Calibri" w:hAnsi="Verdana" w:cs="Arial"/>
          <w:bCs/>
          <w:color w:val="000000"/>
          <w:kern w:val="0"/>
          <w14:ligatures w14:val="none"/>
        </w:rPr>
        <w:t>iii</w:t>
      </w:r>
      <w:proofErr w:type="spellEnd"/>
      <w:r w:rsidRPr="009E0DB9">
        <w:rPr>
          <w:rFonts w:ascii="Verdana" w:eastAsia="Calibri" w:hAnsi="Verdana" w:cs="Arial"/>
          <w:bCs/>
          <w:color w:val="000000"/>
          <w:kern w:val="0"/>
          <w14:ligatures w14:val="none"/>
        </w:rPr>
        <w:t xml:space="preserve">) Los contratos requeridos para cubrir las emergencias educativas, sanitarias y desastres; </w:t>
      </w:r>
    </w:p>
    <w:p w14:paraId="64359EE9" w14:textId="77777777" w:rsidR="009E0DB9" w:rsidRPr="009E0DB9" w:rsidRDefault="009E0DB9" w:rsidP="009E0DB9">
      <w:pPr>
        <w:tabs>
          <w:tab w:val="left" w:pos="709"/>
        </w:tabs>
        <w:spacing w:before="120" w:line="276" w:lineRule="auto"/>
        <w:jc w:val="both"/>
        <w:rPr>
          <w:rFonts w:ascii="Verdana" w:eastAsia="Calibri" w:hAnsi="Verdana" w:cs="Arial"/>
          <w:bCs/>
          <w:color w:val="000000"/>
          <w:kern w:val="0"/>
          <w14:ligatures w14:val="none"/>
        </w:rPr>
      </w:pPr>
      <w:r w:rsidRPr="009E0DB9">
        <w:rPr>
          <w:rFonts w:ascii="Verdana" w:eastAsia="Calibri" w:hAnsi="Verdana" w:cs="Arial"/>
          <w:bCs/>
          <w:color w:val="000000"/>
          <w:kern w:val="0"/>
          <w14:ligatures w14:val="none"/>
        </w:rPr>
        <w:tab/>
      </w:r>
      <w:proofErr w:type="spellStart"/>
      <w:r w:rsidRPr="009E0DB9">
        <w:rPr>
          <w:rFonts w:ascii="Verdana" w:eastAsia="Calibri" w:hAnsi="Verdana" w:cs="Arial"/>
          <w:bCs/>
          <w:color w:val="000000"/>
          <w:kern w:val="0"/>
          <w14:ligatures w14:val="none"/>
        </w:rPr>
        <w:t>iv</w:t>
      </w:r>
      <w:proofErr w:type="spellEnd"/>
      <w:r w:rsidRPr="009E0DB9">
        <w:rPr>
          <w:rFonts w:ascii="Verdana" w:eastAsia="Calibri" w:hAnsi="Verdana" w:cs="Arial"/>
          <w:bCs/>
          <w:color w:val="000000"/>
          <w:kern w:val="0"/>
          <w14:ligatures w14:val="none"/>
        </w:rPr>
        <w:t>) La contratación para la reconstrucción de vías, puentes, carreteras, infraestructura energética y de comunicaciones, en caso de que hayan sido objeto de atentados, acciones terroristas, desastres naturales o casos de fuerza mayor y;</w:t>
      </w:r>
    </w:p>
    <w:p w14:paraId="781E38DE" w14:textId="77777777" w:rsidR="009E0DB9" w:rsidRPr="009E0DB9" w:rsidRDefault="009E0DB9" w:rsidP="009E0DB9">
      <w:pPr>
        <w:tabs>
          <w:tab w:val="left" w:pos="709"/>
        </w:tabs>
        <w:spacing w:before="120" w:line="276" w:lineRule="auto"/>
        <w:jc w:val="both"/>
        <w:rPr>
          <w:rFonts w:ascii="Verdana" w:eastAsia="Calibri" w:hAnsi="Verdana" w:cs="Arial"/>
          <w:bCs/>
          <w:color w:val="000000"/>
          <w:kern w:val="0"/>
          <w14:ligatures w14:val="none"/>
        </w:rPr>
      </w:pPr>
      <w:r w:rsidRPr="009E0DB9">
        <w:rPr>
          <w:rFonts w:ascii="Verdana" w:eastAsia="Calibri" w:hAnsi="Verdana" w:cs="Arial"/>
          <w:bCs/>
          <w:color w:val="000000"/>
          <w:kern w:val="0"/>
          <w14:ligatures w14:val="none"/>
        </w:rPr>
        <w:tab/>
        <w:t xml:space="preserve">v) La contratación que deban realizar las entidades sanitarias y hospitalarias. </w:t>
      </w:r>
    </w:p>
    <w:p w14:paraId="3A788FE4" w14:textId="77777777" w:rsidR="009E0DB9" w:rsidRPr="009E0DB9" w:rsidRDefault="009E0DB9" w:rsidP="009E0DB9">
      <w:pPr>
        <w:spacing w:before="240" w:line="276" w:lineRule="auto"/>
        <w:ind w:firstLine="709"/>
        <w:jc w:val="both"/>
        <w:rPr>
          <w:rFonts w:ascii="Verdana" w:eastAsia="Calibri" w:hAnsi="Verdana" w:cs="Arial"/>
          <w:kern w:val="0"/>
          <w:lang w:eastAsia="x-none"/>
          <w14:ligatures w14:val="none"/>
        </w:rPr>
      </w:pPr>
      <w:r w:rsidRPr="009E0DB9">
        <w:rPr>
          <w:rFonts w:ascii="Verdana" w:eastAsia="Calibri" w:hAnsi="Verdana" w:cs="Arial"/>
          <w:kern w:val="0"/>
          <w:lang w:eastAsia="x-none"/>
          <w14:ligatures w14:val="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9E0DB9">
        <w:rPr>
          <w:rFonts w:ascii="Verdana" w:eastAsia="Calibri" w:hAnsi="Verdana" w:cs="Arial"/>
          <w:color w:val="000000"/>
          <w:kern w:val="0"/>
          <w:vertAlign w:val="superscript"/>
          <w:lang w:eastAsia="es-CO"/>
          <w14:ligatures w14:val="none"/>
        </w:rPr>
        <w:footnoteReference w:id="17"/>
      </w:r>
      <w:r w:rsidRPr="009E0DB9">
        <w:rPr>
          <w:rFonts w:ascii="Verdana" w:eastAsia="Calibri" w:hAnsi="Verdana" w:cs="Arial"/>
          <w:kern w:val="0"/>
          <w:lang w:eastAsia="x-none"/>
          <w14:ligatures w14:val="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E34DF64" w14:textId="77777777" w:rsidR="009E0DB9" w:rsidRPr="009E0DB9" w:rsidRDefault="009E0DB9" w:rsidP="009E0DB9">
      <w:pPr>
        <w:tabs>
          <w:tab w:val="left" w:pos="426"/>
        </w:tabs>
        <w:spacing w:before="120" w:line="276" w:lineRule="auto"/>
        <w:ind w:firstLine="709"/>
        <w:jc w:val="both"/>
        <w:rPr>
          <w:rFonts w:ascii="Verdana" w:eastAsia="Calibri" w:hAnsi="Verdana" w:cs="Arial"/>
          <w:bCs/>
          <w:color w:val="000000"/>
          <w:kern w:val="0"/>
          <w14:ligatures w14:val="none"/>
        </w:rPr>
      </w:pPr>
      <w:r w:rsidRPr="009E0DB9">
        <w:rPr>
          <w:rFonts w:ascii="Verdana" w:eastAsia="Calibri" w:hAnsi="Verdana" w:cs="Arial"/>
          <w:bCs/>
          <w:color w:val="000000"/>
          <w:kern w:val="0"/>
          <w14:ligatures w14:val="none"/>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0D6AD6B3" w14:textId="77777777" w:rsidR="009E0DB9" w:rsidRPr="009E0DB9" w:rsidRDefault="009E0DB9" w:rsidP="009E0DB9">
      <w:pPr>
        <w:shd w:val="clear" w:color="auto" w:fill="FFFFFF"/>
        <w:spacing w:after="0" w:line="240" w:lineRule="auto"/>
        <w:ind w:left="709" w:right="709"/>
        <w:jc w:val="both"/>
        <w:rPr>
          <w:rFonts w:ascii="Verdana" w:eastAsia="Calibri" w:hAnsi="Verdana" w:cs="Arial"/>
          <w:color w:val="000000"/>
          <w:kern w:val="0"/>
          <w:sz w:val="20"/>
          <w:szCs w:val="20"/>
          <w:lang w:eastAsia="es-CO"/>
          <w14:ligatures w14:val="none"/>
        </w:rPr>
      </w:pPr>
      <w:r w:rsidRPr="009E0DB9">
        <w:rPr>
          <w:rFonts w:ascii="Verdana" w:eastAsia="Calibri" w:hAnsi="Verdana" w:cs="Arial"/>
          <w:color w:val="000000"/>
          <w:kern w:val="0"/>
          <w:sz w:val="20"/>
          <w:szCs w:val="20"/>
          <w:lang w:eastAsia="es-CO"/>
          <w14:ligatures w14:val="none"/>
        </w:rPr>
        <w:lastRenderedPageBreak/>
        <w:t>“[…] Las excepciones establecidas en los artículos 32 y 33 en comento, guardan relación, exclusivamente, con algunos servicios públicos que por su naturaleza no admiten postergaciones en la atención de sus necesidades de personal, bienes y servicios (...)</w:t>
      </w:r>
      <w:r w:rsidRPr="009E0DB9">
        <w:rPr>
          <w:rFonts w:ascii="Verdana" w:eastAsia="Calibri" w:hAnsi="Verdana" w:cs="Arial"/>
          <w:color w:val="000000"/>
          <w:kern w:val="0"/>
          <w:sz w:val="20"/>
          <w:szCs w:val="20"/>
          <w:vertAlign w:val="superscript"/>
          <w:lang w:eastAsia="es-CO"/>
          <w14:ligatures w14:val="none"/>
        </w:rPr>
        <w:footnoteReference w:id="18"/>
      </w:r>
      <w:r w:rsidRPr="009E0DB9">
        <w:rPr>
          <w:rFonts w:ascii="Verdana" w:eastAsia="Calibri" w:hAnsi="Verdana" w:cs="Arial"/>
          <w:color w:val="000000"/>
          <w:kern w:val="0"/>
          <w:sz w:val="20"/>
          <w:szCs w:val="20"/>
          <w:lang w:eastAsia="es-CO"/>
          <w14:ligatures w14:val="none"/>
        </w:rPr>
        <w:t xml:space="preserve">”. </w:t>
      </w:r>
    </w:p>
    <w:p w14:paraId="56BB3C8F" w14:textId="77777777" w:rsidR="009E0DB9" w:rsidRPr="009E0DB9" w:rsidRDefault="009E0DB9" w:rsidP="009E0DB9">
      <w:pPr>
        <w:tabs>
          <w:tab w:val="left" w:pos="426"/>
        </w:tabs>
        <w:spacing w:before="120" w:after="0" w:line="276" w:lineRule="auto"/>
        <w:ind w:firstLine="709"/>
        <w:jc w:val="both"/>
        <w:rPr>
          <w:rFonts w:ascii="Verdana" w:eastAsia="Calibri" w:hAnsi="Verdana" w:cs="Arial"/>
          <w:color w:val="000000"/>
          <w:kern w:val="0"/>
          <w14:ligatures w14:val="none"/>
        </w:rPr>
      </w:pPr>
      <w:r w:rsidRPr="009E0DB9">
        <w:rPr>
          <w:rFonts w:ascii="Verdana" w:eastAsia="Calibri" w:hAnsi="Verdana" w:cs="Arial"/>
          <w:bCs/>
          <w:color w:val="000000"/>
          <w:kern w:val="0"/>
          <w14:ligatures w14:val="none"/>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9E0DB9">
        <w:rPr>
          <w:rFonts w:ascii="Verdana" w:eastAsia="Calibri" w:hAnsi="Verdana" w:cs="Arial"/>
          <w:color w:val="000000"/>
          <w:kern w:val="0"/>
          <w14:ligatures w14:val="none"/>
        </w:rPr>
        <w:t xml:space="preserve">, mencionó las excepciones a la prohibición del artículo 33 de la Ley de Garantías Electorales, resaltando su carácter taxativo, y señalando la independencia de los supuestos, así: </w:t>
      </w:r>
    </w:p>
    <w:p w14:paraId="680F283E" w14:textId="77777777" w:rsidR="009E0DB9" w:rsidRPr="009E0DB9" w:rsidRDefault="009E0DB9" w:rsidP="009E0DB9">
      <w:pPr>
        <w:tabs>
          <w:tab w:val="left" w:pos="426"/>
        </w:tabs>
        <w:spacing w:after="0" w:line="240" w:lineRule="auto"/>
        <w:ind w:firstLine="709"/>
        <w:jc w:val="both"/>
        <w:rPr>
          <w:rFonts w:ascii="Verdana" w:eastAsia="Calibri" w:hAnsi="Verdana" w:cs="Arial"/>
          <w:color w:val="000000"/>
          <w:kern w:val="0"/>
          <w14:ligatures w14:val="none"/>
        </w:rPr>
      </w:pPr>
    </w:p>
    <w:p w14:paraId="2887BAC0" w14:textId="77777777" w:rsidR="009E0DB9" w:rsidRPr="009E0DB9" w:rsidRDefault="009E0DB9" w:rsidP="009E0DB9">
      <w:pPr>
        <w:tabs>
          <w:tab w:val="left" w:pos="426"/>
        </w:tabs>
        <w:spacing w:after="0" w:line="240" w:lineRule="auto"/>
        <w:ind w:right="709"/>
        <w:jc w:val="both"/>
        <w:rPr>
          <w:rFonts w:ascii="Verdana" w:eastAsia="Calibri" w:hAnsi="Verdana" w:cs="Arial"/>
          <w:color w:val="000000"/>
          <w:kern w:val="0"/>
          <w:sz w:val="20"/>
          <w:szCs w:val="20"/>
          <w14:ligatures w14:val="none"/>
        </w:rPr>
      </w:pPr>
      <w:r w:rsidRPr="009E0DB9">
        <w:rPr>
          <w:rFonts w:ascii="Arial" w:eastAsia="Calibri" w:hAnsi="Arial" w:cs="Arial"/>
          <w:color w:val="000000"/>
          <w:kern w:val="0"/>
          <w:sz w:val="21"/>
          <w:szCs w:val="21"/>
          <w14:ligatures w14:val="none"/>
        </w:rPr>
        <w:tab/>
      </w:r>
      <w:r w:rsidRPr="009E0DB9">
        <w:rPr>
          <w:rFonts w:ascii="Arial" w:eastAsia="Calibri" w:hAnsi="Arial" w:cs="Arial"/>
          <w:color w:val="000000"/>
          <w:kern w:val="0"/>
          <w:sz w:val="21"/>
          <w:szCs w:val="21"/>
          <w14:ligatures w14:val="none"/>
        </w:rPr>
        <w:tab/>
        <w:t>“</w:t>
      </w:r>
      <w:r w:rsidRPr="009E0DB9">
        <w:rPr>
          <w:rFonts w:ascii="Verdana" w:eastAsia="Calibri" w:hAnsi="Verdana" w:cs="Arial"/>
          <w:color w:val="000000"/>
          <w:kern w:val="0"/>
          <w:sz w:val="20"/>
          <w:szCs w:val="20"/>
          <w14:ligatures w14:val="none"/>
        </w:rPr>
        <w:t xml:space="preserve">[…] </w:t>
      </w:r>
      <w:r w:rsidRPr="009E0DB9">
        <w:rPr>
          <w:rFonts w:ascii="Verdana" w:eastAsia="Calibri" w:hAnsi="Verdana" w:cs="Arial"/>
          <w:i/>
          <w:color w:val="000000"/>
          <w:kern w:val="0"/>
          <w:sz w:val="20"/>
          <w:szCs w:val="20"/>
          <w14:ligatures w14:val="none"/>
        </w:rPr>
        <w:t>Las excepciones aplicables a la restricción de contratación pública</w:t>
      </w:r>
    </w:p>
    <w:p w14:paraId="7A1424A0" w14:textId="77777777" w:rsidR="009E0DB9" w:rsidRPr="009E0DB9" w:rsidRDefault="009E0DB9" w:rsidP="009E0DB9">
      <w:pPr>
        <w:spacing w:after="0" w:line="240" w:lineRule="auto"/>
        <w:ind w:left="709" w:right="709"/>
        <w:jc w:val="both"/>
        <w:rPr>
          <w:rFonts w:ascii="Verdana" w:eastAsia="Calibri" w:hAnsi="Verdana" w:cs="Arial"/>
          <w:color w:val="000000"/>
          <w:kern w:val="0"/>
          <w:sz w:val="20"/>
          <w:szCs w:val="20"/>
          <w:shd w:val="clear" w:color="auto" w:fill="FFFFFF"/>
          <w14:ligatures w14:val="none"/>
        </w:rPr>
      </w:pPr>
    </w:p>
    <w:p w14:paraId="71CDF5E6" w14:textId="77777777" w:rsidR="009E0DB9" w:rsidRPr="009E0DB9" w:rsidRDefault="009E0DB9" w:rsidP="009E0DB9">
      <w:pPr>
        <w:spacing w:after="0" w:line="240" w:lineRule="auto"/>
        <w:ind w:left="709" w:right="709"/>
        <w:jc w:val="both"/>
        <w:rPr>
          <w:rFonts w:ascii="Verdana" w:eastAsia="Calibri" w:hAnsi="Verdana" w:cs="Arial"/>
          <w:color w:val="000000"/>
          <w:kern w:val="0"/>
          <w:sz w:val="20"/>
          <w:szCs w:val="20"/>
          <w:shd w:val="clear" w:color="auto" w:fill="FFFFFF"/>
          <w14:ligatures w14:val="none"/>
        </w:rPr>
      </w:pPr>
      <w:r w:rsidRPr="009E0DB9">
        <w:rPr>
          <w:rFonts w:ascii="Verdana" w:eastAsia="Calibri" w:hAnsi="Verdana" w:cs="Arial"/>
          <w:color w:val="000000"/>
          <w:kern w:val="0"/>
          <w:sz w:val="20"/>
          <w:szCs w:val="20"/>
          <w:shd w:val="clear" w:color="auto" w:fill="FFFFFF"/>
          <w14:ligatures w14:val="none"/>
        </w:rPr>
        <w:t>Ahora bien, las únicas excepciones a las disposiciones previstas en la Ley de Garantías se encuentran numeradas taxativamente en el último inciso del artículo 33 de la ley 996 de 2005, dentro de las que se encuentran:</w:t>
      </w:r>
    </w:p>
    <w:p w14:paraId="055F686D" w14:textId="77777777" w:rsidR="009E0DB9" w:rsidRPr="009E0DB9" w:rsidRDefault="009E0DB9" w:rsidP="009E0DB9">
      <w:pPr>
        <w:spacing w:after="0" w:line="240" w:lineRule="auto"/>
        <w:ind w:left="709" w:right="709"/>
        <w:jc w:val="both"/>
        <w:rPr>
          <w:rFonts w:ascii="Verdana" w:eastAsia="Calibri" w:hAnsi="Verdana" w:cs="Arial"/>
          <w:color w:val="000000"/>
          <w:kern w:val="0"/>
          <w:sz w:val="20"/>
          <w:szCs w:val="20"/>
          <w:shd w:val="clear" w:color="auto" w:fill="FFFFFF"/>
          <w14:ligatures w14:val="none"/>
        </w:rPr>
      </w:pPr>
    </w:p>
    <w:p w14:paraId="3835D86B" w14:textId="77777777" w:rsidR="009E0DB9" w:rsidRPr="009E0DB9" w:rsidRDefault="009E0DB9" w:rsidP="009E0DB9">
      <w:pPr>
        <w:spacing w:after="0" w:line="240" w:lineRule="auto"/>
        <w:ind w:left="709" w:right="709"/>
        <w:jc w:val="both"/>
        <w:rPr>
          <w:rFonts w:ascii="Verdana" w:eastAsia="Calibri" w:hAnsi="Verdana" w:cs="Arial"/>
          <w:color w:val="000000"/>
          <w:kern w:val="0"/>
          <w:sz w:val="20"/>
          <w:szCs w:val="20"/>
          <w:shd w:val="clear" w:color="auto" w:fill="FFFFFF"/>
          <w14:ligatures w14:val="none"/>
        </w:rPr>
      </w:pPr>
      <w:r w:rsidRPr="009E0DB9">
        <w:rPr>
          <w:rFonts w:ascii="Verdana" w:eastAsia="Calibri" w:hAnsi="Verdana" w:cs="Arial"/>
          <w:color w:val="000000"/>
          <w:kern w:val="0"/>
          <w:sz w:val="20"/>
          <w:szCs w:val="20"/>
          <w:shd w:val="clear" w:color="auto" w:fill="FFFFFF"/>
          <w14:ligatures w14:val="none"/>
        </w:rPr>
        <w:t xml:space="preserve">[…] </w:t>
      </w:r>
    </w:p>
    <w:p w14:paraId="04BC4AE7" w14:textId="77777777" w:rsidR="009E0DB9" w:rsidRPr="009E0DB9" w:rsidRDefault="009E0DB9" w:rsidP="009E0DB9">
      <w:pPr>
        <w:spacing w:after="0" w:line="240" w:lineRule="auto"/>
        <w:ind w:left="709" w:right="709"/>
        <w:jc w:val="both"/>
        <w:rPr>
          <w:rFonts w:ascii="Verdana" w:eastAsia="Calibri" w:hAnsi="Verdana" w:cs="Arial"/>
          <w:color w:val="000000"/>
          <w:kern w:val="0"/>
          <w:sz w:val="20"/>
          <w:szCs w:val="20"/>
          <w:shd w:val="clear" w:color="auto" w:fill="FFFFFF"/>
          <w14:ligatures w14:val="none"/>
        </w:rPr>
      </w:pPr>
    </w:p>
    <w:p w14:paraId="46924514" w14:textId="77777777" w:rsidR="009E0DB9" w:rsidRPr="009E0DB9" w:rsidRDefault="009E0DB9" w:rsidP="009E0DB9">
      <w:pPr>
        <w:spacing w:after="0" w:line="240" w:lineRule="auto"/>
        <w:ind w:left="709" w:right="709"/>
        <w:jc w:val="both"/>
        <w:rPr>
          <w:rFonts w:ascii="Verdana" w:eastAsia="Calibri" w:hAnsi="Verdana" w:cs="Arial"/>
          <w:color w:val="000000"/>
          <w:kern w:val="0"/>
          <w:sz w:val="20"/>
          <w:szCs w:val="20"/>
          <w:shd w:val="clear" w:color="auto" w:fill="FFFFFF"/>
          <w14:ligatures w14:val="none"/>
        </w:rPr>
      </w:pPr>
      <w:r w:rsidRPr="009E0DB9">
        <w:rPr>
          <w:rFonts w:ascii="Verdana" w:eastAsia="Calibri" w:hAnsi="Verdana" w:cs="Arial"/>
          <w:color w:val="000000"/>
          <w:kern w:val="0"/>
          <w:sz w:val="20"/>
          <w:szCs w:val="20"/>
          <w:shd w:val="clear" w:color="auto" w:fill="FFFFFF"/>
          <w14:ligatures w14:val="none"/>
        </w:rPr>
        <w:t>5. Los que deban realizar las entidades sanitarias y hospitalarias (…)”</w:t>
      </w:r>
      <w:r w:rsidRPr="009E0DB9">
        <w:rPr>
          <w:rFonts w:ascii="Verdana" w:eastAsia="Calibri" w:hAnsi="Verdana" w:cs="Arial"/>
          <w:color w:val="000000"/>
          <w:kern w:val="0"/>
          <w:sz w:val="20"/>
          <w:szCs w:val="20"/>
          <w:shd w:val="clear" w:color="auto" w:fill="FFFFFF"/>
          <w:vertAlign w:val="superscript"/>
          <w14:ligatures w14:val="none"/>
        </w:rPr>
        <w:footnoteReference w:id="19"/>
      </w:r>
      <w:r w:rsidRPr="009E0DB9">
        <w:rPr>
          <w:rFonts w:ascii="Verdana" w:eastAsia="Calibri" w:hAnsi="Verdana" w:cs="Arial"/>
          <w:color w:val="000000"/>
          <w:kern w:val="0"/>
          <w:sz w:val="20"/>
          <w:szCs w:val="20"/>
          <w:shd w:val="clear" w:color="auto" w:fill="FFFFFF"/>
          <w14:ligatures w14:val="none"/>
        </w:rPr>
        <w:t>.</w:t>
      </w:r>
    </w:p>
    <w:p w14:paraId="7470DCD7" w14:textId="77777777" w:rsidR="009E0DB9" w:rsidRPr="009E0DB9" w:rsidRDefault="009E0DB9" w:rsidP="009E0DB9">
      <w:pPr>
        <w:spacing w:after="0" w:line="240" w:lineRule="auto"/>
        <w:ind w:left="709" w:right="709"/>
        <w:jc w:val="both"/>
        <w:rPr>
          <w:rFonts w:ascii="Verdana" w:eastAsia="Calibri" w:hAnsi="Verdana" w:cs="Arial"/>
          <w:color w:val="000000"/>
          <w:kern w:val="0"/>
          <w:sz w:val="20"/>
          <w:szCs w:val="20"/>
          <w:shd w:val="clear" w:color="auto" w:fill="FFFFFF"/>
          <w14:ligatures w14:val="none"/>
        </w:rPr>
      </w:pPr>
    </w:p>
    <w:p w14:paraId="28D5165F" w14:textId="77777777" w:rsidR="009E0DB9" w:rsidRPr="009E0DB9" w:rsidRDefault="009E0DB9" w:rsidP="009E0DB9">
      <w:pPr>
        <w:tabs>
          <w:tab w:val="left" w:pos="426"/>
        </w:tabs>
        <w:spacing w:line="276" w:lineRule="auto"/>
        <w:ind w:firstLine="709"/>
        <w:jc w:val="both"/>
        <w:rPr>
          <w:rFonts w:ascii="Verdana" w:eastAsia="Calibri" w:hAnsi="Verdana" w:cs="Arial"/>
          <w:bCs/>
          <w:color w:val="000000"/>
          <w:kern w:val="0"/>
          <w14:ligatures w14:val="none"/>
        </w:rPr>
      </w:pPr>
      <w:r w:rsidRPr="009E0DB9">
        <w:rPr>
          <w:rFonts w:ascii="Verdana" w:eastAsia="Calibri" w:hAnsi="Verdana" w:cs="Arial"/>
          <w:bCs/>
          <w:color w:val="000000"/>
          <w:kern w:val="0"/>
          <w14:ligatures w14:val="none"/>
        </w:rPr>
        <w:t>Lo anterior implica que las excepciones al artículo 33 en comento deben interpretarse y aplicarse de manera estricta. En otras palabras, no es factible hacer interpretaciones extensivas</w:t>
      </w:r>
      <w:r w:rsidRPr="009E0DB9">
        <w:rPr>
          <w:rFonts w:ascii="Verdana" w:eastAsia="Calibri" w:hAnsi="Verdana" w:cs="Arial"/>
          <w:bCs/>
          <w:i/>
          <w:iCs/>
          <w:color w:val="000000"/>
          <w:kern w:val="0"/>
          <w14:ligatures w14:val="none"/>
        </w:rPr>
        <w:t xml:space="preserve"> </w:t>
      </w:r>
      <w:r w:rsidRPr="009E0DB9">
        <w:rPr>
          <w:rFonts w:ascii="Verdana" w:eastAsia="Calibri" w:hAnsi="Verdana" w:cs="Arial"/>
          <w:bCs/>
          <w:color w:val="000000"/>
          <w:kern w:val="0"/>
          <w14:ligatures w14:val="none"/>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1C81481" w14:textId="77777777" w:rsidR="009E0DB9" w:rsidRPr="009E0DB9" w:rsidRDefault="009E0DB9" w:rsidP="009E0DB9">
      <w:pPr>
        <w:spacing w:after="120" w:line="276" w:lineRule="auto"/>
        <w:ind w:firstLine="708"/>
        <w:jc w:val="both"/>
        <w:rPr>
          <w:rFonts w:ascii="Verdana" w:eastAsia="Times New Roman" w:hAnsi="Verdana" w:cs="Arial"/>
          <w:kern w:val="0"/>
          <w:lang w:val="es-MX" w:eastAsia="x-none"/>
          <w14:ligatures w14:val="none"/>
        </w:rPr>
      </w:pPr>
      <w:r w:rsidRPr="009E0DB9">
        <w:rPr>
          <w:rFonts w:ascii="Verdana" w:eastAsia="Times New Roman" w:hAnsi="Verdana" w:cs="Arial"/>
          <w:bCs/>
          <w:kern w:val="0"/>
          <w:lang w:eastAsia="x-none"/>
          <w14:ligatures w14:val="none"/>
        </w:rPr>
        <w:t xml:space="preserve">En segundo lugar, </w:t>
      </w:r>
      <w:r w:rsidRPr="009E0DB9">
        <w:rPr>
          <w:rFonts w:ascii="Verdana" w:eastAsia="Calibri" w:hAnsi="Verdana" w:cs="Arial"/>
          <w:kern w:val="0"/>
          <w:lang w:eastAsia="es-ES" w:bidi="es-ES"/>
          <w14:ligatures w14:val="none"/>
        </w:rPr>
        <w:t xml:space="preserve">resulta necesario precisar el alcance de la prohibición </w:t>
      </w:r>
      <w:r w:rsidRPr="009E0DB9">
        <w:rPr>
          <w:rFonts w:ascii="Verdana" w:eastAsia="Arial" w:hAnsi="Verdana" w:cs="Arial"/>
          <w:kern w:val="0"/>
          <w:lang w:val="es-ES" w:eastAsia="es-ES" w:bidi="es-ES"/>
          <w14:ligatures w14:val="none"/>
        </w:rPr>
        <w:t>establecida en e</w:t>
      </w:r>
      <w:r w:rsidRPr="009E0DB9">
        <w:rPr>
          <w:rFonts w:ascii="Verdana" w:eastAsia="Calibri" w:hAnsi="Verdana" w:cs="Arial"/>
          <w:kern w:val="0"/>
          <w14:ligatures w14:val="none"/>
        </w:rPr>
        <w:t xml:space="preserve">l parágrafo del artículo 38 de la Ley 996 de 2005. La citada norma dispone: “[l]os Gobernadores, Alcaldes Municipales y/o Distritales, Secretarios, Gerentes y directores de Entidades Descentralizadas del orden Municipal, Departamental o Distrital, dentro de los cuatro (4) meses anteriores </w:t>
      </w:r>
      <w:r w:rsidRPr="009E0DB9">
        <w:rPr>
          <w:rFonts w:ascii="Verdana" w:eastAsia="Calibri" w:hAnsi="Verdana" w:cs="Arial"/>
          <w:kern w:val="0"/>
          <w14:ligatures w14:val="none"/>
        </w:rPr>
        <w:lastRenderedPageBreak/>
        <w:t xml:space="preserve">a las elecciones, no podrán celebrar </w:t>
      </w:r>
      <w:r w:rsidRPr="009E0DB9">
        <w:rPr>
          <w:rFonts w:ascii="Verdana" w:eastAsia="Calibri" w:hAnsi="Verdana" w:cs="Arial"/>
          <w:i/>
          <w:iCs/>
          <w:kern w:val="0"/>
          <w14:ligatures w14:val="none"/>
        </w:rPr>
        <w:t>convenios interadministrativos</w:t>
      </w:r>
      <w:r w:rsidRPr="009E0DB9">
        <w:rPr>
          <w:rFonts w:ascii="Verdana" w:eastAsia="Calibri" w:hAnsi="Verdana" w:cs="Arial"/>
          <w:kern w:val="0"/>
          <w14:ligatures w14:val="none"/>
        </w:rPr>
        <w:t xml:space="preserve"> para la ejecución de recursos públicos”.</w:t>
      </w:r>
      <w:r w:rsidRPr="009E0DB9">
        <w:rPr>
          <w:rFonts w:ascii="Verdana" w:eastAsia="Times New Roman" w:hAnsi="Verdana" w:cs="Arial"/>
          <w:kern w:val="0"/>
          <w:lang w:val="es-MX" w:eastAsia="x-none"/>
          <w14:ligatures w14:val="none"/>
        </w:rPr>
        <w:t xml:space="preserve"> (Énfasis fuera del texto original)</w:t>
      </w:r>
    </w:p>
    <w:p w14:paraId="43C7521C" w14:textId="77777777" w:rsidR="009E0DB9" w:rsidRPr="009E0DB9" w:rsidRDefault="009E0DB9" w:rsidP="009E0DB9">
      <w:pPr>
        <w:spacing w:after="120" w:line="276" w:lineRule="auto"/>
        <w:ind w:firstLine="709"/>
        <w:jc w:val="both"/>
        <w:rPr>
          <w:rFonts w:ascii="Verdana" w:eastAsia="Calibri" w:hAnsi="Verdana" w:cs="Arial"/>
          <w:kern w:val="0"/>
          <w:lang w:bidi="es-ES"/>
          <w14:ligatures w14:val="none"/>
        </w:rPr>
      </w:pPr>
      <w:r w:rsidRPr="009E0DB9">
        <w:rPr>
          <w:rFonts w:ascii="Verdana" w:eastAsia="Times New Roman" w:hAnsi="Verdana" w:cs="Arial"/>
          <w:kern w:val="0"/>
          <w:lang w:val="es-MX" w:eastAsia="x-none"/>
          <w14:ligatures w14:val="none"/>
        </w:rPr>
        <w:t xml:space="preserve">Sobre este aspecto, es importante señalar que esta Subdirección, en los conceptos emitidos sobre la aplicación de la Ley de Garantías Electorales, ha defendido y mantenido la postura acerca de que la prohibición señalada en </w:t>
      </w:r>
      <w:r w:rsidRPr="009E0DB9">
        <w:rPr>
          <w:rFonts w:ascii="Verdana" w:eastAsia="Arial" w:hAnsi="Verdana" w:cs="Arial"/>
          <w:kern w:val="0"/>
          <w:lang w:val="es-ES" w:eastAsia="es-ES" w:bidi="es-ES"/>
          <w14:ligatures w14:val="none"/>
        </w:rPr>
        <w:t>e</w:t>
      </w:r>
      <w:r w:rsidRPr="009E0DB9">
        <w:rPr>
          <w:rFonts w:ascii="Verdana" w:eastAsia="Calibri" w:hAnsi="Verdana" w:cs="Arial"/>
          <w:kern w:val="0"/>
          <w14:ligatures w14:val="none"/>
        </w:rPr>
        <w:t xml:space="preserve">l parágrafo del artículo 38 cobija tanto a los convenios como a los contratos interadministrativos. Esta tesis se fundamenta en que </w:t>
      </w:r>
      <w:r w:rsidRPr="009E0DB9">
        <w:rPr>
          <w:rFonts w:ascii="Verdana" w:eastAsia="Calibri" w:hAnsi="Verdana" w:cs="Arial"/>
          <w:kern w:val="0"/>
          <w:lang w:bidi="es-ES"/>
          <w14:ligatures w14:val="none"/>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50A5CD52" w14:textId="77777777" w:rsidR="009E0DB9" w:rsidRPr="009E0DB9" w:rsidRDefault="009E0DB9" w:rsidP="009E0DB9">
      <w:pPr>
        <w:spacing w:after="120" w:line="276" w:lineRule="auto"/>
        <w:ind w:firstLine="709"/>
        <w:jc w:val="both"/>
        <w:rPr>
          <w:rFonts w:ascii="Verdana" w:eastAsia="Calibri" w:hAnsi="Verdana" w:cs="Arial"/>
          <w:kern w:val="0"/>
          <w:lang w:bidi="es-ES"/>
          <w14:ligatures w14:val="none"/>
        </w:rPr>
      </w:pPr>
      <w:r w:rsidRPr="009E0DB9">
        <w:rPr>
          <w:rFonts w:ascii="Verdana" w:eastAsia="Calibri" w:hAnsi="Verdana" w:cs="Arial"/>
          <w:kern w:val="0"/>
          <w:lang w:bidi="es-ES"/>
          <w14:ligatures w14:val="none"/>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9E0DB9">
        <w:rPr>
          <w:rFonts w:ascii="Verdana" w:eastAsia="Arial" w:hAnsi="Verdana" w:cs="Arial"/>
          <w:kern w:val="0"/>
          <w:lang w:val="es-ES" w:eastAsia="es-ES" w:bidi="es-ES"/>
          <w14:ligatures w14:val="none"/>
        </w:rPr>
        <w:t>el legislador y el ordenamiento jurídico, en general, en distintas ocasiones utiliza de forma indistinta los conceptos de contrato o convenio para referirse a la misma institución jurídica</w:t>
      </w:r>
      <w:r w:rsidRPr="009E0DB9">
        <w:rPr>
          <w:rFonts w:ascii="Verdana" w:eastAsia="Arial" w:hAnsi="Verdana" w:cs="Arial"/>
          <w:kern w:val="0"/>
          <w:vertAlign w:val="superscript"/>
          <w:lang w:val="es-ES" w:eastAsia="es-ES" w:bidi="es-ES"/>
          <w14:ligatures w14:val="none"/>
        </w:rPr>
        <w:footnoteReference w:id="20"/>
      </w:r>
      <w:r w:rsidRPr="009E0DB9">
        <w:rPr>
          <w:rFonts w:ascii="Verdana" w:eastAsia="Arial" w:hAnsi="Verdana" w:cs="Arial"/>
          <w:kern w:val="0"/>
          <w:lang w:val="es-ES" w:eastAsia="es-ES" w:bidi="es-ES"/>
          <w14:ligatures w14:val="none"/>
        </w:rPr>
        <w:t>. Incluso, la Corte Constitucional fundamenta la posibilidad de celebrar convenios interadministrativos de forma directa, con fundamento en la causal establecida en la Ley 1150 de 2007 respecto a los contratos interadministrativos</w:t>
      </w:r>
      <w:r w:rsidRPr="009E0DB9">
        <w:rPr>
          <w:rFonts w:ascii="Verdana" w:eastAsia="Arial" w:hAnsi="Verdana" w:cs="Arial"/>
          <w:kern w:val="0"/>
          <w:vertAlign w:val="superscript"/>
          <w:lang w:val="es-ES" w:eastAsia="es-ES" w:bidi="es-ES"/>
          <w14:ligatures w14:val="none"/>
        </w:rPr>
        <w:footnoteReference w:id="21"/>
      </w:r>
      <w:r w:rsidRPr="009E0DB9">
        <w:rPr>
          <w:rFonts w:ascii="Verdana" w:eastAsia="Arial" w:hAnsi="Verdana" w:cs="Arial"/>
          <w:kern w:val="0"/>
          <w:lang w:val="es-ES" w:eastAsia="es-ES" w:bidi="es-ES"/>
          <w14:ligatures w14:val="none"/>
        </w:rPr>
        <w:t>.</w:t>
      </w:r>
    </w:p>
    <w:p w14:paraId="03C291C4" w14:textId="77777777" w:rsidR="009E0DB9" w:rsidRPr="009E0DB9" w:rsidRDefault="009E0DB9" w:rsidP="009E0DB9">
      <w:pPr>
        <w:widowControl w:val="0"/>
        <w:autoSpaceDE w:val="0"/>
        <w:autoSpaceDN w:val="0"/>
        <w:spacing w:after="0" w:line="276" w:lineRule="auto"/>
        <w:ind w:firstLine="709"/>
        <w:contextualSpacing/>
        <w:jc w:val="both"/>
        <w:rPr>
          <w:rFonts w:ascii="Verdana" w:eastAsia="Arial" w:hAnsi="Verdana" w:cs="Arial"/>
          <w:kern w:val="0"/>
          <w:lang w:val="es-ES" w:eastAsia="es-ES" w:bidi="es-ES"/>
          <w14:ligatures w14:val="none"/>
        </w:rPr>
      </w:pPr>
      <w:r w:rsidRPr="009E0DB9">
        <w:rPr>
          <w:rFonts w:ascii="Verdana" w:eastAsia="Calibri" w:hAnsi="Verdana" w:cs="Arial"/>
          <w:kern w:val="0"/>
          <w:lang w:val="es-ES" w:bidi="es-ES"/>
          <w14:ligatures w14:val="none"/>
        </w:rPr>
        <w:t>De este modo, en la Circular Externa</w:t>
      </w:r>
      <w:r w:rsidRPr="009E0DB9">
        <w:rPr>
          <w:rFonts w:ascii="Verdana" w:eastAsia="Arial" w:hAnsi="Verdana" w:cs="Arial"/>
          <w:kern w:val="0"/>
          <w:lang w:val="es-ES" w:eastAsia="es-ES" w:bidi="es-ES"/>
          <w14:ligatures w14:val="none"/>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w:t>
      </w:r>
      <w:r w:rsidRPr="009E0DB9">
        <w:rPr>
          <w:rFonts w:ascii="Verdana" w:eastAsia="Arial" w:hAnsi="Verdana" w:cs="Arial"/>
          <w:kern w:val="0"/>
          <w:lang w:val="es-ES" w:eastAsia="es-ES" w:bidi="es-ES"/>
          <w14:ligatures w14:val="none"/>
        </w:rPr>
        <w:lastRenderedPageBreak/>
        <w:t>sentido, la Circular, refiriéndose al parágrafo del artículo 38 de la Ley 996 de 2005, expresa lo siguiente en el numeral 16.2:</w:t>
      </w:r>
    </w:p>
    <w:p w14:paraId="5A5ED0E9" w14:textId="77777777" w:rsidR="009E0DB9" w:rsidRPr="009E0DB9" w:rsidRDefault="009E0DB9" w:rsidP="009E0DB9">
      <w:pPr>
        <w:widowControl w:val="0"/>
        <w:autoSpaceDE w:val="0"/>
        <w:autoSpaceDN w:val="0"/>
        <w:spacing w:after="0" w:line="240" w:lineRule="auto"/>
        <w:contextualSpacing/>
        <w:jc w:val="both"/>
        <w:rPr>
          <w:rFonts w:ascii="Verdana" w:eastAsia="Arial" w:hAnsi="Verdana" w:cs="Arial"/>
          <w:kern w:val="0"/>
          <w:lang w:val="es-ES" w:eastAsia="es-ES" w:bidi="es-ES"/>
          <w14:ligatures w14:val="none"/>
        </w:rPr>
      </w:pPr>
    </w:p>
    <w:p w14:paraId="02816A24" w14:textId="77777777" w:rsidR="009E0DB9" w:rsidRPr="009E0DB9" w:rsidRDefault="009E0DB9" w:rsidP="009E0DB9">
      <w:pPr>
        <w:spacing w:after="0" w:line="240" w:lineRule="auto"/>
        <w:ind w:left="709" w:right="616"/>
        <w:jc w:val="both"/>
        <w:rPr>
          <w:rFonts w:ascii="Verdana" w:eastAsia="Calibri" w:hAnsi="Verdana" w:cs="Arial"/>
          <w:kern w:val="0"/>
          <w:sz w:val="20"/>
          <w:szCs w:val="20"/>
          <w:lang w:val="es-MX"/>
          <w14:ligatures w14:val="none"/>
        </w:rPr>
      </w:pPr>
      <w:r w:rsidRPr="009E0DB9">
        <w:rPr>
          <w:rFonts w:ascii="Verdana" w:eastAsia="Calibri" w:hAnsi="Verdana" w:cs="Arial"/>
          <w:kern w:val="0"/>
          <w:sz w:val="20"/>
          <w:szCs w:val="20"/>
          <w:lang w:val="es-ES_tradnl"/>
          <w14:ligatures w14:val="none"/>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9E0DB9">
        <w:rPr>
          <w:rFonts w:ascii="Verdana" w:eastAsia="Calibri" w:hAnsi="Verdana" w:cs="Arial"/>
          <w:kern w:val="0"/>
          <w:sz w:val="20"/>
          <w:szCs w:val="20"/>
          <w:lang w:val="es-MX"/>
          <w14:ligatures w14:val="none"/>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39D1A558" w14:textId="77777777" w:rsidR="009E0DB9" w:rsidRPr="009E0DB9" w:rsidRDefault="009E0DB9" w:rsidP="009E0DB9">
      <w:pPr>
        <w:spacing w:after="0" w:line="240" w:lineRule="auto"/>
        <w:ind w:left="709" w:right="616"/>
        <w:jc w:val="both"/>
        <w:rPr>
          <w:rFonts w:ascii="Verdana" w:eastAsia="Calibri" w:hAnsi="Verdana" w:cs="Arial"/>
          <w:kern w:val="0"/>
          <w:sz w:val="20"/>
          <w:szCs w:val="20"/>
          <w:lang w:val="es-MX"/>
          <w14:ligatures w14:val="none"/>
        </w:rPr>
      </w:pPr>
    </w:p>
    <w:p w14:paraId="3AC0F8A3" w14:textId="77777777" w:rsidR="009E0DB9" w:rsidRPr="009E0DB9" w:rsidRDefault="009E0DB9" w:rsidP="009E0DB9">
      <w:pPr>
        <w:spacing w:after="0" w:line="240" w:lineRule="auto"/>
        <w:ind w:left="709" w:right="616"/>
        <w:jc w:val="both"/>
        <w:rPr>
          <w:rFonts w:ascii="Verdana" w:eastAsia="Calibri" w:hAnsi="Verdana" w:cs="Arial"/>
          <w:kern w:val="0"/>
          <w:sz w:val="20"/>
          <w:szCs w:val="20"/>
          <w:lang w:val="es-MX"/>
          <w14:ligatures w14:val="none"/>
        </w:rPr>
      </w:pPr>
      <w:r w:rsidRPr="009E0DB9">
        <w:rPr>
          <w:rFonts w:ascii="Verdana" w:eastAsia="Calibri" w:hAnsi="Verdana" w:cs="Arial"/>
          <w:kern w:val="0"/>
          <w:sz w:val="20"/>
          <w:szCs w:val="20"/>
          <w:lang w:val="es-MX"/>
          <w14:ligatures w14:val="none"/>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180F63A1" w14:textId="77777777" w:rsidR="009E0DB9" w:rsidRPr="009E0DB9" w:rsidRDefault="009E0DB9" w:rsidP="009E0DB9">
      <w:pPr>
        <w:spacing w:after="0" w:line="240" w:lineRule="auto"/>
        <w:ind w:left="709" w:right="616"/>
        <w:jc w:val="both"/>
        <w:rPr>
          <w:rFonts w:ascii="Verdana" w:eastAsia="Calibri" w:hAnsi="Verdana" w:cs="Arial"/>
          <w:kern w:val="0"/>
          <w:sz w:val="20"/>
          <w:szCs w:val="20"/>
          <w:lang w:val="es-MX"/>
          <w14:ligatures w14:val="none"/>
        </w:rPr>
      </w:pPr>
    </w:p>
    <w:p w14:paraId="216DC5DF" w14:textId="77777777" w:rsidR="009E0DB9" w:rsidRPr="009E0DB9" w:rsidRDefault="009E0DB9" w:rsidP="009E0DB9">
      <w:pPr>
        <w:spacing w:after="0" w:line="240" w:lineRule="auto"/>
        <w:ind w:left="709" w:right="616"/>
        <w:jc w:val="both"/>
        <w:rPr>
          <w:rFonts w:ascii="Verdana" w:eastAsia="Calibri" w:hAnsi="Verdana" w:cs="Arial"/>
          <w:kern w:val="0"/>
          <w:sz w:val="20"/>
          <w:szCs w:val="20"/>
          <w:lang w:val="es-MX"/>
          <w14:ligatures w14:val="none"/>
        </w:rPr>
      </w:pPr>
      <w:r w:rsidRPr="009E0DB9">
        <w:rPr>
          <w:rFonts w:ascii="Verdana" w:eastAsia="Calibri" w:hAnsi="Verdana" w:cs="Arial"/>
          <w:kern w:val="0"/>
          <w:sz w:val="20"/>
          <w:szCs w:val="20"/>
          <w:lang w:val="es-MX"/>
          <w14:ligatures w14:val="none"/>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0B4CC033" w14:textId="77777777" w:rsidR="009E0DB9" w:rsidRPr="009E0DB9" w:rsidRDefault="009E0DB9" w:rsidP="009E0DB9">
      <w:pPr>
        <w:widowControl w:val="0"/>
        <w:autoSpaceDE w:val="0"/>
        <w:autoSpaceDN w:val="0"/>
        <w:spacing w:after="0" w:line="276" w:lineRule="auto"/>
        <w:contextualSpacing/>
        <w:jc w:val="both"/>
        <w:rPr>
          <w:rFonts w:ascii="Verdana" w:eastAsia="Arial" w:hAnsi="Verdana" w:cs="Arial"/>
          <w:kern w:val="0"/>
          <w:lang w:val="es-ES" w:eastAsia="es-ES" w:bidi="es-ES"/>
          <w14:ligatures w14:val="none"/>
        </w:rPr>
      </w:pPr>
    </w:p>
    <w:p w14:paraId="1A76233F" w14:textId="77777777" w:rsidR="009E0DB9" w:rsidRPr="009E0DB9" w:rsidRDefault="009E0DB9" w:rsidP="009E0DB9">
      <w:pPr>
        <w:spacing w:after="120" w:line="276" w:lineRule="auto"/>
        <w:ind w:firstLine="709"/>
        <w:jc w:val="both"/>
        <w:rPr>
          <w:rFonts w:ascii="Verdana" w:eastAsia="Arial" w:hAnsi="Verdana" w:cs="Arial"/>
          <w:kern w:val="0"/>
          <w:lang w:val="es-MX" w:eastAsia="es-ES" w:bidi="es-ES"/>
          <w14:ligatures w14:val="none"/>
        </w:rPr>
      </w:pPr>
      <w:r w:rsidRPr="009E0DB9">
        <w:rPr>
          <w:rFonts w:ascii="Verdana" w:eastAsia="Arial" w:hAnsi="Verdana" w:cs="Arial"/>
          <w:kern w:val="0"/>
          <w:lang w:val="es-ES" w:eastAsia="es-ES" w:bidi="es-ES"/>
          <w14:ligatures w14:val="none"/>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9E0DB9">
        <w:rPr>
          <w:rFonts w:ascii="Verdana" w:eastAsia="Arial" w:hAnsi="Verdana" w:cs="Arial"/>
          <w:kern w:val="0"/>
          <w:lang w:val="es-MX" w:eastAsia="es-ES" w:bidi="es-ES"/>
          <w14:ligatures w14:val="none"/>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4132DCA3" w14:textId="77777777" w:rsidR="009E0DB9" w:rsidRPr="009E0DB9" w:rsidRDefault="009E0DB9" w:rsidP="009E0DB9">
      <w:pPr>
        <w:spacing w:after="0" w:line="276" w:lineRule="auto"/>
        <w:ind w:firstLine="709"/>
        <w:jc w:val="both"/>
        <w:rPr>
          <w:rFonts w:ascii="Calibri" w:eastAsia="Calibri" w:hAnsi="Calibri" w:cs="Times New Roman"/>
          <w:kern w:val="0"/>
          <w14:ligatures w14:val="none"/>
        </w:rPr>
      </w:pPr>
      <w:r w:rsidRPr="009E0DB9">
        <w:rPr>
          <w:rFonts w:ascii="Verdana" w:eastAsia="Arial" w:hAnsi="Verdana" w:cs="Arial"/>
          <w:kern w:val="0"/>
          <w:lang w:val="es-MX" w:eastAsia="es-ES" w:bidi="es-ES"/>
          <w14:ligatures w14:val="none"/>
        </w:rPr>
        <w:lastRenderedPageBreak/>
        <w:t xml:space="preserve">No obstante, conviene señalar que, mediante auto de 4 de octubre del 2024, el Consejo de Estado, Sección Tercera, decretó medida de suspensión provisional parcial del </w:t>
      </w:r>
      <w:r w:rsidRPr="009E0DB9">
        <w:rPr>
          <w:rFonts w:ascii="Verdana" w:eastAsia="Calibri" w:hAnsi="Verdana" w:cs="Times New Roman"/>
          <w:kern w:val="0"/>
          <w14:ligatures w14:val="none"/>
        </w:rPr>
        <w:t>numeral 16.2 de la Circular Externa Única de 2022 expedida por la Agencia Nacional de Contratación Pública -Colombia Compra Eficiente-, concretamente, respecto de los siguientes apartes normativos</w:t>
      </w:r>
      <w:r w:rsidRPr="009E0DB9">
        <w:rPr>
          <w:rFonts w:ascii="Verdana" w:eastAsia="Calibri" w:hAnsi="Verdana" w:cs="Times New Roman"/>
          <w:kern w:val="0"/>
          <w:vertAlign w:val="superscript"/>
          <w14:ligatures w14:val="none"/>
        </w:rPr>
        <w:footnoteReference w:id="22"/>
      </w:r>
      <w:r w:rsidRPr="009E0DB9">
        <w:rPr>
          <w:rFonts w:ascii="Verdana" w:eastAsia="Calibri" w:hAnsi="Verdana" w:cs="Times New Roman"/>
          <w:kern w:val="0"/>
          <w14:ligatures w14:val="none"/>
        </w:rPr>
        <w:t>:</w:t>
      </w:r>
      <w:r w:rsidRPr="009E0DB9">
        <w:rPr>
          <w:rFonts w:ascii="Calibri" w:eastAsia="Calibri" w:hAnsi="Calibri" w:cs="Times New Roman"/>
          <w:kern w:val="0"/>
          <w14:ligatures w14:val="none"/>
        </w:rPr>
        <w:t xml:space="preserve"> </w:t>
      </w:r>
    </w:p>
    <w:p w14:paraId="57472E42" w14:textId="77777777" w:rsidR="009E0DB9" w:rsidRPr="009E0DB9" w:rsidRDefault="009E0DB9" w:rsidP="009E0DB9">
      <w:pPr>
        <w:spacing w:after="0" w:line="240" w:lineRule="auto"/>
        <w:ind w:firstLine="709"/>
        <w:jc w:val="both"/>
        <w:rPr>
          <w:rFonts w:ascii="Calibri" w:eastAsia="Calibri" w:hAnsi="Calibri" w:cs="Times New Roman"/>
          <w:kern w:val="0"/>
          <w14:ligatures w14:val="none"/>
        </w:rPr>
      </w:pPr>
    </w:p>
    <w:p w14:paraId="60C67A08" w14:textId="77777777" w:rsidR="009E0DB9" w:rsidRPr="009E0DB9" w:rsidRDefault="009E0DB9" w:rsidP="009E0DB9">
      <w:pPr>
        <w:spacing w:after="0" w:line="240" w:lineRule="auto"/>
        <w:ind w:left="709" w:right="616"/>
        <w:jc w:val="both"/>
        <w:rPr>
          <w:rFonts w:ascii="Verdana" w:eastAsia="Calibri" w:hAnsi="Verdana" w:cs="Arial"/>
          <w:kern w:val="0"/>
          <w:sz w:val="20"/>
          <w:szCs w:val="20"/>
          <w14:ligatures w14:val="none"/>
        </w:rPr>
      </w:pPr>
      <w:r w:rsidRPr="009E0DB9">
        <w:rPr>
          <w:rFonts w:ascii="Verdana" w:eastAsia="Calibri" w:hAnsi="Verdana" w:cs="Arial"/>
          <w:kern w:val="0"/>
          <w:sz w:val="20"/>
          <w:szCs w:val="20"/>
          <w:lang w:val="es-MX"/>
          <w14:ligatures w14:val="none"/>
        </w:rPr>
        <w:t>i)</w:t>
      </w:r>
      <w:r w:rsidRPr="009E0DB9">
        <w:rPr>
          <w:rFonts w:ascii="Verdana" w:eastAsia="Calibri" w:hAnsi="Verdana" w:cs="Arial"/>
          <w:kern w:val="0"/>
          <w:sz w:val="20"/>
          <w:szCs w:val="20"/>
          <w14:ligatures w14:val="none"/>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9447FDD" w14:textId="77777777" w:rsidR="009E0DB9" w:rsidRPr="009E0DB9" w:rsidRDefault="009E0DB9" w:rsidP="009E0DB9">
      <w:pPr>
        <w:spacing w:after="0" w:line="240" w:lineRule="auto"/>
        <w:ind w:left="709" w:right="616"/>
        <w:jc w:val="both"/>
        <w:rPr>
          <w:rFonts w:ascii="Verdana" w:eastAsia="Calibri" w:hAnsi="Verdana" w:cs="Arial"/>
          <w:kern w:val="0"/>
          <w:sz w:val="20"/>
          <w:szCs w:val="20"/>
          <w14:ligatures w14:val="none"/>
        </w:rPr>
      </w:pPr>
    </w:p>
    <w:p w14:paraId="13EA1DE6" w14:textId="77777777" w:rsidR="009E0DB9" w:rsidRPr="009E0DB9" w:rsidRDefault="009E0DB9" w:rsidP="009E0DB9">
      <w:pPr>
        <w:spacing w:after="0" w:line="240" w:lineRule="auto"/>
        <w:ind w:left="709" w:right="616"/>
        <w:jc w:val="both"/>
        <w:rPr>
          <w:rFonts w:ascii="Verdana" w:eastAsia="Calibri" w:hAnsi="Verdana" w:cs="Times New Roman"/>
          <w:kern w:val="0"/>
          <w:sz w:val="20"/>
          <w:szCs w:val="20"/>
          <w14:ligatures w14:val="none"/>
        </w:rPr>
      </w:pPr>
      <w:proofErr w:type="spellStart"/>
      <w:r w:rsidRPr="009E0DB9">
        <w:rPr>
          <w:rFonts w:ascii="Verdana" w:eastAsia="Calibri" w:hAnsi="Verdana" w:cs="Times New Roman"/>
          <w:kern w:val="0"/>
          <w:sz w:val="20"/>
          <w:szCs w:val="20"/>
          <w14:ligatures w14:val="none"/>
        </w:rPr>
        <w:t>ii</w:t>
      </w:r>
      <w:proofErr w:type="spellEnd"/>
      <w:r w:rsidRPr="009E0DB9">
        <w:rPr>
          <w:rFonts w:ascii="Verdana" w:eastAsia="Calibri" w:hAnsi="Verdana" w:cs="Times New Roman"/>
          <w:kern w:val="0"/>
          <w:sz w:val="20"/>
          <w:szCs w:val="20"/>
          <w14:ligatures w14:val="none"/>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789C784" w14:textId="77777777" w:rsidR="009E0DB9" w:rsidRPr="009E0DB9" w:rsidRDefault="009E0DB9" w:rsidP="009E0DB9">
      <w:pPr>
        <w:spacing w:after="0" w:line="240" w:lineRule="auto"/>
        <w:ind w:left="709" w:right="709"/>
        <w:jc w:val="both"/>
        <w:rPr>
          <w:rFonts w:ascii="Verdana" w:eastAsia="Calibri" w:hAnsi="Verdana" w:cs="Times New Roman"/>
          <w:kern w:val="0"/>
          <w14:ligatures w14:val="none"/>
        </w:rPr>
      </w:pPr>
    </w:p>
    <w:p w14:paraId="1BB7C6F5" w14:textId="77777777" w:rsidR="009E0DB9" w:rsidRPr="009E0DB9" w:rsidRDefault="009E0DB9" w:rsidP="009E0DB9">
      <w:pPr>
        <w:spacing w:after="120" w:line="276" w:lineRule="auto"/>
        <w:ind w:firstLine="709"/>
        <w:jc w:val="both"/>
        <w:rPr>
          <w:rFonts w:ascii="Verdana" w:eastAsia="Arial" w:hAnsi="Verdana" w:cs="Arial"/>
          <w:i/>
          <w:iCs/>
          <w:kern w:val="0"/>
          <w:lang w:val="es-MX" w:eastAsia="es-ES" w:bidi="es-ES"/>
          <w14:ligatures w14:val="none"/>
        </w:rPr>
      </w:pPr>
      <w:r w:rsidRPr="009E0DB9">
        <w:rPr>
          <w:rFonts w:ascii="Verdana" w:eastAsia="Arial" w:hAnsi="Verdana" w:cs="Arial"/>
          <w:kern w:val="0"/>
          <w:lang w:val="es-MX" w:eastAsia="es-ES" w:bidi="es-ES"/>
          <w14:ligatures w14:val="none"/>
        </w:rPr>
        <w:t xml:space="preserve">De conformidad con los argumentos de dicha providencia, se parte de la distinción entre los conceptos </w:t>
      </w:r>
      <w:r w:rsidRPr="009E0DB9">
        <w:rPr>
          <w:rFonts w:ascii="Verdana" w:eastAsia="Arial" w:hAnsi="Verdana" w:cs="Arial"/>
          <w:kern w:val="0"/>
          <w:lang w:eastAsia="es-ES" w:bidi="es-ES"/>
          <w14:ligatures w14:val="none"/>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9E0DB9">
        <w:rPr>
          <w:rFonts w:ascii="Verdana" w:eastAsia="Arial" w:hAnsi="Verdana" w:cs="Arial"/>
          <w:i/>
          <w:iCs/>
          <w:kern w:val="0"/>
          <w:lang w:eastAsia="es-ES" w:bidi="es-ES"/>
          <w14:ligatures w14:val="none"/>
        </w:rPr>
        <w:t xml:space="preserve">“si el legislador no diferenció al establecer la prohibición o la restricción, mal haría el reglamento en aplicar un efecto expansivo o extensivo para incluir una categoría no cobijada con la limitación, (…)”. </w:t>
      </w:r>
      <w:r w:rsidRPr="009E0DB9">
        <w:rPr>
          <w:rFonts w:ascii="Verdana" w:eastAsia="Arial" w:hAnsi="Verdana" w:cs="Arial"/>
          <w:kern w:val="0"/>
          <w:lang w:eastAsia="es-ES" w:bidi="es-ES"/>
          <w14:ligatures w14:val="none"/>
        </w:rPr>
        <w:t xml:space="preserve">Por tal motivo, para efectos de decretar la medida de suspensión provisional de los apartes señalados del numeral 16.2 de la Circular Externa Única, argumentó que </w:t>
      </w:r>
      <w:r w:rsidRPr="009E0DB9">
        <w:rPr>
          <w:rFonts w:ascii="Verdana" w:eastAsia="Arial" w:hAnsi="Verdana" w:cs="Arial"/>
          <w:i/>
          <w:iCs/>
          <w:kern w:val="0"/>
          <w:lang w:eastAsia="es-ES" w:bidi="es-ES"/>
          <w14:ligatures w14:val="none"/>
        </w:rPr>
        <w:t xml:space="preserve">“con independencia del propósito loable o plausible de la disposición ya que, procura que no se usen los recursos estatales para incidir o afectar la contienda electoral, no cabe duda de que la entidad demandada </w:t>
      </w:r>
      <w:r w:rsidRPr="009E0DB9">
        <w:rPr>
          <w:rFonts w:ascii="Verdana" w:eastAsia="Arial" w:hAnsi="Verdana" w:cs="Arial"/>
          <w:i/>
          <w:iCs/>
          <w:kern w:val="0"/>
          <w:lang w:eastAsia="es-ES" w:bidi="es-ES"/>
          <w14:ligatures w14:val="none"/>
        </w:rPr>
        <w:lastRenderedPageBreak/>
        <w:t xml:space="preserve">incorporó en la prohibición una categoría que no quedó comprendida expresa e inequívocamente en la ley”. </w:t>
      </w:r>
    </w:p>
    <w:p w14:paraId="74585ABA" w14:textId="77777777" w:rsidR="009E0DB9" w:rsidRPr="009E0DB9" w:rsidRDefault="009E0DB9" w:rsidP="009E0DB9">
      <w:pPr>
        <w:spacing w:after="120" w:line="276" w:lineRule="auto"/>
        <w:ind w:firstLine="709"/>
        <w:jc w:val="both"/>
        <w:rPr>
          <w:rFonts w:ascii="Verdana" w:eastAsia="Calibri" w:hAnsi="Verdana" w:cs="Arial"/>
          <w:kern w:val="0"/>
          <w:lang w:val="es-MX"/>
          <w14:ligatures w14:val="none"/>
        </w:rPr>
      </w:pPr>
      <w:r w:rsidRPr="009E0DB9">
        <w:rPr>
          <w:rFonts w:ascii="Verdana" w:eastAsia="Arial" w:hAnsi="Verdana" w:cs="Arial"/>
          <w:kern w:val="0"/>
          <w:lang w:val="es-MX" w:eastAsia="es-ES" w:bidi="es-ES"/>
          <w14:ligatures w14:val="none"/>
        </w:rPr>
        <w:t xml:space="preserve">Bajo este contexto, esta Agencia debe manifestar que, si bien respeta y acata las decisiones proferidas por el Consejo de Estado, como es el caso del auto de suspensión provisional parcial del numeral </w:t>
      </w:r>
      <w:r w:rsidRPr="009E0DB9">
        <w:rPr>
          <w:rFonts w:ascii="Verdana" w:eastAsia="Arial" w:hAnsi="Verdana" w:cs="Arial"/>
          <w:kern w:val="0"/>
          <w:lang w:eastAsia="es-ES" w:bidi="es-ES"/>
          <w14:ligatures w14:val="none"/>
        </w:rPr>
        <w:t>16.2 de la Circular Externa Única</w:t>
      </w:r>
      <w:r w:rsidRPr="009E0DB9">
        <w:rPr>
          <w:rFonts w:ascii="Verdana" w:eastAsia="Arial" w:hAnsi="Verdana" w:cs="Arial"/>
          <w:kern w:val="0"/>
          <w:lang w:val="es-MX" w:eastAsia="es-ES" w:bidi="es-ES"/>
          <w14:ligatures w14:val="none"/>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9E0DB9">
        <w:rPr>
          <w:rFonts w:ascii="Verdana" w:eastAsia="Times New Roman" w:hAnsi="Verdana" w:cs="Arial"/>
          <w:kern w:val="0"/>
          <w:lang w:val="es-MX" w:eastAsia="es-CO"/>
          <w14:ligatures w14:val="none"/>
        </w:rPr>
        <w:t xml:space="preserve">evitar cualquier tipo de arbitrariedad, de ventaja injustificada, de uso irregular de los recursos del Estado en las campañas políticas, o que </w:t>
      </w:r>
      <w:r w:rsidRPr="009E0DB9">
        <w:rPr>
          <w:rFonts w:ascii="Verdana" w:eastAsia="Calibri" w:hAnsi="Verdana" w:cs="Arial"/>
          <w:kern w:val="0"/>
          <w:lang w:val="es-MX"/>
          <w14:ligatures w14:val="none"/>
        </w:rPr>
        <w:t xml:space="preserve">los recursos del Estado se ejecuten para lograr apoyos indebidos mediante la suscripción de contratos y/o convenios, que para efectos de la Ley de Garantías tienen la misma connotación y propósitos. </w:t>
      </w:r>
    </w:p>
    <w:p w14:paraId="7C9D7479" w14:textId="77777777" w:rsidR="009E0DB9" w:rsidRPr="009E0DB9" w:rsidRDefault="009E0DB9" w:rsidP="009E0DB9">
      <w:pPr>
        <w:spacing w:after="120" w:line="276" w:lineRule="auto"/>
        <w:ind w:firstLine="709"/>
        <w:jc w:val="both"/>
        <w:rPr>
          <w:rFonts w:ascii="Verdana" w:eastAsia="Arial" w:hAnsi="Verdana" w:cs="Arial"/>
          <w:kern w:val="0"/>
          <w:lang w:val="es-MX" w:eastAsia="es-ES" w:bidi="es-ES"/>
          <w14:ligatures w14:val="none"/>
        </w:rPr>
      </w:pPr>
      <w:r w:rsidRPr="009E0DB9">
        <w:rPr>
          <w:rFonts w:ascii="Verdana" w:eastAsia="Calibri" w:hAnsi="Verdana" w:cs="Arial"/>
          <w:kern w:val="0"/>
          <w14:ligatures w14:val="none"/>
        </w:rPr>
        <w:t xml:space="preserve">Conforme con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9E0DB9">
        <w:rPr>
          <w:rFonts w:ascii="Verdana" w:eastAsia="Arial" w:hAnsi="Verdana" w:cs="Arial"/>
          <w:kern w:val="0"/>
          <w:lang w:eastAsia="es-ES" w:bidi="es-ES"/>
          <w14:ligatures w14:val="none"/>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9E0DB9">
        <w:rPr>
          <w:rFonts w:ascii="Verdana" w:eastAsia="Calibri" w:hAnsi="Verdana" w:cs="Arial"/>
          <w:kern w:val="0"/>
          <w:lang w:val="es-MX"/>
          <w14:ligatures w14:val="none"/>
        </w:rPr>
        <w:t xml:space="preserve">a la fecha, se espera la decisión final respecto a la declaratoria de nulidad del numeral 16.2 de la Circular Externa Única que adopte el Consejo de Estado. </w:t>
      </w:r>
    </w:p>
    <w:p w14:paraId="3F8A3D2B" w14:textId="77777777" w:rsidR="009E0DB9" w:rsidRPr="009E0DB9" w:rsidRDefault="009E0DB9" w:rsidP="009E0DB9">
      <w:pPr>
        <w:spacing w:after="120" w:line="276" w:lineRule="auto"/>
        <w:ind w:firstLine="709"/>
        <w:jc w:val="both"/>
        <w:rPr>
          <w:rFonts w:ascii="Verdana" w:eastAsia="Times New Roman" w:hAnsi="Verdana" w:cs="Arial"/>
          <w:kern w:val="0"/>
          <w:lang w:val="es-MX" w:eastAsia="es-CO"/>
          <w14:ligatures w14:val="none"/>
        </w:rPr>
      </w:pPr>
      <w:r w:rsidRPr="009E0DB9">
        <w:rPr>
          <w:rFonts w:ascii="Verdana" w:eastAsia="Arial" w:hAnsi="Verdana" w:cs="Arial"/>
          <w:kern w:val="0"/>
          <w:lang w:val="es-MX" w:eastAsia="es-ES" w:bidi="es-ES"/>
          <w14:ligatures w14:val="none"/>
        </w:rPr>
        <w:t>De esta manera, s</w:t>
      </w:r>
      <w:proofErr w:type="spellStart"/>
      <w:r w:rsidRPr="009E0DB9">
        <w:rPr>
          <w:rFonts w:ascii="Verdana" w:eastAsia="Times New Roman" w:hAnsi="Verdana" w:cs="Arial"/>
          <w:kern w:val="0"/>
          <w:lang w:eastAsia="es-CO"/>
          <w14:ligatures w14:val="none"/>
        </w:rPr>
        <w:t>e</w:t>
      </w:r>
      <w:proofErr w:type="spellEnd"/>
      <w:r w:rsidRPr="009E0DB9">
        <w:rPr>
          <w:rFonts w:ascii="Verdana" w:eastAsia="Times New Roman" w:hAnsi="Verdana" w:cs="Arial"/>
          <w:kern w:val="0"/>
          <w:lang w:eastAsia="es-CO"/>
          <w14:ligatures w14:val="none"/>
        </w:rPr>
        <w:t xml:space="preserve"> observa entonces que </w:t>
      </w:r>
      <w:r w:rsidRPr="009E0DB9">
        <w:rPr>
          <w:rFonts w:ascii="Verdana" w:eastAsia="Times New Roman" w:hAnsi="Verdana" w:cs="Arial"/>
          <w:kern w:val="0"/>
          <w:lang w:val="es-MX" w:eastAsia="es-CO"/>
          <w14:ligatures w14:val="none"/>
        </w:rPr>
        <w:t xml:space="preserve">el parágrafo del artículo 38 de la Ley 996 de 2005 prohíbe a los Alcaldes, Gobernadores, Secretarios, Gerentes y Directores de las entidades del orden municipal, departamental o distrital celebrar </w:t>
      </w:r>
      <w:r w:rsidRPr="009E0DB9">
        <w:rPr>
          <w:rFonts w:ascii="Verdana" w:eastAsia="Times New Roman" w:hAnsi="Verdana" w:cs="Arial"/>
          <w:i/>
          <w:iCs/>
          <w:kern w:val="0"/>
          <w:lang w:val="es-MX" w:eastAsia="es-CO"/>
          <w14:ligatures w14:val="none"/>
        </w:rPr>
        <w:t>convenios interadministrativos</w:t>
      </w:r>
      <w:r w:rsidRPr="009E0DB9">
        <w:rPr>
          <w:rFonts w:ascii="Verdana" w:eastAsia="Times New Roman" w:hAnsi="Verdana" w:cs="Arial"/>
          <w:kern w:val="0"/>
          <w:lang w:val="es-MX" w:eastAsia="es-CO"/>
          <w14:ligatures w14:val="none"/>
        </w:rPr>
        <w:t xml:space="preserve"> para la ejecución de recursos públicos. En este sentido, si una o ambas partes de la relación contractual es una entidad de aquellas descritas en el parágrafo </w:t>
      </w:r>
      <w:r w:rsidRPr="009E0DB9">
        <w:rPr>
          <w:rFonts w:ascii="Verdana" w:eastAsia="Times New Roman" w:hAnsi="Verdana" w:cs="Arial"/>
          <w:i/>
          <w:kern w:val="0"/>
          <w:lang w:val="es-MX" w:eastAsia="es-CO"/>
          <w14:ligatures w14:val="none"/>
        </w:rPr>
        <w:t>ibidem</w:t>
      </w:r>
      <w:r w:rsidRPr="009E0DB9">
        <w:rPr>
          <w:rFonts w:ascii="Verdana" w:eastAsia="Times New Roman" w:hAnsi="Verdana" w:cs="Arial"/>
          <w:kern w:val="0"/>
          <w:lang w:val="es-MX" w:eastAsia="es-CO"/>
          <w14:ligatures w14:val="none"/>
        </w:rPr>
        <w:t xml:space="preserve">, no podrá celebrar tales </w:t>
      </w:r>
      <w:r w:rsidRPr="009E0DB9">
        <w:rPr>
          <w:rFonts w:ascii="Verdana" w:eastAsia="Times New Roman" w:hAnsi="Verdana" w:cs="Arial"/>
          <w:i/>
          <w:iCs/>
          <w:kern w:val="0"/>
          <w:lang w:val="es-MX" w:eastAsia="es-CO"/>
          <w14:ligatures w14:val="none"/>
        </w:rPr>
        <w:t>convenios</w:t>
      </w:r>
      <w:r w:rsidRPr="009E0DB9">
        <w:rPr>
          <w:rFonts w:ascii="Verdana" w:eastAsia="Times New Roman" w:hAnsi="Verdana" w:cs="Arial"/>
          <w:kern w:val="0"/>
          <w:lang w:val="es-MX" w:eastAsia="es-CO"/>
          <w14:ligatures w14:val="none"/>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 </w:t>
      </w:r>
    </w:p>
    <w:p w14:paraId="35597429" w14:textId="77777777" w:rsidR="009E0DB9" w:rsidRPr="009E0DB9" w:rsidRDefault="009E0DB9" w:rsidP="009E0DB9">
      <w:pPr>
        <w:tabs>
          <w:tab w:val="left" w:pos="426"/>
        </w:tabs>
        <w:spacing w:before="120" w:line="276" w:lineRule="auto"/>
        <w:ind w:firstLine="709"/>
        <w:jc w:val="both"/>
        <w:rPr>
          <w:rFonts w:ascii="Verdana" w:eastAsia="Calibri" w:hAnsi="Verdana" w:cs="Arial"/>
          <w:bCs/>
          <w:color w:val="000000"/>
          <w:kern w:val="0"/>
          <w14:ligatures w14:val="none"/>
        </w:rPr>
      </w:pPr>
      <w:proofErr w:type="spellStart"/>
      <w:r w:rsidRPr="009E0DB9">
        <w:rPr>
          <w:rFonts w:ascii="Verdana" w:eastAsia="Calibri" w:hAnsi="Verdana" w:cs="Arial"/>
          <w:bCs/>
          <w:color w:val="000000"/>
          <w:kern w:val="0"/>
          <w14:ligatures w14:val="none"/>
        </w:rPr>
        <w:lastRenderedPageBreak/>
        <w:t>ii</w:t>
      </w:r>
      <w:proofErr w:type="spellEnd"/>
      <w:r w:rsidRPr="009E0DB9">
        <w:rPr>
          <w:rFonts w:ascii="Verdana" w:eastAsia="Calibri" w:hAnsi="Verdana" w:cs="Arial"/>
          <w:bCs/>
          <w:color w:val="000000"/>
          <w:kern w:val="0"/>
          <w14:ligatures w14:val="none"/>
        </w:rPr>
        <w:t xml:space="preserve">) Ahora bien, es pertinente 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43CA250E" w14:textId="77777777" w:rsidR="009E0DB9" w:rsidRPr="009E0DB9" w:rsidRDefault="009E0DB9" w:rsidP="009E0DB9">
      <w:pPr>
        <w:tabs>
          <w:tab w:val="left" w:pos="426"/>
        </w:tabs>
        <w:spacing w:before="120" w:line="276" w:lineRule="auto"/>
        <w:ind w:firstLine="709"/>
        <w:jc w:val="both"/>
        <w:rPr>
          <w:rFonts w:ascii="Verdana" w:eastAsia="Calibri" w:hAnsi="Verdana" w:cs="Arial"/>
          <w:color w:val="000000"/>
          <w:kern w:val="0"/>
          <w14:ligatures w14:val="none"/>
        </w:rPr>
      </w:pPr>
      <w:r w:rsidRPr="009E0DB9">
        <w:rPr>
          <w:rFonts w:ascii="Verdana" w:eastAsia="Calibri" w:hAnsi="Verdana" w:cs="Arial"/>
          <w:color w:val="000000"/>
          <w:kern w:val="0"/>
          <w14:ligatures w14:val="none"/>
        </w:rPr>
        <w:t>De lo anterior se desprende que, bajo la Ley 100 de 1993, dentro de la estructura de la administración pública las Empresas Sociales del Estado, según lo dispuesto en el artículo 194 de la Ley 100 de 1993, son las entidades encargadas de prestar el servicio de salud de manera directa</w:t>
      </w:r>
      <w:r w:rsidRPr="009E0DB9">
        <w:rPr>
          <w:rFonts w:ascii="Verdana" w:eastAsia="Calibri" w:hAnsi="Verdana" w:cs="Arial"/>
          <w:color w:val="000000"/>
          <w:kern w:val="0"/>
          <w:vertAlign w:val="superscript"/>
          <w14:ligatures w14:val="none"/>
        </w:rPr>
        <w:footnoteReference w:id="23"/>
      </w:r>
      <w:r w:rsidRPr="009E0DB9">
        <w:rPr>
          <w:rFonts w:ascii="Verdana" w:eastAsia="Calibri" w:hAnsi="Verdana" w:cs="Arial"/>
          <w:color w:val="000000"/>
          <w:kern w:val="0"/>
          <w14:ligatures w14:val="none"/>
        </w:rPr>
        <w:t>. Además, el mismo artículo 197</w:t>
      </w:r>
      <w:r w:rsidRPr="009E0DB9">
        <w:rPr>
          <w:rFonts w:ascii="Arial" w:eastAsia="Calibri" w:hAnsi="Arial" w:cs="Arial"/>
          <w:color w:val="000000"/>
          <w:kern w:val="0"/>
          <w:vertAlign w:val="superscript"/>
          <w14:ligatures w14:val="none"/>
        </w:rPr>
        <w:footnoteReference w:id="24"/>
      </w:r>
      <w:r w:rsidRPr="009E0DB9">
        <w:rPr>
          <w:rFonts w:ascii="Verdana" w:eastAsia="Calibri" w:hAnsi="Verdana" w:cs="Arial"/>
          <w:color w:val="000000"/>
          <w:kern w:val="0"/>
          <w14:ligatures w14:val="none"/>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3CFC73F6" w14:textId="77777777" w:rsidR="009E0DB9" w:rsidRPr="009E0DB9" w:rsidRDefault="009E0DB9" w:rsidP="009E0DB9">
      <w:pPr>
        <w:spacing w:before="120" w:after="120" w:line="276" w:lineRule="auto"/>
        <w:ind w:firstLine="709"/>
        <w:jc w:val="both"/>
        <w:rPr>
          <w:rFonts w:ascii="Verdana" w:eastAsia="Arial" w:hAnsi="Verdana" w:cs="Arial"/>
          <w:bCs/>
          <w:color w:val="000000"/>
          <w:kern w:val="0"/>
          <w14:ligatures w14:val="none"/>
        </w:rPr>
      </w:pPr>
      <w:r w:rsidRPr="009E0DB9">
        <w:rPr>
          <w:rFonts w:ascii="Verdana" w:eastAsia="Arial" w:hAnsi="Verdana" w:cs="Arial"/>
          <w:bCs/>
          <w:color w:val="000000"/>
          <w:kern w:val="0"/>
          <w14:ligatures w14:val="none"/>
        </w:rPr>
        <w:t xml:space="preserve">De otro lado, el artículo 2.8.8.1.1.3 del Decreto 780 de 2016, “Por medio del cual se expide el Decreto Único Reglamentario del Sector Salud y Protección Social”, definió a las </w:t>
      </w:r>
      <w:r w:rsidRPr="009E0DB9">
        <w:rPr>
          <w:rFonts w:ascii="Verdana" w:eastAsia="Arial" w:hAnsi="Verdana" w:cs="Arial"/>
          <w:bCs/>
          <w:i/>
          <w:iCs/>
          <w:color w:val="000000"/>
          <w:kern w:val="0"/>
          <w14:ligatures w14:val="none"/>
        </w:rPr>
        <w:t>entidades sanitarias</w:t>
      </w:r>
      <w:r w:rsidRPr="009E0DB9">
        <w:rPr>
          <w:rFonts w:ascii="Verdana" w:eastAsia="Arial" w:hAnsi="Verdana" w:cs="Arial"/>
          <w:bCs/>
          <w:color w:val="000000"/>
          <w:kern w:val="0"/>
          <w14:ligatures w14:val="none"/>
        </w:rPr>
        <w:t xml:space="preserve"> como las “Entidades del Estado que prestan servicios sanitarios o de sanidad con el propósito de preservar la salud humana y la salud pública”. El artículo citado también define las </w:t>
      </w:r>
      <w:r w:rsidRPr="009E0DB9">
        <w:rPr>
          <w:rFonts w:ascii="Verdana" w:eastAsia="Arial" w:hAnsi="Verdana" w:cs="Arial"/>
          <w:bCs/>
          <w:i/>
          <w:iCs/>
          <w:color w:val="000000"/>
          <w:kern w:val="0"/>
          <w14:ligatures w14:val="none"/>
        </w:rPr>
        <w:t>autoridades sanitarias</w:t>
      </w:r>
      <w:r w:rsidRPr="009E0DB9">
        <w:rPr>
          <w:rFonts w:ascii="Verdana" w:eastAsia="Arial" w:hAnsi="Verdana" w:cs="Arial"/>
          <w:bCs/>
          <w:color w:val="000000"/>
          <w:kern w:val="0"/>
          <w14:ligatures w14:val="none"/>
        </w:rPr>
        <w:t xml:space="preserve"> como las “Entidades jurídicas de carácter público con atribuciones para ejercer funciones de rectoría, regulación, inspección, vigilancia y control de los sectores público y privado en salud y adoptar medidas de prevención y </w:t>
      </w:r>
      <w:r w:rsidRPr="009E0DB9">
        <w:rPr>
          <w:rFonts w:ascii="Verdana" w:eastAsia="Arial" w:hAnsi="Verdana" w:cs="Arial"/>
          <w:bCs/>
          <w:color w:val="000000"/>
          <w:kern w:val="0"/>
          <w14:ligatures w14:val="none"/>
        </w:rPr>
        <w:lastRenderedPageBreak/>
        <w:t>seguimiento que garanticen la protección de la salud pública”</w:t>
      </w:r>
      <w:r w:rsidRPr="009E0DB9">
        <w:rPr>
          <w:rFonts w:ascii="Verdana" w:eastAsia="Arial" w:hAnsi="Verdana" w:cs="Arial"/>
          <w:bCs/>
          <w:color w:val="000000"/>
          <w:kern w:val="0"/>
          <w:vertAlign w:val="superscript"/>
          <w14:ligatures w14:val="none"/>
        </w:rPr>
        <w:footnoteReference w:id="25"/>
      </w:r>
      <w:r w:rsidRPr="009E0DB9">
        <w:rPr>
          <w:rFonts w:ascii="Verdana" w:eastAsia="Arial" w:hAnsi="Verdana" w:cs="Arial"/>
          <w:bCs/>
          <w:color w:val="000000"/>
          <w:kern w:val="0"/>
          <w14:ligatures w14:val="none"/>
        </w:rPr>
        <w:t xml:space="preserve">. De esta forma, para efectos de la aplicación de la excepción, se debe verificar que se cumplan los requisitos del artículo 33 de la Ley 996 de 2005. </w:t>
      </w:r>
    </w:p>
    <w:p w14:paraId="3BF97118" w14:textId="77777777" w:rsidR="009E0DB9" w:rsidRPr="009E0DB9" w:rsidRDefault="009E0DB9" w:rsidP="009E0DB9">
      <w:pPr>
        <w:spacing w:before="120" w:after="0" w:line="276" w:lineRule="auto"/>
        <w:ind w:firstLine="709"/>
        <w:jc w:val="both"/>
        <w:rPr>
          <w:rFonts w:ascii="Verdana" w:eastAsia="Arial" w:hAnsi="Verdana" w:cs="Arial"/>
          <w:bCs/>
          <w:color w:val="000000"/>
          <w:kern w:val="0"/>
          <w14:ligatures w14:val="none"/>
        </w:rPr>
      </w:pPr>
      <w:r w:rsidRPr="009E0DB9">
        <w:rPr>
          <w:rFonts w:ascii="Verdana" w:eastAsia="Arial" w:hAnsi="Verdana" w:cs="Arial"/>
          <w:bCs/>
          <w:color w:val="000000"/>
          <w:kern w:val="0"/>
          <w14:ligatures w14:val="none"/>
        </w:rPr>
        <w:t>Sobre lo anterior, el Consejo de Estado ha señalado que “las entidades que presten servicios tendientes a preservar la salud pública o humana deben ser consideradas como entidades sanitarias y en principio estarían exceptuadas de la prohibición de contratación directa”</w:t>
      </w:r>
      <w:r w:rsidRPr="009E0DB9">
        <w:rPr>
          <w:rFonts w:ascii="Verdana" w:eastAsia="Arial" w:hAnsi="Verdana" w:cs="Arial"/>
          <w:bCs/>
          <w:color w:val="000000"/>
          <w:kern w:val="0"/>
          <w:vertAlign w:val="superscript"/>
          <w14:ligatures w14:val="none"/>
        </w:rPr>
        <w:footnoteReference w:id="26"/>
      </w:r>
      <w:r w:rsidRPr="009E0DB9">
        <w:rPr>
          <w:rFonts w:ascii="Verdana" w:eastAsia="Arial" w:hAnsi="Verdana" w:cs="Arial"/>
          <w:bCs/>
          <w:color w:val="000000"/>
          <w:kern w:val="0"/>
          <w14:ligatures w14:val="none"/>
        </w:rPr>
        <w:t>.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9E0DB9">
        <w:rPr>
          <w:rFonts w:ascii="Verdana" w:eastAsia="Arial" w:hAnsi="Verdana" w:cs="Arial"/>
          <w:bCs/>
          <w:color w:val="000000"/>
          <w:kern w:val="0"/>
          <w:vertAlign w:val="superscript"/>
          <w14:ligatures w14:val="none"/>
        </w:rPr>
        <w:footnoteReference w:id="27"/>
      </w:r>
      <w:r w:rsidRPr="009E0DB9">
        <w:rPr>
          <w:rFonts w:ascii="Verdana" w:eastAsia="Arial" w:hAnsi="Verdana" w:cs="Arial"/>
          <w:bCs/>
          <w:color w:val="000000"/>
          <w:kern w:val="0"/>
          <w14:ligatures w14:val="none"/>
        </w:rPr>
        <w:t xml:space="preserve">. </w:t>
      </w:r>
    </w:p>
    <w:p w14:paraId="6B747F8E" w14:textId="77777777" w:rsidR="009E0DB9" w:rsidRPr="009E0DB9" w:rsidRDefault="009E0DB9" w:rsidP="009E0DB9">
      <w:pPr>
        <w:spacing w:after="0" w:line="240" w:lineRule="auto"/>
        <w:ind w:firstLine="709"/>
        <w:jc w:val="both"/>
        <w:rPr>
          <w:rFonts w:ascii="Verdana" w:eastAsia="Calibri" w:hAnsi="Verdana" w:cs="Arial"/>
          <w:bCs/>
          <w:kern w:val="0"/>
          <w14:ligatures w14:val="none"/>
        </w:rPr>
      </w:pPr>
    </w:p>
    <w:p w14:paraId="6F4E629E" w14:textId="77777777" w:rsidR="009E0DB9" w:rsidRPr="009E0DB9" w:rsidRDefault="009E0DB9" w:rsidP="009E0DB9">
      <w:pPr>
        <w:spacing w:after="120" w:line="276" w:lineRule="auto"/>
        <w:ind w:firstLine="709"/>
        <w:jc w:val="both"/>
        <w:rPr>
          <w:rFonts w:ascii="Verdana" w:eastAsia="Arial" w:hAnsi="Verdana" w:cs="Arial"/>
          <w:bCs/>
          <w:color w:val="000000"/>
          <w:kern w:val="0"/>
          <w14:ligatures w14:val="none"/>
        </w:rPr>
      </w:pPr>
      <w:r w:rsidRPr="009E0DB9">
        <w:rPr>
          <w:rFonts w:ascii="Verdana" w:eastAsia="Arial" w:hAnsi="Verdana" w:cs="Arial"/>
          <w:bCs/>
          <w:color w:val="000000"/>
          <w:kern w:val="0"/>
          <w14:ligatures w14:val="none"/>
        </w:rPr>
        <w:t xml:space="preserve">Conforme con lo expuesto, las entidades que requieran adelantar procesos de contratación directa durante el periodo de garantías electorales deberán analizar, primero, si se configuran los supuestos establecidos en </w:t>
      </w:r>
      <w:r w:rsidRPr="009E0DB9">
        <w:rPr>
          <w:rFonts w:ascii="Verdana" w:eastAsia="Arial" w:hAnsi="Verdana" w:cs="Arial"/>
          <w:bCs/>
          <w:i/>
          <w:iCs/>
          <w:color w:val="000000"/>
          <w:kern w:val="0"/>
          <w14:ligatures w14:val="none"/>
        </w:rPr>
        <w:t>el artículo 33</w:t>
      </w:r>
      <w:r w:rsidRPr="009E0DB9">
        <w:rPr>
          <w:rFonts w:ascii="Verdana" w:eastAsia="Arial" w:hAnsi="Verdana" w:cs="Arial"/>
          <w:bCs/>
          <w:color w:val="000000"/>
          <w:kern w:val="0"/>
          <w14:ligatures w14:val="none"/>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 Plan de Salud Pública de </w:t>
      </w:r>
      <w:r w:rsidRPr="009E0DB9">
        <w:rPr>
          <w:rFonts w:ascii="Verdana" w:eastAsia="Arial" w:hAnsi="Verdana" w:cs="Arial"/>
          <w:bCs/>
          <w:color w:val="000000"/>
          <w:kern w:val="0"/>
          <w14:ligatures w14:val="none"/>
        </w:rPr>
        <w:lastRenderedPageBreak/>
        <w:t>Intervenciones Colectivas</w:t>
      </w:r>
      <w:r w:rsidRPr="009E0DB9">
        <w:rPr>
          <w:rFonts w:ascii="Verdana" w:eastAsia="Arial" w:hAnsi="Verdana" w:cs="Arial"/>
          <w:bCs/>
          <w:color w:val="000000"/>
          <w:kern w:val="0"/>
          <w:vertAlign w:val="superscript"/>
          <w14:ligatures w14:val="none"/>
        </w:rPr>
        <w:footnoteReference w:id="28"/>
      </w:r>
      <w:r w:rsidRPr="009E0DB9">
        <w:rPr>
          <w:rFonts w:ascii="Verdana" w:eastAsia="Arial" w:hAnsi="Verdana" w:cs="Arial"/>
          <w:bCs/>
          <w:color w:val="000000"/>
          <w:kern w:val="0"/>
          <w14:ligatures w14:val="none"/>
        </w:rPr>
        <w:t xml:space="preserve"> -PIC</w:t>
      </w:r>
      <w:r w:rsidRPr="009E0DB9">
        <w:rPr>
          <w:rFonts w:ascii="Verdana" w:eastAsia="Arial" w:hAnsi="Verdana" w:cs="Arial"/>
          <w:bCs/>
          <w:color w:val="000000"/>
          <w:kern w:val="0"/>
          <w:vertAlign w:val="superscript"/>
          <w14:ligatures w14:val="none"/>
        </w:rPr>
        <w:footnoteReference w:id="29"/>
      </w:r>
      <w:r w:rsidRPr="009E0DB9">
        <w:rPr>
          <w:rFonts w:ascii="Verdana" w:eastAsia="Arial" w:hAnsi="Verdana" w:cs="Arial"/>
          <w:bCs/>
          <w:color w:val="000000"/>
          <w:kern w:val="0"/>
          <w14:ligatures w14:val="none"/>
        </w:rPr>
        <w:t xml:space="preserve">- se realiza con ocasión a una “emergencia sanitaria” o si es llevada a cabo por “entidades sanitarias u hospitalarias”. De </w:t>
      </w:r>
      <w:r w:rsidRPr="009E0DB9">
        <w:rPr>
          <w:rFonts w:ascii="Verdana" w:eastAsia="Arial" w:hAnsi="Verdana" w:cs="Arial"/>
          <w:bCs/>
          <w:color w:val="000000"/>
          <w:kern w:val="0"/>
          <w14:ligatures w14:val="none"/>
        </w:rPr>
        <w:lastRenderedPageBreak/>
        <w:t>ser así, la entidad, previo análisis de las excepciones, podrá proceder en tal sentido y contratar directamente a pesar de que haya iniciado el periodo de garantías electorales correspondiente al artículo 33 de la Ley 996 de 2005.</w:t>
      </w:r>
    </w:p>
    <w:p w14:paraId="2D2A474D" w14:textId="77777777" w:rsidR="009E0DB9" w:rsidRPr="009E0DB9" w:rsidRDefault="009E0DB9" w:rsidP="009E0DB9">
      <w:pPr>
        <w:spacing w:before="120" w:after="0" w:line="276" w:lineRule="auto"/>
        <w:ind w:firstLine="709"/>
        <w:jc w:val="both"/>
        <w:rPr>
          <w:rFonts w:ascii="Verdana" w:eastAsia="Arial" w:hAnsi="Verdana" w:cs="Arial"/>
          <w:bCs/>
          <w:color w:val="000000"/>
          <w:kern w:val="0"/>
          <w14:ligatures w14:val="none"/>
        </w:rPr>
      </w:pPr>
      <w:r w:rsidRPr="009E0DB9">
        <w:rPr>
          <w:rFonts w:ascii="Verdana" w:eastAsia="Times New Roman" w:hAnsi="Verdana" w:cs="Arial"/>
          <w:bCs/>
          <w:kern w:val="0"/>
          <w:lang w:eastAsia="es-CO"/>
          <w14:ligatures w14:val="none"/>
        </w:rPr>
        <w:t xml:space="preserve">Con respecto a la prohibición del parágrafo del artículo 38, es importante resaltar que el Ministerio de Salud y Protección Social </w:t>
      </w:r>
      <w:r w:rsidRPr="009E0DB9">
        <w:rPr>
          <w:rFonts w:ascii="Verdana" w:eastAsia="Arial" w:hAnsi="Verdana" w:cs="Arial"/>
          <w:bCs/>
          <w:color w:val="000000"/>
          <w:kern w:val="0"/>
          <w14:ligatures w14:val="none"/>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r w:rsidRPr="009E0DB9">
        <w:rPr>
          <w:rFonts w:ascii="Verdana" w:eastAsia="Arial" w:hAnsi="Verdana" w:cs="Arial"/>
          <w:bCs/>
          <w:color w:val="000000"/>
          <w:kern w:val="0"/>
          <w:vertAlign w:val="superscript"/>
          <w14:ligatures w14:val="none"/>
        </w:rPr>
        <w:footnoteReference w:id="30"/>
      </w:r>
      <w:r w:rsidRPr="009E0DB9">
        <w:rPr>
          <w:rFonts w:ascii="Verdana" w:eastAsia="Arial" w:hAnsi="Verdana" w:cs="Arial"/>
          <w:bCs/>
          <w:color w:val="000000"/>
          <w:kern w:val="0"/>
          <w14:ligatures w14:val="none"/>
        </w:rPr>
        <w:t xml:space="preserve">. Lo anterior, considerando que esta prohibición no fijó excepción alguna para su aplicación. </w:t>
      </w:r>
    </w:p>
    <w:p w14:paraId="49FE3136" w14:textId="77777777" w:rsidR="009E0DB9" w:rsidRPr="009E0DB9" w:rsidRDefault="009E0DB9" w:rsidP="009E0DB9">
      <w:pPr>
        <w:spacing w:before="120" w:after="0" w:line="276" w:lineRule="auto"/>
        <w:ind w:firstLine="709"/>
        <w:jc w:val="both"/>
        <w:rPr>
          <w:rFonts w:ascii="Verdana" w:eastAsia="Arial" w:hAnsi="Verdana" w:cs="Arial"/>
          <w:bCs/>
          <w:color w:val="000000"/>
          <w:kern w:val="0"/>
          <w14:ligatures w14:val="none"/>
        </w:rPr>
      </w:pPr>
      <w:r w:rsidRPr="009E0DB9">
        <w:rPr>
          <w:rFonts w:ascii="Verdana" w:eastAsia="Calibri" w:hAnsi="Verdana" w:cs="Arial"/>
          <w:kern w:val="0"/>
          <w14:ligatures w14:val="none"/>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37B2AF19" w14:textId="77777777" w:rsidR="009E0DB9" w:rsidRPr="009E0DB9" w:rsidRDefault="009E0DB9" w:rsidP="009E0DB9">
      <w:pPr>
        <w:spacing w:before="120" w:after="0" w:line="276" w:lineRule="auto"/>
        <w:ind w:firstLine="709"/>
        <w:jc w:val="both"/>
        <w:rPr>
          <w:rFonts w:ascii="Verdana" w:eastAsia="Arial" w:hAnsi="Verdana" w:cs="Arial"/>
          <w:bCs/>
          <w:color w:val="000000"/>
          <w:kern w:val="0"/>
          <w14:ligatures w14:val="none"/>
        </w:rPr>
      </w:pPr>
      <w:r w:rsidRPr="009E0DB9">
        <w:rPr>
          <w:rFonts w:ascii="Verdana" w:eastAsia="Calibri" w:hAnsi="Verdana" w:cs="Arial"/>
          <w:kern w:val="0"/>
          <w14:ligatures w14:val="none"/>
        </w:rPr>
        <w:t>En particular, cada Entidad Estatal deberá 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9E0DB9">
        <w:rPr>
          <w:rFonts w:ascii="Verdana" w:eastAsia="Calibri" w:hAnsi="Verdana" w:cs="Arial"/>
          <w:kern w:val="0"/>
          <w:lang w:eastAsia="es-CO"/>
          <w14:ligatures w14:val="none"/>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p>
    <w:p w14:paraId="5CF41AB0" w14:textId="77777777" w:rsidR="009E0DB9" w:rsidRPr="009E0DB9" w:rsidRDefault="009E0DB9" w:rsidP="009E0DB9">
      <w:pPr>
        <w:spacing w:after="120" w:line="276" w:lineRule="auto"/>
        <w:ind w:firstLine="708"/>
        <w:jc w:val="both"/>
        <w:rPr>
          <w:rFonts w:ascii="Verdana" w:eastAsia="Times New Roman" w:hAnsi="Verdana" w:cs="Arial"/>
          <w:bCs/>
          <w:kern w:val="0"/>
          <w:lang w:eastAsia="es-CO"/>
          <w14:ligatures w14:val="none"/>
        </w:rPr>
      </w:pPr>
      <w:r w:rsidRPr="009E0DB9">
        <w:rPr>
          <w:rFonts w:ascii="Verdana" w:eastAsia="Arial" w:hAnsi="Verdana" w:cs="Arial"/>
          <w:color w:val="000000"/>
          <w:kern w:val="0"/>
          <w14:ligatures w14:val="none"/>
        </w:rPr>
        <w:t xml:space="preserve">Finalmente, es importante advertir que </w:t>
      </w:r>
      <w:r w:rsidRPr="009E0DB9">
        <w:rPr>
          <w:rFonts w:ascii="Verdana" w:eastAsia="Times New Roman" w:hAnsi="Verdana" w:cs="Arial"/>
          <w:kern w:val="0"/>
          <w14:ligatures w14:val="none"/>
        </w:rPr>
        <w:t xml:space="preserve">compete a cada Entidad Estatal que considera celebrar un contrato específico definir si este se enmarca en alguna de las prohibiciones de la Ley de Garantías Electorales. </w:t>
      </w:r>
      <w:r w:rsidRPr="009E0DB9">
        <w:rPr>
          <w:rFonts w:ascii="Verdana" w:eastAsia="Times New Roman" w:hAnsi="Verdana" w:cs="Arial"/>
          <w:color w:val="000000"/>
          <w:kern w:val="0"/>
          <w:lang w:eastAsia="es-ES"/>
          <w14:ligatures w14:val="none"/>
        </w:rPr>
        <w:t xml:space="preserve">Dentro de este </w:t>
      </w:r>
      <w:r w:rsidRPr="009E0DB9">
        <w:rPr>
          <w:rFonts w:ascii="Verdana" w:eastAsia="Times New Roman" w:hAnsi="Verdana" w:cs="Arial"/>
          <w:color w:val="000000"/>
          <w:kern w:val="0"/>
          <w:lang w:eastAsia="es-ES"/>
          <w14:ligatures w14:val="none"/>
        </w:rPr>
        <w:lastRenderedPageBreak/>
        <w:t xml:space="preserve">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bookmarkEnd w:id="3"/>
    </w:p>
    <w:p w14:paraId="1BB0AC27" w14:textId="77777777" w:rsidR="009E0DB9" w:rsidRPr="009E0DB9" w:rsidRDefault="009E0DB9" w:rsidP="009E0DB9">
      <w:pPr>
        <w:spacing w:before="120" w:after="0" w:line="276" w:lineRule="auto"/>
        <w:ind w:firstLine="709"/>
        <w:jc w:val="both"/>
        <w:rPr>
          <w:rFonts w:ascii="Verdana" w:eastAsia="Calibri" w:hAnsi="Verdana" w:cs="Arial"/>
          <w:kern w:val="0"/>
          <w14:ligatures w14:val="none"/>
        </w:rPr>
      </w:pPr>
    </w:p>
    <w:p w14:paraId="63C92251" w14:textId="77777777" w:rsidR="009E0DB9" w:rsidRPr="009E0DB9" w:rsidRDefault="009E0DB9" w:rsidP="009E0DB9">
      <w:pPr>
        <w:widowControl w:val="0"/>
        <w:autoSpaceDE w:val="0"/>
        <w:autoSpaceDN w:val="0"/>
        <w:spacing w:before="1" w:after="0" w:line="240" w:lineRule="auto"/>
        <w:outlineLvl w:val="0"/>
        <w:rPr>
          <w:rFonts w:ascii="Verdana" w:eastAsia="Arial" w:hAnsi="Verdana" w:cs="Arial"/>
          <w:b/>
          <w:bCs/>
          <w:kern w:val="0"/>
          <w:lang w:val="es-ES"/>
          <w14:ligatures w14:val="none"/>
        </w:rPr>
      </w:pPr>
      <w:r w:rsidRPr="009E0DB9">
        <w:rPr>
          <w:rFonts w:ascii="Verdana" w:eastAsia="Arial" w:hAnsi="Verdana" w:cs="Arial"/>
          <w:b/>
          <w:bCs/>
          <w:kern w:val="0"/>
          <w:lang w:val="es-ES"/>
          <w14:ligatures w14:val="none"/>
        </w:rPr>
        <w:t>4.Referencias normativas, jurisprudenciales y otras fuentes:</w:t>
      </w:r>
    </w:p>
    <w:p w14:paraId="36366893" w14:textId="77777777" w:rsidR="009E0DB9" w:rsidRPr="009E0DB9" w:rsidRDefault="009E0DB9" w:rsidP="009E0DB9">
      <w:pPr>
        <w:widowControl w:val="0"/>
        <w:autoSpaceDE w:val="0"/>
        <w:autoSpaceDN w:val="0"/>
        <w:spacing w:after="0" w:line="276" w:lineRule="auto"/>
        <w:jc w:val="both"/>
        <w:rPr>
          <w:rFonts w:ascii="Verdana" w:eastAsia="Aptos" w:hAnsi="Verdana" w:cs="Arial"/>
          <w:kern w:val="0"/>
          <w14:ligatures w14:val="none"/>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E0DB9" w:rsidRPr="009E0DB9" w14:paraId="33F03B56" w14:textId="77777777" w:rsidTr="00DB4B0A">
        <w:trPr>
          <w:trHeight w:val="870"/>
        </w:trPr>
        <w:tc>
          <w:tcPr>
            <w:tcW w:w="8647" w:type="dxa"/>
          </w:tcPr>
          <w:p w14:paraId="60569F80"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Constitución Política. Artículo 127.</w:t>
            </w:r>
          </w:p>
          <w:p w14:paraId="7631D201" w14:textId="77777777" w:rsidR="009E0DB9" w:rsidRPr="009E0DB9" w:rsidRDefault="009E0DB9" w:rsidP="009E0DB9">
            <w:pPr>
              <w:numPr>
                <w:ilvl w:val="0"/>
                <w:numId w:val="1"/>
              </w:numPr>
              <w:spacing w:line="276" w:lineRule="auto"/>
              <w:contextualSpacing/>
              <w:jc w:val="both"/>
              <w:rPr>
                <w:rFonts w:ascii="Verdana" w:eastAsia="Calibri" w:hAnsi="Verdana" w:cs="Arial"/>
              </w:rPr>
            </w:pPr>
            <w:r w:rsidRPr="009E0DB9">
              <w:rPr>
                <w:rFonts w:ascii="Verdana" w:eastAsia="Calibri" w:hAnsi="Verdana" w:cs="Arial"/>
              </w:rPr>
              <w:t>Ley 80 de 1993. Artículos 30 y 32.</w:t>
            </w:r>
          </w:p>
          <w:p w14:paraId="70526EC4" w14:textId="77777777" w:rsidR="009E0DB9" w:rsidRPr="009E0DB9" w:rsidRDefault="009E0DB9" w:rsidP="009E0DB9">
            <w:pPr>
              <w:numPr>
                <w:ilvl w:val="0"/>
                <w:numId w:val="1"/>
              </w:numPr>
              <w:spacing w:line="276" w:lineRule="auto"/>
              <w:contextualSpacing/>
              <w:jc w:val="both"/>
              <w:rPr>
                <w:rFonts w:ascii="Verdana" w:eastAsia="Calibri" w:hAnsi="Verdana" w:cs="Arial"/>
              </w:rPr>
            </w:pPr>
            <w:r w:rsidRPr="009E0DB9">
              <w:rPr>
                <w:rFonts w:ascii="Verdana" w:eastAsia="Calibri" w:hAnsi="Verdana" w:cs="Arial"/>
                <w:color w:val="000000"/>
              </w:rPr>
              <w:t>Ley 100 de 1993. Artículos 194 y 197.</w:t>
            </w:r>
          </w:p>
          <w:p w14:paraId="25703F87"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bCs/>
                <w:lang w:eastAsia="es-ES" w:bidi="es-ES"/>
              </w:rPr>
              <w:t>Ley 996 de 2005. Artículos 33 y 38.</w:t>
            </w:r>
          </w:p>
          <w:p w14:paraId="5E41EE4A"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Calibri" w:hAnsi="Verdana" w:cs="Arial"/>
              </w:rPr>
            </w:pPr>
            <w:r w:rsidRPr="009E0DB9">
              <w:rPr>
                <w:rFonts w:ascii="Verdana" w:eastAsia="Arial" w:hAnsi="Verdana" w:cs="Arial"/>
                <w:bCs/>
                <w:color w:val="000000"/>
              </w:rPr>
              <w:t>Decreto 780 de 2016. Artículos 2.8.8.1.4.2, 2.8.8.1.1.3.</w:t>
            </w:r>
          </w:p>
          <w:p w14:paraId="225F7B54"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Times New Roman" w:hAnsi="Verdana" w:cs="Times New Roman"/>
                <w:lang w:eastAsia="es-MX"/>
              </w:rPr>
              <w:t>Ley 1150 de 2007. A</w:t>
            </w:r>
            <w:r w:rsidRPr="009E0DB9">
              <w:rPr>
                <w:rFonts w:ascii="Verdana" w:eastAsia="Arial MT" w:hAnsi="Verdana" w:cs="Arial"/>
                <w:lang w:eastAsia="es-ES" w:bidi="es-ES"/>
              </w:rPr>
              <w:t xml:space="preserve">rtículos 2, numeral 4. </w:t>
            </w:r>
          </w:p>
          <w:p w14:paraId="440B1550"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Decreto 1082 de 2015. Artículo 2.2.1.2.1.4.4.</w:t>
            </w:r>
          </w:p>
          <w:p w14:paraId="783D890F"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 xml:space="preserve">Resolución 1597 de 2025. Artículos 10 y 12. </w:t>
            </w:r>
          </w:p>
          <w:p w14:paraId="6BBFECF9"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w:hAnsi="Verdana" w:cs="Arial"/>
                <w:bCs/>
                <w:color w:val="000000"/>
              </w:rPr>
              <w:t xml:space="preserve">Resolución 04 del 12 de enero de 2018. </w:t>
            </w:r>
          </w:p>
          <w:p w14:paraId="3CF2F548"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4FB8A97E"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 xml:space="preserve">Consejo de Estado, Sala de Consulta y Servicio Civil de fecha 24 de julio de 2013. Radicado: Radicado: 11001-03-06-000-2013-00407-00 (2166). C.P: Álvaro Namén Vargas.  </w:t>
            </w:r>
          </w:p>
          <w:p w14:paraId="7A4B148C"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Consejo de Estado. Sala de Consulta y Servicio Civil. Concepto del 17 de febrero de 2015. Radicación No. 11001-03-06-000-2015-00164-00 (2269) C.P: William Zambrano Cetina.</w:t>
            </w:r>
          </w:p>
          <w:p w14:paraId="2D602D88"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Consejo de Estado. Sala de Consulta y Servicio Civil. Concepto del 02 de septiembre de 2013. Rad. 11001-03-06-000-2013-00412-00 (2168). C.P. Álvaro Namén Vargas.</w:t>
            </w:r>
          </w:p>
          <w:p w14:paraId="5DBF78D2"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 xml:space="preserve">Consejo de Estado. Sala de Consulta y Servicio Civil. Concepto del 08 de mayo de 2018. </w:t>
            </w:r>
            <w:proofErr w:type="spellStart"/>
            <w:r w:rsidRPr="009E0DB9">
              <w:rPr>
                <w:rFonts w:ascii="Verdana" w:eastAsia="Arial MT" w:hAnsi="Verdana" w:cs="Arial"/>
                <w:lang w:eastAsia="es-ES" w:bidi="es-ES"/>
              </w:rPr>
              <w:t>Exp</w:t>
            </w:r>
            <w:proofErr w:type="spellEnd"/>
            <w:r w:rsidRPr="009E0DB9">
              <w:rPr>
                <w:rFonts w:ascii="Verdana" w:eastAsia="Arial MT" w:hAnsi="Verdana" w:cs="Arial"/>
                <w:lang w:eastAsia="es-ES" w:bidi="es-ES"/>
              </w:rPr>
              <w:t>. 2.382. C.P. Álvaro Namén Vargas.</w:t>
            </w:r>
          </w:p>
          <w:p w14:paraId="158AF5E5"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 xml:space="preserve">Consejo de Estado. Sala de Consulta y Servicio Civil. Concepto de 20 </w:t>
            </w:r>
            <w:r w:rsidRPr="009E0DB9">
              <w:rPr>
                <w:rFonts w:ascii="Verdana" w:eastAsia="Arial MT" w:hAnsi="Verdana" w:cs="Arial"/>
                <w:lang w:eastAsia="es-ES" w:bidi="es-ES"/>
              </w:rPr>
              <w:lastRenderedPageBreak/>
              <w:t>de febrero de 2006. Radicación Número: 11001-03-06-000-2006-00026-00(1727). C.P: Enrique José Arboleda Perdomo.</w:t>
            </w:r>
          </w:p>
          <w:p w14:paraId="0F08115C"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Consejo de Estado. Sala de Consulta y Servicio Civil. Concepto del 18 de febrero 2010. Radicado: 11001-03-06-000-2010-00006-00 (1985). C.P. Enrique José Arboleda Perdomo.</w:t>
            </w:r>
          </w:p>
          <w:p w14:paraId="438EAE9E"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 xml:space="preserve">Consejo de Estado. Sala de lo Contencioso Administrativo. Sección Tercera. Auto del 4 de octubre de 2024. </w:t>
            </w:r>
            <w:proofErr w:type="spellStart"/>
            <w:r w:rsidRPr="009E0DB9">
              <w:rPr>
                <w:rFonts w:ascii="Verdana" w:eastAsia="Arial MT" w:hAnsi="Verdana" w:cs="Arial"/>
                <w:lang w:eastAsia="es-ES" w:bidi="es-ES"/>
              </w:rPr>
              <w:t>Exp</w:t>
            </w:r>
            <w:proofErr w:type="spellEnd"/>
            <w:r w:rsidRPr="009E0DB9">
              <w:rPr>
                <w:rFonts w:ascii="Verdana" w:eastAsia="Arial MT" w:hAnsi="Verdana" w:cs="Arial"/>
                <w:lang w:eastAsia="es-ES" w:bidi="es-ES"/>
              </w:rPr>
              <w:t>. 70.313. C.P: Fredy Ibarra Martínez.</w:t>
            </w:r>
          </w:p>
          <w:p w14:paraId="53CDC614" w14:textId="77777777" w:rsidR="009E0DB9" w:rsidRPr="009E0DB9" w:rsidRDefault="009E0DB9" w:rsidP="009E0DB9">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Consejo de Estado. Sala de Consulta y Servicio Civil. Concepto del 12 de junio de 2018. Radicación Interna: 11001-03-06-000-2018-0043-00. (2371). Consejero Ponente: Oscar Darío Amaya Navas.</w:t>
            </w:r>
          </w:p>
          <w:p w14:paraId="1834CF93" w14:textId="77777777" w:rsidR="009E0DB9" w:rsidRPr="009E0DB9" w:rsidRDefault="009E0DB9" w:rsidP="009E0DB9">
            <w:pPr>
              <w:numPr>
                <w:ilvl w:val="0"/>
                <w:numId w:val="1"/>
              </w:numPr>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Corte Constitucional. Sentencia C-1153 de 2005 M.P. Marco Gerardo Monroy Cabra.</w:t>
            </w:r>
          </w:p>
          <w:p w14:paraId="3D0BF9DE" w14:textId="77777777" w:rsidR="009E0DB9" w:rsidRPr="009E0DB9" w:rsidRDefault="009E0DB9" w:rsidP="009E0DB9">
            <w:pPr>
              <w:numPr>
                <w:ilvl w:val="0"/>
                <w:numId w:val="1"/>
              </w:numPr>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 xml:space="preserve">Corte Constitucional. Sentencia C-233 de 4 de abril de 2002. M.P: Álvaro Tafur Galvis. </w:t>
            </w:r>
          </w:p>
          <w:p w14:paraId="0F7D8DB9" w14:textId="77777777" w:rsidR="009E0DB9" w:rsidRPr="009E0DB9" w:rsidRDefault="009E0DB9" w:rsidP="009E0DB9">
            <w:pPr>
              <w:numPr>
                <w:ilvl w:val="0"/>
                <w:numId w:val="1"/>
              </w:numPr>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 xml:space="preserve">Corte Constitucional. Sentencia C-551 de 9 de julio de 2003. M.P: Eduardo Montealegre Lynett. </w:t>
            </w:r>
          </w:p>
          <w:p w14:paraId="5EB29E0A" w14:textId="77777777" w:rsidR="009E0DB9" w:rsidRPr="009E0DB9" w:rsidRDefault="009E0DB9" w:rsidP="009E0DB9">
            <w:pPr>
              <w:numPr>
                <w:ilvl w:val="0"/>
                <w:numId w:val="1"/>
              </w:numPr>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 xml:space="preserve">Corte Constitucional. Sentencia C-652 de 5 de agosto de 2003. M.P: Jaime Córdoba Triviño. </w:t>
            </w:r>
          </w:p>
          <w:p w14:paraId="0565C971" w14:textId="77777777" w:rsidR="009E0DB9" w:rsidRPr="009E0DB9" w:rsidRDefault="009E0DB9" w:rsidP="009E0DB9">
            <w:pPr>
              <w:numPr>
                <w:ilvl w:val="0"/>
                <w:numId w:val="1"/>
              </w:numPr>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 xml:space="preserve">Corte Constitucional. Sentencia C-353 de 20 de mayo de 2009. M.P: Jorge Iván Palacio </w:t>
            </w:r>
            <w:proofErr w:type="spellStart"/>
            <w:r w:rsidRPr="009E0DB9">
              <w:rPr>
                <w:rFonts w:ascii="Verdana" w:eastAsia="Arial MT" w:hAnsi="Verdana" w:cs="Arial"/>
                <w:lang w:eastAsia="es-ES" w:bidi="es-ES"/>
              </w:rPr>
              <w:t>Palacio</w:t>
            </w:r>
            <w:proofErr w:type="spellEnd"/>
            <w:r w:rsidRPr="009E0DB9">
              <w:rPr>
                <w:rFonts w:ascii="Verdana" w:eastAsia="Arial MT" w:hAnsi="Verdana" w:cs="Arial"/>
                <w:lang w:eastAsia="es-ES" w:bidi="es-ES"/>
              </w:rPr>
              <w:t xml:space="preserve">. </w:t>
            </w:r>
          </w:p>
          <w:p w14:paraId="2CEDA56E" w14:textId="77777777" w:rsidR="009E0DB9" w:rsidRPr="009E0DB9" w:rsidRDefault="009E0DB9" w:rsidP="009E0DB9">
            <w:pPr>
              <w:numPr>
                <w:ilvl w:val="0"/>
                <w:numId w:val="1"/>
              </w:numPr>
              <w:spacing w:line="276" w:lineRule="auto"/>
              <w:contextualSpacing/>
              <w:jc w:val="both"/>
              <w:rPr>
                <w:rFonts w:ascii="Verdana" w:eastAsia="Arial MT" w:hAnsi="Verdana" w:cs="Arial"/>
                <w:lang w:eastAsia="es-ES" w:bidi="es-ES"/>
              </w:rPr>
            </w:pPr>
            <w:r w:rsidRPr="009E0DB9">
              <w:rPr>
                <w:rFonts w:ascii="Verdana" w:eastAsia="Arial MT" w:hAnsi="Verdana" w:cs="Arial"/>
                <w:lang w:eastAsia="es-ES" w:bidi="es-ES"/>
              </w:rPr>
              <w:t>Corte Constitucional. Sentencia C-541 de 30 de junio de 2010, M.P: Gabriel Eduardo Mendoza Martelo.</w:t>
            </w:r>
          </w:p>
        </w:tc>
      </w:tr>
    </w:tbl>
    <w:p w14:paraId="22212BEF" w14:textId="77777777" w:rsidR="009E0DB9" w:rsidRPr="009E0DB9" w:rsidRDefault="009E0DB9" w:rsidP="009E0DB9">
      <w:pPr>
        <w:widowControl w:val="0"/>
        <w:autoSpaceDE w:val="0"/>
        <w:autoSpaceDN w:val="0"/>
        <w:spacing w:after="0" w:line="276" w:lineRule="auto"/>
        <w:jc w:val="both"/>
        <w:rPr>
          <w:rFonts w:ascii="Verdana" w:eastAsia="Aptos" w:hAnsi="Verdana" w:cs="Arial"/>
          <w:kern w:val="0"/>
          <w14:ligatures w14:val="none"/>
        </w:rPr>
      </w:pPr>
    </w:p>
    <w:p w14:paraId="6D9F338F" w14:textId="77777777" w:rsidR="009E0DB9" w:rsidRPr="009E0DB9" w:rsidRDefault="009E0DB9" w:rsidP="009E0DB9">
      <w:pPr>
        <w:widowControl w:val="0"/>
        <w:autoSpaceDE w:val="0"/>
        <w:autoSpaceDN w:val="0"/>
        <w:spacing w:before="1" w:after="0" w:line="240" w:lineRule="auto"/>
        <w:outlineLvl w:val="0"/>
        <w:rPr>
          <w:rFonts w:ascii="Verdana" w:eastAsia="Arial" w:hAnsi="Verdana" w:cs="Arial"/>
          <w:b/>
          <w:bCs/>
          <w:kern w:val="0"/>
          <w:lang w:val="es-ES"/>
          <w14:ligatures w14:val="none"/>
        </w:rPr>
      </w:pPr>
      <w:r w:rsidRPr="009E0DB9">
        <w:rPr>
          <w:rFonts w:ascii="Verdana" w:eastAsia="Arial" w:hAnsi="Verdana" w:cs="Arial"/>
          <w:b/>
          <w:bCs/>
          <w:kern w:val="0"/>
          <w:lang w:val="es-ES"/>
          <w14:ligatures w14:val="none"/>
        </w:rPr>
        <w:t>5. Doctrina de la Agencia Nacional de Contratación Pública:</w:t>
      </w:r>
    </w:p>
    <w:p w14:paraId="0F89D696" w14:textId="77777777" w:rsidR="009E0DB9" w:rsidRPr="009E0DB9" w:rsidRDefault="009E0DB9" w:rsidP="009E0DB9">
      <w:pPr>
        <w:widowControl w:val="0"/>
        <w:autoSpaceDE w:val="0"/>
        <w:autoSpaceDN w:val="0"/>
        <w:spacing w:after="0" w:line="276" w:lineRule="auto"/>
        <w:jc w:val="both"/>
        <w:rPr>
          <w:rFonts w:ascii="Verdana" w:eastAsia="Aptos" w:hAnsi="Verdana" w:cs="Arial"/>
          <w:kern w:val="0"/>
          <w14:ligatures w14:val="none"/>
        </w:rPr>
      </w:pPr>
    </w:p>
    <w:p w14:paraId="35F9DFAE" w14:textId="77777777" w:rsidR="009E0DB9" w:rsidRPr="009E0DB9" w:rsidRDefault="009E0DB9" w:rsidP="009E0DB9">
      <w:pPr>
        <w:widowControl w:val="0"/>
        <w:autoSpaceDE w:val="0"/>
        <w:autoSpaceDN w:val="0"/>
        <w:spacing w:after="0" w:line="276" w:lineRule="auto"/>
        <w:jc w:val="both"/>
        <w:rPr>
          <w:rFonts w:ascii="Verdana" w:eastAsia="Aptos" w:hAnsi="Verdana" w:cs="Arial"/>
          <w:kern w:val="0"/>
          <w:shd w:val="clear" w:color="auto" w:fill="FFFFFF"/>
          <w:lang w:val="es-ES"/>
          <w14:ligatures w14:val="none"/>
        </w:rPr>
      </w:pPr>
      <w:r w:rsidRPr="009E0DB9">
        <w:rPr>
          <w:rFonts w:ascii="Verdana" w:eastAsia="Calibri" w:hAnsi="Verdana" w:cs="Arial"/>
          <w:bCs/>
          <w:kern w:val="0"/>
          <w:shd w:val="clear" w:color="auto" w:fill="FFFFFF"/>
          <w14:ligatures w14:val="none"/>
        </w:rPr>
        <w:t xml:space="preserve">La Agencia Nacional de Contratación Pública – Colombia Compra Eficiente estudió la finalidad y propósito de la Ley de Garantías Electorales -Ley 996 de 2005-, en los conceptos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w:t>
      </w:r>
      <w:r w:rsidRPr="009E0DB9">
        <w:rPr>
          <w:rFonts w:ascii="Verdana" w:eastAsia="Calibri" w:hAnsi="Verdana" w:cs="Arial"/>
          <w:bCs/>
          <w:kern w:val="0"/>
          <w:shd w:val="clear" w:color="auto" w:fill="FFFFFF"/>
          <w14:ligatures w14:val="none"/>
        </w:rPr>
        <w:lastRenderedPageBreak/>
        <w:t xml:space="preserve">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 </w:t>
      </w:r>
      <w:r w:rsidRPr="009E0DB9">
        <w:rPr>
          <w:rFonts w:ascii="Verdana" w:eastAsia="Calibri" w:hAnsi="Verdana" w:cs="Arial"/>
          <w:bCs/>
          <w:kern w:val="0"/>
          <w:shd w:val="clear" w:color="auto" w:fill="FFFFFF"/>
          <w:lang w:val="es-ES"/>
          <w14:ligatures w14:val="none"/>
        </w:rPr>
        <w:t xml:space="preserve">En tal sentido, recoge los conceptos expuestos, sin perjuicio de otras consideraciones. </w:t>
      </w:r>
      <w:r w:rsidRPr="009E0DB9">
        <w:rPr>
          <w:rFonts w:ascii="Verdana" w:eastAsia="Aptos" w:hAnsi="Verdana" w:cs="Arial"/>
          <w:kern w:val="0"/>
          <w:shd w:val="clear" w:color="auto" w:fill="FFFFFF"/>
          <w:lang w:val="es-ES"/>
          <w14:ligatures w14:val="none"/>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9E0DB9">
          <w:rPr>
            <w:rFonts w:ascii="Verdana" w:eastAsia="Aptos" w:hAnsi="Verdana" w:cs="Arial"/>
            <w:color w:val="0000FF"/>
            <w:kern w:val="0"/>
            <w:u w:val="single"/>
            <w:shd w:val="clear" w:color="auto" w:fill="FFFFFF"/>
            <w:lang w:val="es-ES"/>
            <w14:ligatures w14:val="none"/>
          </w:rPr>
          <w:t>https://relatoria.colombiacompra.gov.co/</w:t>
        </w:r>
      </w:hyperlink>
      <w:r w:rsidRPr="009E0DB9">
        <w:rPr>
          <w:rFonts w:ascii="Verdana" w:eastAsia="Aptos" w:hAnsi="Verdana" w:cs="Arial"/>
          <w:kern w:val="0"/>
          <w:shd w:val="clear" w:color="auto" w:fill="FFFFFF"/>
          <w:lang w:val="es-ES"/>
          <w14:ligatures w14:val="none"/>
        </w:rPr>
        <w:t xml:space="preserve">. </w:t>
      </w:r>
    </w:p>
    <w:p w14:paraId="4E06EFF9" w14:textId="77777777" w:rsidR="009E0DB9" w:rsidRPr="009E0DB9" w:rsidRDefault="009E0DB9" w:rsidP="009E0DB9">
      <w:pPr>
        <w:spacing w:before="120" w:after="120"/>
        <w:ind w:firstLine="709"/>
        <w:jc w:val="both"/>
        <w:rPr>
          <w:rFonts w:ascii="Verdana" w:eastAsia="Aptos" w:hAnsi="Verdana" w:cs="Times New Roman"/>
          <w:kern w:val="0"/>
          <w14:ligatures w14:val="none"/>
        </w:rPr>
      </w:pPr>
      <w:r w:rsidRPr="009E0DB9">
        <w:rPr>
          <w:rFonts w:ascii="Verdana" w:eastAsia="Aptos" w:hAnsi="Verdana" w:cs="Times New Roman"/>
          <w:kern w:val="0"/>
          <w14:ligatures w14:val="none"/>
        </w:rPr>
        <w:t xml:space="preserve">La sostenibilidad no es una opción, es una obligación. Por ello, la Agencia Nacional de Contratación Pública –Colombia Compra Eficiente– te invita a realizar el </w:t>
      </w:r>
      <w:r w:rsidRPr="009E0DB9">
        <w:rPr>
          <w:rFonts w:ascii="Verdana" w:eastAsia="Aptos" w:hAnsi="Verdana" w:cs="Times New Roman"/>
          <w:b/>
          <w:bCs/>
          <w:kern w:val="0"/>
          <w14:ligatures w14:val="none"/>
        </w:rPr>
        <w:t>Curso de Contratación Pública Sostenible y Socialmente Responsable</w:t>
      </w:r>
      <w:r w:rsidRPr="009E0DB9">
        <w:rPr>
          <w:rFonts w:ascii="Verdana" w:eastAsia="Aptos" w:hAnsi="Verdana" w:cs="Times New Roman"/>
          <w:kern w:val="0"/>
          <w14:ligatures w14:val="none"/>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9E0DB9">
        <w:rPr>
          <w:rFonts w:ascii="Verdana" w:eastAsia="Aptos" w:hAnsi="Verdana" w:cs="Times New Roman"/>
          <w:kern w:val="0"/>
          <w14:ligatures w14:val="none"/>
        </w:rPr>
        <w:br/>
      </w:r>
      <w:hyperlink r:id="rId13" w:tgtFrame="_new" w:history="1">
        <w:r w:rsidRPr="009E0DB9">
          <w:rPr>
            <w:rFonts w:ascii="Verdana" w:eastAsia="Aptos" w:hAnsi="Verdana" w:cs="Times New Roman"/>
            <w:color w:val="0000FF"/>
            <w:kern w:val="0"/>
            <w:u w:val="single"/>
            <w14:ligatures w14:val="none"/>
          </w:rPr>
          <w:t>https://formacionvirtual.colombiacompra.gov.co/mod/page/view.php?id=3718</w:t>
        </w:r>
      </w:hyperlink>
    </w:p>
    <w:p w14:paraId="7B311485" w14:textId="77777777" w:rsidR="009E0DB9" w:rsidRPr="009E0DB9" w:rsidRDefault="009E0DB9" w:rsidP="009E0DB9">
      <w:pPr>
        <w:ind w:firstLine="708"/>
        <w:jc w:val="both"/>
        <w:rPr>
          <w:rFonts w:ascii="Verdana" w:eastAsia="Aptos" w:hAnsi="Verdana" w:cs="Times New Roman"/>
          <w:kern w:val="0"/>
          <w14:ligatures w14:val="none"/>
        </w:rPr>
      </w:pPr>
      <w:r w:rsidRPr="009E0DB9">
        <w:rPr>
          <w:rFonts w:ascii="Verdana" w:eastAsia="Aptos" w:hAnsi="Verdana" w:cs="Times New Roman"/>
          <w:kern w:val="0"/>
          <w14:ligatures w14:val="none"/>
        </w:rPr>
        <w:t xml:space="preserve">De otro lado, te contamos que esta Agencia ha da un paso decisivo en la estandarización y modernización del </w:t>
      </w:r>
      <w:r w:rsidRPr="009E0DB9">
        <w:rPr>
          <w:rFonts w:ascii="Verdana" w:eastAsia="Aptos" w:hAnsi="Verdana" w:cs="Times New Roman"/>
          <w:b/>
          <w:bCs/>
          <w:kern w:val="0"/>
          <w14:ligatures w14:val="none"/>
        </w:rPr>
        <w:t>sector  social</w:t>
      </w:r>
      <w:r w:rsidRPr="009E0DB9">
        <w:rPr>
          <w:rFonts w:ascii="Verdana" w:eastAsia="Aptos" w:hAnsi="Verdana" w:cs="Times New Roman"/>
          <w:kern w:val="0"/>
          <w14:ligatures w14:val="none"/>
        </w:rPr>
        <w:t xml:space="preserve"> con la expedición de las </w:t>
      </w:r>
      <w:r w:rsidRPr="009E0DB9">
        <w:rPr>
          <w:rFonts w:ascii="Verdana" w:eastAsia="Aptos" w:hAnsi="Verdana" w:cs="Times New Roman"/>
          <w:b/>
          <w:bCs/>
          <w:kern w:val="0"/>
          <w14:ligatures w14:val="none"/>
        </w:rPr>
        <w:t>Resoluciones 539, 540, 541, 952 y 953 de 2025</w:t>
      </w:r>
      <w:r w:rsidRPr="009E0DB9">
        <w:rPr>
          <w:rFonts w:ascii="Verdana" w:eastAsia="Aptos" w:hAnsi="Verdana" w:cs="Times New Roman"/>
          <w:kern w:val="0"/>
          <w14:ligatures w14:val="none"/>
        </w:rPr>
        <w:t xml:space="preserve">, </w:t>
      </w:r>
      <w:r w:rsidRPr="009E0DB9">
        <w:rPr>
          <w:rFonts w:ascii="Verdana" w:eastAsia="Aptos" w:hAnsi="Verdana" w:cs="Times New Roman"/>
          <w:b/>
          <w:bCs/>
          <w:kern w:val="0"/>
          <w14:ligatures w14:val="none"/>
        </w:rPr>
        <w:t>mediante las cuales adoptó Documentos Tipo</w:t>
      </w:r>
      <w:r w:rsidRPr="009E0DB9">
        <w:rPr>
          <w:rFonts w:ascii="Verdana" w:eastAsia="Aptos" w:hAnsi="Verdana" w:cs="Times New Roman"/>
          <w:kern w:val="0"/>
          <w14:ligatures w14:val="none"/>
        </w:rPr>
        <w:t xml:space="preserve"> para las modalidades de selección de</w:t>
      </w:r>
      <w:r w:rsidRPr="009E0DB9">
        <w:rPr>
          <w:rFonts w:ascii="Verdana" w:eastAsia="Aptos" w:hAnsi="Verdana" w:cs="Times New Roman"/>
          <w:b/>
          <w:bCs/>
          <w:kern w:val="0"/>
          <w14:ligatures w14:val="none"/>
        </w:rPr>
        <w:t xml:space="preserve"> licitación pública (versión 2), selección abreviada de menor cuantía, mínima cuantía, consultoría e interventoría</w:t>
      </w:r>
      <w:r w:rsidRPr="009E0DB9">
        <w:rPr>
          <w:rFonts w:ascii="Verdana" w:eastAsia="Aptos" w:hAnsi="Verdana" w:cs="Times New Roman"/>
          <w:kern w:val="0"/>
          <w14:ligatures w14:val="none"/>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9E0DB9">
          <w:rPr>
            <w:rFonts w:ascii="Verdana" w:eastAsia="Aptos" w:hAnsi="Verdana" w:cs="Times New Roman"/>
            <w:color w:val="0000FF"/>
            <w:kern w:val="0"/>
            <w:u w:val="single"/>
            <w14:ligatures w14:val="none"/>
          </w:rPr>
          <w:t>https://www.colombiacompra.gov.co/normativa-y-relatoria/documentos-tipo</w:t>
        </w:r>
      </w:hyperlink>
    </w:p>
    <w:p w14:paraId="24ED3631" w14:textId="77777777" w:rsidR="009E0DB9" w:rsidRPr="009E0DB9" w:rsidRDefault="009E0DB9" w:rsidP="009E0DB9">
      <w:pPr>
        <w:spacing w:after="0"/>
        <w:ind w:firstLine="708"/>
        <w:jc w:val="both"/>
        <w:rPr>
          <w:rFonts w:ascii="Verdana" w:eastAsia="Aptos" w:hAnsi="Verdana" w:cs="Times New Roman"/>
          <w:kern w:val="0"/>
          <w14:ligatures w14:val="none"/>
        </w:rPr>
      </w:pPr>
      <w:r w:rsidRPr="009E0DB9">
        <w:rPr>
          <w:rFonts w:ascii="Verdana" w:eastAsia="Aptos" w:hAnsi="Verdana" w:cs="Times New Roman"/>
          <w:kern w:val="0"/>
          <w14:ligatures w14:val="none"/>
        </w:rPr>
        <w:t xml:space="preserve">Si quieres conocer más sobre la aplicación de Documentos Tipo puedes consultar la última versión de la </w:t>
      </w:r>
      <w:r w:rsidRPr="009E0DB9">
        <w:rPr>
          <w:rFonts w:ascii="Verdana" w:eastAsia="Aptos" w:hAnsi="Verdana" w:cs="Times New Roman"/>
          <w:b/>
          <w:bCs/>
          <w:kern w:val="0"/>
          <w14:ligatures w14:val="none"/>
        </w:rPr>
        <w:t>Guía para la comprensión e implementación de los Documentos Tipo de obra pública de infraestructura de transporte</w:t>
      </w:r>
      <w:r w:rsidRPr="009E0DB9">
        <w:rPr>
          <w:rFonts w:ascii="Verdana" w:eastAsia="Aptos" w:hAnsi="Verdana" w:cs="Times New Roman"/>
          <w:kern w:val="0"/>
          <w14:ligatures w14:val="none"/>
        </w:rPr>
        <w:t xml:space="preserve">. En esta actualización se incorporaron orientaciones prácticas dirigidas a entidades públicas, proveedores, organismos de control y demás interesados, con el propósito de facilitar la adecuada </w:t>
      </w:r>
      <w:r w:rsidRPr="009E0DB9">
        <w:rPr>
          <w:rFonts w:ascii="Verdana" w:eastAsia="Aptos" w:hAnsi="Verdana" w:cs="Times New Roman"/>
          <w:kern w:val="0"/>
          <w14:ligatures w14:val="none"/>
        </w:rPr>
        <w:lastRenderedPageBreak/>
        <w:t>implementación de estos instrumentos en los procesos contractuales. Además se incluyeron lineamientos que orientan la implementación de los criterios ambientales y sociales incluidos en los documentos tipo: Consulta la guía aquí:</w:t>
      </w:r>
      <w:r w:rsidRPr="009E0DB9">
        <w:rPr>
          <w:rFonts w:ascii="Verdana" w:eastAsia="Aptos" w:hAnsi="Verdana" w:cs="Times New Roman"/>
          <w:kern w:val="0"/>
          <w14:ligatures w14:val="none"/>
        </w:rPr>
        <w:br/>
      </w:r>
      <w:hyperlink r:id="rId15" w:tgtFrame="_new" w:history="1">
        <w:r w:rsidRPr="009E0DB9">
          <w:rPr>
            <w:rFonts w:ascii="Verdana" w:eastAsia="Aptos" w:hAnsi="Verdana" w:cs="Times New Roman"/>
            <w:color w:val="0000FF"/>
            <w:kern w:val="0"/>
            <w:u w:val="single"/>
            <w14:ligatures w14:val="none"/>
          </w:rPr>
          <w:t>https://www.colombiacompra.gov.co/archivos/manual/guia-para-la-comprension-e-implementacion-de-los-documentos-tipo-de-obra-publica-de-infraestructura-de-transporte-bajo-las-diferentes-modalidades-de-contratacion-vigentes</w:t>
        </w:r>
      </w:hyperlink>
    </w:p>
    <w:p w14:paraId="3B44C3A7" w14:textId="77777777" w:rsidR="009E0DB9" w:rsidRPr="009E0DB9" w:rsidRDefault="009E0DB9" w:rsidP="009E0DB9">
      <w:pPr>
        <w:widowControl w:val="0"/>
        <w:autoSpaceDE w:val="0"/>
        <w:autoSpaceDN w:val="0"/>
        <w:spacing w:after="0" w:line="276" w:lineRule="auto"/>
        <w:jc w:val="both"/>
        <w:rPr>
          <w:rFonts w:ascii="Verdana" w:eastAsia="Aptos" w:hAnsi="Verdana" w:cs="Arial"/>
          <w:kern w:val="0"/>
          <w:shd w:val="clear" w:color="auto" w:fill="FFFFFF"/>
          <w:lang w:val="es-ES"/>
          <w14:ligatures w14:val="none"/>
        </w:rPr>
      </w:pPr>
    </w:p>
    <w:p w14:paraId="5812ACF1" w14:textId="77777777" w:rsidR="009E0DB9" w:rsidRPr="009E0DB9" w:rsidRDefault="009E0DB9" w:rsidP="009E0DB9">
      <w:pPr>
        <w:spacing w:after="0" w:line="240" w:lineRule="auto"/>
        <w:jc w:val="both"/>
        <w:rPr>
          <w:rFonts w:ascii="Verdana" w:eastAsia="Aptos" w:hAnsi="Verdana" w:cs="Times New Roman"/>
          <w:kern w:val="0"/>
          <w14:ligatures w14:val="none"/>
        </w:rPr>
      </w:pPr>
      <w:r w:rsidRPr="009E0DB9">
        <w:rPr>
          <w:rFonts w:ascii="Verdana" w:eastAsia="Aptos" w:hAnsi="Verdana" w:cs="Times New Roman"/>
          <w:kern w:val="0"/>
          <w14:ligatures w14:val="none"/>
        </w:rPr>
        <w:t xml:space="preserve">Por último, lo invitamos a seguirnos en las redes sociales en las cuales se difunde información institucional: </w:t>
      </w:r>
    </w:p>
    <w:p w14:paraId="5F817A22" w14:textId="77777777" w:rsidR="009E0DB9" w:rsidRPr="009E0DB9" w:rsidRDefault="009E0DB9" w:rsidP="009E0DB9">
      <w:pPr>
        <w:spacing w:after="0" w:line="240" w:lineRule="auto"/>
        <w:jc w:val="both"/>
        <w:rPr>
          <w:rFonts w:ascii="Verdana" w:eastAsia="Aptos" w:hAnsi="Verdana" w:cs="Times New Roman"/>
          <w:kern w:val="0"/>
          <w14:ligatures w14:val="none"/>
        </w:rPr>
      </w:pPr>
    </w:p>
    <w:p w14:paraId="0537495D" w14:textId="77777777" w:rsidR="009E0DB9" w:rsidRPr="009E0DB9" w:rsidRDefault="009E0DB9" w:rsidP="009E0DB9">
      <w:pPr>
        <w:spacing w:after="0" w:line="240" w:lineRule="auto"/>
        <w:jc w:val="both"/>
        <w:rPr>
          <w:rFonts w:ascii="Verdana" w:eastAsia="Aptos" w:hAnsi="Verdana" w:cs="Times New Roman"/>
          <w:kern w:val="0"/>
          <w14:ligatures w14:val="none"/>
        </w:rPr>
      </w:pPr>
      <w:r w:rsidRPr="009E0DB9">
        <w:rPr>
          <w:rFonts w:ascii="Verdana" w:eastAsia="Aptos" w:hAnsi="Verdana" w:cs="Times New Roman"/>
          <w:kern w:val="0"/>
          <w14:ligatures w14:val="none"/>
        </w:rPr>
        <w:t xml:space="preserve">Twitter: </w:t>
      </w:r>
      <w:r w:rsidRPr="009E0DB9">
        <w:rPr>
          <w:rFonts w:ascii="Verdana" w:eastAsia="Aptos" w:hAnsi="Verdana" w:cs="Arial"/>
          <w:color w:val="0000FF"/>
          <w:kern w:val="0"/>
          <w:u w:val="single"/>
          <w:shd w:val="clear" w:color="auto" w:fill="FFFFFF"/>
          <w:lang w:val="es-ES"/>
          <w14:ligatures w14:val="none"/>
        </w:rPr>
        <w:t>@colombiacompra</w:t>
      </w:r>
      <w:r w:rsidRPr="009E0DB9">
        <w:rPr>
          <w:rFonts w:ascii="Verdana" w:eastAsia="Aptos" w:hAnsi="Verdana" w:cs="Times New Roman"/>
          <w:color w:val="156082"/>
          <w:kern w:val="0"/>
          <w14:ligatures w14:val="none"/>
        </w:rPr>
        <w:t xml:space="preserve"> </w:t>
      </w:r>
    </w:p>
    <w:p w14:paraId="3506348D" w14:textId="77777777" w:rsidR="009E0DB9" w:rsidRPr="009E0DB9" w:rsidRDefault="009E0DB9" w:rsidP="009E0DB9">
      <w:pPr>
        <w:spacing w:after="0" w:line="240" w:lineRule="auto"/>
        <w:jc w:val="both"/>
        <w:rPr>
          <w:rFonts w:ascii="Verdana" w:eastAsia="Aptos" w:hAnsi="Verdana" w:cs="Times New Roman"/>
          <w:kern w:val="0"/>
          <w14:ligatures w14:val="none"/>
        </w:rPr>
      </w:pPr>
      <w:r w:rsidRPr="009E0DB9">
        <w:rPr>
          <w:rFonts w:ascii="Verdana" w:eastAsia="Aptos" w:hAnsi="Verdana" w:cs="Times New Roman"/>
          <w:kern w:val="0"/>
          <w14:ligatures w14:val="none"/>
        </w:rPr>
        <w:t xml:space="preserve">Facebook: </w:t>
      </w:r>
      <w:proofErr w:type="spellStart"/>
      <w:r w:rsidRPr="009E0DB9">
        <w:rPr>
          <w:rFonts w:ascii="Verdana" w:eastAsia="Aptos" w:hAnsi="Verdana" w:cs="Arial"/>
          <w:color w:val="0000FF"/>
          <w:kern w:val="0"/>
          <w:u w:val="single"/>
          <w:shd w:val="clear" w:color="auto" w:fill="FFFFFF"/>
          <w:lang w:val="es-ES"/>
          <w14:ligatures w14:val="none"/>
        </w:rPr>
        <w:t>ColombiaCompraEficiente</w:t>
      </w:r>
      <w:proofErr w:type="spellEnd"/>
    </w:p>
    <w:p w14:paraId="4A1ACECD" w14:textId="77777777" w:rsidR="009E0DB9" w:rsidRPr="009E0DB9" w:rsidRDefault="009E0DB9" w:rsidP="009E0DB9">
      <w:pPr>
        <w:spacing w:after="0" w:line="240" w:lineRule="auto"/>
        <w:jc w:val="both"/>
        <w:rPr>
          <w:rFonts w:ascii="Verdana" w:eastAsia="Aptos" w:hAnsi="Verdana" w:cs="Times New Roman"/>
          <w:kern w:val="0"/>
          <w14:ligatures w14:val="none"/>
        </w:rPr>
      </w:pPr>
      <w:r w:rsidRPr="009E0DB9">
        <w:rPr>
          <w:rFonts w:ascii="Verdana" w:eastAsia="Aptos" w:hAnsi="Verdana" w:cs="Times New Roman"/>
          <w:kern w:val="0"/>
          <w14:ligatures w14:val="none"/>
        </w:rPr>
        <w:t xml:space="preserve">LinkedIn: </w:t>
      </w:r>
      <w:r w:rsidRPr="009E0DB9">
        <w:rPr>
          <w:rFonts w:ascii="Verdana" w:eastAsia="Aptos" w:hAnsi="Verdana" w:cs="Arial"/>
          <w:color w:val="0000FF"/>
          <w:kern w:val="0"/>
          <w:u w:val="single"/>
          <w:shd w:val="clear" w:color="auto" w:fill="FFFFFF"/>
          <w:lang w:val="es-ES"/>
          <w14:ligatures w14:val="none"/>
        </w:rPr>
        <w:t>Agencia Nacional de Contratación Pública - Colombia Compra Eficiente</w:t>
      </w:r>
      <w:r w:rsidRPr="009E0DB9">
        <w:rPr>
          <w:rFonts w:ascii="Verdana" w:eastAsia="Aptos" w:hAnsi="Verdana" w:cs="Times New Roman"/>
          <w:color w:val="156082"/>
          <w:kern w:val="0"/>
          <w14:ligatures w14:val="none"/>
        </w:rPr>
        <w:t xml:space="preserve"> </w:t>
      </w:r>
      <w:r w:rsidRPr="009E0DB9">
        <w:rPr>
          <w:rFonts w:ascii="Verdana" w:eastAsia="Aptos" w:hAnsi="Verdana" w:cs="Times New Roman"/>
          <w:kern w:val="0"/>
          <w14:ligatures w14:val="none"/>
        </w:rPr>
        <w:t xml:space="preserve">Instagram: </w:t>
      </w:r>
      <w:r w:rsidRPr="009E0DB9">
        <w:rPr>
          <w:rFonts w:ascii="Verdana" w:eastAsia="Aptos" w:hAnsi="Verdana" w:cs="Arial"/>
          <w:color w:val="0000FF"/>
          <w:kern w:val="0"/>
          <w:u w:val="single"/>
          <w:shd w:val="clear" w:color="auto" w:fill="FFFFFF"/>
          <w:lang w:val="es-ES"/>
          <w14:ligatures w14:val="none"/>
        </w:rPr>
        <w:t>@colombiacompraeficiente_cce</w:t>
      </w:r>
    </w:p>
    <w:p w14:paraId="017C768D" w14:textId="77777777" w:rsidR="009E0DB9" w:rsidRPr="009E0DB9" w:rsidRDefault="009E0DB9" w:rsidP="009E0DB9">
      <w:pPr>
        <w:widowControl w:val="0"/>
        <w:autoSpaceDE w:val="0"/>
        <w:autoSpaceDN w:val="0"/>
        <w:spacing w:after="0" w:line="276" w:lineRule="auto"/>
        <w:jc w:val="both"/>
        <w:rPr>
          <w:rFonts w:ascii="Verdana" w:eastAsia="Aptos" w:hAnsi="Verdana" w:cs="Arial"/>
          <w:kern w:val="0"/>
          <w14:ligatures w14:val="none"/>
        </w:rPr>
      </w:pPr>
    </w:p>
    <w:p w14:paraId="1EDCBE2A" w14:textId="77777777" w:rsidR="009E0DB9" w:rsidRPr="009E0DB9" w:rsidRDefault="009E0DB9" w:rsidP="009E0DB9">
      <w:pPr>
        <w:widowControl w:val="0"/>
        <w:autoSpaceDE w:val="0"/>
        <w:autoSpaceDN w:val="0"/>
        <w:spacing w:after="0" w:line="276" w:lineRule="auto"/>
        <w:jc w:val="both"/>
        <w:rPr>
          <w:rFonts w:ascii="Verdana" w:eastAsia="Aptos" w:hAnsi="Verdana" w:cs="Arial"/>
          <w:kern w:val="0"/>
          <w:lang w:val="es-ES_tradnl"/>
          <w14:ligatures w14:val="none"/>
        </w:rPr>
      </w:pPr>
      <w:r w:rsidRPr="009E0DB9">
        <w:rPr>
          <w:rFonts w:ascii="Verdana" w:eastAsia="Aptos" w:hAnsi="Verdana" w:cs="Arial"/>
          <w:kern w:val="0"/>
          <w14:ligatures w14:val="none"/>
        </w:rPr>
        <w:t xml:space="preserve">Este concepto tiene el alcance previsto en el artículo 28 del Código de Procedimiento Administrativo y de lo Contencioso Administrativo </w:t>
      </w:r>
      <w:r w:rsidRPr="009E0DB9">
        <w:rPr>
          <w:rFonts w:ascii="Verdana" w:eastAsia="Aptos" w:hAnsi="Verdana" w:cs="Arial"/>
          <w:kern w:val="0"/>
          <w:lang w:val="es-ES_tradnl"/>
          <w14:ligatures w14:val="none"/>
        </w:rPr>
        <w:t>y las expresiones aquí utilizadas con mayúscula inicial deben ser entendidas con el significado que les otorga el artículo 2.2.1.1.1.3.1. del Decreto 1082 de 2015.</w:t>
      </w:r>
    </w:p>
    <w:p w14:paraId="15781AEB" w14:textId="77777777" w:rsidR="009E0DB9" w:rsidRPr="009E0DB9" w:rsidRDefault="009E0DB9" w:rsidP="009E0DB9">
      <w:pPr>
        <w:widowControl w:val="0"/>
        <w:autoSpaceDE w:val="0"/>
        <w:autoSpaceDN w:val="0"/>
        <w:spacing w:after="0" w:line="276" w:lineRule="auto"/>
        <w:jc w:val="both"/>
        <w:rPr>
          <w:rFonts w:ascii="Verdana" w:eastAsia="Aptos" w:hAnsi="Verdana" w:cs="Arial"/>
          <w:kern w:val="0"/>
          <w14:ligatures w14:val="none"/>
        </w:rPr>
      </w:pPr>
    </w:p>
    <w:p w14:paraId="3BAD5731" w14:textId="77777777" w:rsidR="009E0DB9" w:rsidRPr="009E0DB9" w:rsidRDefault="009E0DB9" w:rsidP="009E0DB9">
      <w:pPr>
        <w:spacing w:after="0" w:line="240" w:lineRule="auto"/>
        <w:rPr>
          <w:rFonts w:ascii="Verdana" w:eastAsia="Aptos" w:hAnsi="Verdana" w:cs="Arial"/>
          <w:kern w:val="0"/>
          <w:lang w:eastAsia="es-CO"/>
          <w14:ligatures w14:val="none"/>
        </w:rPr>
      </w:pPr>
      <w:r w:rsidRPr="009E0DB9">
        <w:rPr>
          <w:rFonts w:ascii="Verdana" w:eastAsia="Times New Roman" w:hAnsi="Verdana" w:cs="Arial"/>
          <w:kern w:val="0"/>
          <w:lang w:eastAsia="es-CO"/>
          <w14:ligatures w14:val="none"/>
        </w:rPr>
        <w:t>Atentamente,</w:t>
      </w:r>
      <w:r w:rsidRPr="009E0DB9">
        <w:rPr>
          <w:rFonts w:ascii="Verdana" w:eastAsia="Aptos" w:hAnsi="Verdana" w:cs="Arial"/>
          <w:kern w:val="0"/>
          <w:lang w:eastAsia="es-CO"/>
          <w14:ligatures w14:val="none"/>
        </w:rPr>
        <w:t xml:space="preserve"> </w:t>
      </w:r>
    </w:p>
    <w:p w14:paraId="03F6BC46" w14:textId="77777777" w:rsidR="009E0DB9" w:rsidRPr="009E0DB9" w:rsidRDefault="009E0DB9" w:rsidP="009E0DB9">
      <w:pPr>
        <w:spacing w:after="0" w:line="276" w:lineRule="auto"/>
        <w:jc w:val="center"/>
        <w:rPr>
          <w:rFonts w:ascii="Verdana" w:eastAsia="Aptos" w:hAnsi="Verdana" w:cs="Arial"/>
          <w:kern w:val="0"/>
          <w:lang w:val="es-ES_tradnl" w:eastAsia="es-CO"/>
          <w14:ligatures w14:val="none"/>
        </w:rPr>
      </w:pPr>
    </w:p>
    <w:p w14:paraId="2BA16D8C" w14:textId="6B72B5B7" w:rsidR="009E0DB9" w:rsidRPr="009E0DB9" w:rsidRDefault="005312D7" w:rsidP="009E0DB9">
      <w:pPr>
        <w:spacing w:after="0" w:line="276" w:lineRule="auto"/>
        <w:jc w:val="center"/>
        <w:rPr>
          <w:rFonts w:ascii="Verdana" w:eastAsia="Aptos" w:hAnsi="Verdana" w:cs="Arial"/>
          <w:kern w:val="0"/>
          <w:lang w:val="es-ES_tradnl" w:eastAsia="es-CO"/>
          <w14:ligatures w14:val="none"/>
        </w:rPr>
      </w:pPr>
      <w:r>
        <w:rPr>
          <w:noProof/>
        </w:rPr>
        <w:drawing>
          <wp:inline distT="0" distB="0" distL="0" distR="0" wp14:anchorId="2AB21E2D" wp14:editId="0E3C5F05">
            <wp:extent cx="3771900" cy="1409700"/>
            <wp:effectExtent l="0" t="0" r="0" b="0"/>
            <wp:docPr id="77585151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9E0DB9" w:rsidRPr="009E0DB9" w14:paraId="3AA02976" w14:textId="77777777" w:rsidTr="00DB4B0A">
        <w:trPr>
          <w:trHeight w:val="286"/>
        </w:trPr>
        <w:tc>
          <w:tcPr>
            <w:tcW w:w="901" w:type="dxa"/>
            <w:vAlign w:val="center"/>
            <w:hideMark/>
          </w:tcPr>
          <w:p w14:paraId="6AF45C76" w14:textId="77777777" w:rsidR="009E0DB9" w:rsidRPr="009E0DB9" w:rsidRDefault="009E0DB9" w:rsidP="009E0DB9">
            <w:pPr>
              <w:rPr>
                <w:rFonts w:ascii="Verdana" w:eastAsia="Aptos" w:hAnsi="Verdana" w:cs="Arial"/>
                <w:sz w:val="14"/>
                <w:szCs w:val="14"/>
                <w:lang w:eastAsia="es-ES"/>
              </w:rPr>
            </w:pPr>
            <w:r w:rsidRPr="009E0DB9">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3B8C1B72" w14:textId="77777777" w:rsidR="009E0DB9" w:rsidRPr="009E0DB9" w:rsidRDefault="009E0DB9" w:rsidP="009E0DB9">
            <w:pPr>
              <w:rPr>
                <w:rFonts w:ascii="Verdana" w:eastAsia="Aptos" w:hAnsi="Verdana" w:cs="Arial"/>
                <w:sz w:val="14"/>
                <w:szCs w:val="14"/>
                <w:lang w:eastAsia="es-ES"/>
              </w:rPr>
            </w:pPr>
            <w:r w:rsidRPr="009E0DB9">
              <w:rPr>
                <w:rFonts w:ascii="Verdana" w:eastAsia="Aptos" w:hAnsi="Verdana" w:cs="Arial"/>
                <w:sz w:val="14"/>
                <w:szCs w:val="14"/>
                <w:lang w:eastAsia="es-ES"/>
              </w:rPr>
              <w:t>Nasly Yeana Mosquera Rivas</w:t>
            </w:r>
          </w:p>
          <w:p w14:paraId="0905B291" w14:textId="77777777" w:rsidR="009E0DB9" w:rsidRPr="009E0DB9" w:rsidRDefault="009E0DB9" w:rsidP="009E0DB9">
            <w:pPr>
              <w:rPr>
                <w:rFonts w:ascii="Verdana" w:eastAsia="Aptos" w:hAnsi="Verdana" w:cs="Arial"/>
                <w:sz w:val="14"/>
                <w:szCs w:val="14"/>
                <w:lang w:eastAsia="es-ES"/>
              </w:rPr>
            </w:pPr>
            <w:r w:rsidRPr="009E0DB9">
              <w:rPr>
                <w:rFonts w:ascii="Verdana" w:eastAsia="Aptos" w:hAnsi="Verdana" w:cs="Arial"/>
                <w:sz w:val="14"/>
                <w:szCs w:val="14"/>
                <w:lang w:eastAsia="es-ES"/>
              </w:rPr>
              <w:t>Analista T2–06 de la Subdirección de Gestión Contractual</w:t>
            </w:r>
          </w:p>
        </w:tc>
      </w:tr>
      <w:tr w:rsidR="009E0DB9" w:rsidRPr="009E0DB9" w14:paraId="22420DC7" w14:textId="77777777" w:rsidTr="00DB4B0A">
        <w:trPr>
          <w:trHeight w:val="299"/>
        </w:trPr>
        <w:tc>
          <w:tcPr>
            <w:tcW w:w="901" w:type="dxa"/>
            <w:vAlign w:val="center"/>
          </w:tcPr>
          <w:p w14:paraId="2D6363F8" w14:textId="77777777" w:rsidR="009E0DB9" w:rsidRPr="009E0DB9" w:rsidRDefault="009E0DB9" w:rsidP="009E0DB9">
            <w:pPr>
              <w:rPr>
                <w:rFonts w:ascii="Verdana" w:eastAsia="Aptos" w:hAnsi="Verdana" w:cs="Arial"/>
                <w:sz w:val="14"/>
                <w:szCs w:val="14"/>
                <w:lang w:eastAsia="es-ES"/>
              </w:rPr>
            </w:pPr>
            <w:r w:rsidRPr="009E0DB9">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58FEDB3D" w14:textId="77777777" w:rsidR="009E0DB9" w:rsidRPr="009E0DB9" w:rsidRDefault="009E0DB9" w:rsidP="009E0DB9">
            <w:pPr>
              <w:rPr>
                <w:rFonts w:ascii="Verdana" w:eastAsia="Aptos" w:hAnsi="Verdana" w:cs="Arial"/>
                <w:sz w:val="14"/>
                <w:szCs w:val="14"/>
                <w:lang w:eastAsia="es-ES"/>
              </w:rPr>
            </w:pPr>
            <w:r w:rsidRPr="009E0DB9">
              <w:rPr>
                <w:rFonts w:ascii="Verdana" w:eastAsia="Aptos" w:hAnsi="Verdana" w:cs="Arial"/>
                <w:sz w:val="14"/>
                <w:szCs w:val="14"/>
                <w:lang w:eastAsia="es-ES"/>
              </w:rPr>
              <w:t>Diana Lucía Saavedra</w:t>
            </w:r>
          </w:p>
          <w:p w14:paraId="442D8B33" w14:textId="77777777" w:rsidR="009E0DB9" w:rsidRPr="009E0DB9" w:rsidRDefault="009E0DB9" w:rsidP="009E0DB9">
            <w:pPr>
              <w:rPr>
                <w:rFonts w:ascii="Verdana" w:eastAsia="Aptos" w:hAnsi="Verdana" w:cs="Arial"/>
                <w:sz w:val="14"/>
                <w:szCs w:val="14"/>
                <w:lang w:eastAsia="es-ES"/>
              </w:rPr>
            </w:pPr>
            <w:r w:rsidRPr="009E0DB9">
              <w:rPr>
                <w:rFonts w:ascii="Verdana" w:eastAsia="Aptos" w:hAnsi="Verdana" w:cs="Arial"/>
                <w:sz w:val="14"/>
                <w:szCs w:val="14"/>
                <w:lang w:eastAsia="es-ES"/>
              </w:rPr>
              <w:t>Contratista de la Subdirección de Gestión Contractual</w:t>
            </w:r>
          </w:p>
        </w:tc>
      </w:tr>
      <w:tr w:rsidR="009E0DB9" w:rsidRPr="009E0DB9" w14:paraId="7B7D383F" w14:textId="77777777" w:rsidTr="00DB4B0A">
        <w:trPr>
          <w:trHeight w:val="272"/>
        </w:trPr>
        <w:tc>
          <w:tcPr>
            <w:tcW w:w="901" w:type="dxa"/>
            <w:vAlign w:val="center"/>
            <w:hideMark/>
          </w:tcPr>
          <w:p w14:paraId="5B17547F" w14:textId="77777777" w:rsidR="009E0DB9" w:rsidRPr="009E0DB9" w:rsidRDefault="009E0DB9" w:rsidP="009E0DB9">
            <w:pPr>
              <w:rPr>
                <w:rFonts w:ascii="Verdana" w:eastAsia="Aptos" w:hAnsi="Verdana" w:cs="Arial"/>
                <w:sz w:val="14"/>
                <w:szCs w:val="14"/>
                <w:lang w:eastAsia="es-ES"/>
              </w:rPr>
            </w:pPr>
            <w:r w:rsidRPr="009E0DB9">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291177BC" w14:textId="77777777" w:rsidR="009E0DB9" w:rsidRPr="009E0DB9" w:rsidRDefault="009E0DB9" w:rsidP="009E0DB9">
            <w:pPr>
              <w:rPr>
                <w:rFonts w:ascii="Verdana" w:eastAsia="Aptos" w:hAnsi="Verdana" w:cs="Arial"/>
                <w:sz w:val="14"/>
                <w:szCs w:val="14"/>
                <w:lang w:eastAsia="es-ES"/>
              </w:rPr>
            </w:pPr>
            <w:r w:rsidRPr="009E0DB9">
              <w:rPr>
                <w:rFonts w:ascii="Verdana" w:eastAsia="Aptos" w:hAnsi="Verdana" w:cs="Arial"/>
                <w:sz w:val="14"/>
                <w:szCs w:val="14"/>
                <w:lang w:eastAsia="es-ES"/>
              </w:rPr>
              <w:t>Carolina Quintero Gacharná</w:t>
            </w:r>
          </w:p>
          <w:p w14:paraId="1E2B3AD8" w14:textId="77777777" w:rsidR="009E0DB9" w:rsidRPr="009E0DB9" w:rsidRDefault="009E0DB9" w:rsidP="009E0DB9">
            <w:pPr>
              <w:rPr>
                <w:rFonts w:ascii="Verdana" w:eastAsia="Aptos" w:hAnsi="Verdana" w:cs="Arial"/>
                <w:sz w:val="14"/>
                <w:szCs w:val="14"/>
                <w:lang w:eastAsia="es-ES"/>
              </w:rPr>
            </w:pPr>
            <w:r w:rsidRPr="009E0DB9">
              <w:rPr>
                <w:rFonts w:ascii="Verdana" w:eastAsia="Aptos" w:hAnsi="Verdana" w:cs="Arial"/>
                <w:sz w:val="14"/>
                <w:szCs w:val="14"/>
                <w:lang w:eastAsia="es-ES"/>
              </w:rPr>
              <w:t>Subdirectora de Gestión Contractual ANCP – CCE</w:t>
            </w:r>
          </w:p>
        </w:tc>
      </w:tr>
    </w:tbl>
    <w:p w14:paraId="0DE3C98B" w14:textId="77777777" w:rsidR="009E0DB9" w:rsidRPr="009E0DB9" w:rsidRDefault="009E0DB9" w:rsidP="009E0DB9">
      <w:pPr>
        <w:spacing w:after="0" w:line="240" w:lineRule="auto"/>
        <w:rPr>
          <w:rFonts w:ascii="Verdana" w:eastAsia="Times New Roman" w:hAnsi="Verdana" w:cs="Arial"/>
          <w:kern w:val="0"/>
          <w:sz w:val="24"/>
          <w:szCs w:val="24"/>
          <w:lang w:eastAsia="es-ES"/>
          <w14:ligatures w14:val="none"/>
        </w:rPr>
      </w:pPr>
    </w:p>
    <w:p w14:paraId="76B78853" w14:textId="77777777" w:rsidR="009E0DB9" w:rsidRPr="009E0DB9" w:rsidRDefault="009E0DB9" w:rsidP="009E0DB9">
      <w:pPr>
        <w:rPr>
          <w:rFonts w:ascii="Verdana" w:eastAsia="Aptos" w:hAnsi="Verdana" w:cs="Times New Roman"/>
          <w:kern w:val="0"/>
          <w14:ligatures w14:val="none"/>
        </w:rPr>
      </w:pPr>
    </w:p>
    <w:bookmarkEnd w:id="0"/>
    <w:p w14:paraId="79F5C625" w14:textId="77777777" w:rsidR="009E0DB9" w:rsidRPr="009E0DB9" w:rsidRDefault="009E0DB9" w:rsidP="009E0DB9">
      <w:pPr>
        <w:rPr>
          <w:rFonts w:ascii="Verdana" w:eastAsia="Aptos" w:hAnsi="Verdana" w:cs="Times New Roman"/>
          <w:kern w:val="0"/>
          <w14:ligatures w14:val="none"/>
        </w:rPr>
      </w:pPr>
    </w:p>
    <w:sectPr w:rsidR="009E0DB9" w:rsidRPr="009E0DB9" w:rsidSect="009E0DB9">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A7A5DE" w14:textId="77777777" w:rsidR="00C40E8F" w:rsidRDefault="00C40E8F" w:rsidP="009E0DB9">
      <w:pPr>
        <w:spacing w:after="0" w:line="240" w:lineRule="auto"/>
      </w:pPr>
      <w:r>
        <w:separator/>
      </w:r>
    </w:p>
  </w:endnote>
  <w:endnote w:type="continuationSeparator" w:id="0">
    <w:p w14:paraId="41419A85" w14:textId="77777777" w:rsidR="00C40E8F" w:rsidRDefault="00C40E8F" w:rsidP="009E0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4F804" w14:textId="77777777" w:rsidR="009E0DB9" w:rsidRDefault="009E0DB9">
    <w:pPr>
      <w:pStyle w:val="Piedepgina"/>
    </w:pPr>
  </w:p>
  <w:p w14:paraId="20BB9629" w14:textId="77777777" w:rsidR="009E0DB9" w:rsidRPr="00174B77" w:rsidRDefault="009E0DB9"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577C5B2A" w14:textId="77777777" w:rsidR="009E0DB9" w:rsidRDefault="009E0DB9"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58C243E8" w14:textId="77777777" w:rsidR="009E0DB9" w:rsidRPr="00E41027" w:rsidRDefault="009E0DB9"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2FB3F978" w14:textId="77777777" w:rsidR="009E0DB9" w:rsidRDefault="009E0DB9"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F1003F">
      <w:rPr>
        <w:rFonts w:ascii="Verdana" w:eastAsia="Verdana" w:hAnsi="Verdana" w:cs="Verdana"/>
        <w:b/>
        <w:bCs/>
        <w:color w:val="000000"/>
        <w:sz w:val="18"/>
        <w:szCs w:val="18"/>
        <w:lang w:eastAsia="es-CO"/>
      </w:rPr>
      <w:t xml:space="preserve">Código: </w:t>
    </w:r>
    <w:r w:rsidRPr="00F1003F">
      <w:rPr>
        <w:rFonts w:ascii="Verdana" w:eastAsia="Verdana" w:hAnsi="Verdana" w:cs="Verdana"/>
        <w:color w:val="000000"/>
        <w:sz w:val="18"/>
        <w:szCs w:val="18"/>
        <w:lang w:eastAsia="es-CO"/>
      </w:rPr>
      <w:t xml:space="preserve">CCE-REC-FM-17 </w:t>
    </w:r>
    <w:r w:rsidRPr="00F1003F">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7CC463" w14:textId="77777777" w:rsidR="00C40E8F" w:rsidRDefault="00C40E8F" w:rsidP="009E0DB9">
      <w:pPr>
        <w:spacing w:after="0" w:line="240" w:lineRule="auto"/>
      </w:pPr>
      <w:r>
        <w:separator/>
      </w:r>
    </w:p>
  </w:footnote>
  <w:footnote w:type="continuationSeparator" w:id="0">
    <w:p w14:paraId="1B9C6181" w14:textId="77777777" w:rsidR="00C40E8F" w:rsidRDefault="00C40E8F" w:rsidP="009E0DB9">
      <w:pPr>
        <w:spacing w:after="0" w:line="240" w:lineRule="auto"/>
      </w:pPr>
      <w:r>
        <w:continuationSeparator/>
      </w:r>
    </w:p>
  </w:footnote>
  <w:footnote w:id="1">
    <w:p w14:paraId="01E42BEE" w14:textId="77777777" w:rsidR="009E0DB9" w:rsidRPr="00A3037F" w:rsidRDefault="009E0DB9" w:rsidP="009E0DB9">
      <w:pPr>
        <w:pStyle w:val="Textonotapie"/>
        <w:ind w:firstLine="709"/>
        <w:contextualSpacing/>
        <w:jc w:val="both"/>
        <w:rPr>
          <w:rFonts w:ascii="Verdana" w:hAnsi="Verdana" w:cs="Arial"/>
          <w:sz w:val="12"/>
          <w:szCs w:val="12"/>
          <w:lang w:val="es-CO"/>
        </w:rPr>
      </w:pPr>
      <w:r w:rsidRPr="00A3037F">
        <w:rPr>
          <w:rStyle w:val="Refdenotaalpie"/>
          <w:rFonts w:ascii="Verdana" w:hAnsi="Verdana" w:cs="Arial"/>
          <w:sz w:val="12"/>
          <w:szCs w:val="12"/>
          <w:lang w:val="es-CO"/>
        </w:rPr>
        <w:footnoteRef/>
      </w:r>
      <w:r w:rsidRPr="00A3037F">
        <w:rPr>
          <w:rFonts w:ascii="Verdana" w:hAnsi="Verdana" w:cs="Arial"/>
          <w:sz w:val="12"/>
          <w:szCs w:val="12"/>
          <w:lang w:val="es-CO"/>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976093A" w14:textId="77777777" w:rsidR="009E0DB9" w:rsidRPr="00A3037F" w:rsidRDefault="009E0DB9" w:rsidP="009E0DB9">
      <w:pPr>
        <w:pStyle w:val="Textonotapie"/>
        <w:ind w:firstLine="709"/>
        <w:contextualSpacing/>
        <w:jc w:val="both"/>
        <w:rPr>
          <w:rFonts w:ascii="Verdana" w:hAnsi="Verdana" w:cs="Arial"/>
          <w:sz w:val="12"/>
          <w:szCs w:val="12"/>
          <w:lang w:val="es-CO"/>
        </w:rPr>
      </w:pPr>
      <w:r w:rsidRPr="00A3037F">
        <w:rPr>
          <w:rFonts w:ascii="Verdana" w:hAnsi="Verdana" w:cs="Arial"/>
          <w:sz w:val="12"/>
          <w:szCs w:val="12"/>
          <w:lang w:val="es-CO"/>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304CBFA7" w14:textId="77777777" w:rsidR="009E0DB9" w:rsidRPr="00A3037F" w:rsidRDefault="009E0DB9" w:rsidP="009E0DB9">
      <w:pPr>
        <w:pStyle w:val="Textonotapie"/>
        <w:ind w:firstLine="709"/>
        <w:contextualSpacing/>
        <w:jc w:val="both"/>
        <w:rPr>
          <w:rFonts w:ascii="Verdana" w:hAnsi="Verdana" w:cs="Arial"/>
          <w:sz w:val="12"/>
          <w:szCs w:val="12"/>
          <w:lang w:val="es-CO"/>
        </w:rPr>
      </w:pPr>
    </w:p>
  </w:footnote>
  <w:footnote w:id="2">
    <w:p w14:paraId="0B614263" w14:textId="77777777" w:rsidR="009E0DB9" w:rsidRPr="00A3037F" w:rsidRDefault="009E0DB9" w:rsidP="009E0DB9">
      <w:pPr>
        <w:pStyle w:val="Textonotapie"/>
        <w:ind w:firstLine="709"/>
        <w:contextualSpacing/>
        <w:jc w:val="both"/>
        <w:rPr>
          <w:rFonts w:ascii="Verdana" w:hAnsi="Verdana" w:cs="Arial"/>
          <w:sz w:val="12"/>
          <w:szCs w:val="12"/>
          <w:lang w:val="es-CO"/>
        </w:rPr>
      </w:pPr>
      <w:r w:rsidRPr="00A3037F">
        <w:rPr>
          <w:rStyle w:val="Refdenotaalpie"/>
          <w:rFonts w:ascii="Verdana" w:hAnsi="Verdana" w:cs="Arial"/>
          <w:sz w:val="12"/>
          <w:szCs w:val="12"/>
          <w:lang w:val="es-CO"/>
        </w:rPr>
        <w:footnoteRef/>
      </w:r>
      <w:r w:rsidRPr="00A3037F">
        <w:rPr>
          <w:rFonts w:ascii="Verdana" w:hAnsi="Verdana" w:cs="Arial"/>
          <w:sz w:val="12"/>
          <w:szCs w:val="12"/>
          <w:lang w:val="es-CO"/>
        </w:rPr>
        <w:t xml:space="preserve"> Gaceta del Congreso de la República No. 71 del 2005.</w:t>
      </w:r>
    </w:p>
    <w:p w14:paraId="2D3C85D7" w14:textId="77777777" w:rsidR="009E0DB9" w:rsidRPr="00A3037F" w:rsidRDefault="009E0DB9" w:rsidP="009E0DB9">
      <w:pPr>
        <w:pStyle w:val="Textonotapie"/>
        <w:ind w:firstLine="709"/>
        <w:contextualSpacing/>
        <w:jc w:val="both"/>
        <w:rPr>
          <w:rFonts w:ascii="Verdana" w:hAnsi="Verdana" w:cs="Arial"/>
          <w:sz w:val="12"/>
          <w:szCs w:val="12"/>
          <w:lang w:val="es-CO"/>
        </w:rPr>
      </w:pPr>
    </w:p>
  </w:footnote>
  <w:footnote w:id="3">
    <w:p w14:paraId="05E75397" w14:textId="77777777" w:rsidR="009E0DB9" w:rsidRPr="00A3037F" w:rsidRDefault="009E0DB9" w:rsidP="009E0DB9">
      <w:pPr>
        <w:pStyle w:val="Textonotapie"/>
        <w:ind w:firstLine="709"/>
        <w:contextualSpacing/>
        <w:jc w:val="both"/>
        <w:rPr>
          <w:rFonts w:ascii="Verdana" w:hAnsi="Verdana" w:cs="Arial"/>
          <w:sz w:val="12"/>
          <w:szCs w:val="12"/>
          <w:lang w:val="es-CO"/>
        </w:rPr>
      </w:pPr>
      <w:r w:rsidRPr="00A3037F">
        <w:rPr>
          <w:rStyle w:val="Refdenotaalpie"/>
          <w:rFonts w:ascii="Verdana" w:hAnsi="Verdana" w:cs="Arial"/>
          <w:sz w:val="12"/>
          <w:szCs w:val="12"/>
          <w:lang w:val="es-CO"/>
        </w:rPr>
        <w:footnoteRef/>
      </w:r>
      <w:r w:rsidRPr="00A3037F">
        <w:rPr>
          <w:rFonts w:ascii="Verdana" w:hAnsi="Verdana" w:cs="Arial"/>
          <w:sz w:val="12"/>
          <w:szCs w:val="12"/>
          <w:lang w:val="es-CO"/>
        </w:rPr>
        <w:t xml:space="preserve"> Corte Constitucional. Sentencia C- 1153 de 2005. M.P: Marco Gerardo Monroy Cabra.</w:t>
      </w:r>
    </w:p>
    <w:p w14:paraId="167E6A1A" w14:textId="77777777" w:rsidR="009E0DB9" w:rsidRPr="00A3037F" w:rsidRDefault="009E0DB9" w:rsidP="009E0DB9">
      <w:pPr>
        <w:pStyle w:val="Textonotapie"/>
        <w:ind w:firstLine="709"/>
        <w:contextualSpacing/>
        <w:jc w:val="both"/>
        <w:rPr>
          <w:rFonts w:ascii="Verdana" w:hAnsi="Verdana" w:cs="Arial"/>
          <w:sz w:val="12"/>
          <w:szCs w:val="12"/>
          <w:lang w:val="es-CO"/>
        </w:rPr>
      </w:pPr>
    </w:p>
  </w:footnote>
  <w:footnote w:id="4">
    <w:p w14:paraId="0AB91B4D" w14:textId="77777777" w:rsidR="009E0DB9" w:rsidRPr="00A3037F" w:rsidRDefault="009E0DB9" w:rsidP="009E0DB9">
      <w:pPr>
        <w:pStyle w:val="Textonotapie"/>
        <w:ind w:firstLine="709"/>
        <w:contextualSpacing/>
        <w:jc w:val="both"/>
        <w:rPr>
          <w:rFonts w:ascii="Verdana" w:hAnsi="Verdana" w:cs="Arial"/>
          <w:sz w:val="12"/>
          <w:szCs w:val="12"/>
          <w:lang w:val="es-CO"/>
        </w:rPr>
      </w:pPr>
      <w:r w:rsidRPr="00A3037F">
        <w:rPr>
          <w:rStyle w:val="Refdenotaalpie"/>
          <w:rFonts w:ascii="Verdana" w:hAnsi="Verdana" w:cs="Arial"/>
          <w:sz w:val="12"/>
          <w:szCs w:val="12"/>
          <w:lang w:val="es-CO"/>
        </w:rPr>
        <w:footnoteRef/>
      </w:r>
      <w:r w:rsidRPr="00A3037F">
        <w:rPr>
          <w:rFonts w:ascii="Verdana" w:hAnsi="Verdana" w:cs="Arial"/>
          <w:sz w:val="12"/>
          <w:szCs w:val="12"/>
          <w:lang w:val="es-CO"/>
        </w:rPr>
        <w:t xml:space="preserve"> Corte Constitucional. Sentencias: C-233 de 4 de abril de 2002, M.P: Álvaro Tafur Galvis. C-551 de 9 de julio de 2003. M.P: Eduardo Montealegre Lynett. C-652 de 5 de agosto de 2003. M.P: Jaime Córdoba Triviño. Sentencia C-353 de 20 de mayo de 2009. M.P: Jorge Iván Palacio Palacio. C-541 de 30 de junio de 2010, M.P: Gabriel Eduardo Mendoza Martelo.</w:t>
      </w:r>
    </w:p>
    <w:p w14:paraId="7A5900C2" w14:textId="77777777" w:rsidR="009E0DB9" w:rsidRPr="00A3037F" w:rsidRDefault="009E0DB9" w:rsidP="009E0DB9">
      <w:pPr>
        <w:pStyle w:val="Textonotapie"/>
        <w:ind w:firstLine="709"/>
        <w:contextualSpacing/>
        <w:jc w:val="both"/>
        <w:rPr>
          <w:rFonts w:ascii="Verdana" w:hAnsi="Verdana" w:cs="Arial"/>
          <w:sz w:val="12"/>
          <w:szCs w:val="12"/>
          <w:lang w:val="es-CO"/>
        </w:rPr>
      </w:pPr>
    </w:p>
  </w:footnote>
  <w:footnote w:id="5">
    <w:p w14:paraId="437EFDA0" w14:textId="77777777" w:rsidR="009E0DB9" w:rsidRPr="00A3037F" w:rsidRDefault="009E0DB9" w:rsidP="009E0DB9">
      <w:pPr>
        <w:pStyle w:val="Textonotapie"/>
        <w:ind w:firstLine="709"/>
        <w:contextualSpacing/>
        <w:jc w:val="both"/>
        <w:rPr>
          <w:rFonts w:ascii="Verdana" w:hAnsi="Verdana" w:cs="Arial"/>
          <w:sz w:val="12"/>
          <w:szCs w:val="12"/>
          <w:lang w:val="es-CO"/>
        </w:rPr>
      </w:pPr>
      <w:r w:rsidRPr="00A3037F">
        <w:rPr>
          <w:rStyle w:val="Refdenotaalpie"/>
          <w:rFonts w:ascii="Verdana" w:hAnsi="Verdana" w:cs="Arial"/>
          <w:sz w:val="12"/>
          <w:szCs w:val="12"/>
          <w:lang w:val="es-CO"/>
        </w:rPr>
        <w:footnoteRef/>
      </w:r>
      <w:r w:rsidRPr="00A3037F">
        <w:rPr>
          <w:rFonts w:ascii="Verdana" w:hAnsi="Verdana" w:cs="Arial"/>
          <w:sz w:val="12"/>
          <w:szCs w:val="12"/>
          <w:lang w:val="es-CO"/>
        </w:rPr>
        <w:t xml:space="preserve"> Consejo de Estado. Sala de lo Contencioso Administrativo. Sección Primera. Sentencia de 3 de marzo de 2005, Radicado: 25001-23-15-000-2004-00823-01 (PI). C.P: Camilo Arciniegas Andrade.</w:t>
      </w:r>
    </w:p>
    <w:p w14:paraId="79D4B35F" w14:textId="77777777" w:rsidR="009E0DB9" w:rsidRPr="00A3037F" w:rsidRDefault="009E0DB9" w:rsidP="009E0DB9">
      <w:pPr>
        <w:pStyle w:val="Textonotapie"/>
        <w:ind w:firstLine="709"/>
        <w:contextualSpacing/>
        <w:jc w:val="both"/>
        <w:rPr>
          <w:rFonts w:ascii="Verdana" w:hAnsi="Verdana" w:cs="Arial"/>
          <w:sz w:val="12"/>
          <w:szCs w:val="12"/>
          <w:lang w:val="es-CO"/>
        </w:rPr>
      </w:pPr>
    </w:p>
  </w:footnote>
  <w:footnote w:id="6">
    <w:p w14:paraId="6FF231F4" w14:textId="77777777" w:rsidR="009E0DB9" w:rsidRPr="00A3037F" w:rsidRDefault="009E0DB9" w:rsidP="009E0DB9">
      <w:pPr>
        <w:pStyle w:val="Textonotapie"/>
        <w:ind w:firstLine="709"/>
        <w:contextualSpacing/>
        <w:jc w:val="both"/>
        <w:rPr>
          <w:rFonts w:ascii="Verdana" w:hAnsi="Verdana" w:cs="Arial"/>
          <w:sz w:val="12"/>
          <w:szCs w:val="12"/>
          <w:lang w:val="es-CO"/>
        </w:rPr>
      </w:pPr>
      <w:r w:rsidRPr="00A3037F">
        <w:rPr>
          <w:rStyle w:val="Refdenotaalpie"/>
          <w:rFonts w:ascii="Verdana" w:hAnsi="Verdana" w:cs="Arial"/>
          <w:sz w:val="12"/>
          <w:szCs w:val="12"/>
          <w:lang w:val="es-CO"/>
        </w:rPr>
        <w:footnoteRef/>
      </w:r>
      <w:r w:rsidRPr="00A3037F">
        <w:rPr>
          <w:rFonts w:ascii="Verdana" w:hAnsi="Verdana" w:cs="Arial"/>
          <w:sz w:val="12"/>
          <w:szCs w:val="12"/>
          <w:lang w:val="es-CO"/>
        </w:rPr>
        <w:t xml:space="preserve"> Consejo de Estado, Sala de Consulta y Servicio Civil de fecha 24 de julio de 2013. Radicado: Radicado: 11001-03-06-000-2013-00407-00 (2166). C.P: Álvaro Namén Vargas.  </w:t>
      </w:r>
    </w:p>
    <w:p w14:paraId="397353F4" w14:textId="77777777" w:rsidR="009E0DB9" w:rsidRPr="00A3037F" w:rsidRDefault="009E0DB9" w:rsidP="009E0DB9">
      <w:pPr>
        <w:pStyle w:val="Textonotapie"/>
        <w:ind w:firstLine="709"/>
        <w:contextualSpacing/>
        <w:jc w:val="both"/>
        <w:rPr>
          <w:rFonts w:ascii="Verdana" w:hAnsi="Verdana" w:cs="Arial"/>
          <w:sz w:val="12"/>
          <w:szCs w:val="12"/>
          <w:lang w:val="es-CO"/>
        </w:rPr>
      </w:pPr>
    </w:p>
  </w:footnote>
  <w:footnote w:id="7">
    <w:p w14:paraId="18688A4A" w14:textId="77777777" w:rsidR="009E0DB9" w:rsidRPr="00A3037F" w:rsidRDefault="009E0DB9" w:rsidP="009E0DB9">
      <w:pPr>
        <w:spacing w:after="0" w:line="240" w:lineRule="auto"/>
        <w:ind w:firstLine="709"/>
        <w:contextualSpacing/>
        <w:jc w:val="both"/>
        <w:rPr>
          <w:rFonts w:ascii="Verdana" w:eastAsia="Times New Roman" w:hAnsi="Verdana" w:cs="Arial"/>
          <w:sz w:val="12"/>
          <w:szCs w:val="12"/>
        </w:rPr>
      </w:pPr>
      <w:r w:rsidRPr="00A3037F">
        <w:rPr>
          <w:rStyle w:val="Refdenotaalpie"/>
          <w:rFonts w:ascii="Verdana" w:hAnsi="Verdana" w:cs="Arial"/>
          <w:sz w:val="12"/>
          <w:szCs w:val="12"/>
        </w:rPr>
        <w:footnoteRef/>
      </w:r>
      <w:r w:rsidRPr="00A3037F">
        <w:rPr>
          <w:rFonts w:ascii="Verdana" w:hAnsi="Verdana" w:cs="Arial"/>
          <w:sz w:val="12"/>
          <w:szCs w:val="12"/>
        </w:rPr>
        <w:t xml:space="preserve"> </w:t>
      </w:r>
      <w:r w:rsidRPr="00A3037F">
        <w:rPr>
          <w:rFonts w:ascii="Verdana" w:eastAsia="Calibri" w:hAnsi="Verdana" w:cs="Arial"/>
          <w:color w:val="000000"/>
          <w:sz w:val="12"/>
          <w:szCs w:val="12"/>
        </w:rPr>
        <w:t>“</w:t>
      </w:r>
      <w:r w:rsidRPr="00A3037F">
        <w:rPr>
          <w:rFonts w:ascii="Verdana" w:eastAsia="Times New Roman" w:hAnsi="Verdana" w:cs="Arial"/>
          <w:sz w:val="12"/>
          <w:szCs w:val="12"/>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D8DF9C4" w14:textId="77777777" w:rsidR="009E0DB9" w:rsidRPr="00A3037F" w:rsidRDefault="009E0DB9" w:rsidP="009E0DB9">
      <w:pPr>
        <w:spacing w:after="0" w:line="240" w:lineRule="auto"/>
        <w:ind w:firstLine="709"/>
        <w:contextualSpacing/>
        <w:jc w:val="both"/>
        <w:rPr>
          <w:rFonts w:ascii="Verdana" w:eastAsia="Times New Roman" w:hAnsi="Verdana" w:cs="Arial"/>
          <w:sz w:val="12"/>
          <w:szCs w:val="12"/>
        </w:rPr>
      </w:pPr>
      <w:r w:rsidRPr="00A3037F">
        <w:rPr>
          <w:rFonts w:ascii="Verdana" w:eastAsia="Times New Roman" w:hAnsi="Verdana" w:cs="Arial"/>
          <w:sz w:val="12"/>
          <w:szCs w:val="12"/>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3037F">
        <w:rPr>
          <w:rFonts w:ascii="Verdana" w:eastAsia="Calibri" w:hAnsi="Verdana" w:cs="Arial"/>
          <w:color w:val="000000"/>
          <w:sz w:val="12"/>
          <w:szCs w:val="12"/>
        </w:rPr>
        <w:t>”</w:t>
      </w:r>
      <w:r w:rsidRPr="00A3037F">
        <w:rPr>
          <w:rFonts w:ascii="Verdana" w:eastAsia="Times New Roman" w:hAnsi="Verdana" w:cs="Arial"/>
          <w:sz w:val="12"/>
          <w:szCs w:val="12"/>
        </w:rPr>
        <w:t>.</w:t>
      </w:r>
    </w:p>
    <w:p w14:paraId="4AB3DFF2" w14:textId="77777777" w:rsidR="009E0DB9" w:rsidRPr="00A3037F" w:rsidRDefault="009E0DB9" w:rsidP="009E0DB9">
      <w:pPr>
        <w:spacing w:after="0" w:line="240" w:lineRule="auto"/>
        <w:ind w:firstLine="709"/>
        <w:contextualSpacing/>
        <w:jc w:val="both"/>
        <w:rPr>
          <w:rFonts w:ascii="Verdana" w:eastAsia="Times New Roman" w:hAnsi="Verdana" w:cs="Arial"/>
          <w:sz w:val="12"/>
          <w:szCs w:val="12"/>
        </w:rPr>
      </w:pPr>
    </w:p>
  </w:footnote>
  <w:footnote w:id="8">
    <w:p w14:paraId="71A3179C" w14:textId="77777777" w:rsidR="009E0DB9" w:rsidRPr="00A3037F" w:rsidRDefault="009E0DB9" w:rsidP="009E0DB9">
      <w:pPr>
        <w:pStyle w:val="NormalWeb"/>
        <w:spacing w:after="0"/>
        <w:ind w:firstLine="709"/>
        <w:contextualSpacing/>
        <w:jc w:val="both"/>
        <w:rPr>
          <w:rFonts w:ascii="Verdana" w:hAnsi="Verdana" w:cs="Arial"/>
          <w:sz w:val="12"/>
          <w:szCs w:val="12"/>
        </w:rPr>
      </w:pPr>
      <w:r w:rsidRPr="00A3037F">
        <w:rPr>
          <w:rStyle w:val="Refdenotaalpie"/>
          <w:rFonts w:ascii="Verdana" w:hAnsi="Verdana" w:cs="Arial"/>
          <w:sz w:val="12"/>
          <w:szCs w:val="12"/>
        </w:rPr>
        <w:footnoteRef/>
      </w:r>
      <w:r w:rsidRPr="00A3037F">
        <w:rPr>
          <w:rFonts w:ascii="Verdana" w:hAnsi="Verdana" w:cs="Arial"/>
          <w:sz w:val="12"/>
          <w:szCs w:val="12"/>
        </w:rPr>
        <w:t xml:space="preserve"> </w:t>
      </w:r>
      <w:r w:rsidRPr="00A3037F">
        <w:rPr>
          <w:rFonts w:ascii="Verdana" w:eastAsia="Calibri" w:hAnsi="Verdana" w:cs="Arial"/>
          <w:color w:val="000000"/>
          <w:sz w:val="12"/>
          <w:szCs w:val="12"/>
        </w:rPr>
        <w:t>“</w:t>
      </w:r>
      <w:r w:rsidRPr="00A3037F">
        <w:rPr>
          <w:rFonts w:ascii="Verdana" w:hAnsi="Verdana" w:cs="Arial"/>
          <w:sz w:val="12"/>
          <w:szCs w:val="12"/>
        </w:rPr>
        <w:t>Artículo 38. Prohibiciones para los servidores públicos. A los empleados del Estado les está prohibido: […]</w:t>
      </w:r>
    </w:p>
    <w:p w14:paraId="18CDAD91" w14:textId="77777777" w:rsidR="009E0DB9" w:rsidRPr="00A3037F" w:rsidRDefault="009E0DB9" w:rsidP="009E0DB9">
      <w:pPr>
        <w:pStyle w:val="NormalWeb"/>
        <w:spacing w:after="0"/>
        <w:ind w:firstLine="709"/>
        <w:contextualSpacing/>
        <w:jc w:val="both"/>
        <w:rPr>
          <w:rFonts w:ascii="Verdana" w:hAnsi="Verdana" w:cs="Arial"/>
          <w:sz w:val="12"/>
          <w:szCs w:val="12"/>
        </w:rPr>
      </w:pPr>
      <w:r w:rsidRPr="00A3037F">
        <w:rPr>
          <w:rStyle w:val="baj"/>
          <w:rFonts w:ascii="Verdana" w:hAnsi="Verdana" w:cs="Arial"/>
          <w:sz w:val="12"/>
          <w:szCs w:val="12"/>
        </w:rPr>
        <w:t>Parágrafo.</w:t>
      </w:r>
      <w:r w:rsidRPr="00A3037F">
        <w:rPr>
          <w:rFonts w:ascii="Verdana" w:hAnsi="Verdana" w:cs="Arial"/>
          <w:sz w:val="12"/>
          <w:szCs w:val="12"/>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3037F">
        <w:rPr>
          <w:rFonts w:ascii="Verdana" w:eastAsia="Calibri" w:hAnsi="Verdana" w:cs="Arial"/>
          <w:color w:val="000000"/>
          <w:sz w:val="12"/>
          <w:szCs w:val="12"/>
        </w:rPr>
        <w:t>”</w:t>
      </w:r>
      <w:r w:rsidRPr="00A3037F">
        <w:rPr>
          <w:rFonts w:ascii="Verdana" w:hAnsi="Verdana" w:cs="Arial"/>
          <w:sz w:val="12"/>
          <w:szCs w:val="12"/>
        </w:rPr>
        <w:t>.</w:t>
      </w:r>
    </w:p>
    <w:p w14:paraId="25884AC0" w14:textId="77777777" w:rsidR="009E0DB9" w:rsidRPr="00A3037F" w:rsidRDefault="009E0DB9" w:rsidP="009E0DB9">
      <w:pPr>
        <w:pStyle w:val="NormalWeb"/>
        <w:spacing w:after="0"/>
        <w:ind w:firstLine="709"/>
        <w:contextualSpacing/>
        <w:jc w:val="both"/>
        <w:rPr>
          <w:rFonts w:ascii="Verdana" w:hAnsi="Verdana" w:cs="Arial"/>
          <w:sz w:val="12"/>
          <w:szCs w:val="12"/>
        </w:rPr>
      </w:pPr>
    </w:p>
  </w:footnote>
  <w:footnote w:id="9">
    <w:p w14:paraId="78A86EA1" w14:textId="77777777" w:rsidR="009E0DB9" w:rsidRPr="00A3037F" w:rsidRDefault="009E0DB9" w:rsidP="009E0DB9">
      <w:pPr>
        <w:spacing w:after="0" w:line="240" w:lineRule="auto"/>
        <w:ind w:left="100" w:right="244" w:firstLine="709"/>
        <w:contextualSpacing/>
        <w:jc w:val="both"/>
        <w:rPr>
          <w:rFonts w:ascii="Verdana" w:hAnsi="Verdana" w:cs="Arial"/>
          <w:sz w:val="12"/>
          <w:szCs w:val="12"/>
        </w:rPr>
      </w:pPr>
      <w:r w:rsidRPr="00A3037F">
        <w:rPr>
          <w:rStyle w:val="Refdenotaalpie"/>
          <w:rFonts w:ascii="Verdana" w:hAnsi="Verdana" w:cs="Arial"/>
          <w:sz w:val="12"/>
          <w:szCs w:val="12"/>
        </w:rPr>
        <w:footnoteRef/>
      </w:r>
      <w:r w:rsidRPr="00A3037F">
        <w:rPr>
          <w:rFonts w:ascii="Verdana" w:hAnsi="Verdana" w:cs="Arial"/>
          <w:sz w:val="12"/>
          <w:szCs w:val="12"/>
        </w:rPr>
        <w:t xml:space="preserve"> Consejo de Estado. Sala de Consulta y Servicio Civil. Concepto del 17 de febrero de 2015. Radicación No. 11001-03-06-000-2015-00164-00 (2269) C.P: William Zambrano Cetina.</w:t>
      </w:r>
    </w:p>
  </w:footnote>
  <w:footnote w:id="10">
    <w:p w14:paraId="70A9103E" w14:textId="77777777" w:rsidR="009E0DB9" w:rsidRPr="00A3037F" w:rsidRDefault="009E0DB9" w:rsidP="009E0DB9">
      <w:pPr>
        <w:pStyle w:val="Textonotapie"/>
        <w:ind w:right="51" w:firstLine="709"/>
        <w:contextualSpacing/>
        <w:jc w:val="both"/>
        <w:rPr>
          <w:rFonts w:ascii="Verdana" w:hAnsi="Verdana" w:cs="Arial"/>
          <w:sz w:val="12"/>
          <w:szCs w:val="12"/>
          <w:lang w:val="es-CO"/>
        </w:rPr>
      </w:pPr>
      <w:r w:rsidRPr="00A3037F">
        <w:rPr>
          <w:rStyle w:val="Refdenotaalpie"/>
          <w:rFonts w:ascii="Verdana" w:hAnsi="Verdana" w:cs="Arial"/>
          <w:sz w:val="12"/>
          <w:szCs w:val="12"/>
          <w:lang w:val="es-CO"/>
        </w:rPr>
        <w:footnoteRef/>
      </w:r>
      <w:r w:rsidRPr="00A3037F">
        <w:rPr>
          <w:rFonts w:ascii="Verdana" w:hAnsi="Verdana" w:cs="Arial"/>
          <w:sz w:val="12"/>
          <w:szCs w:val="12"/>
          <w:lang w:val="es-CO"/>
        </w:rPr>
        <w:t xml:space="preserve"> “[26] Al respecto ver el concepto 1712 de 2 de febrero de 2006. Consejo de Estado Sala de Consulta y Servicio Civil”.</w:t>
      </w:r>
    </w:p>
    <w:p w14:paraId="20E1212C" w14:textId="77777777" w:rsidR="009E0DB9" w:rsidRPr="00A3037F" w:rsidRDefault="009E0DB9" w:rsidP="009E0DB9">
      <w:pPr>
        <w:pStyle w:val="Textonotapie"/>
        <w:ind w:right="51" w:firstLine="709"/>
        <w:contextualSpacing/>
        <w:jc w:val="both"/>
        <w:rPr>
          <w:rFonts w:ascii="Verdana" w:hAnsi="Verdana" w:cs="Arial"/>
          <w:sz w:val="12"/>
          <w:szCs w:val="12"/>
          <w:lang w:val="es-CO"/>
        </w:rPr>
      </w:pPr>
    </w:p>
  </w:footnote>
  <w:footnote w:id="11">
    <w:p w14:paraId="77C25831" w14:textId="77777777" w:rsidR="009E0DB9" w:rsidRPr="00A3037F" w:rsidRDefault="009E0DB9" w:rsidP="009E0DB9">
      <w:pPr>
        <w:pStyle w:val="Textonotapie"/>
        <w:ind w:firstLine="709"/>
        <w:contextualSpacing/>
        <w:jc w:val="both"/>
        <w:rPr>
          <w:rFonts w:ascii="Verdana" w:hAnsi="Verdana" w:cs="Arial"/>
          <w:sz w:val="12"/>
          <w:szCs w:val="12"/>
          <w:lang w:val="es-CO"/>
        </w:rPr>
      </w:pPr>
      <w:r w:rsidRPr="00A3037F">
        <w:rPr>
          <w:rStyle w:val="Refdenotaalpie"/>
          <w:rFonts w:ascii="Verdana" w:hAnsi="Verdana" w:cs="Arial"/>
          <w:sz w:val="12"/>
          <w:szCs w:val="12"/>
          <w:lang w:val="es-CO"/>
        </w:rPr>
        <w:footnoteRef/>
      </w:r>
      <w:r w:rsidRPr="00A3037F">
        <w:rPr>
          <w:rFonts w:ascii="Verdana" w:hAnsi="Verdana" w:cs="Arial"/>
          <w:sz w:val="12"/>
          <w:szCs w:val="12"/>
          <w:lang w:val="es-CO"/>
        </w:rPr>
        <w:t xml:space="preserve"> Consejo de Estado. Sala de Consulta y Servicio Civil. Concepto del 2 de septiembre de 2013. Radicación número: 11001-03-06-000-2013-00412-00 (2168). Consejero Ponente: Álvaro Namén Vargas.</w:t>
      </w:r>
    </w:p>
    <w:p w14:paraId="75BE4D61" w14:textId="77777777" w:rsidR="009E0DB9" w:rsidRPr="00A3037F" w:rsidRDefault="009E0DB9" w:rsidP="009E0DB9">
      <w:pPr>
        <w:pStyle w:val="Textonotapie"/>
        <w:ind w:firstLine="709"/>
        <w:contextualSpacing/>
        <w:jc w:val="both"/>
        <w:rPr>
          <w:rFonts w:ascii="Verdana" w:hAnsi="Verdana" w:cs="Arial"/>
          <w:sz w:val="12"/>
          <w:szCs w:val="12"/>
          <w:lang w:val="es-CO"/>
        </w:rPr>
      </w:pPr>
    </w:p>
  </w:footnote>
  <w:footnote w:id="12">
    <w:p w14:paraId="20AB6C90" w14:textId="77777777" w:rsidR="009E0DB9" w:rsidRPr="00A3037F" w:rsidRDefault="009E0DB9" w:rsidP="009E0DB9">
      <w:pPr>
        <w:pStyle w:val="Textonotapie"/>
        <w:ind w:firstLine="709"/>
        <w:contextualSpacing/>
        <w:jc w:val="both"/>
        <w:rPr>
          <w:rFonts w:ascii="Verdana" w:hAnsi="Verdana" w:cs="Arial"/>
          <w:sz w:val="12"/>
          <w:szCs w:val="12"/>
          <w:lang w:val="es-CO"/>
        </w:rPr>
      </w:pPr>
      <w:r w:rsidRPr="00A3037F">
        <w:rPr>
          <w:rStyle w:val="Refdenotaalpie"/>
          <w:rFonts w:ascii="Verdana" w:hAnsi="Verdana" w:cs="Arial"/>
          <w:sz w:val="12"/>
          <w:szCs w:val="12"/>
          <w:lang w:val="es-CO"/>
        </w:rPr>
        <w:footnoteRef/>
      </w:r>
      <w:r w:rsidRPr="00A3037F">
        <w:rPr>
          <w:rFonts w:ascii="Verdana" w:hAnsi="Verdana" w:cs="Arial"/>
          <w:sz w:val="12"/>
          <w:szCs w:val="12"/>
          <w:lang w:val="es-CO"/>
        </w:rPr>
        <w:t xml:space="preserve"> Artículo 2. </w:t>
      </w:r>
    </w:p>
    <w:p w14:paraId="6B70A08F" w14:textId="77777777" w:rsidR="009E0DB9" w:rsidRPr="00A3037F" w:rsidRDefault="009E0DB9" w:rsidP="009E0DB9">
      <w:pPr>
        <w:pStyle w:val="Textonotapie"/>
        <w:ind w:firstLine="709"/>
        <w:contextualSpacing/>
        <w:jc w:val="both"/>
        <w:rPr>
          <w:rFonts w:ascii="Verdana" w:hAnsi="Verdana" w:cs="Arial"/>
          <w:sz w:val="12"/>
          <w:szCs w:val="12"/>
          <w:lang w:val="es-CO"/>
        </w:rPr>
      </w:pPr>
    </w:p>
  </w:footnote>
  <w:footnote w:id="13">
    <w:p w14:paraId="5ACC7C64" w14:textId="77777777" w:rsidR="009E0DB9" w:rsidRPr="00A3037F" w:rsidRDefault="009E0DB9" w:rsidP="009E0DB9">
      <w:pPr>
        <w:pStyle w:val="Textonotapie"/>
        <w:ind w:firstLine="709"/>
        <w:contextualSpacing/>
        <w:jc w:val="both"/>
        <w:rPr>
          <w:rFonts w:ascii="Verdana" w:hAnsi="Verdana" w:cs="Arial"/>
          <w:sz w:val="12"/>
          <w:szCs w:val="12"/>
          <w:lang w:val="es-CO"/>
        </w:rPr>
      </w:pPr>
      <w:r w:rsidRPr="00A3037F">
        <w:rPr>
          <w:rStyle w:val="Refdenotaalpie"/>
          <w:rFonts w:ascii="Verdana" w:hAnsi="Verdana" w:cs="Arial"/>
          <w:sz w:val="12"/>
          <w:szCs w:val="12"/>
          <w:lang w:val="es-CO"/>
        </w:rPr>
        <w:footnoteRef/>
      </w:r>
      <w:r w:rsidRPr="00A3037F">
        <w:rPr>
          <w:rFonts w:ascii="Verdana" w:hAnsi="Verdana" w:cs="Arial"/>
          <w:sz w:val="12"/>
          <w:szCs w:val="12"/>
          <w:lang w:val="es-CO"/>
        </w:rPr>
        <w:t xml:space="preserve"> </w:t>
      </w:r>
      <w:r w:rsidRPr="00A3037F">
        <w:rPr>
          <w:rFonts w:ascii="Verdana" w:hAnsi="Verdana" w:cs="Arial"/>
          <w:i/>
          <w:sz w:val="12"/>
          <w:szCs w:val="12"/>
          <w:lang w:val="es-CO"/>
        </w:rPr>
        <w:t>Ídem</w:t>
      </w:r>
      <w:r w:rsidRPr="00A3037F">
        <w:rPr>
          <w:rFonts w:ascii="Verdana" w:hAnsi="Verdana" w:cs="Arial"/>
          <w:sz w:val="12"/>
          <w:szCs w:val="12"/>
          <w:lang w:val="es-CO"/>
        </w:rPr>
        <w:t>.</w:t>
      </w:r>
    </w:p>
    <w:p w14:paraId="71CCFEA3" w14:textId="77777777" w:rsidR="009E0DB9" w:rsidRPr="00A3037F" w:rsidRDefault="009E0DB9" w:rsidP="009E0DB9">
      <w:pPr>
        <w:pStyle w:val="Textonotapie"/>
        <w:ind w:firstLine="709"/>
        <w:contextualSpacing/>
        <w:jc w:val="both"/>
        <w:rPr>
          <w:rFonts w:ascii="Verdana" w:hAnsi="Verdana" w:cs="Arial"/>
          <w:sz w:val="12"/>
          <w:szCs w:val="12"/>
          <w:lang w:val="es-CO"/>
        </w:rPr>
      </w:pPr>
    </w:p>
  </w:footnote>
  <w:footnote w:id="14">
    <w:p w14:paraId="6051AC26" w14:textId="77777777" w:rsidR="009E0DB9" w:rsidRPr="00A3037F" w:rsidRDefault="009E0DB9" w:rsidP="009E0DB9">
      <w:pPr>
        <w:pStyle w:val="Textonotapie"/>
        <w:ind w:firstLine="709"/>
        <w:contextualSpacing/>
        <w:jc w:val="both"/>
        <w:rPr>
          <w:rFonts w:ascii="Verdana" w:hAnsi="Verdana" w:cs="Arial"/>
          <w:sz w:val="12"/>
          <w:szCs w:val="12"/>
          <w:lang w:val="es-CO"/>
        </w:rPr>
      </w:pPr>
      <w:r w:rsidRPr="00A3037F">
        <w:rPr>
          <w:rStyle w:val="Refdenotaalpie"/>
          <w:rFonts w:ascii="Verdana" w:hAnsi="Verdana" w:cs="Arial"/>
          <w:sz w:val="12"/>
          <w:szCs w:val="12"/>
          <w:lang w:val="es-CO"/>
        </w:rPr>
        <w:footnoteRef/>
      </w:r>
      <w:r w:rsidRPr="00A3037F">
        <w:rPr>
          <w:rFonts w:ascii="Verdana" w:hAnsi="Verdana" w:cs="Arial"/>
          <w:sz w:val="12"/>
          <w:szCs w:val="12"/>
          <w:lang w:val="es-CO"/>
        </w:rPr>
        <w:t xml:space="preserve"> Consejo de Estado. Sala de Consulta y Servicio Civil. Concepto del 08 de mayo de 2018. Exp. 2.382. C.P. Álvaro Namén Vargas.</w:t>
      </w:r>
    </w:p>
    <w:p w14:paraId="38460E3D" w14:textId="77777777" w:rsidR="009E0DB9" w:rsidRPr="00A3037F" w:rsidRDefault="009E0DB9" w:rsidP="009E0DB9">
      <w:pPr>
        <w:pStyle w:val="Textonotapie"/>
        <w:ind w:firstLine="709"/>
        <w:contextualSpacing/>
        <w:jc w:val="both"/>
        <w:rPr>
          <w:rFonts w:ascii="Verdana" w:hAnsi="Verdana" w:cs="Arial"/>
          <w:sz w:val="12"/>
          <w:szCs w:val="12"/>
          <w:lang w:val="es-CO"/>
        </w:rPr>
      </w:pPr>
    </w:p>
  </w:footnote>
  <w:footnote w:id="15">
    <w:p w14:paraId="729D0B3B" w14:textId="77777777" w:rsidR="009E0DB9" w:rsidRPr="00A3037F" w:rsidRDefault="009E0DB9" w:rsidP="009E0DB9">
      <w:pPr>
        <w:pStyle w:val="Textonotapie"/>
        <w:ind w:firstLine="708"/>
        <w:contextualSpacing/>
        <w:jc w:val="both"/>
        <w:rPr>
          <w:rFonts w:ascii="Verdana" w:eastAsia="Calibri" w:hAnsi="Verdana" w:cs="Arial"/>
          <w:sz w:val="12"/>
          <w:szCs w:val="12"/>
          <w:lang w:val="es-CO"/>
        </w:rPr>
      </w:pPr>
      <w:r w:rsidRPr="00A3037F">
        <w:rPr>
          <w:rStyle w:val="Refdenotaalpie"/>
          <w:rFonts w:ascii="Verdana" w:hAnsi="Verdana"/>
          <w:sz w:val="12"/>
          <w:szCs w:val="12"/>
          <w:lang w:val="es-CO"/>
        </w:rPr>
        <w:footnoteRef/>
      </w:r>
      <w:r w:rsidRPr="00A3037F">
        <w:rPr>
          <w:rFonts w:ascii="Verdana" w:hAnsi="Verdana"/>
          <w:sz w:val="12"/>
          <w:szCs w:val="12"/>
          <w:lang w:val="es-CO"/>
        </w:rPr>
        <w:t xml:space="preserve"> </w:t>
      </w:r>
      <w:r w:rsidRPr="00A3037F">
        <w:rPr>
          <w:rFonts w:ascii="Verdana" w:eastAsia="Calibri" w:hAnsi="Verdana" w:cs="Arial"/>
          <w:sz w:val="12"/>
          <w:szCs w:val="12"/>
          <w:lang w:val="es-CO"/>
        </w:rPr>
        <w:t>Ibidem.</w:t>
      </w:r>
    </w:p>
    <w:p w14:paraId="0DC4C4CE" w14:textId="77777777" w:rsidR="009E0DB9" w:rsidRPr="00A3037F" w:rsidRDefault="009E0DB9" w:rsidP="009E0DB9">
      <w:pPr>
        <w:pStyle w:val="Textonotapie"/>
        <w:ind w:firstLine="708"/>
        <w:contextualSpacing/>
        <w:jc w:val="both"/>
        <w:rPr>
          <w:rFonts w:ascii="Verdana" w:eastAsia="Calibri" w:hAnsi="Verdana" w:cs="Arial"/>
          <w:sz w:val="12"/>
          <w:szCs w:val="12"/>
          <w:lang w:val="es-CO"/>
        </w:rPr>
      </w:pPr>
    </w:p>
  </w:footnote>
  <w:footnote w:id="16">
    <w:p w14:paraId="50BEDBBE" w14:textId="77777777" w:rsidR="009E0DB9" w:rsidRPr="00A3037F" w:rsidRDefault="009E0DB9" w:rsidP="009E0DB9">
      <w:pPr>
        <w:spacing w:after="0" w:line="240" w:lineRule="auto"/>
        <w:ind w:firstLine="709"/>
        <w:contextualSpacing/>
        <w:jc w:val="both"/>
        <w:rPr>
          <w:rFonts w:ascii="Verdana" w:hAnsi="Verdana" w:cs="Arial"/>
          <w:color w:val="000000"/>
          <w:sz w:val="12"/>
          <w:szCs w:val="12"/>
        </w:rPr>
      </w:pPr>
      <w:r w:rsidRPr="00A3037F">
        <w:rPr>
          <w:rStyle w:val="Refdenotaalpie"/>
          <w:rFonts w:ascii="Verdana" w:hAnsi="Verdana" w:cs="Arial"/>
          <w:color w:val="000000"/>
          <w:sz w:val="12"/>
          <w:szCs w:val="12"/>
        </w:rPr>
        <w:footnoteRef/>
      </w:r>
      <w:r w:rsidRPr="00A3037F">
        <w:rPr>
          <w:rFonts w:ascii="Verdana" w:hAnsi="Verdana" w:cs="Arial"/>
          <w:color w:val="000000"/>
          <w:sz w:val="12"/>
          <w:szCs w:val="12"/>
        </w:rPr>
        <w:t xml:space="preserve"> Consejo de Estado. Sala de Consulta y Servicio Civil. Concepto de 20 de febrero de 2006. Radicación Número: 11001-03-06-000-2006-00026-00(1727).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7">
    <w:p w14:paraId="4500D7BF" w14:textId="77777777" w:rsidR="009E0DB9" w:rsidRPr="00A3037F" w:rsidRDefault="009E0DB9" w:rsidP="009E0DB9">
      <w:pPr>
        <w:pStyle w:val="Textonotapie"/>
        <w:ind w:firstLine="708"/>
        <w:contextualSpacing/>
        <w:jc w:val="both"/>
        <w:rPr>
          <w:rFonts w:ascii="Verdana" w:hAnsi="Verdana" w:cs="Arial"/>
          <w:color w:val="000000"/>
          <w:sz w:val="12"/>
          <w:szCs w:val="12"/>
          <w:lang w:val="es-CO"/>
        </w:rPr>
      </w:pPr>
      <w:r w:rsidRPr="00A3037F">
        <w:rPr>
          <w:rStyle w:val="Refdenotaalpie"/>
          <w:rFonts w:ascii="Verdana" w:hAnsi="Verdana" w:cs="Arial"/>
          <w:color w:val="000000"/>
          <w:sz w:val="12"/>
          <w:szCs w:val="12"/>
          <w:lang w:val="es-CO"/>
        </w:rPr>
        <w:footnoteRef/>
      </w:r>
      <w:r w:rsidRPr="00A3037F">
        <w:rPr>
          <w:rFonts w:ascii="Verdana" w:hAnsi="Verdana" w:cs="Arial"/>
          <w:color w:val="000000"/>
          <w:sz w:val="12"/>
          <w:szCs w:val="12"/>
          <w:lang w:val="es-CO"/>
        </w:rPr>
        <w:t xml:space="preserve"> Corte Constitucional. Sentencia C-1153 de 2005 M.P: Marco Gerardo Monroy Cabra. </w:t>
      </w:r>
    </w:p>
    <w:p w14:paraId="4C619E6A" w14:textId="77777777" w:rsidR="009E0DB9" w:rsidRPr="00A3037F" w:rsidRDefault="009E0DB9" w:rsidP="009E0DB9">
      <w:pPr>
        <w:pStyle w:val="Textonotapie"/>
        <w:ind w:firstLine="708"/>
        <w:contextualSpacing/>
        <w:jc w:val="both"/>
        <w:rPr>
          <w:rFonts w:ascii="Verdana" w:hAnsi="Verdana" w:cs="Arial"/>
          <w:color w:val="000000"/>
          <w:sz w:val="12"/>
          <w:szCs w:val="12"/>
          <w:lang w:val="es-CO"/>
        </w:rPr>
      </w:pPr>
    </w:p>
  </w:footnote>
  <w:footnote w:id="18">
    <w:p w14:paraId="58073527" w14:textId="77777777" w:rsidR="009E0DB9" w:rsidRPr="00A3037F" w:rsidRDefault="009E0DB9" w:rsidP="009E0DB9">
      <w:pPr>
        <w:pStyle w:val="Textonotapie"/>
        <w:ind w:firstLine="708"/>
        <w:contextualSpacing/>
        <w:jc w:val="both"/>
        <w:rPr>
          <w:rFonts w:ascii="Verdana" w:hAnsi="Verdana" w:cs="Arial"/>
          <w:color w:val="000000"/>
          <w:sz w:val="12"/>
          <w:szCs w:val="12"/>
          <w:lang w:val="es-CO"/>
        </w:rPr>
      </w:pPr>
      <w:r w:rsidRPr="00A3037F">
        <w:rPr>
          <w:rStyle w:val="Refdenotaalpie"/>
          <w:rFonts w:ascii="Verdana" w:hAnsi="Verdana" w:cs="Arial"/>
          <w:color w:val="000000"/>
          <w:sz w:val="12"/>
          <w:szCs w:val="12"/>
          <w:lang w:val="es-CO"/>
        </w:rPr>
        <w:footnoteRef/>
      </w:r>
      <w:r w:rsidRPr="00A3037F">
        <w:rPr>
          <w:rFonts w:ascii="Verdana" w:hAnsi="Verdana" w:cs="Arial"/>
          <w:color w:val="000000"/>
          <w:sz w:val="12"/>
          <w:szCs w:val="12"/>
          <w:lang w:val="es-CO"/>
        </w:rPr>
        <w:t xml:space="preserve"> Consejo de Estado. Sala de Consulta y Servicio Civil. Concepto del 18 de febrero 2010. Radicado: 11001-03-06-000-2010-00006-00 (1985). C.P. Enrique José Arboleda Perdomo.</w:t>
      </w:r>
    </w:p>
    <w:p w14:paraId="278F018B" w14:textId="77777777" w:rsidR="009E0DB9" w:rsidRPr="00A3037F" w:rsidRDefault="009E0DB9" w:rsidP="009E0DB9">
      <w:pPr>
        <w:pStyle w:val="Textonotapie"/>
        <w:ind w:firstLine="708"/>
        <w:contextualSpacing/>
        <w:jc w:val="both"/>
        <w:rPr>
          <w:rFonts w:ascii="Verdana" w:hAnsi="Verdana" w:cs="Arial"/>
          <w:color w:val="000000"/>
          <w:sz w:val="12"/>
          <w:szCs w:val="12"/>
          <w:lang w:val="es-CO"/>
        </w:rPr>
      </w:pPr>
    </w:p>
  </w:footnote>
  <w:footnote w:id="19">
    <w:p w14:paraId="343B0C4F" w14:textId="77777777" w:rsidR="009E0DB9" w:rsidRPr="00A3037F" w:rsidRDefault="009E0DB9" w:rsidP="009E0DB9">
      <w:pPr>
        <w:pStyle w:val="Textonotapie"/>
        <w:ind w:firstLine="708"/>
        <w:contextualSpacing/>
        <w:jc w:val="both"/>
        <w:rPr>
          <w:rFonts w:ascii="Verdana" w:hAnsi="Verdana" w:cs="Arial"/>
          <w:color w:val="000000"/>
          <w:sz w:val="12"/>
          <w:szCs w:val="12"/>
          <w:lang w:val="es-CO"/>
        </w:rPr>
      </w:pPr>
      <w:r w:rsidRPr="00A3037F">
        <w:rPr>
          <w:rStyle w:val="Refdenotaalpie"/>
          <w:rFonts w:ascii="Verdana" w:hAnsi="Verdana" w:cs="Arial"/>
          <w:color w:val="000000"/>
          <w:sz w:val="12"/>
          <w:szCs w:val="12"/>
          <w:lang w:val="es-CO"/>
        </w:rPr>
        <w:footnoteRef/>
      </w:r>
      <w:r w:rsidRPr="00A3037F">
        <w:rPr>
          <w:rFonts w:ascii="Verdana" w:hAnsi="Verdana" w:cs="Arial"/>
          <w:color w:val="000000"/>
          <w:sz w:val="12"/>
          <w:szCs w:val="12"/>
          <w:lang w:val="es-CO"/>
        </w:rPr>
        <w:t xml:space="preserve"> Consejo de Estado. Sala de Consulta y Servicio Civil. Concepto del 02 de septiembre de 2013. Radicado: 11001-03-06-000-2013-00412-00 (2168). C.P. Álvaro Namén Vargas.</w:t>
      </w:r>
    </w:p>
    <w:p w14:paraId="5854123B" w14:textId="77777777" w:rsidR="009E0DB9" w:rsidRPr="00A3037F" w:rsidRDefault="009E0DB9" w:rsidP="009E0DB9">
      <w:pPr>
        <w:pStyle w:val="Textonotapie"/>
        <w:ind w:firstLine="708"/>
        <w:contextualSpacing/>
        <w:jc w:val="both"/>
        <w:rPr>
          <w:rFonts w:ascii="Verdana" w:hAnsi="Verdana" w:cs="Arial"/>
          <w:color w:val="000000"/>
          <w:sz w:val="12"/>
          <w:szCs w:val="12"/>
          <w:lang w:val="es-CO"/>
        </w:rPr>
      </w:pPr>
    </w:p>
  </w:footnote>
  <w:footnote w:id="20">
    <w:p w14:paraId="2C4C51FA" w14:textId="77777777" w:rsidR="009E0DB9" w:rsidRPr="00A3037F" w:rsidRDefault="009E0DB9" w:rsidP="009E0DB9">
      <w:pPr>
        <w:pStyle w:val="Textonotapie"/>
        <w:ind w:firstLine="709"/>
        <w:jc w:val="both"/>
        <w:rPr>
          <w:rFonts w:ascii="Verdana" w:hAnsi="Verdana" w:cs="Arial"/>
          <w:sz w:val="12"/>
          <w:szCs w:val="12"/>
        </w:rPr>
      </w:pPr>
      <w:r w:rsidRPr="00A3037F">
        <w:rPr>
          <w:rStyle w:val="Refdenotaalpie"/>
          <w:rFonts w:ascii="Verdana" w:hAnsi="Verdana" w:cs="Arial"/>
          <w:sz w:val="12"/>
          <w:szCs w:val="12"/>
        </w:rPr>
        <w:footnoteRef/>
      </w:r>
      <w:r w:rsidRPr="00A3037F">
        <w:rPr>
          <w:rFonts w:ascii="Verdana" w:hAnsi="Verdana" w:cs="Arial"/>
          <w:sz w:val="12"/>
          <w:szCs w:val="12"/>
        </w:rPr>
        <w:t xml:space="preserve"> Es lo que sucede, por ejemplo, con el Decreto 092 de 2017, que en su desarrollo hace referencia tanto a los “contratos” como a los “convenios”. </w:t>
      </w:r>
    </w:p>
    <w:p w14:paraId="06F1B6EB" w14:textId="77777777" w:rsidR="009E0DB9" w:rsidRPr="00A3037F" w:rsidRDefault="009E0DB9" w:rsidP="009E0DB9">
      <w:pPr>
        <w:pStyle w:val="Textonotapie"/>
        <w:ind w:firstLine="709"/>
        <w:jc w:val="both"/>
        <w:rPr>
          <w:rFonts w:ascii="Verdana" w:hAnsi="Verdana" w:cs="Arial"/>
          <w:sz w:val="12"/>
          <w:szCs w:val="12"/>
        </w:rPr>
      </w:pPr>
    </w:p>
  </w:footnote>
  <w:footnote w:id="21">
    <w:p w14:paraId="020319B6" w14:textId="77777777" w:rsidR="009E0DB9" w:rsidRPr="00A3037F" w:rsidRDefault="009E0DB9" w:rsidP="009E0DB9">
      <w:pPr>
        <w:pStyle w:val="Textonotapie"/>
        <w:ind w:firstLine="709"/>
        <w:jc w:val="both"/>
        <w:rPr>
          <w:rFonts w:ascii="Verdana" w:hAnsi="Verdana" w:cs="Arial"/>
          <w:sz w:val="12"/>
          <w:szCs w:val="12"/>
          <w:lang w:val="pt-BR"/>
        </w:rPr>
      </w:pPr>
      <w:r w:rsidRPr="00A3037F">
        <w:rPr>
          <w:rStyle w:val="Refdenotaalpie"/>
          <w:rFonts w:ascii="Verdana" w:hAnsi="Verdana" w:cs="Arial"/>
          <w:sz w:val="12"/>
          <w:szCs w:val="12"/>
        </w:rPr>
        <w:footnoteRef/>
      </w:r>
      <w:r w:rsidRPr="00A3037F">
        <w:rPr>
          <w:rFonts w:ascii="Verdana" w:hAnsi="Verdana" w:cs="Arial"/>
          <w:sz w:val="12"/>
          <w:szCs w:val="12"/>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A3037F">
        <w:rPr>
          <w:rFonts w:ascii="Verdana" w:hAnsi="Verdana" w:cs="Arial"/>
          <w:sz w:val="12"/>
          <w:szCs w:val="12"/>
          <w:lang w:val="pt-BR"/>
        </w:rPr>
        <w:t>(Corte Constitucional. Sentencia C-671 de 2015. M.P. Alberto Rojas Ríos).</w:t>
      </w:r>
    </w:p>
    <w:p w14:paraId="4BFE0168" w14:textId="77777777" w:rsidR="009E0DB9" w:rsidRPr="00A3037F" w:rsidRDefault="009E0DB9" w:rsidP="009E0DB9">
      <w:pPr>
        <w:pStyle w:val="Textonotapie"/>
        <w:ind w:firstLine="709"/>
        <w:jc w:val="both"/>
        <w:rPr>
          <w:rFonts w:ascii="Verdana" w:hAnsi="Verdana" w:cs="Arial"/>
          <w:sz w:val="12"/>
          <w:szCs w:val="12"/>
          <w:lang w:val="pt-BR"/>
        </w:rPr>
      </w:pPr>
    </w:p>
  </w:footnote>
  <w:footnote w:id="22">
    <w:p w14:paraId="6A88C5A7" w14:textId="77777777" w:rsidR="009E0DB9" w:rsidRPr="00A3037F" w:rsidRDefault="009E0DB9" w:rsidP="009E0DB9">
      <w:pPr>
        <w:pStyle w:val="Textonotapie"/>
        <w:ind w:firstLine="709"/>
        <w:jc w:val="both"/>
        <w:rPr>
          <w:rFonts w:ascii="Verdana" w:hAnsi="Verdana" w:cs="Arial"/>
          <w:sz w:val="12"/>
          <w:szCs w:val="12"/>
          <w:lang w:val="es-CO"/>
        </w:rPr>
      </w:pPr>
      <w:r w:rsidRPr="00A3037F">
        <w:rPr>
          <w:rStyle w:val="Refdenotaalpie"/>
          <w:rFonts w:ascii="Verdana" w:hAnsi="Verdana"/>
          <w:sz w:val="12"/>
          <w:szCs w:val="12"/>
        </w:rPr>
        <w:footnoteRef/>
      </w:r>
      <w:r w:rsidRPr="00A3037F">
        <w:rPr>
          <w:rFonts w:ascii="Verdana" w:hAnsi="Verdana"/>
          <w:sz w:val="12"/>
          <w:szCs w:val="12"/>
          <w:lang w:val="es-CO"/>
        </w:rPr>
        <w:t xml:space="preserve"> </w:t>
      </w:r>
      <w:r w:rsidRPr="00A3037F">
        <w:rPr>
          <w:rFonts w:ascii="Verdana" w:hAnsi="Verdana" w:cs="Arial"/>
          <w:sz w:val="12"/>
          <w:szCs w:val="12"/>
          <w:lang w:val="es-CO"/>
        </w:rPr>
        <w:t>Consejo de Estado. Sala de lo Contencioso Administrativo. Sección Tercera. Auto del 4 de octubre de 2024. Exp. 70.313. C.P: Fredy Ibarra Martínez.</w:t>
      </w:r>
    </w:p>
    <w:p w14:paraId="1C138477" w14:textId="77777777" w:rsidR="009E0DB9" w:rsidRPr="00A3037F" w:rsidRDefault="009E0DB9" w:rsidP="009E0DB9">
      <w:pPr>
        <w:pStyle w:val="Textonotapie"/>
        <w:ind w:firstLine="709"/>
        <w:jc w:val="both"/>
        <w:rPr>
          <w:rFonts w:ascii="Verdana" w:hAnsi="Verdana"/>
          <w:sz w:val="12"/>
          <w:szCs w:val="12"/>
          <w:lang w:val="es-CO"/>
        </w:rPr>
      </w:pPr>
    </w:p>
  </w:footnote>
  <w:footnote w:id="23">
    <w:p w14:paraId="33CD992E" w14:textId="77777777" w:rsidR="009E0DB9" w:rsidRPr="00A3037F" w:rsidRDefault="009E0DB9" w:rsidP="009E0DB9">
      <w:pPr>
        <w:pStyle w:val="Textonotapie"/>
        <w:ind w:firstLine="709"/>
        <w:jc w:val="both"/>
        <w:rPr>
          <w:rFonts w:ascii="Verdana" w:hAnsi="Verdana"/>
          <w:sz w:val="12"/>
          <w:szCs w:val="12"/>
          <w:lang w:val="es-CO"/>
        </w:rPr>
      </w:pPr>
      <w:r w:rsidRPr="00A3037F">
        <w:rPr>
          <w:rStyle w:val="Refdenotaalpie"/>
          <w:rFonts w:ascii="Verdana" w:hAnsi="Verdana"/>
          <w:sz w:val="12"/>
          <w:szCs w:val="12"/>
        </w:rPr>
        <w:footnoteRef/>
      </w:r>
      <w:r w:rsidRPr="00A3037F">
        <w:rPr>
          <w:rFonts w:ascii="Verdana" w:hAnsi="Verdana"/>
          <w:sz w:val="12"/>
          <w:szCs w:val="12"/>
        </w:rPr>
        <w:t xml:space="preserve"> </w:t>
      </w:r>
      <w:r w:rsidRPr="00A3037F">
        <w:rPr>
          <w:rFonts w:ascii="Verdana" w:hAnsi="Verdana"/>
          <w:sz w:val="12"/>
          <w:szCs w:val="12"/>
          <w:lang w:val="es-ES"/>
        </w:rPr>
        <w:t xml:space="preserve">Ley 100 de 1993. </w:t>
      </w:r>
      <w:r w:rsidRPr="00A3037F">
        <w:rPr>
          <w:rFonts w:ascii="Verdana" w:hAnsi="Verdana"/>
          <w:b/>
          <w:bCs/>
          <w:sz w:val="12"/>
          <w:szCs w:val="12"/>
          <w:lang w:val="es-CO"/>
        </w:rPr>
        <w:t>ARTÍCULO</w:t>
      </w:r>
      <w:bookmarkStart w:id="5" w:name="194"/>
      <w:bookmarkEnd w:id="5"/>
      <w:r w:rsidRPr="00A3037F">
        <w:rPr>
          <w:rFonts w:ascii="Verdana" w:hAnsi="Verdana"/>
          <w:b/>
          <w:bCs/>
          <w:sz w:val="12"/>
          <w:szCs w:val="12"/>
          <w:lang w:val="es-CO"/>
        </w:rPr>
        <w:t> 194.</w:t>
      </w:r>
      <w:r w:rsidRPr="00A3037F">
        <w:rPr>
          <w:rFonts w:ascii="Verdana" w:hAnsi="Verdana"/>
          <w:sz w:val="12"/>
          <w:szCs w:val="12"/>
          <w:lang w:val="es-CO"/>
        </w:rPr>
        <w:t>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6" w:name="LPHit237"/>
      <w:bookmarkEnd w:id="6"/>
      <w:r w:rsidRPr="00A3037F">
        <w:rPr>
          <w:rFonts w:ascii="Verdana" w:hAnsi="Verdana"/>
          <w:sz w:val="12"/>
          <w:szCs w:val="12"/>
          <w:lang w:val="es-CO"/>
        </w:rPr>
        <w:t> Ley o por las asambleas o concejos, según el caso, sometidas al régimen jurídico previsto en este capítulo.</w:t>
      </w:r>
    </w:p>
    <w:p w14:paraId="717A4C47" w14:textId="77777777" w:rsidR="009E0DB9" w:rsidRPr="00A3037F" w:rsidRDefault="009E0DB9" w:rsidP="009E0DB9">
      <w:pPr>
        <w:pStyle w:val="Textonotapie"/>
        <w:ind w:firstLine="709"/>
        <w:jc w:val="both"/>
        <w:rPr>
          <w:rFonts w:ascii="Verdana" w:hAnsi="Verdana"/>
          <w:sz w:val="12"/>
          <w:szCs w:val="12"/>
          <w:lang w:val="es-ES"/>
        </w:rPr>
      </w:pPr>
    </w:p>
  </w:footnote>
  <w:footnote w:id="24">
    <w:p w14:paraId="7BCD4670" w14:textId="77777777" w:rsidR="009E0DB9" w:rsidRPr="00A3037F" w:rsidRDefault="009E0DB9" w:rsidP="009E0DB9">
      <w:pPr>
        <w:pStyle w:val="Textonotapie"/>
        <w:ind w:firstLine="708"/>
        <w:contextualSpacing/>
        <w:jc w:val="both"/>
        <w:rPr>
          <w:rFonts w:ascii="Verdana" w:hAnsi="Verdana" w:cs="Arial"/>
          <w:color w:val="000000"/>
          <w:sz w:val="12"/>
          <w:szCs w:val="12"/>
          <w:lang w:val="es-CO"/>
        </w:rPr>
      </w:pPr>
      <w:r w:rsidRPr="00A3037F">
        <w:rPr>
          <w:rStyle w:val="Refdenotaalpie"/>
          <w:rFonts w:ascii="Verdana" w:hAnsi="Verdana" w:cs="Arial"/>
          <w:color w:val="000000"/>
          <w:sz w:val="12"/>
          <w:szCs w:val="12"/>
          <w:lang w:val="es-CO"/>
        </w:rPr>
        <w:footnoteRef/>
      </w:r>
      <w:r w:rsidRPr="00A3037F">
        <w:rPr>
          <w:rFonts w:ascii="Verdana" w:hAnsi="Verdana" w:cs="Arial"/>
          <w:color w:val="000000"/>
          <w:sz w:val="12"/>
          <w:szCs w:val="12"/>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p w14:paraId="0D142044" w14:textId="77777777" w:rsidR="009E0DB9" w:rsidRPr="00A3037F" w:rsidRDefault="009E0DB9" w:rsidP="009E0DB9">
      <w:pPr>
        <w:pStyle w:val="Textonotapie"/>
        <w:ind w:firstLine="708"/>
        <w:contextualSpacing/>
        <w:jc w:val="both"/>
        <w:rPr>
          <w:rFonts w:ascii="Verdana" w:hAnsi="Verdana" w:cs="Arial"/>
          <w:color w:val="000000"/>
          <w:sz w:val="12"/>
          <w:szCs w:val="12"/>
          <w:lang w:val="es-CO"/>
        </w:rPr>
      </w:pPr>
    </w:p>
  </w:footnote>
  <w:footnote w:id="25">
    <w:p w14:paraId="582681A1" w14:textId="77777777" w:rsidR="009E0DB9" w:rsidRPr="00A3037F" w:rsidRDefault="009E0DB9" w:rsidP="009E0DB9">
      <w:pPr>
        <w:pStyle w:val="Textonotapie"/>
        <w:ind w:firstLine="708"/>
        <w:contextualSpacing/>
        <w:jc w:val="both"/>
        <w:rPr>
          <w:rFonts w:ascii="Verdana" w:hAnsi="Verdana" w:cs="Arial"/>
          <w:color w:val="000000"/>
          <w:sz w:val="12"/>
          <w:szCs w:val="12"/>
          <w:lang w:val="es-CO"/>
        </w:rPr>
      </w:pPr>
      <w:r w:rsidRPr="00A3037F">
        <w:rPr>
          <w:rStyle w:val="Refdenotaalpie"/>
          <w:rFonts w:ascii="Verdana" w:hAnsi="Verdana" w:cs="Arial"/>
          <w:color w:val="000000"/>
          <w:sz w:val="12"/>
          <w:szCs w:val="12"/>
          <w:lang w:val="es-CO"/>
        </w:rPr>
        <w:footnoteRef/>
      </w:r>
      <w:r w:rsidRPr="00A3037F">
        <w:rPr>
          <w:rFonts w:ascii="Verdana" w:hAnsi="Verdana" w:cs="Arial"/>
          <w:color w:val="000000"/>
          <w:sz w:val="12"/>
          <w:szCs w:val="12"/>
          <w:lang w:val="es-CO"/>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A3037F">
        <w:rPr>
          <w:rFonts w:ascii="Verdana" w:hAnsi="Verdana" w:cs="Arial"/>
          <w:i/>
          <w:iCs/>
          <w:color w:val="000000"/>
          <w:sz w:val="12"/>
          <w:szCs w:val="12"/>
          <w:lang w:val="es-CO"/>
        </w:rPr>
        <w:t>y todas aquellas entidades que de acuerdo con la ley ejerzan funciones de vigilancia y control sanitario</w:t>
      </w:r>
      <w:r w:rsidRPr="00A3037F">
        <w:rPr>
          <w:rFonts w:ascii="Verdana" w:hAnsi="Verdana" w:cs="Arial"/>
          <w:color w:val="000000"/>
          <w:sz w:val="12"/>
          <w:szCs w:val="12"/>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5847EEC7" w14:textId="77777777" w:rsidR="009E0DB9" w:rsidRPr="00A3037F" w:rsidRDefault="009E0DB9" w:rsidP="009E0DB9">
      <w:pPr>
        <w:pStyle w:val="Textonotapie"/>
        <w:ind w:firstLine="708"/>
        <w:contextualSpacing/>
        <w:jc w:val="both"/>
        <w:rPr>
          <w:rFonts w:ascii="Verdana" w:hAnsi="Verdana" w:cs="Arial"/>
          <w:color w:val="000000"/>
          <w:sz w:val="12"/>
          <w:szCs w:val="12"/>
          <w:lang w:val="es-CO"/>
        </w:rPr>
      </w:pPr>
    </w:p>
  </w:footnote>
  <w:footnote w:id="26">
    <w:p w14:paraId="5AA03AB5" w14:textId="77777777" w:rsidR="009E0DB9" w:rsidRPr="00A3037F" w:rsidRDefault="009E0DB9" w:rsidP="009E0DB9">
      <w:pPr>
        <w:pStyle w:val="Textonotapie"/>
        <w:ind w:firstLine="708"/>
        <w:contextualSpacing/>
        <w:jc w:val="both"/>
        <w:rPr>
          <w:rFonts w:ascii="Verdana" w:hAnsi="Verdana"/>
          <w:sz w:val="12"/>
          <w:szCs w:val="12"/>
          <w:lang w:val="es-CO"/>
        </w:rPr>
      </w:pPr>
      <w:r w:rsidRPr="00A3037F">
        <w:rPr>
          <w:rStyle w:val="Refdenotaalpie"/>
          <w:rFonts w:ascii="Verdana" w:hAnsi="Verdana"/>
          <w:sz w:val="12"/>
          <w:szCs w:val="12"/>
          <w:lang w:val="es-CO"/>
        </w:rPr>
        <w:footnoteRef/>
      </w:r>
      <w:r w:rsidRPr="00A3037F">
        <w:rPr>
          <w:rFonts w:ascii="Verdana" w:hAnsi="Verdana"/>
          <w:sz w:val="12"/>
          <w:szCs w:val="12"/>
          <w:lang w:val="es-CO"/>
        </w:rPr>
        <w:t xml:space="preserve"> Consejo de Estado. Sala de Consulta y Servicio Civil. Concepto del 12 de junio de 2018. Radicación: 11001-03-06-000-2018-0043-00. (2371). Consejero Ponente: Oscar Darío Amaya Navas. </w:t>
      </w:r>
    </w:p>
    <w:p w14:paraId="4FF9199B" w14:textId="77777777" w:rsidR="009E0DB9" w:rsidRPr="00A3037F" w:rsidRDefault="009E0DB9" w:rsidP="009E0DB9">
      <w:pPr>
        <w:pStyle w:val="Textonotapie"/>
        <w:contextualSpacing/>
        <w:jc w:val="both"/>
        <w:rPr>
          <w:rFonts w:ascii="Verdana" w:hAnsi="Verdana"/>
          <w:sz w:val="12"/>
          <w:szCs w:val="12"/>
          <w:lang w:val="es-CO"/>
        </w:rPr>
      </w:pPr>
    </w:p>
  </w:footnote>
  <w:footnote w:id="27">
    <w:p w14:paraId="22581FB5" w14:textId="77777777" w:rsidR="009E0DB9" w:rsidRPr="00A3037F" w:rsidRDefault="009E0DB9" w:rsidP="009E0DB9">
      <w:pPr>
        <w:pStyle w:val="Textonotapie"/>
        <w:ind w:firstLine="708"/>
        <w:contextualSpacing/>
        <w:rPr>
          <w:rFonts w:ascii="Verdana" w:hAnsi="Verdana"/>
          <w:sz w:val="12"/>
          <w:szCs w:val="12"/>
          <w:lang w:val="es-CO"/>
        </w:rPr>
      </w:pPr>
      <w:r w:rsidRPr="00A3037F">
        <w:rPr>
          <w:rStyle w:val="Refdenotaalpie"/>
          <w:rFonts w:ascii="Verdana" w:hAnsi="Verdana"/>
          <w:sz w:val="12"/>
          <w:szCs w:val="12"/>
          <w:lang w:val="es-CO"/>
        </w:rPr>
        <w:footnoteRef/>
      </w:r>
      <w:r w:rsidRPr="00A3037F">
        <w:rPr>
          <w:rFonts w:ascii="Verdana" w:hAnsi="Verdana"/>
          <w:sz w:val="12"/>
          <w:szCs w:val="12"/>
          <w:lang w:val="es-CO"/>
        </w:rPr>
        <w:t xml:space="preserve"> Ibidem.</w:t>
      </w:r>
    </w:p>
    <w:p w14:paraId="29C538C6" w14:textId="77777777" w:rsidR="009E0DB9" w:rsidRPr="00A3037F" w:rsidRDefault="009E0DB9" w:rsidP="009E0DB9">
      <w:pPr>
        <w:pStyle w:val="Textonotapie"/>
        <w:ind w:firstLine="708"/>
        <w:contextualSpacing/>
        <w:rPr>
          <w:rFonts w:ascii="Verdana" w:hAnsi="Verdana"/>
          <w:sz w:val="12"/>
          <w:szCs w:val="12"/>
          <w:lang w:val="es-CO"/>
        </w:rPr>
      </w:pPr>
    </w:p>
  </w:footnote>
  <w:footnote w:id="28">
    <w:p w14:paraId="0E1FCB7D" w14:textId="77777777" w:rsidR="009E0DB9" w:rsidRPr="00A3037F" w:rsidRDefault="009E0DB9" w:rsidP="009E0DB9">
      <w:pPr>
        <w:pStyle w:val="Textonotapie"/>
        <w:ind w:firstLine="709"/>
        <w:jc w:val="both"/>
        <w:rPr>
          <w:rFonts w:ascii="Verdana" w:hAnsi="Verdana"/>
          <w:color w:val="000000"/>
          <w:sz w:val="12"/>
          <w:szCs w:val="12"/>
          <w:lang w:val="es-CO"/>
        </w:rPr>
      </w:pPr>
      <w:r w:rsidRPr="00A3037F">
        <w:rPr>
          <w:rStyle w:val="Refdenotaalpie"/>
          <w:rFonts w:ascii="Verdana" w:hAnsi="Verdana"/>
          <w:color w:val="000000"/>
          <w:sz w:val="12"/>
          <w:szCs w:val="12"/>
        </w:rPr>
        <w:footnoteRef/>
      </w:r>
      <w:r w:rsidRPr="00A3037F">
        <w:rPr>
          <w:rFonts w:ascii="Verdana" w:hAnsi="Verdana"/>
          <w:color w:val="000000"/>
          <w:sz w:val="12"/>
          <w:szCs w:val="12"/>
        </w:rPr>
        <w:t xml:space="preserve"> Resolución 1597 de 2025. </w:t>
      </w:r>
      <w:r w:rsidRPr="00A3037F">
        <w:rPr>
          <w:rFonts w:ascii="Verdana" w:hAnsi="Verdana"/>
          <w:b/>
          <w:bCs/>
          <w:color w:val="000000"/>
          <w:sz w:val="12"/>
          <w:szCs w:val="12"/>
          <w:lang w:val="es-CO"/>
        </w:rPr>
        <w:t>Artículo</w:t>
      </w:r>
      <w:r w:rsidRPr="00A3037F">
        <w:rPr>
          <w:rFonts w:ascii="Verdana" w:hAnsi="Verdana"/>
          <w:color w:val="000000"/>
          <w:sz w:val="12"/>
          <w:szCs w:val="12"/>
          <w:lang w:val="es-CO"/>
        </w:rPr>
        <w:t> </w:t>
      </w:r>
      <w:r w:rsidRPr="00A3037F">
        <w:rPr>
          <w:rFonts w:ascii="Verdana" w:hAnsi="Verdana"/>
          <w:b/>
          <w:bCs/>
          <w:color w:val="000000"/>
          <w:sz w:val="12"/>
          <w:szCs w:val="12"/>
          <w:lang w:val="es-CO"/>
        </w:rPr>
        <w:t>10. </w:t>
      </w:r>
      <w:r w:rsidRPr="00A3037F">
        <w:rPr>
          <w:rFonts w:ascii="Verdana" w:hAnsi="Verdana"/>
          <w:b/>
          <w:bCs/>
          <w:i/>
          <w:iCs/>
          <w:color w:val="000000"/>
          <w:sz w:val="12"/>
          <w:szCs w:val="12"/>
          <w:lang w:val="es-CO"/>
        </w:rPr>
        <w:t>Definición</w:t>
      </w:r>
      <w:r w:rsidRPr="00A3037F">
        <w:rPr>
          <w:rFonts w:ascii="Verdana" w:hAnsi="Verdana"/>
          <w:b/>
          <w:bCs/>
          <w:color w:val="000000"/>
          <w:sz w:val="12"/>
          <w:szCs w:val="12"/>
          <w:lang w:val="es-CO"/>
        </w:rPr>
        <w:t>.</w:t>
      </w:r>
      <w:r w:rsidRPr="00A3037F">
        <w:rPr>
          <w:rFonts w:ascii="Verdana" w:hAnsi="Verdana"/>
          <w:color w:val="000000"/>
          <w:sz w:val="12"/>
          <w:szCs w:val="12"/>
          <w:lang w:val="es-CO"/>
        </w:rPr>
        <w:t> Conjunto de intervenciones, procedimientos o actividades de carácter gratuito, dirigidas a la población y materializadas a través de los entornos de vida cotidiana en función de las características, necesidades y potencialidades de salud en cada territorio y microterritorio.</w:t>
      </w:r>
    </w:p>
    <w:p w14:paraId="74CE3FCA" w14:textId="77777777" w:rsidR="009E0DB9" w:rsidRPr="00A3037F" w:rsidRDefault="009E0DB9" w:rsidP="009E0DB9">
      <w:pPr>
        <w:pStyle w:val="Textonotapie"/>
        <w:ind w:firstLine="709"/>
        <w:jc w:val="both"/>
        <w:rPr>
          <w:rFonts w:ascii="Verdana" w:hAnsi="Verdana"/>
          <w:color w:val="000000"/>
          <w:sz w:val="12"/>
          <w:szCs w:val="12"/>
          <w:lang w:val="es-CO"/>
        </w:rPr>
      </w:pPr>
      <w:r w:rsidRPr="00A3037F">
        <w:rPr>
          <w:rFonts w:ascii="Verdana" w:hAnsi="Verdana"/>
          <w:b/>
          <w:bCs/>
          <w:color w:val="000000"/>
          <w:sz w:val="12"/>
          <w:szCs w:val="12"/>
          <w:lang w:val="es-CO"/>
        </w:rPr>
        <w:t>Parágrafo.</w:t>
      </w:r>
      <w:r w:rsidRPr="00A3037F">
        <w:rPr>
          <w:rFonts w:ascii="Verdana" w:hAnsi="Verdana"/>
          <w:color w:val="000000"/>
          <w:sz w:val="12"/>
          <w:szCs w:val="12"/>
          <w:lang w:val="es-CO"/>
        </w:rPr>
        <w:t> Las intervenciones colectivas corresponden a las señaladas en el numeral 3.2 del Capítulo 3 del Anexo I </w:t>
      </w:r>
      <w:r w:rsidRPr="00A3037F">
        <w:rPr>
          <w:rFonts w:ascii="Verdana" w:hAnsi="Verdana"/>
          <w:i/>
          <w:iCs/>
          <w:color w:val="000000"/>
          <w:sz w:val="12"/>
          <w:szCs w:val="12"/>
          <w:lang w:val="es-CO"/>
        </w:rPr>
        <w:t>“LINEAMIENTO TÉCNICO Y OPERATIVO RUTA INTEGRAL DE ATENCIÓN PARA LA PROMOCIÓN Y MANTENIMIENTO DE LA SALUD”</w:t>
      </w:r>
      <w:r w:rsidRPr="00A3037F">
        <w:rPr>
          <w:rFonts w:ascii="Verdana" w:hAnsi="Verdana"/>
          <w:color w:val="000000"/>
          <w:sz w:val="12"/>
          <w:szCs w:val="12"/>
          <w:lang w:val="es-CO"/>
        </w:rPr>
        <w:t> de la Resolución </w:t>
      </w:r>
      <w:hyperlink r:id="rId1" w:history="1">
        <w:r w:rsidRPr="00A3037F">
          <w:rPr>
            <w:rStyle w:val="Hipervnculo"/>
            <w:rFonts w:ascii="Verdana" w:hAnsi="Verdana"/>
            <w:color w:val="000000"/>
            <w:sz w:val="12"/>
            <w:szCs w:val="12"/>
            <w:lang w:val="es-CO"/>
          </w:rPr>
          <w:t>3280</w:t>
        </w:r>
      </w:hyperlink>
      <w:r w:rsidRPr="00A3037F">
        <w:rPr>
          <w:rFonts w:ascii="Verdana" w:hAnsi="Verdana"/>
          <w:color w:val="000000"/>
          <w:sz w:val="12"/>
          <w:szCs w:val="12"/>
          <w:lang w:val="es-CO"/>
        </w:rPr>
        <w:t> de 2018 o la norma que la modifique o sustituya.</w:t>
      </w:r>
    </w:p>
    <w:p w14:paraId="2772303B" w14:textId="77777777" w:rsidR="009E0DB9" w:rsidRPr="00A3037F" w:rsidRDefault="009E0DB9" w:rsidP="009E0DB9">
      <w:pPr>
        <w:pStyle w:val="Textonotapie"/>
        <w:rPr>
          <w:sz w:val="12"/>
          <w:szCs w:val="12"/>
          <w:lang w:val="es-ES"/>
        </w:rPr>
      </w:pPr>
    </w:p>
  </w:footnote>
  <w:footnote w:id="29">
    <w:p w14:paraId="62B1070C" w14:textId="77777777" w:rsidR="009E0DB9" w:rsidRPr="00A3037F" w:rsidRDefault="009E0DB9" w:rsidP="009E0DB9">
      <w:pPr>
        <w:pStyle w:val="Textonotapie"/>
        <w:ind w:firstLine="709"/>
        <w:jc w:val="both"/>
        <w:rPr>
          <w:rFonts w:ascii="Verdana" w:hAnsi="Verdana"/>
          <w:sz w:val="12"/>
          <w:szCs w:val="12"/>
          <w:lang w:val="es-CO"/>
        </w:rPr>
      </w:pPr>
      <w:r w:rsidRPr="00A3037F">
        <w:rPr>
          <w:rStyle w:val="Refdenotaalpie"/>
          <w:rFonts w:ascii="Verdana" w:hAnsi="Verdana"/>
          <w:sz w:val="12"/>
          <w:szCs w:val="12"/>
        </w:rPr>
        <w:footnoteRef/>
      </w:r>
      <w:r w:rsidRPr="00A3037F">
        <w:rPr>
          <w:rFonts w:ascii="Verdana" w:hAnsi="Verdana"/>
          <w:sz w:val="12"/>
          <w:szCs w:val="12"/>
        </w:rPr>
        <w:t xml:space="preserve"> </w:t>
      </w:r>
      <w:r w:rsidRPr="00A3037F">
        <w:rPr>
          <w:rFonts w:ascii="Verdana" w:hAnsi="Verdana"/>
          <w:color w:val="000000"/>
          <w:sz w:val="12"/>
          <w:szCs w:val="12"/>
        </w:rPr>
        <w:t xml:space="preserve">Resolución 1597 de 2025. </w:t>
      </w:r>
      <w:r w:rsidRPr="00A3037F">
        <w:rPr>
          <w:rFonts w:ascii="Verdana" w:hAnsi="Verdana"/>
          <w:b/>
          <w:bCs/>
          <w:sz w:val="12"/>
          <w:szCs w:val="12"/>
          <w:lang w:val="es-CO"/>
        </w:rPr>
        <w:t>Artículo</w:t>
      </w:r>
      <w:r w:rsidRPr="00A3037F">
        <w:rPr>
          <w:rFonts w:ascii="Verdana" w:hAnsi="Verdana"/>
          <w:sz w:val="12"/>
          <w:szCs w:val="12"/>
          <w:lang w:val="es-CO"/>
        </w:rPr>
        <w:t> </w:t>
      </w:r>
      <w:r w:rsidRPr="00A3037F">
        <w:rPr>
          <w:rFonts w:ascii="Verdana" w:hAnsi="Verdana"/>
          <w:b/>
          <w:bCs/>
          <w:sz w:val="12"/>
          <w:szCs w:val="12"/>
          <w:lang w:val="es-CO"/>
        </w:rPr>
        <w:t>12. </w:t>
      </w:r>
      <w:r w:rsidRPr="00A3037F">
        <w:rPr>
          <w:rFonts w:ascii="Verdana" w:hAnsi="Verdana"/>
          <w:b/>
          <w:bCs/>
          <w:i/>
          <w:iCs/>
          <w:sz w:val="12"/>
          <w:szCs w:val="12"/>
          <w:lang w:val="es-CO"/>
        </w:rPr>
        <w:t>Implementación del Plan de Salud Pública de Intervenciones Colectivas.</w:t>
      </w:r>
      <w:r w:rsidRPr="00A3037F">
        <w:rPr>
          <w:rFonts w:ascii="Verdana" w:hAnsi="Verdana"/>
          <w:sz w:val="12"/>
          <w:szCs w:val="12"/>
          <w:lang w:val="es-CO"/>
        </w:rPr>
        <w:t> Las Entidades Territoriales de los órdenes departamental, distrital y municipal, o las entidades que hagan sus veces, implementarán el plan de Salud Pública de Intervenciones Colectivas, conforme con lo siguiente:</w:t>
      </w:r>
    </w:p>
    <w:p w14:paraId="3C68395E"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056D951B"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57FDEAFF"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12.3. El plan de Salud Pública de Intervenciones Colectivas será implementado a través de Equipos Básicos de Salud, que desarrollarán las acciones colectivas establecidas en la normativa vigente, en los diferentes entornos de la vida cotidiana.</w:t>
      </w:r>
    </w:p>
    <w:p w14:paraId="432D2FB3"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378BB18E"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A3037F">
        <w:rPr>
          <w:rFonts w:ascii="Verdana" w:hAnsi="Verdana"/>
          <w:color w:val="000000"/>
          <w:sz w:val="12"/>
          <w:szCs w:val="12"/>
          <w:lang w:val="es-CO"/>
        </w:rPr>
        <w:t>número </w:t>
      </w:r>
      <w:hyperlink r:id="rId2" w:history="1">
        <w:r w:rsidRPr="00A3037F">
          <w:rPr>
            <w:rStyle w:val="Hipervnculo"/>
            <w:rFonts w:ascii="Verdana" w:hAnsi="Verdana"/>
            <w:color w:val="000000"/>
            <w:sz w:val="12"/>
            <w:szCs w:val="12"/>
            <w:lang w:val="es-CO"/>
          </w:rPr>
          <w:t>1751</w:t>
        </w:r>
      </w:hyperlink>
      <w:r w:rsidRPr="00A3037F">
        <w:rPr>
          <w:rFonts w:ascii="Verdana" w:hAnsi="Verdana"/>
          <w:color w:val="000000"/>
          <w:sz w:val="12"/>
          <w:szCs w:val="12"/>
          <w:lang w:val="es-CO"/>
        </w:rPr>
        <w:t> de 2</w:t>
      </w:r>
      <w:r w:rsidRPr="00A3037F">
        <w:rPr>
          <w:rFonts w:ascii="Verdana" w:hAnsi="Verdana"/>
          <w:sz w:val="12"/>
          <w:szCs w:val="12"/>
          <w:lang w:val="es-CO"/>
        </w:rPr>
        <w:t>015 o la norma que la modifique, asegurando la ejecución de la totalidad de recursos asignados.</w:t>
      </w:r>
    </w:p>
    <w:p w14:paraId="05277207"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554E1710"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2FD79436"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7C5D9575"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2D3BB266"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6637C77F"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04ED482E"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12.12. Excepcionalmente, cuando la entidad territorial de los órdenes departamental, distrital o municipal no cuente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1DF6B58D"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 xml:space="preserve">12.13. Las entidades territoriales de los órdenes departamental, distrital y municipal que celebren acuerdos de voluntades para las intervenciones colectivas deberán dar cumplimiento a lo establecido en el Decreto </w:t>
      </w:r>
      <w:r w:rsidRPr="00A3037F">
        <w:rPr>
          <w:rFonts w:ascii="Verdana" w:hAnsi="Verdana"/>
          <w:color w:val="000000"/>
          <w:sz w:val="12"/>
          <w:szCs w:val="12"/>
          <w:lang w:val="es-CO"/>
        </w:rPr>
        <w:t>número </w:t>
      </w:r>
      <w:hyperlink r:id="rId3" w:history="1">
        <w:r w:rsidRPr="00A3037F">
          <w:rPr>
            <w:rStyle w:val="Hipervnculo"/>
            <w:rFonts w:ascii="Verdana" w:hAnsi="Verdana"/>
            <w:color w:val="000000"/>
            <w:sz w:val="12"/>
            <w:szCs w:val="12"/>
            <w:lang w:val="es-CO"/>
          </w:rPr>
          <w:t>441</w:t>
        </w:r>
      </w:hyperlink>
      <w:r w:rsidRPr="00A3037F">
        <w:rPr>
          <w:rFonts w:ascii="Verdana" w:hAnsi="Verdana"/>
          <w:color w:val="000000"/>
          <w:sz w:val="12"/>
          <w:szCs w:val="12"/>
          <w:lang w:val="es-CO"/>
        </w:rPr>
        <w:t> de 20</w:t>
      </w:r>
      <w:r w:rsidRPr="00A3037F">
        <w:rPr>
          <w:rFonts w:ascii="Verdana" w:hAnsi="Verdana"/>
          <w:sz w:val="12"/>
          <w:szCs w:val="12"/>
          <w:lang w:val="es-CO"/>
        </w:rPr>
        <w:t>22 y Resolución número 2336 de 2023 o las normas que lo modifiquen o deroguen. </w:t>
      </w:r>
    </w:p>
    <w:p w14:paraId="1C9F957A"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31362617"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055FFFC0"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sz w:val="12"/>
          <w:szCs w:val="12"/>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4EE30F7D" w14:textId="77777777" w:rsidR="009E0DB9" w:rsidRPr="00A3037F" w:rsidRDefault="009E0DB9" w:rsidP="009E0DB9">
      <w:pPr>
        <w:pStyle w:val="Textonotapie"/>
        <w:ind w:firstLine="709"/>
        <w:jc w:val="both"/>
        <w:rPr>
          <w:rFonts w:ascii="Verdana" w:hAnsi="Verdana"/>
          <w:sz w:val="12"/>
          <w:szCs w:val="12"/>
          <w:lang w:val="es-CO"/>
        </w:rPr>
      </w:pPr>
      <w:r w:rsidRPr="00A3037F">
        <w:rPr>
          <w:rFonts w:ascii="Verdana" w:hAnsi="Verdana"/>
          <w:b/>
          <w:bCs/>
          <w:sz w:val="12"/>
          <w:szCs w:val="12"/>
          <w:lang w:val="es-CO"/>
        </w:rPr>
        <w:t>Parágrafo.</w:t>
      </w:r>
      <w:r w:rsidRPr="00A3037F">
        <w:rPr>
          <w:rFonts w:ascii="Verdana" w:hAnsi="Verdana"/>
          <w:sz w:val="12"/>
          <w:szCs w:val="12"/>
          <w:lang w:val="es-CO"/>
        </w:rPr>
        <w:t> Este Ministerio reglamentará las condiciones que deben cumplir las organizaciones de base comunitaria, sin ánimo de lucro, para el desarrollo de las actividades de abordaje comunitario.</w:t>
      </w:r>
    </w:p>
    <w:p w14:paraId="77D604B9" w14:textId="77777777" w:rsidR="009E0DB9" w:rsidRPr="00A3037F" w:rsidRDefault="009E0DB9" w:rsidP="009E0DB9">
      <w:pPr>
        <w:pStyle w:val="Textonotapie"/>
        <w:rPr>
          <w:sz w:val="12"/>
          <w:szCs w:val="12"/>
          <w:lang w:val="es-ES"/>
        </w:rPr>
      </w:pPr>
    </w:p>
  </w:footnote>
  <w:footnote w:id="30">
    <w:p w14:paraId="688036FF" w14:textId="77777777" w:rsidR="009E0DB9" w:rsidRPr="00A3037F" w:rsidRDefault="009E0DB9" w:rsidP="009E0DB9">
      <w:pPr>
        <w:pStyle w:val="Textonotapie"/>
        <w:ind w:firstLine="708"/>
        <w:contextualSpacing/>
        <w:rPr>
          <w:rFonts w:ascii="Verdana" w:hAnsi="Verdana"/>
          <w:sz w:val="12"/>
          <w:szCs w:val="12"/>
          <w:lang w:val="es-CO"/>
        </w:rPr>
      </w:pPr>
      <w:r w:rsidRPr="00A3037F">
        <w:rPr>
          <w:rStyle w:val="Refdenotaalpie"/>
          <w:rFonts w:ascii="Verdana" w:hAnsi="Verdana"/>
          <w:sz w:val="12"/>
          <w:szCs w:val="12"/>
          <w:lang w:val="es-CO"/>
        </w:rPr>
        <w:footnoteRef/>
      </w:r>
      <w:r w:rsidRPr="00A3037F">
        <w:rPr>
          <w:rFonts w:ascii="Verdana" w:hAnsi="Verdana"/>
          <w:sz w:val="12"/>
          <w:szCs w:val="12"/>
          <w:lang w:val="es-CO"/>
        </w:rPr>
        <w:t xml:space="preserve"> </w:t>
      </w:r>
      <w:r w:rsidRPr="00A3037F">
        <w:rPr>
          <w:rFonts w:ascii="Verdana" w:hAnsi="Verdana" w:cs="Arial"/>
          <w:sz w:val="12"/>
          <w:szCs w:val="12"/>
          <w:lang w:val="es-CO"/>
        </w:rPr>
        <w:t>M</w:t>
      </w:r>
      <w:r w:rsidRPr="00A3037F">
        <w:rPr>
          <w:rFonts w:ascii="Verdana" w:hAnsi="Verdana"/>
          <w:sz w:val="12"/>
          <w:szCs w:val="12"/>
          <w:lang w:val="es-CO"/>
        </w:rPr>
        <w:t>i</w:t>
      </w:r>
      <w:r w:rsidRPr="00A3037F">
        <w:rPr>
          <w:rFonts w:ascii="Verdana" w:hAnsi="Verdana" w:cs="Arial"/>
          <w:sz w:val="12"/>
          <w:szCs w:val="12"/>
          <w:lang w:val="es-CO"/>
        </w:rPr>
        <w:t>nisterio de Salud y Protección Social. Resolución 04 del 12 de Enero de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AD657" w14:textId="77777777" w:rsidR="009E0DB9" w:rsidRDefault="009E0DB9"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47013E3F" wp14:editId="15BDCF62">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DC99A93" wp14:editId="2A3BC72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58D8B32" w14:textId="77777777" w:rsidR="009E0DB9" w:rsidRDefault="009E0DB9">
    <w:pPr>
      <w:pStyle w:val="Encabezado"/>
    </w:pPr>
  </w:p>
  <w:p w14:paraId="7221AA7E" w14:textId="77777777" w:rsidR="009E0DB9" w:rsidRPr="004A305D" w:rsidRDefault="009E0DB9" w:rsidP="00B01B1A">
    <w:pPr>
      <w:spacing w:after="0" w:line="120" w:lineRule="auto"/>
      <w:rPr>
        <w:rFonts w:ascii="Century Gothic" w:eastAsia="Geo" w:hAnsi="Century Gothic" w:cs="Geo"/>
        <w:sz w:val="16"/>
        <w:szCs w:val="16"/>
        <w:lang w:eastAsia="es-CO"/>
      </w:rPr>
    </w:pPr>
  </w:p>
  <w:p w14:paraId="10969FDC" w14:textId="77777777" w:rsidR="009E0DB9" w:rsidRDefault="009E0DB9" w:rsidP="00844AE9">
    <w:pPr>
      <w:spacing w:after="0" w:line="240" w:lineRule="auto"/>
      <w:rPr>
        <w:rFonts w:ascii="Verdana" w:hAnsi="Verdana"/>
        <w:sz w:val="24"/>
        <w:szCs w:val="24"/>
      </w:rPr>
    </w:pPr>
  </w:p>
  <w:p w14:paraId="7D7F669A" w14:textId="77777777" w:rsidR="009E0DB9" w:rsidRPr="00C925AC" w:rsidRDefault="009E0DB9" w:rsidP="00844AE9">
    <w:pPr>
      <w:spacing w:after="0" w:line="240" w:lineRule="auto"/>
      <w:rPr>
        <w:rFonts w:ascii="Verdana" w:hAnsi="Verdana"/>
        <w:sz w:val="24"/>
        <w:szCs w:val="24"/>
      </w:rPr>
    </w:pPr>
  </w:p>
  <w:p w14:paraId="1B901E2E" w14:textId="77777777" w:rsidR="009E0DB9" w:rsidRPr="00C925AC" w:rsidRDefault="009E0DB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DB9"/>
    <w:rsid w:val="00172F2F"/>
    <w:rsid w:val="00342FE4"/>
    <w:rsid w:val="005312D7"/>
    <w:rsid w:val="005727E1"/>
    <w:rsid w:val="005818E2"/>
    <w:rsid w:val="0087106E"/>
    <w:rsid w:val="00883DCB"/>
    <w:rsid w:val="008E5C2E"/>
    <w:rsid w:val="008E6168"/>
    <w:rsid w:val="00905D4E"/>
    <w:rsid w:val="009E0DB9"/>
    <w:rsid w:val="00A3037F"/>
    <w:rsid w:val="00C40E8F"/>
    <w:rsid w:val="00C564D8"/>
    <w:rsid w:val="00C82D92"/>
    <w:rsid w:val="00CB05D4"/>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EC1F6"/>
  <w15:chartTrackingRefBased/>
  <w15:docId w15:val="{C3987089-62C8-416A-85F5-C633572A9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E0D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E0D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E0DB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E0DB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E0DB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E0DB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E0DB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E0DB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E0DB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E0DB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E0DB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E0DB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E0DB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E0DB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E0DB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E0DB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E0DB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E0DB9"/>
    <w:rPr>
      <w:rFonts w:eastAsiaTheme="majorEastAsia" w:cstheme="majorBidi"/>
      <w:color w:val="272727" w:themeColor="text1" w:themeTint="D8"/>
    </w:rPr>
  </w:style>
  <w:style w:type="paragraph" w:styleId="Ttulo">
    <w:name w:val="Title"/>
    <w:basedOn w:val="Normal"/>
    <w:next w:val="Normal"/>
    <w:link w:val="TtuloCar"/>
    <w:uiPriority w:val="10"/>
    <w:qFormat/>
    <w:rsid w:val="009E0D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E0DB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E0DB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E0DB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E0DB9"/>
    <w:pPr>
      <w:spacing w:before="160"/>
      <w:jc w:val="center"/>
    </w:pPr>
    <w:rPr>
      <w:i/>
      <w:iCs/>
      <w:color w:val="404040" w:themeColor="text1" w:themeTint="BF"/>
    </w:rPr>
  </w:style>
  <w:style w:type="character" w:customStyle="1" w:styleId="CitaCar">
    <w:name w:val="Cita Car"/>
    <w:basedOn w:val="Fuentedeprrafopredeter"/>
    <w:link w:val="Cita"/>
    <w:uiPriority w:val="29"/>
    <w:rsid w:val="009E0DB9"/>
    <w:rPr>
      <w:i/>
      <w:iCs/>
      <w:color w:val="404040" w:themeColor="text1" w:themeTint="BF"/>
    </w:rPr>
  </w:style>
  <w:style w:type="paragraph" w:styleId="Prrafodelista">
    <w:name w:val="List Paragraph"/>
    <w:basedOn w:val="Normal"/>
    <w:uiPriority w:val="34"/>
    <w:qFormat/>
    <w:rsid w:val="009E0DB9"/>
    <w:pPr>
      <w:ind w:left="720"/>
      <w:contextualSpacing/>
    </w:pPr>
  </w:style>
  <w:style w:type="character" w:styleId="nfasisintenso">
    <w:name w:val="Intense Emphasis"/>
    <w:basedOn w:val="Fuentedeprrafopredeter"/>
    <w:uiPriority w:val="21"/>
    <w:qFormat/>
    <w:rsid w:val="009E0DB9"/>
    <w:rPr>
      <w:i/>
      <w:iCs/>
      <w:color w:val="0F4761" w:themeColor="accent1" w:themeShade="BF"/>
    </w:rPr>
  </w:style>
  <w:style w:type="paragraph" w:styleId="Citadestacada">
    <w:name w:val="Intense Quote"/>
    <w:basedOn w:val="Normal"/>
    <w:next w:val="Normal"/>
    <w:link w:val="CitadestacadaCar"/>
    <w:uiPriority w:val="30"/>
    <w:qFormat/>
    <w:rsid w:val="009E0D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E0DB9"/>
    <w:rPr>
      <w:i/>
      <w:iCs/>
      <w:color w:val="0F4761" w:themeColor="accent1" w:themeShade="BF"/>
    </w:rPr>
  </w:style>
  <w:style w:type="character" w:styleId="Referenciaintensa">
    <w:name w:val="Intense Reference"/>
    <w:basedOn w:val="Fuentedeprrafopredeter"/>
    <w:uiPriority w:val="32"/>
    <w:qFormat/>
    <w:rsid w:val="009E0DB9"/>
    <w:rPr>
      <w:b/>
      <w:bCs/>
      <w:smallCaps/>
      <w:color w:val="0F4761" w:themeColor="accent1" w:themeShade="BF"/>
      <w:spacing w:val="5"/>
    </w:rPr>
  </w:style>
  <w:style w:type="paragraph" w:styleId="NormalWeb">
    <w:name w:val="Normal (Web)"/>
    <w:basedOn w:val="Normal"/>
    <w:uiPriority w:val="99"/>
    <w:semiHidden/>
    <w:unhideWhenUsed/>
    <w:rsid w:val="009E0DB9"/>
    <w:rPr>
      <w:rFonts w:ascii="Times New Roman" w:hAnsi="Times New Roman" w:cs="Times New Roman"/>
      <w:sz w:val="24"/>
      <w:szCs w:val="24"/>
    </w:rPr>
  </w:style>
  <w:style w:type="paragraph" w:styleId="Encabezado">
    <w:name w:val="header"/>
    <w:basedOn w:val="Normal"/>
    <w:link w:val="EncabezadoCar"/>
    <w:uiPriority w:val="99"/>
    <w:unhideWhenUsed/>
    <w:rsid w:val="009E0DB9"/>
    <w:pPr>
      <w:tabs>
        <w:tab w:val="center" w:pos="4419"/>
        <w:tab w:val="right" w:pos="8838"/>
      </w:tabs>
      <w:spacing w:after="0" w:line="240" w:lineRule="auto"/>
    </w:pPr>
    <w:rPr>
      <w:kern w:val="0"/>
      <w14:ligatures w14:val="none"/>
    </w:rPr>
  </w:style>
  <w:style w:type="character" w:customStyle="1" w:styleId="EncabezadoCar">
    <w:name w:val="Encabezado Car"/>
    <w:basedOn w:val="Fuentedeprrafopredeter"/>
    <w:link w:val="Encabezado"/>
    <w:uiPriority w:val="99"/>
    <w:rsid w:val="009E0DB9"/>
    <w:rPr>
      <w:kern w:val="0"/>
      <w14:ligatures w14:val="none"/>
    </w:rPr>
  </w:style>
  <w:style w:type="paragraph" w:styleId="Piedepgina">
    <w:name w:val="footer"/>
    <w:basedOn w:val="Normal"/>
    <w:link w:val="PiedepginaCar"/>
    <w:uiPriority w:val="99"/>
    <w:unhideWhenUsed/>
    <w:rsid w:val="009E0DB9"/>
    <w:pPr>
      <w:tabs>
        <w:tab w:val="center" w:pos="4419"/>
        <w:tab w:val="right" w:pos="8838"/>
      </w:tabs>
      <w:spacing w:after="0" w:line="240" w:lineRule="auto"/>
    </w:pPr>
    <w:rPr>
      <w:kern w:val="0"/>
      <w14:ligatures w14:val="none"/>
    </w:rPr>
  </w:style>
  <w:style w:type="character" w:customStyle="1" w:styleId="PiedepginaCar">
    <w:name w:val="Pie de página Car"/>
    <w:basedOn w:val="Fuentedeprrafopredeter"/>
    <w:link w:val="Piedepgina"/>
    <w:uiPriority w:val="99"/>
    <w:rsid w:val="009E0DB9"/>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E0DB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E0DB9"/>
    <w:pPr>
      <w:spacing w:after="0" w:line="240" w:lineRule="auto"/>
    </w:pPr>
    <w:rPr>
      <w:sz w:val="20"/>
      <w:szCs w:val="20"/>
      <w:lang w:val="es-MX"/>
    </w:rPr>
  </w:style>
  <w:style w:type="character" w:customStyle="1" w:styleId="TextonotapieCar1">
    <w:name w:val="Texto nota pie Car1"/>
    <w:basedOn w:val="Fuentedeprrafopredeter"/>
    <w:uiPriority w:val="99"/>
    <w:semiHidden/>
    <w:rsid w:val="009E0DB9"/>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E0DB9"/>
    <w:rPr>
      <w:vertAlign w:val="superscript"/>
    </w:rPr>
  </w:style>
  <w:style w:type="table" w:styleId="Tablaconcuadrcula">
    <w:name w:val="Table Grid"/>
    <w:basedOn w:val="Tablanormal"/>
    <w:uiPriority w:val="39"/>
    <w:qFormat/>
    <w:rsid w:val="009E0DB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E0DB9"/>
    <w:rPr>
      <w:color w:val="0000FF"/>
      <w:u w:val="single"/>
    </w:rPr>
  </w:style>
  <w:style w:type="paragraph" w:customStyle="1" w:styleId="Appelnotedebasde">
    <w:name w:val="Appel note de bas de..."/>
    <w:basedOn w:val="Normal"/>
    <w:link w:val="Refdenotaalpie"/>
    <w:uiPriority w:val="99"/>
    <w:rsid w:val="009E0DB9"/>
    <w:pPr>
      <w:spacing w:line="240" w:lineRule="exact"/>
    </w:pPr>
    <w:rPr>
      <w:vertAlign w:val="superscript"/>
    </w:rPr>
  </w:style>
  <w:style w:type="table" w:customStyle="1" w:styleId="Tablaconcuadrcula11">
    <w:name w:val="Tabla con cuadrícula11"/>
    <w:basedOn w:val="Tablanormal"/>
    <w:next w:val="Tablaconcuadrcula"/>
    <w:uiPriority w:val="59"/>
    <w:qFormat/>
    <w:rsid w:val="009E0DB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9E0D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ilmayo31@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alcaldiabogota.gov.co/sisjur/normas/Norma1.jsp?dt=S&amp;i=122202" TargetMode="External"/><Relationship Id="rId2" Type="http://schemas.openxmlformats.org/officeDocument/2006/relationships/hyperlink" Target="https://www.alcaldiabogota.gov.co/sisjur/normas/Norma1.jsp?dt=S&amp;i=60733" TargetMode="External"/><Relationship Id="rId1" Type="http://schemas.openxmlformats.org/officeDocument/2006/relationships/hyperlink" Target="https://www.alcaldiabogota.gov.co/sisjur/normas/Norma1.jsp?dt=S&amp;i=804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AC8AD99-39B6-4239-8BC4-5D709A6A10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AB1365-DFE1-49D6-A474-C19C4E3C2376}">
  <ds:schemaRefs>
    <ds:schemaRef ds:uri="http://schemas.microsoft.com/sharepoint/v3/contenttype/forms"/>
  </ds:schemaRefs>
</ds:datastoreItem>
</file>

<file path=customXml/itemProps3.xml><?xml version="1.0" encoding="utf-8"?>
<ds:datastoreItem xmlns:ds="http://schemas.openxmlformats.org/officeDocument/2006/customXml" ds:itemID="{AB5301CF-7F0D-4F08-8A82-F2A103C3E68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27</Pages>
  <Words>8963</Words>
  <Characters>49301</Characters>
  <Application>Microsoft Office Word</Application>
  <DocSecurity>0</DocSecurity>
  <Lines>410</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4</cp:revision>
  <dcterms:created xsi:type="dcterms:W3CDTF">2026-03-26T14:03:00Z</dcterms:created>
  <dcterms:modified xsi:type="dcterms:W3CDTF">2026-03-26T14:12:00Z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